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016113" w:rsidRDefault="000E391F" w:rsidP="000E391F">
      <w:pPr>
        <w:pStyle w:val="Header"/>
        <w:jc w:val="center"/>
        <w:rPr>
          <w:b/>
          <w:sz w:val="32"/>
        </w:rPr>
      </w:pPr>
      <w:r w:rsidRPr="00016113">
        <w:rPr>
          <w:b/>
          <w:sz w:val="32"/>
        </w:rPr>
        <w:t>Supreme Court of Canada / Cour suprême du Canada</w:t>
      </w:r>
    </w:p>
    <w:p w:rsidR="000E391F" w:rsidRPr="00016113" w:rsidRDefault="000E391F" w:rsidP="000E391F">
      <w:pPr>
        <w:widowControl w:val="0"/>
      </w:pPr>
    </w:p>
    <w:p w:rsidR="000E391F" w:rsidRPr="00016113" w:rsidRDefault="000E391F" w:rsidP="000E391F">
      <w:pPr>
        <w:widowControl w:val="0"/>
        <w:rPr>
          <w:i/>
        </w:rPr>
      </w:pPr>
    </w:p>
    <w:p w:rsidR="006F2579" w:rsidRPr="00016113" w:rsidRDefault="006F2579" w:rsidP="006F2579">
      <w:pPr>
        <w:widowControl w:val="0"/>
        <w:rPr>
          <w:i/>
          <w:sz w:val="20"/>
        </w:rPr>
      </w:pPr>
      <w:r w:rsidRPr="00016113">
        <w:rPr>
          <w:i/>
          <w:sz w:val="20"/>
        </w:rPr>
        <w:t>(</w:t>
      </w:r>
      <w:r w:rsidR="003240B6" w:rsidRPr="00016113">
        <w:rPr>
          <w:i/>
          <w:sz w:val="20"/>
        </w:rPr>
        <w:t>L</w:t>
      </w:r>
      <w:r w:rsidRPr="00016113">
        <w:rPr>
          <w:i/>
          <w:sz w:val="20"/>
        </w:rPr>
        <w:t>e français suit)</w:t>
      </w:r>
    </w:p>
    <w:p w:rsidR="006F2579" w:rsidRPr="00016113" w:rsidRDefault="006F2579" w:rsidP="006F2579">
      <w:pPr>
        <w:widowControl w:val="0"/>
      </w:pPr>
    </w:p>
    <w:p w:rsidR="006F2579" w:rsidRPr="00016113" w:rsidRDefault="00B07908" w:rsidP="006F2579">
      <w:pPr>
        <w:widowControl w:val="0"/>
        <w:jc w:val="center"/>
        <w:rPr>
          <w:b/>
        </w:rPr>
      </w:pPr>
      <w:r w:rsidRPr="00016113">
        <w:fldChar w:fldCharType="begin"/>
      </w:r>
      <w:r w:rsidR="006F2579" w:rsidRPr="00016113">
        <w:instrText xml:space="preserve"> SEQ CHAPTER \h \r 1</w:instrText>
      </w:r>
      <w:r w:rsidRPr="00016113">
        <w:fldChar w:fldCharType="end"/>
      </w:r>
      <w:r w:rsidR="006F2579" w:rsidRPr="00016113">
        <w:rPr>
          <w:b/>
        </w:rPr>
        <w:t>JUDGMENT</w:t>
      </w:r>
      <w:r w:rsidR="00B17AAC" w:rsidRPr="00016113">
        <w:rPr>
          <w:b/>
        </w:rPr>
        <w:t>S</w:t>
      </w:r>
      <w:r w:rsidR="006F2579" w:rsidRPr="00016113">
        <w:rPr>
          <w:b/>
        </w:rPr>
        <w:t xml:space="preserve"> TO B</w:t>
      </w:r>
      <w:r w:rsidR="00001846" w:rsidRPr="00016113">
        <w:rPr>
          <w:b/>
        </w:rPr>
        <w:t>E RENDERED IN LE</w:t>
      </w:r>
      <w:r w:rsidR="00A0288A" w:rsidRPr="00016113">
        <w:rPr>
          <w:b/>
        </w:rPr>
        <w:t>A</w:t>
      </w:r>
      <w:r w:rsidR="00001846" w:rsidRPr="00016113">
        <w:rPr>
          <w:b/>
        </w:rPr>
        <w:t>VE APPLICATION</w:t>
      </w:r>
      <w:r w:rsidR="00511288" w:rsidRPr="00016113">
        <w:rPr>
          <w:b/>
        </w:rPr>
        <w:t>S</w:t>
      </w:r>
    </w:p>
    <w:p w:rsidR="006F2579" w:rsidRPr="00016113" w:rsidRDefault="006F2579" w:rsidP="006F2579">
      <w:pPr>
        <w:widowControl w:val="0"/>
      </w:pPr>
    </w:p>
    <w:p w:rsidR="006F2579" w:rsidRPr="00016113" w:rsidRDefault="00FC473D" w:rsidP="006F2579">
      <w:pPr>
        <w:widowControl w:val="0"/>
      </w:pPr>
      <w:r w:rsidRPr="00016113">
        <w:rPr>
          <w:b/>
        </w:rPr>
        <w:t>September</w:t>
      </w:r>
      <w:r w:rsidR="00A15B66" w:rsidRPr="00016113">
        <w:rPr>
          <w:b/>
        </w:rPr>
        <w:t xml:space="preserve"> </w:t>
      </w:r>
      <w:r w:rsidRPr="00016113">
        <w:rPr>
          <w:b/>
        </w:rPr>
        <w:t>2</w:t>
      </w:r>
      <w:r w:rsidR="00804501" w:rsidRPr="00016113">
        <w:rPr>
          <w:b/>
        </w:rPr>
        <w:t>1</w:t>
      </w:r>
      <w:r w:rsidR="004441C7" w:rsidRPr="00016113">
        <w:rPr>
          <w:b/>
        </w:rPr>
        <w:t>,</w:t>
      </w:r>
      <w:r w:rsidR="006F2579" w:rsidRPr="00016113">
        <w:rPr>
          <w:b/>
        </w:rPr>
        <w:t xml:space="preserve"> </w:t>
      </w:r>
      <w:r w:rsidR="0054689F" w:rsidRPr="00016113">
        <w:rPr>
          <w:b/>
        </w:rPr>
        <w:t>20</w:t>
      </w:r>
      <w:r w:rsidR="00526754" w:rsidRPr="00016113">
        <w:rPr>
          <w:b/>
        </w:rPr>
        <w:t>20</w:t>
      </w:r>
    </w:p>
    <w:p w:rsidR="006F2579" w:rsidRPr="00016113" w:rsidRDefault="00674F39" w:rsidP="006F2579">
      <w:pPr>
        <w:widowControl w:val="0"/>
        <w:rPr>
          <w:b/>
        </w:rPr>
      </w:pPr>
      <w:r w:rsidRPr="00016113">
        <w:rPr>
          <w:b/>
        </w:rPr>
        <w:t>For immediate release</w:t>
      </w:r>
    </w:p>
    <w:p w:rsidR="006F2579" w:rsidRPr="00016113" w:rsidRDefault="006F2579" w:rsidP="006F2579">
      <w:pPr>
        <w:widowControl w:val="0"/>
      </w:pPr>
    </w:p>
    <w:p w:rsidR="006F2579" w:rsidRPr="00016113" w:rsidRDefault="006F2579" w:rsidP="006F2579">
      <w:pPr>
        <w:widowControl w:val="0"/>
        <w:rPr>
          <w:lang w:val="fr-CA"/>
        </w:rPr>
      </w:pPr>
      <w:r w:rsidRPr="00016113">
        <w:rPr>
          <w:b/>
        </w:rPr>
        <w:t>OTTAWA</w:t>
      </w:r>
      <w:r w:rsidRPr="00016113">
        <w:t xml:space="preserve"> – The Supreme Court of Canad</w:t>
      </w:r>
      <w:r w:rsidR="006246E4" w:rsidRPr="00016113">
        <w:t>a</w:t>
      </w:r>
      <w:r w:rsidRPr="00016113">
        <w:t xml:space="preserve"> announced today that judgment in the following </w:t>
      </w:r>
      <w:r w:rsidR="00DB6199" w:rsidRPr="00016113">
        <w:t xml:space="preserve">leave applications </w:t>
      </w:r>
      <w:r w:rsidRPr="00016113">
        <w:t xml:space="preserve">will be delivered at 9:45 a.m. </w:t>
      </w:r>
      <w:r w:rsidR="00E05816" w:rsidRPr="00016113">
        <w:t>E</w:t>
      </w:r>
      <w:r w:rsidR="00273FF3" w:rsidRPr="00016113">
        <w:t>D</w:t>
      </w:r>
      <w:r w:rsidR="00E05816" w:rsidRPr="00016113">
        <w:t>T</w:t>
      </w:r>
      <w:r w:rsidRPr="00016113">
        <w:t xml:space="preserve"> on Thursday, </w:t>
      </w:r>
      <w:r w:rsidR="00804501" w:rsidRPr="00016113">
        <w:t>September</w:t>
      </w:r>
      <w:r w:rsidR="00455912" w:rsidRPr="00016113">
        <w:t xml:space="preserve"> </w:t>
      </w:r>
      <w:r w:rsidR="00FC473D" w:rsidRPr="00016113">
        <w:t>24</w:t>
      </w:r>
      <w:r w:rsidR="007E112F" w:rsidRPr="00016113">
        <w:t>,</w:t>
      </w:r>
      <w:r w:rsidR="002F38D7" w:rsidRPr="00016113">
        <w:t xml:space="preserve"> </w:t>
      </w:r>
      <w:r w:rsidR="006648D1" w:rsidRPr="00016113">
        <w:t>20</w:t>
      </w:r>
      <w:r w:rsidR="00526754" w:rsidRPr="00016113">
        <w:t>20</w:t>
      </w:r>
      <w:r w:rsidRPr="00016113">
        <w:t xml:space="preserve">. </w:t>
      </w:r>
      <w:r w:rsidRPr="00016113">
        <w:rPr>
          <w:lang w:val="fr-CA"/>
        </w:rPr>
        <w:t>This list is subject to chang</w:t>
      </w:r>
      <w:r w:rsidR="00192F7F" w:rsidRPr="00016113">
        <w:rPr>
          <w:lang w:val="fr-CA"/>
        </w:rPr>
        <w:t>e</w:t>
      </w:r>
      <w:r w:rsidRPr="00016113">
        <w:rPr>
          <w:lang w:val="fr-CA"/>
        </w:rPr>
        <w:t>.</w:t>
      </w:r>
    </w:p>
    <w:p w:rsidR="00FF5AA4" w:rsidRPr="00016113" w:rsidRDefault="00FF5AA4" w:rsidP="006F2579">
      <w:pPr>
        <w:widowControl w:val="0"/>
        <w:rPr>
          <w:lang w:val="fr-CA"/>
        </w:rPr>
      </w:pPr>
    </w:p>
    <w:p w:rsidR="00B43418" w:rsidRPr="00016113" w:rsidRDefault="00B43418" w:rsidP="006F2579">
      <w:pPr>
        <w:widowControl w:val="0"/>
        <w:rPr>
          <w:lang w:val="fr-CA"/>
        </w:rPr>
      </w:pPr>
    </w:p>
    <w:p w:rsidR="006F2579" w:rsidRPr="00016113" w:rsidRDefault="006F2579" w:rsidP="006F2579">
      <w:pPr>
        <w:widowControl w:val="0"/>
        <w:jc w:val="center"/>
        <w:rPr>
          <w:lang w:val="fr-CA"/>
        </w:rPr>
      </w:pPr>
      <w:r w:rsidRPr="00016113">
        <w:rPr>
          <w:b/>
          <w:lang w:val="fr-CA"/>
        </w:rPr>
        <w:t>PROCHAIN</w:t>
      </w:r>
      <w:r w:rsidR="00B17AAC" w:rsidRPr="00016113">
        <w:rPr>
          <w:b/>
          <w:lang w:val="fr-CA"/>
        </w:rPr>
        <w:t>S</w:t>
      </w:r>
      <w:r w:rsidRPr="00016113">
        <w:rPr>
          <w:b/>
          <w:lang w:val="fr-CA"/>
        </w:rPr>
        <w:t xml:space="preserve"> JUGEMENT</w:t>
      </w:r>
      <w:r w:rsidR="00B17AAC" w:rsidRPr="00016113">
        <w:rPr>
          <w:b/>
          <w:lang w:val="fr-CA"/>
        </w:rPr>
        <w:t>S</w:t>
      </w:r>
      <w:r w:rsidR="00001846" w:rsidRPr="00016113">
        <w:rPr>
          <w:b/>
          <w:lang w:val="fr-CA"/>
        </w:rPr>
        <w:t xml:space="preserve"> SUR DEMANDE</w:t>
      </w:r>
      <w:r w:rsidR="00B17AAC" w:rsidRPr="00016113">
        <w:rPr>
          <w:b/>
          <w:lang w:val="fr-CA"/>
        </w:rPr>
        <w:t>S</w:t>
      </w:r>
      <w:r w:rsidRPr="00016113">
        <w:rPr>
          <w:b/>
          <w:lang w:val="fr-CA"/>
        </w:rPr>
        <w:t xml:space="preserve"> D’AUTORISATION</w:t>
      </w:r>
    </w:p>
    <w:p w:rsidR="006F2579" w:rsidRPr="00016113" w:rsidRDefault="006F2579" w:rsidP="006F2579">
      <w:pPr>
        <w:widowControl w:val="0"/>
        <w:rPr>
          <w:lang w:val="fr-CA"/>
        </w:rPr>
      </w:pPr>
    </w:p>
    <w:p w:rsidR="006F2579" w:rsidRPr="00016113" w:rsidRDefault="006F2579" w:rsidP="006F2579">
      <w:pPr>
        <w:widowControl w:val="0"/>
        <w:rPr>
          <w:lang w:val="fr-CA"/>
        </w:rPr>
      </w:pPr>
      <w:r w:rsidRPr="00016113">
        <w:rPr>
          <w:b/>
          <w:lang w:val="fr-CA"/>
        </w:rPr>
        <w:t>Le</w:t>
      </w:r>
      <w:r w:rsidR="00957A76" w:rsidRPr="00016113">
        <w:rPr>
          <w:b/>
          <w:lang w:val="fr-CA"/>
        </w:rPr>
        <w:t xml:space="preserve"> </w:t>
      </w:r>
      <w:r w:rsidR="00FC473D" w:rsidRPr="00016113">
        <w:rPr>
          <w:b/>
          <w:lang w:val="fr-CA"/>
        </w:rPr>
        <w:t>2</w:t>
      </w:r>
      <w:r w:rsidR="00804501" w:rsidRPr="00016113">
        <w:rPr>
          <w:b/>
          <w:lang w:val="fr-CA"/>
        </w:rPr>
        <w:t>1</w:t>
      </w:r>
      <w:r w:rsidR="007A72CA" w:rsidRPr="00016113">
        <w:rPr>
          <w:b/>
          <w:lang w:val="fr-CA"/>
        </w:rPr>
        <w:t xml:space="preserve"> </w:t>
      </w:r>
      <w:r w:rsidR="00FC473D" w:rsidRPr="00016113">
        <w:rPr>
          <w:b/>
          <w:lang w:val="fr-CA"/>
        </w:rPr>
        <w:t>septembre</w:t>
      </w:r>
      <w:r w:rsidR="00A151D1" w:rsidRPr="00016113">
        <w:rPr>
          <w:b/>
          <w:lang w:val="fr-CA"/>
        </w:rPr>
        <w:t xml:space="preserve"> 20</w:t>
      </w:r>
      <w:r w:rsidR="00526754" w:rsidRPr="00016113">
        <w:rPr>
          <w:b/>
          <w:lang w:val="fr-CA"/>
        </w:rPr>
        <w:t>20</w:t>
      </w:r>
    </w:p>
    <w:p w:rsidR="006F2579" w:rsidRPr="00016113" w:rsidRDefault="006F2579" w:rsidP="006F2579">
      <w:pPr>
        <w:widowControl w:val="0"/>
        <w:rPr>
          <w:b/>
          <w:lang w:val="fr-CA"/>
        </w:rPr>
      </w:pPr>
      <w:r w:rsidRPr="00016113">
        <w:rPr>
          <w:b/>
          <w:lang w:val="fr-CA"/>
        </w:rPr>
        <w:t>Pour diffusion immédiate</w:t>
      </w:r>
    </w:p>
    <w:p w:rsidR="006F2579" w:rsidRPr="00016113" w:rsidRDefault="006F2579" w:rsidP="006F2579">
      <w:pPr>
        <w:widowControl w:val="0"/>
        <w:rPr>
          <w:lang w:val="fr-CA"/>
        </w:rPr>
      </w:pPr>
    </w:p>
    <w:p w:rsidR="006F2579" w:rsidRPr="00016113" w:rsidRDefault="006F2579" w:rsidP="006F2579">
      <w:pPr>
        <w:widowControl w:val="0"/>
        <w:rPr>
          <w:lang w:val="fr-CA"/>
        </w:rPr>
      </w:pPr>
      <w:r w:rsidRPr="00016113">
        <w:rPr>
          <w:b/>
          <w:lang w:val="fr-CA"/>
        </w:rPr>
        <w:t>OTTAWA</w:t>
      </w:r>
      <w:r w:rsidRPr="00016113">
        <w:rPr>
          <w:lang w:val="fr-CA"/>
        </w:rPr>
        <w:t xml:space="preserve"> – La Cour suprême du Canada annonce que jugement ser</w:t>
      </w:r>
      <w:r w:rsidR="004259F9" w:rsidRPr="00016113">
        <w:rPr>
          <w:lang w:val="fr-CA"/>
        </w:rPr>
        <w:t>a</w:t>
      </w:r>
      <w:r w:rsidRPr="00016113">
        <w:rPr>
          <w:lang w:val="fr-CA"/>
        </w:rPr>
        <w:t xml:space="preserve"> rendu dans l</w:t>
      </w:r>
      <w:r w:rsidR="008600ED" w:rsidRPr="00016113">
        <w:rPr>
          <w:lang w:val="fr-CA"/>
        </w:rPr>
        <w:t>es</w:t>
      </w:r>
      <w:r w:rsidRPr="00016113">
        <w:rPr>
          <w:lang w:val="fr-CA"/>
        </w:rPr>
        <w:t xml:space="preserve"> demande</w:t>
      </w:r>
      <w:r w:rsidR="008600ED" w:rsidRPr="00016113">
        <w:rPr>
          <w:lang w:val="fr-CA"/>
        </w:rPr>
        <w:t>s</w:t>
      </w:r>
      <w:r w:rsidRPr="00016113">
        <w:rPr>
          <w:lang w:val="fr-CA"/>
        </w:rPr>
        <w:t xml:space="preserve"> d</w:t>
      </w:r>
      <w:r w:rsidR="00001846" w:rsidRPr="00016113">
        <w:rPr>
          <w:lang w:val="fr-CA"/>
        </w:rPr>
        <w:t>’autorisation suivante</w:t>
      </w:r>
      <w:r w:rsidR="008600ED" w:rsidRPr="00016113">
        <w:rPr>
          <w:lang w:val="fr-CA"/>
        </w:rPr>
        <w:t>s</w:t>
      </w:r>
      <w:r w:rsidRPr="00016113">
        <w:rPr>
          <w:lang w:val="fr-CA"/>
        </w:rPr>
        <w:t xml:space="preserve"> le jeudi </w:t>
      </w:r>
      <w:r w:rsidR="00FC473D" w:rsidRPr="00016113">
        <w:rPr>
          <w:lang w:val="fr-CA"/>
        </w:rPr>
        <w:t>24</w:t>
      </w:r>
      <w:r w:rsidR="00780317" w:rsidRPr="00016113">
        <w:rPr>
          <w:lang w:val="fr-CA"/>
        </w:rPr>
        <w:t xml:space="preserve"> </w:t>
      </w:r>
      <w:r w:rsidR="00804501" w:rsidRPr="00016113">
        <w:rPr>
          <w:lang w:val="fr-CA"/>
        </w:rPr>
        <w:t>septembre</w:t>
      </w:r>
      <w:r w:rsidR="00694391" w:rsidRPr="00016113">
        <w:rPr>
          <w:lang w:val="fr-CA"/>
        </w:rPr>
        <w:t xml:space="preserve"> 2</w:t>
      </w:r>
      <w:r w:rsidR="006648D1" w:rsidRPr="00016113">
        <w:rPr>
          <w:lang w:val="fr-CA"/>
        </w:rPr>
        <w:t>0</w:t>
      </w:r>
      <w:r w:rsidR="00526754" w:rsidRPr="00016113">
        <w:rPr>
          <w:lang w:val="fr-CA"/>
        </w:rPr>
        <w:t>20</w:t>
      </w:r>
      <w:r w:rsidRPr="00016113">
        <w:rPr>
          <w:lang w:val="fr-CA"/>
        </w:rPr>
        <w:t xml:space="preserve">, à 9 h 45 </w:t>
      </w:r>
      <w:r w:rsidR="000627A2" w:rsidRPr="00016113">
        <w:rPr>
          <w:lang w:val="fr-CA"/>
        </w:rPr>
        <w:t>H</w:t>
      </w:r>
      <w:r w:rsidR="00273FF3" w:rsidRPr="00016113">
        <w:rPr>
          <w:lang w:val="fr-CA"/>
        </w:rPr>
        <w:t>A</w:t>
      </w:r>
      <w:r w:rsidRPr="00016113">
        <w:rPr>
          <w:lang w:val="fr-CA"/>
        </w:rPr>
        <w:t>E. Cette liste est sujette à modifications.</w:t>
      </w:r>
    </w:p>
    <w:p w:rsidR="0080556B" w:rsidRPr="00016113" w:rsidRDefault="0080556B" w:rsidP="009B14F4">
      <w:pPr>
        <w:widowControl w:val="0"/>
        <w:jc w:val="both"/>
        <w:rPr>
          <w:sz w:val="20"/>
          <w:lang w:val="fr-CA"/>
        </w:rPr>
      </w:pPr>
    </w:p>
    <w:p w:rsidR="00867C61" w:rsidRPr="00016113" w:rsidRDefault="00F95A12" w:rsidP="009B14F4">
      <w:pPr>
        <w:widowControl w:val="0"/>
        <w:jc w:val="both"/>
        <w:rPr>
          <w:sz w:val="20"/>
        </w:rPr>
      </w:pPr>
      <w:r w:rsidRPr="00016113">
        <w:rPr>
          <w:sz w:val="20"/>
        </w:rPr>
        <w:pict>
          <v:rect id="_x0000_i1025" style="width:2in;height:1pt" o:hrpct="0" o:hralign="center" o:hrstd="t" o:hrnoshade="t" o:hr="t" fillcolor="black [3213]" stroked="f"/>
        </w:pict>
      </w:r>
    </w:p>
    <w:p w:rsidR="0029488A" w:rsidRPr="00016113" w:rsidRDefault="0029488A" w:rsidP="0029488A">
      <w:pPr>
        <w:widowControl w:val="0"/>
        <w:rPr>
          <w:sz w:val="20"/>
        </w:rPr>
      </w:pPr>
    </w:p>
    <w:p w:rsidR="00FC473D" w:rsidRPr="00016113" w:rsidRDefault="00FC473D" w:rsidP="00D35BC0">
      <w:pPr>
        <w:pStyle w:val="ListParagraph"/>
        <w:numPr>
          <w:ilvl w:val="0"/>
          <w:numId w:val="26"/>
        </w:numPr>
        <w:ind w:left="357" w:hanging="357"/>
        <w:rPr>
          <w:rFonts w:eastAsiaTheme="minorHAnsi" w:cstheme="minorBidi"/>
          <w:sz w:val="20"/>
          <w:lang w:val="fr-CA"/>
        </w:rPr>
      </w:pPr>
      <w:r w:rsidRPr="00016113">
        <w:rPr>
          <w:rFonts w:eastAsiaTheme="minorHAnsi" w:cstheme="minorBidi"/>
          <w:i/>
          <w:sz w:val="20"/>
          <w:lang w:val="fr-CA"/>
        </w:rPr>
        <w:t>Sa Majesté la Reine c. Marino Conti</w:t>
      </w:r>
      <w:r w:rsidRPr="00016113">
        <w:rPr>
          <w:rFonts w:eastAsiaTheme="minorHAnsi" w:cstheme="minorBidi"/>
          <w:sz w:val="20"/>
          <w:lang w:val="fr-CA"/>
        </w:rPr>
        <w:t xml:space="preserve"> (Qc) (Criminelle) (Autorisation) </w:t>
      </w:r>
      <w:r w:rsidRPr="00016113">
        <w:rPr>
          <w:sz w:val="20"/>
          <w:lang w:val="fr-CA"/>
        </w:rPr>
        <w:t>(</w:t>
      </w:r>
      <w:hyperlink r:id="rId8" w:history="1">
        <w:r w:rsidRPr="00016113">
          <w:rPr>
            <w:rStyle w:val="Hyperlink"/>
            <w:sz w:val="20"/>
            <w:szCs w:val="20"/>
            <w:lang w:val="fr-CA"/>
          </w:rPr>
          <w:t>39</w:t>
        </w:r>
        <w:r w:rsidR="00522B6D" w:rsidRPr="00016113">
          <w:rPr>
            <w:rStyle w:val="Hyperlink"/>
            <w:sz w:val="20"/>
            <w:szCs w:val="20"/>
            <w:lang w:val="fr-CA"/>
          </w:rPr>
          <w:t>0</w:t>
        </w:r>
        <w:r w:rsidRPr="00016113">
          <w:rPr>
            <w:rStyle w:val="Hyperlink"/>
            <w:sz w:val="20"/>
            <w:szCs w:val="20"/>
            <w:lang w:val="fr-CA"/>
          </w:rPr>
          <w:t>7</w:t>
        </w:r>
        <w:r w:rsidR="00522B6D" w:rsidRPr="00016113">
          <w:rPr>
            <w:rStyle w:val="Hyperlink"/>
            <w:sz w:val="20"/>
            <w:szCs w:val="20"/>
            <w:lang w:val="fr-CA"/>
          </w:rPr>
          <w:t>4</w:t>
        </w:r>
      </w:hyperlink>
      <w:r w:rsidRPr="00016113">
        <w:rPr>
          <w:sz w:val="20"/>
          <w:lang w:val="fr-CA"/>
        </w:rPr>
        <w:t>)</w:t>
      </w:r>
    </w:p>
    <w:p w:rsidR="00FC473D" w:rsidRPr="00016113" w:rsidRDefault="00FC473D" w:rsidP="00D35BC0">
      <w:pPr>
        <w:ind w:left="357" w:hanging="357"/>
        <w:rPr>
          <w:rFonts w:eastAsiaTheme="minorHAnsi" w:cstheme="minorBidi"/>
          <w:sz w:val="20"/>
          <w:lang w:val="fr-CA"/>
        </w:rPr>
      </w:pPr>
    </w:p>
    <w:p w:rsidR="00FC473D" w:rsidRPr="00016113" w:rsidRDefault="00FC473D" w:rsidP="00D35BC0">
      <w:pPr>
        <w:pStyle w:val="ListParagraph"/>
        <w:numPr>
          <w:ilvl w:val="0"/>
          <w:numId w:val="26"/>
        </w:numPr>
        <w:ind w:left="357" w:hanging="357"/>
        <w:rPr>
          <w:sz w:val="20"/>
          <w:lang w:val="fr-CA"/>
        </w:rPr>
      </w:pPr>
      <w:r w:rsidRPr="00016113">
        <w:rPr>
          <w:rFonts w:eastAsiaTheme="minorHAnsi" w:cstheme="minorBidi"/>
          <w:i/>
          <w:sz w:val="20"/>
          <w:lang w:val="fr-CA"/>
        </w:rPr>
        <w:t>Jean-Guy St-Pierre c. Chantal Thibault</w:t>
      </w:r>
      <w:r w:rsidRPr="00016113">
        <w:rPr>
          <w:rFonts w:eastAsiaTheme="minorHAnsi" w:cstheme="minorBidi"/>
          <w:sz w:val="20"/>
          <w:lang w:val="fr-CA"/>
        </w:rPr>
        <w:t xml:space="preserve"> </w:t>
      </w:r>
      <w:r w:rsidR="00013258" w:rsidRPr="00016113">
        <w:rPr>
          <w:rFonts w:eastAsiaTheme="minorHAnsi" w:cstheme="minorBidi"/>
          <w:sz w:val="20"/>
          <w:lang w:val="fr-CA"/>
        </w:rPr>
        <w:t>(Qc) (Civile) (Autorisation)</w:t>
      </w:r>
      <w:r w:rsidRPr="00016113">
        <w:rPr>
          <w:rFonts w:eastAsiaTheme="minorHAnsi" w:cstheme="minorBidi"/>
          <w:sz w:val="20"/>
          <w:lang w:val="fr-CA"/>
        </w:rPr>
        <w:t xml:space="preserve"> </w:t>
      </w:r>
      <w:r w:rsidRPr="00016113">
        <w:rPr>
          <w:sz w:val="20"/>
          <w:lang w:val="fr-CA"/>
        </w:rPr>
        <w:t>(</w:t>
      </w:r>
      <w:hyperlink r:id="rId9" w:history="1">
        <w:r w:rsidRPr="00016113">
          <w:rPr>
            <w:rStyle w:val="Hyperlink"/>
            <w:sz w:val="20"/>
            <w:szCs w:val="20"/>
            <w:lang w:val="fr-CA"/>
          </w:rPr>
          <w:t>3917</w:t>
        </w:r>
        <w:r w:rsidR="00013258" w:rsidRPr="00016113">
          <w:rPr>
            <w:rStyle w:val="Hyperlink"/>
            <w:sz w:val="20"/>
            <w:szCs w:val="20"/>
            <w:lang w:val="fr-CA"/>
          </w:rPr>
          <w:t>3</w:t>
        </w:r>
      </w:hyperlink>
      <w:r w:rsidRPr="00016113">
        <w:rPr>
          <w:sz w:val="20"/>
          <w:lang w:val="fr-CA"/>
        </w:rPr>
        <w:t>)</w:t>
      </w:r>
    </w:p>
    <w:p w:rsidR="00FC473D" w:rsidRPr="00016113" w:rsidRDefault="00FC473D" w:rsidP="00D35BC0">
      <w:pPr>
        <w:ind w:left="357" w:hanging="357"/>
        <w:rPr>
          <w:sz w:val="20"/>
          <w:lang w:val="fr-CA"/>
        </w:rPr>
      </w:pPr>
    </w:p>
    <w:p w:rsidR="00FC473D" w:rsidRPr="00016113" w:rsidRDefault="00FC473D" w:rsidP="00D35BC0">
      <w:pPr>
        <w:pStyle w:val="ListParagraph"/>
        <w:numPr>
          <w:ilvl w:val="0"/>
          <w:numId w:val="26"/>
        </w:numPr>
        <w:ind w:left="357" w:hanging="357"/>
        <w:rPr>
          <w:rFonts w:eastAsiaTheme="minorHAnsi" w:cstheme="minorBidi"/>
          <w:sz w:val="20"/>
        </w:rPr>
      </w:pPr>
      <w:r w:rsidRPr="00016113">
        <w:rPr>
          <w:rFonts w:eastAsiaTheme="minorHAnsi" w:cstheme="minorBidi"/>
          <w:i/>
          <w:sz w:val="20"/>
          <w:lang w:val="fr-CA"/>
        </w:rPr>
        <w:t>Angela R. Senft, et al. v. Audrey Vigneau, et al</w:t>
      </w:r>
      <w:r w:rsidRPr="00016113">
        <w:rPr>
          <w:rFonts w:eastAsiaTheme="minorHAnsi" w:cstheme="minorBidi"/>
          <w:sz w:val="20"/>
          <w:lang w:val="fr-CA"/>
        </w:rPr>
        <w:t xml:space="preserve">. </w:t>
      </w:r>
      <w:r w:rsidRPr="00016113">
        <w:rPr>
          <w:rFonts w:eastAsiaTheme="minorHAnsi" w:cstheme="minorBidi"/>
          <w:sz w:val="20"/>
        </w:rPr>
        <w:t xml:space="preserve">(Y.T.) (Civil) (By Leave) </w:t>
      </w:r>
      <w:r w:rsidRPr="00016113">
        <w:rPr>
          <w:sz w:val="20"/>
        </w:rPr>
        <w:t>(</w:t>
      </w:r>
      <w:hyperlink r:id="rId10" w:history="1">
        <w:r w:rsidRPr="00016113">
          <w:rPr>
            <w:rStyle w:val="Hyperlink"/>
            <w:sz w:val="20"/>
            <w:szCs w:val="20"/>
          </w:rPr>
          <w:t>391</w:t>
        </w:r>
        <w:r w:rsidR="00A0073E" w:rsidRPr="00016113">
          <w:rPr>
            <w:rStyle w:val="Hyperlink"/>
            <w:sz w:val="20"/>
            <w:szCs w:val="20"/>
          </w:rPr>
          <w:t>76</w:t>
        </w:r>
      </w:hyperlink>
      <w:r w:rsidRPr="00016113">
        <w:rPr>
          <w:sz w:val="20"/>
        </w:rPr>
        <w:t>)</w:t>
      </w:r>
    </w:p>
    <w:p w:rsidR="00FC473D" w:rsidRPr="00016113" w:rsidRDefault="00FC473D" w:rsidP="00D35BC0">
      <w:pPr>
        <w:ind w:left="357" w:hanging="357"/>
        <w:contextualSpacing/>
        <w:rPr>
          <w:rFonts w:eastAsiaTheme="minorHAnsi" w:cstheme="minorBidi"/>
          <w:sz w:val="20"/>
        </w:rPr>
      </w:pPr>
    </w:p>
    <w:p w:rsidR="00FC473D" w:rsidRPr="00016113" w:rsidRDefault="00FC473D" w:rsidP="00D35BC0">
      <w:pPr>
        <w:pStyle w:val="ListParagraph"/>
        <w:numPr>
          <w:ilvl w:val="0"/>
          <w:numId w:val="26"/>
        </w:numPr>
        <w:ind w:left="357" w:hanging="357"/>
        <w:rPr>
          <w:rFonts w:eastAsiaTheme="minorHAnsi" w:cstheme="minorBidi"/>
          <w:sz w:val="20"/>
        </w:rPr>
      </w:pPr>
      <w:r w:rsidRPr="00016113">
        <w:rPr>
          <w:rFonts w:eastAsiaTheme="minorHAnsi" w:cstheme="minorBidi"/>
          <w:i/>
          <w:sz w:val="20"/>
        </w:rPr>
        <w:t xml:space="preserve">Nandeep Bamrah v. Waterton Precious Metals Bid Corp. </w:t>
      </w:r>
      <w:r w:rsidRPr="00016113">
        <w:rPr>
          <w:rFonts w:eastAsiaTheme="minorHAnsi" w:cstheme="minorBidi"/>
          <w:sz w:val="20"/>
        </w:rPr>
        <w:t xml:space="preserve">(B.C.) (Civil) (By Leave) </w:t>
      </w:r>
      <w:r w:rsidRPr="00016113">
        <w:rPr>
          <w:sz w:val="20"/>
        </w:rPr>
        <w:t>(</w:t>
      </w:r>
      <w:hyperlink r:id="rId11" w:history="1">
        <w:r w:rsidRPr="00016113">
          <w:rPr>
            <w:rStyle w:val="Hyperlink"/>
            <w:sz w:val="20"/>
            <w:szCs w:val="20"/>
          </w:rPr>
          <w:t>391</w:t>
        </w:r>
        <w:r w:rsidR="00107693" w:rsidRPr="00016113">
          <w:rPr>
            <w:rStyle w:val="Hyperlink"/>
            <w:sz w:val="20"/>
            <w:szCs w:val="20"/>
          </w:rPr>
          <w:t>88</w:t>
        </w:r>
      </w:hyperlink>
      <w:r w:rsidRPr="00016113">
        <w:rPr>
          <w:sz w:val="20"/>
        </w:rPr>
        <w:t>)</w:t>
      </w:r>
    </w:p>
    <w:p w:rsidR="00FC473D" w:rsidRPr="00016113" w:rsidRDefault="00FC473D" w:rsidP="00D35BC0">
      <w:pPr>
        <w:ind w:left="357" w:hanging="357"/>
        <w:contextualSpacing/>
        <w:rPr>
          <w:rFonts w:eastAsiaTheme="minorHAnsi" w:cstheme="minorBidi"/>
          <w:sz w:val="20"/>
        </w:rPr>
      </w:pPr>
    </w:p>
    <w:p w:rsidR="00FC473D" w:rsidRPr="00016113" w:rsidRDefault="00FC473D" w:rsidP="00D35BC0">
      <w:pPr>
        <w:pStyle w:val="ListParagraph"/>
        <w:numPr>
          <w:ilvl w:val="0"/>
          <w:numId w:val="26"/>
        </w:numPr>
        <w:ind w:left="357" w:hanging="357"/>
        <w:rPr>
          <w:rFonts w:eastAsiaTheme="minorHAnsi" w:cstheme="minorBidi"/>
          <w:sz w:val="20"/>
        </w:rPr>
      </w:pPr>
      <w:r w:rsidRPr="00016113">
        <w:rPr>
          <w:rFonts w:eastAsiaTheme="minorHAnsi" w:cstheme="minorBidi"/>
          <w:i/>
          <w:sz w:val="20"/>
          <w:lang w:val="fr-CA"/>
        </w:rPr>
        <w:t>Apotex Inc., et al. v. ADIR, et al.</w:t>
      </w:r>
      <w:r w:rsidRPr="00016113">
        <w:rPr>
          <w:rFonts w:eastAsiaTheme="minorHAnsi" w:cstheme="minorBidi"/>
          <w:sz w:val="20"/>
          <w:lang w:val="fr-CA"/>
        </w:rPr>
        <w:t xml:space="preserve"> </w:t>
      </w:r>
      <w:r w:rsidRPr="00016113">
        <w:rPr>
          <w:rFonts w:eastAsiaTheme="minorHAnsi" w:cstheme="minorBidi"/>
          <w:sz w:val="20"/>
        </w:rPr>
        <w:t xml:space="preserve">(F.C.) (Civil) (By Leave) </w:t>
      </w:r>
      <w:r w:rsidRPr="00016113">
        <w:rPr>
          <w:sz w:val="20"/>
        </w:rPr>
        <w:t>(</w:t>
      </w:r>
      <w:hyperlink r:id="rId12" w:history="1">
        <w:r w:rsidRPr="00016113">
          <w:rPr>
            <w:rStyle w:val="Hyperlink"/>
            <w:sz w:val="20"/>
            <w:szCs w:val="20"/>
          </w:rPr>
          <w:t>391</w:t>
        </w:r>
        <w:r w:rsidR="004431F9" w:rsidRPr="00016113">
          <w:rPr>
            <w:rStyle w:val="Hyperlink"/>
            <w:sz w:val="20"/>
            <w:szCs w:val="20"/>
          </w:rPr>
          <w:t>72</w:t>
        </w:r>
      </w:hyperlink>
      <w:r w:rsidRPr="00016113">
        <w:rPr>
          <w:sz w:val="20"/>
        </w:rPr>
        <w:t>)</w:t>
      </w:r>
    </w:p>
    <w:p w:rsidR="00FC473D" w:rsidRPr="00016113" w:rsidRDefault="00FC473D" w:rsidP="00D35BC0">
      <w:pPr>
        <w:ind w:left="357" w:hanging="357"/>
        <w:rPr>
          <w:rFonts w:eastAsiaTheme="minorHAnsi" w:cstheme="minorBidi"/>
          <w:sz w:val="20"/>
        </w:rPr>
      </w:pPr>
    </w:p>
    <w:p w:rsidR="00FC473D" w:rsidRPr="00016113" w:rsidRDefault="00FC473D" w:rsidP="00D35BC0">
      <w:pPr>
        <w:pStyle w:val="ListParagraph"/>
        <w:numPr>
          <w:ilvl w:val="0"/>
          <w:numId w:val="26"/>
        </w:numPr>
        <w:ind w:left="357" w:hanging="357"/>
        <w:rPr>
          <w:rFonts w:eastAsiaTheme="minorHAnsi" w:cstheme="minorBidi"/>
          <w:sz w:val="20"/>
          <w:lang w:val="fr-CA"/>
        </w:rPr>
      </w:pPr>
      <w:r w:rsidRPr="00016113">
        <w:rPr>
          <w:rFonts w:eastAsiaTheme="minorHAnsi" w:cstheme="minorBidi"/>
          <w:i/>
          <w:sz w:val="20"/>
          <w:lang w:val="fr-CA"/>
        </w:rPr>
        <w:t>Pharmacie Carole Bessette et Francis Gince, Pharmaciens inc. (Uniprix), et al. c. Yvette Turgeon en reprise d’instance pour Bernard Côté, en sa qualité de liquidatrice de la succession de Bernard Côté</w:t>
      </w:r>
      <w:r w:rsidR="00B2355A" w:rsidRPr="00016113">
        <w:rPr>
          <w:rFonts w:eastAsiaTheme="minorHAnsi" w:cstheme="minorBidi"/>
          <w:sz w:val="20"/>
          <w:lang w:val="fr-CA"/>
        </w:rPr>
        <w:t xml:space="preserve"> </w:t>
      </w:r>
      <w:r w:rsidRPr="00016113">
        <w:rPr>
          <w:rFonts w:eastAsiaTheme="minorHAnsi" w:cstheme="minorBidi"/>
          <w:sz w:val="20"/>
          <w:lang w:val="fr-CA"/>
        </w:rPr>
        <w:t xml:space="preserve">(Qc) (Civile) (Autorisation) </w:t>
      </w:r>
      <w:r w:rsidRPr="00016113">
        <w:rPr>
          <w:sz w:val="20"/>
          <w:lang w:val="fr-CA"/>
        </w:rPr>
        <w:t>(</w:t>
      </w:r>
      <w:hyperlink r:id="rId13" w:history="1">
        <w:r w:rsidRPr="00016113">
          <w:rPr>
            <w:rStyle w:val="Hyperlink"/>
            <w:sz w:val="20"/>
            <w:szCs w:val="20"/>
            <w:lang w:val="fr-CA"/>
          </w:rPr>
          <w:t>391</w:t>
        </w:r>
        <w:r w:rsidR="00B2355A" w:rsidRPr="00016113">
          <w:rPr>
            <w:rStyle w:val="Hyperlink"/>
            <w:sz w:val="20"/>
            <w:szCs w:val="20"/>
            <w:lang w:val="fr-CA"/>
          </w:rPr>
          <w:t>41</w:t>
        </w:r>
      </w:hyperlink>
      <w:r w:rsidRPr="00016113">
        <w:rPr>
          <w:sz w:val="20"/>
          <w:lang w:val="fr-CA"/>
        </w:rPr>
        <w:t>)</w:t>
      </w:r>
    </w:p>
    <w:p w:rsidR="00FC473D" w:rsidRPr="00016113" w:rsidRDefault="00FC473D" w:rsidP="00D35BC0">
      <w:pPr>
        <w:widowControl w:val="0"/>
        <w:ind w:left="357" w:hanging="357"/>
        <w:rPr>
          <w:sz w:val="20"/>
          <w:lang w:val="fr-CA"/>
        </w:rPr>
      </w:pPr>
    </w:p>
    <w:p w:rsidR="00FC473D" w:rsidRPr="00016113" w:rsidRDefault="00FC473D" w:rsidP="00D35BC0">
      <w:pPr>
        <w:pStyle w:val="ListParagraph"/>
        <w:numPr>
          <w:ilvl w:val="0"/>
          <w:numId w:val="26"/>
        </w:numPr>
        <w:ind w:left="357" w:hanging="357"/>
        <w:rPr>
          <w:rFonts w:eastAsia="Calibri"/>
          <w:sz w:val="20"/>
          <w:lang w:val="fr-CA"/>
        </w:rPr>
      </w:pPr>
      <w:r w:rsidRPr="00016113">
        <w:rPr>
          <w:rFonts w:eastAsia="Calibri"/>
          <w:bCs/>
          <w:i/>
          <w:iCs/>
          <w:sz w:val="20"/>
          <w:lang w:val="fr-CA"/>
        </w:rPr>
        <w:t>Sa Majesté la Reine c. Richard Vallières</w:t>
      </w:r>
      <w:r w:rsidRPr="00016113">
        <w:rPr>
          <w:rFonts w:eastAsia="Calibri"/>
          <w:sz w:val="20"/>
          <w:lang w:val="fr-CA"/>
        </w:rPr>
        <w:t xml:space="preserve"> (Qc) (Criminelle) (Autorisation) </w:t>
      </w:r>
      <w:r w:rsidRPr="00016113">
        <w:rPr>
          <w:sz w:val="20"/>
          <w:lang w:val="fr-CA"/>
        </w:rPr>
        <w:t>(</w:t>
      </w:r>
      <w:hyperlink r:id="rId14" w:history="1">
        <w:r w:rsidRPr="00016113">
          <w:rPr>
            <w:rStyle w:val="Hyperlink"/>
            <w:sz w:val="20"/>
            <w:szCs w:val="20"/>
            <w:lang w:val="fr-CA"/>
          </w:rPr>
          <w:t>391</w:t>
        </w:r>
        <w:r w:rsidR="00B01DF0" w:rsidRPr="00016113">
          <w:rPr>
            <w:rStyle w:val="Hyperlink"/>
            <w:sz w:val="20"/>
            <w:szCs w:val="20"/>
            <w:lang w:val="fr-CA"/>
          </w:rPr>
          <w:t>62</w:t>
        </w:r>
      </w:hyperlink>
      <w:r w:rsidRPr="00016113">
        <w:rPr>
          <w:sz w:val="20"/>
          <w:lang w:val="fr-CA"/>
        </w:rPr>
        <w:t>)</w:t>
      </w:r>
    </w:p>
    <w:p w:rsidR="00FC473D" w:rsidRPr="00016113" w:rsidRDefault="00FC473D" w:rsidP="00D35BC0">
      <w:pPr>
        <w:ind w:left="357" w:hanging="357"/>
        <w:rPr>
          <w:rFonts w:eastAsia="Calibri"/>
          <w:sz w:val="20"/>
          <w:lang w:val="fr-CA"/>
        </w:rPr>
      </w:pPr>
    </w:p>
    <w:p w:rsidR="00FC473D" w:rsidRPr="00016113" w:rsidRDefault="00FC473D" w:rsidP="00D35BC0">
      <w:pPr>
        <w:pStyle w:val="ListParagraph"/>
        <w:numPr>
          <w:ilvl w:val="0"/>
          <w:numId w:val="26"/>
        </w:numPr>
        <w:ind w:left="357" w:hanging="357"/>
        <w:rPr>
          <w:rFonts w:eastAsia="Calibri"/>
          <w:sz w:val="20"/>
        </w:rPr>
      </w:pPr>
      <w:r w:rsidRPr="00016113">
        <w:rPr>
          <w:rFonts w:eastAsia="Calibri"/>
          <w:bCs/>
          <w:i/>
          <w:iCs/>
          <w:sz w:val="20"/>
        </w:rPr>
        <w:t>Mazen Geliedan v. Abir Rawdah</w:t>
      </w:r>
      <w:r w:rsidRPr="00016113">
        <w:rPr>
          <w:rFonts w:eastAsia="Calibri"/>
          <w:sz w:val="20"/>
        </w:rPr>
        <w:t xml:space="preserve"> (Ont.) (Civil) (By Leave) </w:t>
      </w:r>
      <w:r w:rsidRPr="00016113">
        <w:rPr>
          <w:sz w:val="20"/>
        </w:rPr>
        <w:t>(</w:t>
      </w:r>
      <w:hyperlink r:id="rId15" w:history="1">
        <w:r w:rsidRPr="00016113">
          <w:rPr>
            <w:rStyle w:val="Hyperlink"/>
            <w:sz w:val="20"/>
            <w:szCs w:val="20"/>
          </w:rPr>
          <w:t>39</w:t>
        </w:r>
        <w:r w:rsidR="00F83F3F" w:rsidRPr="00016113">
          <w:rPr>
            <w:rStyle w:val="Hyperlink"/>
            <w:sz w:val="20"/>
            <w:szCs w:val="20"/>
          </w:rPr>
          <w:t>22</w:t>
        </w:r>
        <w:r w:rsidRPr="00016113">
          <w:rPr>
            <w:rStyle w:val="Hyperlink"/>
            <w:sz w:val="20"/>
            <w:szCs w:val="20"/>
          </w:rPr>
          <w:t>1</w:t>
        </w:r>
      </w:hyperlink>
      <w:r w:rsidRPr="00016113">
        <w:rPr>
          <w:sz w:val="20"/>
        </w:rPr>
        <w:t>)</w:t>
      </w:r>
    </w:p>
    <w:p w:rsidR="00804501" w:rsidRPr="00016113" w:rsidRDefault="00804501" w:rsidP="00D35BC0">
      <w:pPr>
        <w:widowControl w:val="0"/>
        <w:ind w:left="357" w:hanging="357"/>
        <w:rPr>
          <w:sz w:val="20"/>
        </w:rPr>
      </w:pPr>
    </w:p>
    <w:p w:rsidR="00D35BC0" w:rsidRPr="00016113" w:rsidRDefault="00D35BC0" w:rsidP="00D35BC0">
      <w:pPr>
        <w:pStyle w:val="ListParagraph"/>
        <w:numPr>
          <w:ilvl w:val="0"/>
          <w:numId w:val="26"/>
        </w:numPr>
        <w:ind w:left="357" w:hanging="357"/>
        <w:rPr>
          <w:rFonts w:eastAsia="Calibri"/>
          <w:sz w:val="20"/>
          <w:lang w:val="en-CA"/>
        </w:rPr>
      </w:pPr>
      <w:r w:rsidRPr="00016113">
        <w:rPr>
          <w:i/>
          <w:sz w:val="20"/>
        </w:rPr>
        <w:t xml:space="preserve">Bank of Montreal v. Yanping (Kate) Li </w:t>
      </w:r>
      <w:r w:rsidRPr="00016113">
        <w:rPr>
          <w:sz w:val="20"/>
        </w:rPr>
        <w:t>(F.C.) (Civil) (By Leave)</w:t>
      </w:r>
      <w:r w:rsidR="009B26EE" w:rsidRPr="00016113">
        <w:rPr>
          <w:sz w:val="20"/>
        </w:rPr>
        <w:t xml:space="preserve"> (</w:t>
      </w:r>
      <w:hyperlink r:id="rId16" w:history="1">
        <w:r w:rsidR="009B26EE" w:rsidRPr="00016113">
          <w:rPr>
            <w:rStyle w:val="Hyperlink"/>
            <w:sz w:val="20"/>
            <w:szCs w:val="20"/>
          </w:rPr>
          <w:t>39</w:t>
        </w:r>
        <w:r w:rsidR="00D46E9D" w:rsidRPr="00016113">
          <w:rPr>
            <w:rStyle w:val="Hyperlink"/>
            <w:sz w:val="20"/>
            <w:szCs w:val="20"/>
          </w:rPr>
          <w:t>095</w:t>
        </w:r>
      </w:hyperlink>
      <w:r w:rsidR="009B26EE" w:rsidRPr="00016113">
        <w:rPr>
          <w:sz w:val="20"/>
        </w:rPr>
        <w:t>)</w:t>
      </w:r>
    </w:p>
    <w:p w:rsidR="00D35BC0" w:rsidRPr="00016113" w:rsidRDefault="00D35BC0" w:rsidP="00D35BC0">
      <w:pPr>
        <w:ind w:left="357" w:hanging="357"/>
        <w:rPr>
          <w:rFonts w:eastAsia="Calibri"/>
          <w:sz w:val="20"/>
          <w:lang w:val="en-CA"/>
        </w:rPr>
      </w:pPr>
    </w:p>
    <w:p w:rsidR="00D35BC0" w:rsidRPr="00016113" w:rsidRDefault="00D35BC0" w:rsidP="00D35BC0">
      <w:pPr>
        <w:pStyle w:val="ListParagraph"/>
        <w:numPr>
          <w:ilvl w:val="0"/>
          <w:numId w:val="26"/>
        </w:numPr>
        <w:ind w:left="357" w:hanging="357"/>
        <w:rPr>
          <w:rFonts w:eastAsia="Calibri"/>
          <w:sz w:val="20"/>
          <w:lang w:val="en-CA"/>
        </w:rPr>
      </w:pPr>
      <w:r w:rsidRPr="00016113">
        <w:rPr>
          <w:rFonts w:eastAsia="Calibri"/>
          <w:i/>
          <w:sz w:val="20"/>
          <w:lang w:val="en-CA"/>
        </w:rPr>
        <w:t xml:space="preserve">Geophysical Service Incorporated v. Falkland Oil and Gas Limited, </w:t>
      </w:r>
      <w:r w:rsidR="00C61C88" w:rsidRPr="00016113">
        <w:rPr>
          <w:rFonts w:eastAsia="Calibri"/>
          <w:i/>
          <w:sz w:val="20"/>
          <w:lang w:val="en-CA"/>
        </w:rPr>
        <w:t>et al.</w:t>
      </w:r>
      <w:r w:rsidRPr="00016113">
        <w:rPr>
          <w:rFonts w:eastAsia="Calibri"/>
          <w:i/>
          <w:sz w:val="20"/>
          <w:lang w:val="en-CA"/>
        </w:rPr>
        <w:t xml:space="preserve"> </w:t>
      </w:r>
      <w:r w:rsidRPr="00016113">
        <w:rPr>
          <w:rFonts w:eastAsia="Calibri"/>
          <w:sz w:val="20"/>
        </w:rPr>
        <w:t>(Alta.) (Civil) (By Leave)</w:t>
      </w:r>
      <w:r w:rsidR="009B26EE" w:rsidRPr="00016113">
        <w:rPr>
          <w:rFonts w:eastAsia="Calibri"/>
          <w:sz w:val="20"/>
        </w:rPr>
        <w:t xml:space="preserve"> </w:t>
      </w:r>
      <w:r w:rsidR="009B26EE" w:rsidRPr="00016113">
        <w:rPr>
          <w:sz w:val="20"/>
        </w:rPr>
        <w:t>(</w:t>
      </w:r>
      <w:hyperlink r:id="rId17" w:history="1">
        <w:r w:rsidR="009B26EE" w:rsidRPr="00016113">
          <w:rPr>
            <w:rStyle w:val="Hyperlink"/>
            <w:sz w:val="20"/>
            <w:szCs w:val="20"/>
          </w:rPr>
          <w:t>39</w:t>
        </w:r>
        <w:r w:rsidR="008D3981" w:rsidRPr="00016113">
          <w:rPr>
            <w:rStyle w:val="Hyperlink"/>
            <w:sz w:val="20"/>
            <w:szCs w:val="20"/>
          </w:rPr>
          <w:t>093</w:t>
        </w:r>
      </w:hyperlink>
      <w:r w:rsidR="009B26EE" w:rsidRPr="00016113">
        <w:rPr>
          <w:sz w:val="20"/>
        </w:rPr>
        <w:t>)</w:t>
      </w:r>
    </w:p>
    <w:p w:rsidR="00D35BC0" w:rsidRPr="00016113" w:rsidRDefault="00D35BC0" w:rsidP="00D35BC0">
      <w:pPr>
        <w:widowControl w:val="0"/>
        <w:ind w:left="357" w:hanging="357"/>
        <w:rPr>
          <w:sz w:val="20"/>
        </w:rPr>
      </w:pPr>
    </w:p>
    <w:p w:rsidR="00D35BC0" w:rsidRPr="00016113" w:rsidRDefault="00D35BC0" w:rsidP="00D35BC0">
      <w:pPr>
        <w:pStyle w:val="ListParagraph"/>
        <w:numPr>
          <w:ilvl w:val="0"/>
          <w:numId w:val="26"/>
        </w:numPr>
        <w:ind w:left="357" w:hanging="357"/>
        <w:rPr>
          <w:sz w:val="20"/>
          <w:lang w:val="fr-CA"/>
        </w:rPr>
      </w:pPr>
      <w:r w:rsidRPr="00016113">
        <w:rPr>
          <w:rFonts w:eastAsia="Calibri"/>
          <w:i/>
          <w:sz w:val="20"/>
          <w:lang w:val="fr-CA"/>
        </w:rPr>
        <w:t xml:space="preserve">Tharoul Ménard c. Sa Majesté la Reine </w:t>
      </w:r>
      <w:r w:rsidRPr="00016113">
        <w:rPr>
          <w:rFonts w:eastAsia="Calibri"/>
          <w:sz w:val="20"/>
          <w:lang w:val="fr-CA"/>
        </w:rPr>
        <w:t>(Qc) (Criminelle) (Autorisation)</w:t>
      </w:r>
      <w:r w:rsidR="009B26EE" w:rsidRPr="00016113">
        <w:rPr>
          <w:rFonts w:eastAsia="Calibri"/>
          <w:sz w:val="20"/>
          <w:lang w:val="fr-CA"/>
        </w:rPr>
        <w:t xml:space="preserve"> </w:t>
      </w:r>
      <w:r w:rsidR="009B26EE" w:rsidRPr="00016113">
        <w:rPr>
          <w:sz w:val="20"/>
          <w:lang w:val="fr-CA"/>
        </w:rPr>
        <w:t>(</w:t>
      </w:r>
      <w:hyperlink r:id="rId18" w:history="1">
        <w:r w:rsidR="009B26EE" w:rsidRPr="00016113">
          <w:rPr>
            <w:rStyle w:val="Hyperlink"/>
            <w:sz w:val="20"/>
            <w:szCs w:val="20"/>
            <w:lang w:val="fr-CA"/>
          </w:rPr>
          <w:t>391</w:t>
        </w:r>
        <w:r w:rsidR="006F7BB3" w:rsidRPr="00016113">
          <w:rPr>
            <w:rStyle w:val="Hyperlink"/>
            <w:sz w:val="20"/>
            <w:szCs w:val="20"/>
            <w:lang w:val="fr-CA"/>
          </w:rPr>
          <w:t>51</w:t>
        </w:r>
      </w:hyperlink>
      <w:r w:rsidR="009B26EE" w:rsidRPr="00016113">
        <w:rPr>
          <w:sz w:val="20"/>
          <w:lang w:val="fr-CA"/>
        </w:rPr>
        <w:t>)</w:t>
      </w:r>
    </w:p>
    <w:p w:rsidR="00D35BC0" w:rsidRPr="00016113" w:rsidRDefault="00D35BC0" w:rsidP="00D35BC0">
      <w:pPr>
        <w:widowControl w:val="0"/>
        <w:ind w:left="357" w:hanging="357"/>
        <w:rPr>
          <w:sz w:val="20"/>
          <w:lang w:val="fr-CA"/>
        </w:rPr>
      </w:pPr>
    </w:p>
    <w:p w:rsidR="00D35BC0" w:rsidRPr="00016113" w:rsidRDefault="00D35BC0" w:rsidP="00D35BC0">
      <w:pPr>
        <w:pStyle w:val="ListParagraph"/>
        <w:numPr>
          <w:ilvl w:val="0"/>
          <w:numId w:val="26"/>
        </w:numPr>
        <w:ind w:left="357" w:hanging="357"/>
        <w:rPr>
          <w:rFonts w:eastAsia="Calibri"/>
          <w:sz w:val="20"/>
        </w:rPr>
      </w:pPr>
      <w:r w:rsidRPr="00016113">
        <w:rPr>
          <w:rFonts w:eastAsia="Calibri"/>
          <w:i/>
          <w:sz w:val="20"/>
          <w:lang w:val="en-CA"/>
        </w:rPr>
        <w:t>Caroline Colitto v. Her Majesty the Queen</w:t>
      </w:r>
      <w:r w:rsidRPr="00016113">
        <w:rPr>
          <w:rFonts w:eastAsia="Calibri"/>
          <w:i/>
          <w:sz w:val="20"/>
        </w:rPr>
        <w:t xml:space="preserve"> </w:t>
      </w:r>
      <w:r w:rsidRPr="00016113">
        <w:rPr>
          <w:rFonts w:eastAsia="Calibri"/>
          <w:sz w:val="20"/>
        </w:rPr>
        <w:t>(F.C.) (Civil) (By Leave)</w:t>
      </w:r>
      <w:r w:rsidR="009B26EE" w:rsidRPr="00016113">
        <w:rPr>
          <w:rFonts w:eastAsia="Calibri"/>
          <w:sz w:val="20"/>
        </w:rPr>
        <w:t xml:space="preserve"> </w:t>
      </w:r>
      <w:r w:rsidR="009B26EE" w:rsidRPr="00016113">
        <w:rPr>
          <w:sz w:val="20"/>
        </w:rPr>
        <w:t>(</w:t>
      </w:r>
      <w:hyperlink r:id="rId19" w:history="1">
        <w:r w:rsidR="009B26EE" w:rsidRPr="00016113">
          <w:rPr>
            <w:rStyle w:val="Hyperlink"/>
            <w:sz w:val="20"/>
            <w:szCs w:val="20"/>
          </w:rPr>
          <w:t>39</w:t>
        </w:r>
        <w:r w:rsidR="008163BE" w:rsidRPr="00016113">
          <w:rPr>
            <w:rStyle w:val="Hyperlink"/>
            <w:sz w:val="20"/>
            <w:szCs w:val="20"/>
          </w:rPr>
          <w:t>190</w:t>
        </w:r>
      </w:hyperlink>
      <w:r w:rsidR="009B26EE" w:rsidRPr="00016113">
        <w:rPr>
          <w:sz w:val="20"/>
        </w:rPr>
        <w:t>)</w:t>
      </w:r>
    </w:p>
    <w:p w:rsidR="00D35BC0" w:rsidRPr="00016113" w:rsidRDefault="00D35BC0" w:rsidP="00D35BC0">
      <w:pPr>
        <w:ind w:left="357" w:hanging="357"/>
        <w:rPr>
          <w:rFonts w:eastAsia="Calibri"/>
          <w:sz w:val="20"/>
        </w:rPr>
      </w:pPr>
    </w:p>
    <w:p w:rsidR="00D35BC0" w:rsidRPr="00016113" w:rsidRDefault="00D35BC0" w:rsidP="00D35BC0">
      <w:pPr>
        <w:pStyle w:val="ListParagraph"/>
        <w:numPr>
          <w:ilvl w:val="0"/>
          <w:numId w:val="26"/>
        </w:numPr>
        <w:ind w:left="357" w:hanging="357"/>
        <w:rPr>
          <w:rFonts w:eastAsia="Calibri"/>
          <w:sz w:val="20"/>
        </w:rPr>
      </w:pPr>
      <w:r w:rsidRPr="00016113">
        <w:rPr>
          <w:rFonts w:eastAsia="Calibri"/>
          <w:i/>
          <w:sz w:val="20"/>
          <w:lang w:val="en-CA"/>
        </w:rPr>
        <w:t xml:space="preserve">James Karygiannis v. City of Toronto, </w:t>
      </w:r>
      <w:r w:rsidR="008163BE" w:rsidRPr="00016113">
        <w:rPr>
          <w:rFonts w:eastAsia="Calibri"/>
          <w:i/>
          <w:sz w:val="20"/>
          <w:lang w:val="en-CA"/>
        </w:rPr>
        <w:t>et al.</w:t>
      </w:r>
      <w:r w:rsidRPr="00016113">
        <w:rPr>
          <w:rFonts w:eastAsia="Calibri"/>
          <w:i/>
          <w:sz w:val="20"/>
        </w:rPr>
        <w:t xml:space="preserve"> </w:t>
      </w:r>
      <w:r w:rsidRPr="00016113">
        <w:rPr>
          <w:rFonts w:eastAsia="Calibri"/>
          <w:sz w:val="20"/>
        </w:rPr>
        <w:t>(Ont.) (Civil) (By Leave)</w:t>
      </w:r>
      <w:r w:rsidR="009B26EE" w:rsidRPr="00016113">
        <w:rPr>
          <w:rFonts w:eastAsia="Calibri"/>
          <w:sz w:val="20"/>
        </w:rPr>
        <w:t xml:space="preserve"> </w:t>
      </w:r>
      <w:r w:rsidR="009B26EE" w:rsidRPr="00016113">
        <w:rPr>
          <w:sz w:val="20"/>
        </w:rPr>
        <w:t>(</w:t>
      </w:r>
      <w:hyperlink r:id="rId20" w:history="1">
        <w:r w:rsidR="009B26EE" w:rsidRPr="00016113">
          <w:rPr>
            <w:rStyle w:val="Hyperlink"/>
            <w:sz w:val="20"/>
            <w:szCs w:val="20"/>
          </w:rPr>
          <w:t>392</w:t>
        </w:r>
        <w:r w:rsidR="008163BE" w:rsidRPr="00016113">
          <w:rPr>
            <w:rStyle w:val="Hyperlink"/>
            <w:sz w:val="20"/>
            <w:szCs w:val="20"/>
          </w:rPr>
          <w:t>61</w:t>
        </w:r>
      </w:hyperlink>
      <w:r w:rsidR="009B26EE" w:rsidRPr="00016113">
        <w:rPr>
          <w:sz w:val="20"/>
        </w:rPr>
        <w:t>)</w:t>
      </w:r>
    </w:p>
    <w:p w:rsidR="00D35BC0" w:rsidRPr="00016113" w:rsidRDefault="00D35BC0" w:rsidP="009B14F4">
      <w:pPr>
        <w:widowControl w:val="0"/>
        <w:jc w:val="both"/>
        <w:rPr>
          <w:sz w:val="20"/>
        </w:rPr>
      </w:pPr>
    </w:p>
    <w:p w:rsidR="0057402C" w:rsidRPr="00016113" w:rsidRDefault="00F95A12" w:rsidP="009B14F4">
      <w:pPr>
        <w:widowControl w:val="0"/>
        <w:jc w:val="both"/>
        <w:rPr>
          <w:sz w:val="20"/>
        </w:rPr>
      </w:pPr>
      <w:r w:rsidRPr="00016113">
        <w:rPr>
          <w:sz w:val="20"/>
        </w:rPr>
        <w:pict>
          <v:rect id="_x0000_i1026" style="width:2in;height:1pt" o:hrpct="0" o:hralign="center" o:hrstd="t" o:hrnoshade="t" o:hr="t" fillcolor="black [3213]" stroked="f"/>
        </w:pict>
      </w:r>
    </w:p>
    <w:p w:rsidR="00FC473D" w:rsidRPr="00016113" w:rsidRDefault="00FC473D" w:rsidP="00F95A12">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95A12" w:rsidRPr="00016113" w:rsidTr="00F95A12">
        <w:tc>
          <w:tcPr>
            <w:tcW w:w="543" w:type="pct"/>
          </w:tcPr>
          <w:p w:rsidR="00F95A12" w:rsidRPr="00016113" w:rsidRDefault="00F95A12" w:rsidP="00F95A12">
            <w:pPr>
              <w:jc w:val="both"/>
              <w:rPr>
                <w:sz w:val="20"/>
                <w:lang w:val="en-CA"/>
              </w:rPr>
            </w:pPr>
            <w:r w:rsidRPr="00016113">
              <w:rPr>
                <w:rStyle w:val="SCCFileNumberChar"/>
                <w:sz w:val="20"/>
                <w:szCs w:val="20"/>
              </w:rPr>
              <w:t>39074</w:t>
            </w:r>
          </w:p>
        </w:tc>
        <w:tc>
          <w:tcPr>
            <w:tcW w:w="4457" w:type="pct"/>
            <w:gridSpan w:val="3"/>
          </w:tcPr>
          <w:p w:rsidR="00F95A12" w:rsidRPr="00016113" w:rsidRDefault="00F95A12" w:rsidP="00F95A12">
            <w:pPr>
              <w:pStyle w:val="SCCLsocParty"/>
              <w:jc w:val="both"/>
              <w:rPr>
                <w:b/>
                <w:sz w:val="20"/>
                <w:szCs w:val="20"/>
                <w:lang w:val="en-CA"/>
              </w:rPr>
            </w:pPr>
            <w:r w:rsidRPr="00016113">
              <w:rPr>
                <w:b/>
                <w:sz w:val="20"/>
                <w:szCs w:val="20"/>
                <w:lang w:val="en-CA"/>
              </w:rPr>
              <w:t>Her Majesty the Queen v. Marino Conti</w:t>
            </w:r>
          </w:p>
          <w:p w:rsidR="00F95A12" w:rsidRPr="00016113" w:rsidRDefault="00F95A12" w:rsidP="00F95A12">
            <w:pPr>
              <w:jc w:val="both"/>
              <w:rPr>
                <w:sz w:val="20"/>
                <w:lang w:val="en-CA"/>
              </w:rPr>
            </w:pPr>
            <w:r w:rsidRPr="00016113">
              <w:rPr>
                <w:sz w:val="20"/>
                <w:lang w:val="en-CA"/>
              </w:rPr>
              <w:t>(Que.) (Criminal) (By Leave)</w:t>
            </w:r>
          </w:p>
        </w:tc>
      </w:tr>
      <w:tr w:rsidR="00F95A12" w:rsidRPr="00016113" w:rsidTr="00F95A12">
        <w:tc>
          <w:tcPr>
            <w:tcW w:w="5000" w:type="pct"/>
            <w:gridSpan w:val="4"/>
          </w:tcPr>
          <w:p w:rsidR="00F95A12" w:rsidRPr="00016113" w:rsidRDefault="00F95A12" w:rsidP="00F95A12">
            <w:pPr>
              <w:jc w:val="both"/>
              <w:rPr>
                <w:sz w:val="20"/>
                <w:lang w:val="en-CA"/>
              </w:rPr>
            </w:pPr>
            <w:proofErr w:type="gramStart"/>
            <w:r w:rsidRPr="00016113">
              <w:rPr>
                <w:sz w:val="20"/>
                <w:lang w:val="en-CA"/>
              </w:rPr>
              <w:t xml:space="preserve">Criminal law — Sentencing — Using firearm in commission of offence — Concurrent or consecutive sentences — Principles of proportionality and totality — Series of offences committed to satisfy drug addiction — Respondent sentenced to total of eight years’ imprisonment — Court of Appeal intervening to reduce sentence to four years — </w:t>
            </w:r>
            <w:r w:rsidRPr="00016113">
              <w:rPr>
                <w:color w:val="000000"/>
                <w:sz w:val="20"/>
                <w:lang w:val="en-CA"/>
              </w:rPr>
              <w:t xml:space="preserve">Whether s. 85(4) of </w:t>
            </w:r>
            <w:r w:rsidRPr="00016113">
              <w:rPr>
                <w:i/>
                <w:color w:val="000000"/>
                <w:sz w:val="20"/>
                <w:lang w:val="en-CA"/>
              </w:rPr>
              <w:t>Criminal Code</w:t>
            </w:r>
            <w:r w:rsidRPr="00016113">
              <w:rPr>
                <w:color w:val="000000"/>
                <w:sz w:val="20"/>
                <w:lang w:val="en-CA"/>
              </w:rPr>
              <w:t xml:space="preserve"> allows for imposition of concurrent sentences to punish at once several offences mentioned in it — How English and French versions of s. 85(4) of </w:t>
            </w:r>
            <w:r w:rsidRPr="00016113">
              <w:rPr>
                <w:i/>
                <w:color w:val="000000"/>
                <w:sz w:val="20"/>
                <w:lang w:val="en-CA"/>
              </w:rPr>
              <w:t>Criminal Code</w:t>
            </w:r>
            <w:r w:rsidRPr="00016113">
              <w:rPr>
                <w:color w:val="000000"/>
                <w:sz w:val="20"/>
                <w:lang w:val="en-CA"/>
              </w:rPr>
              <w:t xml:space="preserve"> are to be reconciled in identifying sentences that must be consecutive with those that are imposed to punish offences to which it refers — Whether intention expressed by Parliament in s. 85(4) of </w:t>
            </w:r>
            <w:r w:rsidRPr="00016113">
              <w:rPr>
                <w:i/>
                <w:color w:val="000000"/>
                <w:sz w:val="20"/>
                <w:lang w:val="en-CA"/>
              </w:rPr>
              <w:t>Criminal Code</w:t>
            </w:r>
            <w:r w:rsidRPr="00016113">
              <w:rPr>
                <w:color w:val="000000"/>
                <w:sz w:val="20"/>
                <w:lang w:val="en-CA"/>
              </w:rPr>
              <w:t xml:space="preserve"> to effect that commission of criminal offence with firearm must be punished by consecutive sentence overrides general sentencing principle set out in s. 718.2(c) of </w:t>
            </w:r>
            <w:r w:rsidRPr="00016113">
              <w:rPr>
                <w:i/>
                <w:color w:val="000000"/>
                <w:sz w:val="20"/>
                <w:lang w:val="en-CA"/>
              </w:rPr>
              <w:t>Criminal Code</w:t>
            </w:r>
            <w:r w:rsidRPr="00016113">
              <w:rPr>
                <w:color w:val="000000"/>
                <w:sz w:val="20"/>
                <w:lang w:val="en-CA"/>
              </w:rPr>
              <w:t xml:space="preserve"> — Conditions for application of theory of crime spree, according to which judge may impose concurrent sentences for separate events — Standard for intervention by appellate court in sentencing decision — </w:t>
            </w:r>
            <w:r w:rsidRPr="00016113">
              <w:rPr>
                <w:i/>
                <w:color w:val="000000"/>
                <w:sz w:val="20"/>
                <w:lang w:val="en-CA"/>
              </w:rPr>
              <w:t>Criminal Code</w:t>
            </w:r>
            <w:r w:rsidRPr="00016113">
              <w:rPr>
                <w:color w:val="000000"/>
                <w:sz w:val="20"/>
                <w:lang w:val="en-CA"/>
              </w:rPr>
              <w:t>, R.S.C. (1985), c. C</w:t>
            </w:r>
            <w:r w:rsidRPr="00016113">
              <w:rPr>
                <w:color w:val="000000"/>
                <w:sz w:val="20"/>
                <w:lang w:val="en-CA"/>
              </w:rPr>
              <w:noBreakHyphen/>
              <w:t>46, ss. 85(4), 718.1 and 718.2.</w:t>
            </w:r>
            <w:proofErr w:type="gramEnd"/>
          </w:p>
        </w:tc>
      </w:tr>
      <w:tr w:rsidR="00F95A12" w:rsidRPr="00016113" w:rsidTr="00F95A12">
        <w:tc>
          <w:tcPr>
            <w:tcW w:w="5000" w:type="pct"/>
            <w:gridSpan w:val="4"/>
          </w:tcPr>
          <w:p w:rsidR="00F95A12" w:rsidRPr="00016113" w:rsidRDefault="00F95A12" w:rsidP="00F95A12">
            <w:pPr>
              <w:jc w:val="both"/>
              <w:rPr>
                <w:sz w:val="20"/>
                <w:lang w:val="en-CA"/>
              </w:rPr>
            </w:pPr>
          </w:p>
        </w:tc>
      </w:tr>
      <w:tr w:rsidR="00F95A12" w:rsidRPr="00016113" w:rsidTr="00F95A12">
        <w:tc>
          <w:tcPr>
            <w:tcW w:w="5000" w:type="pct"/>
            <w:gridSpan w:val="4"/>
          </w:tcPr>
          <w:p w:rsidR="00F95A12" w:rsidRPr="00016113" w:rsidRDefault="00F95A12" w:rsidP="00F95A12">
            <w:pPr>
              <w:jc w:val="both"/>
              <w:rPr>
                <w:sz w:val="20"/>
                <w:lang w:val="en-CA"/>
              </w:rPr>
            </w:pPr>
            <w:r w:rsidRPr="00016113">
              <w:rPr>
                <w:sz w:val="20"/>
                <w:lang w:val="en-CA"/>
              </w:rPr>
              <w:t xml:space="preserve">The respondent, Mr. Conti, committed a series of offences in 2014, and again in 2017. He pleaded guilty on 13 counts, as follows: seven for robbery, three for using an imitation firearm in committing robbery, two for theft under $5,000 and one for assault. The Court of Québec sentenced the respondent to eight years’ imprisonment, having imposed several consecutive sentences on him. For the counts involving the use of an imitation firearm, the court imposed three consecutive mandatory minimum sentences of one year. The Court of Appeal intervened to reduce the sentence of imprisonment to four years, holding that the sentence was clearly excessive in the circumstances. The offences committed in 2014 and in 2017, respectively, </w:t>
            </w:r>
            <w:proofErr w:type="gramStart"/>
            <w:r w:rsidRPr="00016113">
              <w:rPr>
                <w:sz w:val="20"/>
                <w:lang w:val="en-CA"/>
              </w:rPr>
              <w:t>should have been dealt with</w:t>
            </w:r>
            <w:proofErr w:type="gramEnd"/>
            <w:r w:rsidRPr="00016113">
              <w:rPr>
                <w:sz w:val="20"/>
                <w:lang w:val="en-CA"/>
              </w:rPr>
              <w:t xml:space="preserve"> as forming part of a single criminal transaction requiring the imposition of concurrent sentences. As well, the three mandatory minimum sentences of one year for using an imitation firearm should instead have been concurrent. Even though using an imitation firearm in committing robbery requires mandatory minimum sentences, the general sentencing principles still apply. </w:t>
            </w:r>
          </w:p>
          <w:p w:rsidR="00F95A12" w:rsidRPr="00016113" w:rsidRDefault="00F95A12" w:rsidP="00F95A12">
            <w:pPr>
              <w:jc w:val="both"/>
              <w:rPr>
                <w:sz w:val="20"/>
                <w:lang w:val="en-CA"/>
              </w:rPr>
            </w:pPr>
          </w:p>
        </w:tc>
      </w:tr>
      <w:tr w:rsidR="00F95A12" w:rsidRPr="00016113" w:rsidTr="00F95A12">
        <w:tc>
          <w:tcPr>
            <w:tcW w:w="2427" w:type="pct"/>
            <w:gridSpan w:val="2"/>
          </w:tcPr>
          <w:p w:rsidR="00F95A12" w:rsidRPr="00016113" w:rsidRDefault="00F95A12" w:rsidP="00F95A12">
            <w:pPr>
              <w:jc w:val="both"/>
              <w:rPr>
                <w:sz w:val="20"/>
                <w:lang w:val="en-CA"/>
              </w:rPr>
            </w:pPr>
            <w:r w:rsidRPr="00016113">
              <w:rPr>
                <w:sz w:val="20"/>
                <w:lang w:val="en-CA"/>
              </w:rPr>
              <w:t>September 13, 2018</w:t>
            </w:r>
          </w:p>
          <w:p w:rsidR="00F95A12" w:rsidRPr="00016113" w:rsidRDefault="00F95A12" w:rsidP="00F95A12">
            <w:pPr>
              <w:jc w:val="both"/>
              <w:rPr>
                <w:sz w:val="20"/>
                <w:lang w:val="en-CA"/>
              </w:rPr>
            </w:pPr>
            <w:r w:rsidRPr="00016113">
              <w:rPr>
                <w:sz w:val="20"/>
                <w:lang w:val="en-CA"/>
              </w:rPr>
              <w:t>Court of Québec</w:t>
            </w:r>
          </w:p>
          <w:p w:rsidR="00F95A12" w:rsidRPr="00016113" w:rsidRDefault="00F95A12" w:rsidP="00F95A12">
            <w:pPr>
              <w:jc w:val="both"/>
              <w:rPr>
                <w:sz w:val="20"/>
                <w:lang w:val="en-CA"/>
              </w:rPr>
            </w:pPr>
            <w:r w:rsidRPr="00016113">
              <w:rPr>
                <w:sz w:val="20"/>
                <w:lang w:val="en-CA"/>
              </w:rPr>
              <w:t>(Judge Despots)</w:t>
            </w:r>
          </w:p>
          <w:p w:rsidR="00F95A12" w:rsidRPr="00016113" w:rsidRDefault="00F95A12" w:rsidP="00F95A12">
            <w:pPr>
              <w:jc w:val="both"/>
              <w:rPr>
                <w:sz w:val="20"/>
                <w:lang w:val="en-CA"/>
              </w:rPr>
            </w:pPr>
          </w:p>
        </w:tc>
        <w:tc>
          <w:tcPr>
            <w:tcW w:w="243" w:type="pct"/>
          </w:tcPr>
          <w:p w:rsidR="00F95A12" w:rsidRPr="00016113" w:rsidRDefault="00F95A12" w:rsidP="00F95A12">
            <w:pPr>
              <w:jc w:val="both"/>
              <w:rPr>
                <w:sz w:val="20"/>
                <w:lang w:val="en-CA"/>
              </w:rPr>
            </w:pPr>
          </w:p>
        </w:tc>
        <w:tc>
          <w:tcPr>
            <w:tcW w:w="2330" w:type="pct"/>
          </w:tcPr>
          <w:p w:rsidR="00F95A12" w:rsidRPr="00016113" w:rsidRDefault="00F95A12" w:rsidP="00F95A12">
            <w:pPr>
              <w:jc w:val="both"/>
              <w:rPr>
                <w:sz w:val="20"/>
                <w:lang w:val="en-CA"/>
              </w:rPr>
            </w:pPr>
            <w:r w:rsidRPr="00016113">
              <w:rPr>
                <w:sz w:val="20"/>
                <w:lang w:val="en-CA"/>
              </w:rPr>
              <w:t>Global sentence of eight years’ imprisonment imposed on respondent</w:t>
            </w:r>
          </w:p>
          <w:p w:rsidR="00F95A12" w:rsidRPr="00016113" w:rsidRDefault="00F95A12" w:rsidP="00F95A12">
            <w:pPr>
              <w:jc w:val="both"/>
              <w:rPr>
                <w:sz w:val="20"/>
                <w:lang w:val="en-CA"/>
              </w:rPr>
            </w:pPr>
          </w:p>
        </w:tc>
      </w:tr>
      <w:tr w:rsidR="00F95A12" w:rsidRPr="00016113" w:rsidTr="00F95A12">
        <w:tc>
          <w:tcPr>
            <w:tcW w:w="2427" w:type="pct"/>
            <w:gridSpan w:val="2"/>
          </w:tcPr>
          <w:p w:rsidR="00F95A12" w:rsidRPr="00016113" w:rsidRDefault="00F95A12" w:rsidP="00F95A12">
            <w:pPr>
              <w:jc w:val="both"/>
              <w:rPr>
                <w:sz w:val="20"/>
                <w:lang w:val="en-CA"/>
              </w:rPr>
            </w:pPr>
            <w:r w:rsidRPr="00016113">
              <w:rPr>
                <w:sz w:val="20"/>
                <w:lang w:val="en-CA"/>
              </w:rPr>
              <w:t>December 5, 2019</w:t>
            </w:r>
          </w:p>
          <w:p w:rsidR="00F95A12" w:rsidRPr="00016113" w:rsidRDefault="00F95A12" w:rsidP="00F95A12">
            <w:pPr>
              <w:jc w:val="both"/>
              <w:rPr>
                <w:sz w:val="20"/>
                <w:lang w:val="en-CA"/>
              </w:rPr>
            </w:pPr>
            <w:r w:rsidRPr="00016113">
              <w:rPr>
                <w:sz w:val="20"/>
                <w:lang w:val="en-CA"/>
              </w:rPr>
              <w:t>Quebec Court of Appeal (Montréal)</w:t>
            </w:r>
          </w:p>
          <w:p w:rsidR="00F95A12" w:rsidRPr="00016113" w:rsidRDefault="00F95A12" w:rsidP="00F95A12">
            <w:pPr>
              <w:jc w:val="both"/>
              <w:rPr>
                <w:sz w:val="20"/>
                <w:lang w:val="en-CA"/>
              </w:rPr>
            </w:pPr>
            <w:r w:rsidRPr="00016113">
              <w:rPr>
                <w:sz w:val="20"/>
                <w:lang w:val="en-CA"/>
              </w:rPr>
              <w:t>(Dutil, Bouchard and Sansfaçon JJ.A.)</w:t>
            </w:r>
          </w:p>
          <w:p w:rsidR="00F95A12" w:rsidRPr="00016113" w:rsidRDefault="00F95A12" w:rsidP="00F95A12">
            <w:pPr>
              <w:jc w:val="both"/>
              <w:rPr>
                <w:sz w:val="20"/>
                <w:lang w:val="en-CA"/>
              </w:rPr>
            </w:pPr>
            <w:r w:rsidRPr="00016113">
              <w:rPr>
                <w:sz w:val="20"/>
                <w:lang w:val="en-CA"/>
              </w:rPr>
              <w:t>File No. 500</w:t>
            </w:r>
            <w:r w:rsidRPr="00016113">
              <w:rPr>
                <w:sz w:val="20"/>
                <w:lang w:val="en-CA"/>
              </w:rPr>
              <w:noBreakHyphen/>
              <w:t>10</w:t>
            </w:r>
            <w:r w:rsidRPr="00016113">
              <w:rPr>
                <w:sz w:val="20"/>
                <w:lang w:val="en-CA"/>
              </w:rPr>
              <w:noBreakHyphen/>
              <w:t>006878</w:t>
            </w:r>
            <w:r w:rsidRPr="00016113">
              <w:rPr>
                <w:sz w:val="20"/>
                <w:lang w:val="en-CA"/>
              </w:rPr>
              <w:noBreakHyphen/>
              <w:t>183</w:t>
            </w:r>
          </w:p>
          <w:p w:rsidR="00F95A12" w:rsidRPr="00016113" w:rsidRDefault="00F95A12" w:rsidP="00F95A12">
            <w:pPr>
              <w:jc w:val="both"/>
              <w:rPr>
                <w:sz w:val="20"/>
                <w:lang w:val="en-CA"/>
              </w:rPr>
            </w:pPr>
            <w:hyperlink r:id="rId21" w:history="1">
              <w:r w:rsidRPr="00016113">
                <w:rPr>
                  <w:rStyle w:val="Hyperlink"/>
                  <w:sz w:val="20"/>
                  <w:lang w:val="en-CA"/>
                </w:rPr>
                <w:t>2019 QCCA 2108</w:t>
              </w:r>
            </w:hyperlink>
          </w:p>
          <w:p w:rsidR="00F95A12" w:rsidRPr="00016113" w:rsidRDefault="00F95A12" w:rsidP="00F95A12">
            <w:pPr>
              <w:jc w:val="both"/>
              <w:rPr>
                <w:sz w:val="20"/>
                <w:lang w:val="en-CA"/>
              </w:rPr>
            </w:pPr>
          </w:p>
        </w:tc>
        <w:tc>
          <w:tcPr>
            <w:tcW w:w="243" w:type="pct"/>
          </w:tcPr>
          <w:p w:rsidR="00F95A12" w:rsidRPr="00016113" w:rsidRDefault="00F95A12" w:rsidP="00F95A12">
            <w:pPr>
              <w:jc w:val="both"/>
              <w:rPr>
                <w:sz w:val="20"/>
                <w:lang w:val="en-CA"/>
              </w:rPr>
            </w:pPr>
          </w:p>
        </w:tc>
        <w:tc>
          <w:tcPr>
            <w:tcW w:w="2330" w:type="pct"/>
          </w:tcPr>
          <w:p w:rsidR="00F95A12" w:rsidRPr="00016113" w:rsidRDefault="00F95A12" w:rsidP="00F95A12">
            <w:pPr>
              <w:jc w:val="both"/>
              <w:rPr>
                <w:sz w:val="20"/>
                <w:lang w:val="en-CA"/>
              </w:rPr>
            </w:pPr>
            <w:r w:rsidRPr="00016113">
              <w:rPr>
                <w:sz w:val="20"/>
                <w:lang w:val="en-CA"/>
              </w:rPr>
              <w:t>Motion for leave to appeal granted; appeal allowed in part; trial judge’s decision set aside in part; global sentence of four years’ imprisonment imposed on respondent</w:t>
            </w:r>
          </w:p>
          <w:p w:rsidR="00F95A12" w:rsidRPr="00016113" w:rsidRDefault="00F95A12" w:rsidP="00F95A12">
            <w:pPr>
              <w:jc w:val="both"/>
              <w:rPr>
                <w:sz w:val="20"/>
                <w:lang w:val="en-CA"/>
              </w:rPr>
            </w:pPr>
          </w:p>
          <w:p w:rsidR="00F95A12" w:rsidRPr="00016113" w:rsidRDefault="00F95A12" w:rsidP="00F95A12">
            <w:pPr>
              <w:jc w:val="both"/>
              <w:rPr>
                <w:sz w:val="20"/>
                <w:lang w:val="en-CA"/>
              </w:rPr>
            </w:pPr>
          </w:p>
        </w:tc>
      </w:tr>
      <w:tr w:rsidR="00F95A12" w:rsidRPr="00016113" w:rsidTr="00F95A12">
        <w:tc>
          <w:tcPr>
            <w:tcW w:w="2427" w:type="pct"/>
            <w:gridSpan w:val="2"/>
          </w:tcPr>
          <w:p w:rsidR="00F95A12" w:rsidRPr="00016113" w:rsidRDefault="00F95A12" w:rsidP="00F95A12">
            <w:pPr>
              <w:jc w:val="both"/>
              <w:rPr>
                <w:sz w:val="20"/>
                <w:lang w:val="en-CA"/>
              </w:rPr>
            </w:pPr>
            <w:r w:rsidRPr="00016113">
              <w:rPr>
                <w:sz w:val="20"/>
                <w:lang w:val="en-CA"/>
              </w:rPr>
              <w:t>February 14, 2020</w:t>
            </w:r>
          </w:p>
          <w:p w:rsidR="00F95A12" w:rsidRPr="00016113" w:rsidRDefault="00F95A12" w:rsidP="00F95A12">
            <w:pPr>
              <w:jc w:val="both"/>
              <w:rPr>
                <w:sz w:val="20"/>
                <w:lang w:val="en-CA"/>
              </w:rPr>
            </w:pPr>
            <w:r w:rsidRPr="00016113">
              <w:rPr>
                <w:sz w:val="20"/>
                <w:lang w:val="en-CA"/>
              </w:rPr>
              <w:t>Supreme Court of Canada</w:t>
            </w:r>
          </w:p>
        </w:tc>
        <w:tc>
          <w:tcPr>
            <w:tcW w:w="243" w:type="pct"/>
          </w:tcPr>
          <w:p w:rsidR="00F95A12" w:rsidRPr="00016113" w:rsidRDefault="00F95A12" w:rsidP="00F95A12">
            <w:pPr>
              <w:jc w:val="both"/>
              <w:rPr>
                <w:sz w:val="20"/>
                <w:lang w:val="en-CA"/>
              </w:rPr>
            </w:pPr>
          </w:p>
        </w:tc>
        <w:tc>
          <w:tcPr>
            <w:tcW w:w="2330" w:type="pct"/>
          </w:tcPr>
          <w:p w:rsidR="00F95A12" w:rsidRPr="00016113" w:rsidRDefault="00F95A12" w:rsidP="00F95A12">
            <w:pPr>
              <w:jc w:val="both"/>
              <w:rPr>
                <w:sz w:val="20"/>
                <w:lang w:val="en-CA"/>
              </w:rPr>
            </w:pPr>
            <w:r w:rsidRPr="00016113">
              <w:rPr>
                <w:sz w:val="20"/>
                <w:lang w:val="en-CA"/>
              </w:rPr>
              <w:t>Application for leave to appeal filed</w:t>
            </w:r>
          </w:p>
          <w:p w:rsidR="00F95A12" w:rsidRPr="00016113" w:rsidRDefault="00F95A12" w:rsidP="00F95A12">
            <w:pPr>
              <w:jc w:val="both"/>
              <w:rPr>
                <w:sz w:val="20"/>
                <w:lang w:val="en-CA"/>
              </w:rPr>
            </w:pPr>
          </w:p>
        </w:tc>
      </w:tr>
    </w:tbl>
    <w:p w:rsidR="00F95A12" w:rsidRPr="00016113" w:rsidRDefault="00F95A12" w:rsidP="00F95A12">
      <w:pPr>
        <w:jc w:val="both"/>
        <w:rPr>
          <w:sz w:val="20"/>
          <w:lang w:val="en-CA"/>
        </w:rPr>
      </w:pPr>
    </w:p>
    <w:p w:rsidR="00F95A12" w:rsidRPr="00016113" w:rsidRDefault="00F95A12" w:rsidP="00F95A12">
      <w:pPr>
        <w:jc w:val="both"/>
        <w:rPr>
          <w:sz w:val="20"/>
          <w:lang w:val="en-CA"/>
        </w:rPr>
      </w:pPr>
      <w:r w:rsidRPr="00016113">
        <w:rPr>
          <w:sz w:val="20"/>
        </w:rPr>
        <w:pict>
          <v:rect id="_x0000_i1029" style="width:2in;height:1pt" o:hrpct="0" o:hralign="center" o:hrstd="t" o:hrnoshade="t" o:hr="t" fillcolor="black [3213]" stroked="f"/>
        </w:pict>
      </w:r>
    </w:p>
    <w:p w:rsidR="00F95A12" w:rsidRPr="00016113" w:rsidRDefault="00F95A12" w:rsidP="00F95A12">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95A12" w:rsidRPr="00016113" w:rsidTr="00F95A12">
        <w:tc>
          <w:tcPr>
            <w:tcW w:w="543" w:type="pct"/>
          </w:tcPr>
          <w:p w:rsidR="00F95A12" w:rsidRPr="00016113" w:rsidRDefault="00F95A12" w:rsidP="00F95A12">
            <w:pPr>
              <w:jc w:val="both"/>
              <w:rPr>
                <w:sz w:val="20"/>
              </w:rPr>
            </w:pPr>
            <w:r w:rsidRPr="00016113">
              <w:rPr>
                <w:rStyle w:val="SCCFileNumberChar"/>
                <w:sz w:val="20"/>
                <w:szCs w:val="20"/>
              </w:rPr>
              <w:t>39074</w:t>
            </w:r>
          </w:p>
        </w:tc>
        <w:tc>
          <w:tcPr>
            <w:tcW w:w="4457" w:type="pct"/>
            <w:gridSpan w:val="3"/>
          </w:tcPr>
          <w:p w:rsidR="00F95A12" w:rsidRPr="00016113" w:rsidRDefault="00F95A12" w:rsidP="00F95A12">
            <w:pPr>
              <w:pStyle w:val="SCCLsocParty"/>
              <w:jc w:val="both"/>
              <w:rPr>
                <w:b/>
                <w:sz w:val="20"/>
                <w:szCs w:val="20"/>
              </w:rPr>
            </w:pPr>
            <w:r w:rsidRPr="00016113">
              <w:rPr>
                <w:b/>
                <w:sz w:val="20"/>
                <w:szCs w:val="20"/>
              </w:rPr>
              <w:t>Sa Majesté la Reine c. Marino Conti</w:t>
            </w:r>
          </w:p>
          <w:p w:rsidR="00F95A12" w:rsidRPr="00016113" w:rsidRDefault="00F95A12" w:rsidP="00F95A12">
            <w:pPr>
              <w:jc w:val="both"/>
              <w:rPr>
                <w:sz w:val="20"/>
              </w:rPr>
            </w:pPr>
            <w:r w:rsidRPr="00016113">
              <w:rPr>
                <w:sz w:val="20"/>
              </w:rPr>
              <w:t>(Qc) (Criminelle) (Autorisation)</w:t>
            </w:r>
          </w:p>
        </w:tc>
      </w:tr>
      <w:tr w:rsidR="00F95A12" w:rsidRPr="00016113" w:rsidTr="00F95A12">
        <w:tc>
          <w:tcPr>
            <w:tcW w:w="5000" w:type="pct"/>
            <w:gridSpan w:val="4"/>
          </w:tcPr>
          <w:p w:rsidR="00F95A12" w:rsidRPr="00016113" w:rsidRDefault="00F95A12" w:rsidP="00F95A12">
            <w:pPr>
              <w:jc w:val="both"/>
              <w:rPr>
                <w:sz w:val="20"/>
              </w:rPr>
            </w:pPr>
            <w:r w:rsidRPr="00016113">
              <w:rPr>
                <w:sz w:val="20"/>
                <w:lang w:val="fr-CA"/>
              </w:rPr>
              <w:t xml:space="preserve">Droit criminel — Détermination de la peine — Usage d’une arme à feu lors de la perpétration d’une infraction — Peines concurrentes ou consécutives — Principes de la proportionnalité et de la totalité — Série d’infractions commises dans le but de satisfaire dépendance à la drogue —Intimé condamné à une peine totale de huit ans d’emprisonnement — Cour d’appel intervient pour réduire peine à quatre ans — </w:t>
            </w:r>
            <w:r w:rsidRPr="00016113">
              <w:rPr>
                <w:color w:val="000000"/>
                <w:sz w:val="20"/>
                <w:lang w:val="fr-CA"/>
              </w:rPr>
              <w:t xml:space="preserve">Le par. 85(4) du </w:t>
            </w:r>
            <w:r w:rsidRPr="00016113">
              <w:rPr>
                <w:i/>
                <w:color w:val="000000"/>
                <w:sz w:val="20"/>
                <w:lang w:val="fr-CA"/>
              </w:rPr>
              <w:t>Code criminel</w:t>
            </w:r>
            <w:r w:rsidRPr="00016113">
              <w:rPr>
                <w:color w:val="000000"/>
                <w:sz w:val="20"/>
                <w:lang w:val="fr-CA"/>
              </w:rPr>
              <w:t xml:space="preserve"> permet</w:t>
            </w:r>
            <w:r w:rsidRPr="00016113">
              <w:rPr>
                <w:color w:val="000000"/>
                <w:sz w:val="20"/>
                <w:lang w:val="fr-CA"/>
              </w:rPr>
              <w:noBreakHyphen/>
              <w:t xml:space="preserve">il l’imposition de peines concurrentes pour sanctionner à la fois plusieurs infractions y étant mentionnées? — Comment doivent être conciliées les versions francophone et anglophone du par. 85(4) du </w:t>
            </w:r>
            <w:r w:rsidRPr="00016113">
              <w:rPr>
                <w:i/>
                <w:color w:val="000000"/>
                <w:sz w:val="20"/>
                <w:lang w:val="fr-CA"/>
              </w:rPr>
              <w:t>Code criminel</w:t>
            </w:r>
            <w:r w:rsidRPr="00016113">
              <w:rPr>
                <w:color w:val="000000"/>
                <w:sz w:val="20"/>
                <w:lang w:val="fr-CA"/>
              </w:rPr>
              <w:t xml:space="preserve"> dans l’identification des peines qui doivent être consécutives à celles infligées pour sanctionner les infractions qui y sont prévues? — L’intention du législateur exprimée au </w:t>
            </w:r>
            <w:proofErr w:type="spellStart"/>
            <w:r w:rsidRPr="00016113">
              <w:rPr>
                <w:color w:val="000000"/>
                <w:sz w:val="20"/>
                <w:lang w:val="fr-CA"/>
              </w:rPr>
              <w:t>par</w:t>
            </w:r>
            <w:proofErr w:type="spellEnd"/>
            <w:r w:rsidRPr="00016113">
              <w:rPr>
                <w:color w:val="000000"/>
                <w:sz w:val="20"/>
                <w:lang w:val="fr-CA"/>
              </w:rPr>
              <w:t xml:space="preserve">. 85(4) du </w:t>
            </w:r>
            <w:r w:rsidRPr="00016113">
              <w:rPr>
                <w:i/>
                <w:color w:val="000000"/>
                <w:sz w:val="20"/>
                <w:lang w:val="fr-CA"/>
              </w:rPr>
              <w:t>Code criminel</w:t>
            </w:r>
            <w:r w:rsidRPr="00016113">
              <w:rPr>
                <w:color w:val="000000"/>
                <w:sz w:val="20"/>
                <w:lang w:val="fr-CA"/>
              </w:rPr>
              <w:t>, selon laquelle la commission d’une infraction criminelle avec une arme à feu doit être sanctionnée par une peine consécutive, l’emporte</w:t>
            </w:r>
            <w:r w:rsidRPr="00016113">
              <w:rPr>
                <w:color w:val="000000"/>
                <w:sz w:val="20"/>
                <w:lang w:val="fr-CA"/>
              </w:rPr>
              <w:noBreakHyphen/>
              <w:t>t</w:t>
            </w:r>
            <w:r w:rsidRPr="00016113">
              <w:rPr>
                <w:color w:val="000000"/>
                <w:sz w:val="20"/>
                <w:lang w:val="fr-CA"/>
              </w:rPr>
              <w:noBreakHyphen/>
              <w:t xml:space="preserve">elle sur le principe général de détermination de la peine prévu à l’al. 718.2c) du </w:t>
            </w:r>
            <w:r w:rsidRPr="00016113">
              <w:rPr>
                <w:i/>
                <w:color w:val="000000"/>
                <w:sz w:val="20"/>
                <w:lang w:val="fr-CA"/>
              </w:rPr>
              <w:t>Code criminel</w:t>
            </w:r>
            <w:r w:rsidRPr="00016113">
              <w:rPr>
                <w:color w:val="000000"/>
                <w:sz w:val="20"/>
                <w:lang w:val="fr-CA"/>
              </w:rPr>
              <w:t xml:space="preserve">? — Quelles sont les conditions d’application de la théorie de la virée criminelle permettant à un juge d’imposer des peines concurrentes pour des événements distincts? — Quelle est la norme d’intervention d’une cour d’appel à l’égard de la détermination de la peine? — </w:t>
            </w:r>
            <w:r w:rsidRPr="00016113">
              <w:rPr>
                <w:i/>
                <w:color w:val="000000"/>
                <w:sz w:val="20"/>
                <w:lang w:val="fr-CA"/>
              </w:rPr>
              <w:t>Code criminel</w:t>
            </w:r>
            <w:r w:rsidRPr="00016113">
              <w:rPr>
                <w:color w:val="000000"/>
                <w:sz w:val="20"/>
                <w:lang w:val="fr-CA"/>
              </w:rPr>
              <w:t>, L.R.C. (1985), c. C</w:t>
            </w:r>
            <w:r w:rsidRPr="00016113">
              <w:rPr>
                <w:color w:val="000000"/>
                <w:sz w:val="20"/>
                <w:lang w:val="fr-CA"/>
              </w:rPr>
              <w:noBreakHyphen/>
              <w:t>46, arts. </w:t>
            </w:r>
            <w:r w:rsidRPr="00016113">
              <w:rPr>
                <w:color w:val="000000"/>
                <w:sz w:val="20"/>
              </w:rPr>
              <w:t>85(4), 718.1 et 718.2.</w:t>
            </w:r>
          </w:p>
        </w:tc>
      </w:tr>
      <w:tr w:rsidR="00F95A12" w:rsidRPr="00016113" w:rsidTr="00F95A12">
        <w:tc>
          <w:tcPr>
            <w:tcW w:w="5000" w:type="pct"/>
            <w:gridSpan w:val="4"/>
          </w:tcPr>
          <w:p w:rsidR="00F95A12" w:rsidRPr="00016113" w:rsidRDefault="00F95A12" w:rsidP="00F95A12">
            <w:pPr>
              <w:jc w:val="both"/>
              <w:rPr>
                <w:sz w:val="20"/>
              </w:rPr>
            </w:pPr>
          </w:p>
        </w:tc>
      </w:tr>
      <w:tr w:rsidR="00F95A12" w:rsidRPr="00016113" w:rsidTr="00F95A12">
        <w:tc>
          <w:tcPr>
            <w:tcW w:w="5000" w:type="pct"/>
            <w:gridSpan w:val="4"/>
          </w:tcPr>
          <w:p w:rsidR="00F95A12" w:rsidRPr="00016113" w:rsidRDefault="00F95A12" w:rsidP="00F95A12">
            <w:pPr>
              <w:jc w:val="both"/>
              <w:rPr>
                <w:sz w:val="20"/>
                <w:lang w:val="fr-CA"/>
              </w:rPr>
            </w:pPr>
            <w:r w:rsidRPr="00016113">
              <w:rPr>
                <w:sz w:val="20"/>
                <w:lang w:val="fr-CA"/>
              </w:rPr>
              <w:t xml:space="preserve">L’intimé, M. Conti, a commis une série d’infractions, d’abord en 2014, et ensuite en 2017. Il a plaidé coupable à treize chefs d’accusation, ventilés comme suit : sept pour vol qualifié; trois pour usage d’une fausse arme à feu dans la perpétration d’un vol qualifié; deux pour vol ne dépassant pas 5 000 $; et un pour voies de fait. La Cour du Québec a condamné l’intimé à huit ans d’emprisonnement, ayant condamné ce dernier à plusieurs peines consécutives. Pour les chefs d’accusation impliquant l’usage d’une fausse arme à feu, la cour a imposé trois peines minimales obligatoires d’un an consécutives entre elles. La Cour d’appel est intervenue pour réduire la peine d’emprisonnement à quatre ans, étant d’avis que la peine était nettement excessive dans les circonstances. Les infractions commises en 2014 et en 2017, respectivement, auraient dû être traitées comme faisant partie de la même transaction criminelle commandant l’imposition de peines concurrentes entre elles. Qui plus est, les trois peines minimales obligatoires d’un an pour l’utilisation d’une fausse arme à feu auraient plutôt dû être concurrentes entre elles. Même si l’utilisation d’une arme à feu dans la perpétration d’un vol qualifié fait appel à des peines minimales obligatoires, les principes généraux de détermination de la peine s’appliquent tout autant. </w:t>
            </w:r>
          </w:p>
          <w:p w:rsidR="00F95A12" w:rsidRPr="00016113" w:rsidRDefault="00F95A12" w:rsidP="00F95A12">
            <w:pPr>
              <w:jc w:val="both"/>
              <w:rPr>
                <w:sz w:val="20"/>
                <w:lang w:val="fr-CA"/>
              </w:rPr>
            </w:pPr>
          </w:p>
        </w:tc>
      </w:tr>
      <w:tr w:rsidR="00F95A12" w:rsidRPr="00016113" w:rsidTr="00F95A12">
        <w:tc>
          <w:tcPr>
            <w:tcW w:w="2427" w:type="pct"/>
            <w:gridSpan w:val="2"/>
          </w:tcPr>
          <w:p w:rsidR="00F95A12" w:rsidRPr="00016113" w:rsidRDefault="00F95A12" w:rsidP="00F95A12">
            <w:pPr>
              <w:jc w:val="both"/>
              <w:rPr>
                <w:sz w:val="20"/>
                <w:lang w:val="fr-CA"/>
              </w:rPr>
            </w:pPr>
            <w:r w:rsidRPr="00016113">
              <w:rPr>
                <w:sz w:val="20"/>
                <w:lang w:val="fr-CA"/>
              </w:rPr>
              <w:t>Le 13 septembre 2018</w:t>
            </w:r>
          </w:p>
          <w:p w:rsidR="00F95A12" w:rsidRPr="00016113" w:rsidRDefault="00F95A12" w:rsidP="00F95A12">
            <w:pPr>
              <w:jc w:val="both"/>
              <w:rPr>
                <w:sz w:val="20"/>
                <w:lang w:val="fr-CA"/>
              </w:rPr>
            </w:pPr>
            <w:r w:rsidRPr="00016113">
              <w:rPr>
                <w:sz w:val="20"/>
                <w:lang w:val="fr-CA"/>
              </w:rPr>
              <w:t>Cour du Québec</w:t>
            </w:r>
          </w:p>
          <w:p w:rsidR="00F95A12" w:rsidRPr="00016113" w:rsidRDefault="00F95A12" w:rsidP="00F95A12">
            <w:pPr>
              <w:jc w:val="both"/>
              <w:rPr>
                <w:sz w:val="20"/>
                <w:lang w:val="fr-CA"/>
              </w:rPr>
            </w:pPr>
            <w:r w:rsidRPr="00016113">
              <w:rPr>
                <w:sz w:val="20"/>
                <w:lang w:val="fr-CA"/>
              </w:rPr>
              <w:t xml:space="preserve">(la juge </w:t>
            </w:r>
            <w:proofErr w:type="spellStart"/>
            <w:r w:rsidRPr="00016113">
              <w:rPr>
                <w:sz w:val="20"/>
                <w:lang w:val="fr-CA"/>
              </w:rPr>
              <w:t>Despots</w:t>
            </w:r>
            <w:proofErr w:type="spellEnd"/>
            <w:r w:rsidRPr="00016113">
              <w:rPr>
                <w:sz w:val="20"/>
                <w:lang w:val="fr-CA"/>
              </w:rPr>
              <w:t>)</w:t>
            </w:r>
          </w:p>
          <w:p w:rsidR="00F95A12" w:rsidRPr="00016113" w:rsidRDefault="00F95A12" w:rsidP="00F95A12">
            <w:pPr>
              <w:jc w:val="both"/>
              <w:rPr>
                <w:sz w:val="20"/>
                <w:lang w:val="fr-CA"/>
              </w:rPr>
            </w:pPr>
          </w:p>
        </w:tc>
        <w:tc>
          <w:tcPr>
            <w:tcW w:w="243" w:type="pct"/>
          </w:tcPr>
          <w:p w:rsidR="00F95A12" w:rsidRPr="00016113" w:rsidRDefault="00F95A12" w:rsidP="00F95A12">
            <w:pPr>
              <w:jc w:val="both"/>
              <w:rPr>
                <w:sz w:val="20"/>
                <w:lang w:val="fr-CA"/>
              </w:rPr>
            </w:pPr>
          </w:p>
        </w:tc>
        <w:tc>
          <w:tcPr>
            <w:tcW w:w="2330" w:type="pct"/>
          </w:tcPr>
          <w:p w:rsidR="00F95A12" w:rsidRPr="00016113" w:rsidRDefault="00F95A12" w:rsidP="00F95A12">
            <w:pPr>
              <w:jc w:val="both"/>
              <w:rPr>
                <w:sz w:val="20"/>
                <w:lang w:val="fr-CA"/>
              </w:rPr>
            </w:pPr>
            <w:r w:rsidRPr="00016113">
              <w:rPr>
                <w:sz w:val="20"/>
                <w:lang w:val="fr-CA"/>
              </w:rPr>
              <w:t>Intimé condamné à peine globale de huit ans d’emprisonnement</w:t>
            </w:r>
          </w:p>
          <w:p w:rsidR="00F95A12" w:rsidRPr="00016113" w:rsidRDefault="00F95A12" w:rsidP="00F95A12">
            <w:pPr>
              <w:jc w:val="both"/>
              <w:rPr>
                <w:sz w:val="20"/>
                <w:lang w:val="fr-CA"/>
              </w:rPr>
            </w:pPr>
          </w:p>
        </w:tc>
      </w:tr>
      <w:tr w:rsidR="00F95A12" w:rsidRPr="00016113" w:rsidTr="00F95A12">
        <w:tc>
          <w:tcPr>
            <w:tcW w:w="2427" w:type="pct"/>
            <w:gridSpan w:val="2"/>
          </w:tcPr>
          <w:p w:rsidR="00F95A12" w:rsidRPr="00016113" w:rsidRDefault="00F95A12" w:rsidP="00F95A12">
            <w:pPr>
              <w:jc w:val="both"/>
              <w:rPr>
                <w:sz w:val="20"/>
                <w:lang w:val="fr-CA"/>
              </w:rPr>
            </w:pPr>
            <w:r w:rsidRPr="00016113">
              <w:rPr>
                <w:sz w:val="20"/>
                <w:lang w:val="fr-CA"/>
              </w:rPr>
              <w:t>Le 5 décembre 2019</w:t>
            </w:r>
          </w:p>
          <w:p w:rsidR="00F95A12" w:rsidRPr="00016113" w:rsidRDefault="00F95A12" w:rsidP="00F95A12">
            <w:pPr>
              <w:jc w:val="both"/>
              <w:rPr>
                <w:sz w:val="20"/>
                <w:lang w:val="fr-CA"/>
              </w:rPr>
            </w:pPr>
            <w:r w:rsidRPr="00016113">
              <w:rPr>
                <w:sz w:val="20"/>
                <w:lang w:val="fr-CA"/>
              </w:rPr>
              <w:t>Cour d’appel du Québec (Montréal)</w:t>
            </w:r>
          </w:p>
          <w:p w:rsidR="00F95A12" w:rsidRPr="00016113" w:rsidRDefault="00F95A12" w:rsidP="00F95A12">
            <w:pPr>
              <w:jc w:val="both"/>
              <w:rPr>
                <w:sz w:val="20"/>
                <w:lang w:val="fr-CA"/>
              </w:rPr>
            </w:pPr>
            <w:r w:rsidRPr="00016113">
              <w:rPr>
                <w:sz w:val="20"/>
                <w:lang w:val="fr-CA"/>
              </w:rPr>
              <w:t xml:space="preserve">(les juges </w:t>
            </w:r>
            <w:proofErr w:type="spellStart"/>
            <w:r w:rsidRPr="00016113">
              <w:rPr>
                <w:sz w:val="20"/>
                <w:lang w:val="fr-CA"/>
              </w:rPr>
              <w:t>Dutil</w:t>
            </w:r>
            <w:proofErr w:type="spellEnd"/>
            <w:r w:rsidRPr="00016113">
              <w:rPr>
                <w:sz w:val="20"/>
                <w:lang w:val="fr-CA"/>
              </w:rPr>
              <w:t xml:space="preserve">, Bouchard et </w:t>
            </w:r>
            <w:proofErr w:type="spellStart"/>
            <w:r w:rsidRPr="00016113">
              <w:rPr>
                <w:sz w:val="20"/>
                <w:lang w:val="fr-CA"/>
              </w:rPr>
              <w:t>Sansfaçon</w:t>
            </w:r>
            <w:proofErr w:type="spellEnd"/>
            <w:r w:rsidRPr="00016113">
              <w:rPr>
                <w:sz w:val="20"/>
                <w:lang w:val="fr-CA"/>
              </w:rPr>
              <w:t>)</w:t>
            </w:r>
          </w:p>
          <w:p w:rsidR="00F95A12" w:rsidRPr="00016113" w:rsidRDefault="00F95A12" w:rsidP="00F95A12">
            <w:pPr>
              <w:jc w:val="both"/>
              <w:rPr>
                <w:sz w:val="20"/>
              </w:rPr>
            </w:pPr>
            <w:r w:rsidRPr="00016113">
              <w:rPr>
                <w:sz w:val="20"/>
              </w:rPr>
              <w:t>No. dossier 500</w:t>
            </w:r>
            <w:r w:rsidRPr="00016113">
              <w:rPr>
                <w:sz w:val="20"/>
              </w:rPr>
              <w:noBreakHyphen/>
              <w:t>10</w:t>
            </w:r>
            <w:r w:rsidRPr="00016113">
              <w:rPr>
                <w:sz w:val="20"/>
              </w:rPr>
              <w:noBreakHyphen/>
              <w:t>006878</w:t>
            </w:r>
            <w:r w:rsidRPr="00016113">
              <w:rPr>
                <w:sz w:val="20"/>
              </w:rPr>
              <w:noBreakHyphen/>
              <w:t>183</w:t>
            </w:r>
          </w:p>
          <w:p w:rsidR="00F95A12" w:rsidRPr="00016113" w:rsidRDefault="00F95A12" w:rsidP="00F95A12">
            <w:pPr>
              <w:jc w:val="both"/>
              <w:rPr>
                <w:sz w:val="20"/>
              </w:rPr>
            </w:pPr>
            <w:hyperlink r:id="rId22" w:history="1">
              <w:r w:rsidRPr="00016113">
                <w:rPr>
                  <w:rStyle w:val="Hyperlink"/>
                  <w:sz w:val="20"/>
                </w:rPr>
                <w:t>2019 QCCA 2108</w:t>
              </w:r>
            </w:hyperlink>
          </w:p>
          <w:p w:rsidR="00F95A12" w:rsidRPr="00016113" w:rsidRDefault="00F95A12" w:rsidP="00F95A12">
            <w:pPr>
              <w:jc w:val="both"/>
              <w:rPr>
                <w:sz w:val="20"/>
              </w:rPr>
            </w:pPr>
          </w:p>
        </w:tc>
        <w:tc>
          <w:tcPr>
            <w:tcW w:w="243" w:type="pct"/>
          </w:tcPr>
          <w:p w:rsidR="00F95A12" w:rsidRPr="00016113" w:rsidRDefault="00F95A12" w:rsidP="00F95A12">
            <w:pPr>
              <w:jc w:val="both"/>
              <w:rPr>
                <w:sz w:val="20"/>
              </w:rPr>
            </w:pPr>
          </w:p>
        </w:tc>
        <w:tc>
          <w:tcPr>
            <w:tcW w:w="2330" w:type="pct"/>
          </w:tcPr>
          <w:p w:rsidR="00F95A12" w:rsidRPr="00016113" w:rsidRDefault="00F95A12" w:rsidP="00F95A12">
            <w:pPr>
              <w:jc w:val="both"/>
              <w:rPr>
                <w:sz w:val="20"/>
                <w:lang w:val="fr-CA"/>
              </w:rPr>
            </w:pPr>
            <w:r w:rsidRPr="00016113">
              <w:rPr>
                <w:sz w:val="20"/>
                <w:lang w:val="fr-CA"/>
              </w:rPr>
              <w:t xml:space="preserve">Requête pour permission d’appeler accueillie; appel accueilli en partie; jugement de première instance infirmé en partie; intimé condamné à peine globale de quatre ans d’emprisonnement </w:t>
            </w:r>
          </w:p>
          <w:p w:rsidR="00F95A12" w:rsidRPr="00016113" w:rsidRDefault="00F95A12" w:rsidP="00F95A12">
            <w:pPr>
              <w:jc w:val="both"/>
              <w:rPr>
                <w:sz w:val="20"/>
                <w:lang w:val="fr-CA"/>
              </w:rPr>
            </w:pPr>
          </w:p>
          <w:p w:rsidR="00F95A12" w:rsidRPr="00016113" w:rsidRDefault="00F95A12" w:rsidP="00F95A12">
            <w:pPr>
              <w:jc w:val="both"/>
              <w:rPr>
                <w:sz w:val="20"/>
                <w:lang w:val="fr-CA"/>
              </w:rPr>
            </w:pPr>
          </w:p>
        </w:tc>
      </w:tr>
      <w:tr w:rsidR="00F95A12" w:rsidRPr="00016113" w:rsidTr="00F95A12">
        <w:tc>
          <w:tcPr>
            <w:tcW w:w="2427" w:type="pct"/>
            <w:gridSpan w:val="2"/>
          </w:tcPr>
          <w:p w:rsidR="00F95A12" w:rsidRPr="00016113" w:rsidRDefault="00F95A12" w:rsidP="00F95A12">
            <w:pPr>
              <w:jc w:val="both"/>
              <w:rPr>
                <w:sz w:val="20"/>
                <w:lang w:val="fr-CA"/>
              </w:rPr>
            </w:pPr>
            <w:r w:rsidRPr="00016113">
              <w:rPr>
                <w:sz w:val="20"/>
                <w:lang w:val="fr-CA"/>
              </w:rPr>
              <w:t>Le 14 février 2020</w:t>
            </w:r>
          </w:p>
          <w:p w:rsidR="00F95A12" w:rsidRPr="00016113" w:rsidRDefault="00F95A12" w:rsidP="00F95A12">
            <w:pPr>
              <w:jc w:val="both"/>
              <w:rPr>
                <w:sz w:val="20"/>
                <w:lang w:val="fr-CA"/>
              </w:rPr>
            </w:pPr>
            <w:r w:rsidRPr="00016113">
              <w:rPr>
                <w:sz w:val="20"/>
                <w:lang w:val="fr-CA"/>
              </w:rPr>
              <w:t>Cour suprême du Canada</w:t>
            </w:r>
          </w:p>
        </w:tc>
        <w:tc>
          <w:tcPr>
            <w:tcW w:w="243" w:type="pct"/>
          </w:tcPr>
          <w:p w:rsidR="00F95A12" w:rsidRPr="00016113" w:rsidRDefault="00F95A12" w:rsidP="00F95A12">
            <w:pPr>
              <w:jc w:val="both"/>
              <w:rPr>
                <w:sz w:val="20"/>
                <w:lang w:val="fr-CA"/>
              </w:rPr>
            </w:pPr>
          </w:p>
        </w:tc>
        <w:tc>
          <w:tcPr>
            <w:tcW w:w="2330" w:type="pct"/>
          </w:tcPr>
          <w:p w:rsidR="00F95A12" w:rsidRPr="00016113" w:rsidRDefault="00F95A12" w:rsidP="00F95A12">
            <w:pPr>
              <w:jc w:val="both"/>
              <w:rPr>
                <w:sz w:val="20"/>
              </w:rPr>
            </w:pPr>
            <w:r w:rsidRPr="00016113">
              <w:rPr>
                <w:sz w:val="20"/>
              </w:rPr>
              <w:t>Demande d’autorisation d’appel déposée</w:t>
            </w:r>
          </w:p>
          <w:p w:rsidR="00F95A12" w:rsidRPr="00016113" w:rsidRDefault="00F95A12" w:rsidP="00F95A12">
            <w:pPr>
              <w:jc w:val="both"/>
              <w:rPr>
                <w:sz w:val="20"/>
              </w:rPr>
            </w:pPr>
          </w:p>
        </w:tc>
      </w:tr>
    </w:tbl>
    <w:p w:rsidR="00F95A12" w:rsidRPr="00016113" w:rsidRDefault="00F95A12" w:rsidP="00F95A12">
      <w:pPr>
        <w:jc w:val="both"/>
        <w:rPr>
          <w:sz w:val="20"/>
        </w:rPr>
      </w:pPr>
    </w:p>
    <w:p w:rsidR="00F95A12" w:rsidRPr="00016113" w:rsidRDefault="00F95A12" w:rsidP="00F95A12">
      <w:pPr>
        <w:jc w:val="both"/>
        <w:rPr>
          <w:sz w:val="20"/>
        </w:rPr>
      </w:pPr>
      <w:r w:rsidRPr="00016113">
        <w:rPr>
          <w:sz w:val="20"/>
        </w:rPr>
        <w:pict>
          <v:rect id="_x0000_i1030" style="width:2in;height:1pt" o:hrpct="0" o:hralign="center" o:hrstd="t" o:hrnoshade="t" o:hr="t" fillcolor="black [3213]" stroked="f"/>
        </w:pict>
      </w:r>
    </w:p>
    <w:p w:rsidR="00ED59AD" w:rsidRPr="00016113" w:rsidRDefault="00ED59AD" w:rsidP="00F95A12">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95A12" w:rsidRPr="00016113" w:rsidTr="00F95A12">
        <w:tc>
          <w:tcPr>
            <w:tcW w:w="543" w:type="pct"/>
          </w:tcPr>
          <w:p w:rsidR="00F95A12" w:rsidRPr="00016113" w:rsidRDefault="00F95A12" w:rsidP="00F95A12">
            <w:pPr>
              <w:jc w:val="both"/>
              <w:rPr>
                <w:sz w:val="20"/>
                <w:lang w:val="en-CA"/>
              </w:rPr>
            </w:pPr>
            <w:r w:rsidRPr="00016113">
              <w:rPr>
                <w:rStyle w:val="SCCFileNumberChar"/>
                <w:sz w:val="20"/>
                <w:szCs w:val="20"/>
              </w:rPr>
              <w:t>39173</w:t>
            </w:r>
          </w:p>
        </w:tc>
        <w:tc>
          <w:tcPr>
            <w:tcW w:w="4457" w:type="pct"/>
            <w:gridSpan w:val="3"/>
          </w:tcPr>
          <w:p w:rsidR="00F95A12" w:rsidRPr="00016113" w:rsidRDefault="00F95A12" w:rsidP="00F95A12">
            <w:pPr>
              <w:pStyle w:val="SCCLsocParty"/>
              <w:jc w:val="both"/>
              <w:rPr>
                <w:b/>
                <w:sz w:val="20"/>
                <w:szCs w:val="20"/>
                <w:lang w:val="en-CA"/>
              </w:rPr>
            </w:pPr>
            <w:r w:rsidRPr="00016113">
              <w:rPr>
                <w:b/>
                <w:sz w:val="20"/>
                <w:szCs w:val="20"/>
                <w:lang w:val="en-CA"/>
              </w:rPr>
              <w:t>Jean-Guy St-Pierre v. Chantal Thibault</w:t>
            </w:r>
          </w:p>
          <w:p w:rsidR="00F95A12" w:rsidRPr="00016113" w:rsidRDefault="00F95A12" w:rsidP="00F95A12">
            <w:pPr>
              <w:jc w:val="both"/>
              <w:rPr>
                <w:sz w:val="20"/>
                <w:lang w:val="en-CA"/>
              </w:rPr>
            </w:pPr>
            <w:r w:rsidRPr="00016113">
              <w:rPr>
                <w:sz w:val="20"/>
                <w:lang w:val="en-CA"/>
              </w:rPr>
              <w:t>(Que.) (Civil) (By Leave)</w:t>
            </w:r>
          </w:p>
        </w:tc>
      </w:tr>
      <w:tr w:rsidR="00F95A12" w:rsidRPr="00016113" w:rsidTr="00F95A12">
        <w:tc>
          <w:tcPr>
            <w:tcW w:w="5000" w:type="pct"/>
            <w:gridSpan w:val="4"/>
          </w:tcPr>
          <w:p w:rsidR="00F95A12" w:rsidRPr="00016113" w:rsidRDefault="00F95A12" w:rsidP="00F95A12">
            <w:pPr>
              <w:pStyle w:val="SCCBanSummary"/>
              <w:rPr>
                <w:smallCaps w:val="0"/>
                <w:sz w:val="20"/>
                <w:szCs w:val="20"/>
              </w:rPr>
            </w:pPr>
            <w:r w:rsidRPr="00016113">
              <w:rPr>
                <w:smallCaps w:val="0"/>
                <w:sz w:val="20"/>
                <w:szCs w:val="20"/>
              </w:rPr>
              <w:t xml:space="preserve">Contracts — Deed of gift — Synallagmatic contract — Mutual obligation of assistance — Fraud — Feigning of romantic feelings — Seeking of intention of parties to contract — Cause of contract — Whether agreement entered into by parties constitutes outright gift within meaning of art. 1806 of </w:t>
            </w:r>
            <w:r w:rsidRPr="00016113">
              <w:rPr>
                <w:i/>
                <w:smallCaps w:val="0"/>
                <w:sz w:val="20"/>
                <w:szCs w:val="20"/>
              </w:rPr>
              <w:t>Civil Code of Québec</w:t>
            </w:r>
            <w:r w:rsidRPr="00016113">
              <w:rPr>
                <w:smallCaps w:val="0"/>
                <w:sz w:val="20"/>
                <w:szCs w:val="20"/>
              </w:rPr>
              <w:t xml:space="preserve"> — Whether courts below erred in applying art. 1410 of </w:t>
            </w:r>
            <w:r w:rsidRPr="00016113">
              <w:rPr>
                <w:i/>
                <w:smallCaps w:val="0"/>
                <w:sz w:val="20"/>
                <w:szCs w:val="20"/>
              </w:rPr>
              <w:t>Civil Code of Québec</w:t>
            </w:r>
            <w:r w:rsidRPr="00016113">
              <w:rPr>
                <w:smallCaps w:val="0"/>
                <w:sz w:val="20"/>
                <w:szCs w:val="20"/>
              </w:rPr>
              <w:t xml:space="preserve"> with respect to seeking of parties’ intention — Whether criteria usually applied by courts to determine whether there was fraud must be broadened to take account of events occurring before parties negotiated and after agreement was signed, in context of </w:t>
            </w:r>
            <w:r w:rsidRPr="00016113">
              <w:rPr>
                <w:i/>
                <w:smallCaps w:val="0"/>
                <w:sz w:val="20"/>
                <w:szCs w:val="20"/>
              </w:rPr>
              <w:t>de facto</w:t>
            </w:r>
            <w:r w:rsidRPr="00016113">
              <w:rPr>
                <w:smallCaps w:val="0"/>
                <w:sz w:val="20"/>
                <w:szCs w:val="20"/>
              </w:rPr>
              <w:t xml:space="preserve"> union with undertakings — </w:t>
            </w:r>
            <w:r w:rsidRPr="00016113">
              <w:rPr>
                <w:i/>
                <w:smallCaps w:val="0"/>
                <w:sz w:val="20"/>
                <w:szCs w:val="20"/>
              </w:rPr>
              <w:t>Civil Code of Québec</w:t>
            </w:r>
            <w:r w:rsidRPr="00016113">
              <w:rPr>
                <w:smallCaps w:val="0"/>
                <w:sz w:val="20"/>
                <w:szCs w:val="20"/>
              </w:rPr>
              <w:t>, CQLR, c. CCQ</w:t>
            </w:r>
            <w:r w:rsidRPr="00016113">
              <w:rPr>
                <w:smallCaps w:val="0"/>
                <w:sz w:val="20"/>
                <w:szCs w:val="20"/>
              </w:rPr>
              <w:noBreakHyphen/>
              <w:t>1991, arts. 1407, 1410 and 1806.</w:t>
            </w:r>
          </w:p>
        </w:tc>
      </w:tr>
      <w:tr w:rsidR="00F95A12" w:rsidRPr="00016113" w:rsidTr="00F95A12">
        <w:tc>
          <w:tcPr>
            <w:tcW w:w="5000" w:type="pct"/>
            <w:gridSpan w:val="4"/>
          </w:tcPr>
          <w:p w:rsidR="00F95A12" w:rsidRPr="00016113" w:rsidRDefault="00F95A12" w:rsidP="00F95A12">
            <w:pPr>
              <w:jc w:val="both"/>
              <w:rPr>
                <w:sz w:val="20"/>
                <w:lang w:val="en-CA"/>
              </w:rPr>
            </w:pPr>
          </w:p>
        </w:tc>
      </w:tr>
      <w:tr w:rsidR="00F95A12" w:rsidRPr="00016113" w:rsidTr="00F95A12">
        <w:tc>
          <w:tcPr>
            <w:tcW w:w="5000" w:type="pct"/>
            <w:gridSpan w:val="4"/>
          </w:tcPr>
          <w:p w:rsidR="00F95A12" w:rsidRPr="00016113" w:rsidRDefault="00F95A12" w:rsidP="00F95A12">
            <w:pPr>
              <w:jc w:val="both"/>
              <w:rPr>
                <w:sz w:val="20"/>
                <w:lang w:val="en-CA"/>
              </w:rPr>
            </w:pPr>
            <w:r w:rsidRPr="00016113">
              <w:rPr>
                <w:sz w:val="20"/>
                <w:lang w:val="en-CA"/>
              </w:rPr>
              <w:t xml:space="preserve">The case concerns a notarial act by which the applicant bestowed $500,000 on the respondent. The Superior Court dismissed the originating application to annul the juridical act that </w:t>
            </w:r>
            <w:proofErr w:type="gramStart"/>
            <w:r w:rsidRPr="00016113">
              <w:rPr>
                <w:sz w:val="20"/>
                <w:lang w:val="en-CA"/>
              </w:rPr>
              <w:t>had been entered</w:t>
            </w:r>
            <w:proofErr w:type="gramEnd"/>
            <w:r w:rsidRPr="00016113">
              <w:rPr>
                <w:sz w:val="20"/>
                <w:lang w:val="en-CA"/>
              </w:rPr>
              <w:t xml:space="preserve"> into or, in the alternative, to declare that it was resiliated. The court found that the parties in this case had agreed on a gift, not on a synallagmatic contract, and that no condition </w:t>
            </w:r>
            <w:proofErr w:type="gramStart"/>
            <w:r w:rsidRPr="00016113">
              <w:rPr>
                <w:sz w:val="20"/>
                <w:lang w:val="en-CA"/>
              </w:rPr>
              <w:t>was attached</w:t>
            </w:r>
            <w:proofErr w:type="gramEnd"/>
            <w:r w:rsidRPr="00016113">
              <w:rPr>
                <w:sz w:val="20"/>
                <w:lang w:val="en-CA"/>
              </w:rPr>
              <w:t xml:space="preserve"> to the payment of the amount to the respondent. It also found that the application to annul the contract for fraud had to </w:t>
            </w:r>
            <w:proofErr w:type="gramStart"/>
            <w:r w:rsidRPr="00016113">
              <w:rPr>
                <w:sz w:val="20"/>
                <w:lang w:val="en-CA"/>
              </w:rPr>
              <w:t>be dismissed</w:t>
            </w:r>
            <w:proofErr w:type="gramEnd"/>
            <w:r w:rsidRPr="00016113">
              <w:rPr>
                <w:sz w:val="20"/>
                <w:lang w:val="en-CA"/>
              </w:rPr>
              <w:t xml:space="preserve"> because the respondent had not misled the applicant and the applicant had made a free and informed decision. It further found that if the respondent had any obligations, they </w:t>
            </w:r>
            <w:proofErr w:type="gramStart"/>
            <w:r w:rsidRPr="00016113">
              <w:rPr>
                <w:sz w:val="20"/>
                <w:lang w:val="en-CA"/>
              </w:rPr>
              <w:t>had been performed</w:t>
            </w:r>
            <w:proofErr w:type="gramEnd"/>
            <w:r w:rsidRPr="00016113">
              <w:rPr>
                <w:sz w:val="20"/>
                <w:lang w:val="en-CA"/>
              </w:rPr>
              <w:t xml:space="preserve">. The Court of Appeal dismissed the applicant’s appeal because he had failed to show that the trial judge had erred in determining that the contract </w:t>
            </w:r>
            <w:proofErr w:type="gramStart"/>
            <w:r w:rsidRPr="00016113">
              <w:rPr>
                <w:sz w:val="20"/>
                <w:lang w:val="en-CA"/>
              </w:rPr>
              <w:t>should be characterized</w:t>
            </w:r>
            <w:proofErr w:type="gramEnd"/>
            <w:r w:rsidRPr="00016113">
              <w:rPr>
                <w:sz w:val="20"/>
                <w:lang w:val="en-CA"/>
              </w:rPr>
              <w:t xml:space="preserve"> as a gift. It refused to interfere with the trial judge’s assessment of the fraudulent nature of the respondent’s actions on the basis that it was not its role to reassess the evidence. </w:t>
            </w:r>
          </w:p>
          <w:p w:rsidR="00F95A12" w:rsidRPr="00016113" w:rsidRDefault="00F95A12" w:rsidP="00F95A12">
            <w:pPr>
              <w:jc w:val="both"/>
              <w:rPr>
                <w:sz w:val="20"/>
                <w:lang w:val="en-CA"/>
              </w:rPr>
            </w:pPr>
          </w:p>
        </w:tc>
      </w:tr>
      <w:tr w:rsidR="00F95A12" w:rsidRPr="00016113" w:rsidTr="00F95A12">
        <w:tc>
          <w:tcPr>
            <w:tcW w:w="2427" w:type="pct"/>
            <w:gridSpan w:val="2"/>
          </w:tcPr>
          <w:p w:rsidR="00F95A12" w:rsidRPr="00016113" w:rsidRDefault="00F95A12" w:rsidP="00F95A12">
            <w:pPr>
              <w:jc w:val="both"/>
              <w:rPr>
                <w:sz w:val="20"/>
                <w:lang w:val="en-CA"/>
              </w:rPr>
            </w:pPr>
            <w:r w:rsidRPr="00016113">
              <w:rPr>
                <w:sz w:val="20"/>
                <w:lang w:val="en-CA"/>
              </w:rPr>
              <w:t>July 19, 2018</w:t>
            </w:r>
          </w:p>
          <w:p w:rsidR="00F95A12" w:rsidRPr="00016113" w:rsidRDefault="00F95A12" w:rsidP="00F95A12">
            <w:pPr>
              <w:jc w:val="both"/>
              <w:rPr>
                <w:sz w:val="20"/>
                <w:lang w:val="en-CA"/>
              </w:rPr>
            </w:pPr>
            <w:r w:rsidRPr="00016113">
              <w:rPr>
                <w:sz w:val="20"/>
                <w:lang w:val="en-CA"/>
              </w:rPr>
              <w:t>Quebec Superior Court (Québec)</w:t>
            </w:r>
          </w:p>
          <w:p w:rsidR="00F95A12" w:rsidRPr="00016113" w:rsidRDefault="00F95A12" w:rsidP="00F95A12">
            <w:pPr>
              <w:jc w:val="both"/>
              <w:rPr>
                <w:sz w:val="20"/>
                <w:lang w:val="en-CA"/>
              </w:rPr>
            </w:pPr>
            <w:r w:rsidRPr="00016113">
              <w:rPr>
                <w:sz w:val="20"/>
                <w:lang w:val="en-CA"/>
              </w:rPr>
              <w:t>(Francoeur J.)</w:t>
            </w:r>
          </w:p>
          <w:p w:rsidR="00F95A12" w:rsidRPr="00016113" w:rsidRDefault="00F95A12" w:rsidP="00F95A12">
            <w:pPr>
              <w:jc w:val="both"/>
              <w:rPr>
                <w:sz w:val="20"/>
                <w:lang w:val="en-CA"/>
              </w:rPr>
            </w:pPr>
            <w:r w:rsidRPr="00016113">
              <w:rPr>
                <w:sz w:val="20"/>
                <w:lang w:val="en-CA"/>
              </w:rPr>
              <w:t>200</w:t>
            </w:r>
            <w:r w:rsidRPr="00016113">
              <w:rPr>
                <w:sz w:val="20"/>
                <w:lang w:val="en-CA"/>
              </w:rPr>
              <w:noBreakHyphen/>
              <w:t>17</w:t>
            </w:r>
            <w:r w:rsidRPr="00016113">
              <w:rPr>
                <w:sz w:val="20"/>
                <w:lang w:val="en-CA"/>
              </w:rPr>
              <w:noBreakHyphen/>
              <w:t>025699</w:t>
            </w:r>
            <w:r w:rsidRPr="00016113">
              <w:rPr>
                <w:sz w:val="20"/>
                <w:lang w:val="en-CA"/>
              </w:rPr>
              <w:noBreakHyphen/>
              <w:t xml:space="preserve">174 </w:t>
            </w:r>
          </w:p>
          <w:p w:rsidR="00F95A12" w:rsidRPr="00016113" w:rsidRDefault="00F95A12" w:rsidP="00F95A12">
            <w:pPr>
              <w:jc w:val="both"/>
              <w:rPr>
                <w:sz w:val="20"/>
                <w:lang w:val="en-CA"/>
              </w:rPr>
            </w:pPr>
            <w:hyperlink r:id="rId23" w:history="1">
              <w:r w:rsidRPr="00016113">
                <w:rPr>
                  <w:rStyle w:val="Hyperlink"/>
                  <w:sz w:val="20"/>
                  <w:lang w:val="en-CA"/>
                </w:rPr>
                <w:t>2018 QCCS 3797</w:t>
              </w:r>
            </w:hyperlink>
            <w:r w:rsidRPr="00016113">
              <w:rPr>
                <w:sz w:val="20"/>
                <w:lang w:val="en-CA"/>
              </w:rPr>
              <w:t xml:space="preserve"> </w:t>
            </w:r>
          </w:p>
          <w:p w:rsidR="00F95A12" w:rsidRPr="00016113" w:rsidRDefault="00F95A12" w:rsidP="00F95A12">
            <w:pPr>
              <w:jc w:val="both"/>
              <w:rPr>
                <w:sz w:val="20"/>
                <w:lang w:val="en-CA"/>
              </w:rPr>
            </w:pPr>
          </w:p>
        </w:tc>
        <w:tc>
          <w:tcPr>
            <w:tcW w:w="243" w:type="pct"/>
          </w:tcPr>
          <w:p w:rsidR="00F95A12" w:rsidRPr="00016113" w:rsidRDefault="00F95A12" w:rsidP="00F95A12">
            <w:pPr>
              <w:jc w:val="both"/>
              <w:rPr>
                <w:sz w:val="20"/>
                <w:lang w:val="en-CA"/>
              </w:rPr>
            </w:pPr>
          </w:p>
        </w:tc>
        <w:tc>
          <w:tcPr>
            <w:tcW w:w="2330" w:type="pct"/>
          </w:tcPr>
          <w:p w:rsidR="00F95A12" w:rsidRPr="00016113" w:rsidRDefault="00F95A12" w:rsidP="00F95A12">
            <w:pPr>
              <w:jc w:val="both"/>
              <w:rPr>
                <w:sz w:val="20"/>
                <w:lang w:val="en-CA"/>
              </w:rPr>
            </w:pPr>
            <w:r w:rsidRPr="00016113">
              <w:rPr>
                <w:sz w:val="20"/>
                <w:lang w:val="en-CA"/>
              </w:rPr>
              <w:t>Application to annul juridical act dismissed with legal costs; cross</w:t>
            </w:r>
            <w:r w:rsidRPr="00016113">
              <w:rPr>
                <w:sz w:val="20"/>
                <w:lang w:val="en-CA"/>
              </w:rPr>
              <w:noBreakHyphen/>
              <w:t xml:space="preserve">application dismissed </w:t>
            </w:r>
          </w:p>
        </w:tc>
      </w:tr>
      <w:tr w:rsidR="00F95A12" w:rsidRPr="00016113" w:rsidTr="00F95A12">
        <w:tc>
          <w:tcPr>
            <w:tcW w:w="2427" w:type="pct"/>
            <w:gridSpan w:val="2"/>
          </w:tcPr>
          <w:p w:rsidR="00F95A12" w:rsidRPr="00016113" w:rsidRDefault="00F95A12" w:rsidP="00F95A12">
            <w:pPr>
              <w:jc w:val="both"/>
              <w:rPr>
                <w:sz w:val="20"/>
                <w:lang w:val="en-CA"/>
              </w:rPr>
            </w:pPr>
            <w:r w:rsidRPr="00016113">
              <w:rPr>
                <w:sz w:val="20"/>
                <w:lang w:val="en-CA"/>
              </w:rPr>
              <w:t>March 16, 2020</w:t>
            </w:r>
          </w:p>
          <w:p w:rsidR="00F95A12" w:rsidRPr="00016113" w:rsidRDefault="00F95A12" w:rsidP="00F95A12">
            <w:pPr>
              <w:jc w:val="both"/>
              <w:rPr>
                <w:sz w:val="20"/>
                <w:lang w:val="en-CA"/>
              </w:rPr>
            </w:pPr>
            <w:r w:rsidRPr="00016113">
              <w:rPr>
                <w:sz w:val="20"/>
                <w:lang w:val="en-CA"/>
              </w:rPr>
              <w:t>Quebec Court of Appeal (Québec)</w:t>
            </w:r>
          </w:p>
          <w:p w:rsidR="00F95A12" w:rsidRPr="00016113" w:rsidRDefault="00F95A12" w:rsidP="00F95A12">
            <w:pPr>
              <w:jc w:val="both"/>
              <w:rPr>
                <w:sz w:val="20"/>
                <w:lang w:val="en-CA"/>
              </w:rPr>
            </w:pPr>
            <w:r w:rsidRPr="00016113">
              <w:rPr>
                <w:sz w:val="20"/>
                <w:lang w:val="en-CA"/>
              </w:rPr>
              <w:t>(Rancourt, Beaupré and Moore JJ.A.)</w:t>
            </w:r>
          </w:p>
          <w:p w:rsidR="00F95A12" w:rsidRPr="00016113" w:rsidRDefault="00F95A12" w:rsidP="00F95A12">
            <w:pPr>
              <w:jc w:val="both"/>
              <w:rPr>
                <w:sz w:val="20"/>
                <w:lang w:val="en-CA"/>
              </w:rPr>
            </w:pPr>
            <w:r w:rsidRPr="00016113">
              <w:rPr>
                <w:sz w:val="20"/>
                <w:lang w:val="en-CA"/>
              </w:rPr>
              <w:t>200</w:t>
            </w:r>
            <w:r w:rsidRPr="00016113">
              <w:rPr>
                <w:sz w:val="20"/>
                <w:lang w:val="en-CA"/>
              </w:rPr>
              <w:noBreakHyphen/>
              <w:t>09</w:t>
            </w:r>
            <w:r w:rsidRPr="00016113">
              <w:rPr>
                <w:sz w:val="20"/>
                <w:lang w:val="en-CA"/>
              </w:rPr>
              <w:noBreakHyphen/>
              <w:t>009843</w:t>
            </w:r>
            <w:r w:rsidRPr="00016113">
              <w:rPr>
                <w:sz w:val="20"/>
                <w:lang w:val="en-CA"/>
              </w:rPr>
              <w:noBreakHyphen/>
              <w:t xml:space="preserve">183 </w:t>
            </w:r>
          </w:p>
          <w:p w:rsidR="00F95A12" w:rsidRPr="00016113" w:rsidRDefault="00F95A12" w:rsidP="00F95A12">
            <w:pPr>
              <w:jc w:val="both"/>
              <w:rPr>
                <w:sz w:val="20"/>
                <w:lang w:val="en-CA"/>
              </w:rPr>
            </w:pPr>
            <w:hyperlink r:id="rId24" w:history="1">
              <w:r w:rsidRPr="00016113">
                <w:rPr>
                  <w:rStyle w:val="Hyperlink"/>
                  <w:sz w:val="20"/>
                  <w:lang w:val="en-CA"/>
                </w:rPr>
                <w:t>2020 QCCA 425</w:t>
              </w:r>
            </w:hyperlink>
          </w:p>
          <w:p w:rsidR="00F95A12" w:rsidRPr="00016113" w:rsidRDefault="00F95A12" w:rsidP="00F95A12">
            <w:pPr>
              <w:jc w:val="both"/>
              <w:rPr>
                <w:sz w:val="20"/>
                <w:lang w:val="en-CA"/>
              </w:rPr>
            </w:pPr>
          </w:p>
        </w:tc>
        <w:tc>
          <w:tcPr>
            <w:tcW w:w="243" w:type="pct"/>
          </w:tcPr>
          <w:p w:rsidR="00F95A12" w:rsidRPr="00016113" w:rsidRDefault="00F95A12" w:rsidP="00F95A12">
            <w:pPr>
              <w:jc w:val="both"/>
              <w:rPr>
                <w:sz w:val="20"/>
                <w:lang w:val="en-CA"/>
              </w:rPr>
            </w:pPr>
          </w:p>
        </w:tc>
        <w:tc>
          <w:tcPr>
            <w:tcW w:w="2330" w:type="pct"/>
          </w:tcPr>
          <w:p w:rsidR="00F95A12" w:rsidRPr="00016113" w:rsidRDefault="00F95A12" w:rsidP="00F95A12">
            <w:pPr>
              <w:jc w:val="both"/>
              <w:rPr>
                <w:sz w:val="20"/>
                <w:lang w:val="en-CA"/>
              </w:rPr>
            </w:pPr>
            <w:r w:rsidRPr="00016113">
              <w:rPr>
                <w:sz w:val="20"/>
                <w:lang w:val="en-CA"/>
              </w:rPr>
              <w:t xml:space="preserve">Appeal dismissed with legal costs </w:t>
            </w:r>
          </w:p>
          <w:p w:rsidR="00F95A12" w:rsidRPr="00016113" w:rsidRDefault="00F95A12" w:rsidP="00F95A12">
            <w:pPr>
              <w:jc w:val="both"/>
              <w:rPr>
                <w:sz w:val="20"/>
                <w:lang w:val="en-CA"/>
              </w:rPr>
            </w:pPr>
          </w:p>
        </w:tc>
      </w:tr>
      <w:tr w:rsidR="00F95A12" w:rsidRPr="00016113" w:rsidTr="00F95A12">
        <w:tc>
          <w:tcPr>
            <w:tcW w:w="2427" w:type="pct"/>
            <w:gridSpan w:val="2"/>
          </w:tcPr>
          <w:p w:rsidR="00F95A12" w:rsidRPr="00016113" w:rsidRDefault="00F95A12" w:rsidP="00F95A12">
            <w:pPr>
              <w:jc w:val="both"/>
              <w:rPr>
                <w:sz w:val="20"/>
                <w:lang w:val="en-CA"/>
              </w:rPr>
            </w:pPr>
            <w:r w:rsidRPr="00016113">
              <w:rPr>
                <w:sz w:val="20"/>
                <w:lang w:val="en-CA"/>
              </w:rPr>
              <w:t>May 15, 2020</w:t>
            </w:r>
          </w:p>
          <w:p w:rsidR="00F95A12" w:rsidRPr="00016113" w:rsidRDefault="00F95A12" w:rsidP="00F95A12">
            <w:pPr>
              <w:jc w:val="both"/>
              <w:rPr>
                <w:sz w:val="20"/>
                <w:lang w:val="en-CA"/>
              </w:rPr>
            </w:pPr>
            <w:r w:rsidRPr="00016113">
              <w:rPr>
                <w:sz w:val="20"/>
                <w:lang w:val="en-CA"/>
              </w:rPr>
              <w:t>Supreme Court of Canada</w:t>
            </w:r>
          </w:p>
        </w:tc>
        <w:tc>
          <w:tcPr>
            <w:tcW w:w="243" w:type="pct"/>
          </w:tcPr>
          <w:p w:rsidR="00F95A12" w:rsidRPr="00016113" w:rsidRDefault="00F95A12" w:rsidP="00F95A12">
            <w:pPr>
              <w:jc w:val="both"/>
              <w:rPr>
                <w:sz w:val="20"/>
                <w:lang w:val="en-CA"/>
              </w:rPr>
            </w:pPr>
          </w:p>
        </w:tc>
        <w:tc>
          <w:tcPr>
            <w:tcW w:w="2330" w:type="pct"/>
          </w:tcPr>
          <w:p w:rsidR="00F95A12" w:rsidRPr="00016113" w:rsidRDefault="00F95A12" w:rsidP="00F95A12">
            <w:pPr>
              <w:jc w:val="both"/>
              <w:rPr>
                <w:sz w:val="20"/>
                <w:lang w:val="en-CA"/>
              </w:rPr>
            </w:pPr>
            <w:r w:rsidRPr="00016113">
              <w:rPr>
                <w:sz w:val="20"/>
                <w:lang w:val="en-CA"/>
              </w:rPr>
              <w:t>Application for leave to appeal filed</w:t>
            </w:r>
          </w:p>
          <w:p w:rsidR="00F95A12" w:rsidRPr="00016113" w:rsidRDefault="00F95A12" w:rsidP="00F95A12">
            <w:pPr>
              <w:jc w:val="both"/>
              <w:rPr>
                <w:sz w:val="20"/>
                <w:lang w:val="en-CA"/>
              </w:rPr>
            </w:pPr>
          </w:p>
        </w:tc>
      </w:tr>
    </w:tbl>
    <w:p w:rsidR="00F95A12" w:rsidRPr="00016113" w:rsidRDefault="00F95A12" w:rsidP="00F95A12">
      <w:pPr>
        <w:jc w:val="both"/>
        <w:rPr>
          <w:sz w:val="20"/>
          <w:lang w:val="en-CA"/>
        </w:rPr>
      </w:pPr>
    </w:p>
    <w:p w:rsidR="00F95A12" w:rsidRPr="00016113" w:rsidRDefault="00F95A12" w:rsidP="00F95A12">
      <w:pPr>
        <w:jc w:val="both"/>
        <w:rPr>
          <w:sz w:val="20"/>
          <w:lang w:val="en-CA"/>
        </w:rPr>
      </w:pPr>
      <w:r w:rsidRPr="00016113">
        <w:rPr>
          <w:sz w:val="20"/>
        </w:rPr>
        <w:pict>
          <v:rect id="_x0000_i1031" style="width:2in;height:1pt" o:hrpct="0" o:hralign="center" o:hrstd="t" o:hrnoshade="t" o:hr="t" fillcolor="black [3213]" stroked="f"/>
        </w:pict>
      </w:r>
    </w:p>
    <w:p w:rsidR="00F95A12" w:rsidRPr="00016113" w:rsidRDefault="00F95A12" w:rsidP="00F95A12">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95A12" w:rsidRPr="00016113" w:rsidTr="00F95A12">
        <w:tc>
          <w:tcPr>
            <w:tcW w:w="543" w:type="pct"/>
          </w:tcPr>
          <w:p w:rsidR="00F95A12" w:rsidRPr="00016113" w:rsidRDefault="00F95A12" w:rsidP="00F95A12">
            <w:pPr>
              <w:jc w:val="both"/>
              <w:rPr>
                <w:sz w:val="20"/>
              </w:rPr>
            </w:pPr>
            <w:r w:rsidRPr="00016113">
              <w:rPr>
                <w:rStyle w:val="SCCFileNumberChar"/>
                <w:sz w:val="20"/>
                <w:szCs w:val="20"/>
              </w:rPr>
              <w:t>39173</w:t>
            </w:r>
          </w:p>
        </w:tc>
        <w:tc>
          <w:tcPr>
            <w:tcW w:w="4457" w:type="pct"/>
            <w:gridSpan w:val="3"/>
          </w:tcPr>
          <w:p w:rsidR="00F95A12" w:rsidRPr="00016113" w:rsidRDefault="00F95A12" w:rsidP="00F95A12">
            <w:pPr>
              <w:pStyle w:val="SCCLsocParty"/>
              <w:jc w:val="both"/>
              <w:rPr>
                <w:b/>
                <w:sz w:val="20"/>
                <w:szCs w:val="20"/>
              </w:rPr>
            </w:pPr>
            <w:r w:rsidRPr="00016113">
              <w:rPr>
                <w:b/>
                <w:sz w:val="20"/>
                <w:szCs w:val="20"/>
              </w:rPr>
              <w:t>Jean-Guy St-Pierre c. Chantal Thibault</w:t>
            </w:r>
          </w:p>
          <w:p w:rsidR="00F95A12" w:rsidRPr="00016113" w:rsidRDefault="00F95A12" w:rsidP="00F95A12">
            <w:pPr>
              <w:jc w:val="both"/>
              <w:rPr>
                <w:sz w:val="20"/>
                <w:lang w:val="fr-CA"/>
              </w:rPr>
            </w:pPr>
            <w:r w:rsidRPr="00016113">
              <w:rPr>
                <w:sz w:val="20"/>
                <w:lang w:val="fr-CA"/>
              </w:rPr>
              <w:t>(Qc) (Civile) (Autorisation)</w:t>
            </w:r>
          </w:p>
        </w:tc>
      </w:tr>
      <w:tr w:rsidR="00F95A12" w:rsidRPr="00016113" w:rsidTr="00F95A12">
        <w:tc>
          <w:tcPr>
            <w:tcW w:w="5000" w:type="pct"/>
            <w:gridSpan w:val="4"/>
          </w:tcPr>
          <w:p w:rsidR="00F95A12" w:rsidRPr="00016113" w:rsidRDefault="00F95A12" w:rsidP="00F95A12">
            <w:pPr>
              <w:pStyle w:val="SCCBanSummary"/>
              <w:rPr>
                <w:smallCaps w:val="0"/>
                <w:sz w:val="20"/>
                <w:szCs w:val="20"/>
                <w:lang w:val="fr-CA"/>
              </w:rPr>
            </w:pPr>
            <w:r w:rsidRPr="00016113">
              <w:rPr>
                <w:smallCaps w:val="0"/>
                <w:sz w:val="20"/>
                <w:szCs w:val="20"/>
                <w:lang w:val="fr-CA"/>
              </w:rPr>
              <w:t>Contrats — Acte de donation — Contrat synallagmatique — Obligation mutuelle d’assistance — Dol — Simulation de sentiments amoureux — Recherche de l’intention des parties au contrat — Cause du contrat — L’entente intervenue entre les parties constitue</w:t>
            </w:r>
            <w:r w:rsidRPr="00016113">
              <w:rPr>
                <w:smallCaps w:val="0"/>
                <w:sz w:val="20"/>
                <w:szCs w:val="20"/>
                <w:lang w:val="fr-CA"/>
              </w:rPr>
              <w:noBreakHyphen/>
              <w:t>t</w:t>
            </w:r>
            <w:r w:rsidRPr="00016113">
              <w:rPr>
                <w:smallCaps w:val="0"/>
                <w:sz w:val="20"/>
                <w:szCs w:val="20"/>
                <w:lang w:val="fr-CA"/>
              </w:rPr>
              <w:noBreakHyphen/>
              <w:t xml:space="preserve">elle une donation pure et simple au sens de l’art. 1806 du </w:t>
            </w:r>
            <w:r w:rsidRPr="00016113">
              <w:rPr>
                <w:i/>
                <w:smallCaps w:val="0"/>
                <w:sz w:val="20"/>
                <w:szCs w:val="20"/>
                <w:lang w:val="fr-CA"/>
              </w:rPr>
              <w:t>Code civil du Québec </w:t>
            </w:r>
            <w:r w:rsidRPr="00016113">
              <w:rPr>
                <w:smallCaps w:val="0"/>
                <w:sz w:val="20"/>
                <w:szCs w:val="20"/>
                <w:lang w:val="fr-CA"/>
              </w:rPr>
              <w:t>? — Les instances inférieures ont</w:t>
            </w:r>
            <w:r w:rsidRPr="00016113">
              <w:rPr>
                <w:smallCaps w:val="0"/>
                <w:sz w:val="20"/>
                <w:szCs w:val="20"/>
                <w:lang w:val="fr-CA"/>
              </w:rPr>
              <w:noBreakHyphen/>
              <w:t xml:space="preserve">elles erré dans leur application de l’art. 1410 du </w:t>
            </w:r>
            <w:r w:rsidRPr="00016113">
              <w:rPr>
                <w:i/>
                <w:smallCaps w:val="0"/>
                <w:sz w:val="20"/>
                <w:szCs w:val="20"/>
                <w:lang w:val="fr-CA"/>
              </w:rPr>
              <w:t>Code civil du Québec</w:t>
            </w:r>
            <w:r w:rsidRPr="00016113">
              <w:rPr>
                <w:smallCaps w:val="0"/>
                <w:sz w:val="20"/>
                <w:szCs w:val="20"/>
                <w:lang w:val="fr-CA"/>
              </w:rPr>
              <w:t xml:space="preserve"> quant à la recherche de l’intention des parties ? — Les critères usuellement utilisés par les tribunaux pour déterminer s’il y a eu dol doivent</w:t>
            </w:r>
            <w:r w:rsidRPr="00016113">
              <w:rPr>
                <w:smallCaps w:val="0"/>
                <w:sz w:val="20"/>
                <w:szCs w:val="20"/>
                <w:lang w:val="fr-CA"/>
              </w:rPr>
              <w:noBreakHyphen/>
              <w:t xml:space="preserve">ils être élargis pour tenir compte des faits survenus avant la négociation entre les parties et après la signature de l’entente, dans le contexte d’une union libre avec engagements ? — </w:t>
            </w:r>
            <w:r w:rsidRPr="00016113">
              <w:rPr>
                <w:i/>
                <w:smallCaps w:val="0"/>
                <w:sz w:val="20"/>
                <w:szCs w:val="20"/>
                <w:lang w:val="fr-CA"/>
              </w:rPr>
              <w:t>Code civil du Québec</w:t>
            </w:r>
            <w:r w:rsidRPr="00016113">
              <w:rPr>
                <w:smallCaps w:val="0"/>
                <w:sz w:val="20"/>
                <w:szCs w:val="20"/>
                <w:lang w:val="fr-CA"/>
              </w:rPr>
              <w:t>, RLRQ c CCQ</w:t>
            </w:r>
            <w:r w:rsidRPr="00016113">
              <w:rPr>
                <w:smallCaps w:val="0"/>
                <w:sz w:val="20"/>
                <w:szCs w:val="20"/>
                <w:lang w:val="fr-CA"/>
              </w:rPr>
              <w:noBreakHyphen/>
              <w:t>1991, art 1407, 1410 et 1806.</w:t>
            </w:r>
          </w:p>
        </w:tc>
      </w:tr>
      <w:tr w:rsidR="00F95A12" w:rsidRPr="00016113" w:rsidTr="00F95A12">
        <w:tc>
          <w:tcPr>
            <w:tcW w:w="5000" w:type="pct"/>
            <w:gridSpan w:val="4"/>
          </w:tcPr>
          <w:p w:rsidR="00F95A12" w:rsidRPr="00016113" w:rsidRDefault="00F95A12" w:rsidP="00F95A12">
            <w:pPr>
              <w:jc w:val="both"/>
              <w:rPr>
                <w:sz w:val="20"/>
                <w:lang w:val="fr-CA"/>
              </w:rPr>
            </w:pPr>
          </w:p>
        </w:tc>
      </w:tr>
      <w:tr w:rsidR="00F95A12" w:rsidRPr="00016113" w:rsidTr="00F95A12">
        <w:tc>
          <w:tcPr>
            <w:tcW w:w="5000" w:type="pct"/>
            <w:gridSpan w:val="4"/>
          </w:tcPr>
          <w:p w:rsidR="00F95A12" w:rsidRPr="00016113" w:rsidRDefault="00F95A12" w:rsidP="00F95A12">
            <w:pPr>
              <w:jc w:val="both"/>
              <w:rPr>
                <w:sz w:val="20"/>
                <w:lang w:val="fr-CA"/>
              </w:rPr>
            </w:pPr>
            <w:r w:rsidRPr="00016113">
              <w:rPr>
                <w:sz w:val="20"/>
                <w:lang w:val="fr-CA"/>
              </w:rPr>
              <w:t xml:space="preserve">Le litige concerne un acte notarié par lequel le demandeur a consenti une somme de 500 000 $ à l’intimée. La Cour supérieure rejette la demande introductive d’instance visant à annuler l’acte juridique intervenu ou, subsidiairement, à en déclarer la résiliation. </w:t>
            </w:r>
            <w:r w:rsidRPr="00016113">
              <w:rPr>
                <w:sz w:val="20"/>
                <w:shd w:val="clear" w:color="auto" w:fill="FFFFFF"/>
                <w:lang w:val="fr-CA"/>
              </w:rPr>
              <w:t>Il conclut qu’en l’espèce, les parties ont convenu d’une donation et non d’un contrat synallagmatique et qu’aucune condition n’était attachée au versement de la somme à l’intimée. Il conclut en outre que</w:t>
            </w:r>
            <w:r w:rsidRPr="00016113">
              <w:rPr>
                <w:sz w:val="20"/>
                <w:lang w:val="fr-CA"/>
              </w:rPr>
              <w:t xml:space="preserve"> la demande en nullité du contrat pour cause de dol doit être rejetée, considérant que l’intimée n’a pas fourvoyé le demandeur et que celui</w:t>
            </w:r>
            <w:r w:rsidRPr="00016113">
              <w:rPr>
                <w:sz w:val="20"/>
                <w:lang w:val="fr-CA"/>
              </w:rPr>
              <w:noBreakHyphen/>
              <w:t>ci a pris une décision libre et éclairée. Il conclut par ailleurs que si des obligations incombaient à l’intimée, elles ont été exécutées. La Cour d’appel rejette le pourvoi du demandeur, celui</w:t>
            </w:r>
            <w:r w:rsidRPr="00016113">
              <w:rPr>
                <w:sz w:val="20"/>
                <w:lang w:val="fr-CA"/>
              </w:rPr>
              <w:noBreakHyphen/>
              <w:t xml:space="preserve">ci n’étant pas parvenu à démontrer que la détermination du juge de première instance, qualifiant le contrat de donation, était erronée. Elle refuse d’intervenir dans l’appréciation par le juge de première instance du caractère dolosif des manœuvres de l’intimée considérant qu’il ne lui revient pas d’apprécier à nouveau la preuve. </w:t>
            </w:r>
          </w:p>
          <w:p w:rsidR="00F95A12" w:rsidRPr="00016113" w:rsidRDefault="00F95A12" w:rsidP="00F95A12">
            <w:pPr>
              <w:jc w:val="both"/>
              <w:rPr>
                <w:sz w:val="20"/>
                <w:lang w:val="fr-CA"/>
              </w:rPr>
            </w:pPr>
          </w:p>
        </w:tc>
      </w:tr>
      <w:tr w:rsidR="00F95A12" w:rsidRPr="00016113" w:rsidTr="00F95A12">
        <w:tc>
          <w:tcPr>
            <w:tcW w:w="2427" w:type="pct"/>
            <w:gridSpan w:val="2"/>
          </w:tcPr>
          <w:p w:rsidR="00F95A12" w:rsidRPr="00016113" w:rsidRDefault="00F95A12" w:rsidP="00F95A12">
            <w:pPr>
              <w:jc w:val="both"/>
              <w:rPr>
                <w:sz w:val="20"/>
                <w:lang w:val="fr-CA"/>
              </w:rPr>
            </w:pPr>
            <w:r w:rsidRPr="00016113">
              <w:rPr>
                <w:sz w:val="20"/>
                <w:lang w:val="fr-CA"/>
              </w:rPr>
              <w:t>Le 19 juillet 2018</w:t>
            </w:r>
          </w:p>
          <w:p w:rsidR="00F95A12" w:rsidRPr="00016113" w:rsidRDefault="00F95A12" w:rsidP="00F95A12">
            <w:pPr>
              <w:jc w:val="both"/>
              <w:rPr>
                <w:sz w:val="20"/>
                <w:lang w:val="fr-CA"/>
              </w:rPr>
            </w:pPr>
            <w:r w:rsidRPr="00016113">
              <w:rPr>
                <w:sz w:val="20"/>
                <w:lang w:val="fr-CA"/>
              </w:rPr>
              <w:t>Cour supérieure du Québec (Québec)</w:t>
            </w:r>
          </w:p>
          <w:p w:rsidR="00F95A12" w:rsidRPr="00016113" w:rsidRDefault="00F95A12" w:rsidP="00F95A12">
            <w:pPr>
              <w:jc w:val="both"/>
              <w:rPr>
                <w:sz w:val="20"/>
              </w:rPr>
            </w:pPr>
            <w:r w:rsidRPr="00016113">
              <w:rPr>
                <w:sz w:val="20"/>
              </w:rPr>
              <w:t xml:space="preserve">(Le juge </w:t>
            </w:r>
            <w:proofErr w:type="spellStart"/>
            <w:r w:rsidRPr="00016113">
              <w:rPr>
                <w:sz w:val="20"/>
              </w:rPr>
              <w:t>Francoeur</w:t>
            </w:r>
            <w:proofErr w:type="spellEnd"/>
            <w:r w:rsidRPr="00016113">
              <w:rPr>
                <w:sz w:val="20"/>
              </w:rPr>
              <w:t>)</w:t>
            </w:r>
          </w:p>
          <w:p w:rsidR="00F95A12" w:rsidRPr="00016113" w:rsidRDefault="00F95A12" w:rsidP="00F95A12">
            <w:pPr>
              <w:jc w:val="both"/>
              <w:rPr>
                <w:sz w:val="20"/>
              </w:rPr>
            </w:pPr>
            <w:r w:rsidRPr="00016113">
              <w:rPr>
                <w:sz w:val="20"/>
              </w:rPr>
              <w:t>200</w:t>
            </w:r>
            <w:r w:rsidRPr="00016113">
              <w:rPr>
                <w:sz w:val="20"/>
              </w:rPr>
              <w:noBreakHyphen/>
              <w:t>17</w:t>
            </w:r>
            <w:r w:rsidRPr="00016113">
              <w:rPr>
                <w:sz w:val="20"/>
              </w:rPr>
              <w:noBreakHyphen/>
              <w:t>025699</w:t>
            </w:r>
            <w:r w:rsidRPr="00016113">
              <w:rPr>
                <w:sz w:val="20"/>
              </w:rPr>
              <w:noBreakHyphen/>
              <w:t xml:space="preserve">174 </w:t>
            </w:r>
          </w:p>
          <w:p w:rsidR="00F95A12" w:rsidRPr="00016113" w:rsidRDefault="00F95A12" w:rsidP="00F95A12">
            <w:pPr>
              <w:jc w:val="both"/>
              <w:rPr>
                <w:sz w:val="20"/>
              </w:rPr>
            </w:pPr>
            <w:hyperlink r:id="rId25" w:history="1">
              <w:r w:rsidRPr="00016113">
                <w:rPr>
                  <w:rStyle w:val="Hyperlink"/>
                  <w:sz w:val="20"/>
                </w:rPr>
                <w:t>2018 QCCS 3797</w:t>
              </w:r>
            </w:hyperlink>
            <w:r w:rsidRPr="00016113">
              <w:rPr>
                <w:sz w:val="20"/>
              </w:rPr>
              <w:t xml:space="preserve"> </w:t>
            </w:r>
          </w:p>
          <w:p w:rsidR="00F95A12" w:rsidRPr="00016113" w:rsidRDefault="00F95A12" w:rsidP="00F95A12">
            <w:pPr>
              <w:jc w:val="both"/>
              <w:rPr>
                <w:sz w:val="20"/>
              </w:rPr>
            </w:pPr>
          </w:p>
        </w:tc>
        <w:tc>
          <w:tcPr>
            <w:tcW w:w="243" w:type="pct"/>
          </w:tcPr>
          <w:p w:rsidR="00F95A12" w:rsidRPr="00016113" w:rsidRDefault="00F95A12" w:rsidP="00F95A12">
            <w:pPr>
              <w:jc w:val="both"/>
              <w:rPr>
                <w:sz w:val="20"/>
              </w:rPr>
            </w:pPr>
          </w:p>
        </w:tc>
        <w:tc>
          <w:tcPr>
            <w:tcW w:w="2330" w:type="pct"/>
          </w:tcPr>
          <w:p w:rsidR="00F95A12" w:rsidRPr="00016113" w:rsidRDefault="00F95A12" w:rsidP="00F95A12">
            <w:pPr>
              <w:jc w:val="both"/>
              <w:rPr>
                <w:sz w:val="20"/>
                <w:lang w:val="fr-CA"/>
              </w:rPr>
            </w:pPr>
            <w:r w:rsidRPr="00016113">
              <w:rPr>
                <w:sz w:val="20"/>
                <w:lang w:val="fr-CA"/>
              </w:rPr>
              <w:t xml:space="preserve">Demande d’annulation de l’acte juridique rejetée avec frais de justice ; demande reconventionnelle rejetée. </w:t>
            </w:r>
          </w:p>
        </w:tc>
      </w:tr>
      <w:tr w:rsidR="00F95A12" w:rsidRPr="00016113" w:rsidTr="00F95A12">
        <w:tc>
          <w:tcPr>
            <w:tcW w:w="2427" w:type="pct"/>
            <w:gridSpan w:val="2"/>
          </w:tcPr>
          <w:p w:rsidR="00F95A12" w:rsidRPr="00016113" w:rsidRDefault="00F95A12" w:rsidP="00F95A12">
            <w:pPr>
              <w:jc w:val="both"/>
              <w:rPr>
                <w:sz w:val="20"/>
                <w:lang w:val="fr-CA"/>
              </w:rPr>
            </w:pPr>
            <w:r w:rsidRPr="00016113">
              <w:rPr>
                <w:sz w:val="20"/>
                <w:lang w:val="fr-CA"/>
              </w:rPr>
              <w:t>Le 16 mars 2020</w:t>
            </w:r>
          </w:p>
          <w:p w:rsidR="00F95A12" w:rsidRPr="00016113" w:rsidRDefault="00F95A12" w:rsidP="00F95A12">
            <w:pPr>
              <w:jc w:val="both"/>
              <w:rPr>
                <w:sz w:val="20"/>
                <w:lang w:val="fr-CA"/>
              </w:rPr>
            </w:pPr>
            <w:r w:rsidRPr="00016113">
              <w:rPr>
                <w:sz w:val="20"/>
                <w:lang w:val="fr-CA"/>
              </w:rPr>
              <w:t>Cour d’appel du Québec (Québec)</w:t>
            </w:r>
          </w:p>
          <w:p w:rsidR="00F95A12" w:rsidRPr="00016113" w:rsidRDefault="00F95A12" w:rsidP="00F95A12">
            <w:pPr>
              <w:jc w:val="both"/>
              <w:rPr>
                <w:sz w:val="20"/>
                <w:lang w:val="fr-CA"/>
              </w:rPr>
            </w:pPr>
            <w:r w:rsidRPr="00016113">
              <w:rPr>
                <w:sz w:val="20"/>
                <w:lang w:val="fr-CA"/>
              </w:rPr>
              <w:t>(Les juges Rancourt, Beaupré et Moore)</w:t>
            </w:r>
          </w:p>
          <w:p w:rsidR="00F95A12" w:rsidRPr="00016113" w:rsidRDefault="00F95A12" w:rsidP="00F95A12">
            <w:pPr>
              <w:jc w:val="both"/>
              <w:rPr>
                <w:sz w:val="20"/>
              </w:rPr>
            </w:pPr>
            <w:r w:rsidRPr="00016113">
              <w:rPr>
                <w:sz w:val="20"/>
              </w:rPr>
              <w:t>200</w:t>
            </w:r>
            <w:r w:rsidRPr="00016113">
              <w:rPr>
                <w:sz w:val="20"/>
              </w:rPr>
              <w:noBreakHyphen/>
              <w:t>09</w:t>
            </w:r>
            <w:r w:rsidRPr="00016113">
              <w:rPr>
                <w:sz w:val="20"/>
              </w:rPr>
              <w:noBreakHyphen/>
              <w:t>009843</w:t>
            </w:r>
            <w:r w:rsidRPr="00016113">
              <w:rPr>
                <w:sz w:val="20"/>
              </w:rPr>
              <w:noBreakHyphen/>
              <w:t xml:space="preserve">183 </w:t>
            </w:r>
          </w:p>
          <w:p w:rsidR="00F95A12" w:rsidRPr="00016113" w:rsidRDefault="00F95A12" w:rsidP="00F95A12">
            <w:pPr>
              <w:jc w:val="both"/>
              <w:rPr>
                <w:sz w:val="20"/>
              </w:rPr>
            </w:pPr>
            <w:hyperlink r:id="rId26" w:history="1">
              <w:r w:rsidRPr="00016113">
                <w:rPr>
                  <w:rStyle w:val="Hyperlink"/>
                  <w:sz w:val="20"/>
                </w:rPr>
                <w:t>2020 QCCA 425</w:t>
              </w:r>
            </w:hyperlink>
          </w:p>
          <w:p w:rsidR="00F95A12" w:rsidRPr="00016113" w:rsidRDefault="00F95A12" w:rsidP="00F95A12">
            <w:pPr>
              <w:jc w:val="both"/>
              <w:rPr>
                <w:sz w:val="20"/>
              </w:rPr>
            </w:pPr>
          </w:p>
        </w:tc>
        <w:tc>
          <w:tcPr>
            <w:tcW w:w="243" w:type="pct"/>
          </w:tcPr>
          <w:p w:rsidR="00F95A12" w:rsidRPr="00016113" w:rsidRDefault="00F95A12" w:rsidP="00F95A12">
            <w:pPr>
              <w:jc w:val="both"/>
              <w:rPr>
                <w:sz w:val="20"/>
              </w:rPr>
            </w:pPr>
          </w:p>
        </w:tc>
        <w:tc>
          <w:tcPr>
            <w:tcW w:w="2330" w:type="pct"/>
          </w:tcPr>
          <w:p w:rsidR="00F95A12" w:rsidRPr="00016113" w:rsidRDefault="00F95A12" w:rsidP="00F95A12">
            <w:pPr>
              <w:jc w:val="both"/>
              <w:rPr>
                <w:sz w:val="20"/>
                <w:lang w:val="fr-CA"/>
              </w:rPr>
            </w:pPr>
            <w:r w:rsidRPr="00016113">
              <w:rPr>
                <w:sz w:val="20"/>
                <w:lang w:val="fr-CA"/>
              </w:rPr>
              <w:t xml:space="preserve">Appel rejeté avec frais de justice. </w:t>
            </w:r>
          </w:p>
          <w:p w:rsidR="00F95A12" w:rsidRPr="00016113" w:rsidRDefault="00F95A12" w:rsidP="00F95A12">
            <w:pPr>
              <w:jc w:val="both"/>
              <w:rPr>
                <w:sz w:val="20"/>
                <w:lang w:val="fr-CA"/>
              </w:rPr>
            </w:pPr>
          </w:p>
        </w:tc>
      </w:tr>
      <w:tr w:rsidR="00F95A12" w:rsidRPr="00016113" w:rsidTr="00F95A12">
        <w:tc>
          <w:tcPr>
            <w:tcW w:w="2427" w:type="pct"/>
            <w:gridSpan w:val="2"/>
          </w:tcPr>
          <w:p w:rsidR="00F95A12" w:rsidRPr="00016113" w:rsidRDefault="00F95A12" w:rsidP="00F95A12">
            <w:pPr>
              <w:jc w:val="both"/>
              <w:rPr>
                <w:sz w:val="20"/>
                <w:lang w:val="fr-CA"/>
              </w:rPr>
            </w:pPr>
            <w:r w:rsidRPr="00016113">
              <w:rPr>
                <w:sz w:val="20"/>
                <w:lang w:val="fr-CA"/>
              </w:rPr>
              <w:t>Le 15 mai 2020</w:t>
            </w:r>
          </w:p>
          <w:p w:rsidR="00F95A12" w:rsidRPr="00016113" w:rsidRDefault="00F95A12" w:rsidP="00F95A12">
            <w:pPr>
              <w:jc w:val="both"/>
              <w:rPr>
                <w:sz w:val="20"/>
                <w:lang w:val="fr-CA"/>
              </w:rPr>
            </w:pPr>
            <w:r w:rsidRPr="00016113">
              <w:rPr>
                <w:sz w:val="20"/>
                <w:lang w:val="fr-CA"/>
              </w:rPr>
              <w:t>Cour suprême du Canada</w:t>
            </w:r>
          </w:p>
        </w:tc>
        <w:tc>
          <w:tcPr>
            <w:tcW w:w="243" w:type="pct"/>
          </w:tcPr>
          <w:p w:rsidR="00F95A12" w:rsidRPr="00016113" w:rsidRDefault="00F95A12" w:rsidP="00F95A12">
            <w:pPr>
              <w:jc w:val="both"/>
              <w:rPr>
                <w:sz w:val="20"/>
                <w:lang w:val="fr-CA"/>
              </w:rPr>
            </w:pPr>
          </w:p>
        </w:tc>
        <w:tc>
          <w:tcPr>
            <w:tcW w:w="2330" w:type="pct"/>
          </w:tcPr>
          <w:p w:rsidR="00F95A12" w:rsidRPr="00016113" w:rsidRDefault="00F95A12" w:rsidP="00F95A12">
            <w:pPr>
              <w:jc w:val="both"/>
              <w:rPr>
                <w:sz w:val="20"/>
              </w:rPr>
            </w:pPr>
            <w:r w:rsidRPr="00016113">
              <w:rPr>
                <w:sz w:val="20"/>
              </w:rPr>
              <w:t>Demande d’autorisation d’appel déposée</w:t>
            </w:r>
          </w:p>
          <w:p w:rsidR="00F95A12" w:rsidRPr="00016113" w:rsidRDefault="00F95A12" w:rsidP="00F95A12">
            <w:pPr>
              <w:jc w:val="both"/>
              <w:rPr>
                <w:sz w:val="20"/>
              </w:rPr>
            </w:pPr>
          </w:p>
        </w:tc>
      </w:tr>
    </w:tbl>
    <w:p w:rsidR="00F95A12" w:rsidRPr="00016113" w:rsidRDefault="00F95A12" w:rsidP="00F95A12">
      <w:pPr>
        <w:jc w:val="both"/>
        <w:rPr>
          <w:sz w:val="20"/>
        </w:rPr>
      </w:pPr>
    </w:p>
    <w:p w:rsidR="00F95A12" w:rsidRPr="00016113" w:rsidRDefault="00F95A12" w:rsidP="00F95A12">
      <w:pPr>
        <w:jc w:val="both"/>
        <w:rPr>
          <w:sz w:val="20"/>
        </w:rPr>
      </w:pPr>
      <w:r w:rsidRPr="00016113">
        <w:rPr>
          <w:sz w:val="20"/>
        </w:rPr>
        <w:pict>
          <v:rect id="_x0000_i1032" style="width:2in;height:1pt" o:hrpct="0" o:hralign="center" o:hrstd="t" o:hrnoshade="t" o:hr="t" fillcolor="black [3213]" stroked="f"/>
        </w:pict>
      </w:r>
    </w:p>
    <w:p w:rsidR="00ED59AD" w:rsidRPr="00016113" w:rsidRDefault="00ED59AD" w:rsidP="00F95A12">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95A12" w:rsidRPr="00016113" w:rsidTr="00F95A12">
        <w:tc>
          <w:tcPr>
            <w:tcW w:w="543" w:type="pct"/>
          </w:tcPr>
          <w:p w:rsidR="00F95A12" w:rsidRPr="00016113" w:rsidRDefault="00F95A12" w:rsidP="00F95A12">
            <w:pPr>
              <w:jc w:val="both"/>
              <w:rPr>
                <w:sz w:val="20"/>
              </w:rPr>
            </w:pPr>
            <w:r w:rsidRPr="00016113">
              <w:rPr>
                <w:rStyle w:val="SCCFileNumberChar"/>
                <w:sz w:val="20"/>
                <w:szCs w:val="20"/>
              </w:rPr>
              <w:t>39176</w:t>
            </w:r>
          </w:p>
        </w:tc>
        <w:tc>
          <w:tcPr>
            <w:tcW w:w="4457" w:type="pct"/>
            <w:gridSpan w:val="3"/>
          </w:tcPr>
          <w:p w:rsidR="00F95A12" w:rsidRPr="00016113" w:rsidRDefault="00F95A12" w:rsidP="00F95A12">
            <w:pPr>
              <w:pStyle w:val="SCCLsocParty"/>
              <w:jc w:val="both"/>
              <w:rPr>
                <w:b/>
                <w:sz w:val="20"/>
                <w:szCs w:val="20"/>
                <w:lang w:val="en-US"/>
              </w:rPr>
            </w:pPr>
            <w:r w:rsidRPr="00016113">
              <w:rPr>
                <w:b/>
                <w:sz w:val="20"/>
                <w:szCs w:val="20"/>
                <w:lang w:val="en-US"/>
              </w:rPr>
              <w:t>Angela R. Senft, Michael E. Senft v. Audrey Vigneau, Susan Herrmann</w:t>
            </w:r>
          </w:p>
          <w:p w:rsidR="00F95A12" w:rsidRPr="00016113" w:rsidRDefault="00F95A12" w:rsidP="00F95A12">
            <w:pPr>
              <w:jc w:val="both"/>
              <w:rPr>
                <w:sz w:val="20"/>
              </w:rPr>
            </w:pPr>
            <w:r w:rsidRPr="00016113">
              <w:rPr>
                <w:sz w:val="20"/>
              </w:rPr>
              <w:t>(Y.T.) (Civil) (By Leave)</w:t>
            </w:r>
          </w:p>
        </w:tc>
      </w:tr>
      <w:tr w:rsidR="00F95A12" w:rsidRPr="00016113" w:rsidTr="00F95A12">
        <w:tc>
          <w:tcPr>
            <w:tcW w:w="5000" w:type="pct"/>
            <w:gridSpan w:val="4"/>
          </w:tcPr>
          <w:p w:rsidR="00F95A12" w:rsidRPr="00016113" w:rsidRDefault="00F95A12" w:rsidP="00F95A12">
            <w:pPr>
              <w:jc w:val="both"/>
              <w:rPr>
                <w:sz w:val="20"/>
              </w:rPr>
            </w:pPr>
            <w:r w:rsidRPr="00016113">
              <w:rPr>
                <w:sz w:val="20"/>
              </w:rPr>
              <w:t>Torts — Libel and slander — Charge to jury on defence of fair comment and on malice — Jury finding in favour of plaintiffs in a defamation action — Court of Appeal allowing appeal on the basis that trial judge erred in failing to determine whether evidence at trial raised probability of malice before putting question of malice to jury — New trial ordered — Whether a misdirection or non</w:t>
            </w:r>
            <w:r w:rsidRPr="00016113">
              <w:rPr>
                <w:sz w:val="20"/>
              </w:rPr>
              <w:noBreakHyphen/>
              <w:t>direction by a trial judge on the issue of actual malice is an error of mixed fact and law —If so, whether standard of review of correctness overrides general rule that appellate courts accord great deference to a jury’s findings in civil defamation proceedings — Whether an appellate court should review the evidence to determine if there is evidence of actual malice — Whether an appellate court should apply the functional approach in reviewing a jury verdict — Where there is evidence of untruthfulness or reckless disregard for the truth, in establishing actual malice, whether a plaintiff also has to prove a dominant motive — Where there is no objection to the instructions to the jury on actual malice, whether it is necessary for a trial judge to instruct the jury on the evidence of actual malice and whether that evidence raises a probability of actual malice, before sending the issue of actual malice to jury — Whether the standard of review for a general verdict requires a new rule.</w:t>
            </w:r>
          </w:p>
        </w:tc>
      </w:tr>
      <w:tr w:rsidR="00F95A12" w:rsidRPr="00016113" w:rsidTr="00F95A12">
        <w:tc>
          <w:tcPr>
            <w:tcW w:w="5000" w:type="pct"/>
            <w:gridSpan w:val="4"/>
          </w:tcPr>
          <w:p w:rsidR="00F95A12" w:rsidRPr="00016113" w:rsidRDefault="00F95A12" w:rsidP="00F95A12">
            <w:pPr>
              <w:jc w:val="both"/>
              <w:rPr>
                <w:sz w:val="20"/>
              </w:rPr>
            </w:pPr>
          </w:p>
        </w:tc>
      </w:tr>
      <w:tr w:rsidR="00F95A12" w:rsidRPr="00016113" w:rsidTr="00F95A12">
        <w:tc>
          <w:tcPr>
            <w:tcW w:w="5000" w:type="pct"/>
            <w:gridSpan w:val="4"/>
          </w:tcPr>
          <w:p w:rsidR="00F95A12" w:rsidRPr="00016113" w:rsidRDefault="00F95A12" w:rsidP="00F95A12">
            <w:pPr>
              <w:jc w:val="both"/>
              <w:rPr>
                <w:sz w:val="20"/>
              </w:rPr>
            </w:pPr>
            <w:r w:rsidRPr="00016113">
              <w:rPr>
                <w:sz w:val="20"/>
              </w:rPr>
              <w:t xml:space="preserve">The respondents, Ms. Vigneau and Ms. Herrmann (“publishers”) published to third parties words that the applicants claimed were defamatory of them. The publications were on GoFundMe and Facebook and were delivered to the households of Dawson City. The publications reflected the publishers’ understanding of allegations made by an elderly resident about the applicants’ property interest in her residence, but were subsequently found in part to be erroneous. The publications were made for the purpose of raising money to help the elderly resident in her legal battle to recover title to her home. The publishers pleaded the defence of fair comment and the applicants replied that the publishers had acted with malice. The civil jury hearing the action found that the publishers had made the defamatory comments and that they were actuated by malice when they published the comments. The Court of Appeal allowed the publishers’ appeal, holding that a determination of whether the evidence adduced at trial raised a probability of malice should have been made before the jury was instructed on the question of malice. </w:t>
            </w:r>
          </w:p>
          <w:p w:rsidR="00F95A12" w:rsidRPr="00016113" w:rsidRDefault="00F95A12" w:rsidP="00F95A12">
            <w:pPr>
              <w:jc w:val="both"/>
              <w:rPr>
                <w:sz w:val="20"/>
              </w:rPr>
            </w:pPr>
          </w:p>
        </w:tc>
      </w:tr>
      <w:tr w:rsidR="00F95A12" w:rsidRPr="00016113" w:rsidTr="00F95A12">
        <w:tc>
          <w:tcPr>
            <w:tcW w:w="2427" w:type="pct"/>
            <w:gridSpan w:val="2"/>
          </w:tcPr>
          <w:p w:rsidR="00F95A12" w:rsidRPr="00016113" w:rsidRDefault="00F95A12" w:rsidP="00F95A12">
            <w:pPr>
              <w:jc w:val="both"/>
              <w:rPr>
                <w:sz w:val="20"/>
              </w:rPr>
            </w:pPr>
            <w:r w:rsidRPr="00016113">
              <w:rPr>
                <w:sz w:val="20"/>
              </w:rPr>
              <w:t>February 13, 2019</w:t>
            </w:r>
          </w:p>
          <w:p w:rsidR="00F95A12" w:rsidRPr="00016113" w:rsidRDefault="00F95A12" w:rsidP="00F95A12">
            <w:pPr>
              <w:jc w:val="both"/>
              <w:rPr>
                <w:sz w:val="20"/>
              </w:rPr>
            </w:pPr>
            <w:r w:rsidRPr="00016113">
              <w:rPr>
                <w:sz w:val="20"/>
              </w:rPr>
              <w:t>Supreme Court of the Yukon Territory</w:t>
            </w:r>
          </w:p>
          <w:p w:rsidR="00F95A12" w:rsidRPr="00016113" w:rsidRDefault="00F95A12" w:rsidP="00F95A12">
            <w:pPr>
              <w:jc w:val="both"/>
              <w:rPr>
                <w:sz w:val="20"/>
              </w:rPr>
            </w:pPr>
            <w:r w:rsidRPr="00016113">
              <w:rPr>
                <w:sz w:val="20"/>
              </w:rPr>
              <w:t>(Veale, J.)</w:t>
            </w:r>
          </w:p>
          <w:p w:rsidR="00F95A12" w:rsidRPr="00016113" w:rsidRDefault="00F95A12" w:rsidP="00F95A12">
            <w:pPr>
              <w:jc w:val="both"/>
              <w:rPr>
                <w:sz w:val="20"/>
              </w:rPr>
            </w:pPr>
          </w:p>
        </w:tc>
        <w:tc>
          <w:tcPr>
            <w:tcW w:w="243" w:type="pct"/>
          </w:tcPr>
          <w:p w:rsidR="00F95A12" w:rsidRPr="00016113" w:rsidRDefault="00F95A12" w:rsidP="00F95A12">
            <w:pPr>
              <w:jc w:val="both"/>
              <w:rPr>
                <w:sz w:val="20"/>
              </w:rPr>
            </w:pPr>
          </w:p>
        </w:tc>
        <w:tc>
          <w:tcPr>
            <w:tcW w:w="2330" w:type="pct"/>
          </w:tcPr>
          <w:p w:rsidR="00F95A12" w:rsidRPr="00016113" w:rsidRDefault="00F95A12" w:rsidP="00F95A12">
            <w:pPr>
              <w:jc w:val="both"/>
              <w:rPr>
                <w:sz w:val="20"/>
              </w:rPr>
            </w:pPr>
            <w:r w:rsidRPr="00016113">
              <w:rPr>
                <w:sz w:val="20"/>
              </w:rPr>
              <w:t>Jury finding in favour of applicants. Damages awarded against respondents.</w:t>
            </w:r>
          </w:p>
        </w:tc>
      </w:tr>
      <w:tr w:rsidR="00F95A12" w:rsidRPr="00016113" w:rsidTr="00F95A12">
        <w:tc>
          <w:tcPr>
            <w:tcW w:w="2427" w:type="pct"/>
            <w:gridSpan w:val="2"/>
          </w:tcPr>
          <w:p w:rsidR="00F95A12" w:rsidRPr="00016113" w:rsidRDefault="00F95A12" w:rsidP="00F95A12">
            <w:pPr>
              <w:jc w:val="both"/>
              <w:rPr>
                <w:sz w:val="20"/>
              </w:rPr>
            </w:pPr>
            <w:r w:rsidRPr="00016113">
              <w:rPr>
                <w:sz w:val="20"/>
              </w:rPr>
              <w:t>May 8, 2019</w:t>
            </w:r>
          </w:p>
          <w:p w:rsidR="00F95A12" w:rsidRPr="00016113" w:rsidRDefault="00F95A12" w:rsidP="00F95A12">
            <w:pPr>
              <w:jc w:val="both"/>
              <w:rPr>
                <w:sz w:val="20"/>
              </w:rPr>
            </w:pPr>
            <w:r w:rsidRPr="00016113">
              <w:rPr>
                <w:sz w:val="20"/>
              </w:rPr>
              <w:t>Supreme Court of the Yukon Territory</w:t>
            </w:r>
          </w:p>
          <w:p w:rsidR="00F95A12" w:rsidRPr="00016113" w:rsidRDefault="00F95A12" w:rsidP="00F95A12">
            <w:pPr>
              <w:jc w:val="both"/>
              <w:rPr>
                <w:sz w:val="20"/>
              </w:rPr>
            </w:pPr>
            <w:r w:rsidRPr="00016113">
              <w:rPr>
                <w:sz w:val="20"/>
              </w:rPr>
              <w:t>(Veale, J.)</w:t>
            </w:r>
          </w:p>
          <w:p w:rsidR="00F95A12" w:rsidRPr="00016113" w:rsidRDefault="00F95A12" w:rsidP="00F95A12">
            <w:pPr>
              <w:jc w:val="both"/>
              <w:rPr>
                <w:sz w:val="20"/>
              </w:rPr>
            </w:pPr>
            <w:hyperlink r:id="rId27" w:history="1">
              <w:r w:rsidRPr="00016113">
                <w:rPr>
                  <w:rStyle w:val="Hyperlink"/>
                  <w:sz w:val="20"/>
                </w:rPr>
                <w:t>2019 YKSC 23</w:t>
              </w:r>
            </w:hyperlink>
            <w:r w:rsidRPr="00016113">
              <w:rPr>
                <w:sz w:val="20"/>
              </w:rPr>
              <w:t xml:space="preserve"> </w:t>
            </w:r>
          </w:p>
          <w:p w:rsidR="00F95A12" w:rsidRPr="00016113" w:rsidRDefault="00F95A12" w:rsidP="00F95A12">
            <w:pPr>
              <w:jc w:val="both"/>
              <w:rPr>
                <w:sz w:val="20"/>
              </w:rPr>
            </w:pPr>
          </w:p>
        </w:tc>
        <w:tc>
          <w:tcPr>
            <w:tcW w:w="243" w:type="pct"/>
          </w:tcPr>
          <w:p w:rsidR="00F95A12" w:rsidRPr="00016113" w:rsidRDefault="00F95A12" w:rsidP="00F95A12">
            <w:pPr>
              <w:jc w:val="both"/>
              <w:rPr>
                <w:sz w:val="20"/>
              </w:rPr>
            </w:pPr>
          </w:p>
        </w:tc>
        <w:tc>
          <w:tcPr>
            <w:tcW w:w="2330" w:type="pct"/>
          </w:tcPr>
          <w:p w:rsidR="00F95A12" w:rsidRPr="00016113" w:rsidRDefault="00F95A12" w:rsidP="00F95A12">
            <w:pPr>
              <w:jc w:val="both"/>
              <w:rPr>
                <w:sz w:val="20"/>
              </w:rPr>
            </w:pPr>
            <w:r w:rsidRPr="00016113">
              <w:rPr>
                <w:sz w:val="20"/>
              </w:rPr>
              <w:t>Respondents’ application for a determination on whether the evidence at trial established a probability of malice dismissed.</w:t>
            </w:r>
          </w:p>
        </w:tc>
      </w:tr>
      <w:tr w:rsidR="00F95A12" w:rsidRPr="00016113" w:rsidTr="00F95A12">
        <w:tc>
          <w:tcPr>
            <w:tcW w:w="2427" w:type="pct"/>
            <w:gridSpan w:val="2"/>
          </w:tcPr>
          <w:p w:rsidR="00F95A12" w:rsidRPr="00016113" w:rsidRDefault="00F95A12" w:rsidP="00F95A12">
            <w:pPr>
              <w:jc w:val="both"/>
              <w:rPr>
                <w:sz w:val="20"/>
              </w:rPr>
            </w:pPr>
            <w:r w:rsidRPr="00016113">
              <w:rPr>
                <w:sz w:val="20"/>
              </w:rPr>
              <w:t>March 27, 2020</w:t>
            </w:r>
          </w:p>
          <w:p w:rsidR="00F95A12" w:rsidRPr="00016113" w:rsidRDefault="00F95A12" w:rsidP="00F95A12">
            <w:pPr>
              <w:jc w:val="both"/>
              <w:rPr>
                <w:sz w:val="20"/>
              </w:rPr>
            </w:pPr>
            <w:r w:rsidRPr="00016113">
              <w:rPr>
                <w:sz w:val="20"/>
              </w:rPr>
              <w:t>Court of Appeal of the Yukon Territory</w:t>
            </w:r>
          </w:p>
          <w:p w:rsidR="00F95A12" w:rsidRPr="00016113" w:rsidRDefault="00F95A12" w:rsidP="00F95A12">
            <w:pPr>
              <w:jc w:val="both"/>
              <w:rPr>
                <w:sz w:val="20"/>
              </w:rPr>
            </w:pPr>
            <w:r w:rsidRPr="00016113">
              <w:rPr>
                <w:sz w:val="20"/>
              </w:rPr>
              <w:t xml:space="preserve">(Smith, Harris and </w:t>
            </w:r>
            <w:proofErr w:type="spellStart"/>
            <w:r w:rsidRPr="00016113">
              <w:rPr>
                <w:sz w:val="20"/>
              </w:rPr>
              <w:t>Shaner</w:t>
            </w:r>
            <w:proofErr w:type="spellEnd"/>
            <w:r w:rsidRPr="00016113">
              <w:rPr>
                <w:sz w:val="20"/>
              </w:rPr>
              <w:t xml:space="preserve"> JJ.A.)</w:t>
            </w:r>
          </w:p>
          <w:p w:rsidR="00F95A12" w:rsidRPr="00016113" w:rsidRDefault="00F95A12" w:rsidP="00F95A12">
            <w:pPr>
              <w:jc w:val="both"/>
              <w:rPr>
                <w:sz w:val="20"/>
              </w:rPr>
            </w:pPr>
            <w:hyperlink r:id="rId28" w:history="1">
              <w:r w:rsidRPr="00016113">
                <w:rPr>
                  <w:rStyle w:val="Hyperlink"/>
                  <w:sz w:val="20"/>
                </w:rPr>
                <w:t>2020 YKCA 8</w:t>
              </w:r>
            </w:hyperlink>
            <w:r w:rsidRPr="00016113">
              <w:rPr>
                <w:sz w:val="20"/>
              </w:rPr>
              <w:t xml:space="preserve"> (Docket: 18</w:t>
            </w:r>
            <w:r w:rsidRPr="00016113">
              <w:rPr>
                <w:sz w:val="20"/>
              </w:rPr>
              <w:noBreakHyphen/>
              <w:t xml:space="preserve">YU840) </w:t>
            </w:r>
          </w:p>
          <w:p w:rsidR="00F95A12" w:rsidRPr="00016113" w:rsidRDefault="00F95A12" w:rsidP="00F95A12">
            <w:pPr>
              <w:jc w:val="both"/>
              <w:rPr>
                <w:sz w:val="20"/>
              </w:rPr>
            </w:pPr>
          </w:p>
        </w:tc>
        <w:tc>
          <w:tcPr>
            <w:tcW w:w="243" w:type="pct"/>
          </w:tcPr>
          <w:p w:rsidR="00F95A12" w:rsidRPr="00016113" w:rsidRDefault="00F95A12" w:rsidP="00F95A12">
            <w:pPr>
              <w:jc w:val="both"/>
              <w:rPr>
                <w:sz w:val="20"/>
              </w:rPr>
            </w:pPr>
          </w:p>
        </w:tc>
        <w:tc>
          <w:tcPr>
            <w:tcW w:w="2330" w:type="pct"/>
          </w:tcPr>
          <w:p w:rsidR="00F95A12" w:rsidRPr="00016113" w:rsidRDefault="00F95A12" w:rsidP="00F95A12">
            <w:pPr>
              <w:jc w:val="both"/>
              <w:rPr>
                <w:sz w:val="20"/>
              </w:rPr>
            </w:pPr>
            <w:r w:rsidRPr="00016113">
              <w:rPr>
                <w:sz w:val="20"/>
              </w:rPr>
              <w:t xml:space="preserve">Respondents’ appeal allowed, awards of damages set aside, and new trial ordered. </w:t>
            </w:r>
          </w:p>
        </w:tc>
      </w:tr>
      <w:tr w:rsidR="00F95A12" w:rsidRPr="00016113" w:rsidTr="00F95A12">
        <w:tc>
          <w:tcPr>
            <w:tcW w:w="2427" w:type="pct"/>
            <w:gridSpan w:val="2"/>
          </w:tcPr>
          <w:p w:rsidR="00F95A12" w:rsidRPr="00016113" w:rsidRDefault="00F95A12" w:rsidP="00F95A12">
            <w:pPr>
              <w:jc w:val="both"/>
              <w:rPr>
                <w:sz w:val="20"/>
              </w:rPr>
            </w:pPr>
            <w:r w:rsidRPr="00016113">
              <w:rPr>
                <w:sz w:val="20"/>
              </w:rPr>
              <w:t>May 21, 2020</w:t>
            </w:r>
          </w:p>
          <w:p w:rsidR="00F95A12" w:rsidRPr="00016113" w:rsidRDefault="00F95A12" w:rsidP="00F95A12">
            <w:pPr>
              <w:jc w:val="both"/>
              <w:rPr>
                <w:sz w:val="20"/>
              </w:rPr>
            </w:pPr>
            <w:r w:rsidRPr="00016113">
              <w:rPr>
                <w:sz w:val="20"/>
              </w:rPr>
              <w:t>Supreme Court of Canada</w:t>
            </w:r>
          </w:p>
        </w:tc>
        <w:tc>
          <w:tcPr>
            <w:tcW w:w="243" w:type="pct"/>
          </w:tcPr>
          <w:p w:rsidR="00F95A12" w:rsidRPr="00016113" w:rsidRDefault="00F95A12" w:rsidP="00F95A12">
            <w:pPr>
              <w:jc w:val="both"/>
              <w:rPr>
                <w:sz w:val="20"/>
              </w:rPr>
            </w:pPr>
          </w:p>
        </w:tc>
        <w:tc>
          <w:tcPr>
            <w:tcW w:w="2330" w:type="pct"/>
          </w:tcPr>
          <w:p w:rsidR="00F95A12" w:rsidRPr="00016113" w:rsidRDefault="00F95A12" w:rsidP="00F95A12">
            <w:pPr>
              <w:jc w:val="both"/>
              <w:rPr>
                <w:sz w:val="20"/>
              </w:rPr>
            </w:pPr>
            <w:r w:rsidRPr="00016113">
              <w:rPr>
                <w:sz w:val="20"/>
              </w:rPr>
              <w:t>Application for leave to appeal filed</w:t>
            </w:r>
          </w:p>
        </w:tc>
      </w:tr>
    </w:tbl>
    <w:p w:rsidR="00F95A12" w:rsidRPr="00016113" w:rsidRDefault="00F95A12" w:rsidP="00F95A12">
      <w:pPr>
        <w:jc w:val="both"/>
        <w:rPr>
          <w:sz w:val="20"/>
        </w:rPr>
      </w:pPr>
    </w:p>
    <w:p w:rsidR="00F95A12" w:rsidRPr="00016113" w:rsidRDefault="00F95A12" w:rsidP="00F95A12">
      <w:pPr>
        <w:jc w:val="both"/>
        <w:rPr>
          <w:sz w:val="20"/>
        </w:rPr>
      </w:pPr>
      <w:r w:rsidRPr="00016113">
        <w:rPr>
          <w:sz w:val="20"/>
        </w:rPr>
        <w:pict>
          <v:rect id="_x0000_i1033" style="width:2in;height:1pt" o:hrpct="0" o:hralign="center" o:hrstd="t" o:hrnoshade="t" o:hr="t" fillcolor="black [3213]" stroked="f"/>
        </w:pict>
      </w:r>
    </w:p>
    <w:p w:rsidR="00F95A12" w:rsidRPr="00016113" w:rsidRDefault="00F95A12" w:rsidP="00F95A1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95A12" w:rsidRPr="00016113" w:rsidTr="00F95A12">
        <w:tc>
          <w:tcPr>
            <w:tcW w:w="543" w:type="pct"/>
          </w:tcPr>
          <w:p w:rsidR="00F95A12" w:rsidRPr="00016113" w:rsidRDefault="00F95A12" w:rsidP="00F95A12">
            <w:pPr>
              <w:jc w:val="both"/>
              <w:rPr>
                <w:sz w:val="20"/>
                <w:lang w:val="fr-CA"/>
              </w:rPr>
            </w:pPr>
            <w:r w:rsidRPr="00016113">
              <w:rPr>
                <w:rStyle w:val="SCCFileNumberChar"/>
                <w:sz w:val="20"/>
                <w:szCs w:val="20"/>
                <w:lang w:val="fr-CA"/>
              </w:rPr>
              <w:t>39176</w:t>
            </w:r>
          </w:p>
        </w:tc>
        <w:tc>
          <w:tcPr>
            <w:tcW w:w="4457" w:type="pct"/>
            <w:gridSpan w:val="3"/>
          </w:tcPr>
          <w:p w:rsidR="00F95A12" w:rsidRPr="00016113" w:rsidRDefault="00F95A12" w:rsidP="00F95A12">
            <w:pPr>
              <w:pStyle w:val="SCCLsocParty"/>
              <w:jc w:val="both"/>
              <w:rPr>
                <w:b/>
                <w:sz w:val="20"/>
                <w:szCs w:val="20"/>
              </w:rPr>
            </w:pPr>
            <w:r w:rsidRPr="00016113">
              <w:rPr>
                <w:b/>
                <w:sz w:val="20"/>
                <w:szCs w:val="20"/>
              </w:rPr>
              <w:t>Angela R. Senft, Michael E. Senft c. Audrey Vigneau, Susan Herrmann</w:t>
            </w:r>
          </w:p>
          <w:p w:rsidR="00F95A12" w:rsidRPr="00016113" w:rsidRDefault="00F95A12" w:rsidP="00F95A12">
            <w:pPr>
              <w:jc w:val="both"/>
              <w:rPr>
                <w:sz w:val="20"/>
                <w:lang w:val="fr-CA"/>
              </w:rPr>
            </w:pPr>
            <w:r w:rsidRPr="00016113">
              <w:rPr>
                <w:sz w:val="20"/>
                <w:lang w:val="fr-CA"/>
              </w:rPr>
              <w:t>(Yn) (Civile) (Autorisation)</w:t>
            </w:r>
          </w:p>
        </w:tc>
      </w:tr>
      <w:tr w:rsidR="00F95A12" w:rsidRPr="00016113" w:rsidTr="00F95A12">
        <w:tc>
          <w:tcPr>
            <w:tcW w:w="5000" w:type="pct"/>
            <w:gridSpan w:val="4"/>
          </w:tcPr>
          <w:p w:rsidR="00F95A12" w:rsidRPr="00016113" w:rsidRDefault="00F95A12" w:rsidP="00F95A12">
            <w:pPr>
              <w:jc w:val="both"/>
              <w:rPr>
                <w:sz w:val="20"/>
                <w:lang w:val="fr-CA"/>
              </w:rPr>
            </w:pPr>
            <w:r w:rsidRPr="00016113">
              <w:rPr>
                <w:sz w:val="20"/>
                <w:lang w:val="fr-CA"/>
              </w:rPr>
              <w:t>Responsabilité civile — Diffamation — Exposé au jury sur la défense du commentaire loyal et sur la malveillance — Le jury a donné gain de cause aux demandeurs dans une action en diffamation — La Cour d’appel a accueilli l’appel au motif que le juge de première instance avait commis une erreur en ne décidant pas si la preuve au procès soulevait la probabilité de malveillance avant de soumettre au jury la question de la malveillance — Un nouveau procès a été ordonné — Une mauvaise directive ou l’absence de directive de la part du juge de première instance sur la question de la malveillance véritable est</w:t>
            </w:r>
            <w:r w:rsidRPr="00016113">
              <w:rPr>
                <w:sz w:val="20"/>
                <w:lang w:val="fr-CA"/>
              </w:rPr>
              <w:noBreakHyphen/>
              <w:t>elle une erreur mixte de fait et de droit? — Dans l’affirmative, la norme de contrôle de la décision correcte l’emporte</w:t>
            </w:r>
            <w:r w:rsidRPr="00016113">
              <w:rPr>
                <w:sz w:val="20"/>
                <w:lang w:val="fr-CA"/>
              </w:rPr>
              <w:noBreakHyphen/>
              <w:t>t</w:t>
            </w:r>
            <w:r w:rsidRPr="00016113">
              <w:rPr>
                <w:sz w:val="20"/>
                <w:lang w:val="fr-CA"/>
              </w:rPr>
              <w:noBreakHyphen/>
              <w:t>elle sur la règle générale voulant que les cours d’appel doivent faire preuve de grande retenue à l’égard des conclusions du jury dans une instance en diffamation au civil? — Convient</w:t>
            </w:r>
            <w:r w:rsidRPr="00016113">
              <w:rPr>
                <w:sz w:val="20"/>
                <w:lang w:val="fr-CA"/>
              </w:rPr>
              <w:noBreakHyphen/>
              <w:t>il qu’une cour d’appel examine la preuve pour déterminer s’il y a une preuve de malveillance véritable? — Convient</w:t>
            </w:r>
            <w:r w:rsidRPr="00016113">
              <w:rPr>
                <w:sz w:val="20"/>
                <w:lang w:val="fr-CA"/>
              </w:rPr>
              <w:noBreakHyphen/>
              <w:t>il qu’une cour d’appel entreprenne une démarche fonctionnelle dans son examen du verdict d’un jury? — Lorsqu’il existe une preuve de mensonge ou de mépris indifférent de la vérité, pour établir la malveillance véritable, un demandeur doit</w:t>
            </w:r>
            <w:r w:rsidRPr="00016113">
              <w:rPr>
                <w:sz w:val="20"/>
                <w:lang w:val="fr-CA"/>
              </w:rPr>
              <w:noBreakHyphen/>
              <w:t>il prouver en outre l’existence d’un motif dominant? — En l’absence d’objection à l’égard des directives au jury sur la malveillance véritable, est-il nécessaire que le juge du procès donne au jury des directives sur la preuve de la malveillance véritable et si cette preuve soulève une probabilité de malveillance véritable, avant de renvoyer la question de la malveillance véritable au jury? — La norme de contrôle relative au verdict général nécessite</w:t>
            </w:r>
            <w:r w:rsidRPr="00016113">
              <w:rPr>
                <w:sz w:val="20"/>
                <w:lang w:val="fr-CA"/>
              </w:rPr>
              <w:noBreakHyphen/>
              <w:t>t</w:t>
            </w:r>
            <w:r w:rsidRPr="00016113">
              <w:rPr>
                <w:sz w:val="20"/>
                <w:lang w:val="fr-CA"/>
              </w:rPr>
              <w:noBreakHyphen/>
              <w:t>elle une nouvelle règle?</w:t>
            </w:r>
          </w:p>
        </w:tc>
      </w:tr>
      <w:tr w:rsidR="00F95A12" w:rsidRPr="00016113" w:rsidTr="00F95A12">
        <w:tc>
          <w:tcPr>
            <w:tcW w:w="5000" w:type="pct"/>
            <w:gridSpan w:val="4"/>
          </w:tcPr>
          <w:p w:rsidR="00F95A12" w:rsidRPr="00016113" w:rsidRDefault="00F95A12" w:rsidP="00F95A12">
            <w:pPr>
              <w:jc w:val="both"/>
              <w:rPr>
                <w:sz w:val="20"/>
                <w:lang w:val="fr-CA"/>
              </w:rPr>
            </w:pPr>
          </w:p>
        </w:tc>
      </w:tr>
      <w:tr w:rsidR="00F95A12" w:rsidRPr="00016113" w:rsidTr="00F95A12">
        <w:tc>
          <w:tcPr>
            <w:tcW w:w="5000" w:type="pct"/>
            <w:gridSpan w:val="4"/>
          </w:tcPr>
          <w:p w:rsidR="00F95A12" w:rsidRPr="00016113" w:rsidRDefault="00F95A12" w:rsidP="00F95A12">
            <w:pPr>
              <w:jc w:val="both"/>
              <w:rPr>
                <w:sz w:val="20"/>
                <w:lang w:val="fr-CA"/>
              </w:rPr>
            </w:pPr>
            <w:r w:rsidRPr="00016113">
              <w:rPr>
                <w:sz w:val="20"/>
                <w:lang w:val="fr-CA"/>
              </w:rPr>
              <w:t xml:space="preserve">Les intimées, Mme Vigneau et Mme Herrmann (les « éditrices ») ont publié des propos dont les demandeurs disent qu’ils étaient diffamatoires à leur égard. Les publications se trouvaient sur GoFundMe et Facebook et ont été diffusées aux ménages de la ville de Dawson. Les publications faisaient état de la manière dont les éditrices comprenaient des allégations faites par une résidente âgée quant au droit de propriété des demandeurs à l’égard de sa demeure, mais on a trouvé par la suite que ces propos étaient erronés en partie. Les publications ont été faites dans le but de réunir des fonds pour aider la résidente âgée dans sa bataille juridique pour retrouver la propriété de sa demeure. Les éditrices ont plaidé la défense du commentaire loyal et les demandeurs ont répliqué que les éditrices avaient agi par malveillance. Le jury civil qui a entendu l’action a conclu que les éditrices avaient fait les commentaires diffamatoires et qu’elles étaient animées par la malveillance lorsqu’elles ont publié les commentaires. La Cour d’appel a accueilli l’appel des éditrices, statuant qu’il aurait fallu trancher la question de savoir si la preuve présentée au procès soulevait une probabilité de malveillance avant que le jury ne reçoive des directives sur la question de la malveillance. </w:t>
            </w:r>
          </w:p>
          <w:p w:rsidR="00F95A12" w:rsidRPr="00016113" w:rsidRDefault="00F95A12" w:rsidP="00F95A12">
            <w:pPr>
              <w:jc w:val="both"/>
              <w:rPr>
                <w:sz w:val="20"/>
                <w:lang w:val="fr-CA"/>
              </w:rPr>
            </w:pPr>
          </w:p>
        </w:tc>
      </w:tr>
      <w:tr w:rsidR="00F95A12" w:rsidRPr="00016113" w:rsidTr="00F95A12">
        <w:tc>
          <w:tcPr>
            <w:tcW w:w="2427" w:type="pct"/>
            <w:gridSpan w:val="2"/>
          </w:tcPr>
          <w:p w:rsidR="00F95A12" w:rsidRPr="00016113" w:rsidRDefault="00F95A12" w:rsidP="00F95A12">
            <w:pPr>
              <w:jc w:val="both"/>
              <w:rPr>
                <w:sz w:val="20"/>
                <w:lang w:val="fr-CA"/>
              </w:rPr>
            </w:pPr>
            <w:r w:rsidRPr="00016113">
              <w:rPr>
                <w:sz w:val="20"/>
                <w:lang w:val="fr-CA"/>
              </w:rPr>
              <w:t>13 février 2019</w:t>
            </w:r>
          </w:p>
          <w:p w:rsidR="00F95A12" w:rsidRPr="00016113" w:rsidRDefault="00F95A12" w:rsidP="00F95A12">
            <w:pPr>
              <w:jc w:val="both"/>
              <w:rPr>
                <w:sz w:val="20"/>
                <w:lang w:val="fr-CA"/>
              </w:rPr>
            </w:pPr>
            <w:r w:rsidRPr="00016113">
              <w:rPr>
                <w:sz w:val="20"/>
                <w:lang w:val="fr-CA"/>
              </w:rPr>
              <w:t>Cour suprême du territoire du Yukon</w:t>
            </w:r>
          </w:p>
          <w:p w:rsidR="00F95A12" w:rsidRPr="00016113" w:rsidRDefault="00F95A12" w:rsidP="00F95A12">
            <w:pPr>
              <w:jc w:val="both"/>
              <w:rPr>
                <w:sz w:val="20"/>
                <w:lang w:val="fr-CA"/>
              </w:rPr>
            </w:pPr>
            <w:r w:rsidRPr="00016113">
              <w:rPr>
                <w:sz w:val="20"/>
                <w:lang w:val="fr-CA"/>
              </w:rPr>
              <w:t>(Juge Veale)</w:t>
            </w:r>
          </w:p>
          <w:p w:rsidR="00F95A12" w:rsidRPr="00016113" w:rsidRDefault="00F95A12" w:rsidP="00F95A12">
            <w:pPr>
              <w:jc w:val="both"/>
              <w:rPr>
                <w:sz w:val="20"/>
                <w:lang w:val="fr-CA"/>
              </w:rPr>
            </w:pPr>
          </w:p>
        </w:tc>
        <w:tc>
          <w:tcPr>
            <w:tcW w:w="243" w:type="pct"/>
          </w:tcPr>
          <w:p w:rsidR="00F95A12" w:rsidRPr="00016113" w:rsidRDefault="00F95A12" w:rsidP="00F95A12">
            <w:pPr>
              <w:jc w:val="both"/>
              <w:rPr>
                <w:sz w:val="20"/>
                <w:lang w:val="fr-CA"/>
              </w:rPr>
            </w:pPr>
          </w:p>
        </w:tc>
        <w:tc>
          <w:tcPr>
            <w:tcW w:w="2330" w:type="pct"/>
          </w:tcPr>
          <w:p w:rsidR="00F95A12" w:rsidRPr="00016113" w:rsidRDefault="00F95A12" w:rsidP="00F95A12">
            <w:pPr>
              <w:jc w:val="both"/>
              <w:rPr>
                <w:sz w:val="20"/>
                <w:lang w:val="fr-CA"/>
              </w:rPr>
            </w:pPr>
            <w:r w:rsidRPr="00016113">
              <w:rPr>
                <w:sz w:val="20"/>
                <w:lang w:val="fr-CA"/>
              </w:rPr>
              <w:t>Jugement du jury en faveur des demandeurs et condamnant les intimées à des dommages</w:t>
            </w:r>
            <w:r w:rsidRPr="00016113">
              <w:rPr>
                <w:sz w:val="20"/>
                <w:lang w:val="fr-CA"/>
              </w:rPr>
              <w:noBreakHyphen/>
              <w:t>intérêts.</w:t>
            </w:r>
          </w:p>
        </w:tc>
      </w:tr>
      <w:tr w:rsidR="00F95A12" w:rsidRPr="00016113" w:rsidTr="00F95A12">
        <w:tc>
          <w:tcPr>
            <w:tcW w:w="2427" w:type="pct"/>
            <w:gridSpan w:val="2"/>
          </w:tcPr>
          <w:p w:rsidR="00F95A12" w:rsidRPr="00016113" w:rsidRDefault="00F95A12" w:rsidP="00F95A12">
            <w:pPr>
              <w:jc w:val="both"/>
              <w:rPr>
                <w:sz w:val="20"/>
                <w:lang w:val="fr-CA"/>
              </w:rPr>
            </w:pPr>
            <w:r w:rsidRPr="00016113">
              <w:rPr>
                <w:sz w:val="20"/>
                <w:lang w:val="fr-CA"/>
              </w:rPr>
              <w:t>8 mai 2019</w:t>
            </w:r>
          </w:p>
          <w:p w:rsidR="00F95A12" w:rsidRPr="00016113" w:rsidRDefault="00F95A12" w:rsidP="00F95A12">
            <w:pPr>
              <w:jc w:val="both"/>
              <w:rPr>
                <w:sz w:val="20"/>
                <w:lang w:val="fr-CA"/>
              </w:rPr>
            </w:pPr>
            <w:r w:rsidRPr="00016113">
              <w:rPr>
                <w:sz w:val="20"/>
                <w:lang w:val="fr-CA"/>
              </w:rPr>
              <w:t>Cour suprême du territoire du Yukon</w:t>
            </w:r>
          </w:p>
          <w:p w:rsidR="00F95A12" w:rsidRPr="00016113" w:rsidRDefault="00F95A12" w:rsidP="00F95A12">
            <w:pPr>
              <w:jc w:val="both"/>
              <w:rPr>
                <w:sz w:val="20"/>
                <w:lang w:val="fr-CA"/>
              </w:rPr>
            </w:pPr>
            <w:r w:rsidRPr="00016113">
              <w:rPr>
                <w:sz w:val="20"/>
                <w:lang w:val="fr-CA"/>
              </w:rPr>
              <w:t>(Juge Veale)</w:t>
            </w:r>
          </w:p>
          <w:p w:rsidR="00F95A12" w:rsidRPr="00016113" w:rsidRDefault="00F95A12" w:rsidP="00F95A12">
            <w:pPr>
              <w:jc w:val="both"/>
              <w:rPr>
                <w:sz w:val="20"/>
                <w:lang w:val="fr-CA"/>
              </w:rPr>
            </w:pPr>
            <w:hyperlink r:id="rId29" w:history="1">
              <w:r w:rsidRPr="00016113">
                <w:rPr>
                  <w:rStyle w:val="Hyperlink"/>
                  <w:sz w:val="20"/>
                  <w:lang w:val="fr-CA"/>
                </w:rPr>
                <w:t>2019 YKSC 23</w:t>
              </w:r>
            </w:hyperlink>
            <w:r w:rsidRPr="00016113">
              <w:rPr>
                <w:sz w:val="20"/>
                <w:lang w:val="fr-CA"/>
              </w:rPr>
              <w:t xml:space="preserve"> </w:t>
            </w:r>
          </w:p>
          <w:p w:rsidR="00F95A12" w:rsidRPr="00016113" w:rsidRDefault="00F95A12" w:rsidP="00F95A12">
            <w:pPr>
              <w:jc w:val="both"/>
              <w:rPr>
                <w:sz w:val="20"/>
                <w:lang w:val="fr-CA"/>
              </w:rPr>
            </w:pPr>
          </w:p>
        </w:tc>
        <w:tc>
          <w:tcPr>
            <w:tcW w:w="243" w:type="pct"/>
          </w:tcPr>
          <w:p w:rsidR="00F95A12" w:rsidRPr="00016113" w:rsidRDefault="00F95A12" w:rsidP="00F95A12">
            <w:pPr>
              <w:jc w:val="both"/>
              <w:rPr>
                <w:sz w:val="20"/>
                <w:lang w:val="fr-CA"/>
              </w:rPr>
            </w:pPr>
          </w:p>
        </w:tc>
        <w:tc>
          <w:tcPr>
            <w:tcW w:w="2330" w:type="pct"/>
          </w:tcPr>
          <w:p w:rsidR="00F95A12" w:rsidRPr="00016113" w:rsidRDefault="00F95A12" w:rsidP="00F95A12">
            <w:pPr>
              <w:jc w:val="both"/>
              <w:rPr>
                <w:sz w:val="20"/>
                <w:lang w:val="fr-CA"/>
              </w:rPr>
            </w:pPr>
            <w:r w:rsidRPr="00016113">
              <w:rPr>
                <w:sz w:val="20"/>
                <w:lang w:val="fr-CA"/>
              </w:rPr>
              <w:t>Rejet de la demande des intimées pour que soit tranchée la question de savoir si la preuve au procès établissait une probabilité de malveillance.</w:t>
            </w:r>
          </w:p>
        </w:tc>
      </w:tr>
      <w:tr w:rsidR="00F95A12" w:rsidRPr="00016113" w:rsidTr="00F95A12">
        <w:tc>
          <w:tcPr>
            <w:tcW w:w="2427" w:type="pct"/>
            <w:gridSpan w:val="2"/>
          </w:tcPr>
          <w:p w:rsidR="00F95A12" w:rsidRPr="00016113" w:rsidRDefault="00F95A12" w:rsidP="00F95A12">
            <w:pPr>
              <w:jc w:val="both"/>
              <w:rPr>
                <w:sz w:val="20"/>
                <w:lang w:val="fr-CA"/>
              </w:rPr>
            </w:pPr>
            <w:r w:rsidRPr="00016113">
              <w:rPr>
                <w:sz w:val="20"/>
                <w:lang w:val="fr-CA"/>
              </w:rPr>
              <w:t>27 mars 2020</w:t>
            </w:r>
          </w:p>
          <w:p w:rsidR="00F95A12" w:rsidRPr="00016113" w:rsidRDefault="00F95A12" w:rsidP="00F95A12">
            <w:pPr>
              <w:jc w:val="both"/>
              <w:rPr>
                <w:sz w:val="20"/>
                <w:lang w:val="fr-CA"/>
              </w:rPr>
            </w:pPr>
            <w:r w:rsidRPr="00016113">
              <w:rPr>
                <w:sz w:val="20"/>
                <w:lang w:val="fr-CA"/>
              </w:rPr>
              <w:t>Cour d’appel du territoire du Yukon</w:t>
            </w:r>
          </w:p>
          <w:p w:rsidR="00F95A12" w:rsidRPr="00016113" w:rsidRDefault="00F95A12" w:rsidP="00F95A12">
            <w:pPr>
              <w:jc w:val="both"/>
              <w:rPr>
                <w:sz w:val="20"/>
                <w:lang w:val="fr-CA"/>
              </w:rPr>
            </w:pPr>
            <w:r w:rsidRPr="00016113">
              <w:rPr>
                <w:sz w:val="20"/>
                <w:lang w:val="fr-CA"/>
              </w:rPr>
              <w:t>(Juges Smith, Harris et Shaner)</w:t>
            </w:r>
          </w:p>
          <w:p w:rsidR="00F95A12" w:rsidRPr="00016113" w:rsidRDefault="00F95A12" w:rsidP="00F95A12">
            <w:pPr>
              <w:jc w:val="both"/>
              <w:rPr>
                <w:sz w:val="20"/>
                <w:lang w:val="fr-CA"/>
              </w:rPr>
            </w:pPr>
            <w:hyperlink r:id="rId30" w:history="1">
              <w:r w:rsidRPr="00016113">
                <w:rPr>
                  <w:rStyle w:val="Hyperlink"/>
                  <w:sz w:val="20"/>
                  <w:lang w:val="fr-CA"/>
                </w:rPr>
                <w:t>2020 YKCA 8</w:t>
              </w:r>
            </w:hyperlink>
            <w:r w:rsidRPr="00016113">
              <w:rPr>
                <w:sz w:val="20"/>
                <w:lang w:val="fr-CA"/>
              </w:rPr>
              <w:t xml:space="preserve"> (N</w:t>
            </w:r>
            <w:r w:rsidRPr="00016113">
              <w:rPr>
                <w:sz w:val="20"/>
                <w:vertAlign w:val="superscript"/>
                <w:lang w:val="fr-CA"/>
              </w:rPr>
              <w:t>o</w:t>
            </w:r>
            <w:r w:rsidRPr="00016113">
              <w:rPr>
                <w:sz w:val="20"/>
                <w:lang w:val="fr-CA"/>
              </w:rPr>
              <w:t xml:space="preserve"> de dossier : 18</w:t>
            </w:r>
            <w:r w:rsidRPr="00016113">
              <w:rPr>
                <w:sz w:val="20"/>
                <w:lang w:val="fr-CA"/>
              </w:rPr>
              <w:noBreakHyphen/>
              <w:t xml:space="preserve">YU840) </w:t>
            </w:r>
          </w:p>
          <w:p w:rsidR="00F95A12" w:rsidRPr="00016113" w:rsidRDefault="00F95A12" w:rsidP="00F95A12">
            <w:pPr>
              <w:jc w:val="both"/>
              <w:rPr>
                <w:sz w:val="20"/>
                <w:lang w:val="fr-CA"/>
              </w:rPr>
            </w:pPr>
          </w:p>
        </w:tc>
        <w:tc>
          <w:tcPr>
            <w:tcW w:w="243" w:type="pct"/>
          </w:tcPr>
          <w:p w:rsidR="00F95A12" w:rsidRPr="00016113" w:rsidRDefault="00F95A12" w:rsidP="00F95A12">
            <w:pPr>
              <w:jc w:val="both"/>
              <w:rPr>
                <w:sz w:val="20"/>
                <w:lang w:val="fr-CA"/>
              </w:rPr>
            </w:pPr>
          </w:p>
        </w:tc>
        <w:tc>
          <w:tcPr>
            <w:tcW w:w="2330" w:type="pct"/>
          </w:tcPr>
          <w:p w:rsidR="00F95A12" w:rsidRPr="00016113" w:rsidRDefault="00F95A12" w:rsidP="00F95A12">
            <w:pPr>
              <w:jc w:val="both"/>
              <w:rPr>
                <w:sz w:val="20"/>
                <w:lang w:val="fr-CA"/>
              </w:rPr>
            </w:pPr>
            <w:r w:rsidRPr="00016113">
              <w:rPr>
                <w:sz w:val="20"/>
                <w:lang w:val="fr-CA"/>
              </w:rPr>
              <w:t>Arrêt accueillant l’appel des intimées, annulant l’octroi de dommages</w:t>
            </w:r>
            <w:r w:rsidRPr="00016113">
              <w:rPr>
                <w:sz w:val="20"/>
                <w:lang w:val="fr-CA"/>
              </w:rPr>
              <w:noBreakHyphen/>
              <w:t xml:space="preserve">intérêts et ordonnant la tenue d’un nouveau procès. </w:t>
            </w:r>
          </w:p>
        </w:tc>
      </w:tr>
      <w:tr w:rsidR="00F95A12" w:rsidRPr="00016113" w:rsidTr="00F95A12">
        <w:tc>
          <w:tcPr>
            <w:tcW w:w="2427" w:type="pct"/>
            <w:gridSpan w:val="2"/>
          </w:tcPr>
          <w:p w:rsidR="00F95A12" w:rsidRPr="00016113" w:rsidRDefault="00F95A12" w:rsidP="00F95A12">
            <w:pPr>
              <w:jc w:val="both"/>
              <w:rPr>
                <w:sz w:val="20"/>
                <w:lang w:val="fr-CA"/>
              </w:rPr>
            </w:pPr>
            <w:r w:rsidRPr="00016113">
              <w:rPr>
                <w:sz w:val="20"/>
                <w:lang w:val="fr-CA"/>
              </w:rPr>
              <w:t>21 mai 2020</w:t>
            </w:r>
          </w:p>
          <w:p w:rsidR="00F95A12" w:rsidRPr="00016113" w:rsidRDefault="00F95A12" w:rsidP="00F95A12">
            <w:pPr>
              <w:jc w:val="both"/>
              <w:rPr>
                <w:sz w:val="20"/>
                <w:lang w:val="fr-CA"/>
              </w:rPr>
            </w:pPr>
            <w:r w:rsidRPr="00016113">
              <w:rPr>
                <w:sz w:val="20"/>
                <w:lang w:val="fr-CA"/>
              </w:rPr>
              <w:t>Cour suprême du Canada</w:t>
            </w:r>
          </w:p>
        </w:tc>
        <w:tc>
          <w:tcPr>
            <w:tcW w:w="243" w:type="pct"/>
          </w:tcPr>
          <w:p w:rsidR="00F95A12" w:rsidRPr="00016113" w:rsidRDefault="00F95A12" w:rsidP="00F95A12">
            <w:pPr>
              <w:jc w:val="both"/>
              <w:rPr>
                <w:sz w:val="20"/>
                <w:lang w:val="fr-CA"/>
              </w:rPr>
            </w:pPr>
          </w:p>
        </w:tc>
        <w:tc>
          <w:tcPr>
            <w:tcW w:w="2330" w:type="pct"/>
          </w:tcPr>
          <w:p w:rsidR="00F95A12" w:rsidRPr="00016113" w:rsidRDefault="00F95A12" w:rsidP="00F95A12">
            <w:pPr>
              <w:jc w:val="both"/>
              <w:rPr>
                <w:sz w:val="20"/>
                <w:lang w:val="fr-CA"/>
              </w:rPr>
            </w:pPr>
            <w:r w:rsidRPr="00016113">
              <w:rPr>
                <w:sz w:val="20"/>
                <w:lang w:val="fr-CA"/>
              </w:rPr>
              <w:t>Dépôt de la demande d’autorisation d’appel</w:t>
            </w:r>
          </w:p>
        </w:tc>
      </w:tr>
    </w:tbl>
    <w:p w:rsidR="00F95A12" w:rsidRPr="00016113" w:rsidRDefault="00F95A12" w:rsidP="00F95A12">
      <w:pPr>
        <w:jc w:val="both"/>
        <w:rPr>
          <w:sz w:val="20"/>
          <w:lang w:val="fr-CA"/>
        </w:rPr>
      </w:pPr>
    </w:p>
    <w:p w:rsidR="00F95A12" w:rsidRPr="00016113" w:rsidRDefault="00F95A12" w:rsidP="00F95A12">
      <w:pPr>
        <w:jc w:val="both"/>
        <w:rPr>
          <w:sz w:val="20"/>
          <w:lang w:val="fr-CA"/>
        </w:rPr>
      </w:pPr>
      <w:r w:rsidRPr="00016113">
        <w:rPr>
          <w:sz w:val="20"/>
        </w:rPr>
        <w:pict>
          <v:rect id="_x0000_i1034" style="width:2in;height:1pt" o:hrpct="0" o:hralign="center" o:hrstd="t" o:hrnoshade="t" o:hr="t" fillcolor="black [3213]" stroked="f"/>
        </w:pict>
      </w:r>
    </w:p>
    <w:p w:rsidR="00ED59AD" w:rsidRPr="00016113" w:rsidRDefault="00ED59AD" w:rsidP="00F95A12">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95A12" w:rsidRPr="00016113" w:rsidTr="00F95A12">
        <w:tc>
          <w:tcPr>
            <w:tcW w:w="543" w:type="pct"/>
          </w:tcPr>
          <w:p w:rsidR="00F95A12" w:rsidRPr="00016113" w:rsidRDefault="00F95A12" w:rsidP="00F95A12">
            <w:pPr>
              <w:jc w:val="both"/>
              <w:rPr>
                <w:sz w:val="20"/>
              </w:rPr>
            </w:pPr>
            <w:r w:rsidRPr="00016113">
              <w:rPr>
                <w:rStyle w:val="SCCFileNumberChar"/>
                <w:sz w:val="20"/>
                <w:szCs w:val="20"/>
              </w:rPr>
              <w:t>39188</w:t>
            </w:r>
          </w:p>
        </w:tc>
        <w:tc>
          <w:tcPr>
            <w:tcW w:w="4457" w:type="pct"/>
            <w:gridSpan w:val="3"/>
          </w:tcPr>
          <w:p w:rsidR="00F95A12" w:rsidRPr="00016113" w:rsidRDefault="00F95A12" w:rsidP="00F95A12">
            <w:pPr>
              <w:pStyle w:val="SCCLsocParty"/>
              <w:jc w:val="both"/>
              <w:rPr>
                <w:b/>
                <w:sz w:val="20"/>
                <w:szCs w:val="20"/>
                <w:lang w:val="en-US"/>
              </w:rPr>
            </w:pPr>
            <w:r w:rsidRPr="00016113">
              <w:rPr>
                <w:b/>
                <w:sz w:val="20"/>
                <w:szCs w:val="20"/>
                <w:lang w:val="en-US"/>
              </w:rPr>
              <w:t>Nandeep Bamrah v. Waterton Precious Metals Bid Corp.</w:t>
            </w:r>
          </w:p>
          <w:p w:rsidR="00F95A12" w:rsidRPr="00016113" w:rsidRDefault="00F95A12" w:rsidP="00F95A12">
            <w:pPr>
              <w:jc w:val="both"/>
              <w:rPr>
                <w:sz w:val="20"/>
              </w:rPr>
            </w:pPr>
            <w:r w:rsidRPr="00016113">
              <w:rPr>
                <w:sz w:val="20"/>
              </w:rPr>
              <w:t>(B.C.) (Civil) (By Leave)</w:t>
            </w:r>
          </w:p>
        </w:tc>
      </w:tr>
      <w:tr w:rsidR="00F95A12" w:rsidRPr="00016113" w:rsidTr="00F95A12">
        <w:tc>
          <w:tcPr>
            <w:tcW w:w="5000" w:type="pct"/>
            <w:gridSpan w:val="4"/>
          </w:tcPr>
          <w:p w:rsidR="00F95A12" w:rsidRPr="00016113" w:rsidRDefault="00F95A12" w:rsidP="00F95A12">
            <w:pPr>
              <w:jc w:val="both"/>
              <w:rPr>
                <w:sz w:val="20"/>
              </w:rPr>
            </w:pPr>
            <w:r w:rsidRPr="00016113">
              <w:rPr>
                <w:sz w:val="20"/>
              </w:rPr>
              <w:t>Commercial law — Corporations — Minority shareholders rights — Majority of shareholders of a corporation vote to sell all shares of corporation to third party at determined transaction price — Minority shareholder dissents and petitions court for assessment of fair value of his shares —Whether court should defer to transaction price or appraise value independently with benefit of expert evidence?</w:t>
            </w:r>
          </w:p>
        </w:tc>
      </w:tr>
      <w:tr w:rsidR="00F95A12" w:rsidRPr="00016113" w:rsidTr="00F95A12">
        <w:tc>
          <w:tcPr>
            <w:tcW w:w="5000" w:type="pct"/>
            <w:gridSpan w:val="4"/>
          </w:tcPr>
          <w:p w:rsidR="00F95A12" w:rsidRPr="00016113" w:rsidRDefault="00F95A12" w:rsidP="00F95A12">
            <w:pPr>
              <w:jc w:val="both"/>
              <w:rPr>
                <w:sz w:val="20"/>
              </w:rPr>
            </w:pPr>
          </w:p>
        </w:tc>
      </w:tr>
      <w:tr w:rsidR="00F95A12" w:rsidRPr="00016113" w:rsidTr="00F95A12">
        <w:tc>
          <w:tcPr>
            <w:tcW w:w="5000" w:type="pct"/>
            <w:gridSpan w:val="4"/>
          </w:tcPr>
          <w:p w:rsidR="00F95A12" w:rsidRPr="00016113" w:rsidRDefault="00F95A12" w:rsidP="00F95A12">
            <w:pPr>
              <w:jc w:val="both"/>
              <w:rPr>
                <w:sz w:val="20"/>
                <w:lang w:val="en"/>
              </w:rPr>
            </w:pPr>
            <w:r w:rsidRPr="00016113">
              <w:rPr>
                <w:sz w:val="20"/>
              </w:rPr>
              <w:t xml:space="preserve">In a hostile takeover bid, Waterton Precious Metals Bid Corp. sought to takeover </w:t>
            </w:r>
            <w:r w:rsidRPr="00016113">
              <w:rPr>
                <w:iCs/>
                <w:sz w:val="20"/>
                <w:lang w:val="en"/>
              </w:rPr>
              <w:t xml:space="preserve">Chaparral Gold Corp. The hostile takeover bid failed. The Board of Directors of Chaparral Gold Corp. recommended the two companies negotiate a takeover. </w:t>
            </w:r>
            <w:r w:rsidRPr="00016113">
              <w:rPr>
                <w:sz w:val="20"/>
              </w:rPr>
              <w:t xml:space="preserve">The two companies negotiated </w:t>
            </w:r>
            <w:r w:rsidRPr="00016113">
              <w:rPr>
                <w:sz w:val="20"/>
                <w:lang w:val="en"/>
              </w:rPr>
              <w:t xml:space="preserve">an Arrangement to propose to Chaparral </w:t>
            </w:r>
            <w:r w:rsidRPr="00016113">
              <w:rPr>
                <w:iCs/>
                <w:sz w:val="20"/>
                <w:lang w:val="en"/>
              </w:rPr>
              <w:t>Gold Corp.</w:t>
            </w:r>
            <w:r w:rsidRPr="00016113">
              <w:rPr>
                <w:sz w:val="20"/>
                <w:lang w:val="en"/>
              </w:rPr>
              <w:t xml:space="preserve">’s shareholders, pursuant to which </w:t>
            </w:r>
            <w:r w:rsidRPr="00016113">
              <w:rPr>
                <w:sz w:val="20"/>
              </w:rPr>
              <w:t>Waterton Precious Metals Bid Corp.</w:t>
            </w:r>
            <w:r w:rsidRPr="00016113">
              <w:rPr>
                <w:sz w:val="20"/>
                <w:lang w:val="en"/>
              </w:rPr>
              <w:t xml:space="preserve"> would acquire all outstanding Chaparral shares for $0.61 per share</w:t>
            </w:r>
            <w:r w:rsidRPr="00016113">
              <w:rPr>
                <w:sz w:val="20"/>
              </w:rPr>
              <w:t xml:space="preserve">. </w:t>
            </w:r>
            <w:r w:rsidRPr="00016113">
              <w:rPr>
                <w:sz w:val="20"/>
                <w:lang w:val="en"/>
              </w:rPr>
              <w:t xml:space="preserve">A majority of Chaparral shares were voted and a majority of the voted shares favoured the Arrangement. The Arrangement received court approval. Mr. Bamrah, a minority shareholder who opposed the Arrangement, exercised his dissent rights under the </w:t>
            </w:r>
            <w:r w:rsidRPr="00016113">
              <w:rPr>
                <w:i/>
                <w:iCs/>
                <w:sz w:val="20"/>
                <w:lang w:val="en"/>
              </w:rPr>
              <w:t>British Columbia Business Corporations Act</w:t>
            </w:r>
            <w:r w:rsidRPr="00016113">
              <w:rPr>
                <w:iCs/>
                <w:sz w:val="20"/>
                <w:lang w:val="en"/>
              </w:rPr>
              <w:t xml:space="preserve">, S.B.C. 2002, </w:t>
            </w:r>
            <w:proofErr w:type="gramStart"/>
            <w:r w:rsidRPr="00016113">
              <w:rPr>
                <w:iCs/>
                <w:sz w:val="20"/>
                <w:lang w:val="en"/>
              </w:rPr>
              <w:t>c</w:t>
            </w:r>
            <w:proofErr w:type="gramEnd"/>
            <w:r w:rsidRPr="00016113">
              <w:rPr>
                <w:iCs/>
                <w:sz w:val="20"/>
                <w:lang w:val="en"/>
              </w:rPr>
              <w:t xml:space="preserve">. 57. </w:t>
            </w:r>
            <w:r w:rsidRPr="00016113">
              <w:rPr>
                <w:sz w:val="20"/>
                <w:lang w:val="en"/>
              </w:rPr>
              <w:t xml:space="preserve">He petitioned the Supreme Court of British Columbia and asked the court to determine that the fair value of his shares was between $1.60 and $1.85 (USD). The court declared that the fair market value of the shares was $0.61 per share. The </w:t>
            </w:r>
            <w:r w:rsidRPr="00016113">
              <w:rPr>
                <w:sz w:val="20"/>
              </w:rPr>
              <w:t xml:space="preserve">Court of Appeal for British Columbia </w:t>
            </w:r>
            <w:r w:rsidRPr="00016113">
              <w:rPr>
                <w:sz w:val="20"/>
                <w:lang w:val="en"/>
              </w:rPr>
              <w:t xml:space="preserve">dismissed an appeal. </w:t>
            </w:r>
          </w:p>
          <w:p w:rsidR="00F95A12" w:rsidRPr="00016113" w:rsidRDefault="00F95A12" w:rsidP="00F95A12">
            <w:pPr>
              <w:jc w:val="both"/>
              <w:rPr>
                <w:sz w:val="20"/>
              </w:rPr>
            </w:pPr>
          </w:p>
        </w:tc>
      </w:tr>
      <w:tr w:rsidR="00F95A12" w:rsidRPr="00016113" w:rsidTr="00F95A12">
        <w:tc>
          <w:tcPr>
            <w:tcW w:w="2427" w:type="pct"/>
            <w:gridSpan w:val="2"/>
          </w:tcPr>
          <w:p w:rsidR="00F95A12" w:rsidRPr="00016113" w:rsidRDefault="00F95A12" w:rsidP="00F95A12">
            <w:pPr>
              <w:jc w:val="both"/>
              <w:rPr>
                <w:sz w:val="20"/>
              </w:rPr>
            </w:pPr>
            <w:r w:rsidRPr="00016113">
              <w:rPr>
                <w:sz w:val="20"/>
              </w:rPr>
              <w:t>February 28, 2019</w:t>
            </w:r>
          </w:p>
          <w:p w:rsidR="00F95A12" w:rsidRPr="00016113" w:rsidRDefault="00F95A12" w:rsidP="00F95A12">
            <w:pPr>
              <w:jc w:val="both"/>
              <w:rPr>
                <w:sz w:val="20"/>
              </w:rPr>
            </w:pPr>
            <w:r w:rsidRPr="00016113">
              <w:rPr>
                <w:sz w:val="20"/>
              </w:rPr>
              <w:t>Supreme Court of British Columbia</w:t>
            </w:r>
          </w:p>
          <w:p w:rsidR="00F95A12" w:rsidRPr="00016113" w:rsidRDefault="00F95A12" w:rsidP="00F95A12">
            <w:pPr>
              <w:jc w:val="both"/>
              <w:rPr>
                <w:sz w:val="20"/>
              </w:rPr>
            </w:pPr>
            <w:r w:rsidRPr="00016113">
              <w:rPr>
                <w:sz w:val="20"/>
              </w:rPr>
              <w:t>(Funt J.)</w:t>
            </w:r>
          </w:p>
          <w:p w:rsidR="00F95A12" w:rsidRPr="00016113" w:rsidRDefault="00F95A12" w:rsidP="00F95A12">
            <w:pPr>
              <w:jc w:val="both"/>
              <w:rPr>
                <w:sz w:val="20"/>
              </w:rPr>
            </w:pPr>
            <w:hyperlink r:id="rId31" w:history="1">
              <w:r w:rsidRPr="00016113">
                <w:rPr>
                  <w:rStyle w:val="Hyperlink"/>
                  <w:sz w:val="20"/>
                </w:rPr>
                <w:t>2019 BCSC 258</w:t>
              </w:r>
            </w:hyperlink>
          </w:p>
          <w:p w:rsidR="00F95A12" w:rsidRPr="00016113" w:rsidRDefault="00F95A12" w:rsidP="00F95A12">
            <w:pPr>
              <w:jc w:val="both"/>
              <w:rPr>
                <w:sz w:val="20"/>
              </w:rPr>
            </w:pPr>
          </w:p>
        </w:tc>
        <w:tc>
          <w:tcPr>
            <w:tcW w:w="243" w:type="pct"/>
          </w:tcPr>
          <w:p w:rsidR="00F95A12" w:rsidRPr="00016113" w:rsidRDefault="00F95A12" w:rsidP="00F95A12">
            <w:pPr>
              <w:jc w:val="both"/>
              <w:rPr>
                <w:sz w:val="20"/>
              </w:rPr>
            </w:pPr>
          </w:p>
        </w:tc>
        <w:tc>
          <w:tcPr>
            <w:tcW w:w="2330" w:type="pct"/>
          </w:tcPr>
          <w:p w:rsidR="00F95A12" w:rsidRPr="00016113" w:rsidRDefault="00F95A12" w:rsidP="00F95A12">
            <w:pPr>
              <w:jc w:val="both"/>
              <w:rPr>
                <w:sz w:val="20"/>
              </w:rPr>
            </w:pPr>
            <w:r w:rsidRPr="00016113">
              <w:rPr>
                <w:sz w:val="20"/>
              </w:rPr>
              <w:t>Declaration of fair value of shares</w:t>
            </w:r>
          </w:p>
        </w:tc>
      </w:tr>
      <w:tr w:rsidR="00F95A12" w:rsidRPr="00016113" w:rsidTr="00F95A12">
        <w:tc>
          <w:tcPr>
            <w:tcW w:w="2427" w:type="pct"/>
            <w:gridSpan w:val="2"/>
          </w:tcPr>
          <w:p w:rsidR="00F95A12" w:rsidRPr="00016113" w:rsidRDefault="00F95A12" w:rsidP="00F95A12">
            <w:pPr>
              <w:jc w:val="both"/>
              <w:rPr>
                <w:sz w:val="20"/>
              </w:rPr>
            </w:pPr>
            <w:r w:rsidRPr="00016113">
              <w:rPr>
                <w:sz w:val="20"/>
              </w:rPr>
              <w:t>April 30, 2020</w:t>
            </w:r>
          </w:p>
          <w:p w:rsidR="00F95A12" w:rsidRPr="00016113" w:rsidRDefault="00F95A12" w:rsidP="00F95A12">
            <w:pPr>
              <w:jc w:val="both"/>
              <w:rPr>
                <w:sz w:val="20"/>
              </w:rPr>
            </w:pPr>
            <w:r w:rsidRPr="00016113">
              <w:rPr>
                <w:sz w:val="20"/>
              </w:rPr>
              <w:t>Court of Appeal for British Columbia</w:t>
            </w:r>
          </w:p>
          <w:p w:rsidR="00F95A12" w:rsidRPr="00016113" w:rsidRDefault="00F95A12" w:rsidP="00F95A12">
            <w:pPr>
              <w:jc w:val="both"/>
              <w:rPr>
                <w:sz w:val="20"/>
              </w:rPr>
            </w:pPr>
            <w:r w:rsidRPr="00016113">
              <w:rPr>
                <w:sz w:val="20"/>
              </w:rPr>
              <w:t>(Vancouver)</w:t>
            </w:r>
          </w:p>
          <w:p w:rsidR="00F95A12" w:rsidRPr="00016113" w:rsidRDefault="00F95A12" w:rsidP="00F95A12">
            <w:pPr>
              <w:jc w:val="both"/>
              <w:rPr>
                <w:sz w:val="20"/>
              </w:rPr>
            </w:pPr>
            <w:r w:rsidRPr="00016113">
              <w:rPr>
                <w:sz w:val="20"/>
              </w:rPr>
              <w:t xml:space="preserve">(Dickson, </w:t>
            </w:r>
            <w:proofErr w:type="spellStart"/>
            <w:r w:rsidRPr="00016113">
              <w:rPr>
                <w:sz w:val="20"/>
              </w:rPr>
              <w:t>Abrioux</w:t>
            </w:r>
            <w:proofErr w:type="spellEnd"/>
            <w:r w:rsidRPr="00016113">
              <w:rPr>
                <w:sz w:val="20"/>
              </w:rPr>
              <w:t xml:space="preserve"> and </w:t>
            </w:r>
            <w:proofErr w:type="spellStart"/>
            <w:r w:rsidRPr="00016113">
              <w:rPr>
                <w:sz w:val="20"/>
              </w:rPr>
              <w:t>Grauer</w:t>
            </w:r>
            <w:proofErr w:type="spellEnd"/>
            <w:r w:rsidRPr="00016113">
              <w:rPr>
                <w:sz w:val="20"/>
              </w:rPr>
              <w:t xml:space="preserve"> JJ.A.)</w:t>
            </w:r>
          </w:p>
          <w:p w:rsidR="00F95A12" w:rsidRPr="00016113" w:rsidRDefault="00F95A12" w:rsidP="00F95A12">
            <w:pPr>
              <w:jc w:val="both"/>
              <w:rPr>
                <w:sz w:val="20"/>
              </w:rPr>
            </w:pPr>
            <w:hyperlink r:id="rId32" w:history="1">
              <w:r w:rsidRPr="00016113">
                <w:rPr>
                  <w:rStyle w:val="Hyperlink"/>
                  <w:sz w:val="20"/>
                </w:rPr>
                <w:t>2020 BCCA 122</w:t>
              </w:r>
            </w:hyperlink>
            <w:r w:rsidRPr="00016113">
              <w:rPr>
                <w:sz w:val="20"/>
              </w:rPr>
              <w:t>; CA45979</w:t>
            </w:r>
          </w:p>
          <w:p w:rsidR="00F95A12" w:rsidRPr="00016113" w:rsidRDefault="00F95A12" w:rsidP="00F95A12">
            <w:pPr>
              <w:jc w:val="both"/>
              <w:rPr>
                <w:sz w:val="20"/>
              </w:rPr>
            </w:pPr>
          </w:p>
        </w:tc>
        <w:tc>
          <w:tcPr>
            <w:tcW w:w="243" w:type="pct"/>
          </w:tcPr>
          <w:p w:rsidR="00F95A12" w:rsidRPr="00016113" w:rsidRDefault="00F95A12" w:rsidP="00F95A12">
            <w:pPr>
              <w:jc w:val="both"/>
              <w:rPr>
                <w:sz w:val="20"/>
              </w:rPr>
            </w:pPr>
          </w:p>
        </w:tc>
        <w:tc>
          <w:tcPr>
            <w:tcW w:w="2330" w:type="pct"/>
          </w:tcPr>
          <w:p w:rsidR="00F95A12" w:rsidRPr="00016113" w:rsidRDefault="00F95A12" w:rsidP="00F95A12">
            <w:pPr>
              <w:jc w:val="both"/>
              <w:rPr>
                <w:sz w:val="20"/>
              </w:rPr>
            </w:pPr>
            <w:r w:rsidRPr="00016113">
              <w:rPr>
                <w:sz w:val="20"/>
              </w:rPr>
              <w:t>Appeal dismissed</w:t>
            </w:r>
          </w:p>
        </w:tc>
      </w:tr>
      <w:tr w:rsidR="00F95A12" w:rsidRPr="00016113" w:rsidTr="00F95A12">
        <w:tc>
          <w:tcPr>
            <w:tcW w:w="2427" w:type="pct"/>
            <w:gridSpan w:val="2"/>
          </w:tcPr>
          <w:p w:rsidR="00F95A12" w:rsidRPr="00016113" w:rsidRDefault="00F95A12" w:rsidP="00F95A12">
            <w:pPr>
              <w:jc w:val="both"/>
              <w:rPr>
                <w:sz w:val="20"/>
              </w:rPr>
            </w:pPr>
            <w:r w:rsidRPr="00016113">
              <w:rPr>
                <w:sz w:val="20"/>
              </w:rPr>
              <w:t>May 28, 2020</w:t>
            </w:r>
          </w:p>
          <w:p w:rsidR="00F95A12" w:rsidRPr="00016113" w:rsidRDefault="00F95A12" w:rsidP="00F95A12">
            <w:pPr>
              <w:jc w:val="both"/>
              <w:rPr>
                <w:sz w:val="20"/>
              </w:rPr>
            </w:pPr>
            <w:r w:rsidRPr="00016113">
              <w:rPr>
                <w:sz w:val="20"/>
              </w:rPr>
              <w:t>Supreme Court of Canada</w:t>
            </w:r>
          </w:p>
        </w:tc>
        <w:tc>
          <w:tcPr>
            <w:tcW w:w="243" w:type="pct"/>
          </w:tcPr>
          <w:p w:rsidR="00F95A12" w:rsidRPr="00016113" w:rsidRDefault="00F95A12" w:rsidP="00F95A12">
            <w:pPr>
              <w:jc w:val="both"/>
              <w:rPr>
                <w:sz w:val="20"/>
              </w:rPr>
            </w:pPr>
          </w:p>
        </w:tc>
        <w:tc>
          <w:tcPr>
            <w:tcW w:w="2330" w:type="pct"/>
          </w:tcPr>
          <w:p w:rsidR="00F95A12" w:rsidRPr="00016113" w:rsidRDefault="00F95A12" w:rsidP="00F95A12">
            <w:pPr>
              <w:jc w:val="both"/>
              <w:rPr>
                <w:sz w:val="20"/>
              </w:rPr>
            </w:pPr>
            <w:r w:rsidRPr="00016113">
              <w:rPr>
                <w:sz w:val="20"/>
              </w:rPr>
              <w:t>Application for leave to appeal filed</w:t>
            </w:r>
          </w:p>
        </w:tc>
      </w:tr>
    </w:tbl>
    <w:p w:rsidR="00F95A12" w:rsidRPr="00016113" w:rsidRDefault="00F95A12" w:rsidP="00F95A12">
      <w:pPr>
        <w:jc w:val="both"/>
        <w:rPr>
          <w:sz w:val="20"/>
        </w:rPr>
      </w:pPr>
    </w:p>
    <w:p w:rsidR="00F95A12" w:rsidRPr="00016113" w:rsidRDefault="00F95A12" w:rsidP="00F95A12">
      <w:pPr>
        <w:jc w:val="both"/>
        <w:rPr>
          <w:sz w:val="20"/>
        </w:rPr>
      </w:pPr>
      <w:r w:rsidRPr="00016113">
        <w:rPr>
          <w:sz w:val="20"/>
        </w:rPr>
        <w:pict>
          <v:rect id="_x0000_i1035" style="width:2in;height:1pt" o:hrpct="0" o:hralign="center" o:hrstd="t" o:hrnoshade="t" o:hr="t" fillcolor="black [3213]" stroked="f"/>
        </w:pict>
      </w:r>
    </w:p>
    <w:p w:rsidR="00F95A12" w:rsidRPr="00016113" w:rsidRDefault="00F95A12" w:rsidP="00F95A1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95A12" w:rsidRPr="00016113" w:rsidTr="00F95A12">
        <w:tc>
          <w:tcPr>
            <w:tcW w:w="543" w:type="pct"/>
          </w:tcPr>
          <w:p w:rsidR="00F95A12" w:rsidRPr="00016113" w:rsidRDefault="00F95A12" w:rsidP="00F95A12">
            <w:pPr>
              <w:jc w:val="both"/>
              <w:rPr>
                <w:sz w:val="20"/>
                <w:lang w:val="fr-CA"/>
              </w:rPr>
            </w:pPr>
            <w:r w:rsidRPr="00016113">
              <w:rPr>
                <w:rStyle w:val="SCCFileNumberChar"/>
                <w:sz w:val="20"/>
                <w:szCs w:val="20"/>
                <w:lang w:val="fr-CA"/>
              </w:rPr>
              <w:t>39188</w:t>
            </w:r>
          </w:p>
        </w:tc>
        <w:tc>
          <w:tcPr>
            <w:tcW w:w="4457" w:type="pct"/>
            <w:gridSpan w:val="3"/>
          </w:tcPr>
          <w:p w:rsidR="00F95A12" w:rsidRPr="00016113" w:rsidRDefault="00F95A12" w:rsidP="00F95A12">
            <w:pPr>
              <w:pStyle w:val="SCCLsocParty"/>
              <w:jc w:val="both"/>
              <w:rPr>
                <w:b/>
                <w:sz w:val="20"/>
                <w:szCs w:val="20"/>
                <w:lang w:val="en-US"/>
              </w:rPr>
            </w:pPr>
            <w:r w:rsidRPr="00016113">
              <w:rPr>
                <w:b/>
                <w:sz w:val="20"/>
                <w:szCs w:val="20"/>
                <w:lang w:val="en-US"/>
              </w:rPr>
              <w:t>Nandeep Bamrah c. Waterton Precious Metals Bid Corp.</w:t>
            </w:r>
          </w:p>
          <w:p w:rsidR="00F95A12" w:rsidRPr="00016113" w:rsidRDefault="00F95A12" w:rsidP="00F95A12">
            <w:pPr>
              <w:jc w:val="both"/>
              <w:rPr>
                <w:sz w:val="20"/>
                <w:lang w:val="fr-CA"/>
              </w:rPr>
            </w:pPr>
            <w:r w:rsidRPr="00016113">
              <w:rPr>
                <w:sz w:val="20"/>
                <w:lang w:val="fr-CA"/>
              </w:rPr>
              <w:t>(C.</w:t>
            </w:r>
            <w:r w:rsidRPr="00016113">
              <w:rPr>
                <w:sz w:val="20"/>
                <w:lang w:val="fr-CA"/>
              </w:rPr>
              <w:noBreakHyphen/>
              <w:t>B.) (Civile) (Autorisation)</w:t>
            </w:r>
          </w:p>
        </w:tc>
      </w:tr>
      <w:tr w:rsidR="00F95A12" w:rsidRPr="00016113" w:rsidTr="00F95A12">
        <w:tc>
          <w:tcPr>
            <w:tcW w:w="5000" w:type="pct"/>
            <w:gridSpan w:val="4"/>
          </w:tcPr>
          <w:p w:rsidR="00F95A12" w:rsidRPr="00016113" w:rsidRDefault="00F95A12" w:rsidP="00F95A12">
            <w:pPr>
              <w:jc w:val="both"/>
              <w:rPr>
                <w:sz w:val="20"/>
                <w:lang w:val="fr-CA"/>
              </w:rPr>
            </w:pPr>
            <w:r w:rsidRPr="00016113">
              <w:rPr>
                <w:sz w:val="20"/>
                <w:lang w:val="fr-CA"/>
              </w:rPr>
              <w:t>Droit commercial — Sociétés par actions — Droits des actionnaires minoritaires — Les actionnaires majoritaires d’une société par actions votent en faveur de la vente de toutes les actions de la société à un tiers pour un prix déterminé — Un actionnaire minoritaire exprime sa dissidence et demande au tribunal d’évaluer la juste valeur marchande de ses actions — Le tribunal doit</w:t>
            </w:r>
            <w:r w:rsidRPr="00016113">
              <w:rPr>
                <w:sz w:val="20"/>
                <w:lang w:val="fr-CA"/>
              </w:rPr>
              <w:noBreakHyphen/>
              <w:t>il s’en remettre au prix de l’opération ou évaluer la valeur indépendamment en s’appuyant sur une preuve d’expert?</w:t>
            </w:r>
          </w:p>
        </w:tc>
      </w:tr>
      <w:tr w:rsidR="00F95A12" w:rsidRPr="00016113" w:rsidTr="00F95A12">
        <w:tc>
          <w:tcPr>
            <w:tcW w:w="5000" w:type="pct"/>
            <w:gridSpan w:val="4"/>
          </w:tcPr>
          <w:p w:rsidR="00F95A12" w:rsidRPr="00016113" w:rsidRDefault="00F95A12" w:rsidP="00F95A12">
            <w:pPr>
              <w:jc w:val="both"/>
              <w:rPr>
                <w:sz w:val="20"/>
                <w:lang w:val="fr-CA"/>
              </w:rPr>
            </w:pPr>
          </w:p>
        </w:tc>
      </w:tr>
      <w:tr w:rsidR="00F95A12" w:rsidRPr="00016113" w:rsidTr="00F95A12">
        <w:tc>
          <w:tcPr>
            <w:tcW w:w="5000" w:type="pct"/>
            <w:gridSpan w:val="4"/>
          </w:tcPr>
          <w:p w:rsidR="00F95A12" w:rsidRPr="00016113" w:rsidRDefault="00F95A12" w:rsidP="00F95A12">
            <w:pPr>
              <w:jc w:val="both"/>
              <w:rPr>
                <w:sz w:val="20"/>
                <w:lang w:val="fr-CA"/>
              </w:rPr>
            </w:pPr>
            <w:r w:rsidRPr="00016113">
              <w:rPr>
                <w:sz w:val="20"/>
                <w:lang w:val="fr-CA"/>
              </w:rPr>
              <w:t xml:space="preserve">Dans une OPA hostile, Waterton Precious Metals Bid Corp. a tenté d’obtenir la mainmise de </w:t>
            </w:r>
            <w:r w:rsidRPr="00016113">
              <w:rPr>
                <w:iCs/>
                <w:sz w:val="20"/>
                <w:lang w:val="fr-CA"/>
              </w:rPr>
              <w:t xml:space="preserve">Chaparral Gold Corp. L’OPA hostile n’a pas abouti. Le conseil d’administration de Chaparral Gold Corp. a recommandé que les deux compagnies négocient une mainmise. </w:t>
            </w:r>
            <w:r w:rsidRPr="00016113">
              <w:rPr>
                <w:sz w:val="20"/>
                <w:lang w:val="fr-CA"/>
              </w:rPr>
              <w:t xml:space="preserve">Les deux compagnies ont négocié un arrangement à proposer aux actionnaires de Chaparral </w:t>
            </w:r>
            <w:r w:rsidRPr="00016113">
              <w:rPr>
                <w:iCs/>
                <w:sz w:val="20"/>
                <w:lang w:val="fr-CA"/>
              </w:rPr>
              <w:t>Gold Corp.</w:t>
            </w:r>
            <w:r w:rsidRPr="00016113">
              <w:rPr>
                <w:sz w:val="20"/>
                <w:lang w:val="fr-CA"/>
              </w:rPr>
              <w:t>, en vertu duquel Waterton Precious Metals Bid Corp. ferait l’acquisition de toutes les actions en circulation de Chaparral au prix de 0,61 $ l’action. Une majorité des actionnaires de Chaparral ont voté et une majorité de ceux</w:t>
            </w:r>
            <w:r w:rsidRPr="00016113">
              <w:rPr>
                <w:sz w:val="20"/>
                <w:lang w:val="fr-CA"/>
              </w:rPr>
              <w:noBreakHyphen/>
              <w:t xml:space="preserve">ci ont appuyé l’arrangement. L’arrangement a été approuvé par le tribunal. Monsieur Bamrah, un actionnaire minoritaire qui s’opposait à l’arrangement, a exercé ses droits de dissidence sous le régime de la </w:t>
            </w:r>
            <w:r w:rsidRPr="00016113">
              <w:rPr>
                <w:i/>
                <w:iCs/>
                <w:sz w:val="20"/>
                <w:lang w:val="fr-CA"/>
              </w:rPr>
              <w:t>British Columbia Business Corporations Act</w:t>
            </w:r>
            <w:r w:rsidRPr="00016113">
              <w:rPr>
                <w:iCs/>
                <w:sz w:val="20"/>
                <w:lang w:val="fr-CA"/>
              </w:rPr>
              <w:t xml:space="preserve">, S.B.C. 2002, ch. 57. </w:t>
            </w:r>
            <w:r w:rsidRPr="00016113">
              <w:rPr>
                <w:sz w:val="20"/>
                <w:lang w:val="fr-CA"/>
              </w:rPr>
              <w:t>Il s’est adressé par requête à la Cour suprême de la Colombie</w:t>
            </w:r>
            <w:r w:rsidRPr="00016113">
              <w:rPr>
                <w:sz w:val="20"/>
                <w:lang w:val="fr-CA"/>
              </w:rPr>
              <w:noBreakHyphen/>
              <w:t>Britannique et a demandé au tribunal de statuer que la juste valeur de ses actions se situait entre 1,60 $US et 1,85 $US. Le tribunal a déclaré que la juste valeur marchande des actions était de 0,61 $ l’action. La Cour d’appel de la Colombie</w:t>
            </w:r>
            <w:r w:rsidRPr="00016113">
              <w:rPr>
                <w:sz w:val="20"/>
                <w:lang w:val="fr-CA"/>
              </w:rPr>
              <w:noBreakHyphen/>
              <w:t xml:space="preserve">Britannique a rejeté l’appel. </w:t>
            </w:r>
          </w:p>
          <w:p w:rsidR="00F95A12" w:rsidRPr="00016113" w:rsidRDefault="00F95A12" w:rsidP="00F95A12">
            <w:pPr>
              <w:jc w:val="both"/>
              <w:rPr>
                <w:sz w:val="20"/>
                <w:lang w:val="fr-CA"/>
              </w:rPr>
            </w:pPr>
          </w:p>
        </w:tc>
      </w:tr>
      <w:tr w:rsidR="00F95A12" w:rsidRPr="00016113" w:rsidTr="00F95A12">
        <w:tc>
          <w:tcPr>
            <w:tcW w:w="2427" w:type="pct"/>
            <w:gridSpan w:val="2"/>
          </w:tcPr>
          <w:p w:rsidR="00F95A12" w:rsidRPr="00016113" w:rsidRDefault="00F95A12" w:rsidP="00F95A12">
            <w:pPr>
              <w:jc w:val="both"/>
              <w:rPr>
                <w:sz w:val="20"/>
                <w:lang w:val="fr-CA"/>
              </w:rPr>
            </w:pPr>
            <w:r w:rsidRPr="00016113">
              <w:rPr>
                <w:sz w:val="20"/>
                <w:lang w:val="fr-CA"/>
              </w:rPr>
              <w:t>28 février 2019</w:t>
            </w:r>
          </w:p>
          <w:p w:rsidR="00F95A12" w:rsidRPr="00016113" w:rsidRDefault="00F95A12" w:rsidP="00F95A12">
            <w:pPr>
              <w:jc w:val="both"/>
              <w:rPr>
                <w:sz w:val="20"/>
                <w:lang w:val="fr-CA"/>
              </w:rPr>
            </w:pPr>
            <w:r w:rsidRPr="00016113">
              <w:rPr>
                <w:sz w:val="20"/>
                <w:lang w:val="fr-CA"/>
              </w:rPr>
              <w:t>Cour suprême de la Colombie</w:t>
            </w:r>
            <w:r w:rsidRPr="00016113">
              <w:rPr>
                <w:sz w:val="20"/>
                <w:lang w:val="fr-CA"/>
              </w:rPr>
              <w:noBreakHyphen/>
              <w:t>Britannique</w:t>
            </w:r>
          </w:p>
          <w:p w:rsidR="00F95A12" w:rsidRPr="00016113" w:rsidRDefault="00F95A12" w:rsidP="00F95A12">
            <w:pPr>
              <w:jc w:val="both"/>
              <w:rPr>
                <w:sz w:val="20"/>
                <w:lang w:val="fr-CA"/>
              </w:rPr>
            </w:pPr>
            <w:r w:rsidRPr="00016113">
              <w:rPr>
                <w:sz w:val="20"/>
                <w:lang w:val="fr-CA"/>
              </w:rPr>
              <w:t>(Juge Funt)</w:t>
            </w:r>
          </w:p>
          <w:p w:rsidR="00F95A12" w:rsidRPr="00016113" w:rsidRDefault="00F95A12" w:rsidP="00F95A12">
            <w:pPr>
              <w:jc w:val="both"/>
              <w:rPr>
                <w:sz w:val="20"/>
                <w:lang w:val="fr-CA"/>
              </w:rPr>
            </w:pPr>
            <w:hyperlink r:id="rId33" w:history="1">
              <w:r w:rsidRPr="00016113">
                <w:rPr>
                  <w:rStyle w:val="Hyperlink"/>
                  <w:sz w:val="20"/>
                  <w:lang w:val="fr-CA"/>
                </w:rPr>
                <w:t>2019 BCSC 258</w:t>
              </w:r>
            </w:hyperlink>
          </w:p>
          <w:p w:rsidR="00F95A12" w:rsidRPr="00016113" w:rsidRDefault="00F95A12" w:rsidP="00F95A12">
            <w:pPr>
              <w:jc w:val="both"/>
              <w:rPr>
                <w:sz w:val="20"/>
                <w:lang w:val="fr-CA"/>
              </w:rPr>
            </w:pPr>
          </w:p>
        </w:tc>
        <w:tc>
          <w:tcPr>
            <w:tcW w:w="243" w:type="pct"/>
          </w:tcPr>
          <w:p w:rsidR="00F95A12" w:rsidRPr="00016113" w:rsidRDefault="00F95A12" w:rsidP="00F95A12">
            <w:pPr>
              <w:jc w:val="both"/>
              <w:rPr>
                <w:sz w:val="20"/>
                <w:lang w:val="fr-CA"/>
              </w:rPr>
            </w:pPr>
          </w:p>
        </w:tc>
        <w:tc>
          <w:tcPr>
            <w:tcW w:w="2330" w:type="pct"/>
          </w:tcPr>
          <w:p w:rsidR="00F95A12" w:rsidRPr="00016113" w:rsidRDefault="00F95A12" w:rsidP="00F95A12">
            <w:pPr>
              <w:jc w:val="both"/>
              <w:rPr>
                <w:sz w:val="20"/>
                <w:lang w:val="fr-CA"/>
              </w:rPr>
            </w:pPr>
            <w:r w:rsidRPr="00016113">
              <w:rPr>
                <w:sz w:val="20"/>
                <w:lang w:val="fr-CA"/>
              </w:rPr>
              <w:t>Jugement déclarant la juste valeur des actions</w:t>
            </w:r>
          </w:p>
        </w:tc>
      </w:tr>
      <w:tr w:rsidR="00F95A12" w:rsidRPr="00016113" w:rsidTr="00F95A12">
        <w:tc>
          <w:tcPr>
            <w:tcW w:w="2427" w:type="pct"/>
            <w:gridSpan w:val="2"/>
          </w:tcPr>
          <w:p w:rsidR="00F95A12" w:rsidRPr="00016113" w:rsidRDefault="00F95A12" w:rsidP="00F95A12">
            <w:pPr>
              <w:jc w:val="both"/>
              <w:rPr>
                <w:sz w:val="20"/>
                <w:lang w:val="fr-CA"/>
              </w:rPr>
            </w:pPr>
            <w:r w:rsidRPr="00016113">
              <w:rPr>
                <w:sz w:val="20"/>
                <w:lang w:val="fr-CA"/>
              </w:rPr>
              <w:t>30 avril 2020</w:t>
            </w:r>
          </w:p>
          <w:p w:rsidR="00F95A12" w:rsidRPr="00016113" w:rsidRDefault="00F95A12" w:rsidP="00F95A12">
            <w:pPr>
              <w:jc w:val="both"/>
              <w:rPr>
                <w:sz w:val="20"/>
                <w:lang w:val="fr-CA"/>
              </w:rPr>
            </w:pPr>
            <w:r w:rsidRPr="00016113">
              <w:rPr>
                <w:sz w:val="20"/>
                <w:lang w:val="fr-CA"/>
              </w:rPr>
              <w:t>Cour d’appel de la Colombie</w:t>
            </w:r>
            <w:r w:rsidRPr="00016113">
              <w:rPr>
                <w:sz w:val="20"/>
                <w:lang w:val="fr-CA"/>
              </w:rPr>
              <w:noBreakHyphen/>
              <w:t>Britannique</w:t>
            </w:r>
          </w:p>
          <w:p w:rsidR="00F95A12" w:rsidRPr="00016113" w:rsidRDefault="00F95A12" w:rsidP="00F95A12">
            <w:pPr>
              <w:jc w:val="both"/>
              <w:rPr>
                <w:sz w:val="20"/>
                <w:lang w:val="fr-CA"/>
              </w:rPr>
            </w:pPr>
            <w:r w:rsidRPr="00016113">
              <w:rPr>
                <w:sz w:val="20"/>
                <w:lang w:val="fr-CA"/>
              </w:rPr>
              <w:t>(Vancouver)</w:t>
            </w:r>
          </w:p>
          <w:p w:rsidR="00F95A12" w:rsidRPr="00016113" w:rsidRDefault="00F95A12" w:rsidP="00F95A12">
            <w:pPr>
              <w:jc w:val="both"/>
              <w:rPr>
                <w:sz w:val="20"/>
                <w:lang w:val="fr-CA"/>
              </w:rPr>
            </w:pPr>
            <w:r w:rsidRPr="00016113">
              <w:rPr>
                <w:sz w:val="20"/>
                <w:lang w:val="fr-CA"/>
              </w:rPr>
              <w:t>(Juges Dickson, Abrioux et Grauer)</w:t>
            </w:r>
          </w:p>
          <w:p w:rsidR="00F95A12" w:rsidRPr="00016113" w:rsidRDefault="00F95A12" w:rsidP="00F95A12">
            <w:pPr>
              <w:jc w:val="both"/>
              <w:rPr>
                <w:sz w:val="20"/>
                <w:lang w:val="fr-CA"/>
              </w:rPr>
            </w:pPr>
            <w:hyperlink r:id="rId34" w:history="1">
              <w:r w:rsidRPr="00016113">
                <w:rPr>
                  <w:rStyle w:val="Hyperlink"/>
                  <w:sz w:val="20"/>
                  <w:lang w:val="fr-CA"/>
                </w:rPr>
                <w:t>2020 BCCA 122</w:t>
              </w:r>
            </w:hyperlink>
            <w:r w:rsidRPr="00016113">
              <w:rPr>
                <w:sz w:val="20"/>
                <w:lang w:val="fr-CA"/>
              </w:rPr>
              <w:t>; CA45979</w:t>
            </w:r>
          </w:p>
          <w:p w:rsidR="00F95A12" w:rsidRPr="00016113" w:rsidRDefault="00F95A12" w:rsidP="00F95A12">
            <w:pPr>
              <w:jc w:val="both"/>
              <w:rPr>
                <w:sz w:val="20"/>
                <w:lang w:val="fr-CA"/>
              </w:rPr>
            </w:pPr>
          </w:p>
        </w:tc>
        <w:tc>
          <w:tcPr>
            <w:tcW w:w="243" w:type="pct"/>
          </w:tcPr>
          <w:p w:rsidR="00F95A12" w:rsidRPr="00016113" w:rsidRDefault="00F95A12" w:rsidP="00F95A12">
            <w:pPr>
              <w:jc w:val="both"/>
              <w:rPr>
                <w:sz w:val="20"/>
                <w:lang w:val="fr-CA"/>
              </w:rPr>
            </w:pPr>
          </w:p>
        </w:tc>
        <w:tc>
          <w:tcPr>
            <w:tcW w:w="2330" w:type="pct"/>
          </w:tcPr>
          <w:p w:rsidR="00F95A12" w:rsidRPr="00016113" w:rsidRDefault="00F95A12" w:rsidP="00F95A12">
            <w:pPr>
              <w:jc w:val="both"/>
              <w:rPr>
                <w:sz w:val="20"/>
                <w:lang w:val="fr-CA"/>
              </w:rPr>
            </w:pPr>
            <w:r w:rsidRPr="00016113">
              <w:rPr>
                <w:sz w:val="20"/>
                <w:lang w:val="fr-CA"/>
              </w:rPr>
              <w:t>Rejet de l’appel</w:t>
            </w:r>
          </w:p>
        </w:tc>
      </w:tr>
      <w:tr w:rsidR="00F95A12" w:rsidRPr="00016113" w:rsidTr="00F95A12">
        <w:tc>
          <w:tcPr>
            <w:tcW w:w="2427" w:type="pct"/>
            <w:gridSpan w:val="2"/>
          </w:tcPr>
          <w:p w:rsidR="00F95A12" w:rsidRPr="00016113" w:rsidRDefault="00F95A12" w:rsidP="00F95A12">
            <w:pPr>
              <w:jc w:val="both"/>
              <w:rPr>
                <w:sz w:val="20"/>
                <w:lang w:val="fr-CA"/>
              </w:rPr>
            </w:pPr>
            <w:r w:rsidRPr="00016113">
              <w:rPr>
                <w:sz w:val="20"/>
                <w:lang w:val="fr-CA"/>
              </w:rPr>
              <w:t>28 mai 2020</w:t>
            </w:r>
          </w:p>
          <w:p w:rsidR="00F95A12" w:rsidRPr="00016113" w:rsidRDefault="00F95A12" w:rsidP="00F95A12">
            <w:pPr>
              <w:jc w:val="both"/>
              <w:rPr>
                <w:sz w:val="20"/>
                <w:lang w:val="fr-CA"/>
              </w:rPr>
            </w:pPr>
            <w:r w:rsidRPr="00016113">
              <w:rPr>
                <w:sz w:val="20"/>
                <w:lang w:val="fr-CA"/>
              </w:rPr>
              <w:t>Cour suprême du Canada</w:t>
            </w:r>
          </w:p>
        </w:tc>
        <w:tc>
          <w:tcPr>
            <w:tcW w:w="243" w:type="pct"/>
          </w:tcPr>
          <w:p w:rsidR="00F95A12" w:rsidRPr="00016113" w:rsidRDefault="00F95A12" w:rsidP="00F95A12">
            <w:pPr>
              <w:jc w:val="both"/>
              <w:rPr>
                <w:sz w:val="20"/>
                <w:lang w:val="fr-CA"/>
              </w:rPr>
            </w:pPr>
          </w:p>
        </w:tc>
        <w:tc>
          <w:tcPr>
            <w:tcW w:w="2330" w:type="pct"/>
          </w:tcPr>
          <w:p w:rsidR="00F95A12" w:rsidRPr="00016113" w:rsidRDefault="00F95A12" w:rsidP="00F95A12">
            <w:pPr>
              <w:jc w:val="both"/>
              <w:rPr>
                <w:sz w:val="20"/>
                <w:lang w:val="fr-CA"/>
              </w:rPr>
            </w:pPr>
            <w:r w:rsidRPr="00016113">
              <w:rPr>
                <w:sz w:val="20"/>
                <w:lang w:val="fr-CA"/>
              </w:rPr>
              <w:t>Dépôt de la demande d’autorisation d’appel</w:t>
            </w:r>
          </w:p>
        </w:tc>
      </w:tr>
    </w:tbl>
    <w:p w:rsidR="00F95A12" w:rsidRPr="00016113" w:rsidRDefault="00F95A12" w:rsidP="00F95A12">
      <w:pPr>
        <w:jc w:val="both"/>
        <w:rPr>
          <w:sz w:val="20"/>
          <w:lang w:val="fr-CA"/>
        </w:rPr>
      </w:pPr>
    </w:p>
    <w:p w:rsidR="00F95A12" w:rsidRPr="00016113" w:rsidRDefault="00F95A12" w:rsidP="00F95A12">
      <w:pPr>
        <w:jc w:val="both"/>
        <w:rPr>
          <w:sz w:val="20"/>
          <w:lang w:val="fr-CA"/>
        </w:rPr>
      </w:pPr>
      <w:r w:rsidRPr="00016113">
        <w:rPr>
          <w:sz w:val="20"/>
        </w:rPr>
        <w:pict>
          <v:rect id="_x0000_i1036" style="width:2in;height:1pt" o:hrpct="0" o:hralign="center" o:hrstd="t" o:hrnoshade="t" o:hr="t" fillcolor="black [3213]" stroked="f"/>
        </w:pict>
      </w:r>
    </w:p>
    <w:p w:rsidR="00F95A12" w:rsidRPr="00016113" w:rsidRDefault="00F95A12" w:rsidP="00F95A12">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95A12" w:rsidRPr="00016113" w:rsidTr="00F95A12">
        <w:tc>
          <w:tcPr>
            <w:tcW w:w="543" w:type="pct"/>
          </w:tcPr>
          <w:p w:rsidR="00F95A12" w:rsidRPr="00016113" w:rsidRDefault="00F95A12" w:rsidP="00F95A12">
            <w:pPr>
              <w:jc w:val="both"/>
              <w:rPr>
                <w:sz w:val="20"/>
              </w:rPr>
            </w:pPr>
            <w:r w:rsidRPr="00016113">
              <w:rPr>
                <w:rStyle w:val="SCCFileNumberChar"/>
                <w:sz w:val="20"/>
                <w:szCs w:val="20"/>
              </w:rPr>
              <w:t>39172</w:t>
            </w:r>
          </w:p>
        </w:tc>
        <w:tc>
          <w:tcPr>
            <w:tcW w:w="4457" w:type="pct"/>
            <w:gridSpan w:val="3"/>
          </w:tcPr>
          <w:p w:rsidR="00F95A12" w:rsidRPr="00016113" w:rsidRDefault="00F95A12" w:rsidP="00F95A12">
            <w:pPr>
              <w:pStyle w:val="SCCLsocParty"/>
              <w:jc w:val="both"/>
              <w:rPr>
                <w:b/>
                <w:sz w:val="20"/>
                <w:szCs w:val="20"/>
                <w:lang w:val="en-US"/>
              </w:rPr>
            </w:pPr>
            <w:r w:rsidRPr="00016113">
              <w:rPr>
                <w:b/>
                <w:sz w:val="20"/>
                <w:szCs w:val="20"/>
                <w:lang w:val="en-US"/>
              </w:rPr>
              <w:t>Apotex Inc., Apotex Pharmachem Inc. v. ADIR and Servier Canada Inc.</w:t>
            </w:r>
          </w:p>
          <w:p w:rsidR="00F95A12" w:rsidRPr="00016113" w:rsidRDefault="00F95A12" w:rsidP="004F14BB">
            <w:pPr>
              <w:jc w:val="both"/>
              <w:rPr>
                <w:sz w:val="20"/>
              </w:rPr>
            </w:pPr>
            <w:r w:rsidRPr="00016113">
              <w:rPr>
                <w:sz w:val="20"/>
              </w:rPr>
              <w:t>(F</w:t>
            </w:r>
            <w:r w:rsidR="004F14BB" w:rsidRPr="00016113">
              <w:rPr>
                <w:sz w:val="20"/>
              </w:rPr>
              <w:t>.</w:t>
            </w:r>
            <w:r w:rsidRPr="00016113">
              <w:rPr>
                <w:sz w:val="20"/>
              </w:rPr>
              <w:t>C</w:t>
            </w:r>
            <w:r w:rsidR="004F14BB" w:rsidRPr="00016113">
              <w:rPr>
                <w:sz w:val="20"/>
              </w:rPr>
              <w:t>.</w:t>
            </w:r>
            <w:r w:rsidRPr="00016113">
              <w:rPr>
                <w:sz w:val="20"/>
              </w:rPr>
              <w:t>) (Civil) (By Leave)</w:t>
            </w:r>
          </w:p>
        </w:tc>
      </w:tr>
      <w:tr w:rsidR="00F95A12" w:rsidRPr="00016113" w:rsidTr="00F95A12">
        <w:tc>
          <w:tcPr>
            <w:tcW w:w="5000" w:type="pct"/>
            <w:gridSpan w:val="4"/>
          </w:tcPr>
          <w:p w:rsidR="00F95A12" w:rsidRPr="00016113" w:rsidRDefault="00F95A12" w:rsidP="00F95A12">
            <w:pPr>
              <w:jc w:val="both"/>
              <w:rPr>
                <w:sz w:val="20"/>
              </w:rPr>
            </w:pPr>
            <w:r w:rsidRPr="00016113">
              <w:rPr>
                <w:sz w:val="20"/>
              </w:rPr>
              <w:t>Intellectual property — Patents — Medicines — Infringement — Remedy — Respondents choosing accounting of profits as remedy for infringement of respondents’ patent — Trial judge determining that applicants not entitled to rely on non</w:t>
            </w:r>
            <w:r w:rsidRPr="00016113">
              <w:rPr>
                <w:sz w:val="20"/>
              </w:rPr>
              <w:noBreakHyphen/>
              <w:t>infringing alternative defence to accounting of profits to reduce amount payable to respondents — Whether framework for quantifying damages for patent infringement applies to assessing profits to be disgorged by way of an accounting of profits — What is the appropriate framework for assessing non-infringing alternatives in accounting of profits for patent infringement?</w:t>
            </w:r>
          </w:p>
        </w:tc>
      </w:tr>
      <w:tr w:rsidR="00F95A12" w:rsidRPr="00016113" w:rsidTr="00F95A12">
        <w:tc>
          <w:tcPr>
            <w:tcW w:w="5000" w:type="pct"/>
            <w:gridSpan w:val="4"/>
          </w:tcPr>
          <w:p w:rsidR="00F95A12" w:rsidRPr="00016113" w:rsidRDefault="00F95A12" w:rsidP="00F95A12">
            <w:pPr>
              <w:jc w:val="both"/>
              <w:rPr>
                <w:sz w:val="20"/>
              </w:rPr>
            </w:pPr>
          </w:p>
        </w:tc>
      </w:tr>
      <w:tr w:rsidR="00F95A12" w:rsidRPr="00016113" w:rsidTr="00F95A12">
        <w:tc>
          <w:tcPr>
            <w:tcW w:w="5000" w:type="pct"/>
            <w:gridSpan w:val="4"/>
          </w:tcPr>
          <w:p w:rsidR="00F95A12" w:rsidRPr="00016113" w:rsidRDefault="00F95A12" w:rsidP="004F14BB">
            <w:pPr>
              <w:pStyle w:val="paragnum"/>
              <w:spacing w:before="0" w:beforeAutospacing="0" w:after="0" w:afterAutospacing="0"/>
              <w:jc w:val="both"/>
              <w:rPr>
                <w:sz w:val="20"/>
                <w:szCs w:val="20"/>
                <w:lang w:val="en"/>
              </w:rPr>
            </w:pPr>
            <w:r w:rsidRPr="00016113">
              <w:rPr>
                <w:sz w:val="20"/>
                <w:szCs w:val="20"/>
                <w:lang w:val="en"/>
              </w:rPr>
              <w:t xml:space="preserve">The respondent, ADIR, is the owner of the 196 Patent which claims the drug perindopril, used primarily in the treatment of hypertension and cardiac insufficiency. The respondent, Servier Canada Inc., is a corporate affiliate of ADIR (collectively, “Servier”) and exploited the 196 Patent in Canada. The applicant, Apotex Pharmachem Inc. manufactures and supplies drugs in Canada. In or around 2006, it began manufacturing a generic version of perindopril in tablet form in Canada that were sold to Apotex Inc., which sold the tablets in Canada and abroad (collectively “Apotex”). </w:t>
            </w:r>
            <w:bookmarkStart w:id="0" w:name="par8"/>
            <w:bookmarkEnd w:id="0"/>
            <w:r w:rsidRPr="00016113">
              <w:rPr>
                <w:sz w:val="20"/>
                <w:szCs w:val="20"/>
                <w:lang w:val="en"/>
              </w:rPr>
              <w:t xml:space="preserve">In 2006, Servier successfully prosecuted an action against Apotex for infringement of its 196 Patent. </w:t>
            </w:r>
            <w:bookmarkStart w:id="1" w:name="par9"/>
            <w:bookmarkEnd w:id="1"/>
            <w:r w:rsidRPr="00016113">
              <w:rPr>
                <w:sz w:val="20"/>
                <w:szCs w:val="20"/>
                <w:lang w:val="en"/>
              </w:rPr>
              <w:t xml:space="preserve">This judgment allowed Servier to claim either an accounting of Apotex’s profits or damages. Servier elected an accounting of the profits. </w:t>
            </w:r>
            <w:bookmarkStart w:id="2" w:name="par10"/>
            <w:bookmarkStart w:id="3" w:name="par11"/>
            <w:bookmarkEnd w:id="2"/>
            <w:bookmarkEnd w:id="3"/>
          </w:p>
          <w:p w:rsidR="004F14BB" w:rsidRPr="00016113" w:rsidRDefault="004F14BB" w:rsidP="004F14BB">
            <w:pPr>
              <w:pStyle w:val="paragnum"/>
              <w:spacing w:before="0" w:beforeAutospacing="0" w:after="0" w:afterAutospacing="0"/>
              <w:jc w:val="both"/>
              <w:rPr>
                <w:sz w:val="20"/>
                <w:szCs w:val="20"/>
                <w:lang w:val="en"/>
              </w:rPr>
            </w:pPr>
          </w:p>
          <w:p w:rsidR="00F95A12" w:rsidRPr="00016113" w:rsidRDefault="00F95A12" w:rsidP="004F14BB">
            <w:pPr>
              <w:pStyle w:val="paragnum"/>
              <w:spacing w:before="0" w:beforeAutospacing="0" w:after="0" w:afterAutospacing="0"/>
              <w:jc w:val="both"/>
              <w:rPr>
                <w:sz w:val="20"/>
                <w:szCs w:val="20"/>
                <w:lang w:val="en"/>
              </w:rPr>
            </w:pPr>
            <w:r w:rsidRPr="00016113">
              <w:rPr>
                <w:sz w:val="20"/>
                <w:szCs w:val="20"/>
                <w:lang w:val="en"/>
              </w:rPr>
              <w:t xml:space="preserve">The trial took place where the court was required to determine what proportion of the profits earned by Apotex from its sales of perindopril-containing products to Apotex’s affiliates in Australia and the United Kingdom during the period of infringement were attributable to its infringing activities. </w:t>
            </w:r>
            <w:bookmarkStart w:id="4" w:name="par12"/>
            <w:bookmarkStart w:id="5" w:name="par13"/>
            <w:bookmarkEnd w:id="4"/>
            <w:bookmarkEnd w:id="5"/>
            <w:r w:rsidRPr="00016113">
              <w:rPr>
                <w:sz w:val="20"/>
                <w:szCs w:val="20"/>
                <w:lang w:val="en"/>
              </w:rPr>
              <w:t>Apotex raised as a defence the availability of non</w:t>
            </w:r>
            <w:r w:rsidRPr="00016113">
              <w:rPr>
                <w:sz w:val="20"/>
                <w:szCs w:val="20"/>
                <w:lang w:val="en"/>
              </w:rPr>
              <w:noBreakHyphen/>
              <w:t xml:space="preserve">infringing perindopril from a number of sources outside of Canada, which would have had the effect of reducing the profits it would have been required to disgorge to the respondents. </w:t>
            </w:r>
            <w:bookmarkStart w:id="6" w:name="par16"/>
            <w:bookmarkEnd w:id="6"/>
            <w:r w:rsidRPr="00016113">
              <w:rPr>
                <w:sz w:val="20"/>
                <w:szCs w:val="20"/>
                <w:lang w:val="en"/>
              </w:rPr>
              <w:t>After the first trial and appeal, the matter was remanded to the Federal Court to consider the non</w:t>
            </w:r>
            <w:r w:rsidRPr="00016113">
              <w:rPr>
                <w:sz w:val="20"/>
                <w:szCs w:val="20"/>
                <w:lang w:val="en"/>
              </w:rPr>
              <w:noBreakHyphen/>
              <w:t>infringing alternative defence with respect to three alleged suppliers. The Federal Court determined that Apotex had not established one component of the defence and that it therefore could not reduce the quantum of profits it was required to disgorge. This decision was upheld on appeal.</w:t>
            </w:r>
          </w:p>
          <w:p w:rsidR="004F14BB" w:rsidRPr="00016113" w:rsidRDefault="004F14BB" w:rsidP="004F14BB">
            <w:pPr>
              <w:pStyle w:val="paragnum"/>
              <w:spacing w:before="0" w:beforeAutospacing="0" w:after="0" w:afterAutospacing="0"/>
              <w:jc w:val="both"/>
              <w:rPr>
                <w:sz w:val="20"/>
                <w:szCs w:val="20"/>
              </w:rPr>
            </w:pPr>
          </w:p>
        </w:tc>
      </w:tr>
      <w:tr w:rsidR="00F95A12" w:rsidRPr="00016113" w:rsidTr="00F95A12">
        <w:tc>
          <w:tcPr>
            <w:tcW w:w="2427" w:type="pct"/>
            <w:gridSpan w:val="2"/>
          </w:tcPr>
          <w:p w:rsidR="00F95A12" w:rsidRPr="00016113" w:rsidRDefault="00F95A12" w:rsidP="00F95A12">
            <w:pPr>
              <w:jc w:val="both"/>
              <w:rPr>
                <w:sz w:val="20"/>
              </w:rPr>
            </w:pPr>
            <w:r w:rsidRPr="00016113">
              <w:rPr>
                <w:sz w:val="20"/>
              </w:rPr>
              <w:t>June 18, 2015</w:t>
            </w:r>
          </w:p>
          <w:p w:rsidR="00F95A12" w:rsidRPr="00016113" w:rsidRDefault="00F95A12" w:rsidP="00F95A12">
            <w:pPr>
              <w:jc w:val="both"/>
              <w:rPr>
                <w:sz w:val="20"/>
              </w:rPr>
            </w:pPr>
            <w:r w:rsidRPr="00016113">
              <w:rPr>
                <w:sz w:val="20"/>
              </w:rPr>
              <w:t>Federal Court</w:t>
            </w:r>
          </w:p>
          <w:p w:rsidR="00F95A12" w:rsidRPr="00016113" w:rsidRDefault="00F95A12" w:rsidP="00F95A12">
            <w:pPr>
              <w:jc w:val="both"/>
              <w:rPr>
                <w:sz w:val="20"/>
              </w:rPr>
            </w:pPr>
            <w:r w:rsidRPr="00016113">
              <w:rPr>
                <w:sz w:val="20"/>
              </w:rPr>
              <w:t>(Gagné J.)</w:t>
            </w:r>
          </w:p>
          <w:p w:rsidR="00F95A12" w:rsidRPr="00016113" w:rsidRDefault="00F95A12" w:rsidP="00F95A12">
            <w:pPr>
              <w:jc w:val="both"/>
              <w:rPr>
                <w:sz w:val="20"/>
              </w:rPr>
            </w:pPr>
            <w:hyperlink r:id="rId35" w:history="1">
              <w:r w:rsidRPr="00016113">
                <w:rPr>
                  <w:rStyle w:val="Hyperlink"/>
                  <w:sz w:val="20"/>
                </w:rPr>
                <w:t>2015 FC 721</w:t>
              </w:r>
            </w:hyperlink>
          </w:p>
          <w:p w:rsidR="00F95A12" w:rsidRPr="00016113" w:rsidRDefault="00F95A12" w:rsidP="00F95A12">
            <w:pPr>
              <w:jc w:val="both"/>
              <w:rPr>
                <w:sz w:val="20"/>
              </w:rPr>
            </w:pPr>
          </w:p>
        </w:tc>
        <w:tc>
          <w:tcPr>
            <w:tcW w:w="243" w:type="pct"/>
          </w:tcPr>
          <w:p w:rsidR="00F95A12" w:rsidRPr="00016113" w:rsidRDefault="00F95A12" w:rsidP="00F95A12">
            <w:pPr>
              <w:jc w:val="both"/>
              <w:rPr>
                <w:sz w:val="20"/>
              </w:rPr>
            </w:pPr>
          </w:p>
        </w:tc>
        <w:tc>
          <w:tcPr>
            <w:tcW w:w="2330" w:type="pct"/>
          </w:tcPr>
          <w:p w:rsidR="00F95A12" w:rsidRPr="00016113" w:rsidRDefault="00F95A12" w:rsidP="00F95A12">
            <w:pPr>
              <w:jc w:val="both"/>
              <w:rPr>
                <w:sz w:val="20"/>
              </w:rPr>
            </w:pPr>
            <w:r w:rsidRPr="00016113">
              <w:rPr>
                <w:sz w:val="20"/>
              </w:rPr>
              <w:t>Applicants ordered to pay respondents profits attributable to infringement of respondents’ patent</w:t>
            </w:r>
          </w:p>
          <w:p w:rsidR="00F95A12" w:rsidRPr="00016113" w:rsidRDefault="00F95A12" w:rsidP="00F95A12">
            <w:pPr>
              <w:jc w:val="both"/>
              <w:rPr>
                <w:sz w:val="20"/>
              </w:rPr>
            </w:pPr>
          </w:p>
          <w:p w:rsidR="00F95A12" w:rsidRPr="00016113" w:rsidRDefault="00F95A12" w:rsidP="00F95A12">
            <w:pPr>
              <w:jc w:val="both"/>
              <w:rPr>
                <w:sz w:val="20"/>
              </w:rPr>
            </w:pPr>
          </w:p>
        </w:tc>
      </w:tr>
      <w:tr w:rsidR="00F95A12" w:rsidRPr="00016113" w:rsidTr="00F95A12">
        <w:tc>
          <w:tcPr>
            <w:tcW w:w="2427" w:type="pct"/>
            <w:gridSpan w:val="2"/>
          </w:tcPr>
          <w:p w:rsidR="00F95A12" w:rsidRPr="00016113" w:rsidRDefault="00F95A12" w:rsidP="00F95A12">
            <w:pPr>
              <w:jc w:val="both"/>
              <w:rPr>
                <w:sz w:val="20"/>
              </w:rPr>
            </w:pPr>
            <w:r w:rsidRPr="00016113">
              <w:rPr>
                <w:sz w:val="20"/>
              </w:rPr>
              <w:t>March 11, 2020</w:t>
            </w:r>
          </w:p>
          <w:p w:rsidR="00F95A12" w:rsidRPr="00016113" w:rsidRDefault="00F95A12" w:rsidP="00F95A12">
            <w:pPr>
              <w:jc w:val="both"/>
              <w:rPr>
                <w:sz w:val="20"/>
              </w:rPr>
            </w:pPr>
            <w:r w:rsidRPr="00016113">
              <w:rPr>
                <w:sz w:val="20"/>
              </w:rPr>
              <w:t>Federal Court of Appeal</w:t>
            </w:r>
          </w:p>
          <w:p w:rsidR="00F95A12" w:rsidRPr="00016113" w:rsidRDefault="00F95A12" w:rsidP="00F95A12">
            <w:pPr>
              <w:jc w:val="both"/>
              <w:rPr>
                <w:sz w:val="20"/>
              </w:rPr>
            </w:pPr>
            <w:r w:rsidRPr="00016113">
              <w:rPr>
                <w:sz w:val="20"/>
              </w:rPr>
              <w:t>(Webb, Near and Mactavish JJ.A.)</w:t>
            </w:r>
          </w:p>
          <w:p w:rsidR="00F95A12" w:rsidRPr="00016113" w:rsidRDefault="00F95A12" w:rsidP="00F95A12">
            <w:pPr>
              <w:jc w:val="both"/>
              <w:rPr>
                <w:sz w:val="20"/>
              </w:rPr>
            </w:pPr>
            <w:hyperlink r:id="rId36" w:history="1">
              <w:r w:rsidRPr="00016113">
                <w:rPr>
                  <w:rStyle w:val="Hyperlink"/>
                  <w:sz w:val="20"/>
                </w:rPr>
                <w:t>2020 FCA 60</w:t>
              </w:r>
            </w:hyperlink>
          </w:p>
          <w:p w:rsidR="00F95A12" w:rsidRPr="00016113" w:rsidRDefault="00F95A12" w:rsidP="00F95A12">
            <w:pPr>
              <w:jc w:val="both"/>
              <w:rPr>
                <w:sz w:val="20"/>
              </w:rPr>
            </w:pPr>
          </w:p>
        </w:tc>
        <w:tc>
          <w:tcPr>
            <w:tcW w:w="243" w:type="pct"/>
          </w:tcPr>
          <w:p w:rsidR="00F95A12" w:rsidRPr="00016113" w:rsidRDefault="00F95A12" w:rsidP="00F95A12">
            <w:pPr>
              <w:jc w:val="both"/>
              <w:rPr>
                <w:sz w:val="20"/>
              </w:rPr>
            </w:pPr>
          </w:p>
        </w:tc>
        <w:tc>
          <w:tcPr>
            <w:tcW w:w="2330" w:type="pct"/>
          </w:tcPr>
          <w:p w:rsidR="00F95A12" w:rsidRPr="00016113" w:rsidRDefault="00F95A12" w:rsidP="00F95A12">
            <w:pPr>
              <w:jc w:val="both"/>
              <w:rPr>
                <w:sz w:val="20"/>
              </w:rPr>
            </w:pPr>
            <w:r w:rsidRPr="00016113">
              <w:rPr>
                <w:sz w:val="20"/>
              </w:rPr>
              <w:t>Applicants’ appeal dismissed</w:t>
            </w:r>
          </w:p>
          <w:p w:rsidR="00F95A12" w:rsidRPr="00016113" w:rsidRDefault="00F95A12" w:rsidP="00F95A12">
            <w:pPr>
              <w:jc w:val="both"/>
              <w:rPr>
                <w:sz w:val="20"/>
              </w:rPr>
            </w:pPr>
          </w:p>
        </w:tc>
      </w:tr>
      <w:tr w:rsidR="00F95A12" w:rsidRPr="00016113" w:rsidTr="00F95A12">
        <w:tc>
          <w:tcPr>
            <w:tcW w:w="2427" w:type="pct"/>
            <w:gridSpan w:val="2"/>
          </w:tcPr>
          <w:p w:rsidR="00F95A12" w:rsidRPr="00016113" w:rsidRDefault="00F95A12" w:rsidP="00F95A12">
            <w:pPr>
              <w:jc w:val="both"/>
              <w:rPr>
                <w:sz w:val="20"/>
              </w:rPr>
            </w:pPr>
            <w:r w:rsidRPr="00016113">
              <w:rPr>
                <w:sz w:val="20"/>
              </w:rPr>
              <w:t>May 11, 2020</w:t>
            </w:r>
          </w:p>
          <w:p w:rsidR="00F95A12" w:rsidRPr="00016113" w:rsidRDefault="00F95A12" w:rsidP="00F95A12">
            <w:pPr>
              <w:jc w:val="both"/>
              <w:rPr>
                <w:sz w:val="20"/>
              </w:rPr>
            </w:pPr>
            <w:r w:rsidRPr="00016113">
              <w:rPr>
                <w:sz w:val="20"/>
              </w:rPr>
              <w:t>Supreme Court of Canada</w:t>
            </w:r>
          </w:p>
        </w:tc>
        <w:tc>
          <w:tcPr>
            <w:tcW w:w="243" w:type="pct"/>
          </w:tcPr>
          <w:p w:rsidR="00F95A12" w:rsidRPr="00016113" w:rsidRDefault="00F95A12" w:rsidP="00F95A12">
            <w:pPr>
              <w:jc w:val="both"/>
              <w:rPr>
                <w:sz w:val="20"/>
              </w:rPr>
            </w:pPr>
          </w:p>
        </w:tc>
        <w:tc>
          <w:tcPr>
            <w:tcW w:w="2330" w:type="pct"/>
          </w:tcPr>
          <w:p w:rsidR="00F95A12" w:rsidRPr="00016113" w:rsidRDefault="00F95A12" w:rsidP="00F95A12">
            <w:pPr>
              <w:jc w:val="both"/>
              <w:rPr>
                <w:sz w:val="20"/>
              </w:rPr>
            </w:pPr>
            <w:r w:rsidRPr="00016113">
              <w:rPr>
                <w:sz w:val="20"/>
              </w:rPr>
              <w:t>Application for leave to appeal filed</w:t>
            </w:r>
          </w:p>
          <w:p w:rsidR="00F95A12" w:rsidRPr="00016113" w:rsidRDefault="00F95A12" w:rsidP="00F95A12">
            <w:pPr>
              <w:jc w:val="both"/>
              <w:rPr>
                <w:sz w:val="20"/>
              </w:rPr>
            </w:pPr>
          </w:p>
        </w:tc>
      </w:tr>
    </w:tbl>
    <w:p w:rsidR="00F95A12" w:rsidRPr="00016113" w:rsidRDefault="00F95A12" w:rsidP="00F95A12">
      <w:pPr>
        <w:jc w:val="both"/>
        <w:rPr>
          <w:sz w:val="20"/>
        </w:rPr>
      </w:pPr>
    </w:p>
    <w:p w:rsidR="004F14BB" w:rsidRPr="00016113" w:rsidRDefault="004F14BB" w:rsidP="00F95A12">
      <w:pPr>
        <w:jc w:val="both"/>
        <w:rPr>
          <w:sz w:val="20"/>
        </w:rPr>
      </w:pPr>
      <w:r w:rsidRPr="00016113">
        <w:rPr>
          <w:sz w:val="20"/>
        </w:rPr>
        <w:pict>
          <v:rect id="_x0000_i1037" style="width:2in;height:1pt" o:hrpct="0" o:hralign="center" o:hrstd="t" o:hrnoshade="t" o:hr="t" fillcolor="black [3213]" stroked="f"/>
        </w:pict>
      </w:r>
    </w:p>
    <w:p w:rsidR="004F14BB" w:rsidRPr="00016113" w:rsidRDefault="004F14BB" w:rsidP="00F95A1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95A12" w:rsidRPr="00016113" w:rsidTr="00F95A12">
        <w:tc>
          <w:tcPr>
            <w:tcW w:w="543" w:type="pct"/>
          </w:tcPr>
          <w:p w:rsidR="00F95A12" w:rsidRPr="00016113" w:rsidRDefault="00F95A12" w:rsidP="00F95A12">
            <w:pPr>
              <w:jc w:val="both"/>
              <w:rPr>
                <w:sz w:val="20"/>
                <w:lang w:val="fr-CA"/>
              </w:rPr>
            </w:pPr>
            <w:r w:rsidRPr="00016113">
              <w:rPr>
                <w:rStyle w:val="SCCFileNumberChar"/>
                <w:sz w:val="20"/>
                <w:szCs w:val="20"/>
                <w:lang w:val="fr-CA"/>
              </w:rPr>
              <w:t>39172</w:t>
            </w:r>
          </w:p>
        </w:tc>
        <w:tc>
          <w:tcPr>
            <w:tcW w:w="4457" w:type="pct"/>
            <w:gridSpan w:val="3"/>
          </w:tcPr>
          <w:p w:rsidR="00F95A12" w:rsidRPr="00016113" w:rsidRDefault="00F95A12" w:rsidP="00F95A12">
            <w:pPr>
              <w:pStyle w:val="SCCLsocParty"/>
              <w:jc w:val="both"/>
              <w:rPr>
                <w:b/>
                <w:sz w:val="20"/>
                <w:szCs w:val="20"/>
              </w:rPr>
            </w:pPr>
            <w:r w:rsidRPr="00016113">
              <w:rPr>
                <w:b/>
                <w:sz w:val="20"/>
                <w:szCs w:val="20"/>
              </w:rPr>
              <w:t>Apotex Inc., Apotex Pharmachem Inc. c. ADIR et Servier Canada Inc.</w:t>
            </w:r>
          </w:p>
          <w:p w:rsidR="00F95A12" w:rsidRPr="00016113" w:rsidRDefault="00F95A12" w:rsidP="004F14BB">
            <w:pPr>
              <w:jc w:val="both"/>
              <w:rPr>
                <w:sz w:val="20"/>
                <w:lang w:val="fr-CA"/>
              </w:rPr>
            </w:pPr>
            <w:r w:rsidRPr="00016113">
              <w:rPr>
                <w:sz w:val="20"/>
                <w:lang w:val="fr-CA"/>
              </w:rPr>
              <w:t>(C</w:t>
            </w:r>
            <w:r w:rsidR="004F14BB" w:rsidRPr="00016113">
              <w:rPr>
                <w:sz w:val="20"/>
                <w:lang w:val="fr-CA"/>
              </w:rPr>
              <w:t>.</w:t>
            </w:r>
            <w:r w:rsidRPr="00016113">
              <w:rPr>
                <w:sz w:val="20"/>
                <w:lang w:val="fr-CA"/>
              </w:rPr>
              <w:t>F</w:t>
            </w:r>
            <w:r w:rsidR="004F14BB" w:rsidRPr="00016113">
              <w:rPr>
                <w:sz w:val="20"/>
                <w:lang w:val="fr-CA"/>
              </w:rPr>
              <w:t>.</w:t>
            </w:r>
            <w:r w:rsidRPr="00016113">
              <w:rPr>
                <w:sz w:val="20"/>
                <w:lang w:val="fr-CA"/>
              </w:rPr>
              <w:t>) (Civile) (Autorisation)</w:t>
            </w:r>
          </w:p>
        </w:tc>
      </w:tr>
      <w:tr w:rsidR="00F95A12" w:rsidRPr="00016113" w:rsidTr="00F95A12">
        <w:tc>
          <w:tcPr>
            <w:tcW w:w="5000" w:type="pct"/>
            <w:gridSpan w:val="4"/>
          </w:tcPr>
          <w:p w:rsidR="00F95A12" w:rsidRPr="00016113" w:rsidRDefault="00F95A12" w:rsidP="00F95A12">
            <w:pPr>
              <w:jc w:val="both"/>
              <w:rPr>
                <w:sz w:val="20"/>
                <w:lang w:val="fr-CA"/>
              </w:rPr>
            </w:pPr>
            <w:r w:rsidRPr="00016113">
              <w:rPr>
                <w:sz w:val="20"/>
                <w:lang w:val="fr-CA"/>
              </w:rPr>
              <w:t>Propriété intellectuelle — Brevets — Médicaments — Contrefaçon — Réparation — Les intimées ont choisi la remise des profits comme réparation de la contrefaçon de leur brevet — Le juge de première instance a conclu que les demanderesses n’avaient pas le droit d’opposer à la remise des profits le moyen de défense de l’existence de produits de substitution non contrefaits pour réduire le montant payable aux intimées — Le cadre employé pour quantifier les dommages</w:t>
            </w:r>
            <w:r w:rsidRPr="00016113">
              <w:rPr>
                <w:sz w:val="20"/>
                <w:lang w:val="fr-CA"/>
              </w:rPr>
              <w:noBreakHyphen/>
              <w:t>intérêts pour contrefaçon de brevet s’applique</w:t>
            </w:r>
            <w:r w:rsidRPr="00016113">
              <w:rPr>
                <w:sz w:val="20"/>
                <w:lang w:val="fr-CA"/>
              </w:rPr>
              <w:noBreakHyphen/>
              <w:t>t</w:t>
            </w:r>
            <w:r w:rsidRPr="00016113">
              <w:rPr>
                <w:sz w:val="20"/>
                <w:lang w:val="fr-CA"/>
              </w:rPr>
              <w:noBreakHyphen/>
              <w:t>il à l’évaluation des profits à restituer par voie de remise des profits? — Quel est le cadre approprié pour évaluer les produits de substitution non contrefaits dans la remise des profits pour contrefaçon de brevet?</w:t>
            </w:r>
          </w:p>
        </w:tc>
      </w:tr>
      <w:tr w:rsidR="00F95A12" w:rsidRPr="00016113" w:rsidTr="00F95A12">
        <w:tc>
          <w:tcPr>
            <w:tcW w:w="5000" w:type="pct"/>
            <w:gridSpan w:val="4"/>
          </w:tcPr>
          <w:p w:rsidR="00F95A12" w:rsidRPr="00016113" w:rsidRDefault="00F95A12" w:rsidP="00F95A12">
            <w:pPr>
              <w:jc w:val="both"/>
              <w:rPr>
                <w:sz w:val="20"/>
                <w:lang w:val="fr-CA"/>
              </w:rPr>
            </w:pPr>
          </w:p>
        </w:tc>
      </w:tr>
      <w:tr w:rsidR="00F95A12" w:rsidRPr="00016113" w:rsidTr="00F95A12">
        <w:tc>
          <w:tcPr>
            <w:tcW w:w="5000" w:type="pct"/>
            <w:gridSpan w:val="4"/>
          </w:tcPr>
          <w:p w:rsidR="00F95A12" w:rsidRPr="00016113" w:rsidRDefault="00F95A12" w:rsidP="004F14BB">
            <w:pPr>
              <w:pStyle w:val="paragnum"/>
              <w:spacing w:before="0" w:beforeAutospacing="0" w:after="0" w:afterAutospacing="0"/>
              <w:jc w:val="both"/>
              <w:rPr>
                <w:sz w:val="20"/>
                <w:szCs w:val="20"/>
                <w:lang w:val="fr-CA"/>
              </w:rPr>
            </w:pPr>
            <w:r w:rsidRPr="00016113">
              <w:rPr>
                <w:sz w:val="20"/>
                <w:szCs w:val="20"/>
                <w:lang w:val="fr-CA"/>
              </w:rPr>
              <w:t>L’intimée, ADIR, est la propriétaire du brevet 196 qui revendique le périndopril, un médicament utilisé principalement dans le traitement de l’hypertension et de l’insuffisance cardiaque. L’intimée, Servier Canada Inc., est une société affiliée à ADIR (collectivement, « Servier ») et exploitait le brevet 196 au Canada. La demanderesse, Apotex Pharmachem Inc. fabrique et distribue des médicaments au Canada. En 2006 ou à cette époque, elle a commencé à fabriquer une version générique du périndopril sous forme de comprimés au Canada qui ont été vendus à Apotex Inc., qui a vendu les comprimés au Canada et l’étranger (collectivement « Apotex »). En 2006, Servier a intenté avec succès une action contre Apotex pour contrefaçon de son brevet 196. Ce jugement permettait à Servier de demander soit une remise de profits d’Apotex, soit des dommages</w:t>
            </w:r>
            <w:r w:rsidRPr="00016113">
              <w:rPr>
                <w:sz w:val="20"/>
                <w:szCs w:val="20"/>
                <w:lang w:val="fr-CA"/>
              </w:rPr>
              <w:noBreakHyphen/>
              <w:t>intérêts. Servier a op</w:t>
            </w:r>
            <w:r w:rsidR="004F14BB" w:rsidRPr="00016113">
              <w:rPr>
                <w:sz w:val="20"/>
                <w:szCs w:val="20"/>
                <w:lang w:val="fr-CA"/>
              </w:rPr>
              <w:t>té pour une remise des profits.</w:t>
            </w:r>
          </w:p>
          <w:p w:rsidR="004F14BB" w:rsidRPr="00016113" w:rsidRDefault="004F14BB" w:rsidP="004F14BB">
            <w:pPr>
              <w:pStyle w:val="paragnum"/>
              <w:spacing w:before="0" w:beforeAutospacing="0" w:after="0" w:afterAutospacing="0"/>
              <w:jc w:val="both"/>
              <w:rPr>
                <w:sz w:val="20"/>
                <w:szCs w:val="20"/>
                <w:lang w:val="fr-CA"/>
              </w:rPr>
            </w:pPr>
          </w:p>
          <w:p w:rsidR="00F95A12" w:rsidRPr="00016113" w:rsidRDefault="00F95A12" w:rsidP="004F14BB">
            <w:pPr>
              <w:pStyle w:val="paragnum"/>
              <w:spacing w:before="0" w:beforeAutospacing="0" w:after="0" w:afterAutospacing="0"/>
              <w:jc w:val="both"/>
              <w:rPr>
                <w:sz w:val="20"/>
                <w:szCs w:val="20"/>
                <w:lang w:val="fr-CA"/>
              </w:rPr>
            </w:pPr>
            <w:r w:rsidRPr="00016113">
              <w:rPr>
                <w:sz w:val="20"/>
                <w:szCs w:val="20"/>
                <w:lang w:val="fr-CA"/>
              </w:rPr>
              <w:t>Au procès, le tribunal devait déterminer quelle proportion des profits touchés par Apotex de ses ventes de produits renfermant du périndopril aux sociétés affiliées à Apotex en Australie et au Royaume</w:t>
            </w:r>
            <w:r w:rsidRPr="00016113">
              <w:rPr>
                <w:sz w:val="20"/>
                <w:szCs w:val="20"/>
                <w:lang w:val="fr-CA"/>
              </w:rPr>
              <w:noBreakHyphen/>
              <w:t>Uni pendant la période de la contrefaçon était attribuable à ses activités constituant une contrefaçon. Apotex a soulevé en défense la disponibilité de périndopril non contrefait d’un certain nombre de sources à l’extérieur du Canada, ce qui aurait eu pour effet de réduire les profits qu’elle aurait été tenue de restituer aux intimées. Après le premier procès et un appel, la question a été renvoyée à la Cour fédérale pour qu’elle examine le moyen de défense de l’existence de produits de substitution non contrefaits à l’égard de trois présumés fournisseurs. La Cour fédérale a conclu qu’Apotex n’avait pas établi un des éléments du moyen de défense, si bien qu’elle ne pouvait pas réduire le montant des profits qu’elle était tenue de restituer. Cette décision a été confirmée en appel.</w:t>
            </w:r>
          </w:p>
          <w:p w:rsidR="004F14BB" w:rsidRPr="00016113" w:rsidRDefault="004F14BB" w:rsidP="004F14BB">
            <w:pPr>
              <w:pStyle w:val="paragnum"/>
              <w:spacing w:before="0" w:beforeAutospacing="0" w:after="0" w:afterAutospacing="0"/>
              <w:jc w:val="both"/>
              <w:rPr>
                <w:sz w:val="20"/>
                <w:szCs w:val="20"/>
                <w:lang w:val="fr-CA"/>
              </w:rPr>
            </w:pPr>
          </w:p>
        </w:tc>
      </w:tr>
      <w:tr w:rsidR="00F95A12" w:rsidRPr="00016113" w:rsidTr="00F95A12">
        <w:tc>
          <w:tcPr>
            <w:tcW w:w="2427" w:type="pct"/>
            <w:gridSpan w:val="2"/>
          </w:tcPr>
          <w:p w:rsidR="00F95A12" w:rsidRPr="00016113" w:rsidRDefault="00F95A12" w:rsidP="00F95A12">
            <w:pPr>
              <w:jc w:val="both"/>
              <w:rPr>
                <w:sz w:val="20"/>
                <w:lang w:val="fr-CA"/>
              </w:rPr>
            </w:pPr>
            <w:r w:rsidRPr="00016113">
              <w:rPr>
                <w:sz w:val="20"/>
                <w:lang w:val="fr-CA"/>
              </w:rPr>
              <w:t>18 juin 2015</w:t>
            </w:r>
          </w:p>
          <w:p w:rsidR="00F95A12" w:rsidRPr="00016113" w:rsidRDefault="00F95A12" w:rsidP="00F95A12">
            <w:pPr>
              <w:jc w:val="both"/>
              <w:rPr>
                <w:sz w:val="20"/>
                <w:lang w:val="fr-CA"/>
              </w:rPr>
            </w:pPr>
            <w:r w:rsidRPr="00016113">
              <w:rPr>
                <w:sz w:val="20"/>
                <w:lang w:val="fr-CA"/>
              </w:rPr>
              <w:t>Cour fédérale</w:t>
            </w:r>
          </w:p>
          <w:p w:rsidR="00F95A12" w:rsidRPr="00016113" w:rsidRDefault="00F95A12" w:rsidP="00F95A12">
            <w:pPr>
              <w:jc w:val="both"/>
              <w:rPr>
                <w:sz w:val="20"/>
                <w:lang w:val="fr-CA"/>
              </w:rPr>
            </w:pPr>
            <w:r w:rsidRPr="00016113">
              <w:rPr>
                <w:sz w:val="20"/>
                <w:lang w:val="fr-CA"/>
              </w:rPr>
              <w:t>(Juge Gagné)</w:t>
            </w:r>
          </w:p>
          <w:p w:rsidR="00F95A12" w:rsidRPr="00016113" w:rsidRDefault="00F95A12" w:rsidP="00F95A12">
            <w:pPr>
              <w:jc w:val="both"/>
              <w:rPr>
                <w:sz w:val="20"/>
                <w:lang w:val="fr-CA"/>
              </w:rPr>
            </w:pPr>
            <w:hyperlink r:id="rId37" w:history="1">
              <w:r w:rsidRPr="00016113">
                <w:rPr>
                  <w:rStyle w:val="Hyperlink"/>
                  <w:sz w:val="20"/>
                  <w:lang w:val="fr-CA"/>
                </w:rPr>
                <w:t>2015 CF 721</w:t>
              </w:r>
            </w:hyperlink>
          </w:p>
          <w:p w:rsidR="00F95A12" w:rsidRPr="00016113" w:rsidRDefault="00F95A12" w:rsidP="00F95A12">
            <w:pPr>
              <w:jc w:val="both"/>
              <w:rPr>
                <w:sz w:val="20"/>
                <w:lang w:val="fr-CA"/>
              </w:rPr>
            </w:pPr>
          </w:p>
        </w:tc>
        <w:tc>
          <w:tcPr>
            <w:tcW w:w="243" w:type="pct"/>
          </w:tcPr>
          <w:p w:rsidR="00F95A12" w:rsidRPr="00016113" w:rsidRDefault="00F95A12" w:rsidP="00F95A12">
            <w:pPr>
              <w:jc w:val="both"/>
              <w:rPr>
                <w:sz w:val="20"/>
                <w:lang w:val="fr-CA"/>
              </w:rPr>
            </w:pPr>
          </w:p>
        </w:tc>
        <w:tc>
          <w:tcPr>
            <w:tcW w:w="2330" w:type="pct"/>
          </w:tcPr>
          <w:p w:rsidR="00F95A12" w:rsidRPr="00016113" w:rsidRDefault="00F95A12" w:rsidP="00F95A12">
            <w:pPr>
              <w:jc w:val="both"/>
              <w:rPr>
                <w:sz w:val="20"/>
                <w:lang w:val="fr-CA"/>
              </w:rPr>
            </w:pPr>
            <w:r w:rsidRPr="00016113">
              <w:rPr>
                <w:sz w:val="20"/>
                <w:lang w:val="fr-CA"/>
              </w:rPr>
              <w:t>Jugement ordonnant aux demanderesses de payer aux intimées les profits attribuables au brevet des intimées</w:t>
            </w:r>
          </w:p>
          <w:p w:rsidR="00F95A12" w:rsidRPr="00016113" w:rsidRDefault="00F95A12" w:rsidP="00F95A12">
            <w:pPr>
              <w:jc w:val="both"/>
              <w:rPr>
                <w:sz w:val="20"/>
                <w:lang w:val="fr-CA"/>
              </w:rPr>
            </w:pPr>
          </w:p>
          <w:p w:rsidR="00F95A12" w:rsidRPr="00016113" w:rsidRDefault="00F95A12" w:rsidP="00F95A12">
            <w:pPr>
              <w:jc w:val="both"/>
              <w:rPr>
                <w:sz w:val="20"/>
                <w:lang w:val="fr-CA"/>
              </w:rPr>
            </w:pPr>
          </w:p>
        </w:tc>
      </w:tr>
      <w:tr w:rsidR="00F95A12" w:rsidRPr="00016113" w:rsidTr="00F95A12">
        <w:tc>
          <w:tcPr>
            <w:tcW w:w="2427" w:type="pct"/>
            <w:gridSpan w:val="2"/>
          </w:tcPr>
          <w:p w:rsidR="00F95A12" w:rsidRPr="00016113" w:rsidRDefault="00F95A12" w:rsidP="00F95A12">
            <w:pPr>
              <w:jc w:val="both"/>
              <w:rPr>
                <w:sz w:val="20"/>
                <w:lang w:val="fr-CA"/>
              </w:rPr>
            </w:pPr>
            <w:r w:rsidRPr="00016113">
              <w:rPr>
                <w:sz w:val="20"/>
                <w:lang w:val="fr-CA"/>
              </w:rPr>
              <w:t>11 mars 2020</w:t>
            </w:r>
          </w:p>
          <w:p w:rsidR="00F95A12" w:rsidRPr="00016113" w:rsidRDefault="00F95A12" w:rsidP="00F95A12">
            <w:pPr>
              <w:jc w:val="both"/>
              <w:rPr>
                <w:sz w:val="20"/>
                <w:lang w:val="fr-CA"/>
              </w:rPr>
            </w:pPr>
            <w:r w:rsidRPr="00016113">
              <w:rPr>
                <w:sz w:val="20"/>
                <w:lang w:val="fr-CA"/>
              </w:rPr>
              <w:t>Cour d’appel fédérale</w:t>
            </w:r>
          </w:p>
          <w:p w:rsidR="00F95A12" w:rsidRPr="00016113" w:rsidRDefault="00F95A12" w:rsidP="00F95A12">
            <w:pPr>
              <w:jc w:val="both"/>
              <w:rPr>
                <w:sz w:val="20"/>
                <w:lang w:val="fr-CA"/>
              </w:rPr>
            </w:pPr>
            <w:r w:rsidRPr="00016113">
              <w:rPr>
                <w:sz w:val="20"/>
                <w:lang w:val="fr-CA"/>
              </w:rPr>
              <w:t>(Juges Webb, Near et Mactavish)</w:t>
            </w:r>
          </w:p>
          <w:p w:rsidR="00F95A12" w:rsidRPr="00016113" w:rsidRDefault="00F95A12" w:rsidP="00F95A12">
            <w:pPr>
              <w:jc w:val="both"/>
              <w:rPr>
                <w:sz w:val="20"/>
                <w:lang w:val="fr-CA"/>
              </w:rPr>
            </w:pPr>
            <w:hyperlink r:id="rId38" w:history="1">
              <w:r w:rsidRPr="00016113">
                <w:rPr>
                  <w:rStyle w:val="Hyperlink"/>
                  <w:sz w:val="20"/>
                  <w:lang w:val="fr-CA"/>
                </w:rPr>
                <w:t>2020 FCA 60</w:t>
              </w:r>
            </w:hyperlink>
          </w:p>
          <w:p w:rsidR="00F95A12" w:rsidRPr="00016113" w:rsidRDefault="00F95A12" w:rsidP="00F95A12">
            <w:pPr>
              <w:jc w:val="both"/>
              <w:rPr>
                <w:sz w:val="20"/>
                <w:lang w:val="fr-CA"/>
              </w:rPr>
            </w:pPr>
          </w:p>
        </w:tc>
        <w:tc>
          <w:tcPr>
            <w:tcW w:w="243" w:type="pct"/>
          </w:tcPr>
          <w:p w:rsidR="00F95A12" w:rsidRPr="00016113" w:rsidRDefault="00F95A12" w:rsidP="00F95A12">
            <w:pPr>
              <w:jc w:val="both"/>
              <w:rPr>
                <w:sz w:val="20"/>
                <w:lang w:val="fr-CA"/>
              </w:rPr>
            </w:pPr>
          </w:p>
        </w:tc>
        <w:tc>
          <w:tcPr>
            <w:tcW w:w="2330" w:type="pct"/>
          </w:tcPr>
          <w:p w:rsidR="00F95A12" w:rsidRPr="00016113" w:rsidRDefault="00F95A12" w:rsidP="00F95A12">
            <w:pPr>
              <w:jc w:val="both"/>
              <w:rPr>
                <w:sz w:val="20"/>
                <w:lang w:val="fr-CA"/>
              </w:rPr>
            </w:pPr>
            <w:r w:rsidRPr="00016113">
              <w:rPr>
                <w:sz w:val="20"/>
                <w:lang w:val="fr-CA"/>
              </w:rPr>
              <w:t>Rejet de l’appel des demanderesses</w:t>
            </w:r>
          </w:p>
          <w:p w:rsidR="00F95A12" w:rsidRPr="00016113" w:rsidRDefault="00F95A12" w:rsidP="00F95A12">
            <w:pPr>
              <w:jc w:val="both"/>
              <w:rPr>
                <w:sz w:val="20"/>
                <w:lang w:val="fr-CA"/>
              </w:rPr>
            </w:pPr>
          </w:p>
        </w:tc>
      </w:tr>
      <w:tr w:rsidR="00F95A12" w:rsidRPr="00016113" w:rsidTr="00F95A12">
        <w:tc>
          <w:tcPr>
            <w:tcW w:w="2427" w:type="pct"/>
            <w:gridSpan w:val="2"/>
          </w:tcPr>
          <w:p w:rsidR="00F95A12" w:rsidRPr="00016113" w:rsidRDefault="00F95A12" w:rsidP="00F95A12">
            <w:pPr>
              <w:jc w:val="both"/>
              <w:rPr>
                <w:sz w:val="20"/>
                <w:lang w:val="fr-CA"/>
              </w:rPr>
            </w:pPr>
            <w:r w:rsidRPr="00016113">
              <w:rPr>
                <w:sz w:val="20"/>
                <w:lang w:val="fr-CA"/>
              </w:rPr>
              <w:t>11 mai 2020</w:t>
            </w:r>
          </w:p>
          <w:p w:rsidR="00F95A12" w:rsidRPr="00016113" w:rsidRDefault="00F95A12" w:rsidP="00F95A12">
            <w:pPr>
              <w:jc w:val="both"/>
              <w:rPr>
                <w:sz w:val="20"/>
                <w:lang w:val="fr-CA"/>
              </w:rPr>
            </w:pPr>
            <w:r w:rsidRPr="00016113">
              <w:rPr>
                <w:sz w:val="20"/>
                <w:lang w:val="fr-CA"/>
              </w:rPr>
              <w:t>Cour suprême du Canada</w:t>
            </w:r>
          </w:p>
        </w:tc>
        <w:tc>
          <w:tcPr>
            <w:tcW w:w="243" w:type="pct"/>
          </w:tcPr>
          <w:p w:rsidR="00F95A12" w:rsidRPr="00016113" w:rsidRDefault="00F95A12" w:rsidP="00F95A12">
            <w:pPr>
              <w:jc w:val="both"/>
              <w:rPr>
                <w:sz w:val="20"/>
                <w:lang w:val="fr-CA"/>
              </w:rPr>
            </w:pPr>
          </w:p>
        </w:tc>
        <w:tc>
          <w:tcPr>
            <w:tcW w:w="2330" w:type="pct"/>
          </w:tcPr>
          <w:p w:rsidR="00F95A12" w:rsidRPr="00016113" w:rsidRDefault="00F95A12" w:rsidP="00F95A12">
            <w:pPr>
              <w:jc w:val="both"/>
              <w:rPr>
                <w:sz w:val="20"/>
                <w:lang w:val="fr-CA"/>
              </w:rPr>
            </w:pPr>
            <w:r w:rsidRPr="00016113">
              <w:rPr>
                <w:sz w:val="20"/>
                <w:lang w:val="fr-CA"/>
              </w:rPr>
              <w:t>Dépôt de la demande d’autorisation d’appel</w:t>
            </w:r>
          </w:p>
          <w:p w:rsidR="00F95A12" w:rsidRPr="00016113" w:rsidRDefault="00F95A12" w:rsidP="00F95A12">
            <w:pPr>
              <w:jc w:val="both"/>
              <w:rPr>
                <w:sz w:val="20"/>
                <w:lang w:val="fr-CA"/>
              </w:rPr>
            </w:pPr>
          </w:p>
        </w:tc>
      </w:tr>
    </w:tbl>
    <w:p w:rsidR="00F95A12" w:rsidRPr="00016113" w:rsidRDefault="00F95A12" w:rsidP="00F95A12">
      <w:pPr>
        <w:jc w:val="both"/>
        <w:rPr>
          <w:sz w:val="20"/>
          <w:lang w:val="fr-CA"/>
        </w:rPr>
      </w:pPr>
    </w:p>
    <w:p w:rsidR="004F14BB" w:rsidRPr="00016113" w:rsidRDefault="004F14BB" w:rsidP="00F95A12">
      <w:pPr>
        <w:jc w:val="both"/>
        <w:rPr>
          <w:sz w:val="20"/>
          <w:lang w:val="fr-CA"/>
        </w:rPr>
      </w:pPr>
      <w:r w:rsidRPr="00016113">
        <w:rPr>
          <w:sz w:val="20"/>
        </w:rPr>
        <w:pict>
          <v:rect id="_x0000_i1038" style="width:2in;height:1pt" o:hrpct="0" o:hralign="center" o:hrstd="t" o:hrnoshade="t" o:hr="t" fillcolor="black [3213]" stroked="f"/>
        </w:pict>
      </w:r>
    </w:p>
    <w:p w:rsidR="00F95A12" w:rsidRPr="00016113" w:rsidRDefault="00F95A12" w:rsidP="00F95A12">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95A12" w:rsidRPr="00016113" w:rsidTr="00F95A12">
        <w:tc>
          <w:tcPr>
            <w:tcW w:w="543" w:type="pct"/>
          </w:tcPr>
          <w:p w:rsidR="00F95A12" w:rsidRPr="00016113" w:rsidRDefault="00F95A12" w:rsidP="00F95A12">
            <w:pPr>
              <w:jc w:val="both"/>
              <w:rPr>
                <w:sz w:val="20"/>
                <w:lang w:val="en-CA"/>
              </w:rPr>
            </w:pPr>
            <w:r w:rsidRPr="00016113">
              <w:rPr>
                <w:rStyle w:val="SCCFileNumberChar"/>
                <w:sz w:val="20"/>
                <w:szCs w:val="20"/>
              </w:rPr>
              <w:t>39141</w:t>
            </w:r>
          </w:p>
        </w:tc>
        <w:tc>
          <w:tcPr>
            <w:tcW w:w="4457" w:type="pct"/>
            <w:gridSpan w:val="3"/>
          </w:tcPr>
          <w:p w:rsidR="00F95A12" w:rsidRPr="00016113" w:rsidRDefault="00F95A12" w:rsidP="00F95A12">
            <w:pPr>
              <w:pStyle w:val="SCCLsocParty"/>
              <w:jc w:val="both"/>
              <w:rPr>
                <w:b/>
                <w:sz w:val="20"/>
                <w:szCs w:val="20"/>
              </w:rPr>
            </w:pPr>
            <w:r w:rsidRPr="00016113">
              <w:rPr>
                <w:b/>
                <w:sz w:val="20"/>
                <w:szCs w:val="20"/>
              </w:rPr>
              <w:t>Pharmacie Carole Bessette et Francis Gince, Pharmaciens inc. (Uniprix), Marc Dontigny Pharmaciens inc. (Uniprix), Les Distributions Stéphane Fiset inc. (Uniprix), Pharmacie Joyal et René-Henri (Jean Coutu), Société commerciale Mont-Royal (Jean Coutu), Pharmacie Kevin Boivin et François Daigneault Pharmaciens inc. (Jean Coutu), Société Jean Coutu (Groupe neuf) (Jean Coutu), 9096-7936 Québec inc. (Pharmaprix), 9232-4623 Québec inc. (Pharmaprix), 9328-3141 Québec inc. (Pharmaprix), 9213-4196 Québec inc. (Pharmaprix), Les Entreprises Saliem inc. (Pharmaprix), Pharmacie Gilles Lalonde (Jean Coutu), 2733-1172 Québec inc. (Jean Coutu), Pharmacie Tania Kanou (Jean Coutu), Pharmacie Bitar,  Savoie-Rosay et Jean Coutu (Jean Coutu), Pharmacie Dolarian et Chirinian (Jean Coutu), Heng Mui Chang et Rahsan Erdogdu (Jean Coutu), Pharmacie Patrick Bouchard et Mathieu Léger (Jean Coutu), Karim Chata et Marthe Audrée Desriveaux, Pharmaciens (Jean Coutu), Pharmacie François Jean-Coutu inc. (Jean Coutu), Pharmacie Louis Michaud (Jean Coutu) v. Yvette Turgeon in continuance of suit for Bernard Côté, in her capacity as liquidator of Bernard Côté’s succession</w:t>
            </w:r>
          </w:p>
          <w:p w:rsidR="00F95A12" w:rsidRPr="00016113" w:rsidRDefault="00F95A12" w:rsidP="004F14BB">
            <w:pPr>
              <w:jc w:val="both"/>
              <w:rPr>
                <w:sz w:val="20"/>
                <w:lang w:val="en-CA"/>
              </w:rPr>
            </w:pPr>
            <w:r w:rsidRPr="00016113">
              <w:rPr>
                <w:sz w:val="20"/>
                <w:lang w:val="en-CA"/>
              </w:rPr>
              <w:t>(Que.) (Civil) (By Leave)</w:t>
            </w:r>
          </w:p>
        </w:tc>
      </w:tr>
      <w:tr w:rsidR="00F95A12" w:rsidRPr="00016113" w:rsidTr="00F95A12">
        <w:tc>
          <w:tcPr>
            <w:tcW w:w="5000" w:type="pct"/>
            <w:gridSpan w:val="4"/>
          </w:tcPr>
          <w:p w:rsidR="00F95A12" w:rsidRPr="00016113" w:rsidRDefault="00F95A12" w:rsidP="00F95A12">
            <w:pPr>
              <w:jc w:val="both"/>
              <w:rPr>
                <w:sz w:val="20"/>
                <w:lang w:val="en-CA"/>
              </w:rPr>
            </w:pPr>
            <w:proofErr w:type="gramStart"/>
            <w:r w:rsidRPr="00016113">
              <w:rPr>
                <w:sz w:val="20"/>
                <w:lang w:val="en-CA"/>
              </w:rPr>
              <w:t>Civil procedure — Class action — Conditions for authorization — Whether class action can be authorized where plaintiff has not shown that he has valid personal claim against defendant with which he did business — For class action to be authorized against defendants with which plaintiff has no legal relationship, what evidence must be adduced by plaintiff against each of those defendants — Whether Court of Appeal erred in unreasonably lowering threshold for authorization by authorizing all proposed causes of action on basis that they were not all untenable, frivolous or clearly unfounded — Whether issue of law that has already been decided is common issue that suffices for authorization of class action within meaning of art. </w:t>
            </w:r>
            <w:proofErr w:type="gramEnd"/>
            <w:r w:rsidRPr="00016113">
              <w:rPr>
                <w:sz w:val="20"/>
                <w:lang w:val="en-CA"/>
              </w:rPr>
              <w:t xml:space="preserve">575(1) of </w:t>
            </w:r>
            <w:r w:rsidRPr="00016113">
              <w:rPr>
                <w:i/>
                <w:sz w:val="20"/>
                <w:lang w:val="en-CA"/>
              </w:rPr>
              <w:t>Code of Civil Procedure </w:t>
            </w:r>
            <w:r w:rsidRPr="00016113">
              <w:rPr>
                <w:sz w:val="20"/>
                <w:lang w:val="en-CA"/>
              </w:rPr>
              <w:t xml:space="preserve">— </w:t>
            </w:r>
            <w:r w:rsidRPr="00016113">
              <w:rPr>
                <w:i/>
                <w:sz w:val="20"/>
                <w:lang w:val="en-CA"/>
              </w:rPr>
              <w:t>Code of Civil Procedure</w:t>
            </w:r>
            <w:r w:rsidRPr="00016113">
              <w:rPr>
                <w:sz w:val="20"/>
                <w:lang w:val="en-CA"/>
              </w:rPr>
              <w:t>, CQLR, c. C</w:t>
            </w:r>
            <w:r w:rsidRPr="00016113">
              <w:rPr>
                <w:sz w:val="20"/>
                <w:lang w:val="en-CA"/>
              </w:rPr>
              <w:noBreakHyphen/>
              <w:t>25.01, art. 575.</w:t>
            </w:r>
          </w:p>
        </w:tc>
      </w:tr>
      <w:tr w:rsidR="00F95A12" w:rsidRPr="00016113" w:rsidTr="00F95A12">
        <w:tc>
          <w:tcPr>
            <w:tcW w:w="5000" w:type="pct"/>
            <w:gridSpan w:val="4"/>
          </w:tcPr>
          <w:p w:rsidR="00F95A12" w:rsidRPr="00016113" w:rsidRDefault="00F95A12" w:rsidP="00F95A12">
            <w:pPr>
              <w:jc w:val="both"/>
              <w:rPr>
                <w:sz w:val="20"/>
                <w:lang w:val="en-CA"/>
              </w:rPr>
            </w:pPr>
          </w:p>
        </w:tc>
      </w:tr>
      <w:tr w:rsidR="00F95A12" w:rsidRPr="00016113" w:rsidTr="00F95A12">
        <w:tc>
          <w:tcPr>
            <w:tcW w:w="5000" w:type="pct"/>
            <w:gridSpan w:val="4"/>
          </w:tcPr>
          <w:p w:rsidR="00F95A12" w:rsidRPr="00016113" w:rsidRDefault="00F95A12" w:rsidP="00F95A12">
            <w:pPr>
              <w:jc w:val="both"/>
              <w:rPr>
                <w:sz w:val="20"/>
                <w:lang w:val="en-CA"/>
              </w:rPr>
            </w:pPr>
            <w:r w:rsidRPr="00016113">
              <w:rPr>
                <w:sz w:val="20"/>
                <w:lang w:val="en-CA"/>
              </w:rPr>
              <w:t xml:space="preserve">Since June 2014, Bernard Côté had purchased his prescription drugs from Pharmacie Carole Bessette et Francis Gince, Pharmaciens inc., one of the applicants. He </w:t>
            </w:r>
            <w:proofErr w:type="gramStart"/>
            <w:r w:rsidRPr="00016113">
              <w:rPr>
                <w:sz w:val="20"/>
                <w:lang w:val="en-CA"/>
              </w:rPr>
              <w:t>had been insured</w:t>
            </w:r>
            <w:proofErr w:type="gramEnd"/>
            <w:r w:rsidRPr="00016113">
              <w:rPr>
                <w:sz w:val="20"/>
                <w:lang w:val="en-CA"/>
              </w:rPr>
              <w:t xml:space="preserve"> under a private medical insurance plan since 1996. In October 2016, he decided to file an application for authorization to institute a class action against a series of pharmacy businesses. In support of his application, he alleged that he was unable to obtain disclosure of the amount of professional fees and costs charged by his pharmacist for filling medical prescriptions, which, he argued, was in violation of the </w:t>
            </w:r>
            <w:r w:rsidRPr="00016113">
              <w:rPr>
                <w:i/>
                <w:sz w:val="20"/>
                <w:lang w:val="en-CA"/>
              </w:rPr>
              <w:t>Consumer Protection Act</w:t>
            </w:r>
            <w:r w:rsidRPr="00016113">
              <w:rPr>
                <w:rFonts w:ascii="inherit" w:hAnsi="inherit"/>
                <w:sz w:val="20"/>
                <w:lang w:val="en-CA"/>
              </w:rPr>
              <w:t>, CQLR, c.</w:t>
            </w:r>
            <w:r w:rsidRPr="00016113">
              <w:rPr>
                <w:rFonts w:ascii="inherit" w:hAnsi="inherit" w:hint="eastAsia"/>
                <w:sz w:val="20"/>
                <w:lang w:val="en-CA"/>
              </w:rPr>
              <w:t> </w:t>
            </w:r>
            <w:r w:rsidRPr="00016113">
              <w:rPr>
                <w:rFonts w:ascii="inherit" w:hAnsi="inherit"/>
                <w:sz w:val="20"/>
                <w:lang w:val="en-CA"/>
              </w:rPr>
              <w:t>P</w:t>
            </w:r>
            <w:r w:rsidRPr="00016113">
              <w:rPr>
                <w:rFonts w:ascii="inherit" w:hAnsi="inherit"/>
                <w:sz w:val="20"/>
                <w:lang w:val="en-CA"/>
              </w:rPr>
              <w:noBreakHyphen/>
              <w:t xml:space="preserve">40.1, the </w:t>
            </w:r>
            <w:r w:rsidRPr="00016113">
              <w:rPr>
                <w:rFonts w:ascii="inherit" w:hAnsi="inherit"/>
                <w:i/>
                <w:sz w:val="20"/>
                <w:lang w:val="en-CA"/>
              </w:rPr>
              <w:t>Civil Code of Québec</w:t>
            </w:r>
            <w:r w:rsidRPr="00016113">
              <w:rPr>
                <w:sz w:val="20"/>
                <w:lang w:val="en-CA"/>
              </w:rPr>
              <w:t xml:space="preserve"> and professional obligations. He argued that this was a widespread practice among pharmacists despite the coming into force in September 2017 of an amendment to the </w:t>
            </w:r>
            <w:r w:rsidRPr="00016113">
              <w:rPr>
                <w:i/>
                <w:sz w:val="20"/>
                <w:lang w:val="en-CA"/>
              </w:rPr>
              <w:t>Act respecting prescription drug insurance</w:t>
            </w:r>
            <w:r w:rsidRPr="00016113">
              <w:rPr>
                <w:sz w:val="20"/>
                <w:lang w:val="en-CA"/>
              </w:rPr>
              <w:t>, CQLR, c. A</w:t>
            </w:r>
            <w:r w:rsidRPr="00016113">
              <w:rPr>
                <w:sz w:val="20"/>
                <w:lang w:val="en-CA"/>
              </w:rPr>
              <w:noBreakHyphen/>
              <w:t>29.01, which imposed an obligation to be transparent in invoicing. Mr. Côté also alleged that the costs or fees for filling or renewing prescriptions charged by the pharmacists to consumers with private insurance were unreasonable, unfair and disproportionate in comparison with those charged to beneficiaries under the public prescription drug insurance plan for the same prescription or professional act. In addition, he alleged that the professional fees charged by the pharmacists to those with private insurance were double or triple those charged to beneficiaries under the public prescription drug insurance plan when a prescription was renewed for two or three months. In support of his allegations, he filed a number of documents. The respondent, Yvette Turgeon, is acting in continuance of suit for Bernard Côté in her capacity as liquidator of his succession. The Superior Court authorized the class action. The Court of Appeal dismissed the appeal.</w:t>
            </w:r>
          </w:p>
          <w:p w:rsidR="00F95A12" w:rsidRPr="00016113" w:rsidRDefault="00F95A12" w:rsidP="00F95A12">
            <w:pPr>
              <w:jc w:val="both"/>
              <w:rPr>
                <w:sz w:val="20"/>
                <w:lang w:val="en-CA"/>
              </w:rPr>
            </w:pPr>
          </w:p>
        </w:tc>
      </w:tr>
      <w:tr w:rsidR="00F95A12" w:rsidRPr="00016113" w:rsidTr="00F95A12">
        <w:tc>
          <w:tcPr>
            <w:tcW w:w="2427" w:type="pct"/>
            <w:gridSpan w:val="2"/>
          </w:tcPr>
          <w:p w:rsidR="00F95A12" w:rsidRPr="00016113" w:rsidRDefault="00F95A12" w:rsidP="00F95A12">
            <w:pPr>
              <w:jc w:val="both"/>
              <w:rPr>
                <w:sz w:val="20"/>
                <w:lang w:val="en-CA"/>
              </w:rPr>
            </w:pPr>
            <w:r w:rsidRPr="00016113">
              <w:rPr>
                <w:sz w:val="20"/>
                <w:lang w:val="en-CA"/>
              </w:rPr>
              <w:t>October 30, 2018</w:t>
            </w:r>
          </w:p>
          <w:p w:rsidR="00F95A12" w:rsidRPr="00016113" w:rsidRDefault="00F95A12" w:rsidP="00F95A12">
            <w:pPr>
              <w:jc w:val="both"/>
              <w:rPr>
                <w:sz w:val="20"/>
                <w:lang w:val="en-CA"/>
              </w:rPr>
            </w:pPr>
            <w:r w:rsidRPr="00016113">
              <w:rPr>
                <w:sz w:val="20"/>
                <w:lang w:val="en-CA"/>
              </w:rPr>
              <w:t>Quebec Superior Court</w:t>
            </w:r>
          </w:p>
          <w:p w:rsidR="00F95A12" w:rsidRPr="00016113" w:rsidRDefault="00F95A12" w:rsidP="00F95A12">
            <w:pPr>
              <w:jc w:val="both"/>
              <w:rPr>
                <w:sz w:val="20"/>
                <w:lang w:val="en-CA"/>
              </w:rPr>
            </w:pPr>
            <w:r w:rsidRPr="00016113">
              <w:rPr>
                <w:sz w:val="20"/>
                <w:lang w:val="en-CA"/>
              </w:rPr>
              <w:t>(Armstrong J.)</w:t>
            </w:r>
          </w:p>
          <w:p w:rsidR="00F95A12" w:rsidRPr="00016113" w:rsidRDefault="00F95A12" w:rsidP="00F95A12">
            <w:pPr>
              <w:jc w:val="both"/>
              <w:rPr>
                <w:sz w:val="20"/>
                <w:lang w:val="en-CA"/>
              </w:rPr>
            </w:pPr>
            <w:hyperlink r:id="rId39" w:history="1">
              <w:r w:rsidRPr="00016113">
                <w:rPr>
                  <w:rStyle w:val="Hyperlink"/>
                  <w:sz w:val="20"/>
                  <w:lang w:val="en-CA"/>
                </w:rPr>
                <w:t>2018 QCCS 4605</w:t>
              </w:r>
            </w:hyperlink>
          </w:p>
          <w:p w:rsidR="00F95A12" w:rsidRPr="00016113" w:rsidRDefault="00F95A12" w:rsidP="00F95A12">
            <w:pPr>
              <w:jc w:val="both"/>
              <w:rPr>
                <w:sz w:val="20"/>
                <w:lang w:val="en-CA"/>
              </w:rPr>
            </w:pPr>
          </w:p>
        </w:tc>
        <w:tc>
          <w:tcPr>
            <w:tcW w:w="243" w:type="pct"/>
          </w:tcPr>
          <w:p w:rsidR="00F95A12" w:rsidRPr="00016113" w:rsidRDefault="00F95A12" w:rsidP="00F95A12">
            <w:pPr>
              <w:jc w:val="both"/>
              <w:rPr>
                <w:sz w:val="20"/>
                <w:lang w:val="en-CA"/>
              </w:rPr>
            </w:pPr>
          </w:p>
        </w:tc>
        <w:tc>
          <w:tcPr>
            <w:tcW w:w="2330" w:type="pct"/>
          </w:tcPr>
          <w:p w:rsidR="00F95A12" w:rsidRPr="00016113" w:rsidRDefault="00F95A12" w:rsidP="00F95A12">
            <w:pPr>
              <w:jc w:val="both"/>
              <w:rPr>
                <w:sz w:val="20"/>
                <w:lang w:val="en-CA"/>
              </w:rPr>
            </w:pPr>
            <w:r w:rsidRPr="00016113">
              <w:rPr>
                <w:sz w:val="20"/>
                <w:lang w:val="en-CA"/>
              </w:rPr>
              <w:t>Application for authorization to institute class action allowed</w:t>
            </w:r>
          </w:p>
          <w:p w:rsidR="00F95A12" w:rsidRPr="00016113" w:rsidRDefault="00F95A12" w:rsidP="00F95A12">
            <w:pPr>
              <w:jc w:val="both"/>
              <w:rPr>
                <w:sz w:val="20"/>
                <w:lang w:val="en-CA"/>
              </w:rPr>
            </w:pPr>
          </w:p>
        </w:tc>
      </w:tr>
      <w:tr w:rsidR="00F95A12" w:rsidRPr="00016113" w:rsidTr="00F95A12">
        <w:tc>
          <w:tcPr>
            <w:tcW w:w="2427" w:type="pct"/>
            <w:gridSpan w:val="2"/>
          </w:tcPr>
          <w:p w:rsidR="00F95A12" w:rsidRPr="00016113" w:rsidRDefault="00F95A12" w:rsidP="00F95A12">
            <w:pPr>
              <w:jc w:val="both"/>
              <w:rPr>
                <w:sz w:val="20"/>
                <w:lang w:val="en-CA"/>
              </w:rPr>
            </w:pPr>
            <w:r w:rsidRPr="00016113">
              <w:rPr>
                <w:sz w:val="20"/>
                <w:lang w:val="en-CA"/>
              </w:rPr>
              <w:t>February 21, 2020</w:t>
            </w:r>
          </w:p>
          <w:p w:rsidR="00F95A12" w:rsidRPr="00016113" w:rsidRDefault="00F95A12" w:rsidP="00F95A12">
            <w:pPr>
              <w:jc w:val="both"/>
              <w:rPr>
                <w:sz w:val="20"/>
                <w:lang w:val="en-CA"/>
              </w:rPr>
            </w:pPr>
            <w:r w:rsidRPr="00016113">
              <w:rPr>
                <w:sz w:val="20"/>
                <w:lang w:val="en-CA"/>
              </w:rPr>
              <w:t>Quebec Court of Appeal (Montréal)</w:t>
            </w:r>
          </w:p>
          <w:p w:rsidR="00F95A12" w:rsidRPr="00016113" w:rsidRDefault="00F95A12" w:rsidP="00F95A12">
            <w:pPr>
              <w:jc w:val="both"/>
              <w:rPr>
                <w:sz w:val="20"/>
                <w:lang w:val="en-CA"/>
              </w:rPr>
            </w:pPr>
            <w:r w:rsidRPr="00016113">
              <w:rPr>
                <w:sz w:val="20"/>
                <w:lang w:val="en-CA"/>
              </w:rPr>
              <w:t xml:space="preserve">(Duval Hesler </w:t>
            </w:r>
            <w:proofErr w:type="gramStart"/>
            <w:r w:rsidRPr="00016113">
              <w:rPr>
                <w:sz w:val="20"/>
                <w:lang w:val="en-CA"/>
              </w:rPr>
              <w:t>C.J. and Hamilton</w:t>
            </w:r>
            <w:proofErr w:type="gramEnd"/>
            <w:r w:rsidRPr="00016113">
              <w:rPr>
                <w:sz w:val="20"/>
                <w:lang w:val="en-CA"/>
              </w:rPr>
              <w:t xml:space="preserve"> and Sansfaçon JJ.)</w:t>
            </w:r>
          </w:p>
          <w:p w:rsidR="00F95A12" w:rsidRPr="00016113" w:rsidRDefault="00F95A12" w:rsidP="00F95A12">
            <w:pPr>
              <w:jc w:val="both"/>
              <w:rPr>
                <w:sz w:val="20"/>
                <w:lang w:val="en-CA"/>
              </w:rPr>
            </w:pPr>
            <w:hyperlink r:id="rId40" w:history="1">
              <w:r w:rsidRPr="00016113">
                <w:rPr>
                  <w:rStyle w:val="Hyperlink"/>
                  <w:sz w:val="20"/>
                  <w:lang w:val="en-CA"/>
                </w:rPr>
                <w:t>2020 QCCA 303</w:t>
              </w:r>
            </w:hyperlink>
          </w:p>
          <w:p w:rsidR="00F95A12" w:rsidRPr="00016113" w:rsidRDefault="00F95A12" w:rsidP="00F95A12">
            <w:pPr>
              <w:jc w:val="both"/>
              <w:rPr>
                <w:sz w:val="20"/>
                <w:lang w:val="en-CA"/>
              </w:rPr>
            </w:pPr>
          </w:p>
        </w:tc>
        <w:tc>
          <w:tcPr>
            <w:tcW w:w="243" w:type="pct"/>
          </w:tcPr>
          <w:p w:rsidR="00F95A12" w:rsidRPr="00016113" w:rsidRDefault="00F95A12" w:rsidP="00F95A12">
            <w:pPr>
              <w:jc w:val="both"/>
              <w:rPr>
                <w:sz w:val="20"/>
                <w:lang w:val="en-CA"/>
              </w:rPr>
            </w:pPr>
          </w:p>
        </w:tc>
        <w:tc>
          <w:tcPr>
            <w:tcW w:w="2330" w:type="pct"/>
          </w:tcPr>
          <w:p w:rsidR="00F95A12" w:rsidRPr="00016113" w:rsidRDefault="00F95A12" w:rsidP="00F95A12">
            <w:pPr>
              <w:jc w:val="both"/>
              <w:rPr>
                <w:sz w:val="20"/>
                <w:lang w:val="en-CA"/>
              </w:rPr>
            </w:pPr>
            <w:r w:rsidRPr="00016113">
              <w:rPr>
                <w:sz w:val="20"/>
                <w:lang w:val="en-CA"/>
              </w:rPr>
              <w:t>Appeal dismissed</w:t>
            </w:r>
          </w:p>
        </w:tc>
      </w:tr>
      <w:tr w:rsidR="00F95A12" w:rsidRPr="00016113" w:rsidTr="00F95A12">
        <w:tc>
          <w:tcPr>
            <w:tcW w:w="2427" w:type="pct"/>
            <w:gridSpan w:val="2"/>
          </w:tcPr>
          <w:p w:rsidR="00F95A12" w:rsidRPr="00016113" w:rsidRDefault="00F95A12" w:rsidP="00F95A12">
            <w:pPr>
              <w:jc w:val="both"/>
              <w:rPr>
                <w:sz w:val="20"/>
                <w:lang w:val="en-CA"/>
              </w:rPr>
            </w:pPr>
            <w:r w:rsidRPr="00016113">
              <w:rPr>
                <w:sz w:val="20"/>
                <w:lang w:val="en-CA"/>
              </w:rPr>
              <w:t>April 21, 2020</w:t>
            </w:r>
          </w:p>
          <w:p w:rsidR="004F14BB" w:rsidRPr="00016113" w:rsidRDefault="00F95A12" w:rsidP="004F14BB">
            <w:pPr>
              <w:jc w:val="both"/>
              <w:rPr>
                <w:sz w:val="20"/>
                <w:lang w:val="en-CA"/>
              </w:rPr>
            </w:pPr>
            <w:r w:rsidRPr="00016113">
              <w:rPr>
                <w:sz w:val="20"/>
                <w:lang w:val="en-CA"/>
              </w:rPr>
              <w:t>Supreme Court of Canada</w:t>
            </w:r>
          </w:p>
        </w:tc>
        <w:tc>
          <w:tcPr>
            <w:tcW w:w="243" w:type="pct"/>
          </w:tcPr>
          <w:p w:rsidR="00F95A12" w:rsidRPr="00016113" w:rsidRDefault="00F95A12" w:rsidP="00F95A12">
            <w:pPr>
              <w:jc w:val="both"/>
              <w:rPr>
                <w:sz w:val="20"/>
                <w:lang w:val="en-CA"/>
              </w:rPr>
            </w:pPr>
          </w:p>
        </w:tc>
        <w:tc>
          <w:tcPr>
            <w:tcW w:w="2330" w:type="pct"/>
          </w:tcPr>
          <w:p w:rsidR="00F95A12" w:rsidRPr="00016113" w:rsidRDefault="00F95A12" w:rsidP="00F95A12">
            <w:pPr>
              <w:jc w:val="both"/>
              <w:rPr>
                <w:sz w:val="20"/>
                <w:lang w:val="en-CA"/>
              </w:rPr>
            </w:pPr>
            <w:r w:rsidRPr="00016113">
              <w:rPr>
                <w:sz w:val="20"/>
                <w:lang w:val="en-CA"/>
              </w:rPr>
              <w:t>Application for leave to appeal filed</w:t>
            </w:r>
          </w:p>
          <w:p w:rsidR="00F95A12" w:rsidRPr="00016113" w:rsidRDefault="00F95A12" w:rsidP="00F95A12">
            <w:pPr>
              <w:jc w:val="both"/>
              <w:rPr>
                <w:sz w:val="20"/>
                <w:lang w:val="en-CA"/>
              </w:rPr>
            </w:pPr>
          </w:p>
        </w:tc>
      </w:tr>
    </w:tbl>
    <w:p w:rsidR="00F95A12" w:rsidRPr="00016113" w:rsidRDefault="00F95A12" w:rsidP="00F95A12">
      <w:pPr>
        <w:jc w:val="both"/>
        <w:rPr>
          <w:sz w:val="20"/>
          <w:lang w:val="en-CA"/>
        </w:rPr>
      </w:pPr>
    </w:p>
    <w:p w:rsidR="004F14BB" w:rsidRPr="00016113" w:rsidRDefault="004F14BB" w:rsidP="00F95A12">
      <w:pPr>
        <w:jc w:val="both"/>
        <w:rPr>
          <w:sz w:val="20"/>
          <w:lang w:val="en-CA"/>
        </w:rPr>
      </w:pPr>
      <w:r w:rsidRPr="00016113">
        <w:rPr>
          <w:sz w:val="20"/>
        </w:rPr>
        <w:pict>
          <v:rect id="_x0000_i1039" style="width:2in;height:1pt" o:hrpct="0" o:hralign="center" o:hrstd="t" o:hrnoshade="t" o:hr="t" fillcolor="black [3213]" stroked="f"/>
        </w:pict>
      </w:r>
    </w:p>
    <w:p w:rsidR="004F14BB" w:rsidRPr="00016113" w:rsidRDefault="004F14BB" w:rsidP="00F95A12">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95A12" w:rsidRPr="00016113" w:rsidTr="00F95A12">
        <w:tc>
          <w:tcPr>
            <w:tcW w:w="543" w:type="pct"/>
          </w:tcPr>
          <w:p w:rsidR="00F95A12" w:rsidRPr="00016113" w:rsidRDefault="00F95A12" w:rsidP="00F95A12">
            <w:pPr>
              <w:jc w:val="both"/>
              <w:rPr>
                <w:sz w:val="20"/>
              </w:rPr>
            </w:pPr>
            <w:r w:rsidRPr="00016113">
              <w:rPr>
                <w:rStyle w:val="SCCFileNumberChar"/>
                <w:sz w:val="20"/>
                <w:szCs w:val="20"/>
              </w:rPr>
              <w:t>39141</w:t>
            </w:r>
          </w:p>
        </w:tc>
        <w:tc>
          <w:tcPr>
            <w:tcW w:w="4457" w:type="pct"/>
            <w:gridSpan w:val="3"/>
          </w:tcPr>
          <w:p w:rsidR="00F95A12" w:rsidRPr="00016113" w:rsidRDefault="00F95A12" w:rsidP="00F95A12">
            <w:pPr>
              <w:pStyle w:val="SCCLsocParty"/>
              <w:jc w:val="both"/>
              <w:rPr>
                <w:b/>
                <w:sz w:val="20"/>
                <w:szCs w:val="20"/>
              </w:rPr>
            </w:pPr>
            <w:r w:rsidRPr="00016113">
              <w:rPr>
                <w:b/>
                <w:sz w:val="20"/>
                <w:szCs w:val="20"/>
              </w:rPr>
              <w:t>Pharmacie Carole Bessette et Francis Gince, Pharmaciens inc. (Uniprix), Marc Dontigny Pharmaciens inc. (Uniprix), Les distributions Stéphane Fiset inc. (Uniprix), Pharmacie Joyal et René-Henri (Jean Coutu), Société commerciale Mont-Royal (Jean Coutu), Pharmacie Kevin Boivin et François Daigneault Pharmaciens inc. (Jean Coutu), Société Jean Coutu (g</w:t>
            </w:r>
            <w:r w:rsidR="004F14BB" w:rsidRPr="00016113">
              <w:rPr>
                <w:b/>
                <w:sz w:val="20"/>
                <w:szCs w:val="20"/>
              </w:rPr>
              <w:t>r</w:t>
            </w:r>
            <w:r w:rsidRPr="00016113">
              <w:rPr>
                <w:b/>
                <w:sz w:val="20"/>
                <w:szCs w:val="20"/>
              </w:rPr>
              <w:t>oupe neuf), (Jean Coutu), 9096-7936 Québec inc. (Pharmaprix), 9232-4623 Québec inc. (Pharmaprix), 9328-3141 Québec inc. (Pharmaprix), 9213-4196 Québec inc. (Pharmaprix), Les entreprises Saliem inc. (Pharmaprix), Pharmacie Gilles Lalonde (Jean Coutu), 2733-1172 Québec inc. (Jean Coutu), Pharmacie Tania Kanou (Jean Coutu), Pharmacie Bitar,  Savoie-Rosay et Jean Coutu (Jean Coutu), Pharmacie Dolarian et Chirinian (Jean Coutu), Heng Mui Chang et Rahsan Erdogdu (Jean Coutu), Pharmacie Patrick Bouchard et Mathieu Léger (Jean Coutu), Karim Chata et Marthe Audrée Desriveaux, Pharmaciens (Jean Coutu), Pharmacie François Jean-Coutu inc. (Jean Coutu), Pharmacie Louis Michaud (Jean Coutu) c. Yvette Turgeon en reprise d'instance pour Bernard Côté, en sa qualité de liquidatrice de la succession de Bernard Côté</w:t>
            </w:r>
          </w:p>
          <w:p w:rsidR="00F95A12" w:rsidRPr="00016113" w:rsidRDefault="00F95A12" w:rsidP="004F14BB">
            <w:pPr>
              <w:jc w:val="both"/>
              <w:rPr>
                <w:sz w:val="20"/>
              </w:rPr>
            </w:pPr>
            <w:r w:rsidRPr="00016113">
              <w:rPr>
                <w:sz w:val="20"/>
              </w:rPr>
              <w:t>(Qc) (Civile) (Autorisation)</w:t>
            </w:r>
          </w:p>
        </w:tc>
      </w:tr>
      <w:tr w:rsidR="00F95A12" w:rsidRPr="00016113" w:rsidTr="00F95A12">
        <w:tc>
          <w:tcPr>
            <w:tcW w:w="5000" w:type="pct"/>
            <w:gridSpan w:val="4"/>
          </w:tcPr>
          <w:p w:rsidR="00F95A12" w:rsidRPr="00016113" w:rsidRDefault="00F95A12" w:rsidP="00F95A12">
            <w:pPr>
              <w:jc w:val="both"/>
              <w:rPr>
                <w:sz w:val="20"/>
                <w:lang w:val="fr-CA"/>
              </w:rPr>
            </w:pPr>
            <w:r w:rsidRPr="00016113">
              <w:rPr>
                <w:sz w:val="20"/>
                <w:lang w:val="fr-CA"/>
              </w:rPr>
              <w:t>Procédure civile — Recours collectif — Conditions d’autorisation — Une action collective peut</w:t>
            </w:r>
            <w:r w:rsidRPr="00016113">
              <w:rPr>
                <w:sz w:val="20"/>
                <w:lang w:val="fr-CA"/>
              </w:rPr>
              <w:noBreakHyphen/>
              <w:t>elle être autorisée lorsque le demandeur n’a pas démontré qu’il dispose d’un recours personnel valable contre la défenderesse avec qui il a fait affaire? — Pour qu’une action collective puisse être autorisée contre des défenderesses avec lesquelles le demandeur n’a aucun lien de droit, quelle preuve ce dernier doit</w:t>
            </w:r>
            <w:r w:rsidRPr="00016113">
              <w:rPr>
                <w:sz w:val="20"/>
                <w:lang w:val="fr-CA"/>
              </w:rPr>
              <w:noBreakHyphen/>
              <w:t>il apporter à l’encontre de chacune de ces défenderesses? — La Cour d’appel a</w:t>
            </w:r>
            <w:r w:rsidRPr="00016113">
              <w:rPr>
                <w:sz w:val="20"/>
                <w:lang w:val="fr-CA"/>
              </w:rPr>
              <w:noBreakHyphen/>
              <w:t>t</w:t>
            </w:r>
            <w:r w:rsidRPr="00016113">
              <w:rPr>
                <w:sz w:val="20"/>
                <w:lang w:val="fr-CA"/>
              </w:rPr>
              <w:noBreakHyphen/>
              <w:t>elle erré en abaissant de manière déraisonnable le seuil de l’autorisation en autorisant toutes les causes d’action proposées sur la base qu’elles ne sont pas toutes insoutenables, frivoles, ou manifestement mal fondées? — Une question de droit déjà tranchée constitue</w:t>
            </w:r>
            <w:r w:rsidRPr="00016113">
              <w:rPr>
                <w:sz w:val="20"/>
                <w:lang w:val="fr-CA"/>
              </w:rPr>
              <w:noBreakHyphen/>
              <w:t>t</w:t>
            </w:r>
            <w:r w:rsidRPr="00016113">
              <w:rPr>
                <w:sz w:val="20"/>
                <w:lang w:val="fr-CA"/>
              </w:rPr>
              <w:noBreakHyphen/>
              <w:t xml:space="preserve">elle une question commune suffisante à l’autorisation d’une action collective au sens de l’art. 575(1) du </w:t>
            </w:r>
            <w:r w:rsidRPr="00016113">
              <w:rPr>
                <w:i/>
                <w:sz w:val="20"/>
                <w:lang w:val="fr-CA"/>
              </w:rPr>
              <w:t>Code de procédure civile</w:t>
            </w:r>
            <w:r w:rsidRPr="00016113">
              <w:rPr>
                <w:sz w:val="20"/>
                <w:lang w:val="fr-CA"/>
              </w:rPr>
              <w:t xml:space="preserve">? — </w:t>
            </w:r>
            <w:r w:rsidRPr="00016113">
              <w:rPr>
                <w:i/>
                <w:sz w:val="20"/>
                <w:lang w:val="fr-CA"/>
              </w:rPr>
              <w:t>Code de procédure civile</w:t>
            </w:r>
            <w:r w:rsidRPr="00016113">
              <w:rPr>
                <w:sz w:val="20"/>
                <w:lang w:val="fr-CA"/>
              </w:rPr>
              <w:t>, RLRQ c C</w:t>
            </w:r>
            <w:r w:rsidRPr="00016113">
              <w:rPr>
                <w:sz w:val="20"/>
                <w:lang w:val="fr-CA"/>
              </w:rPr>
              <w:noBreakHyphen/>
              <w:t>25.01, art. 575.</w:t>
            </w:r>
          </w:p>
        </w:tc>
      </w:tr>
      <w:tr w:rsidR="00F95A12" w:rsidRPr="00016113" w:rsidTr="00F95A12">
        <w:tc>
          <w:tcPr>
            <w:tcW w:w="5000" w:type="pct"/>
            <w:gridSpan w:val="4"/>
          </w:tcPr>
          <w:p w:rsidR="00F95A12" w:rsidRPr="00016113" w:rsidRDefault="00F95A12" w:rsidP="00F95A12">
            <w:pPr>
              <w:jc w:val="both"/>
              <w:rPr>
                <w:sz w:val="20"/>
                <w:lang w:val="fr-CA"/>
              </w:rPr>
            </w:pPr>
          </w:p>
        </w:tc>
      </w:tr>
      <w:tr w:rsidR="00F95A12" w:rsidRPr="00016113" w:rsidTr="00F95A12">
        <w:tc>
          <w:tcPr>
            <w:tcW w:w="5000" w:type="pct"/>
            <w:gridSpan w:val="4"/>
          </w:tcPr>
          <w:p w:rsidR="00F95A12" w:rsidRPr="00016113" w:rsidRDefault="00F95A12" w:rsidP="00F95A12">
            <w:pPr>
              <w:jc w:val="both"/>
              <w:rPr>
                <w:sz w:val="20"/>
                <w:lang w:val="fr-CA"/>
              </w:rPr>
            </w:pPr>
            <w:r w:rsidRPr="00016113">
              <w:rPr>
                <w:sz w:val="20"/>
                <w:lang w:val="fr-CA"/>
              </w:rPr>
              <w:t xml:space="preserve">M. Bernard Côté achète depuis juin 2014 ses médicaments chez la Pharmacie Carole Bessette &amp; Francis Gince, pharmaciens inc., une des demanderesses. Il est assuré depuis 1996 par l’entremise d’un régime privé d’assurance médicale. En octobre 2016, il décide de déposer une demande d’autorisation d’exercer une action collective contre une série d’entreprises exploitant des pharmacies. Il allègue au soutien de sa demande son incapacité à obtenir la divulgation du montant de frais et d’honoraires professionnels facturés par son pharmacien pour l’exécution d'ordonnances médicales, et ce, selon lui, en contravention de la </w:t>
            </w:r>
            <w:r w:rsidRPr="00016113">
              <w:rPr>
                <w:rFonts w:ascii="inherit" w:hAnsi="inherit"/>
                <w:i/>
                <w:sz w:val="20"/>
                <w:lang w:val="fr-FR"/>
              </w:rPr>
              <w:t>Loi sur la protection du consommateur</w:t>
            </w:r>
            <w:r w:rsidRPr="00016113">
              <w:rPr>
                <w:rFonts w:ascii="inherit" w:hAnsi="inherit"/>
                <w:sz w:val="20"/>
                <w:lang w:val="fr-FR"/>
              </w:rPr>
              <w:t>, RLRQ c P</w:t>
            </w:r>
            <w:r w:rsidRPr="00016113">
              <w:rPr>
                <w:rFonts w:ascii="inherit" w:hAnsi="inherit"/>
                <w:sz w:val="20"/>
                <w:lang w:val="fr-FR"/>
              </w:rPr>
              <w:noBreakHyphen/>
              <w:t xml:space="preserve">40.1, du </w:t>
            </w:r>
            <w:r w:rsidRPr="00016113">
              <w:rPr>
                <w:rFonts w:ascii="inherit" w:hAnsi="inherit"/>
                <w:i/>
                <w:sz w:val="20"/>
                <w:lang w:val="fr-FR"/>
              </w:rPr>
              <w:t>Code civil du Québec</w:t>
            </w:r>
            <w:r w:rsidRPr="00016113">
              <w:rPr>
                <w:sz w:val="20"/>
                <w:lang w:val="fr-CA"/>
              </w:rPr>
              <w:t xml:space="preserve"> et d’obligations professionnelles. Il s’agirait d’une pratique généralisée chez les pharmaciens, et ce, malgré l’entrée en vigueur d’un amendement à la </w:t>
            </w:r>
            <w:r w:rsidRPr="00016113">
              <w:rPr>
                <w:i/>
                <w:sz w:val="20"/>
                <w:lang w:val="fr-CA"/>
              </w:rPr>
              <w:t>Loi sur l’assurance médicaments</w:t>
            </w:r>
            <w:r w:rsidRPr="00016113">
              <w:rPr>
                <w:sz w:val="20"/>
                <w:lang w:val="fr-CA"/>
              </w:rPr>
              <w:t>, RLRQ c. A</w:t>
            </w:r>
            <w:r w:rsidRPr="00016113">
              <w:rPr>
                <w:sz w:val="20"/>
                <w:lang w:val="fr-CA"/>
              </w:rPr>
              <w:noBreakHyphen/>
              <w:t>29.01 en septembre 2017 qui impose une obligation de transparence dans la facturation. M. Côté reproche également aux pharmaciens de facturer aux consommateurs bénéficiant d’une assurance privée des frais ou honoraires d’exécution ou de renouvellement d’ordonnance qui seraient déraisonnables, inéquitables et disproportionnés en comparaison à ceux facturés aux bénéficiaires du régime public d’assurance médicament pour une même ordonnance ou pour un même acte professionnel. De plus, il reproche aux pharmaciens de doubler ou tripler les honoraires professionnels facturés aux bénéficiaires d’une assurance privée comparativement à ceux facturés aux bénéficiaires du régime public d’assurance médicament lorsqu’une ordonnance est renouvelée pour deux ou trois mois. Il dépose au support de ses allégations divers documents. Mme Yvette Turgeon, intimée, agit en reprise d'instance pour M. Bernard Côté, en sa qualité de liquidatrice de la succession de M. Côté. La Cour supérieure a autorisé l’exercice de l’action collective. La Cour d’appel a rejeté l’appel.</w:t>
            </w:r>
          </w:p>
          <w:p w:rsidR="00F95A12" w:rsidRPr="00016113" w:rsidRDefault="00F95A12" w:rsidP="00F95A12">
            <w:pPr>
              <w:jc w:val="both"/>
              <w:rPr>
                <w:sz w:val="20"/>
                <w:lang w:val="fr-CA"/>
              </w:rPr>
            </w:pPr>
          </w:p>
        </w:tc>
      </w:tr>
      <w:tr w:rsidR="00F95A12" w:rsidRPr="00016113" w:rsidTr="00F95A12">
        <w:tc>
          <w:tcPr>
            <w:tcW w:w="2427" w:type="pct"/>
            <w:gridSpan w:val="2"/>
          </w:tcPr>
          <w:p w:rsidR="00F95A12" w:rsidRPr="00016113" w:rsidRDefault="00F95A12" w:rsidP="00F95A12">
            <w:pPr>
              <w:jc w:val="both"/>
              <w:rPr>
                <w:sz w:val="20"/>
                <w:lang w:val="fr-CA"/>
              </w:rPr>
            </w:pPr>
            <w:r w:rsidRPr="00016113">
              <w:rPr>
                <w:sz w:val="20"/>
                <w:lang w:val="fr-CA"/>
              </w:rPr>
              <w:t>Le 30 octobre 2018</w:t>
            </w:r>
          </w:p>
          <w:p w:rsidR="00F95A12" w:rsidRPr="00016113" w:rsidRDefault="00F95A12" w:rsidP="00F95A12">
            <w:pPr>
              <w:jc w:val="both"/>
              <w:rPr>
                <w:sz w:val="20"/>
                <w:lang w:val="fr-CA"/>
              </w:rPr>
            </w:pPr>
            <w:r w:rsidRPr="00016113">
              <w:rPr>
                <w:sz w:val="20"/>
                <w:lang w:val="fr-CA"/>
              </w:rPr>
              <w:t>Cour supérieure du Québec</w:t>
            </w:r>
          </w:p>
          <w:p w:rsidR="00F95A12" w:rsidRPr="00016113" w:rsidRDefault="00F95A12" w:rsidP="00F95A12">
            <w:pPr>
              <w:jc w:val="both"/>
              <w:rPr>
                <w:sz w:val="20"/>
              </w:rPr>
            </w:pPr>
            <w:r w:rsidRPr="00016113">
              <w:rPr>
                <w:sz w:val="20"/>
              </w:rPr>
              <w:t>(La juge Armstrong)</w:t>
            </w:r>
          </w:p>
          <w:p w:rsidR="00F95A12" w:rsidRPr="00016113" w:rsidRDefault="00F95A12" w:rsidP="00F95A12">
            <w:pPr>
              <w:jc w:val="both"/>
              <w:rPr>
                <w:sz w:val="20"/>
              </w:rPr>
            </w:pPr>
            <w:hyperlink r:id="rId41" w:history="1">
              <w:r w:rsidRPr="00016113">
                <w:rPr>
                  <w:rStyle w:val="Hyperlink"/>
                  <w:sz w:val="20"/>
                </w:rPr>
                <w:t>2018 QCCS 4605</w:t>
              </w:r>
            </w:hyperlink>
          </w:p>
          <w:p w:rsidR="00F95A12" w:rsidRPr="00016113" w:rsidRDefault="00F95A12" w:rsidP="00F95A12">
            <w:pPr>
              <w:jc w:val="both"/>
              <w:rPr>
                <w:sz w:val="20"/>
              </w:rPr>
            </w:pPr>
          </w:p>
        </w:tc>
        <w:tc>
          <w:tcPr>
            <w:tcW w:w="243" w:type="pct"/>
          </w:tcPr>
          <w:p w:rsidR="00F95A12" w:rsidRPr="00016113" w:rsidRDefault="00F95A12" w:rsidP="00F95A12">
            <w:pPr>
              <w:jc w:val="both"/>
              <w:rPr>
                <w:sz w:val="20"/>
              </w:rPr>
            </w:pPr>
          </w:p>
        </w:tc>
        <w:tc>
          <w:tcPr>
            <w:tcW w:w="2330" w:type="pct"/>
          </w:tcPr>
          <w:p w:rsidR="00F95A12" w:rsidRPr="00016113" w:rsidRDefault="00F95A12" w:rsidP="00F95A12">
            <w:pPr>
              <w:jc w:val="both"/>
              <w:rPr>
                <w:sz w:val="20"/>
                <w:lang w:val="fr-CA"/>
              </w:rPr>
            </w:pPr>
            <w:r w:rsidRPr="00016113">
              <w:rPr>
                <w:sz w:val="20"/>
                <w:lang w:val="fr-CA"/>
              </w:rPr>
              <w:t>Demande d’autorisation d’exercer une action collective accueillie.</w:t>
            </w:r>
          </w:p>
          <w:p w:rsidR="00F95A12" w:rsidRPr="00016113" w:rsidRDefault="00F95A12" w:rsidP="00F95A12">
            <w:pPr>
              <w:jc w:val="both"/>
              <w:rPr>
                <w:sz w:val="20"/>
                <w:lang w:val="fr-CA"/>
              </w:rPr>
            </w:pPr>
          </w:p>
        </w:tc>
      </w:tr>
      <w:tr w:rsidR="00F95A12" w:rsidRPr="00016113" w:rsidTr="00F95A12">
        <w:tc>
          <w:tcPr>
            <w:tcW w:w="2427" w:type="pct"/>
            <w:gridSpan w:val="2"/>
          </w:tcPr>
          <w:p w:rsidR="00F95A12" w:rsidRPr="00016113" w:rsidRDefault="00F95A12" w:rsidP="00F95A12">
            <w:pPr>
              <w:jc w:val="both"/>
              <w:rPr>
                <w:sz w:val="20"/>
                <w:lang w:val="fr-CA"/>
              </w:rPr>
            </w:pPr>
            <w:r w:rsidRPr="00016113">
              <w:rPr>
                <w:sz w:val="20"/>
                <w:lang w:val="fr-CA"/>
              </w:rPr>
              <w:t>Le 21 février 2020</w:t>
            </w:r>
          </w:p>
          <w:p w:rsidR="00F95A12" w:rsidRPr="00016113" w:rsidRDefault="00F95A12" w:rsidP="00F95A12">
            <w:pPr>
              <w:jc w:val="both"/>
              <w:rPr>
                <w:sz w:val="20"/>
                <w:lang w:val="fr-CA"/>
              </w:rPr>
            </w:pPr>
            <w:r w:rsidRPr="00016113">
              <w:rPr>
                <w:sz w:val="20"/>
                <w:lang w:val="fr-CA"/>
              </w:rPr>
              <w:t>Cour d’appel du Québec (Montréal)</w:t>
            </w:r>
          </w:p>
          <w:p w:rsidR="00F95A12" w:rsidRPr="00016113" w:rsidRDefault="00F95A12" w:rsidP="00F95A12">
            <w:pPr>
              <w:jc w:val="both"/>
              <w:rPr>
                <w:sz w:val="20"/>
                <w:lang w:val="fr-CA"/>
              </w:rPr>
            </w:pPr>
            <w:r w:rsidRPr="00016113">
              <w:rPr>
                <w:sz w:val="20"/>
                <w:lang w:val="fr-CA"/>
              </w:rPr>
              <w:t xml:space="preserve">(La juge en chef Duval Hesler, les juges Hamilton et </w:t>
            </w:r>
            <w:proofErr w:type="spellStart"/>
            <w:r w:rsidRPr="00016113">
              <w:rPr>
                <w:sz w:val="20"/>
                <w:lang w:val="fr-CA"/>
              </w:rPr>
              <w:t>Sansfaçon</w:t>
            </w:r>
            <w:proofErr w:type="spellEnd"/>
            <w:r w:rsidRPr="00016113">
              <w:rPr>
                <w:sz w:val="20"/>
                <w:lang w:val="fr-CA"/>
              </w:rPr>
              <w:t>)</w:t>
            </w:r>
          </w:p>
          <w:p w:rsidR="00F95A12" w:rsidRPr="00016113" w:rsidRDefault="00F95A12" w:rsidP="00F95A12">
            <w:pPr>
              <w:jc w:val="both"/>
              <w:rPr>
                <w:sz w:val="20"/>
              </w:rPr>
            </w:pPr>
            <w:hyperlink r:id="rId42" w:history="1">
              <w:r w:rsidRPr="00016113">
                <w:rPr>
                  <w:rStyle w:val="Hyperlink"/>
                  <w:sz w:val="20"/>
                </w:rPr>
                <w:t>2020 QCCA 303</w:t>
              </w:r>
            </w:hyperlink>
          </w:p>
          <w:p w:rsidR="00F95A12" w:rsidRPr="00016113" w:rsidRDefault="00F95A12" w:rsidP="00F95A12">
            <w:pPr>
              <w:jc w:val="both"/>
              <w:rPr>
                <w:sz w:val="20"/>
              </w:rPr>
            </w:pPr>
          </w:p>
        </w:tc>
        <w:tc>
          <w:tcPr>
            <w:tcW w:w="243" w:type="pct"/>
          </w:tcPr>
          <w:p w:rsidR="00F95A12" w:rsidRPr="00016113" w:rsidRDefault="00F95A12" w:rsidP="00F95A12">
            <w:pPr>
              <w:jc w:val="both"/>
              <w:rPr>
                <w:sz w:val="20"/>
              </w:rPr>
            </w:pPr>
          </w:p>
        </w:tc>
        <w:tc>
          <w:tcPr>
            <w:tcW w:w="2330" w:type="pct"/>
          </w:tcPr>
          <w:p w:rsidR="00F95A12" w:rsidRPr="00016113" w:rsidRDefault="00F95A12" w:rsidP="00F95A12">
            <w:pPr>
              <w:jc w:val="both"/>
              <w:rPr>
                <w:sz w:val="20"/>
              </w:rPr>
            </w:pPr>
            <w:r w:rsidRPr="00016113">
              <w:rPr>
                <w:sz w:val="20"/>
              </w:rPr>
              <w:t>Appel rejeté.</w:t>
            </w:r>
          </w:p>
        </w:tc>
      </w:tr>
      <w:tr w:rsidR="00F95A12" w:rsidRPr="00016113" w:rsidTr="00F95A12">
        <w:tc>
          <w:tcPr>
            <w:tcW w:w="2427" w:type="pct"/>
            <w:gridSpan w:val="2"/>
          </w:tcPr>
          <w:p w:rsidR="00F95A12" w:rsidRPr="00016113" w:rsidRDefault="00F95A12" w:rsidP="00F95A12">
            <w:pPr>
              <w:jc w:val="both"/>
              <w:rPr>
                <w:sz w:val="20"/>
                <w:lang w:val="fr-CA"/>
              </w:rPr>
            </w:pPr>
            <w:r w:rsidRPr="00016113">
              <w:rPr>
                <w:sz w:val="20"/>
                <w:lang w:val="fr-CA"/>
              </w:rPr>
              <w:t>Le 21 avril 2020</w:t>
            </w:r>
          </w:p>
          <w:p w:rsidR="00F95A12" w:rsidRPr="00016113" w:rsidRDefault="00F95A12" w:rsidP="004F14BB">
            <w:pPr>
              <w:jc w:val="both"/>
              <w:rPr>
                <w:sz w:val="20"/>
                <w:lang w:val="fr-CA"/>
              </w:rPr>
            </w:pPr>
            <w:r w:rsidRPr="00016113">
              <w:rPr>
                <w:sz w:val="20"/>
                <w:lang w:val="fr-CA"/>
              </w:rPr>
              <w:t>Cour suprême du Canada</w:t>
            </w:r>
          </w:p>
        </w:tc>
        <w:tc>
          <w:tcPr>
            <w:tcW w:w="243" w:type="pct"/>
          </w:tcPr>
          <w:p w:rsidR="00F95A12" w:rsidRPr="00016113" w:rsidRDefault="00F95A12" w:rsidP="00F95A12">
            <w:pPr>
              <w:jc w:val="both"/>
              <w:rPr>
                <w:sz w:val="20"/>
                <w:lang w:val="fr-CA"/>
              </w:rPr>
            </w:pPr>
          </w:p>
        </w:tc>
        <w:tc>
          <w:tcPr>
            <w:tcW w:w="2330" w:type="pct"/>
          </w:tcPr>
          <w:p w:rsidR="00F95A12" w:rsidRPr="00016113" w:rsidRDefault="00F95A12" w:rsidP="00F95A12">
            <w:pPr>
              <w:jc w:val="both"/>
              <w:rPr>
                <w:sz w:val="20"/>
              </w:rPr>
            </w:pPr>
            <w:r w:rsidRPr="00016113">
              <w:rPr>
                <w:sz w:val="20"/>
              </w:rPr>
              <w:t>Demande d'autorisation d'appel déposée</w:t>
            </w:r>
          </w:p>
          <w:p w:rsidR="00F95A12" w:rsidRPr="00016113" w:rsidRDefault="00F95A12" w:rsidP="00F95A12">
            <w:pPr>
              <w:jc w:val="both"/>
              <w:rPr>
                <w:sz w:val="20"/>
              </w:rPr>
            </w:pPr>
          </w:p>
        </w:tc>
      </w:tr>
    </w:tbl>
    <w:p w:rsidR="00F95A12" w:rsidRPr="00016113" w:rsidRDefault="00F95A12" w:rsidP="00F95A12">
      <w:pPr>
        <w:jc w:val="both"/>
        <w:rPr>
          <w:sz w:val="20"/>
        </w:rPr>
      </w:pPr>
    </w:p>
    <w:p w:rsidR="004F14BB" w:rsidRPr="00016113" w:rsidRDefault="004F14BB" w:rsidP="00F95A12">
      <w:pPr>
        <w:jc w:val="both"/>
        <w:rPr>
          <w:sz w:val="20"/>
        </w:rPr>
      </w:pPr>
      <w:r w:rsidRPr="00016113">
        <w:rPr>
          <w:sz w:val="20"/>
        </w:rPr>
        <w:pict>
          <v:rect id="_x0000_i1040" style="width:2in;height:1pt" o:hrpct="0" o:hralign="center" o:hrstd="t" o:hrnoshade="t" o:hr="t" fillcolor="black [3213]" stroked="f"/>
        </w:pict>
      </w:r>
    </w:p>
    <w:p w:rsidR="00F95A12" w:rsidRPr="00016113" w:rsidRDefault="00F95A12" w:rsidP="00F95A12">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95A12" w:rsidRPr="00016113" w:rsidTr="00F95A12">
        <w:tc>
          <w:tcPr>
            <w:tcW w:w="543" w:type="pct"/>
          </w:tcPr>
          <w:p w:rsidR="00F95A12" w:rsidRPr="00016113" w:rsidRDefault="00F95A12" w:rsidP="00F95A12">
            <w:pPr>
              <w:jc w:val="both"/>
              <w:rPr>
                <w:sz w:val="20"/>
                <w:lang w:val="en-CA"/>
              </w:rPr>
            </w:pPr>
            <w:r w:rsidRPr="00016113">
              <w:rPr>
                <w:rStyle w:val="SCCFileNumberChar"/>
                <w:sz w:val="20"/>
                <w:szCs w:val="20"/>
              </w:rPr>
              <w:t>39162</w:t>
            </w:r>
          </w:p>
        </w:tc>
        <w:tc>
          <w:tcPr>
            <w:tcW w:w="4457" w:type="pct"/>
            <w:gridSpan w:val="3"/>
          </w:tcPr>
          <w:p w:rsidR="00F95A12" w:rsidRPr="00016113" w:rsidRDefault="00F95A12" w:rsidP="00F95A12">
            <w:pPr>
              <w:pStyle w:val="SCCLsocParty"/>
              <w:jc w:val="both"/>
              <w:rPr>
                <w:b/>
                <w:sz w:val="20"/>
                <w:szCs w:val="20"/>
                <w:lang w:val="en-CA"/>
              </w:rPr>
            </w:pPr>
            <w:r w:rsidRPr="00016113">
              <w:rPr>
                <w:b/>
                <w:sz w:val="20"/>
                <w:szCs w:val="20"/>
                <w:lang w:val="en-CA"/>
              </w:rPr>
              <w:t>Her Majesty the Queen v. Richard Vallières</w:t>
            </w:r>
          </w:p>
          <w:p w:rsidR="00F95A12" w:rsidRPr="00016113" w:rsidRDefault="00F95A12" w:rsidP="004F14BB">
            <w:pPr>
              <w:jc w:val="both"/>
              <w:rPr>
                <w:sz w:val="20"/>
                <w:lang w:val="en-CA"/>
              </w:rPr>
            </w:pPr>
            <w:r w:rsidRPr="00016113">
              <w:rPr>
                <w:sz w:val="20"/>
                <w:lang w:val="en-CA"/>
              </w:rPr>
              <w:t>(Que.) (Criminal) (By Leave)</w:t>
            </w:r>
          </w:p>
        </w:tc>
      </w:tr>
      <w:tr w:rsidR="00F95A12" w:rsidRPr="00016113" w:rsidTr="00F95A12">
        <w:tc>
          <w:tcPr>
            <w:tcW w:w="5000" w:type="pct"/>
            <w:gridSpan w:val="4"/>
          </w:tcPr>
          <w:p w:rsidR="00F95A12" w:rsidRPr="00016113" w:rsidRDefault="00F95A12" w:rsidP="00F95A12">
            <w:pPr>
              <w:jc w:val="both"/>
              <w:rPr>
                <w:sz w:val="20"/>
                <w:lang w:val="en-CA"/>
              </w:rPr>
            </w:pPr>
            <w:proofErr w:type="gramStart"/>
            <w:r w:rsidRPr="00016113">
              <w:rPr>
                <w:sz w:val="20"/>
                <w:lang w:val="en-CA"/>
              </w:rPr>
              <w:t xml:space="preserve">Criminal law — Sentencing — Fine in lieu — Whether Quebec Court of Appeal erred in law in determining and applying proper legal framework for calculating compensatory fine in lieu of forfeiture of proceeds of crime — Whether Court of Appeal erred in law by failing to allow parties to be heard regarding change to quantum of compensatory fine even though this issue had not been raised by appellant in appeal — </w:t>
            </w:r>
            <w:r w:rsidRPr="00016113">
              <w:rPr>
                <w:i/>
                <w:sz w:val="20"/>
                <w:lang w:val="en-CA"/>
              </w:rPr>
              <w:t>Criminal Code</w:t>
            </w:r>
            <w:r w:rsidRPr="00016113">
              <w:rPr>
                <w:sz w:val="20"/>
                <w:lang w:val="en-CA"/>
              </w:rPr>
              <w:t>, R.S.C. 1985, c. C</w:t>
            </w:r>
            <w:r w:rsidRPr="00016113">
              <w:rPr>
                <w:sz w:val="20"/>
                <w:lang w:val="en-CA"/>
              </w:rPr>
              <w:noBreakHyphen/>
              <w:t>46, s. 462.37.</w:t>
            </w:r>
            <w:proofErr w:type="gramEnd"/>
          </w:p>
        </w:tc>
      </w:tr>
      <w:tr w:rsidR="00F95A12" w:rsidRPr="00016113" w:rsidTr="00F95A12">
        <w:tc>
          <w:tcPr>
            <w:tcW w:w="5000" w:type="pct"/>
            <w:gridSpan w:val="4"/>
          </w:tcPr>
          <w:p w:rsidR="00F95A12" w:rsidRPr="00016113" w:rsidRDefault="00F95A12" w:rsidP="00F95A12">
            <w:pPr>
              <w:jc w:val="both"/>
              <w:rPr>
                <w:sz w:val="20"/>
                <w:lang w:val="en-CA"/>
              </w:rPr>
            </w:pPr>
          </w:p>
        </w:tc>
      </w:tr>
      <w:tr w:rsidR="00F95A12" w:rsidRPr="00016113" w:rsidTr="00F95A12">
        <w:tc>
          <w:tcPr>
            <w:tcW w:w="5000" w:type="pct"/>
            <w:gridSpan w:val="4"/>
          </w:tcPr>
          <w:p w:rsidR="00F95A12" w:rsidRPr="00016113" w:rsidRDefault="00F95A12" w:rsidP="00F95A12">
            <w:pPr>
              <w:jc w:val="both"/>
              <w:rPr>
                <w:sz w:val="20"/>
                <w:lang w:val="en-CA"/>
              </w:rPr>
            </w:pPr>
            <w:r w:rsidRPr="00016113">
              <w:rPr>
                <w:sz w:val="20"/>
                <w:lang w:val="en-CA"/>
              </w:rPr>
              <w:t xml:space="preserve">In 2016, the respondent, Mr. Vallières, </w:t>
            </w:r>
            <w:proofErr w:type="gramStart"/>
            <w:r w:rsidRPr="00016113">
              <w:rPr>
                <w:sz w:val="20"/>
                <w:lang w:val="en-CA"/>
              </w:rPr>
              <w:t>was convicted</w:t>
            </w:r>
            <w:proofErr w:type="gramEnd"/>
            <w:r w:rsidRPr="00016113">
              <w:rPr>
                <w:sz w:val="20"/>
                <w:lang w:val="en-CA"/>
              </w:rPr>
              <w:t xml:space="preserve"> by a jury of offences relating to fraud, trafficking and theft of maple syrup.</w:t>
            </w:r>
          </w:p>
          <w:p w:rsidR="00F95A12" w:rsidRPr="00016113" w:rsidRDefault="00F95A12" w:rsidP="00F95A12">
            <w:pPr>
              <w:jc w:val="both"/>
              <w:rPr>
                <w:sz w:val="20"/>
                <w:lang w:val="en-CA"/>
              </w:rPr>
            </w:pPr>
          </w:p>
          <w:p w:rsidR="00F95A12" w:rsidRPr="00016113" w:rsidRDefault="00F95A12" w:rsidP="00F95A12">
            <w:pPr>
              <w:jc w:val="both"/>
              <w:rPr>
                <w:sz w:val="20"/>
                <w:lang w:val="en-CA"/>
              </w:rPr>
            </w:pPr>
            <w:r w:rsidRPr="00016113">
              <w:rPr>
                <w:sz w:val="20"/>
                <w:lang w:val="en-CA"/>
              </w:rPr>
              <w:t xml:space="preserve">In sentencing him, the Superior Court found that it had no choice but to impose a compensatory fine because the stolen property </w:t>
            </w:r>
            <w:proofErr w:type="gramStart"/>
            <w:r w:rsidRPr="00016113">
              <w:rPr>
                <w:sz w:val="20"/>
                <w:lang w:val="en-CA"/>
              </w:rPr>
              <w:t>could not be recovered</w:t>
            </w:r>
            <w:proofErr w:type="gramEnd"/>
            <w:r w:rsidRPr="00016113">
              <w:rPr>
                <w:sz w:val="20"/>
                <w:lang w:val="en-CA"/>
              </w:rPr>
              <w:t xml:space="preserve">. It also found that the amount of the fine had to be equal to the value of the property the accused had had in his possession or under his control, which in this case led it to order the payment of a fine of $9,393,498. </w:t>
            </w:r>
          </w:p>
          <w:p w:rsidR="00F95A12" w:rsidRPr="00016113" w:rsidRDefault="00F95A12" w:rsidP="00F95A12">
            <w:pPr>
              <w:jc w:val="both"/>
              <w:rPr>
                <w:sz w:val="20"/>
                <w:lang w:val="en-CA"/>
              </w:rPr>
            </w:pPr>
          </w:p>
          <w:p w:rsidR="00F95A12" w:rsidRPr="00016113" w:rsidRDefault="00F95A12" w:rsidP="00F95A12">
            <w:pPr>
              <w:jc w:val="both"/>
              <w:rPr>
                <w:sz w:val="20"/>
                <w:lang w:val="en-CA"/>
              </w:rPr>
            </w:pPr>
            <w:r w:rsidRPr="00016113">
              <w:rPr>
                <w:sz w:val="20"/>
                <w:lang w:val="en-CA"/>
              </w:rPr>
              <w:t>The Court of Appeal unanimously allowed the appeal on this point. In its view, the amount of the compensatory fine set by the Superior Court seemed exorbitant and should be $1,000,000 instead (minus the amount of the restitution order, for a total of $171,397).</w:t>
            </w:r>
          </w:p>
          <w:p w:rsidR="00F95A12" w:rsidRPr="00016113" w:rsidRDefault="00F95A12" w:rsidP="00F95A12">
            <w:pPr>
              <w:jc w:val="both"/>
              <w:rPr>
                <w:sz w:val="20"/>
                <w:lang w:val="en-CA"/>
              </w:rPr>
            </w:pPr>
          </w:p>
        </w:tc>
      </w:tr>
      <w:tr w:rsidR="00F95A12" w:rsidRPr="00016113" w:rsidTr="00F95A12">
        <w:tc>
          <w:tcPr>
            <w:tcW w:w="2427" w:type="pct"/>
            <w:gridSpan w:val="2"/>
          </w:tcPr>
          <w:p w:rsidR="00F95A12" w:rsidRPr="00016113" w:rsidRDefault="00F95A12" w:rsidP="00F95A12">
            <w:pPr>
              <w:jc w:val="both"/>
              <w:rPr>
                <w:sz w:val="20"/>
                <w:lang w:val="en-CA"/>
              </w:rPr>
            </w:pPr>
            <w:r w:rsidRPr="00016113">
              <w:rPr>
                <w:sz w:val="20"/>
                <w:lang w:val="en-CA"/>
              </w:rPr>
              <w:t>April 28, 2017</w:t>
            </w:r>
          </w:p>
          <w:p w:rsidR="00F95A12" w:rsidRPr="00016113" w:rsidRDefault="00F95A12" w:rsidP="00F95A12">
            <w:pPr>
              <w:jc w:val="both"/>
              <w:rPr>
                <w:sz w:val="20"/>
                <w:lang w:val="en-CA"/>
              </w:rPr>
            </w:pPr>
            <w:r w:rsidRPr="00016113">
              <w:rPr>
                <w:sz w:val="20"/>
                <w:lang w:val="en-CA"/>
              </w:rPr>
              <w:t>Quebec Superior Court</w:t>
            </w:r>
          </w:p>
          <w:p w:rsidR="00F95A12" w:rsidRPr="00016113" w:rsidRDefault="00F95A12" w:rsidP="00F95A12">
            <w:pPr>
              <w:jc w:val="both"/>
              <w:rPr>
                <w:sz w:val="20"/>
                <w:lang w:val="en-CA"/>
              </w:rPr>
            </w:pPr>
            <w:r w:rsidRPr="00016113">
              <w:rPr>
                <w:sz w:val="20"/>
                <w:lang w:val="en-CA"/>
              </w:rPr>
              <w:t>(Pronovost J.)</w:t>
            </w:r>
          </w:p>
          <w:p w:rsidR="00F95A12" w:rsidRPr="00016113" w:rsidRDefault="00F95A12" w:rsidP="00F95A12">
            <w:pPr>
              <w:jc w:val="both"/>
              <w:rPr>
                <w:sz w:val="20"/>
                <w:lang w:val="en-CA"/>
              </w:rPr>
            </w:pPr>
            <w:hyperlink r:id="rId43" w:history="1">
              <w:r w:rsidRPr="00016113">
                <w:rPr>
                  <w:rStyle w:val="Hyperlink"/>
                  <w:sz w:val="20"/>
                  <w:lang w:val="en-CA"/>
                </w:rPr>
                <w:t>2017 QCCS 1687</w:t>
              </w:r>
            </w:hyperlink>
          </w:p>
          <w:p w:rsidR="00F95A12" w:rsidRPr="00016113" w:rsidRDefault="00F95A12" w:rsidP="00F95A12">
            <w:pPr>
              <w:jc w:val="both"/>
              <w:rPr>
                <w:sz w:val="20"/>
                <w:lang w:val="en-CA"/>
              </w:rPr>
            </w:pPr>
          </w:p>
        </w:tc>
        <w:tc>
          <w:tcPr>
            <w:tcW w:w="243" w:type="pct"/>
          </w:tcPr>
          <w:p w:rsidR="00F95A12" w:rsidRPr="00016113" w:rsidRDefault="00F95A12" w:rsidP="00F95A12">
            <w:pPr>
              <w:jc w:val="both"/>
              <w:rPr>
                <w:sz w:val="20"/>
                <w:lang w:val="en-CA"/>
              </w:rPr>
            </w:pPr>
          </w:p>
        </w:tc>
        <w:tc>
          <w:tcPr>
            <w:tcW w:w="2330" w:type="pct"/>
          </w:tcPr>
          <w:p w:rsidR="00F95A12" w:rsidRPr="00016113" w:rsidRDefault="00F95A12" w:rsidP="00F95A12">
            <w:pPr>
              <w:jc w:val="both"/>
              <w:rPr>
                <w:sz w:val="20"/>
                <w:lang w:val="en-CA"/>
              </w:rPr>
            </w:pPr>
            <w:r w:rsidRPr="00016113">
              <w:rPr>
                <w:sz w:val="20"/>
                <w:lang w:val="en-CA"/>
              </w:rPr>
              <w:t>Respondent ordered to pay compensatory fine of $9,393,498.44; in default of payment, six</w:t>
            </w:r>
            <w:r w:rsidRPr="00016113">
              <w:rPr>
                <w:sz w:val="20"/>
                <w:lang w:val="en-CA"/>
              </w:rPr>
              <w:noBreakHyphen/>
              <w:t>year term of imprisonment imposed consecutive to any other term of imprisonment imposed</w:t>
            </w:r>
          </w:p>
          <w:p w:rsidR="00F95A12" w:rsidRPr="00016113" w:rsidRDefault="00F95A12" w:rsidP="00F95A12">
            <w:pPr>
              <w:jc w:val="both"/>
              <w:rPr>
                <w:sz w:val="20"/>
                <w:lang w:val="en-CA"/>
              </w:rPr>
            </w:pPr>
          </w:p>
        </w:tc>
      </w:tr>
      <w:tr w:rsidR="00F95A12" w:rsidRPr="00016113" w:rsidTr="00F95A12">
        <w:tc>
          <w:tcPr>
            <w:tcW w:w="2427" w:type="pct"/>
            <w:gridSpan w:val="2"/>
          </w:tcPr>
          <w:p w:rsidR="00F95A12" w:rsidRPr="00016113" w:rsidRDefault="00F95A12" w:rsidP="00F95A12">
            <w:pPr>
              <w:jc w:val="both"/>
              <w:rPr>
                <w:sz w:val="20"/>
                <w:lang w:val="en-CA"/>
              </w:rPr>
            </w:pPr>
            <w:r w:rsidRPr="00016113">
              <w:rPr>
                <w:sz w:val="20"/>
                <w:lang w:val="en-CA"/>
              </w:rPr>
              <w:t>March 4, 2020</w:t>
            </w:r>
          </w:p>
          <w:p w:rsidR="00F95A12" w:rsidRPr="00016113" w:rsidRDefault="00F95A12" w:rsidP="00F95A12">
            <w:pPr>
              <w:jc w:val="both"/>
              <w:rPr>
                <w:sz w:val="20"/>
                <w:lang w:val="en-CA"/>
              </w:rPr>
            </w:pPr>
            <w:r w:rsidRPr="00016113">
              <w:rPr>
                <w:sz w:val="20"/>
                <w:lang w:val="en-CA"/>
              </w:rPr>
              <w:t>Quebec Court of Appeal (Québec)</w:t>
            </w:r>
          </w:p>
          <w:p w:rsidR="00F95A12" w:rsidRPr="00016113" w:rsidRDefault="00F95A12" w:rsidP="00F95A12">
            <w:pPr>
              <w:jc w:val="both"/>
              <w:rPr>
                <w:sz w:val="20"/>
                <w:lang w:val="en-CA"/>
              </w:rPr>
            </w:pPr>
            <w:r w:rsidRPr="00016113">
              <w:rPr>
                <w:sz w:val="20"/>
                <w:lang w:val="en-CA"/>
              </w:rPr>
              <w:t>(Hilton, Bouchard and Beaupré JJ.A.)</w:t>
            </w:r>
          </w:p>
          <w:p w:rsidR="00F95A12" w:rsidRPr="00016113" w:rsidRDefault="00F95A12" w:rsidP="00F95A12">
            <w:pPr>
              <w:jc w:val="both"/>
              <w:rPr>
                <w:sz w:val="20"/>
                <w:lang w:val="en-CA"/>
              </w:rPr>
            </w:pPr>
            <w:hyperlink r:id="rId44" w:history="1">
              <w:r w:rsidRPr="00016113">
                <w:rPr>
                  <w:rStyle w:val="Hyperlink"/>
                  <w:sz w:val="20"/>
                  <w:lang w:val="en-CA"/>
                </w:rPr>
                <w:t>2020 QCCA 372</w:t>
              </w:r>
            </w:hyperlink>
          </w:p>
          <w:p w:rsidR="00F95A12" w:rsidRPr="00016113" w:rsidRDefault="00F95A12" w:rsidP="00F95A12">
            <w:pPr>
              <w:jc w:val="both"/>
              <w:rPr>
                <w:sz w:val="20"/>
                <w:lang w:val="en-CA"/>
              </w:rPr>
            </w:pPr>
          </w:p>
        </w:tc>
        <w:tc>
          <w:tcPr>
            <w:tcW w:w="243" w:type="pct"/>
          </w:tcPr>
          <w:p w:rsidR="00F95A12" w:rsidRPr="00016113" w:rsidRDefault="00F95A12" w:rsidP="00F95A12">
            <w:pPr>
              <w:jc w:val="both"/>
              <w:rPr>
                <w:sz w:val="20"/>
                <w:lang w:val="en-CA"/>
              </w:rPr>
            </w:pPr>
          </w:p>
        </w:tc>
        <w:tc>
          <w:tcPr>
            <w:tcW w:w="2330" w:type="pct"/>
          </w:tcPr>
          <w:p w:rsidR="00F95A12" w:rsidRPr="00016113" w:rsidRDefault="00F95A12" w:rsidP="00F95A12">
            <w:pPr>
              <w:jc w:val="both"/>
              <w:rPr>
                <w:sz w:val="20"/>
                <w:lang w:val="en-CA"/>
              </w:rPr>
            </w:pPr>
            <w:r w:rsidRPr="00016113">
              <w:rPr>
                <w:sz w:val="20"/>
                <w:lang w:val="en-CA"/>
              </w:rPr>
              <w:t>Appeal allowed in part; compensatory fine set at $171,397.57; in default of payment, three</w:t>
            </w:r>
            <w:r w:rsidRPr="00016113">
              <w:rPr>
                <w:sz w:val="20"/>
                <w:lang w:val="en-CA"/>
              </w:rPr>
              <w:noBreakHyphen/>
              <w:t>year term of imprisonment imposed consecutive to any other term of imprisonment imposed</w:t>
            </w:r>
          </w:p>
          <w:p w:rsidR="00F95A12" w:rsidRPr="00016113" w:rsidRDefault="00F95A12" w:rsidP="00F95A12">
            <w:pPr>
              <w:jc w:val="both"/>
              <w:rPr>
                <w:sz w:val="20"/>
                <w:lang w:val="en-CA"/>
              </w:rPr>
            </w:pPr>
          </w:p>
        </w:tc>
      </w:tr>
      <w:tr w:rsidR="00F95A12" w:rsidRPr="00016113" w:rsidTr="00F95A12">
        <w:tc>
          <w:tcPr>
            <w:tcW w:w="2427" w:type="pct"/>
            <w:gridSpan w:val="2"/>
          </w:tcPr>
          <w:p w:rsidR="00F95A12" w:rsidRPr="00016113" w:rsidRDefault="00F95A12" w:rsidP="00F95A12">
            <w:pPr>
              <w:jc w:val="both"/>
              <w:rPr>
                <w:sz w:val="20"/>
                <w:lang w:val="en-CA"/>
              </w:rPr>
            </w:pPr>
            <w:r w:rsidRPr="00016113">
              <w:rPr>
                <w:sz w:val="20"/>
                <w:lang w:val="en-CA"/>
              </w:rPr>
              <w:t>May 11, 2020</w:t>
            </w:r>
          </w:p>
          <w:p w:rsidR="00F95A12" w:rsidRPr="00016113" w:rsidRDefault="00F95A12" w:rsidP="004F14BB">
            <w:pPr>
              <w:jc w:val="both"/>
              <w:rPr>
                <w:sz w:val="20"/>
                <w:lang w:val="en-CA"/>
              </w:rPr>
            </w:pPr>
            <w:r w:rsidRPr="00016113">
              <w:rPr>
                <w:sz w:val="20"/>
                <w:lang w:val="en-CA"/>
              </w:rPr>
              <w:t>Supreme Court of Canada</w:t>
            </w:r>
          </w:p>
        </w:tc>
        <w:tc>
          <w:tcPr>
            <w:tcW w:w="243" w:type="pct"/>
          </w:tcPr>
          <w:p w:rsidR="00F95A12" w:rsidRPr="00016113" w:rsidRDefault="00F95A12" w:rsidP="00F95A12">
            <w:pPr>
              <w:jc w:val="both"/>
              <w:rPr>
                <w:sz w:val="20"/>
                <w:lang w:val="en-CA"/>
              </w:rPr>
            </w:pPr>
          </w:p>
        </w:tc>
        <w:tc>
          <w:tcPr>
            <w:tcW w:w="2330" w:type="pct"/>
          </w:tcPr>
          <w:p w:rsidR="00F95A12" w:rsidRPr="00016113" w:rsidRDefault="00F95A12" w:rsidP="00F95A12">
            <w:pPr>
              <w:jc w:val="both"/>
              <w:rPr>
                <w:sz w:val="20"/>
                <w:lang w:val="en-CA"/>
              </w:rPr>
            </w:pPr>
            <w:r w:rsidRPr="00016113">
              <w:rPr>
                <w:sz w:val="20"/>
                <w:lang w:val="en-CA"/>
              </w:rPr>
              <w:t>Motion to extend time to serve and file application for leave to appeal and applic</w:t>
            </w:r>
            <w:r w:rsidR="004F14BB" w:rsidRPr="00016113">
              <w:rPr>
                <w:sz w:val="20"/>
                <w:lang w:val="en-CA"/>
              </w:rPr>
              <w:t>ation for leave to appeal filed</w:t>
            </w:r>
          </w:p>
        </w:tc>
      </w:tr>
    </w:tbl>
    <w:p w:rsidR="00F95A12" w:rsidRPr="00016113" w:rsidRDefault="00F95A12" w:rsidP="00F95A12">
      <w:pPr>
        <w:jc w:val="both"/>
        <w:rPr>
          <w:sz w:val="20"/>
          <w:lang w:val="en-CA"/>
        </w:rPr>
      </w:pPr>
    </w:p>
    <w:p w:rsidR="004F14BB" w:rsidRPr="00016113" w:rsidRDefault="004F14BB" w:rsidP="00F95A12">
      <w:pPr>
        <w:jc w:val="both"/>
        <w:rPr>
          <w:sz w:val="20"/>
          <w:lang w:val="en-CA"/>
        </w:rPr>
      </w:pPr>
      <w:r w:rsidRPr="00016113">
        <w:rPr>
          <w:sz w:val="20"/>
        </w:rPr>
        <w:pict>
          <v:rect id="_x0000_i1041" style="width:2in;height:1pt" o:hrpct="0" o:hralign="center" o:hrstd="t" o:hrnoshade="t" o:hr="t" fillcolor="black [3213]" stroked="f"/>
        </w:pict>
      </w:r>
    </w:p>
    <w:p w:rsidR="00F95A12" w:rsidRPr="00016113" w:rsidRDefault="00F95A12" w:rsidP="00F95A12">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95A12" w:rsidRPr="00016113" w:rsidTr="00F95A12">
        <w:tc>
          <w:tcPr>
            <w:tcW w:w="543" w:type="pct"/>
          </w:tcPr>
          <w:p w:rsidR="00F95A12" w:rsidRPr="00016113" w:rsidRDefault="00F95A12" w:rsidP="00F95A12">
            <w:pPr>
              <w:jc w:val="both"/>
              <w:rPr>
                <w:sz w:val="20"/>
              </w:rPr>
            </w:pPr>
            <w:r w:rsidRPr="00016113">
              <w:rPr>
                <w:rStyle w:val="SCCFileNumberChar"/>
                <w:sz w:val="20"/>
                <w:szCs w:val="20"/>
              </w:rPr>
              <w:t>39162</w:t>
            </w:r>
          </w:p>
        </w:tc>
        <w:tc>
          <w:tcPr>
            <w:tcW w:w="4457" w:type="pct"/>
            <w:gridSpan w:val="3"/>
          </w:tcPr>
          <w:p w:rsidR="00F95A12" w:rsidRPr="00016113" w:rsidRDefault="00F95A12" w:rsidP="00F95A12">
            <w:pPr>
              <w:pStyle w:val="SCCLsocParty"/>
              <w:jc w:val="both"/>
              <w:rPr>
                <w:b/>
                <w:sz w:val="20"/>
                <w:szCs w:val="20"/>
              </w:rPr>
            </w:pPr>
            <w:r w:rsidRPr="00016113">
              <w:rPr>
                <w:b/>
                <w:sz w:val="20"/>
                <w:szCs w:val="20"/>
              </w:rPr>
              <w:t>Sa Majesté la Reine c. Richard Vallières</w:t>
            </w:r>
          </w:p>
          <w:p w:rsidR="00F95A12" w:rsidRPr="00016113" w:rsidRDefault="00F95A12" w:rsidP="00F95A12">
            <w:pPr>
              <w:jc w:val="both"/>
              <w:rPr>
                <w:sz w:val="20"/>
              </w:rPr>
            </w:pPr>
            <w:r w:rsidRPr="00016113">
              <w:rPr>
                <w:sz w:val="20"/>
              </w:rPr>
              <w:t>(</w:t>
            </w:r>
            <w:r w:rsidR="004F14BB" w:rsidRPr="00016113">
              <w:rPr>
                <w:sz w:val="20"/>
              </w:rPr>
              <w:t>Qc) (Criminelle) (Autorisation)</w:t>
            </w:r>
          </w:p>
        </w:tc>
      </w:tr>
      <w:tr w:rsidR="00F95A12" w:rsidRPr="00016113" w:rsidTr="00F95A12">
        <w:tc>
          <w:tcPr>
            <w:tcW w:w="5000" w:type="pct"/>
            <w:gridSpan w:val="4"/>
          </w:tcPr>
          <w:p w:rsidR="00F95A12" w:rsidRPr="00016113" w:rsidRDefault="00F95A12" w:rsidP="00F95A12">
            <w:pPr>
              <w:jc w:val="both"/>
              <w:rPr>
                <w:sz w:val="20"/>
              </w:rPr>
            </w:pPr>
            <w:r w:rsidRPr="00016113">
              <w:rPr>
                <w:sz w:val="20"/>
                <w:lang w:val="fr-CA"/>
              </w:rPr>
              <w:t>Droit criminel — Détermination de la peine — Amende de remplacement — La Cour d’appel du Québec a</w:t>
            </w:r>
            <w:r w:rsidRPr="00016113">
              <w:rPr>
                <w:sz w:val="20"/>
                <w:lang w:val="fr-CA"/>
              </w:rPr>
              <w:noBreakHyphen/>
              <w:t>t</w:t>
            </w:r>
            <w:r w:rsidRPr="00016113">
              <w:rPr>
                <w:sz w:val="20"/>
                <w:lang w:val="fr-CA"/>
              </w:rPr>
              <w:noBreakHyphen/>
              <w:t>elle errée en droit dans la détermination et l’application du cadre juridique adéquat au calcul de l’amende compensatoire en lieu de la confiscation des produits de la criminalité? — La Cour d’appel a</w:t>
            </w:r>
            <w:r w:rsidRPr="00016113">
              <w:rPr>
                <w:sz w:val="20"/>
                <w:lang w:val="fr-CA"/>
              </w:rPr>
              <w:noBreakHyphen/>
              <w:t>t</w:t>
            </w:r>
            <w:r w:rsidRPr="00016113">
              <w:rPr>
                <w:sz w:val="20"/>
                <w:lang w:val="fr-CA"/>
              </w:rPr>
              <w:noBreakHyphen/>
              <w:t xml:space="preserve">elle errée en droit en omettant de permettre aux parties d’être entendues sur la modification du quantum de l’amende compensatoire, alors que l’appelant n’avait pas soulevé cette question dans l’appel? — </w:t>
            </w:r>
            <w:r w:rsidRPr="00016113">
              <w:rPr>
                <w:i/>
                <w:sz w:val="20"/>
                <w:lang w:val="fr-CA"/>
              </w:rPr>
              <w:t>Code criminel</w:t>
            </w:r>
            <w:r w:rsidRPr="00016113">
              <w:rPr>
                <w:sz w:val="20"/>
                <w:lang w:val="fr-CA"/>
              </w:rPr>
              <w:t xml:space="preserve">, L.R.C. (1985), ch. </w:t>
            </w:r>
            <w:r w:rsidRPr="00016113">
              <w:rPr>
                <w:sz w:val="20"/>
              </w:rPr>
              <w:t>C</w:t>
            </w:r>
            <w:r w:rsidRPr="00016113">
              <w:rPr>
                <w:sz w:val="20"/>
              </w:rPr>
              <w:noBreakHyphen/>
              <w:t>46, art. 462.37</w:t>
            </w:r>
          </w:p>
        </w:tc>
      </w:tr>
      <w:tr w:rsidR="00F95A12" w:rsidRPr="00016113" w:rsidTr="00F95A12">
        <w:tc>
          <w:tcPr>
            <w:tcW w:w="5000" w:type="pct"/>
            <w:gridSpan w:val="4"/>
          </w:tcPr>
          <w:p w:rsidR="00F95A12" w:rsidRPr="00016113" w:rsidRDefault="00F95A12" w:rsidP="00F95A12">
            <w:pPr>
              <w:jc w:val="both"/>
              <w:rPr>
                <w:sz w:val="20"/>
              </w:rPr>
            </w:pPr>
          </w:p>
        </w:tc>
      </w:tr>
      <w:tr w:rsidR="00F95A12" w:rsidRPr="00016113" w:rsidTr="00F95A12">
        <w:tc>
          <w:tcPr>
            <w:tcW w:w="5000" w:type="pct"/>
            <w:gridSpan w:val="4"/>
          </w:tcPr>
          <w:p w:rsidR="00F95A12" w:rsidRPr="00016113" w:rsidRDefault="00F95A12" w:rsidP="00F95A12">
            <w:pPr>
              <w:jc w:val="both"/>
              <w:rPr>
                <w:sz w:val="20"/>
                <w:lang w:val="fr-CA"/>
              </w:rPr>
            </w:pPr>
            <w:r w:rsidRPr="00016113">
              <w:rPr>
                <w:sz w:val="20"/>
                <w:lang w:val="fr-CA"/>
              </w:rPr>
              <w:t>En 2016, l’intimé M. Vallières a été reconnu coupable par un jury d’infractions se rapportant à la fraude, au trafic et au vol de sirop d’érable.</w:t>
            </w:r>
          </w:p>
          <w:p w:rsidR="00F95A12" w:rsidRPr="00016113" w:rsidRDefault="00F95A12" w:rsidP="00F95A12">
            <w:pPr>
              <w:jc w:val="both"/>
              <w:rPr>
                <w:sz w:val="20"/>
                <w:lang w:val="fr-CA"/>
              </w:rPr>
            </w:pPr>
          </w:p>
          <w:p w:rsidR="00F95A12" w:rsidRPr="00016113" w:rsidRDefault="00F95A12" w:rsidP="00F95A12">
            <w:pPr>
              <w:jc w:val="both"/>
              <w:rPr>
                <w:sz w:val="20"/>
                <w:lang w:val="fr-CA"/>
              </w:rPr>
            </w:pPr>
            <w:r w:rsidRPr="00016113">
              <w:rPr>
                <w:sz w:val="20"/>
                <w:lang w:val="fr-CA"/>
              </w:rPr>
              <w:t xml:space="preserve">En ce qui a trait à la peine, la Cour supérieure considère qu’elle n’a d’autre choix que d’imposer une amende compensatoire, tenant compte qu’il est impossible de récupérer les biens qui ont été volés. Elle estime par ailleurs que le montant de l’amende doit être égal à la valeur du bien que l’accusé a eue en sa possession ou sous son contrôle, ce qui, en l’espèce, l’amène à ordonner le paiement d’une amende de 9 393 498$. </w:t>
            </w:r>
          </w:p>
          <w:p w:rsidR="00F95A12" w:rsidRPr="00016113" w:rsidRDefault="00F95A12" w:rsidP="00F95A12">
            <w:pPr>
              <w:jc w:val="both"/>
              <w:rPr>
                <w:sz w:val="20"/>
                <w:lang w:val="fr-CA"/>
              </w:rPr>
            </w:pPr>
          </w:p>
          <w:p w:rsidR="00F95A12" w:rsidRPr="00016113" w:rsidRDefault="00F95A12" w:rsidP="00F95A12">
            <w:pPr>
              <w:jc w:val="both"/>
              <w:rPr>
                <w:sz w:val="20"/>
                <w:lang w:val="fr-CA"/>
              </w:rPr>
            </w:pPr>
            <w:r w:rsidRPr="00016113">
              <w:rPr>
                <w:sz w:val="20"/>
                <w:lang w:val="fr-CA"/>
              </w:rPr>
              <w:t>La Cour d’appel, unanime, accueille l’appel sur ce point. Elle considère que le montant de l’amende compensatoire fixé en Cour supérieure apparaît exorbitant, et qu’il y a lieu de plutôt l’établir à 1 000 000$ (et d’en déduire le montant de l’ordonnance de restitution, pour un total de 171 397$).</w:t>
            </w:r>
          </w:p>
          <w:p w:rsidR="00F95A12" w:rsidRPr="00016113" w:rsidRDefault="00F95A12" w:rsidP="00F95A12">
            <w:pPr>
              <w:jc w:val="both"/>
              <w:rPr>
                <w:sz w:val="20"/>
                <w:lang w:val="fr-CA"/>
              </w:rPr>
            </w:pPr>
          </w:p>
        </w:tc>
      </w:tr>
      <w:tr w:rsidR="00F95A12" w:rsidRPr="00016113" w:rsidTr="00F95A12">
        <w:tc>
          <w:tcPr>
            <w:tcW w:w="2427" w:type="pct"/>
            <w:gridSpan w:val="2"/>
          </w:tcPr>
          <w:p w:rsidR="00F95A12" w:rsidRPr="00016113" w:rsidRDefault="00F95A12" w:rsidP="00F95A12">
            <w:pPr>
              <w:jc w:val="both"/>
              <w:rPr>
                <w:sz w:val="20"/>
                <w:lang w:val="fr-CA"/>
              </w:rPr>
            </w:pPr>
            <w:r w:rsidRPr="00016113">
              <w:rPr>
                <w:sz w:val="20"/>
                <w:lang w:val="fr-CA"/>
              </w:rPr>
              <w:t>Le 28 avril 2017</w:t>
            </w:r>
          </w:p>
          <w:p w:rsidR="00F95A12" w:rsidRPr="00016113" w:rsidRDefault="00F95A12" w:rsidP="00F95A12">
            <w:pPr>
              <w:jc w:val="both"/>
              <w:rPr>
                <w:sz w:val="20"/>
                <w:lang w:val="fr-CA"/>
              </w:rPr>
            </w:pPr>
            <w:r w:rsidRPr="00016113">
              <w:rPr>
                <w:sz w:val="20"/>
                <w:lang w:val="fr-CA"/>
              </w:rPr>
              <w:t>Cour supérieure du Québec</w:t>
            </w:r>
          </w:p>
          <w:p w:rsidR="00F95A12" w:rsidRPr="00016113" w:rsidRDefault="00F95A12" w:rsidP="00F95A12">
            <w:pPr>
              <w:jc w:val="both"/>
              <w:rPr>
                <w:sz w:val="20"/>
              </w:rPr>
            </w:pPr>
            <w:r w:rsidRPr="00016113">
              <w:rPr>
                <w:sz w:val="20"/>
              </w:rPr>
              <w:t xml:space="preserve">(le juge </w:t>
            </w:r>
            <w:proofErr w:type="spellStart"/>
            <w:r w:rsidRPr="00016113">
              <w:rPr>
                <w:sz w:val="20"/>
              </w:rPr>
              <w:t>Pronovost</w:t>
            </w:r>
            <w:proofErr w:type="spellEnd"/>
            <w:r w:rsidRPr="00016113">
              <w:rPr>
                <w:sz w:val="20"/>
              </w:rPr>
              <w:t>)</w:t>
            </w:r>
          </w:p>
          <w:p w:rsidR="00F95A12" w:rsidRPr="00016113" w:rsidRDefault="00F95A12" w:rsidP="00F95A12">
            <w:pPr>
              <w:jc w:val="both"/>
              <w:rPr>
                <w:sz w:val="20"/>
              </w:rPr>
            </w:pPr>
            <w:hyperlink r:id="rId45" w:history="1">
              <w:r w:rsidRPr="00016113">
                <w:rPr>
                  <w:rStyle w:val="Hyperlink"/>
                  <w:sz w:val="20"/>
                </w:rPr>
                <w:t>2017 QCCS 1687</w:t>
              </w:r>
            </w:hyperlink>
          </w:p>
          <w:p w:rsidR="00F95A12" w:rsidRPr="00016113" w:rsidRDefault="00F95A12" w:rsidP="00F95A12">
            <w:pPr>
              <w:jc w:val="both"/>
              <w:rPr>
                <w:sz w:val="20"/>
              </w:rPr>
            </w:pPr>
          </w:p>
        </w:tc>
        <w:tc>
          <w:tcPr>
            <w:tcW w:w="243" w:type="pct"/>
          </w:tcPr>
          <w:p w:rsidR="00F95A12" w:rsidRPr="00016113" w:rsidRDefault="00F95A12" w:rsidP="00F95A12">
            <w:pPr>
              <w:jc w:val="both"/>
              <w:rPr>
                <w:sz w:val="20"/>
              </w:rPr>
            </w:pPr>
          </w:p>
        </w:tc>
        <w:tc>
          <w:tcPr>
            <w:tcW w:w="2330" w:type="pct"/>
          </w:tcPr>
          <w:p w:rsidR="00F95A12" w:rsidRPr="00016113" w:rsidRDefault="00F95A12" w:rsidP="00F95A12">
            <w:pPr>
              <w:jc w:val="both"/>
              <w:rPr>
                <w:sz w:val="20"/>
                <w:lang w:val="fr-CA"/>
              </w:rPr>
            </w:pPr>
            <w:r w:rsidRPr="00016113">
              <w:rPr>
                <w:sz w:val="20"/>
                <w:lang w:val="fr-CA"/>
              </w:rPr>
              <w:t>Intimé ordonné à payer une amende compensatoire de 9 393 498,44$; à défaut de paiement, incarcération d’une durée de six ans consécutifs à toute autre peine d’emprisonnement ordonnée</w:t>
            </w:r>
          </w:p>
          <w:p w:rsidR="00F95A12" w:rsidRPr="00016113" w:rsidRDefault="00F95A12" w:rsidP="00F95A12">
            <w:pPr>
              <w:jc w:val="both"/>
              <w:rPr>
                <w:sz w:val="20"/>
                <w:lang w:val="fr-CA"/>
              </w:rPr>
            </w:pPr>
          </w:p>
        </w:tc>
      </w:tr>
      <w:tr w:rsidR="00F95A12" w:rsidRPr="00016113" w:rsidTr="00F95A12">
        <w:tc>
          <w:tcPr>
            <w:tcW w:w="2427" w:type="pct"/>
            <w:gridSpan w:val="2"/>
          </w:tcPr>
          <w:p w:rsidR="00F95A12" w:rsidRPr="00016113" w:rsidRDefault="00F95A12" w:rsidP="00F95A12">
            <w:pPr>
              <w:jc w:val="both"/>
              <w:rPr>
                <w:sz w:val="20"/>
                <w:lang w:val="fr-CA"/>
              </w:rPr>
            </w:pPr>
            <w:r w:rsidRPr="00016113">
              <w:rPr>
                <w:sz w:val="20"/>
                <w:lang w:val="fr-CA"/>
              </w:rPr>
              <w:t>Le 4 mars 2020</w:t>
            </w:r>
          </w:p>
          <w:p w:rsidR="00F95A12" w:rsidRPr="00016113" w:rsidRDefault="00F95A12" w:rsidP="00F95A12">
            <w:pPr>
              <w:jc w:val="both"/>
              <w:rPr>
                <w:sz w:val="20"/>
                <w:lang w:val="fr-CA"/>
              </w:rPr>
            </w:pPr>
            <w:r w:rsidRPr="00016113">
              <w:rPr>
                <w:sz w:val="20"/>
                <w:lang w:val="fr-CA"/>
              </w:rPr>
              <w:t>Cour d’appel du Québec (Québec)</w:t>
            </w:r>
          </w:p>
          <w:p w:rsidR="00F95A12" w:rsidRPr="00016113" w:rsidRDefault="00F95A12" w:rsidP="00F95A12">
            <w:pPr>
              <w:jc w:val="both"/>
              <w:rPr>
                <w:sz w:val="20"/>
                <w:lang w:val="fr-CA"/>
              </w:rPr>
            </w:pPr>
            <w:r w:rsidRPr="00016113">
              <w:rPr>
                <w:sz w:val="20"/>
                <w:lang w:val="fr-CA"/>
              </w:rPr>
              <w:t>(les juges Hilton, Bouchard et Beaupré)</w:t>
            </w:r>
          </w:p>
          <w:p w:rsidR="00F95A12" w:rsidRPr="00016113" w:rsidRDefault="00F95A12" w:rsidP="00F95A12">
            <w:pPr>
              <w:jc w:val="both"/>
              <w:rPr>
                <w:sz w:val="20"/>
              </w:rPr>
            </w:pPr>
            <w:hyperlink r:id="rId46" w:history="1">
              <w:r w:rsidRPr="00016113">
                <w:rPr>
                  <w:rStyle w:val="Hyperlink"/>
                  <w:sz w:val="20"/>
                </w:rPr>
                <w:t>2020 QCCA 372</w:t>
              </w:r>
            </w:hyperlink>
          </w:p>
          <w:p w:rsidR="00F95A12" w:rsidRPr="00016113" w:rsidRDefault="00F95A12" w:rsidP="00F95A12">
            <w:pPr>
              <w:jc w:val="both"/>
              <w:rPr>
                <w:sz w:val="20"/>
              </w:rPr>
            </w:pPr>
          </w:p>
        </w:tc>
        <w:tc>
          <w:tcPr>
            <w:tcW w:w="243" w:type="pct"/>
          </w:tcPr>
          <w:p w:rsidR="00F95A12" w:rsidRPr="00016113" w:rsidRDefault="00F95A12" w:rsidP="00F95A12">
            <w:pPr>
              <w:jc w:val="both"/>
              <w:rPr>
                <w:sz w:val="20"/>
              </w:rPr>
            </w:pPr>
          </w:p>
        </w:tc>
        <w:tc>
          <w:tcPr>
            <w:tcW w:w="2330" w:type="pct"/>
          </w:tcPr>
          <w:p w:rsidR="00F95A12" w:rsidRPr="00016113" w:rsidRDefault="00F95A12" w:rsidP="00F95A12">
            <w:pPr>
              <w:jc w:val="both"/>
              <w:rPr>
                <w:sz w:val="20"/>
                <w:lang w:val="fr-CA"/>
              </w:rPr>
            </w:pPr>
            <w:r w:rsidRPr="00016113">
              <w:rPr>
                <w:sz w:val="20"/>
                <w:lang w:val="fr-CA"/>
              </w:rPr>
              <w:t>Pourvoi accueilli en partie; amende compensatoire fixée à 171 397, 57$; à défaut de paiement, incarcération d’une durée de trois ans consécutifs à toute autre peine d’emprisonnement ordonnée</w:t>
            </w:r>
          </w:p>
          <w:p w:rsidR="00F95A12" w:rsidRPr="00016113" w:rsidRDefault="00F95A12" w:rsidP="00F95A12">
            <w:pPr>
              <w:jc w:val="both"/>
              <w:rPr>
                <w:sz w:val="20"/>
                <w:lang w:val="fr-CA"/>
              </w:rPr>
            </w:pPr>
          </w:p>
        </w:tc>
      </w:tr>
      <w:tr w:rsidR="00F95A12" w:rsidRPr="00016113" w:rsidTr="00F95A12">
        <w:tc>
          <w:tcPr>
            <w:tcW w:w="2427" w:type="pct"/>
            <w:gridSpan w:val="2"/>
          </w:tcPr>
          <w:p w:rsidR="00F95A12" w:rsidRPr="00016113" w:rsidRDefault="00F95A12" w:rsidP="00F95A12">
            <w:pPr>
              <w:jc w:val="both"/>
              <w:rPr>
                <w:sz w:val="20"/>
                <w:lang w:val="fr-CA"/>
              </w:rPr>
            </w:pPr>
            <w:r w:rsidRPr="00016113">
              <w:rPr>
                <w:sz w:val="20"/>
                <w:lang w:val="fr-CA"/>
              </w:rPr>
              <w:t>Le 11 mai 2020</w:t>
            </w:r>
          </w:p>
          <w:p w:rsidR="00F95A12" w:rsidRPr="00016113" w:rsidRDefault="00F95A12" w:rsidP="004F14BB">
            <w:pPr>
              <w:jc w:val="both"/>
              <w:rPr>
                <w:sz w:val="20"/>
                <w:lang w:val="fr-CA"/>
              </w:rPr>
            </w:pPr>
            <w:r w:rsidRPr="00016113">
              <w:rPr>
                <w:sz w:val="20"/>
                <w:lang w:val="fr-CA"/>
              </w:rPr>
              <w:t>Cour suprême du Canada</w:t>
            </w:r>
          </w:p>
        </w:tc>
        <w:tc>
          <w:tcPr>
            <w:tcW w:w="243" w:type="pct"/>
          </w:tcPr>
          <w:p w:rsidR="00F95A12" w:rsidRPr="00016113" w:rsidRDefault="00F95A12" w:rsidP="00F95A12">
            <w:pPr>
              <w:jc w:val="both"/>
              <w:rPr>
                <w:sz w:val="20"/>
                <w:lang w:val="fr-CA"/>
              </w:rPr>
            </w:pPr>
          </w:p>
        </w:tc>
        <w:tc>
          <w:tcPr>
            <w:tcW w:w="2330" w:type="pct"/>
          </w:tcPr>
          <w:p w:rsidR="00F95A12" w:rsidRPr="00016113" w:rsidRDefault="00F95A12" w:rsidP="004F14BB">
            <w:pPr>
              <w:jc w:val="both"/>
              <w:rPr>
                <w:sz w:val="20"/>
                <w:lang w:val="fr-CA"/>
              </w:rPr>
            </w:pPr>
            <w:r w:rsidRPr="00016113">
              <w:rPr>
                <w:sz w:val="20"/>
                <w:lang w:val="fr-CA"/>
              </w:rPr>
              <w:t xml:space="preserve">Requête en prorogation du délai de signification et de dépôt de la demande d’autorisation d’appel et demande d'autorisation </w:t>
            </w:r>
            <w:proofErr w:type="gramStart"/>
            <w:r w:rsidRPr="00016113">
              <w:rPr>
                <w:sz w:val="20"/>
                <w:lang w:val="fr-CA"/>
              </w:rPr>
              <w:t>d'appel déposées</w:t>
            </w:r>
            <w:proofErr w:type="gramEnd"/>
          </w:p>
        </w:tc>
      </w:tr>
    </w:tbl>
    <w:p w:rsidR="00F95A12" w:rsidRPr="00016113" w:rsidRDefault="00F95A12" w:rsidP="00F95A12">
      <w:pPr>
        <w:jc w:val="both"/>
        <w:rPr>
          <w:sz w:val="20"/>
          <w:lang w:val="fr-CA"/>
        </w:rPr>
      </w:pPr>
    </w:p>
    <w:p w:rsidR="004F14BB" w:rsidRPr="00016113" w:rsidRDefault="004F14BB" w:rsidP="00F95A12">
      <w:pPr>
        <w:jc w:val="both"/>
        <w:rPr>
          <w:sz w:val="20"/>
          <w:lang w:val="fr-CA"/>
        </w:rPr>
      </w:pPr>
      <w:r w:rsidRPr="00016113">
        <w:rPr>
          <w:sz w:val="20"/>
        </w:rPr>
        <w:pict>
          <v:rect id="_x0000_i1042" style="width:2in;height:1pt" o:hrpct="0" o:hralign="center" o:hrstd="t" o:hrnoshade="t" o:hr="t" fillcolor="black [3213]" stroked="f"/>
        </w:pict>
      </w:r>
    </w:p>
    <w:p w:rsidR="00F95A12" w:rsidRPr="00016113" w:rsidRDefault="00F95A12" w:rsidP="00F95A12">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95A12" w:rsidRPr="00016113" w:rsidTr="00F95A12">
        <w:tc>
          <w:tcPr>
            <w:tcW w:w="543" w:type="pct"/>
          </w:tcPr>
          <w:p w:rsidR="00F95A12" w:rsidRPr="00016113" w:rsidRDefault="00F95A12" w:rsidP="00F95A12">
            <w:pPr>
              <w:jc w:val="both"/>
              <w:rPr>
                <w:sz w:val="20"/>
              </w:rPr>
            </w:pPr>
            <w:r w:rsidRPr="00016113">
              <w:rPr>
                <w:rStyle w:val="SCCFileNumberChar"/>
                <w:sz w:val="20"/>
                <w:szCs w:val="20"/>
              </w:rPr>
              <w:t>39221</w:t>
            </w:r>
          </w:p>
        </w:tc>
        <w:tc>
          <w:tcPr>
            <w:tcW w:w="4457" w:type="pct"/>
            <w:gridSpan w:val="3"/>
          </w:tcPr>
          <w:p w:rsidR="00F95A12" w:rsidRPr="00016113" w:rsidRDefault="00F95A12" w:rsidP="00F95A12">
            <w:pPr>
              <w:pStyle w:val="SCCLsocParty"/>
              <w:jc w:val="both"/>
              <w:rPr>
                <w:b/>
                <w:sz w:val="20"/>
                <w:szCs w:val="20"/>
                <w:lang w:val="en-US"/>
              </w:rPr>
            </w:pPr>
            <w:r w:rsidRPr="00016113">
              <w:rPr>
                <w:b/>
                <w:sz w:val="20"/>
                <w:szCs w:val="20"/>
                <w:lang w:val="en-US"/>
              </w:rPr>
              <w:t>Mazen Geliedan v. Abir Rawdah</w:t>
            </w:r>
          </w:p>
          <w:p w:rsidR="00F95A12" w:rsidRPr="00016113" w:rsidRDefault="00F95A12" w:rsidP="004F14BB">
            <w:pPr>
              <w:jc w:val="both"/>
              <w:rPr>
                <w:sz w:val="20"/>
              </w:rPr>
            </w:pPr>
            <w:r w:rsidRPr="00016113">
              <w:rPr>
                <w:sz w:val="20"/>
              </w:rPr>
              <w:t>(Ont.) (Civil) (By Leave)</w:t>
            </w:r>
          </w:p>
        </w:tc>
      </w:tr>
      <w:tr w:rsidR="00F95A12" w:rsidRPr="00016113" w:rsidTr="00F95A12">
        <w:tc>
          <w:tcPr>
            <w:tcW w:w="5000" w:type="pct"/>
            <w:gridSpan w:val="4"/>
          </w:tcPr>
          <w:p w:rsidR="00F95A12" w:rsidRPr="00016113" w:rsidRDefault="00F95A12" w:rsidP="00F95A12">
            <w:pPr>
              <w:jc w:val="both"/>
              <w:rPr>
                <w:sz w:val="20"/>
              </w:rPr>
            </w:pPr>
            <w:r w:rsidRPr="00016113">
              <w:rPr>
                <w:sz w:val="20"/>
              </w:rPr>
              <w:t>Family law — Custody — Non</w:t>
            </w:r>
            <w:r w:rsidRPr="00016113">
              <w:rPr>
                <w:sz w:val="20"/>
              </w:rPr>
              <w:noBreakHyphen/>
            </w:r>
            <w:r w:rsidRPr="00016113">
              <w:rPr>
                <w:i/>
                <w:sz w:val="20"/>
              </w:rPr>
              <w:t>Hague Convention</w:t>
            </w:r>
            <w:r w:rsidRPr="00016113">
              <w:rPr>
                <w:sz w:val="20"/>
              </w:rPr>
              <w:t xml:space="preserve"> removal and retention — Canadian mother removing child from United Arab Emirates and retaining British</w:t>
            </w:r>
            <w:r w:rsidRPr="00016113">
              <w:rPr>
                <w:sz w:val="20"/>
              </w:rPr>
              <w:noBreakHyphen/>
              <w:t>born child in Ontario without father’s consent — Whether the</w:t>
            </w:r>
            <w:r w:rsidRPr="00016113">
              <w:rPr>
                <w:color w:val="000000"/>
                <w:sz w:val="20"/>
              </w:rPr>
              <w:t xml:space="preserve"> </w:t>
            </w:r>
            <w:proofErr w:type="spellStart"/>
            <w:r w:rsidRPr="00016113">
              <w:rPr>
                <w:i/>
                <w:color w:val="000000"/>
                <w:sz w:val="20"/>
              </w:rPr>
              <w:t>Balev</w:t>
            </w:r>
            <w:proofErr w:type="spellEnd"/>
            <w:r w:rsidRPr="00016113">
              <w:rPr>
                <w:i/>
                <w:color w:val="000000"/>
                <w:sz w:val="20"/>
              </w:rPr>
              <w:t xml:space="preserve"> </w:t>
            </w:r>
            <w:r w:rsidRPr="00016113">
              <w:rPr>
                <w:color w:val="000000"/>
                <w:sz w:val="20"/>
              </w:rPr>
              <w:t xml:space="preserve">analysis of habitual residence should be uniformly applied, to both </w:t>
            </w:r>
            <w:r w:rsidRPr="00016113">
              <w:rPr>
                <w:i/>
                <w:color w:val="000000"/>
                <w:sz w:val="20"/>
              </w:rPr>
              <w:t xml:space="preserve">Convention </w:t>
            </w:r>
            <w:r w:rsidRPr="00016113">
              <w:rPr>
                <w:color w:val="000000"/>
                <w:sz w:val="20"/>
              </w:rPr>
              <w:t>and non</w:t>
            </w:r>
            <w:r w:rsidRPr="00016113">
              <w:rPr>
                <w:color w:val="000000"/>
                <w:sz w:val="20"/>
              </w:rPr>
              <w:noBreakHyphen/>
            </w:r>
            <w:r w:rsidRPr="00016113">
              <w:rPr>
                <w:i/>
                <w:color w:val="000000"/>
                <w:sz w:val="20"/>
              </w:rPr>
              <w:t xml:space="preserve">Convention </w:t>
            </w:r>
            <w:r w:rsidRPr="00016113">
              <w:rPr>
                <w:color w:val="000000"/>
                <w:sz w:val="20"/>
              </w:rPr>
              <w:t xml:space="preserve">cases — Is to do otherwise undermining the overarching objective of preventing child abductions and restoring the </w:t>
            </w:r>
            <w:r w:rsidRPr="00016113">
              <w:rPr>
                <w:i/>
                <w:color w:val="000000"/>
                <w:sz w:val="20"/>
              </w:rPr>
              <w:t xml:space="preserve">status quo </w:t>
            </w:r>
            <w:r w:rsidRPr="00016113">
              <w:rPr>
                <w:color w:val="000000"/>
                <w:sz w:val="20"/>
              </w:rPr>
              <w:t>immediately before the wrongful removal? — Would it have the deleterious effect of depriving children of the protections the habitual residence analysis affords, including ensuring that children have the benefit of the best evidence for their custody and access proceedings?</w:t>
            </w:r>
            <w:r w:rsidRPr="00016113">
              <w:rPr>
                <w:sz w:val="20"/>
              </w:rPr>
              <w:t xml:space="preserve"> </w:t>
            </w:r>
          </w:p>
          <w:p w:rsidR="00F95A12" w:rsidRPr="00016113" w:rsidRDefault="00F95A12" w:rsidP="00F95A12">
            <w:pPr>
              <w:jc w:val="both"/>
              <w:rPr>
                <w:sz w:val="20"/>
              </w:rPr>
            </w:pPr>
          </w:p>
        </w:tc>
      </w:tr>
      <w:tr w:rsidR="00F95A12" w:rsidRPr="00016113" w:rsidTr="00F95A12">
        <w:tc>
          <w:tcPr>
            <w:tcW w:w="5000" w:type="pct"/>
            <w:gridSpan w:val="4"/>
          </w:tcPr>
          <w:p w:rsidR="00F95A12" w:rsidRPr="00016113" w:rsidRDefault="00F95A12" w:rsidP="00F95A12">
            <w:pPr>
              <w:pStyle w:val="aparanumbering"/>
              <w:jc w:val="both"/>
              <w:rPr>
                <w:sz w:val="20"/>
                <w:szCs w:val="20"/>
                <w:lang w:val="en"/>
              </w:rPr>
            </w:pPr>
            <w:r w:rsidRPr="00016113">
              <w:rPr>
                <w:sz w:val="20"/>
                <w:szCs w:val="20"/>
                <w:lang w:val="en"/>
              </w:rPr>
              <w:t>The father and mother were married in London in the fall of 2012. The mother is a citizen of Lebanon and Canada. The father is a citizen of Saudi Arabia and the United Kingdom. Their daughter was born in London, England in 2013 and is a citizen of the United Kingdom and Canada. The parties separated shortly after their daughter’s birth and family court proceedings ensued in the U.K. The last custody and access order, issued on consent, on November 25, 2015 specified that the child was to live with the mother, with parenting time with the father. The court further ordered that the child was habitually resident in England and Wales and that neither party could remove her from that jurisdiction without the written consent of the other party or further order of the court. The father moved to Dubai around the time of the consent custody order. On April 2, 2018, the mother travelled with the child to Dubai for a two</w:t>
            </w:r>
            <w:r w:rsidRPr="00016113">
              <w:rPr>
                <w:sz w:val="20"/>
                <w:szCs w:val="20"/>
                <w:lang w:val="en"/>
              </w:rPr>
              <w:noBreakHyphen/>
              <w:t>week visit with the father. While there, the mother contended that the father confiscated their passports so that she and the child were unable to leave. The father maintained that the parties mutually decided to raise their child in Dubai. The parties initially lived separate and apart under the same roof but eventually, the father moved into his own apartment. The mother stated that she and the child were trapped in Dubai for almost 14 months. Eventually she was able to regain control of both passports and fled the country with the child on May 29, 2019. They flew to the Toronto, Ontario area, where the maternal grandmother and other family members live. The father completely denied the mother’s version of events.</w:t>
            </w:r>
          </w:p>
          <w:p w:rsidR="00F95A12" w:rsidRPr="00016113" w:rsidRDefault="00F95A12" w:rsidP="00F95A12">
            <w:pPr>
              <w:jc w:val="both"/>
              <w:rPr>
                <w:sz w:val="20"/>
              </w:rPr>
            </w:pPr>
            <w:r w:rsidRPr="00016113">
              <w:rPr>
                <w:sz w:val="20"/>
                <w:lang w:val="en"/>
              </w:rPr>
              <w:t xml:space="preserve">The father brought an </w:t>
            </w:r>
            <w:r w:rsidRPr="00016113">
              <w:rPr>
                <w:i/>
                <w:sz w:val="20"/>
                <w:lang w:val="en"/>
              </w:rPr>
              <w:t>ex parte</w:t>
            </w:r>
            <w:r w:rsidRPr="00016113">
              <w:rPr>
                <w:sz w:val="20"/>
                <w:lang w:val="en"/>
              </w:rPr>
              <w:t xml:space="preserve"> motion in Toronto to have the matter</w:t>
            </w:r>
            <w:r w:rsidRPr="00016113">
              <w:rPr>
                <w:sz w:val="20"/>
              </w:rPr>
              <w:t xml:space="preserve"> of the child’s custody decided in Dubai. The application judge ordered that the child be returned to Dubai and that the matter of her custody be determined by the courts in that jurisdiction. The mother’s appeal was allowed.  The U.K. consent order clearly set out that the child’s habitual residence was the U.K. and that therefore, any determination of custody and access had to be made by the court issuing the original order.</w:t>
            </w:r>
          </w:p>
          <w:p w:rsidR="00F95A12" w:rsidRPr="00016113" w:rsidRDefault="00F95A12" w:rsidP="00F95A12">
            <w:pPr>
              <w:jc w:val="both"/>
              <w:rPr>
                <w:sz w:val="20"/>
              </w:rPr>
            </w:pPr>
          </w:p>
        </w:tc>
      </w:tr>
      <w:tr w:rsidR="00F95A12" w:rsidRPr="00016113" w:rsidTr="00F95A12">
        <w:tc>
          <w:tcPr>
            <w:tcW w:w="2427" w:type="pct"/>
            <w:gridSpan w:val="2"/>
          </w:tcPr>
          <w:p w:rsidR="00F95A12" w:rsidRPr="00016113" w:rsidRDefault="00F95A12" w:rsidP="00F95A12">
            <w:pPr>
              <w:jc w:val="both"/>
              <w:rPr>
                <w:sz w:val="20"/>
              </w:rPr>
            </w:pPr>
            <w:r w:rsidRPr="00016113">
              <w:rPr>
                <w:sz w:val="20"/>
              </w:rPr>
              <w:t>September 17, 2019</w:t>
            </w:r>
          </w:p>
          <w:p w:rsidR="00F95A12" w:rsidRPr="00016113" w:rsidRDefault="00F95A12" w:rsidP="00F95A12">
            <w:pPr>
              <w:jc w:val="both"/>
              <w:rPr>
                <w:sz w:val="20"/>
              </w:rPr>
            </w:pPr>
            <w:r w:rsidRPr="00016113">
              <w:rPr>
                <w:sz w:val="20"/>
              </w:rPr>
              <w:t>Ontario Superior Court of Justice</w:t>
            </w:r>
          </w:p>
          <w:p w:rsidR="00F95A12" w:rsidRPr="00016113" w:rsidRDefault="00F95A12" w:rsidP="00F95A12">
            <w:pPr>
              <w:jc w:val="both"/>
              <w:rPr>
                <w:sz w:val="20"/>
              </w:rPr>
            </w:pPr>
            <w:r w:rsidRPr="00016113">
              <w:rPr>
                <w:sz w:val="20"/>
              </w:rPr>
              <w:t>(Nakonechny J.)</w:t>
            </w:r>
          </w:p>
          <w:p w:rsidR="00F95A12" w:rsidRPr="00016113" w:rsidRDefault="00F95A12" w:rsidP="00F95A12">
            <w:pPr>
              <w:jc w:val="both"/>
              <w:rPr>
                <w:sz w:val="20"/>
              </w:rPr>
            </w:pPr>
            <w:r w:rsidRPr="00016113">
              <w:rPr>
                <w:sz w:val="20"/>
              </w:rPr>
              <w:t xml:space="preserve">2019 ONSC 5391 </w:t>
            </w:r>
          </w:p>
          <w:p w:rsidR="00F95A12" w:rsidRPr="00016113" w:rsidRDefault="00F95A12" w:rsidP="00F95A12">
            <w:pPr>
              <w:jc w:val="both"/>
              <w:rPr>
                <w:sz w:val="20"/>
              </w:rPr>
            </w:pPr>
          </w:p>
        </w:tc>
        <w:tc>
          <w:tcPr>
            <w:tcW w:w="243" w:type="pct"/>
          </w:tcPr>
          <w:p w:rsidR="00F95A12" w:rsidRPr="00016113" w:rsidRDefault="00F95A12" w:rsidP="00F95A12">
            <w:pPr>
              <w:jc w:val="both"/>
              <w:rPr>
                <w:sz w:val="20"/>
              </w:rPr>
            </w:pPr>
          </w:p>
        </w:tc>
        <w:tc>
          <w:tcPr>
            <w:tcW w:w="2330" w:type="pct"/>
          </w:tcPr>
          <w:p w:rsidR="00F95A12" w:rsidRPr="00016113" w:rsidRDefault="00F95A12" w:rsidP="00F95A12">
            <w:pPr>
              <w:jc w:val="both"/>
              <w:rPr>
                <w:sz w:val="20"/>
              </w:rPr>
            </w:pPr>
            <w:r w:rsidRPr="00016113">
              <w:rPr>
                <w:sz w:val="20"/>
              </w:rPr>
              <w:t xml:space="preserve">Father obtaining order under s. 40 of </w:t>
            </w:r>
            <w:r w:rsidRPr="00016113">
              <w:rPr>
                <w:i/>
                <w:sz w:val="20"/>
              </w:rPr>
              <w:t>Children’s Law Reform Act</w:t>
            </w:r>
            <w:r w:rsidRPr="00016113">
              <w:rPr>
                <w:sz w:val="20"/>
              </w:rPr>
              <w:t>, R.S.O. 1990, c. C.12 to have child returned to Dubai for determination of custody issue.</w:t>
            </w:r>
          </w:p>
        </w:tc>
      </w:tr>
      <w:tr w:rsidR="00F95A12" w:rsidRPr="00016113" w:rsidTr="00F95A12">
        <w:tc>
          <w:tcPr>
            <w:tcW w:w="2427" w:type="pct"/>
            <w:gridSpan w:val="2"/>
          </w:tcPr>
          <w:p w:rsidR="00F95A12" w:rsidRPr="00016113" w:rsidRDefault="00F95A12" w:rsidP="00F95A12">
            <w:pPr>
              <w:jc w:val="both"/>
              <w:rPr>
                <w:sz w:val="20"/>
              </w:rPr>
            </w:pPr>
            <w:r w:rsidRPr="00016113">
              <w:rPr>
                <w:sz w:val="20"/>
              </w:rPr>
              <w:t>April 15, 2020</w:t>
            </w:r>
          </w:p>
          <w:p w:rsidR="00F95A12" w:rsidRPr="00016113" w:rsidRDefault="00F95A12" w:rsidP="00F95A12">
            <w:pPr>
              <w:jc w:val="both"/>
              <w:rPr>
                <w:sz w:val="20"/>
              </w:rPr>
            </w:pPr>
            <w:r w:rsidRPr="00016113">
              <w:rPr>
                <w:sz w:val="20"/>
              </w:rPr>
              <w:t>Court of Appeal for Ontario</w:t>
            </w:r>
          </w:p>
          <w:p w:rsidR="00F95A12" w:rsidRPr="00016113" w:rsidRDefault="00F95A12" w:rsidP="00F95A12">
            <w:pPr>
              <w:jc w:val="both"/>
              <w:rPr>
                <w:sz w:val="20"/>
              </w:rPr>
            </w:pPr>
            <w:r w:rsidRPr="00016113">
              <w:rPr>
                <w:sz w:val="20"/>
              </w:rPr>
              <w:t>(Lauwers, Paciocco and Fairburn JJ.A.)</w:t>
            </w:r>
          </w:p>
          <w:p w:rsidR="00F95A12" w:rsidRPr="00016113" w:rsidRDefault="00F95A12" w:rsidP="00F95A12">
            <w:pPr>
              <w:jc w:val="both"/>
              <w:rPr>
                <w:sz w:val="20"/>
              </w:rPr>
            </w:pPr>
            <w:hyperlink r:id="rId47" w:history="1">
              <w:r w:rsidRPr="00016113">
                <w:rPr>
                  <w:rStyle w:val="Hyperlink"/>
                  <w:sz w:val="20"/>
                </w:rPr>
                <w:t>2020 ONCA 254</w:t>
              </w:r>
            </w:hyperlink>
          </w:p>
          <w:p w:rsidR="00F95A12" w:rsidRPr="00016113" w:rsidRDefault="00F95A12" w:rsidP="00F95A12">
            <w:pPr>
              <w:jc w:val="both"/>
              <w:rPr>
                <w:sz w:val="20"/>
              </w:rPr>
            </w:pPr>
          </w:p>
        </w:tc>
        <w:tc>
          <w:tcPr>
            <w:tcW w:w="243" w:type="pct"/>
          </w:tcPr>
          <w:p w:rsidR="00F95A12" w:rsidRPr="00016113" w:rsidRDefault="00F95A12" w:rsidP="00F95A12">
            <w:pPr>
              <w:jc w:val="both"/>
              <w:rPr>
                <w:sz w:val="20"/>
              </w:rPr>
            </w:pPr>
          </w:p>
        </w:tc>
        <w:tc>
          <w:tcPr>
            <w:tcW w:w="2330" w:type="pct"/>
          </w:tcPr>
          <w:p w:rsidR="00F95A12" w:rsidRPr="00016113" w:rsidRDefault="00F95A12" w:rsidP="00F95A12">
            <w:pPr>
              <w:jc w:val="both"/>
              <w:rPr>
                <w:sz w:val="20"/>
              </w:rPr>
            </w:pPr>
            <w:r w:rsidRPr="00016113">
              <w:rPr>
                <w:sz w:val="20"/>
              </w:rPr>
              <w:t>Mother’s appeal allowed. Parties ordered to pursue custody litigation in United Kingdom.</w:t>
            </w:r>
          </w:p>
          <w:p w:rsidR="00F95A12" w:rsidRPr="00016113" w:rsidRDefault="00F95A12" w:rsidP="00F95A12">
            <w:pPr>
              <w:jc w:val="both"/>
              <w:rPr>
                <w:sz w:val="20"/>
              </w:rPr>
            </w:pPr>
          </w:p>
          <w:p w:rsidR="00F95A12" w:rsidRPr="00016113" w:rsidRDefault="00F95A12" w:rsidP="00F95A12">
            <w:pPr>
              <w:jc w:val="both"/>
              <w:rPr>
                <w:sz w:val="20"/>
              </w:rPr>
            </w:pPr>
          </w:p>
        </w:tc>
      </w:tr>
      <w:tr w:rsidR="00F95A12" w:rsidRPr="00016113" w:rsidTr="00F95A12">
        <w:tc>
          <w:tcPr>
            <w:tcW w:w="2427" w:type="pct"/>
            <w:gridSpan w:val="2"/>
          </w:tcPr>
          <w:p w:rsidR="00F95A12" w:rsidRPr="00016113" w:rsidRDefault="00F95A12" w:rsidP="00F95A12">
            <w:pPr>
              <w:jc w:val="both"/>
              <w:rPr>
                <w:sz w:val="20"/>
              </w:rPr>
            </w:pPr>
            <w:r w:rsidRPr="00016113">
              <w:rPr>
                <w:sz w:val="20"/>
              </w:rPr>
              <w:t>May 29, 2020</w:t>
            </w:r>
          </w:p>
          <w:p w:rsidR="00F95A12" w:rsidRPr="00016113" w:rsidRDefault="00F95A12" w:rsidP="00F95A12">
            <w:pPr>
              <w:jc w:val="both"/>
              <w:rPr>
                <w:sz w:val="20"/>
              </w:rPr>
            </w:pPr>
            <w:r w:rsidRPr="00016113">
              <w:rPr>
                <w:sz w:val="20"/>
              </w:rPr>
              <w:t>Court of Appeal for Ontario</w:t>
            </w:r>
          </w:p>
          <w:p w:rsidR="00F95A12" w:rsidRPr="00016113" w:rsidRDefault="00F95A12" w:rsidP="00F95A12">
            <w:pPr>
              <w:jc w:val="both"/>
              <w:rPr>
                <w:sz w:val="20"/>
              </w:rPr>
            </w:pPr>
            <w:r w:rsidRPr="00016113">
              <w:rPr>
                <w:sz w:val="20"/>
              </w:rPr>
              <w:t>(Lauwers, Paciocco and Fairburn JJ.A.)</w:t>
            </w:r>
          </w:p>
          <w:p w:rsidR="00F95A12" w:rsidRPr="00016113" w:rsidRDefault="00F95A12" w:rsidP="00F95A12">
            <w:pPr>
              <w:jc w:val="both"/>
              <w:rPr>
                <w:sz w:val="20"/>
              </w:rPr>
            </w:pPr>
            <w:hyperlink r:id="rId48" w:history="1">
              <w:r w:rsidRPr="00016113">
                <w:rPr>
                  <w:rStyle w:val="Hyperlink"/>
                  <w:sz w:val="20"/>
                </w:rPr>
                <w:t>2020 ONCA 339</w:t>
              </w:r>
            </w:hyperlink>
          </w:p>
          <w:p w:rsidR="00F95A12" w:rsidRPr="00016113" w:rsidRDefault="00F95A12" w:rsidP="00F95A12">
            <w:pPr>
              <w:jc w:val="both"/>
              <w:rPr>
                <w:sz w:val="20"/>
              </w:rPr>
            </w:pPr>
          </w:p>
        </w:tc>
        <w:tc>
          <w:tcPr>
            <w:tcW w:w="243" w:type="pct"/>
          </w:tcPr>
          <w:p w:rsidR="00F95A12" w:rsidRPr="00016113" w:rsidRDefault="00F95A12" w:rsidP="00F95A12">
            <w:pPr>
              <w:jc w:val="both"/>
              <w:rPr>
                <w:sz w:val="20"/>
              </w:rPr>
            </w:pPr>
          </w:p>
        </w:tc>
        <w:tc>
          <w:tcPr>
            <w:tcW w:w="2330" w:type="pct"/>
          </w:tcPr>
          <w:p w:rsidR="00F95A12" w:rsidRPr="00016113" w:rsidRDefault="00F95A12" w:rsidP="00F95A12">
            <w:pPr>
              <w:jc w:val="both"/>
              <w:rPr>
                <w:sz w:val="20"/>
              </w:rPr>
            </w:pPr>
            <w:r w:rsidRPr="00016113">
              <w:rPr>
                <w:sz w:val="20"/>
              </w:rPr>
              <w:t>Father’s application to re-open appeal based on new evidence dismissed</w:t>
            </w:r>
          </w:p>
          <w:p w:rsidR="00F95A12" w:rsidRPr="00016113" w:rsidRDefault="00F95A12" w:rsidP="00F95A12">
            <w:pPr>
              <w:jc w:val="both"/>
              <w:rPr>
                <w:sz w:val="20"/>
              </w:rPr>
            </w:pPr>
          </w:p>
          <w:p w:rsidR="00F95A12" w:rsidRPr="00016113" w:rsidRDefault="00F95A12" w:rsidP="00F95A12">
            <w:pPr>
              <w:jc w:val="both"/>
              <w:rPr>
                <w:sz w:val="20"/>
              </w:rPr>
            </w:pPr>
          </w:p>
        </w:tc>
      </w:tr>
      <w:tr w:rsidR="00F95A12" w:rsidRPr="00016113" w:rsidTr="00F95A12">
        <w:tc>
          <w:tcPr>
            <w:tcW w:w="2427" w:type="pct"/>
            <w:gridSpan w:val="2"/>
          </w:tcPr>
          <w:p w:rsidR="00F95A12" w:rsidRPr="00016113" w:rsidRDefault="00F95A12" w:rsidP="00F95A12">
            <w:pPr>
              <w:jc w:val="both"/>
              <w:rPr>
                <w:sz w:val="20"/>
              </w:rPr>
            </w:pPr>
            <w:r w:rsidRPr="00016113">
              <w:rPr>
                <w:sz w:val="20"/>
              </w:rPr>
              <w:t>June 23, 2020</w:t>
            </w:r>
          </w:p>
          <w:p w:rsidR="00F95A12" w:rsidRPr="00016113" w:rsidRDefault="00F95A12" w:rsidP="004F14BB">
            <w:pPr>
              <w:jc w:val="both"/>
              <w:rPr>
                <w:sz w:val="20"/>
              </w:rPr>
            </w:pPr>
            <w:r w:rsidRPr="00016113">
              <w:rPr>
                <w:sz w:val="20"/>
              </w:rPr>
              <w:t>Supreme Court of Canada</w:t>
            </w:r>
          </w:p>
        </w:tc>
        <w:tc>
          <w:tcPr>
            <w:tcW w:w="243" w:type="pct"/>
          </w:tcPr>
          <w:p w:rsidR="00F95A12" w:rsidRPr="00016113" w:rsidRDefault="00F95A12" w:rsidP="00F95A12">
            <w:pPr>
              <w:jc w:val="both"/>
              <w:rPr>
                <w:sz w:val="20"/>
              </w:rPr>
            </w:pPr>
          </w:p>
        </w:tc>
        <w:tc>
          <w:tcPr>
            <w:tcW w:w="2330" w:type="pct"/>
          </w:tcPr>
          <w:p w:rsidR="00F95A12" w:rsidRPr="00016113" w:rsidRDefault="00F95A12" w:rsidP="00F95A12">
            <w:pPr>
              <w:jc w:val="both"/>
              <w:rPr>
                <w:sz w:val="20"/>
              </w:rPr>
            </w:pPr>
            <w:r w:rsidRPr="00016113">
              <w:rPr>
                <w:sz w:val="20"/>
              </w:rPr>
              <w:t>Application for leave to appeal filed</w:t>
            </w:r>
          </w:p>
          <w:p w:rsidR="00F95A12" w:rsidRPr="00016113" w:rsidRDefault="00F95A12" w:rsidP="00F95A12">
            <w:pPr>
              <w:jc w:val="both"/>
              <w:rPr>
                <w:sz w:val="20"/>
              </w:rPr>
            </w:pPr>
          </w:p>
        </w:tc>
      </w:tr>
    </w:tbl>
    <w:p w:rsidR="00F95A12" w:rsidRPr="00016113" w:rsidRDefault="00F95A12" w:rsidP="00F95A12">
      <w:pPr>
        <w:jc w:val="both"/>
        <w:rPr>
          <w:sz w:val="20"/>
        </w:rPr>
      </w:pPr>
    </w:p>
    <w:p w:rsidR="004F14BB" w:rsidRPr="00016113" w:rsidRDefault="004F14BB" w:rsidP="00F95A12">
      <w:pPr>
        <w:jc w:val="both"/>
        <w:rPr>
          <w:sz w:val="20"/>
        </w:rPr>
      </w:pPr>
      <w:r w:rsidRPr="00016113">
        <w:rPr>
          <w:sz w:val="20"/>
        </w:rPr>
        <w:pict>
          <v:rect id="_x0000_i1043" style="width:2in;height:1pt" o:hrpct="0" o:hralign="center" o:hrstd="t" o:hrnoshade="t" o:hr="t" fillcolor="black [3213]" stroked="f"/>
        </w:pict>
      </w:r>
    </w:p>
    <w:p w:rsidR="004F14BB" w:rsidRPr="00016113" w:rsidRDefault="004F14BB" w:rsidP="00F95A1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95A12" w:rsidRPr="00016113" w:rsidTr="00F95A12">
        <w:tc>
          <w:tcPr>
            <w:tcW w:w="543" w:type="pct"/>
          </w:tcPr>
          <w:p w:rsidR="00F95A12" w:rsidRPr="00016113" w:rsidRDefault="00F95A12" w:rsidP="00F95A12">
            <w:pPr>
              <w:jc w:val="both"/>
              <w:rPr>
                <w:sz w:val="20"/>
                <w:lang w:val="fr-CA"/>
              </w:rPr>
            </w:pPr>
            <w:r w:rsidRPr="00016113">
              <w:rPr>
                <w:rStyle w:val="SCCFileNumberChar"/>
                <w:sz w:val="20"/>
                <w:szCs w:val="20"/>
                <w:lang w:val="fr-CA"/>
              </w:rPr>
              <w:t>39221</w:t>
            </w:r>
          </w:p>
        </w:tc>
        <w:tc>
          <w:tcPr>
            <w:tcW w:w="4457" w:type="pct"/>
            <w:gridSpan w:val="3"/>
          </w:tcPr>
          <w:p w:rsidR="00F95A12" w:rsidRPr="00016113" w:rsidRDefault="00F95A12" w:rsidP="00F95A12">
            <w:pPr>
              <w:pStyle w:val="SCCLsocParty"/>
              <w:jc w:val="both"/>
              <w:rPr>
                <w:b/>
                <w:sz w:val="20"/>
                <w:szCs w:val="20"/>
              </w:rPr>
            </w:pPr>
            <w:r w:rsidRPr="00016113">
              <w:rPr>
                <w:b/>
                <w:sz w:val="20"/>
                <w:szCs w:val="20"/>
              </w:rPr>
              <w:t>Mazen Geliedan c. Abir Rawdah</w:t>
            </w:r>
          </w:p>
          <w:p w:rsidR="00F95A12" w:rsidRPr="00016113" w:rsidRDefault="00F95A12" w:rsidP="004F14BB">
            <w:pPr>
              <w:jc w:val="both"/>
              <w:rPr>
                <w:sz w:val="20"/>
                <w:lang w:val="fr-CA"/>
              </w:rPr>
            </w:pPr>
            <w:r w:rsidRPr="00016113">
              <w:rPr>
                <w:sz w:val="20"/>
                <w:lang w:val="fr-CA"/>
              </w:rPr>
              <w:t>(Ont.) (Civile) (Autorisation)</w:t>
            </w:r>
          </w:p>
        </w:tc>
      </w:tr>
      <w:tr w:rsidR="00F95A12" w:rsidRPr="00016113" w:rsidTr="00F95A12">
        <w:tc>
          <w:tcPr>
            <w:tcW w:w="5000" w:type="pct"/>
            <w:gridSpan w:val="4"/>
          </w:tcPr>
          <w:p w:rsidR="00F95A12" w:rsidRPr="00016113" w:rsidRDefault="00F95A12" w:rsidP="00F95A12">
            <w:pPr>
              <w:jc w:val="both"/>
              <w:rPr>
                <w:sz w:val="20"/>
                <w:lang w:val="fr-CA"/>
              </w:rPr>
            </w:pPr>
            <w:r w:rsidRPr="00016113">
              <w:rPr>
                <w:sz w:val="20"/>
                <w:lang w:val="fr-CA"/>
              </w:rPr>
              <w:t>Droit de la famille — Garde — Déplacement et non</w:t>
            </w:r>
            <w:r w:rsidRPr="00016113">
              <w:rPr>
                <w:sz w:val="20"/>
                <w:lang w:val="fr-CA"/>
              </w:rPr>
              <w:noBreakHyphen/>
              <w:t xml:space="preserve">retour non régis par la </w:t>
            </w:r>
            <w:r w:rsidRPr="00016113">
              <w:rPr>
                <w:i/>
                <w:sz w:val="20"/>
                <w:lang w:val="fr-CA"/>
              </w:rPr>
              <w:t>Convention de La Haye</w:t>
            </w:r>
            <w:r w:rsidRPr="00016113">
              <w:rPr>
                <w:sz w:val="20"/>
                <w:lang w:val="fr-CA"/>
              </w:rPr>
              <w:t xml:space="preserve"> — Une mère canadienne a déplacé l’enfant des Émirats arabes unis et a retenu en Ontario l’enfant née au Royaume</w:t>
            </w:r>
            <w:r w:rsidRPr="00016113">
              <w:rPr>
                <w:sz w:val="20"/>
                <w:lang w:val="fr-CA"/>
              </w:rPr>
              <w:noBreakHyphen/>
              <w:t>Uni sans le consentement du père — Convient</w:t>
            </w:r>
            <w:r w:rsidRPr="00016113">
              <w:rPr>
                <w:sz w:val="20"/>
                <w:lang w:val="fr-CA"/>
              </w:rPr>
              <w:noBreakHyphen/>
              <w:t>il d’appliquer uniformément l’analyse de type</w:t>
            </w:r>
            <w:r w:rsidRPr="00016113">
              <w:rPr>
                <w:color w:val="000000"/>
                <w:sz w:val="20"/>
                <w:lang w:val="fr-CA"/>
              </w:rPr>
              <w:t xml:space="preserve"> </w:t>
            </w:r>
            <w:r w:rsidRPr="00016113">
              <w:rPr>
                <w:i/>
                <w:color w:val="000000"/>
                <w:sz w:val="20"/>
                <w:lang w:val="fr-CA"/>
              </w:rPr>
              <w:t xml:space="preserve">Balev </w:t>
            </w:r>
            <w:r w:rsidRPr="00016113">
              <w:rPr>
                <w:color w:val="000000"/>
                <w:sz w:val="20"/>
                <w:lang w:val="fr-CA"/>
              </w:rPr>
              <w:t xml:space="preserve">portant sur la résidence habituelle tant aux affaires régies par la </w:t>
            </w:r>
            <w:r w:rsidRPr="00016113">
              <w:rPr>
                <w:i/>
                <w:color w:val="000000"/>
                <w:sz w:val="20"/>
                <w:lang w:val="fr-CA"/>
              </w:rPr>
              <w:t xml:space="preserve">Convention </w:t>
            </w:r>
            <w:r w:rsidRPr="00016113">
              <w:rPr>
                <w:color w:val="000000"/>
                <w:sz w:val="20"/>
                <w:lang w:val="fr-CA"/>
              </w:rPr>
              <w:t xml:space="preserve">qu’aux affaires non régies par la </w:t>
            </w:r>
            <w:r w:rsidRPr="00016113">
              <w:rPr>
                <w:i/>
                <w:color w:val="000000"/>
                <w:sz w:val="20"/>
                <w:lang w:val="fr-CA"/>
              </w:rPr>
              <w:t>Convention</w:t>
            </w:r>
            <w:r w:rsidRPr="00016113">
              <w:rPr>
                <w:color w:val="000000"/>
                <w:sz w:val="20"/>
                <w:lang w:val="fr-CA"/>
              </w:rPr>
              <w:t>? — Faire autrement équivaut</w:t>
            </w:r>
            <w:r w:rsidRPr="00016113">
              <w:rPr>
                <w:color w:val="000000"/>
                <w:sz w:val="20"/>
                <w:lang w:val="fr-CA"/>
              </w:rPr>
              <w:noBreakHyphen/>
              <w:t xml:space="preserve">il à miner l’objectif primordial d’empêcher les enlèvements d’enfants et de rétablir le </w:t>
            </w:r>
            <w:r w:rsidRPr="00016113">
              <w:rPr>
                <w:i/>
                <w:color w:val="000000"/>
                <w:sz w:val="20"/>
                <w:lang w:val="fr-CA"/>
              </w:rPr>
              <w:t>statu quo</w:t>
            </w:r>
            <w:r w:rsidRPr="00016113">
              <w:rPr>
                <w:color w:val="000000"/>
                <w:sz w:val="20"/>
                <w:lang w:val="fr-CA"/>
              </w:rPr>
              <w:t xml:space="preserve"> qui existait immédiatement avant le déplacement illicite? — Aurait</w:t>
            </w:r>
            <w:r w:rsidRPr="00016113">
              <w:rPr>
                <w:color w:val="000000"/>
                <w:sz w:val="20"/>
                <w:lang w:val="fr-CA"/>
              </w:rPr>
              <w:noBreakHyphen/>
              <w:t>il l’effet préjudiciable de priver les enfants des protections que procure l’analyse de la résidence habituelle, notamment en assurant que les enfants bénéficient de la meilleure preuve pour l’instance portant sur leur garde et les droits de visite?</w:t>
            </w:r>
            <w:r w:rsidRPr="00016113">
              <w:rPr>
                <w:sz w:val="20"/>
                <w:lang w:val="fr-CA"/>
              </w:rPr>
              <w:t xml:space="preserve"> </w:t>
            </w:r>
          </w:p>
          <w:p w:rsidR="00F95A12" w:rsidRPr="00016113" w:rsidRDefault="00F95A12" w:rsidP="00F95A12">
            <w:pPr>
              <w:jc w:val="both"/>
              <w:rPr>
                <w:sz w:val="20"/>
                <w:lang w:val="fr-CA"/>
              </w:rPr>
            </w:pPr>
          </w:p>
        </w:tc>
      </w:tr>
      <w:tr w:rsidR="00F95A12" w:rsidRPr="00016113" w:rsidTr="00F95A12">
        <w:tc>
          <w:tcPr>
            <w:tcW w:w="5000" w:type="pct"/>
            <w:gridSpan w:val="4"/>
          </w:tcPr>
          <w:p w:rsidR="00F95A12" w:rsidRPr="00016113" w:rsidRDefault="00F95A12" w:rsidP="00F95A12">
            <w:pPr>
              <w:pStyle w:val="aparanumbering"/>
              <w:jc w:val="both"/>
              <w:rPr>
                <w:sz w:val="20"/>
                <w:szCs w:val="20"/>
                <w:lang w:val="fr-CA"/>
              </w:rPr>
            </w:pPr>
            <w:r w:rsidRPr="00016113">
              <w:rPr>
                <w:sz w:val="20"/>
                <w:szCs w:val="20"/>
                <w:lang w:val="fr-CA"/>
              </w:rPr>
              <w:t>Le père et la mère se sont mariés à Londres à l’automne 2012. La mère est citoyenne du Liban et du Canada. Le père est citoyen de l’Arabie saoudite et du Royaume</w:t>
            </w:r>
            <w:r w:rsidRPr="00016113">
              <w:rPr>
                <w:sz w:val="20"/>
                <w:szCs w:val="20"/>
                <w:lang w:val="fr-CA"/>
              </w:rPr>
              <w:noBreakHyphen/>
              <w:t>Uni. Leur fille est née à Londres en 2013 et est citoyenne du Royaume</w:t>
            </w:r>
            <w:r w:rsidRPr="00016113">
              <w:rPr>
                <w:sz w:val="20"/>
                <w:szCs w:val="20"/>
                <w:lang w:val="fr-CA"/>
              </w:rPr>
              <w:noBreakHyphen/>
              <w:t>Uni et du Canada. Les parties se sont séparées peu de temps après la naissance de leur fille et une instance devant un tribunal de la famille a été introduite au Royaume</w:t>
            </w:r>
            <w:r w:rsidRPr="00016113">
              <w:rPr>
                <w:sz w:val="20"/>
                <w:szCs w:val="20"/>
                <w:lang w:val="fr-CA"/>
              </w:rPr>
              <w:noBreakHyphen/>
              <w:t>Uni. La dernière ordonnance portant sur la garde et les droits de visite, prononcée sur consentement le 25 novembre 2015, précisait que l’enfant devait vivre avec la mère, avec du temps de parentage avec le père. Le tribunal a statué en outre que l’enfant avait pour résidence habituelle l’Angleterre et le Pays de Galles et que ni l’une ni l’autre des parties ne pouvait la déplacer hors de ce ressort sans le consentement écrit de l’autre partie ou une ordonnance ultérieure du tribunal. Le père s’est établi à Dubaï à l’époque où l’ordonnance de garde sur consentement a été prononcée. Le 2 avril 2018, la mère s’est rendue à Dubaï avec l’enfant pour un séjour de deux semaines chez le père. Aux dires de la mère, alors qu’elle se trouvait dans ce pays, le père aurait confisqué leurs passeports pour qu’elle et l’enfant ne puissent pas partir. Aux dires du père, les parties, d’un commun accord, auraient décidé d’élever leur enfant à Dubaï. Les parties ont d’abord vécu séparément sous le même toit, mais le père a fini par emménager dans son propre appartement. Selon la mère, elle et l’enfant étaient prises à Dubaï pendant presque 14 mois. Elle a fini par reprendre possession des deux passeports et a fui le pays avec l’enfant le 29 mai 2019. Elles se sont rendues en avion dans la région de Toronto (Ontario) où vivaient la grand</w:t>
            </w:r>
            <w:r w:rsidRPr="00016113">
              <w:rPr>
                <w:sz w:val="20"/>
                <w:szCs w:val="20"/>
                <w:lang w:val="fr-CA"/>
              </w:rPr>
              <w:noBreakHyphen/>
              <w:t>mère maternelle et d’autres membres de la famille. Le père a catégoriquement nié la version des faits de la mère.</w:t>
            </w:r>
          </w:p>
          <w:p w:rsidR="00F95A12" w:rsidRPr="00016113" w:rsidRDefault="00F95A12" w:rsidP="00F95A12">
            <w:pPr>
              <w:jc w:val="both"/>
              <w:rPr>
                <w:sz w:val="20"/>
                <w:lang w:val="fr-CA"/>
              </w:rPr>
            </w:pPr>
            <w:r w:rsidRPr="00016113">
              <w:rPr>
                <w:sz w:val="20"/>
                <w:lang w:val="fr-CA"/>
              </w:rPr>
              <w:t xml:space="preserve">Le père a présenté une motion </w:t>
            </w:r>
            <w:r w:rsidRPr="00016113">
              <w:rPr>
                <w:i/>
                <w:sz w:val="20"/>
                <w:lang w:val="fr-CA"/>
              </w:rPr>
              <w:t>ex parte</w:t>
            </w:r>
            <w:r w:rsidRPr="00016113">
              <w:rPr>
                <w:sz w:val="20"/>
                <w:lang w:val="fr-CA"/>
              </w:rPr>
              <w:t xml:space="preserve"> à Toronto pour que la question de la garde de l’enfant soit tranchée à Dubaï. La juge de première instance a ordonné que l’enfant soit retournée à Dubaï et que la question de sa garde soit tranchée par les tribunaux de ce ressort. L’appel de la mère a été accueilli.  L’ordonnance sur consentement précisait clairement que la résidence habituelle de l’enfant était le Royaume</w:t>
            </w:r>
            <w:r w:rsidRPr="00016113">
              <w:rPr>
                <w:sz w:val="20"/>
                <w:lang w:val="fr-CA"/>
              </w:rPr>
              <w:noBreakHyphen/>
              <w:t>Uni, si bien que la question de la garde et des droits de visite devait être tranchée par le tribunal qui avait prononcé l’ordonnance initiale.</w:t>
            </w:r>
          </w:p>
          <w:p w:rsidR="00F95A12" w:rsidRPr="00016113" w:rsidRDefault="00F95A12" w:rsidP="00F95A12">
            <w:pPr>
              <w:jc w:val="both"/>
              <w:rPr>
                <w:sz w:val="20"/>
                <w:lang w:val="fr-CA"/>
              </w:rPr>
            </w:pPr>
          </w:p>
        </w:tc>
      </w:tr>
      <w:tr w:rsidR="00F95A12" w:rsidRPr="00016113" w:rsidTr="00F95A12">
        <w:tc>
          <w:tcPr>
            <w:tcW w:w="2427" w:type="pct"/>
            <w:gridSpan w:val="2"/>
          </w:tcPr>
          <w:p w:rsidR="00F95A12" w:rsidRPr="00016113" w:rsidRDefault="00F95A12" w:rsidP="00F95A12">
            <w:pPr>
              <w:jc w:val="both"/>
              <w:rPr>
                <w:sz w:val="20"/>
                <w:lang w:val="fr-CA"/>
              </w:rPr>
            </w:pPr>
            <w:r w:rsidRPr="00016113">
              <w:rPr>
                <w:sz w:val="20"/>
                <w:lang w:val="fr-CA"/>
              </w:rPr>
              <w:t>17 septembre 2019</w:t>
            </w:r>
          </w:p>
          <w:p w:rsidR="00F95A12" w:rsidRPr="00016113" w:rsidRDefault="00F95A12" w:rsidP="00F95A12">
            <w:pPr>
              <w:jc w:val="both"/>
              <w:rPr>
                <w:sz w:val="20"/>
                <w:lang w:val="fr-CA"/>
              </w:rPr>
            </w:pPr>
            <w:r w:rsidRPr="00016113">
              <w:rPr>
                <w:sz w:val="20"/>
                <w:lang w:val="fr-CA"/>
              </w:rPr>
              <w:t>Cour supérieure de justice de l’Ontario</w:t>
            </w:r>
          </w:p>
          <w:p w:rsidR="00F95A12" w:rsidRPr="00016113" w:rsidRDefault="00F95A12" w:rsidP="00F95A12">
            <w:pPr>
              <w:jc w:val="both"/>
              <w:rPr>
                <w:sz w:val="20"/>
                <w:lang w:val="fr-CA"/>
              </w:rPr>
            </w:pPr>
            <w:r w:rsidRPr="00016113">
              <w:rPr>
                <w:sz w:val="20"/>
                <w:lang w:val="fr-CA"/>
              </w:rPr>
              <w:t>(Juge Nakonechny)</w:t>
            </w:r>
          </w:p>
          <w:p w:rsidR="00F95A12" w:rsidRPr="00016113" w:rsidRDefault="00F95A12" w:rsidP="00F95A12">
            <w:pPr>
              <w:jc w:val="both"/>
              <w:rPr>
                <w:sz w:val="20"/>
                <w:lang w:val="fr-CA"/>
              </w:rPr>
            </w:pPr>
            <w:r w:rsidRPr="00016113">
              <w:rPr>
                <w:sz w:val="20"/>
                <w:lang w:val="fr-CA"/>
              </w:rPr>
              <w:t xml:space="preserve">2019 ONSC 5391 </w:t>
            </w:r>
          </w:p>
          <w:p w:rsidR="00F95A12" w:rsidRPr="00016113" w:rsidRDefault="00F95A12" w:rsidP="00F95A12">
            <w:pPr>
              <w:jc w:val="both"/>
              <w:rPr>
                <w:sz w:val="20"/>
                <w:lang w:val="fr-CA"/>
              </w:rPr>
            </w:pPr>
          </w:p>
        </w:tc>
        <w:tc>
          <w:tcPr>
            <w:tcW w:w="243" w:type="pct"/>
          </w:tcPr>
          <w:p w:rsidR="00F95A12" w:rsidRPr="00016113" w:rsidRDefault="00F95A12" w:rsidP="00F95A12">
            <w:pPr>
              <w:jc w:val="both"/>
              <w:rPr>
                <w:sz w:val="20"/>
                <w:lang w:val="fr-CA"/>
              </w:rPr>
            </w:pPr>
          </w:p>
        </w:tc>
        <w:tc>
          <w:tcPr>
            <w:tcW w:w="2330" w:type="pct"/>
          </w:tcPr>
          <w:p w:rsidR="00F95A12" w:rsidRPr="00016113" w:rsidRDefault="00F95A12" w:rsidP="00F95A12">
            <w:pPr>
              <w:jc w:val="both"/>
              <w:rPr>
                <w:sz w:val="20"/>
                <w:lang w:val="fr-CA"/>
              </w:rPr>
            </w:pPr>
            <w:r w:rsidRPr="00016113">
              <w:rPr>
                <w:sz w:val="20"/>
                <w:lang w:val="fr-CA"/>
              </w:rPr>
              <w:t xml:space="preserve">Jugement prononçant une ordonnance à la demande du père en application de l’art. 40 de la </w:t>
            </w:r>
            <w:r w:rsidRPr="00016113">
              <w:rPr>
                <w:i/>
                <w:sz w:val="20"/>
                <w:lang w:val="fr-CA"/>
              </w:rPr>
              <w:t>Loi portant réforme du droit de l’enfance</w:t>
            </w:r>
            <w:r w:rsidRPr="00016113">
              <w:rPr>
                <w:sz w:val="20"/>
                <w:lang w:val="fr-CA"/>
              </w:rPr>
              <w:t>, L.R.O. 1990, ch. C.12 pour que l’enfant soit retournée à Dubaï afin que soit tranchée la question de la garde.</w:t>
            </w:r>
          </w:p>
        </w:tc>
      </w:tr>
      <w:tr w:rsidR="00F95A12" w:rsidRPr="00016113" w:rsidTr="00F95A12">
        <w:tc>
          <w:tcPr>
            <w:tcW w:w="2427" w:type="pct"/>
            <w:gridSpan w:val="2"/>
          </w:tcPr>
          <w:p w:rsidR="00F95A12" w:rsidRPr="00016113" w:rsidRDefault="00F95A12" w:rsidP="00F95A12">
            <w:pPr>
              <w:jc w:val="both"/>
              <w:rPr>
                <w:sz w:val="20"/>
                <w:lang w:val="fr-CA"/>
              </w:rPr>
            </w:pPr>
            <w:r w:rsidRPr="00016113">
              <w:rPr>
                <w:sz w:val="20"/>
                <w:lang w:val="fr-CA"/>
              </w:rPr>
              <w:t>15 avril 2020</w:t>
            </w:r>
          </w:p>
          <w:p w:rsidR="00F95A12" w:rsidRPr="00016113" w:rsidRDefault="00F95A12" w:rsidP="00F95A12">
            <w:pPr>
              <w:jc w:val="both"/>
              <w:rPr>
                <w:sz w:val="20"/>
                <w:lang w:val="fr-CA"/>
              </w:rPr>
            </w:pPr>
            <w:r w:rsidRPr="00016113">
              <w:rPr>
                <w:sz w:val="20"/>
                <w:lang w:val="fr-CA"/>
              </w:rPr>
              <w:t>Cour d’appel de l’Ontario</w:t>
            </w:r>
          </w:p>
          <w:p w:rsidR="00F95A12" w:rsidRPr="00016113" w:rsidRDefault="00F95A12" w:rsidP="00F95A12">
            <w:pPr>
              <w:jc w:val="both"/>
              <w:rPr>
                <w:sz w:val="20"/>
                <w:lang w:val="fr-CA"/>
              </w:rPr>
            </w:pPr>
            <w:r w:rsidRPr="00016113">
              <w:rPr>
                <w:sz w:val="20"/>
                <w:lang w:val="fr-CA"/>
              </w:rPr>
              <w:t>(Juges Lauwers, Paciocco et Fairburn)</w:t>
            </w:r>
          </w:p>
          <w:p w:rsidR="00F95A12" w:rsidRPr="00016113" w:rsidRDefault="00F95A12" w:rsidP="00F95A12">
            <w:pPr>
              <w:jc w:val="both"/>
              <w:rPr>
                <w:sz w:val="20"/>
                <w:lang w:val="fr-CA"/>
              </w:rPr>
            </w:pPr>
            <w:hyperlink r:id="rId49" w:history="1">
              <w:r w:rsidRPr="00016113">
                <w:rPr>
                  <w:rStyle w:val="Hyperlink"/>
                  <w:sz w:val="20"/>
                  <w:lang w:val="fr-CA"/>
                </w:rPr>
                <w:t>2020 ONCA 254</w:t>
              </w:r>
            </w:hyperlink>
          </w:p>
          <w:p w:rsidR="00F95A12" w:rsidRPr="00016113" w:rsidRDefault="00F95A12" w:rsidP="00F95A12">
            <w:pPr>
              <w:jc w:val="both"/>
              <w:rPr>
                <w:sz w:val="20"/>
                <w:lang w:val="fr-CA"/>
              </w:rPr>
            </w:pPr>
          </w:p>
        </w:tc>
        <w:tc>
          <w:tcPr>
            <w:tcW w:w="243" w:type="pct"/>
          </w:tcPr>
          <w:p w:rsidR="00F95A12" w:rsidRPr="00016113" w:rsidRDefault="00F95A12" w:rsidP="00F95A12">
            <w:pPr>
              <w:jc w:val="both"/>
              <w:rPr>
                <w:sz w:val="20"/>
                <w:lang w:val="fr-CA"/>
              </w:rPr>
            </w:pPr>
          </w:p>
        </w:tc>
        <w:tc>
          <w:tcPr>
            <w:tcW w:w="2330" w:type="pct"/>
          </w:tcPr>
          <w:p w:rsidR="00F95A12" w:rsidRPr="00016113" w:rsidRDefault="00F95A12" w:rsidP="00F95A12">
            <w:pPr>
              <w:jc w:val="both"/>
              <w:rPr>
                <w:sz w:val="20"/>
                <w:lang w:val="fr-CA"/>
              </w:rPr>
            </w:pPr>
            <w:r w:rsidRPr="00016113">
              <w:rPr>
                <w:sz w:val="20"/>
                <w:lang w:val="fr-CA"/>
              </w:rPr>
              <w:t>Arrêt accueillant l’appel de la mère et ordonnant aux parties de poursuivre au Royaume</w:t>
            </w:r>
            <w:r w:rsidRPr="00016113">
              <w:rPr>
                <w:sz w:val="20"/>
                <w:lang w:val="fr-CA"/>
              </w:rPr>
              <w:noBreakHyphen/>
              <w:t>Uni l’instance portant sur la garde.</w:t>
            </w:r>
          </w:p>
          <w:p w:rsidR="00F95A12" w:rsidRPr="00016113" w:rsidRDefault="00F95A12" w:rsidP="00F95A12">
            <w:pPr>
              <w:jc w:val="both"/>
              <w:rPr>
                <w:sz w:val="20"/>
                <w:lang w:val="fr-CA"/>
              </w:rPr>
            </w:pPr>
          </w:p>
          <w:p w:rsidR="00F95A12" w:rsidRPr="00016113" w:rsidRDefault="00F95A12" w:rsidP="00F95A12">
            <w:pPr>
              <w:jc w:val="both"/>
              <w:rPr>
                <w:sz w:val="20"/>
                <w:lang w:val="fr-CA"/>
              </w:rPr>
            </w:pPr>
          </w:p>
        </w:tc>
      </w:tr>
      <w:tr w:rsidR="00F95A12" w:rsidRPr="00016113" w:rsidTr="00F95A12">
        <w:tc>
          <w:tcPr>
            <w:tcW w:w="2427" w:type="pct"/>
            <w:gridSpan w:val="2"/>
          </w:tcPr>
          <w:p w:rsidR="00F95A12" w:rsidRPr="00016113" w:rsidRDefault="00F95A12" w:rsidP="00F95A12">
            <w:pPr>
              <w:jc w:val="both"/>
              <w:rPr>
                <w:sz w:val="20"/>
                <w:lang w:val="fr-CA"/>
              </w:rPr>
            </w:pPr>
            <w:r w:rsidRPr="00016113">
              <w:rPr>
                <w:sz w:val="20"/>
                <w:lang w:val="fr-CA"/>
              </w:rPr>
              <w:t>29 mai 2020</w:t>
            </w:r>
          </w:p>
          <w:p w:rsidR="00F95A12" w:rsidRPr="00016113" w:rsidRDefault="00F95A12" w:rsidP="00F95A12">
            <w:pPr>
              <w:jc w:val="both"/>
              <w:rPr>
                <w:sz w:val="20"/>
                <w:lang w:val="fr-CA"/>
              </w:rPr>
            </w:pPr>
            <w:r w:rsidRPr="00016113">
              <w:rPr>
                <w:sz w:val="20"/>
                <w:lang w:val="fr-CA"/>
              </w:rPr>
              <w:t>Cour d’appel de l’Ontario</w:t>
            </w:r>
          </w:p>
          <w:p w:rsidR="00F95A12" w:rsidRPr="00016113" w:rsidRDefault="00F95A12" w:rsidP="00F95A12">
            <w:pPr>
              <w:jc w:val="both"/>
              <w:rPr>
                <w:sz w:val="20"/>
                <w:lang w:val="fr-CA"/>
              </w:rPr>
            </w:pPr>
            <w:r w:rsidRPr="00016113">
              <w:rPr>
                <w:sz w:val="20"/>
                <w:lang w:val="fr-CA"/>
              </w:rPr>
              <w:t>(Juges Lauwers, Paciocco et Fairburn)</w:t>
            </w:r>
          </w:p>
          <w:p w:rsidR="00F95A12" w:rsidRPr="00016113" w:rsidRDefault="00F95A12" w:rsidP="00F95A12">
            <w:pPr>
              <w:jc w:val="both"/>
              <w:rPr>
                <w:sz w:val="20"/>
                <w:lang w:val="fr-CA"/>
              </w:rPr>
            </w:pPr>
            <w:hyperlink r:id="rId50" w:history="1">
              <w:r w:rsidRPr="00016113">
                <w:rPr>
                  <w:rStyle w:val="Hyperlink"/>
                  <w:sz w:val="20"/>
                  <w:lang w:val="fr-CA"/>
                </w:rPr>
                <w:t>2020 ONCA 339</w:t>
              </w:r>
            </w:hyperlink>
          </w:p>
          <w:p w:rsidR="00F95A12" w:rsidRPr="00016113" w:rsidRDefault="00F95A12" w:rsidP="00F95A12">
            <w:pPr>
              <w:jc w:val="both"/>
              <w:rPr>
                <w:sz w:val="20"/>
                <w:lang w:val="fr-CA"/>
              </w:rPr>
            </w:pPr>
          </w:p>
        </w:tc>
        <w:tc>
          <w:tcPr>
            <w:tcW w:w="243" w:type="pct"/>
          </w:tcPr>
          <w:p w:rsidR="00F95A12" w:rsidRPr="00016113" w:rsidRDefault="00F95A12" w:rsidP="00F95A12">
            <w:pPr>
              <w:jc w:val="both"/>
              <w:rPr>
                <w:sz w:val="20"/>
                <w:lang w:val="fr-CA"/>
              </w:rPr>
            </w:pPr>
          </w:p>
        </w:tc>
        <w:tc>
          <w:tcPr>
            <w:tcW w:w="2330" w:type="pct"/>
          </w:tcPr>
          <w:p w:rsidR="00F95A12" w:rsidRPr="00016113" w:rsidRDefault="00F95A12" w:rsidP="00F95A12">
            <w:pPr>
              <w:jc w:val="both"/>
              <w:rPr>
                <w:sz w:val="20"/>
                <w:lang w:val="fr-CA"/>
              </w:rPr>
            </w:pPr>
            <w:r w:rsidRPr="00016113">
              <w:rPr>
                <w:sz w:val="20"/>
                <w:lang w:val="fr-CA"/>
              </w:rPr>
              <w:t>Rejet de la demande du père pour rouvrir l’appel sur le fondement d’une preuve nouvelle</w:t>
            </w:r>
          </w:p>
          <w:p w:rsidR="00F95A12" w:rsidRPr="00016113" w:rsidRDefault="00F95A12" w:rsidP="00F95A12">
            <w:pPr>
              <w:jc w:val="both"/>
              <w:rPr>
                <w:sz w:val="20"/>
                <w:lang w:val="fr-CA"/>
              </w:rPr>
            </w:pPr>
          </w:p>
          <w:p w:rsidR="00F95A12" w:rsidRPr="00016113" w:rsidRDefault="00F95A12" w:rsidP="00F95A12">
            <w:pPr>
              <w:jc w:val="both"/>
              <w:rPr>
                <w:sz w:val="20"/>
                <w:lang w:val="fr-CA"/>
              </w:rPr>
            </w:pPr>
          </w:p>
        </w:tc>
      </w:tr>
      <w:tr w:rsidR="00F95A12" w:rsidRPr="00016113" w:rsidTr="00F95A12">
        <w:tc>
          <w:tcPr>
            <w:tcW w:w="2427" w:type="pct"/>
            <w:gridSpan w:val="2"/>
          </w:tcPr>
          <w:p w:rsidR="00F95A12" w:rsidRPr="00016113" w:rsidRDefault="00F95A12" w:rsidP="00F95A12">
            <w:pPr>
              <w:jc w:val="both"/>
              <w:rPr>
                <w:sz w:val="20"/>
                <w:lang w:val="fr-CA"/>
              </w:rPr>
            </w:pPr>
            <w:r w:rsidRPr="00016113">
              <w:rPr>
                <w:sz w:val="20"/>
                <w:lang w:val="fr-CA"/>
              </w:rPr>
              <w:t>23 juin 2020</w:t>
            </w:r>
          </w:p>
          <w:p w:rsidR="00F95A12" w:rsidRPr="00016113" w:rsidRDefault="00F95A12" w:rsidP="004F14BB">
            <w:pPr>
              <w:jc w:val="both"/>
              <w:rPr>
                <w:sz w:val="20"/>
                <w:lang w:val="fr-CA"/>
              </w:rPr>
            </w:pPr>
            <w:r w:rsidRPr="00016113">
              <w:rPr>
                <w:sz w:val="20"/>
                <w:lang w:val="fr-CA"/>
              </w:rPr>
              <w:t>Cour suprême du Canada</w:t>
            </w:r>
          </w:p>
        </w:tc>
        <w:tc>
          <w:tcPr>
            <w:tcW w:w="243" w:type="pct"/>
          </w:tcPr>
          <w:p w:rsidR="00F95A12" w:rsidRPr="00016113" w:rsidRDefault="00F95A12" w:rsidP="00F95A12">
            <w:pPr>
              <w:jc w:val="both"/>
              <w:rPr>
                <w:sz w:val="20"/>
                <w:lang w:val="fr-CA"/>
              </w:rPr>
            </w:pPr>
          </w:p>
        </w:tc>
        <w:tc>
          <w:tcPr>
            <w:tcW w:w="2330" w:type="pct"/>
          </w:tcPr>
          <w:p w:rsidR="00F95A12" w:rsidRPr="00016113" w:rsidRDefault="00F95A12" w:rsidP="00F95A12">
            <w:pPr>
              <w:jc w:val="both"/>
              <w:rPr>
                <w:sz w:val="20"/>
                <w:lang w:val="fr-CA"/>
              </w:rPr>
            </w:pPr>
            <w:r w:rsidRPr="00016113">
              <w:rPr>
                <w:sz w:val="20"/>
                <w:lang w:val="fr-CA"/>
              </w:rPr>
              <w:t>Dépôt de la demande d’autorisation d’appel</w:t>
            </w:r>
          </w:p>
          <w:p w:rsidR="00F95A12" w:rsidRPr="00016113" w:rsidRDefault="00F95A12" w:rsidP="00F95A12">
            <w:pPr>
              <w:jc w:val="both"/>
              <w:rPr>
                <w:sz w:val="20"/>
                <w:lang w:val="fr-CA"/>
              </w:rPr>
            </w:pPr>
          </w:p>
        </w:tc>
      </w:tr>
    </w:tbl>
    <w:p w:rsidR="00F95A12" w:rsidRPr="00016113" w:rsidRDefault="00F95A12" w:rsidP="00F95A12">
      <w:pPr>
        <w:jc w:val="both"/>
        <w:rPr>
          <w:sz w:val="20"/>
          <w:lang w:val="fr-CA"/>
        </w:rPr>
      </w:pPr>
    </w:p>
    <w:p w:rsidR="004F14BB" w:rsidRPr="00016113" w:rsidRDefault="004F14BB" w:rsidP="00F95A12">
      <w:pPr>
        <w:jc w:val="both"/>
        <w:rPr>
          <w:sz w:val="20"/>
          <w:lang w:val="fr-CA"/>
        </w:rPr>
      </w:pPr>
      <w:r w:rsidRPr="00016113">
        <w:rPr>
          <w:sz w:val="20"/>
        </w:rPr>
        <w:pict>
          <v:rect id="_x0000_i1044" style="width:2in;height:1pt" o:hrpct="0" o:hralign="center" o:hrstd="t" o:hrnoshade="t" o:hr="t" fillcolor="black [3213]" stroked="f"/>
        </w:pict>
      </w:r>
    </w:p>
    <w:p w:rsidR="00F95A12" w:rsidRPr="00016113" w:rsidRDefault="00F95A12" w:rsidP="00F95A12">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95A12" w:rsidRPr="00016113" w:rsidTr="00F95A12">
        <w:tc>
          <w:tcPr>
            <w:tcW w:w="543" w:type="pct"/>
          </w:tcPr>
          <w:p w:rsidR="00F95A12" w:rsidRPr="00016113" w:rsidRDefault="00F95A12" w:rsidP="00F95A12">
            <w:pPr>
              <w:jc w:val="both"/>
              <w:rPr>
                <w:sz w:val="20"/>
              </w:rPr>
            </w:pPr>
            <w:r w:rsidRPr="00016113">
              <w:rPr>
                <w:rStyle w:val="SCCFileNumberChar"/>
                <w:sz w:val="20"/>
                <w:szCs w:val="20"/>
              </w:rPr>
              <w:t>39095</w:t>
            </w:r>
          </w:p>
        </w:tc>
        <w:tc>
          <w:tcPr>
            <w:tcW w:w="4457" w:type="pct"/>
            <w:gridSpan w:val="3"/>
          </w:tcPr>
          <w:p w:rsidR="00F95A12" w:rsidRPr="00016113" w:rsidRDefault="00F95A12" w:rsidP="00F95A12">
            <w:pPr>
              <w:pStyle w:val="SCCLsocParty"/>
              <w:jc w:val="both"/>
              <w:rPr>
                <w:b/>
                <w:sz w:val="20"/>
                <w:szCs w:val="20"/>
                <w:lang w:val="en-US"/>
              </w:rPr>
            </w:pPr>
            <w:r w:rsidRPr="00016113">
              <w:rPr>
                <w:b/>
                <w:sz w:val="20"/>
                <w:szCs w:val="20"/>
                <w:lang w:val="en-US"/>
              </w:rPr>
              <w:t>Bank of Montreal v. Yanping (Kate) Li</w:t>
            </w:r>
          </w:p>
          <w:p w:rsidR="00F95A12" w:rsidRPr="00016113" w:rsidRDefault="00F95A12" w:rsidP="00F95A12">
            <w:pPr>
              <w:jc w:val="both"/>
              <w:rPr>
                <w:sz w:val="20"/>
              </w:rPr>
            </w:pPr>
            <w:r w:rsidRPr="00016113">
              <w:rPr>
                <w:sz w:val="20"/>
              </w:rPr>
              <w:t>(F</w:t>
            </w:r>
            <w:r w:rsidR="004F14BB" w:rsidRPr="00016113">
              <w:rPr>
                <w:sz w:val="20"/>
              </w:rPr>
              <w:t>.</w:t>
            </w:r>
            <w:r w:rsidRPr="00016113">
              <w:rPr>
                <w:sz w:val="20"/>
              </w:rPr>
              <w:t>C</w:t>
            </w:r>
            <w:r w:rsidR="004F14BB" w:rsidRPr="00016113">
              <w:rPr>
                <w:sz w:val="20"/>
              </w:rPr>
              <w:t>.</w:t>
            </w:r>
            <w:r w:rsidRPr="00016113">
              <w:rPr>
                <w:sz w:val="20"/>
              </w:rPr>
              <w:t>) (Civil) (By Leave)</w:t>
            </w:r>
          </w:p>
        </w:tc>
      </w:tr>
      <w:tr w:rsidR="00F95A12" w:rsidRPr="00016113" w:rsidTr="00F95A12">
        <w:tc>
          <w:tcPr>
            <w:tcW w:w="5000" w:type="pct"/>
            <w:gridSpan w:val="4"/>
          </w:tcPr>
          <w:p w:rsidR="00F95A12" w:rsidRPr="00016113" w:rsidRDefault="00F95A12" w:rsidP="00F95A12">
            <w:pPr>
              <w:jc w:val="both"/>
              <w:rPr>
                <w:sz w:val="20"/>
              </w:rPr>
            </w:pPr>
            <w:r w:rsidRPr="00016113">
              <w:rPr>
                <w:sz w:val="20"/>
              </w:rPr>
              <w:t xml:space="preserve">Administrative law — Judicial review — Standard of review — Employment law — Unjust dismissal — Adjudicator’s jurisdiction — Whether employees can retrospectively release unjust dismissal rights under the </w:t>
            </w:r>
            <w:r w:rsidRPr="00016113">
              <w:rPr>
                <w:i/>
                <w:sz w:val="20"/>
              </w:rPr>
              <w:t>Canada Labour Code</w:t>
            </w:r>
            <w:r w:rsidRPr="00016113">
              <w:rPr>
                <w:sz w:val="20"/>
              </w:rPr>
              <w:t>, RSC 1985, c. L</w:t>
            </w:r>
            <w:r w:rsidRPr="00016113">
              <w:rPr>
                <w:sz w:val="20"/>
              </w:rPr>
              <w:noBreakHyphen/>
              <w:t>2 — Whether the rule of law requires correctness review of an administrative decision that simply follows a challenged judicial decision?</w:t>
            </w:r>
          </w:p>
          <w:p w:rsidR="00F95A12" w:rsidRPr="00016113" w:rsidRDefault="00F95A12" w:rsidP="00F95A12">
            <w:pPr>
              <w:jc w:val="both"/>
              <w:rPr>
                <w:sz w:val="20"/>
              </w:rPr>
            </w:pPr>
          </w:p>
        </w:tc>
      </w:tr>
      <w:tr w:rsidR="00F95A12" w:rsidRPr="00016113" w:rsidTr="00F95A12">
        <w:tc>
          <w:tcPr>
            <w:tcW w:w="5000" w:type="pct"/>
            <w:gridSpan w:val="4"/>
          </w:tcPr>
          <w:p w:rsidR="00F95A12" w:rsidRPr="00016113" w:rsidRDefault="00F95A12" w:rsidP="00F95A12">
            <w:pPr>
              <w:jc w:val="both"/>
              <w:rPr>
                <w:sz w:val="20"/>
              </w:rPr>
            </w:pPr>
            <w:r w:rsidRPr="00016113">
              <w:rPr>
                <w:sz w:val="20"/>
              </w:rPr>
              <w:t xml:space="preserve">Yanping (Kate) Li began working at the Bank of Montreal (BMO) in May 2011. On March 29, 2017, BMO terminated Ms. Li’s employment. On that same day, BMO provided Ms. Li with a package of documents which outlined information about two different severance options, one providing salary and benefits continuation, and the other providing a lump sum payment as well as other transition support services. On April 18, 2017, BMO confirmed by email that Ms. Li opted for the lump sum payment and forwarded her an agreement and release for her signature which she signed. BMO then paid Ms. Li as per the agreement. On May 22, 2017, Ms. Li filed a complaint of unjust dismissal with the Minister of Labour under the </w:t>
            </w:r>
            <w:r w:rsidRPr="00016113">
              <w:rPr>
                <w:i/>
                <w:sz w:val="20"/>
              </w:rPr>
              <w:t>Canada Labour Code</w:t>
            </w:r>
            <w:r w:rsidRPr="00016113">
              <w:rPr>
                <w:sz w:val="20"/>
              </w:rPr>
              <w:t>, RSC 1985, c. L</w:t>
            </w:r>
            <w:r w:rsidRPr="00016113">
              <w:rPr>
                <w:sz w:val="20"/>
              </w:rPr>
              <w:noBreakHyphen/>
              <w:t xml:space="preserve">2, contrary to her release. An adjudicator was appointed to hear the complaint. As a preliminary matter, BMO raised the issue of the adjudicator’s jurisdiction given that Ms. Li had already signed a release. On April 20, 2018, the adjudicator determined that she had jurisdiction to hear the complaint. BMO sought judicial review of this decision at the Federal Court. The Federal Court, relying on </w:t>
            </w:r>
            <w:r w:rsidRPr="00016113">
              <w:rPr>
                <w:i/>
                <w:sz w:val="20"/>
              </w:rPr>
              <w:t>National Bank of Canada v Canada (Minister of Labour)</w:t>
            </w:r>
            <w:r w:rsidRPr="00016113">
              <w:rPr>
                <w:sz w:val="20"/>
              </w:rPr>
              <w:t>, [1997] 3 FC 727, found the adjudicator’s preliminary decision to be reasonable and dismissed the judicial review. A subsequent appeal to the Federal Court of Appeal was also dismissed.</w:t>
            </w:r>
          </w:p>
        </w:tc>
      </w:tr>
      <w:tr w:rsidR="00F95A12" w:rsidRPr="00016113" w:rsidTr="00F95A12">
        <w:tc>
          <w:tcPr>
            <w:tcW w:w="5000" w:type="pct"/>
            <w:gridSpan w:val="4"/>
          </w:tcPr>
          <w:p w:rsidR="00F95A12" w:rsidRPr="00016113" w:rsidRDefault="00F95A12" w:rsidP="00F95A12">
            <w:pPr>
              <w:jc w:val="both"/>
              <w:rPr>
                <w:sz w:val="20"/>
              </w:rPr>
            </w:pPr>
          </w:p>
        </w:tc>
      </w:tr>
      <w:tr w:rsidR="00F95A12" w:rsidRPr="00016113" w:rsidTr="00F95A12">
        <w:tc>
          <w:tcPr>
            <w:tcW w:w="2427" w:type="pct"/>
            <w:gridSpan w:val="2"/>
          </w:tcPr>
          <w:p w:rsidR="00F95A12" w:rsidRPr="00016113" w:rsidRDefault="00F95A12" w:rsidP="00F95A12">
            <w:pPr>
              <w:jc w:val="both"/>
              <w:rPr>
                <w:sz w:val="20"/>
              </w:rPr>
            </w:pPr>
            <w:r w:rsidRPr="00016113">
              <w:rPr>
                <w:sz w:val="20"/>
              </w:rPr>
              <w:t>December 21, 2018</w:t>
            </w:r>
          </w:p>
          <w:p w:rsidR="00F95A12" w:rsidRPr="00016113" w:rsidRDefault="00F95A12" w:rsidP="00F95A12">
            <w:pPr>
              <w:jc w:val="both"/>
              <w:rPr>
                <w:sz w:val="20"/>
              </w:rPr>
            </w:pPr>
            <w:r w:rsidRPr="00016113">
              <w:rPr>
                <w:sz w:val="20"/>
              </w:rPr>
              <w:t>Federal Court</w:t>
            </w:r>
          </w:p>
          <w:p w:rsidR="00F95A12" w:rsidRPr="00016113" w:rsidRDefault="00F95A12" w:rsidP="00F95A12">
            <w:pPr>
              <w:jc w:val="both"/>
              <w:rPr>
                <w:sz w:val="20"/>
              </w:rPr>
            </w:pPr>
            <w:r w:rsidRPr="00016113">
              <w:rPr>
                <w:sz w:val="20"/>
              </w:rPr>
              <w:t>(Fothergill J.)</w:t>
            </w:r>
          </w:p>
          <w:p w:rsidR="00F95A12" w:rsidRPr="00016113" w:rsidRDefault="00F95A12" w:rsidP="00F95A12">
            <w:pPr>
              <w:jc w:val="both"/>
              <w:rPr>
                <w:sz w:val="20"/>
              </w:rPr>
            </w:pPr>
            <w:hyperlink r:id="rId51" w:history="1">
              <w:r w:rsidRPr="00016113">
                <w:rPr>
                  <w:rStyle w:val="Hyperlink"/>
                  <w:sz w:val="20"/>
                </w:rPr>
                <w:t>2018 FC 1298</w:t>
              </w:r>
            </w:hyperlink>
          </w:p>
          <w:p w:rsidR="00F95A12" w:rsidRPr="00016113" w:rsidRDefault="00F95A12" w:rsidP="00F95A12">
            <w:pPr>
              <w:jc w:val="both"/>
              <w:rPr>
                <w:sz w:val="20"/>
              </w:rPr>
            </w:pPr>
          </w:p>
        </w:tc>
        <w:tc>
          <w:tcPr>
            <w:tcW w:w="243" w:type="pct"/>
          </w:tcPr>
          <w:p w:rsidR="00F95A12" w:rsidRPr="00016113" w:rsidRDefault="00F95A12" w:rsidP="00F95A12">
            <w:pPr>
              <w:jc w:val="both"/>
              <w:rPr>
                <w:sz w:val="20"/>
              </w:rPr>
            </w:pPr>
          </w:p>
        </w:tc>
        <w:tc>
          <w:tcPr>
            <w:tcW w:w="2330" w:type="pct"/>
          </w:tcPr>
          <w:p w:rsidR="00F95A12" w:rsidRPr="00016113" w:rsidRDefault="00F95A12" w:rsidP="00F95A12">
            <w:pPr>
              <w:jc w:val="both"/>
              <w:rPr>
                <w:sz w:val="20"/>
              </w:rPr>
            </w:pPr>
            <w:r w:rsidRPr="00016113">
              <w:rPr>
                <w:sz w:val="20"/>
              </w:rPr>
              <w:t xml:space="preserve">Judicial review of jurisdictional challenge dismissed; </w:t>
            </w:r>
            <w:proofErr w:type="spellStart"/>
            <w:r w:rsidRPr="00016113">
              <w:rPr>
                <w:sz w:val="20"/>
              </w:rPr>
              <w:t>Ms</w:t>
            </w:r>
            <w:proofErr w:type="spellEnd"/>
            <w:r w:rsidRPr="00016113">
              <w:rPr>
                <w:sz w:val="20"/>
              </w:rPr>
              <w:t xml:space="preserve"> Li’s claims for unjust dismissal allowed to proceed.</w:t>
            </w:r>
          </w:p>
          <w:p w:rsidR="00F95A12" w:rsidRPr="00016113" w:rsidRDefault="00F95A12" w:rsidP="00F95A12">
            <w:pPr>
              <w:jc w:val="both"/>
              <w:rPr>
                <w:sz w:val="20"/>
              </w:rPr>
            </w:pPr>
          </w:p>
        </w:tc>
      </w:tr>
      <w:tr w:rsidR="00F95A12" w:rsidRPr="00016113" w:rsidTr="00F95A12">
        <w:tc>
          <w:tcPr>
            <w:tcW w:w="2427" w:type="pct"/>
            <w:gridSpan w:val="2"/>
          </w:tcPr>
          <w:p w:rsidR="00F95A12" w:rsidRPr="00016113" w:rsidRDefault="00F95A12" w:rsidP="00F95A12">
            <w:pPr>
              <w:jc w:val="both"/>
              <w:rPr>
                <w:sz w:val="20"/>
              </w:rPr>
            </w:pPr>
            <w:r w:rsidRPr="00016113">
              <w:rPr>
                <w:sz w:val="20"/>
              </w:rPr>
              <w:t>January 24, 2020</w:t>
            </w:r>
          </w:p>
          <w:p w:rsidR="00F95A12" w:rsidRPr="00016113" w:rsidRDefault="00F95A12" w:rsidP="00F95A12">
            <w:pPr>
              <w:jc w:val="both"/>
              <w:rPr>
                <w:sz w:val="20"/>
              </w:rPr>
            </w:pPr>
            <w:r w:rsidRPr="00016113">
              <w:rPr>
                <w:sz w:val="20"/>
              </w:rPr>
              <w:t>Federal Court of Appeal</w:t>
            </w:r>
          </w:p>
          <w:p w:rsidR="00F95A12" w:rsidRPr="00016113" w:rsidRDefault="00F95A12" w:rsidP="00F95A12">
            <w:pPr>
              <w:jc w:val="both"/>
              <w:rPr>
                <w:sz w:val="20"/>
              </w:rPr>
            </w:pPr>
            <w:r w:rsidRPr="00016113">
              <w:rPr>
                <w:sz w:val="20"/>
              </w:rPr>
              <w:t>(Gauthier, de Montigny, and Laskin JJ.A.)</w:t>
            </w:r>
          </w:p>
          <w:p w:rsidR="00F95A12" w:rsidRPr="00016113" w:rsidRDefault="00F95A12" w:rsidP="00F95A12">
            <w:pPr>
              <w:jc w:val="both"/>
              <w:rPr>
                <w:sz w:val="20"/>
              </w:rPr>
            </w:pPr>
            <w:hyperlink r:id="rId52" w:history="1">
              <w:r w:rsidRPr="00016113">
                <w:rPr>
                  <w:rStyle w:val="Hyperlink"/>
                  <w:sz w:val="20"/>
                </w:rPr>
                <w:t>2020 FCA 22</w:t>
              </w:r>
            </w:hyperlink>
          </w:p>
          <w:p w:rsidR="00F95A12" w:rsidRPr="00016113" w:rsidRDefault="00F95A12" w:rsidP="00F95A12">
            <w:pPr>
              <w:jc w:val="both"/>
              <w:rPr>
                <w:sz w:val="20"/>
              </w:rPr>
            </w:pPr>
          </w:p>
        </w:tc>
        <w:tc>
          <w:tcPr>
            <w:tcW w:w="243" w:type="pct"/>
          </w:tcPr>
          <w:p w:rsidR="00F95A12" w:rsidRPr="00016113" w:rsidRDefault="00F95A12" w:rsidP="00F95A12">
            <w:pPr>
              <w:jc w:val="both"/>
              <w:rPr>
                <w:sz w:val="20"/>
              </w:rPr>
            </w:pPr>
          </w:p>
        </w:tc>
        <w:tc>
          <w:tcPr>
            <w:tcW w:w="2330" w:type="pct"/>
          </w:tcPr>
          <w:p w:rsidR="00F95A12" w:rsidRPr="00016113" w:rsidRDefault="00F95A12" w:rsidP="00F95A12">
            <w:pPr>
              <w:jc w:val="both"/>
              <w:rPr>
                <w:sz w:val="20"/>
              </w:rPr>
            </w:pPr>
          </w:p>
          <w:p w:rsidR="00F95A12" w:rsidRPr="00016113" w:rsidRDefault="00F95A12" w:rsidP="00F95A12">
            <w:pPr>
              <w:jc w:val="both"/>
              <w:rPr>
                <w:sz w:val="20"/>
              </w:rPr>
            </w:pPr>
            <w:r w:rsidRPr="00016113">
              <w:rPr>
                <w:sz w:val="20"/>
              </w:rPr>
              <w:t>Appeal dismissed.</w:t>
            </w:r>
          </w:p>
        </w:tc>
      </w:tr>
      <w:tr w:rsidR="00F95A12" w:rsidRPr="00016113" w:rsidTr="00F95A12">
        <w:tc>
          <w:tcPr>
            <w:tcW w:w="2427" w:type="pct"/>
            <w:gridSpan w:val="2"/>
          </w:tcPr>
          <w:p w:rsidR="00F95A12" w:rsidRPr="00016113" w:rsidRDefault="00F95A12" w:rsidP="00F95A12">
            <w:pPr>
              <w:jc w:val="both"/>
              <w:rPr>
                <w:sz w:val="20"/>
              </w:rPr>
            </w:pPr>
            <w:r w:rsidRPr="00016113">
              <w:rPr>
                <w:sz w:val="20"/>
              </w:rPr>
              <w:t>March 23, 2020</w:t>
            </w:r>
          </w:p>
          <w:p w:rsidR="00F95A12" w:rsidRPr="00016113" w:rsidRDefault="00F95A12" w:rsidP="00F95A12">
            <w:pPr>
              <w:jc w:val="both"/>
              <w:rPr>
                <w:sz w:val="20"/>
              </w:rPr>
            </w:pPr>
            <w:r w:rsidRPr="00016113">
              <w:rPr>
                <w:sz w:val="20"/>
              </w:rPr>
              <w:t>Supreme Court of Canada</w:t>
            </w:r>
          </w:p>
        </w:tc>
        <w:tc>
          <w:tcPr>
            <w:tcW w:w="243" w:type="pct"/>
          </w:tcPr>
          <w:p w:rsidR="00F95A12" w:rsidRPr="00016113" w:rsidRDefault="00F95A12" w:rsidP="00F95A12">
            <w:pPr>
              <w:jc w:val="both"/>
              <w:rPr>
                <w:sz w:val="20"/>
              </w:rPr>
            </w:pPr>
          </w:p>
        </w:tc>
        <w:tc>
          <w:tcPr>
            <w:tcW w:w="2330" w:type="pct"/>
          </w:tcPr>
          <w:p w:rsidR="00F95A12" w:rsidRPr="00016113" w:rsidRDefault="00F95A12" w:rsidP="00F95A12">
            <w:pPr>
              <w:jc w:val="both"/>
              <w:rPr>
                <w:sz w:val="20"/>
              </w:rPr>
            </w:pPr>
            <w:r w:rsidRPr="00016113">
              <w:rPr>
                <w:sz w:val="20"/>
              </w:rPr>
              <w:t>Application for leave to appeal filed</w:t>
            </w:r>
          </w:p>
          <w:p w:rsidR="00F95A12" w:rsidRPr="00016113" w:rsidRDefault="00F95A12" w:rsidP="00F95A12">
            <w:pPr>
              <w:jc w:val="both"/>
              <w:rPr>
                <w:sz w:val="20"/>
              </w:rPr>
            </w:pPr>
          </w:p>
        </w:tc>
      </w:tr>
    </w:tbl>
    <w:p w:rsidR="00F95A12" w:rsidRPr="00016113" w:rsidRDefault="00F95A12" w:rsidP="00F95A12">
      <w:pPr>
        <w:jc w:val="both"/>
        <w:rPr>
          <w:sz w:val="20"/>
        </w:rPr>
      </w:pPr>
    </w:p>
    <w:p w:rsidR="004F14BB" w:rsidRPr="00016113" w:rsidRDefault="004F14BB" w:rsidP="00F95A12">
      <w:pPr>
        <w:jc w:val="both"/>
        <w:rPr>
          <w:sz w:val="20"/>
        </w:rPr>
      </w:pPr>
      <w:r w:rsidRPr="00016113">
        <w:rPr>
          <w:sz w:val="20"/>
        </w:rPr>
        <w:pict>
          <v:rect id="_x0000_i1045" style="width:2in;height:1pt" o:hrpct="0" o:hralign="center" o:hrstd="t" o:hrnoshade="t" o:hr="t" fillcolor="black [3213]" stroked="f"/>
        </w:pict>
      </w:r>
    </w:p>
    <w:p w:rsidR="004F14BB" w:rsidRPr="00016113" w:rsidRDefault="004F14BB" w:rsidP="00F95A1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95A12" w:rsidRPr="00016113" w:rsidTr="00F95A12">
        <w:tc>
          <w:tcPr>
            <w:tcW w:w="543" w:type="pct"/>
          </w:tcPr>
          <w:p w:rsidR="00F95A12" w:rsidRPr="00016113" w:rsidRDefault="00F95A12" w:rsidP="00F95A12">
            <w:pPr>
              <w:jc w:val="both"/>
              <w:rPr>
                <w:sz w:val="20"/>
                <w:lang w:val="fr-CA"/>
              </w:rPr>
            </w:pPr>
            <w:r w:rsidRPr="00016113">
              <w:rPr>
                <w:rStyle w:val="SCCFileNumberChar"/>
                <w:sz w:val="20"/>
                <w:szCs w:val="20"/>
                <w:lang w:val="fr-CA"/>
              </w:rPr>
              <w:t>39095</w:t>
            </w:r>
          </w:p>
        </w:tc>
        <w:tc>
          <w:tcPr>
            <w:tcW w:w="4457" w:type="pct"/>
            <w:gridSpan w:val="3"/>
          </w:tcPr>
          <w:p w:rsidR="00F95A12" w:rsidRPr="00016113" w:rsidRDefault="00F95A12" w:rsidP="00F95A12">
            <w:pPr>
              <w:pStyle w:val="SCCLsocParty"/>
              <w:jc w:val="both"/>
              <w:rPr>
                <w:b/>
                <w:sz w:val="20"/>
                <w:szCs w:val="20"/>
              </w:rPr>
            </w:pPr>
            <w:r w:rsidRPr="00016113">
              <w:rPr>
                <w:b/>
                <w:sz w:val="20"/>
                <w:szCs w:val="20"/>
              </w:rPr>
              <w:t>Banque de Montréal c. Yanping (Kate) Li</w:t>
            </w:r>
          </w:p>
          <w:p w:rsidR="00F95A12" w:rsidRPr="00016113" w:rsidRDefault="00F95A12" w:rsidP="00F95A12">
            <w:pPr>
              <w:jc w:val="both"/>
              <w:rPr>
                <w:sz w:val="20"/>
                <w:lang w:val="fr-CA"/>
              </w:rPr>
            </w:pPr>
            <w:r w:rsidRPr="00016113">
              <w:rPr>
                <w:sz w:val="20"/>
                <w:lang w:val="fr-CA"/>
              </w:rPr>
              <w:t>(C</w:t>
            </w:r>
            <w:r w:rsidR="004F14BB" w:rsidRPr="00016113">
              <w:rPr>
                <w:sz w:val="20"/>
                <w:lang w:val="fr-CA"/>
              </w:rPr>
              <w:t>.</w:t>
            </w:r>
            <w:r w:rsidRPr="00016113">
              <w:rPr>
                <w:sz w:val="20"/>
                <w:lang w:val="fr-CA"/>
              </w:rPr>
              <w:t>F</w:t>
            </w:r>
            <w:r w:rsidR="004F14BB" w:rsidRPr="00016113">
              <w:rPr>
                <w:sz w:val="20"/>
                <w:lang w:val="fr-CA"/>
              </w:rPr>
              <w:t>.</w:t>
            </w:r>
            <w:r w:rsidRPr="00016113">
              <w:rPr>
                <w:sz w:val="20"/>
                <w:lang w:val="fr-CA"/>
              </w:rPr>
              <w:t>) (Civile) (Autorisation)</w:t>
            </w:r>
          </w:p>
        </w:tc>
      </w:tr>
      <w:tr w:rsidR="00F95A12" w:rsidRPr="00016113" w:rsidTr="00F95A12">
        <w:tc>
          <w:tcPr>
            <w:tcW w:w="5000" w:type="pct"/>
            <w:gridSpan w:val="4"/>
          </w:tcPr>
          <w:p w:rsidR="00F95A12" w:rsidRPr="00016113" w:rsidRDefault="00F95A12" w:rsidP="00F95A12">
            <w:pPr>
              <w:jc w:val="both"/>
              <w:rPr>
                <w:sz w:val="20"/>
                <w:lang w:val="fr-CA"/>
              </w:rPr>
            </w:pPr>
            <w:r w:rsidRPr="00016113">
              <w:rPr>
                <w:sz w:val="20"/>
                <w:lang w:val="fr-CA"/>
              </w:rPr>
              <w:t>Droit administratif — Contrôle judiciaire — Norme de contrôle — Droit de l’emploi — Congédiement injustifié — Compétence de l’arbitre — Des employés peuvent</w:t>
            </w:r>
            <w:r w:rsidRPr="00016113">
              <w:rPr>
                <w:sz w:val="20"/>
                <w:lang w:val="fr-CA"/>
              </w:rPr>
              <w:noBreakHyphen/>
              <w:t xml:space="preserve">ils renoncer rétrospectivement à des droits en matière de congédiement injuste sous le régime du </w:t>
            </w:r>
            <w:r w:rsidRPr="00016113">
              <w:rPr>
                <w:i/>
                <w:sz w:val="20"/>
                <w:lang w:val="fr-CA"/>
              </w:rPr>
              <w:t>Code canadien du travail</w:t>
            </w:r>
            <w:r w:rsidRPr="00016113">
              <w:rPr>
                <w:sz w:val="20"/>
                <w:lang w:val="fr-CA"/>
              </w:rPr>
              <w:t>, LRC 1985, ch. L</w:t>
            </w:r>
            <w:r w:rsidRPr="00016113">
              <w:rPr>
                <w:sz w:val="20"/>
                <w:lang w:val="fr-CA"/>
              </w:rPr>
              <w:noBreakHyphen/>
              <w:t>2? — La primauté du droit exige</w:t>
            </w:r>
            <w:r w:rsidRPr="00016113">
              <w:rPr>
                <w:sz w:val="20"/>
                <w:lang w:val="fr-CA"/>
              </w:rPr>
              <w:noBreakHyphen/>
              <w:t>t</w:t>
            </w:r>
            <w:r w:rsidRPr="00016113">
              <w:rPr>
                <w:sz w:val="20"/>
                <w:lang w:val="fr-CA"/>
              </w:rPr>
              <w:noBreakHyphen/>
              <w:t>elle un contrôle selon la norme de la décision correcte d’une décision administrative qui ne fait que suivre une décision judiciaire contestée?</w:t>
            </w:r>
          </w:p>
          <w:p w:rsidR="00F95A12" w:rsidRPr="00016113" w:rsidRDefault="00F95A12" w:rsidP="00F95A12">
            <w:pPr>
              <w:jc w:val="both"/>
              <w:rPr>
                <w:sz w:val="20"/>
                <w:lang w:val="fr-CA"/>
              </w:rPr>
            </w:pPr>
          </w:p>
        </w:tc>
      </w:tr>
      <w:tr w:rsidR="00F95A12" w:rsidRPr="00016113" w:rsidTr="00F95A12">
        <w:tc>
          <w:tcPr>
            <w:tcW w:w="5000" w:type="pct"/>
            <w:gridSpan w:val="4"/>
          </w:tcPr>
          <w:p w:rsidR="00F95A12" w:rsidRPr="00016113" w:rsidRDefault="00F95A12" w:rsidP="00F95A12">
            <w:pPr>
              <w:jc w:val="both"/>
              <w:rPr>
                <w:sz w:val="20"/>
                <w:lang w:val="fr-CA"/>
              </w:rPr>
            </w:pPr>
            <w:r w:rsidRPr="00016113">
              <w:rPr>
                <w:sz w:val="20"/>
                <w:lang w:val="fr-CA"/>
              </w:rPr>
              <w:t>Yanping (Kate) Li a commencé à travailler pour la Banque de Montréal (BMO) en mai 2011. Le 29 mars 2017, la BMO a congédié M</w:t>
            </w:r>
            <w:r w:rsidRPr="00016113">
              <w:rPr>
                <w:sz w:val="20"/>
                <w:vertAlign w:val="superscript"/>
                <w:lang w:val="fr-CA"/>
              </w:rPr>
              <w:t>me</w:t>
            </w:r>
            <w:r w:rsidRPr="00016113">
              <w:rPr>
                <w:sz w:val="20"/>
                <w:lang w:val="fr-CA"/>
              </w:rPr>
              <w:t> Li. Le même jour, la BMO a fourni à M</w:t>
            </w:r>
            <w:r w:rsidRPr="00016113">
              <w:rPr>
                <w:sz w:val="20"/>
                <w:vertAlign w:val="superscript"/>
                <w:lang w:val="fr-CA"/>
              </w:rPr>
              <w:t>me</w:t>
            </w:r>
            <w:r w:rsidRPr="00016113">
              <w:rPr>
                <w:sz w:val="20"/>
                <w:lang w:val="fr-CA"/>
              </w:rPr>
              <w:t> Li un ensemble de documents qui contenaient des renseignements sur deux options d’indemnités de départ différentes, l’une prévoyant le maintien du salaire et des avantages sociaux, et l’autre prévoyant un paiement forfaitaire ainsi que d’autres services de soutien à la transition. Le 18 avril 2017, la BMO a confirmé par courriel que M</w:t>
            </w:r>
            <w:r w:rsidRPr="00016113">
              <w:rPr>
                <w:sz w:val="20"/>
                <w:vertAlign w:val="superscript"/>
                <w:lang w:val="fr-CA"/>
              </w:rPr>
              <w:t>me</w:t>
            </w:r>
            <w:r w:rsidRPr="00016113">
              <w:rPr>
                <w:sz w:val="20"/>
                <w:lang w:val="fr-CA"/>
              </w:rPr>
              <w:t> Li avait choisi le paiement forfaitaire et lui a fait parvenir l’entente et la renonciation pour qu’elle les signe, ce qu’elle a fait. BMO a alors versé à M</w:t>
            </w:r>
            <w:r w:rsidRPr="00016113">
              <w:rPr>
                <w:sz w:val="20"/>
                <w:vertAlign w:val="superscript"/>
                <w:lang w:val="fr-CA"/>
              </w:rPr>
              <w:t>me</w:t>
            </w:r>
            <w:r w:rsidRPr="00016113">
              <w:rPr>
                <w:sz w:val="20"/>
                <w:lang w:val="fr-CA"/>
              </w:rPr>
              <w:t> Li la somme indiquée dans l’entente. Le 22 mai 2017, M</w:t>
            </w:r>
            <w:r w:rsidRPr="00016113">
              <w:rPr>
                <w:sz w:val="20"/>
                <w:vertAlign w:val="superscript"/>
                <w:lang w:val="fr-CA"/>
              </w:rPr>
              <w:t>me</w:t>
            </w:r>
            <w:r w:rsidRPr="00016113">
              <w:rPr>
                <w:sz w:val="20"/>
                <w:lang w:val="fr-CA"/>
              </w:rPr>
              <w:t xml:space="preserve"> Li a déposé auprès du ministre du Travail une plainte pour congédiement injuste sous le régime du </w:t>
            </w:r>
            <w:r w:rsidRPr="00016113">
              <w:rPr>
                <w:i/>
                <w:sz w:val="20"/>
                <w:lang w:val="fr-CA"/>
              </w:rPr>
              <w:t>Code canadien du travail</w:t>
            </w:r>
            <w:r w:rsidRPr="00016113">
              <w:rPr>
                <w:sz w:val="20"/>
                <w:lang w:val="fr-CA"/>
              </w:rPr>
              <w:t>, LRC 1985, ch. L</w:t>
            </w:r>
            <w:r w:rsidRPr="00016113">
              <w:rPr>
                <w:sz w:val="20"/>
                <w:lang w:val="fr-CA"/>
              </w:rPr>
              <w:noBreakHyphen/>
              <w:t>2, contrairement à sa renonciation. Une arbitre a été nommée pour entendre la plainte. À titre préliminaire, la BMO a soulevé la question de la compétence de l’arbitre, vu que M</w:t>
            </w:r>
            <w:r w:rsidRPr="00016113">
              <w:rPr>
                <w:sz w:val="20"/>
                <w:vertAlign w:val="superscript"/>
                <w:lang w:val="fr-CA"/>
              </w:rPr>
              <w:t>me</w:t>
            </w:r>
            <w:r w:rsidRPr="00016113">
              <w:rPr>
                <w:sz w:val="20"/>
                <w:lang w:val="fr-CA"/>
              </w:rPr>
              <w:t xml:space="preserve"> Li avait déjà signé une renonciation. Le 20 avril 2018, l’arbitre a statué qu’elle avait compétence pour entendre la plainte. La BMO a présenté une demande de contrôle judiciaire de cette décision en Cour fédérale. La Cour fédérale, s’appuyant sur </w:t>
            </w:r>
            <w:r w:rsidRPr="00016113">
              <w:rPr>
                <w:i/>
                <w:sz w:val="20"/>
                <w:lang w:val="fr-CA"/>
              </w:rPr>
              <w:t>Banque nationale du Canada c Canada (Ministre du Travail)</w:t>
            </w:r>
            <w:r w:rsidRPr="00016113">
              <w:rPr>
                <w:sz w:val="20"/>
                <w:lang w:val="fr-CA"/>
              </w:rPr>
              <w:t>, [1997] 3 CF 727, a conclu que la décision préliminaire de l’arbitre était raisonnable et a rejeté la demande de contrôle judiciaire. Un appel subséquent à la Cour d’appel fédérale a également été rejeté.</w:t>
            </w:r>
          </w:p>
        </w:tc>
      </w:tr>
      <w:tr w:rsidR="00F95A12" w:rsidRPr="00016113" w:rsidTr="00F95A12">
        <w:tc>
          <w:tcPr>
            <w:tcW w:w="5000" w:type="pct"/>
            <w:gridSpan w:val="4"/>
          </w:tcPr>
          <w:p w:rsidR="00F95A12" w:rsidRPr="00016113" w:rsidRDefault="00F95A12" w:rsidP="00F95A12">
            <w:pPr>
              <w:jc w:val="both"/>
              <w:rPr>
                <w:sz w:val="20"/>
                <w:lang w:val="fr-CA"/>
              </w:rPr>
            </w:pPr>
          </w:p>
        </w:tc>
      </w:tr>
      <w:tr w:rsidR="00F95A12" w:rsidRPr="00016113" w:rsidTr="00F95A12">
        <w:tc>
          <w:tcPr>
            <w:tcW w:w="2427" w:type="pct"/>
            <w:gridSpan w:val="2"/>
          </w:tcPr>
          <w:p w:rsidR="00F95A12" w:rsidRPr="00016113" w:rsidRDefault="00F95A12" w:rsidP="00F95A12">
            <w:pPr>
              <w:jc w:val="both"/>
              <w:rPr>
                <w:sz w:val="20"/>
                <w:lang w:val="fr-CA"/>
              </w:rPr>
            </w:pPr>
            <w:r w:rsidRPr="00016113">
              <w:rPr>
                <w:sz w:val="20"/>
                <w:lang w:val="fr-CA"/>
              </w:rPr>
              <w:t>21 décembre 2018</w:t>
            </w:r>
          </w:p>
          <w:p w:rsidR="00F95A12" w:rsidRPr="00016113" w:rsidRDefault="00F95A12" w:rsidP="00F95A12">
            <w:pPr>
              <w:jc w:val="both"/>
              <w:rPr>
                <w:sz w:val="20"/>
                <w:lang w:val="fr-CA"/>
              </w:rPr>
            </w:pPr>
            <w:r w:rsidRPr="00016113">
              <w:rPr>
                <w:sz w:val="20"/>
                <w:lang w:val="fr-CA"/>
              </w:rPr>
              <w:t>Cour fédérale</w:t>
            </w:r>
          </w:p>
          <w:p w:rsidR="00F95A12" w:rsidRPr="00016113" w:rsidRDefault="00F95A12" w:rsidP="00F95A12">
            <w:pPr>
              <w:jc w:val="both"/>
              <w:rPr>
                <w:sz w:val="20"/>
                <w:lang w:val="fr-CA"/>
              </w:rPr>
            </w:pPr>
            <w:r w:rsidRPr="00016113">
              <w:rPr>
                <w:sz w:val="20"/>
                <w:lang w:val="fr-CA"/>
              </w:rPr>
              <w:t>(Juge Fothergill)</w:t>
            </w:r>
          </w:p>
          <w:p w:rsidR="00F95A12" w:rsidRPr="00016113" w:rsidRDefault="00F95A12" w:rsidP="00F95A12">
            <w:pPr>
              <w:jc w:val="both"/>
              <w:rPr>
                <w:sz w:val="20"/>
                <w:lang w:val="fr-CA"/>
              </w:rPr>
            </w:pPr>
            <w:hyperlink r:id="rId53" w:history="1">
              <w:r w:rsidRPr="00016113">
                <w:rPr>
                  <w:rStyle w:val="Hyperlink"/>
                  <w:sz w:val="20"/>
                  <w:lang w:val="fr-CA"/>
                </w:rPr>
                <w:t>2018 CF 1298</w:t>
              </w:r>
            </w:hyperlink>
          </w:p>
          <w:p w:rsidR="00F95A12" w:rsidRPr="00016113" w:rsidRDefault="00F95A12" w:rsidP="00F95A12">
            <w:pPr>
              <w:jc w:val="both"/>
              <w:rPr>
                <w:sz w:val="20"/>
                <w:lang w:val="fr-CA"/>
              </w:rPr>
            </w:pPr>
          </w:p>
        </w:tc>
        <w:tc>
          <w:tcPr>
            <w:tcW w:w="243" w:type="pct"/>
          </w:tcPr>
          <w:p w:rsidR="00F95A12" w:rsidRPr="00016113" w:rsidRDefault="00F95A12" w:rsidP="00F95A12">
            <w:pPr>
              <w:jc w:val="both"/>
              <w:rPr>
                <w:sz w:val="20"/>
                <w:lang w:val="fr-CA"/>
              </w:rPr>
            </w:pPr>
          </w:p>
        </w:tc>
        <w:tc>
          <w:tcPr>
            <w:tcW w:w="2330" w:type="pct"/>
          </w:tcPr>
          <w:p w:rsidR="00F95A12" w:rsidRPr="00016113" w:rsidRDefault="00F95A12" w:rsidP="00F95A12">
            <w:pPr>
              <w:jc w:val="both"/>
              <w:rPr>
                <w:sz w:val="20"/>
                <w:lang w:val="fr-CA"/>
              </w:rPr>
            </w:pPr>
            <w:r w:rsidRPr="00016113">
              <w:rPr>
                <w:sz w:val="20"/>
                <w:lang w:val="fr-CA"/>
              </w:rPr>
              <w:t>Jugement rejetant demande de contrôle judiciaire de la contestation de la compétence et autorisant la poursuite des plaintes de M</w:t>
            </w:r>
            <w:r w:rsidRPr="00016113">
              <w:rPr>
                <w:sz w:val="20"/>
                <w:vertAlign w:val="superscript"/>
                <w:lang w:val="fr-CA"/>
              </w:rPr>
              <w:t>me</w:t>
            </w:r>
            <w:r w:rsidRPr="00016113">
              <w:rPr>
                <w:sz w:val="20"/>
                <w:lang w:val="fr-CA"/>
              </w:rPr>
              <w:t xml:space="preserve"> Li pour congédiement injuste.</w:t>
            </w:r>
          </w:p>
          <w:p w:rsidR="00F95A12" w:rsidRPr="00016113" w:rsidRDefault="00F95A12" w:rsidP="00F95A12">
            <w:pPr>
              <w:jc w:val="both"/>
              <w:rPr>
                <w:sz w:val="20"/>
                <w:lang w:val="fr-CA"/>
              </w:rPr>
            </w:pPr>
          </w:p>
        </w:tc>
      </w:tr>
      <w:tr w:rsidR="00F95A12" w:rsidRPr="00016113" w:rsidTr="00F95A12">
        <w:tc>
          <w:tcPr>
            <w:tcW w:w="2427" w:type="pct"/>
            <w:gridSpan w:val="2"/>
          </w:tcPr>
          <w:p w:rsidR="00F95A12" w:rsidRPr="00016113" w:rsidRDefault="00F95A12" w:rsidP="00F95A12">
            <w:pPr>
              <w:jc w:val="both"/>
              <w:rPr>
                <w:sz w:val="20"/>
                <w:lang w:val="fr-CA"/>
              </w:rPr>
            </w:pPr>
            <w:r w:rsidRPr="00016113">
              <w:rPr>
                <w:sz w:val="20"/>
                <w:lang w:val="fr-CA"/>
              </w:rPr>
              <w:t>24 janvier 2020</w:t>
            </w:r>
          </w:p>
          <w:p w:rsidR="00F95A12" w:rsidRPr="00016113" w:rsidRDefault="00F95A12" w:rsidP="00F95A12">
            <w:pPr>
              <w:jc w:val="both"/>
              <w:rPr>
                <w:sz w:val="20"/>
                <w:lang w:val="fr-CA"/>
              </w:rPr>
            </w:pPr>
            <w:r w:rsidRPr="00016113">
              <w:rPr>
                <w:sz w:val="20"/>
                <w:lang w:val="fr-CA"/>
              </w:rPr>
              <w:t>Cour d’appel fédérale</w:t>
            </w:r>
          </w:p>
          <w:p w:rsidR="00F95A12" w:rsidRPr="00016113" w:rsidRDefault="00F95A12" w:rsidP="00F95A12">
            <w:pPr>
              <w:jc w:val="both"/>
              <w:rPr>
                <w:sz w:val="20"/>
                <w:lang w:val="fr-CA"/>
              </w:rPr>
            </w:pPr>
            <w:r w:rsidRPr="00016113">
              <w:rPr>
                <w:sz w:val="20"/>
                <w:lang w:val="fr-CA"/>
              </w:rPr>
              <w:t>(Juges Gauthier, de Montigny et Laskin)</w:t>
            </w:r>
          </w:p>
          <w:p w:rsidR="00F95A12" w:rsidRPr="00016113" w:rsidRDefault="00F95A12" w:rsidP="00F95A12">
            <w:pPr>
              <w:jc w:val="both"/>
              <w:rPr>
                <w:sz w:val="20"/>
                <w:lang w:val="fr-CA"/>
              </w:rPr>
            </w:pPr>
            <w:hyperlink r:id="rId54" w:history="1">
              <w:r w:rsidRPr="00016113">
                <w:rPr>
                  <w:rStyle w:val="Hyperlink"/>
                  <w:sz w:val="20"/>
                  <w:lang w:val="fr-CA"/>
                </w:rPr>
                <w:t>2020 CAF 22</w:t>
              </w:r>
            </w:hyperlink>
          </w:p>
          <w:p w:rsidR="00F95A12" w:rsidRPr="00016113" w:rsidRDefault="00F95A12" w:rsidP="00F95A12">
            <w:pPr>
              <w:jc w:val="both"/>
              <w:rPr>
                <w:sz w:val="20"/>
                <w:lang w:val="fr-CA"/>
              </w:rPr>
            </w:pPr>
          </w:p>
        </w:tc>
        <w:tc>
          <w:tcPr>
            <w:tcW w:w="243" w:type="pct"/>
          </w:tcPr>
          <w:p w:rsidR="00F95A12" w:rsidRPr="00016113" w:rsidRDefault="00F95A12" w:rsidP="00F95A12">
            <w:pPr>
              <w:jc w:val="both"/>
              <w:rPr>
                <w:sz w:val="20"/>
                <w:lang w:val="fr-CA"/>
              </w:rPr>
            </w:pPr>
          </w:p>
        </w:tc>
        <w:tc>
          <w:tcPr>
            <w:tcW w:w="2330" w:type="pct"/>
          </w:tcPr>
          <w:p w:rsidR="00F95A12" w:rsidRPr="00016113" w:rsidRDefault="00F95A12" w:rsidP="00F95A12">
            <w:pPr>
              <w:jc w:val="both"/>
              <w:rPr>
                <w:sz w:val="20"/>
                <w:lang w:val="fr-CA"/>
              </w:rPr>
            </w:pPr>
          </w:p>
          <w:p w:rsidR="00F95A12" w:rsidRPr="00016113" w:rsidRDefault="00F95A12" w:rsidP="00F95A12">
            <w:pPr>
              <w:jc w:val="both"/>
              <w:rPr>
                <w:sz w:val="20"/>
                <w:lang w:val="fr-CA"/>
              </w:rPr>
            </w:pPr>
            <w:r w:rsidRPr="00016113">
              <w:rPr>
                <w:sz w:val="20"/>
                <w:lang w:val="fr-CA"/>
              </w:rPr>
              <w:t>Rejet de l’appel.</w:t>
            </w:r>
          </w:p>
        </w:tc>
      </w:tr>
      <w:tr w:rsidR="00F95A12" w:rsidRPr="00016113" w:rsidTr="00F95A12">
        <w:tc>
          <w:tcPr>
            <w:tcW w:w="2427" w:type="pct"/>
            <w:gridSpan w:val="2"/>
          </w:tcPr>
          <w:p w:rsidR="00F95A12" w:rsidRPr="00016113" w:rsidRDefault="00F95A12" w:rsidP="00F95A12">
            <w:pPr>
              <w:jc w:val="both"/>
              <w:rPr>
                <w:sz w:val="20"/>
                <w:lang w:val="fr-CA"/>
              </w:rPr>
            </w:pPr>
            <w:r w:rsidRPr="00016113">
              <w:rPr>
                <w:sz w:val="20"/>
                <w:lang w:val="fr-CA"/>
              </w:rPr>
              <w:t>23 mars 2020</w:t>
            </w:r>
          </w:p>
          <w:p w:rsidR="00F95A12" w:rsidRPr="00016113" w:rsidRDefault="00F95A12" w:rsidP="00F95A12">
            <w:pPr>
              <w:jc w:val="both"/>
              <w:rPr>
                <w:sz w:val="20"/>
                <w:lang w:val="fr-CA"/>
              </w:rPr>
            </w:pPr>
            <w:r w:rsidRPr="00016113">
              <w:rPr>
                <w:sz w:val="20"/>
                <w:lang w:val="fr-CA"/>
              </w:rPr>
              <w:t>Cour suprême du Canada</w:t>
            </w:r>
          </w:p>
        </w:tc>
        <w:tc>
          <w:tcPr>
            <w:tcW w:w="243" w:type="pct"/>
          </w:tcPr>
          <w:p w:rsidR="00F95A12" w:rsidRPr="00016113" w:rsidRDefault="00F95A12" w:rsidP="00F95A12">
            <w:pPr>
              <w:jc w:val="both"/>
              <w:rPr>
                <w:sz w:val="20"/>
                <w:lang w:val="fr-CA"/>
              </w:rPr>
            </w:pPr>
          </w:p>
        </w:tc>
        <w:tc>
          <w:tcPr>
            <w:tcW w:w="2330" w:type="pct"/>
          </w:tcPr>
          <w:p w:rsidR="00F95A12" w:rsidRPr="00016113" w:rsidRDefault="00F95A12" w:rsidP="00F95A12">
            <w:pPr>
              <w:jc w:val="both"/>
              <w:rPr>
                <w:sz w:val="20"/>
                <w:lang w:val="fr-CA"/>
              </w:rPr>
            </w:pPr>
            <w:r w:rsidRPr="00016113">
              <w:rPr>
                <w:sz w:val="20"/>
                <w:lang w:val="fr-CA"/>
              </w:rPr>
              <w:t>Dépôt de la demande d’autorisation d’appel</w:t>
            </w:r>
          </w:p>
          <w:p w:rsidR="00F95A12" w:rsidRPr="00016113" w:rsidRDefault="00F95A12" w:rsidP="00F95A12">
            <w:pPr>
              <w:jc w:val="both"/>
              <w:rPr>
                <w:sz w:val="20"/>
                <w:lang w:val="fr-CA"/>
              </w:rPr>
            </w:pPr>
          </w:p>
        </w:tc>
      </w:tr>
    </w:tbl>
    <w:p w:rsidR="00F95A12" w:rsidRPr="00016113" w:rsidRDefault="00F95A12" w:rsidP="00F95A12">
      <w:pPr>
        <w:jc w:val="both"/>
        <w:rPr>
          <w:sz w:val="20"/>
          <w:lang w:val="fr-CA"/>
        </w:rPr>
      </w:pPr>
    </w:p>
    <w:p w:rsidR="004F14BB" w:rsidRPr="00016113" w:rsidRDefault="004F14BB" w:rsidP="00F95A12">
      <w:pPr>
        <w:jc w:val="both"/>
        <w:rPr>
          <w:sz w:val="20"/>
          <w:lang w:val="fr-CA"/>
        </w:rPr>
      </w:pPr>
      <w:r w:rsidRPr="00016113">
        <w:rPr>
          <w:sz w:val="20"/>
        </w:rPr>
        <w:pict>
          <v:rect id="_x0000_i1046" style="width:2in;height:1pt" o:hrpct="0" o:hralign="center" o:hrstd="t" o:hrnoshade="t" o:hr="t" fillcolor="black [3213]" stroked="f"/>
        </w:pict>
      </w:r>
    </w:p>
    <w:p w:rsidR="00F95A12" w:rsidRPr="00016113" w:rsidRDefault="00F95A12" w:rsidP="00F95A12">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95A12" w:rsidRPr="00016113" w:rsidTr="00F95A12">
        <w:tc>
          <w:tcPr>
            <w:tcW w:w="543" w:type="pct"/>
          </w:tcPr>
          <w:p w:rsidR="00F95A12" w:rsidRPr="00016113" w:rsidRDefault="00F95A12" w:rsidP="00F95A12">
            <w:pPr>
              <w:jc w:val="both"/>
              <w:rPr>
                <w:sz w:val="20"/>
              </w:rPr>
            </w:pPr>
            <w:r w:rsidRPr="00016113">
              <w:rPr>
                <w:rStyle w:val="SCCFileNumberChar"/>
                <w:sz w:val="20"/>
                <w:szCs w:val="20"/>
              </w:rPr>
              <w:t>39093</w:t>
            </w:r>
          </w:p>
        </w:tc>
        <w:tc>
          <w:tcPr>
            <w:tcW w:w="4457" w:type="pct"/>
            <w:gridSpan w:val="3"/>
          </w:tcPr>
          <w:p w:rsidR="00F95A12" w:rsidRPr="00016113" w:rsidRDefault="00F95A12" w:rsidP="00F95A12">
            <w:pPr>
              <w:pStyle w:val="SCCLsocParty"/>
              <w:jc w:val="both"/>
              <w:rPr>
                <w:b/>
                <w:sz w:val="20"/>
                <w:szCs w:val="20"/>
                <w:lang w:val="en-US"/>
              </w:rPr>
            </w:pPr>
            <w:r w:rsidRPr="00016113">
              <w:rPr>
                <w:b/>
                <w:sz w:val="20"/>
                <w:szCs w:val="20"/>
                <w:lang w:val="en-US"/>
              </w:rPr>
              <w:t>Geophysical Service Incorporated v. Falkland Oil and Gas Limited, Rockhopper Exploration PLC</w:t>
            </w:r>
          </w:p>
          <w:p w:rsidR="00F95A12" w:rsidRPr="00016113" w:rsidRDefault="00F95A12" w:rsidP="00F95A12">
            <w:pPr>
              <w:jc w:val="both"/>
              <w:rPr>
                <w:sz w:val="20"/>
              </w:rPr>
            </w:pPr>
            <w:r w:rsidRPr="00016113">
              <w:rPr>
                <w:sz w:val="20"/>
              </w:rPr>
              <w:t>(Alta.) (Civil) (By Leave)</w:t>
            </w:r>
          </w:p>
        </w:tc>
      </w:tr>
      <w:tr w:rsidR="00F95A12" w:rsidRPr="00016113" w:rsidTr="00F95A12">
        <w:tc>
          <w:tcPr>
            <w:tcW w:w="5000" w:type="pct"/>
            <w:gridSpan w:val="4"/>
          </w:tcPr>
          <w:p w:rsidR="00F95A12" w:rsidRPr="00016113" w:rsidRDefault="00F95A12" w:rsidP="00F95A12">
            <w:pPr>
              <w:jc w:val="both"/>
              <w:rPr>
                <w:sz w:val="20"/>
              </w:rPr>
            </w:pPr>
            <w:r w:rsidRPr="00016113">
              <w:rPr>
                <w:sz w:val="20"/>
              </w:rPr>
              <w:t>Judgments and Orders — Summary judgments — Reasonable apprehension of bias — Contracts — Contractual interference — Intellectual property — Copyright — How must the test for reasonable apprehension of bias be revised to reflect the “culture shift” in the civil justice system?</w:t>
            </w:r>
          </w:p>
          <w:p w:rsidR="00F95A12" w:rsidRPr="00016113" w:rsidRDefault="00F95A12" w:rsidP="00F95A12">
            <w:pPr>
              <w:jc w:val="both"/>
              <w:rPr>
                <w:sz w:val="20"/>
              </w:rPr>
            </w:pPr>
          </w:p>
        </w:tc>
      </w:tr>
      <w:tr w:rsidR="00F95A12" w:rsidRPr="00016113" w:rsidTr="00F95A12">
        <w:tc>
          <w:tcPr>
            <w:tcW w:w="5000" w:type="pct"/>
            <w:gridSpan w:val="4"/>
          </w:tcPr>
          <w:p w:rsidR="00F95A12" w:rsidRPr="00016113" w:rsidRDefault="00F95A12" w:rsidP="00F95A12">
            <w:pPr>
              <w:pStyle w:val="felskynumbering12"/>
              <w:jc w:val="both"/>
              <w:rPr>
                <w:sz w:val="20"/>
                <w:szCs w:val="20"/>
                <w:lang w:val="en"/>
              </w:rPr>
            </w:pPr>
            <w:r w:rsidRPr="00016113">
              <w:rPr>
                <w:sz w:val="20"/>
                <w:szCs w:val="20"/>
                <w:lang w:val="en"/>
              </w:rPr>
              <w:t>Geophysical Service Incorporated (GSI) is a seismic data service company. On January 18, 2016, GSI sued Falkland Oil and Gas Limited (FOGL) and Rockhopper Exploration for improper use and disclosure of seismic data created by GSI near the Falkland Islands, in violation of the terms of license agreements entered into between the parties in 2004 and 2005. GSI also claims that Rockhopper was liable to pay a license fee to GSI when Rockhopper acquired 100% of FOGL’s shares in 2016. FOGL and Rockhopper applied for summary dismissal of GSI’s claim in its entirety, which was granted by a chambers judge. GSI’s appeal of that summary dismissal was dismissed.</w:t>
            </w:r>
          </w:p>
        </w:tc>
      </w:tr>
      <w:tr w:rsidR="00F95A12" w:rsidRPr="00016113" w:rsidTr="00F95A12">
        <w:tc>
          <w:tcPr>
            <w:tcW w:w="5000" w:type="pct"/>
            <w:gridSpan w:val="4"/>
          </w:tcPr>
          <w:p w:rsidR="00F95A12" w:rsidRPr="00016113" w:rsidRDefault="00F95A12" w:rsidP="00F95A12">
            <w:pPr>
              <w:jc w:val="both"/>
              <w:rPr>
                <w:sz w:val="20"/>
              </w:rPr>
            </w:pPr>
          </w:p>
        </w:tc>
      </w:tr>
      <w:tr w:rsidR="00F95A12" w:rsidRPr="00016113" w:rsidTr="00F95A12">
        <w:tc>
          <w:tcPr>
            <w:tcW w:w="2427" w:type="pct"/>
            <w:gridSpan w:val="2"/>
          </w:tcPr>
          <w:p w:rsidR="00F95A12" w:rsidRPr="00016113" w:rsidRDefault="00F95A12" w:rsidP="00F95A12">
            <w:pPr>
              <w:jc w:val="both"/>
              <w:rPr>
                <w:sz w:val="20"/>
              </w:rPr>
            </w:pPr>
            <w:r w:rsidRPr="00016113">
              <w:rPr>
                <w:sz w:val="20"/>
              </w:rPr>
              <w:t>March 7, 2019</w:t>
            </w:r>
          </w:p>
          <w:p w:rsidR="00F95A12" w:rsidRPr="00016113" w:rsidRDefault="00F95A12" w:rsidP="00F95A12">
            <w:pPr>
              <w:jc w:val="both"/>
              <w:rPr>
                <w:sz w:val="20"/>
              </w:rPr>
            </w:pPr>
            <w:r w:rsidRPr="00016113">
              <w:rPr>
                <w:sz w:val="20"/>
              </w:rPr>
              <w:t>Court of Queen’s Bench of Alberta</w:t>
            </w:r>
          </w:p>
          <w:p w:rsidR="00F95A12" w:rsidRPr="00016113" w:rsidRDefault="00F95A12" w:rsidP="00F95A12">
            <w:pPr>
              <w:jc w:val="both"/>
              <w:rPr>
                <w:sz w:val="20"/>
              </w:rPr>
            </w:pPr>
            <w:r w:rsidRPr="00016113">
              <w:rPr>
                <w:sz w:val="20"/>
              </w:rPr>
              <w:t>(Woolley J.)</w:t>
            </w:r>
          </w:p>
          <w:p w:rsidR="00F95A12" w:rsidRPr="00016113" w:rsidRDefault="00F95A12" w:rsidP="00F95A12">
            <w:pPr>
              <w:jc w:val="both"/>
              <w:rPr>
                <w:sz w:val="20"/>
              </w:rPr>
            </w:pPr>
            <w:hyperlink r:id="rId55" w:history="1">
              <w:r w:rsidRPr="00016113">
                <w:rPr>
                  <w:rStyle w:val="Hyperlink"/>
                  <w:sz w:val="20"/>
                </w:rPr>
                <w:t>2019 ABQB 162</w:t>
              </w:r>
            </w:hyperlink>
          </w:p>
          <w:p w:rsidR="00F95A12" w:rsidRPr="00016113" w:rsidRDefault="00F95A12" w:rsidP="00F95A12">
            <w:pPr>
              <w:jc w:val="both"/>
              <w:rPr>
                <w:sz w:val="20"/>
              </w:rPr>
            </w:pPr>
          </w:p>
        </w:tc>
        <w:tc>
          <w:tcPr>
            <w:tcW w:w="243" w:type="pct"/>
          </w:tcPr>
          <w:p w:rsidR="00F95A12" w:rsidRPr="00016113" w:rsidRDefault="00F95A12" w:rsidP="00F95A12">
            <w:pPr>
              <w:jc w:val="both"/>
              <w:rPr>
                <w:sz w:val="20"/>
              </w:rPr>
            </w:pPr>
          </w:p>
        </w:tc>
        <w:tc>
          <w:tcPr>
            <w:tcW w:w="2330" w:type="pct"/>
          </w:tcPr>
          <w:p w:rsidR="00F95A12" w:rsidRPr="00016113" w:rsidRDefault="00F95A12" w:rsidP="00F95A12">
            <w:pPr>
              <w:jc w:val="both"/>
              <w:rPr>
                <w:sz w:val="20"/>
              </w:rPr>
            </w:pPr>
            <w:r w:rsidRPr="00016113">
              <w:rPr>
                <w:sz w:val="20"/>
              </w:rPr>
              <w:t>Application for summary dismissal of action granted.</w:t>
            </w:r>
          </w:p>
          <w:p w:rsidR="00F95A12" w:rsidRPr="00016113" w:rsidRDefault="00F95A12" w:rsidP="00F95A12">
            <w:pPr>
              <w:jc w:val="both"/>
              <w:rPr>
                <w:sz w:val="20"/>
              </w:rPr>
            </w:pPr>
          </w:p>
        </w:tc>
      </w:tr>
      <w:tr w:rsidR="00F95A12" w:rsidRPr="00016113" w:rsidTr="00F95A12">
        <w:tc>
          <w:tcPr>
            <w:tcW w:w="2427" w:type="pct"/>
            <w:gridSpan w:val="2"/>
          </w:tcPr>
          <w:p w:rsidR="00F95A12" w:rsidRPr="00016113" w:rsidRDefault="00F95A12" w:rsidP="00F95A12">
            <w:pPr>
              <w:jc w:val="both"/>
              <w:rPr>
                <w:sz w:val="20"/>
              </w:rPr>
            </w:pPr>
            <w:r w:rsidRPr="00016113">
              <w:rPr>
                <w:sz w:val="20"/>
              </w:rPr>
              <w:t>January 20, 2020</w:t>
            </w:r>
          </w:p>
          <w:p w:rsidR="00F95A12" w:rsidRPr="00016113" w:rsidRDefault="00F95A12" w:rsidP="00F95A12">
            <w:pPr>
              <w:jc w:val="both"/>
              <w:rPr>
                <w:sz w:val="20"/>
              </w:rPr>
            </w:pPr>
            <w:r w:rsidRPr="00016113">
              <w:rPr>
                <w:sz w:val="20"/>
              </w:rPr>
              <w:t>Court of Appeal of Alberta (Calgary)</w:t>
            </w:r>
          </w:p>
          <w:p w:rsidR="00F95A12" w:rsidRPr="00016113" w:rsidRDefault="00F95A12" w:rsidP="00F95A12">
            <w:pPr>
              <w:jc w:val="both"/>
              <w:rPr>
                <w:sz w:val="20"/>
              </w:rPr>
            </w:pPr>
            <w:r w:rsidRPr="00016113">
              <w:rPr>
                <w:sz w:val="20"/>
              </w:rPr>
              <w:t>(Paperny, Slatter and Antonio JJ.A.)</w:t>
            </w:r>
          </w:p>
          <w:p w:rsidR="00F95A12" w:rsidRPr="00016113" w:rsidRDefault="00F95A12" w:rsidP="00F95A12">
            <w:pPr>
              <w:jc w:val="both"/>
              <w:rPr>
                <w:sz w:val="20"/>
              </w:rPr>
            </w:pPr>
            <w:hyperlink r:id="rId56" w:history="1">
              <w:r w:rsidRPr="00016113">
                <w:rPr>
                  <w:rStyle w:val="Hyperlink"/>
                  <w:sz w:val="20"/>
                </w:rPr>
                <w:t>2020 ABCA 21</w:t>
              </w:r>
            </w:hyperlink>
          </w:p>
          <w:p w:rsidR="00F95A12" w:rsidRPr="00016113" w:rsidRDefault="00F95A12" w:rsidP="00F95A12">
            <w:pPr>
              <w:jc w:val="both"/>
              <w:rPr>
                <w:sz w:val="20"/>
              </w:rPr>
            </w:pPr>
          </w:p>
        </w:tc>
        <w:tc>
          <w:tcPr>
            <w:tcW w:w="243" w:type="pct"/>
          </w:tcPr>
          <w:p w:rsidR="00F95A12" w:rsidRPr="00016113" w:rsidRDefault="00F95A12" w:rsidP="00F95A12">
            <w:pPr>
              <w:jc w:val="both"/>
              <w:rPr>
                <w:sz w:val="20"/>
              </w:rPr>
            </w:pPr>
          </w:p>
        </w:tc>
        <w:tc>
          <w:tcPr>
            <w:tcW w:w="2330" w:type="pct"/>
          </w:tcPr>
          <w:p w:rsidR="00F95A12" w:rsidRPr="00016113" w:rsidRDefault="00F95A12" w:rsidP="00F95A12">
            <w:pPr>
              <w:jc w:val="both"/>
              <w:rPr>
                <w:sz w:val="20"/>
              </w:rPr>
            </w:pPr>
            <w:r w:rsidRPr="00016113">
              <w:rPr>
                <w:sz w:val="20"/>
              </w:rPr>
              <w:t>Appeal dismissed.</w:t>
            </w:r>
          </w:p>
          <w:p w:rsidR="00F95A12" w:rsidRPr="00016113" w:rsidRDefault="00F95A12" w:rsidP="00F95A12">
            <w:pPr>
              <w:jc w:val="both"/>
              <w:rPr>
                <w:sz w:val="20"/>
              </w:rPr>
            </w:pPr>
          </w:p>
        </w:tc>
      </w:tr>
      <w:tr w:rsidR="00F95A12" w:rsidRPr="00016113" w:rsidTr="00F95A12">
        <w:tc>
          <w:tcPr>
            <w:tcW w:w="2427" w:type="pct"/>
            <w:gridSpan w:val="2"/>
          </w:tcPr>
          <w:p w:rsidR="00F95A12" w:rsidRPr="00016113" w:rsidRDefault="00F95A12" w:rsidP="00F95A12">
            <w:pPr>
              <w:jc w:val="both"/>
              <w:rPr>
                <w:sz w:val="20"/>
              </w:rPr>
            </w:pPr>
            <w:r w:rsidRPr="00016113">
              <w:rPr>
                <w:sz w:val="20"/>
              </w:rPr>
              <w:t>March 20, 2020</w:t>
            </w:r>
          </w:p>
          <w:p w:rsidR="00F95A12" w:rsidRPr="00016113" w:rsidRDefault="00F95A12" w:rsidP="00F95A12">
            <w:pPr>
              <w:jc w:val="both"/>
              <w:rPr>
                <w:sz w:val="20"/>
              </w:rPr>
            </w:pPr>
            <w:r w:rsidRPr="00016113">
              <w:rPr>
                <w:sz w:val="20"/>
              </w:rPr>
              <w:t>Supreme Court of Canada</w:t>
            </w:r>
          </w:p>
        </w:tc>
        <w:tc>
          <w:tcPr>
            <w:tcW w:w="243" w:type="pct"/>
          </w:tcPr>
          <w:p w:rsidR="00F95A12" w:rsidRPr="00016113" w:rsidRDefault="00F95A12" w:rsidP="00F95A12">
            <w:pPr>
              <w:jc w:val="both"/>
              <w:rPr>
                <w:sz w:val="20"/>
              </w:rPr>
            </w:pPr>
          </w:p>
        </w:tc>
        <w:tc>
          <w:tcPr>
            <w:tcW w:w="2330" w:type="pct"/>
          </w:tcPr>
          <w:p w:rsidR="00F95A12" w:rsidRPr="00016113" w:rsidRDefault="00F95A12" w:rsidP="00F95A12">
            <w:pPr>
              <w:jc w:val="both"/>
              <w:rPr>
                <w:sz w:val="20"/>
              </w:rPr>
            </w:pPr>
            <w:r w:rsidRPr="00016113">
              <w:rPr>
                <w:sz w:val="20"/>
              </w:rPr>
              <w:t>Application for leave to appeal filed</w:t>
            </w:r>
          </w:p>
          <w:p w:rsidR="00F95A12" w:rsidRPr="00016113" w:rsidRDefault="00F95A12" w:rsidP="00F95A12">
            <w:pPr>
              <w:jc w:val="both"/>
              <w:rPr>
                <w:sz w:val="20"/>
              </w:rPr>
            </w:pPr>
          </w:p>
        </w:tc>
      </w:tr>
    </w:tbl>
    <w:p w:rsidR="00F95A12" w:rsidRPr="00016113" w:rsidRDefault="00F95A12" w:rsidP="00F95A12">
      <w:pPr>
        <w:jc w:val="both"/>
        <w:rPr>
          <w:sz w:val="20"/>
        </w:rPr>
      </w:pPr>
    </w:p>
    <w:p w:rsidR="004F14BB" w:rsidRPr="00016113" w:rsidRDefault="004F14BB" w:rsidP="00F95A12">
      <w:pPr>
        <w:jc w:val="both"/>
        <w:rPr>
          <w:sz w:val="20"/>
        </w:rPr>
      </w:pPr>
      <w:r w:rsidRPr="00016113">
        <w:rPr>
          <w:sz w:val="20"/>
        </w:rPr>
        <w:pict>
          <v:rect id="_x0000_i1047" style="width:2in;height:1pt" o:hrpct="0" o:hralign="center" o:hrstd="t" o:hrnoshade="t" o:hr="t" fillcolor="black [3213]" stroked="f"/>
        </w:pict>
      </w:r>
    </w:p>
    <w:p w:rsidR="004F14BB" w:rsidRPr="00016113" w:rsidRDefault="004F14BB" w:rsidP="00F95A1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3491"/>
        <w:gridCol w:w="452"/>
        <w:gridCol w:w="4320"/>
      </w:tblGrid>
      <w:tr w:rsidR="00F95A12" w:rsidRPr="00016113" w:rsidTr="004F14BB">
        <w:tc>
          <w:tcPr>
            <w:tcW w:w="543" w:type="pct"/>
          </w:tcPr>
          <w:p w:rsidR="00F95A12" w:rsidRPr="00016113" w:rsidRDefault="00F95A12" w:rsidP="00F95A12">
            <w:pPr>
              <w:jc w:val="both"/>
              <w:rPr>
                <w:sz w:val="20"/>
                <w:lang w:val="fr-CA"/>
              </w:rPr>
            </w:pPr>
            <w:r w:rsidRPr="00016113">
              <w:rPr>
                <w:rStyle w:val="SCCFileNumberChar"/>
                <w:sz w:val="20"/>
                <w:szCs w:val="20"/>
                <w:lang w:val="fr-CA"/>
              </w:rPr>
              <w:t>39093</w:t>
            </w:r>
          </w:p>
        </w:tc>
        <w:tc>
          <w:tcPr>
            <w:tcW w:w="4457" w:type="pct"/>
            <w:gridSpan w:val="3"/>
          </w:tcPr>
          <w:p w:rsidR="00F95A12" w:rsidRPr="00016113" w:rsidRDefault="00F95A12" w:rsidP="00F95A12">
            <w:pPr>
              <w:pStyle w:val="SCCLsocParty"/>
              <w:jc w:val="both"/>
              <w:rPr>
                <w:b/>
                <w:sz w:val="20"/>
                <w:szCs w:val="20"/>
                <w:lang w:val="en-US"/>
              </w:rPr>
            </w:pPr>
            <w:r w:rsidRPr="00016113">
              <w:rPr>
                <w:b/>
                <w:sz w:val="20"/>
                <w:szCs w:val="20"/>
                <w:lang w:val="en-US"/>
              </w:rPr>
              <w:t>Geophysical Service Incorporated c. Falkland Oil and Gas Limited, Rockhopper Exploration PLC</w:t>
            </w:r>
          </w:p>
          <w:p w:rsidR="00F95A12" w:rsidRPr="00016113" w:rsidRDefault="00F95A12" w:rsidP="00F95A12">
            <w:pPr>
              <w:jc w:val="both"/>
              <w:rPr>
                <w:sz w:val="20"/>
                <w:lang w:val="fr-CA"/>
              </w:rPr>
            </w:pPr>
            <w:r w:rsidRPr="00016113">
              <w:rPr>
                <w:sz w:val="20"/>
                <w:lang w:val="fr-CA"/>
              </w:rPr>
              <w:t>(Alb.) (Civile) (Autorisation)</w:t>
            </w:r>
          </w:p>
        </w:tc>
      </w:tr>
      <w:tr w:rsidR="00F95A12" w:rsidRPr="00016113" w:rsidTr="004F14BB">
        <w:tc>
          <w:tcPr>
            <w:tcW w:w="5000" w:type="pct"/>
            <w:gridSpan w:val="4"/>
          </w:tcPr>
          <w:p w:rsidR="00F95A12" w:rsidRPr="00016113" w:rsidRDefault="00F95A12" w:rsidP="00F95A12">
            <w:pPr>
              <w:jc w:val="both"/>
              <w:rPr>
                <w:sz w:val="20"/>
                <w:lang w:val="fr-CA"/>
              </w:rPr>
            </w:pPr>
            <w:r w:rsidRPr="00016113">
              <w:rPr>
                <w:sz w:val="20"/>
                <w:lang w:val="fr-CA"/>
              </w:rPr>
              <w:t>Jugements et ordonnances — Jugements sommaires — Crainte raisonnable de partialité — Contrats — Entrave contractuelle — Propriété intellectuelle — Droit d’auteur — Comment faut</w:t>
            </w:r>
            <w:r w:rsidRPr="00016113">
              <w:rPr>
                <w:sz w:val="20"/>
                <w:lang w:val="fr-CA"/>
              </w:rPr>
              <w:noBreakHyphen/>
              <w:t>il revoir le critère relatif à la crainte raisonnable de partialité pour refléter le « virage culturel » dans le système de justice civile?</w:t>
            </w:r>
          </w:p>
          <w:p w:rsidR="00F95A12" w:rsidRPr="00016113" w:rsidRDefault="00F95A12" w:rsidP="00F95A12">
            <w:pPr>
              <w:jc w:val="both"/>
              <w:rPr>
                <w:sz w:val="20"/>
                <w:lang w:val="fr-CA"/>
              </w:rPr>
            </w:pPr>
          </w:p>
        </w:tc>
      </w:tr>
      <w:tr w:rsidR="00F95A12" w:rsidRPr="00016113" w:rsidTr="004F14BB">
        <w:tc>
          <w:tcPr>
            <w:tcW w:w="5000" w:type="pct"/>
            <w:gridSpan w:val="4"/>
          </w:tcPr>
          <w:p w:rsidR="00F95A12" w:rsidRPr="00016113" w:rsidRDefault="00F95A12" w:rsidP="00F95A12">
            <w:pPr>
              <w:pStyle w:val="felskynumbering12"/>
              <w:jc w:val="both"/>
              <w:rPr>
                <w:sz w:val="20"/>
                <w:szCs w:val="20"/>
                <w:lang w:val="fr-CA"/>
              </w:rPr>
            </w:pPr>
            <w:proofErr w:type="spellStart"/>
            <w:r w:rsidRPr="00016113">
              <w:rPr>
                <w:sz w:val="20"/>
                <w:szCs w:val="20"/>
                <w:lang w:val="fr-CA"/>
              </w:rPr>
              <w:t>Geophysical</w:t>
            </w:r>
            <w:proofErr w:type="spellEnd"/>
            <w:r w:rsidRPr="00016113">
              <w:rPr>
                <w:sz w:val="20"/>
                <w:szCs w:val="20"/>
                <w:lang w:val="fr-CA"/>
              </w:rPr>
              <w:t xml:space="preserve"> Service Incorporated (GSI) est une entreprise de service de données sismiques. Le 18 janvier 2016, GSI a poursuivi Falkland Oil and Gas Limited (FOGL) et Rockhopper Exploration pour utilisation et divulgation irrégulières de données sismiques créées par GSI près des îles Malouines, en contravention des conditions de contrats de licence conclues entre les parties en 2004 et 2005. GSI allègue en outre que Rockhopper devait verser un droit de licence à GSI lorsque Rockhopper a acquis 100 % des actions de FOGL en 2016. FOGL et Rockhopper ont demandé le rejet sommaire de la demande de GSI en entier, demande qui a été accueillie par une juge en cabinet. L’appel interjeté par GSI de ce rejet sommaire a été rejeté.</w:t>
            </w:r>
          </w:p>
        </w:tc>
      </w:tr>
      <w:tr w:rsidR="00F95A12" w:rsidRPr="00016113" w:rsidTr="004F14BB">
        <w:tc>
          <w:tcPr>
            <w:tcW w:w="5000" w:type="pct"/>
            <w:gridSpan w:val="4"/>
          </w:tcPr>
          <w:p w:rsidR="00F95A12" w:rsidRPr="00016113" w:rsidRDefault="00F95A12" w:rsidP="00F95A12">
            <w:pPr>
              <w:jc w:val="both"/>
              <w:rPr>
                <w:sz w:val="20"/>
                <w:lang w:val="fr-CA"/>
              </w:rPr>
            </w:pPr>
          </w:p>
        </w:tc>
      </w:tr>
      <w:tr w:rsidR="00F95A12" w:rsidRPr="00016113" w:rsidTr="004F14BB">
        <w:tc>
          <w:tcPr>
            <w:tcW w:w="2426" w:type="pct"/>
            <w:gridSpan w:val="2"/>
          </w:tcPr>
          <w:p w:rsidR="00F95A12" w:rsidRPr="00016113" w:rsidRDefault="00F95A12" w:rsidP="00F95A12">
            <w:pPr>
              <w:jc w:val="both"/>
              <w:rPr>
                <w:sz w:val="20"/>
                <w:lang w:val="fr-CA"/>
              </w:rPr>
            </w:pPr>
            <w:r w:rsidRPr="00016113">
              <w:rPr>
                <w:sz w:val="20"/>
                <w:lang w:val="fr-CA"/>
              </w:rPr>
              <w:t>7 mars 2019</w:t>
            </w:r>
          </w:p>
          <w:p w:rsidR="00F95A12" w:rsidRPr="00016113" w:rsidRDefault="00F95A12" w:rsidP="00F95A12">
            <w:pPr>
              <w:jc w:val="both"/>
              <w:rPr>
                <w:sz w:val="20"/>
                <w:lang w:val="fr-CA"/>
              </w:rPr>
            </w:pPr>
            <w:r w:rsidRPr="00016113">
              <w:rPr>
                <w:sz w:val="20"/>
                <w:lang w:val="fr-CA"/>
              </w:rPr>
              <w:t>Cour du Banc de la Reine de l’Alberta</w:t>
            </w:r>
          </w:p>
          <w:p w:rsidR="00F95A12" w:rsidRPr="00016113" w:rsidRDefault="00F95A12" w:rsidP="00F95A12">
            <w:pPr>
              <w:jc w:val="both"/>
              <w:rPr>
                <w:sz w:val="20"/>
                <w:lang w:val="fr-CA"/>
              </w:rPr>
            </w:pPr>
            <w:r w:rsidRPr="00016113">
              <w:rPr>
                <w:sz w:val="20"/>
                <w:lang w:val="fr-CA"/>
              </w:rPr>
              <w:t>(Juge Woolley)</w:t>
            </w:r>
          </w:p>
          <w:p w:rsidR="00F95A12" w:rsidRPr="00016113" w:rsidRDefault="00F95A12" w:rsidP="00F95A12">
            <w:pPr>
              <w:jc w:val="both"/>
              <w:rPr>
                <w:sz w:val="20"/>
                <w:lang w:val="fr-CA"/>
              </w:rPr>
            </w:pPr>
            <w:hyperlink r:id="rId57" w:history="1">
              <w:r w:rsidRPr="00016113">
                <w:rPr>
                  <w:rStyle w:val="Hyperlink"/>
                  <w:sz w:val="20"/>
                  <w:lang w:val="fr-CA"/>
                </w:rPr>
                <w:t>2019 ABQB 162</w:t>
              </w:r>
            </w:hyperlink>
          </w:p>
          <w:p w:rsidR="00F95A12" w:rsidRPr="00016113" w:rsidRDefault="00F95A12" w:rsidP="00F95A12">
            <w:pPr>
              <w:jc w:val="both"/>
              <w:rPr>
                <w:sz w:val="20"/>
                <w:lang w:val="fr-CA"/>
              </w:rPr>
            </w:pPr>
          </w:p>
        </w:tc>
        <w:tc>
          <w:tcPr>
            <w:tcW w:w="244" w:type="pct"/>
          </w:tcPr>
          <w:p w:rsidR="00F95A12" w:rsidRPr="00016113" w:rsidRDefault="00F95A12" w:rsidP="00F95A12">
            <w:pPr>
              <w:jc w:val="both"/>
              <w:rPr>
                <w:sz w:val="20"/>
                <w:lang w:val="fr-CA"/>
              </w:rPr>
            </w:pPr>
          </w:p>
        </w:tc>
        <w:tc>
          <w:tcPr>
            <w:tcW w:w="2330" w:type="pct"/>
          </w:tcPr>
          <w:p w:rsidR="00F95A12" w:rsidRPr="00016113" w:rsidRDefault="00F95A12" w:rsidP="00F95A12">
            <w:pPr>
              <w:jc w:val="both"/>
              <w:rPr>
                <w:sz w:val="20"/>
                <w:lang w:val="fr-CA"/>
              </w:rPr>
            </w:pPr>
            <w:r w:rsidRPr="00016113">
              <w:rPr>
                <w:sz w:val="20"/>
                <w:lang w:val="fr-CA"/>
              </w:rPr>
              <w:t>Jugement accueillant la demande de rejet sommaire de l’action.</w:t>
            </w:r>
          </w:p>
          <w:p w:rsidR="00F95A12" w:rsidRPr="00016113" w:rsidRDefault="00F95A12" w:rsidP="00F95A12">
            <w:pPr>
              <w:jc w:val="both"/>
              <w:rPr>
                <w:sz w:val="20"/>
                <w:lang w:val="fr-CA"/>
              </w:rPr>
            </w:pPr>
          </w:p>
        </w:tc>
      </w:tr>
      <w:tr w:rsidR="00F95A12" w:rsidRPr="00016113" w:rsidTr="004F14BB">
        <w:tc>
          <w:tcPr>
            <w:tcW w:w="2426" w:type="pct"/>
            <w:gridSpan w:val="2"/>
          </w:tcPr>
          <w:p w:rsidR="00F95A12" w:rsidRPr="00016113" w:rsidRDefault="00F95A12" w:rsidP="00F95A12">
            <w:pPr>
              <w:jc w:val="both"/>
              <w:rPr>
                <w:sz w:val="20"/>
                <w:lang w:val="fr-CA"/>
              </w:rPr>
            </w:pPr>
            <w:r w:rsidRPr="00016113">
              <w:rPr>
                <w:sz w:val="20"/>
                <w:lang w:val="fr-CA"/>
              </w:rPr>
              <w:t>20 janvier 2020</w:t>
            </w:r>
          </w:p>
          <w:p w:rsidR="00F95A12" w:rsidRPr="00016113" w:rsidRDefault="00F95A12" w:rsidP="00F95A12">
            <w:pPr>
              <w:jc w:val="both"/>
              <w:rPr>
                <w:sz w:val="20"/>
                <w:lang w:val="fr-CA"/>
              </w:rPr>
            </w:pPr>
            <w:r w:rsidRPr="00016113">
              <w:rPr>
                <w:sz w:val="20"/>
                <w:lang w:val="fr-CA"/>
              </w:rPr>
              <w:t>Cour d’appel de l’Alberta (Calgary)</w:t>
            </w:r>
          </w:p>
          <w:p w:rsidR="00F95A12" w:rsidRPr="00016113" w:rsidRDefault="00F95A12" w:rsidP="00F95A12">
            <w:pPr>
              <w:jc w:val="both"/>
              <w:rPr>
                <w:sz w:val="20"/>
                <w:lang w:val="fr-CA"/>
              </w:rPr>
            </w:pPr>
            <w:r w:rsidRPr="00016113">
              <w:rPr>
                <w:sz w:val="20"/>
                <w:lang w:val="fr-CA"/>
              </w:rPr>
              <w:t>(Juges Paperny, Slatter et Antonio)</w:t>
            </w:r>
          </w:p>
          <w:p w:rsidR="00F95A12" w:rsidRPr="00016113" w:rsidRDefault="00F95A12" w:rsidP="00F95A12">
            <w:pPr>
              <w:jc w:val="both"/>
              <w:rPr>
                <w:sz w:val="20"/>
                <w:lang w:val="fr-CA"/>
              </w:rPr>
            </w:pPr>
            <w:hyperlink r:id="rId58" w:history="1">
              <w:r w:rsidRPr="00016113">
                <w:rPr>
                  <w:rStyle w:val="Hyperlink"/>
                  <w:sz w:val="20"/>
                  <w:lang w:val="fr-CA"/>
                </w:rPr>
                <w:t>2020 ABCA 21</w:t>
              </w:r>
            </w:hyperlink>
          </w:p>
          <w:p w:rsidR="00F95A12" w:rsidRPr="00016113" w:rsidRDefault="00F95A12" w:rsidP="00F95A12">
            <w:pPr>
              <w:jc w:val="both"/>
              <w:rPr>
                <w:sz w:val="20"/>
                <w:lang w:val="fr-CA"/>
              </w:rPr>
            </w:pPr>
          </w:p>
        </w:tc>
        <w:tc>
          <w:tcPr>
            <w:tcW w:w="244" w:type="pct"/>
          </w:tcPr>
          <w:p w:rsidR="00F95A12" w:rsidRPr="00016113" w:rsidRDefault="00F95A12" w:rsidP="00F95A12">
            <w:pPr>
              <w:jc w:val="both"/>
              <w:rPr>
                <w:sz w:val="20"/>
                <w:lang w:val="fr-CA"/>
              </w:rPr>
            </w:pPr>
          </w:p>
        </w:tc>
        <w:tc>
          <w:tcPr>
            <w:tcW w:w="2330" w:type="pct"/>
          </w:tcPr>
          <w:p w:rsidR="00F95A12" w:rsidRPr="00016113" w:rsidRDefault="00F95A12" w:rsidP="00F95A12">
            <w:pPr>
              <w:jc w:val="both"/>
              <w:rPr>
                <w:sz w:val="20"/>
                <w:lang w:val="fr-CA"/>
              </w:rPr>
            </w:pPr>
            <w:r w:rsidRPr="00016113">
              <w:rPr>
                <w:sz w:val="20"/>
                <w:lang w:val="fr-CA"/>
              </w:rPr>
              <w:t>Rejet de l’appel.</w:t>
            </w:r>
          </w:p>
          <w:p w:rsidR="00F95A12" w:rsidRPr="00016113" w:rsidRDefault="00F95A12" w:rsidP="00F95A12">
            <w:pPr>
              <w:jc w:val="both"/>
              <w:rPr>
                <w:sz w:val="20"/>
                <w:lang w:val="fr-CA"/>
              </w:rPr>
            </w:pPr>
          </w:p>
        </w:tc>
      </w:tr>
      <w:tr w:rsidR="00F95A12" w:rsidRPr="00016113" w:rsidTr="004F14BB">
        <w:tc>
          <w:tcPr>
            <w:tcW w:w="2426" w:type="pct"/>
            <w:gridSpan w:val="2"/>
          </w:tcPr>
          <w:p w:rsidR="00F95A12" w:rsidRPr="00016113" w:rsidRDefault="00F95A12" w:rsidP="00F95A12">
            <w:pPr>
              <w:jc w:val="both"/>
              <w:rPr>
                <w:sz w:val="20"/>
                <w:lang w:val="fr-CA"/>
              </w:rPr>
            </w:pPr>
            <w:r w:rsidRPr="00016113">
              <w:rPr>
                <w:sz w:val="20"/>
                <w:lang w:val="fr-CA"/>
              </w:rPr>
              <w:t>20 mars 2020</w:t>
            </w:r>
          </w:p>
          <w:p w:rsidR="00F95A12" w:rsidRPr="00016113" w:rsidRDefault="00F95A12" w:rsidP="00F95A12">
            <w:pPr>
              <w:jc w:val="both"/>
              <w:rPr>
                <w:sz w:val="20"/>
                <w:lang w:val="fr-CA"/>
              </w:rPr>
            </w:pPr>
            <w:r w:rsidRPr="00016113">
              <w:rPr>
                <w:sz w:val="20"/>
                <w:lang w:val="fr-CA"/>
              </w:rPr>
              <w:t>Cour suprême du Canada</w:t>
            </w:r>
          </w:p>
        </w:tc>
        <w:tc>
          <w:tcPr>
            <w:tcW w:w="244" w:type="pct"/>
          </w:tcPr>
          <w:p w:rsidR="00F95A12" w:rsidRPr="00016113" w:rsidRDefault="00F95A12" w:rsidP="00F95A12">
            <w:pPr>
              <w:jc w:val="both"/>
              <w:rPr>
                <w:sz w:val="20"/>
                <w:lang w:val="fr-CA"/>
              </w:rPr>
            </w:pPr>
          </w:p>
        </w:tc>
        <w:tc>
          <w:tcPr>
            <w:tcW w:w="2330" w:type="pct"/>
          </w:tcPr>
          <w:p w:rsidR="00F95A12" w:rsidRPr="00016113" w:rsidRDefault="00F95A12" w:rsidP="00F95A12">
            <w:pPr>
              <w:jc w:val="both"/>
              <w:rPr>
                <w:sz w:val="20"/>
                <w:lang w:val="fr-CA"/>
              </w:rPr>
            </w:pPr>
            <w:r w:rsidRPr="00016113">
              <w:rPr>
                <w:sz w:val="20"/>
                <w:lang w:val="fr-CA"/>
              </w:rPr>
              <w:t>Dépôt de la demande d’autorisation d’appel</w:t>
            </w:r>
          </w:p>
          <w:p w:rsidR="00F95A12" w:rsidRPr="00016113" w:rsidRDefault="00F95A12" w:rsidP="00F95A12">
            <w:pPr>
              <w:jc w:val="both"/>
              <w:rPr>
                <w:sz w:val="20"/>
                <w:lang w:val="fr-CA"/>
              </w:rPr>
            </w:pPr>
          </w:p>
        </w:tc>
      </w:tr>
    </w:tbl>
    <w:p w:rsidR="00F95A12" w:rsidRPr="00016113" w:rsidRDefault="00F95A12" w:rsidP="00F95A12">
      <w:pPr>
        <w:jc w:val="both"/>
        <w:rPr>
          <w:sz w:val="20"/>
          <w:lang w:val="fr-CA"/>
        </w:rPr>
      </w:pPr>
    </w:p>
    <w:p w:rsidR="004F14BB" w:rsidRPr="00016113" w:rsidRDefault="004F14BB" w:rsidP="00F95A12">
      <w:pPr>
        <w:jc w:val="both"/>
        <w:rPr>
          <w:sz w:val="20"/>
          <w:lang w:val="fr-CA"/>
        </w:rPr>
      </w:pPr>
      <w:r w:rsidRPr="00016113">
        <w:rPr>
          <w:sz w:val="20"/>
        </w:rPr>
        <w:pict>
          <v:rect id="_x0000_i1048" style="width:2in;height:1pt" o:hrpct="0" o:hralign="center" o:hrstd="t" o:hrnoshade="t" o:hr="t" fillcolor="black [3213]" stroked="f"/>
        </w:pict>
      </w:r>
    </w:p>
    <w:p w:rsidR="00F95A12" w:rsidRPr="00016113" w:rsidRDefault="00F95A12" w:rsidP="00F95A12">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95A12" w:rsidRPr="00016113" w:rsidTr="00F95A12">
        <w:tc>
          <w:tcPr>
            <w:tcW w:w="543" w:type="pct"/>
          </w:tcPr>
          <w:p w:rsidR="00F95A12" w:rsidRPr="00016113" w:rsidRDefault="00F95A12" w:rsidP="00F95A12">
            <w:pPr>
              <w:jc w:val="both"/>
              <w:rPr>
                <w:sz w:val="20"/>
                <w:lang w:val="en-CA"/>
              </w:rPr>
            </w:pPr>
            <w:r w:rsidRPr="00016113">
              <w:rPr>
                <w:rStyle w:val="SCCFileNumberChar"/>
                <w:sz w:val="20"/>
                <w:szCs w:val="20"/>
              </w:rPr>
              <w:t>39151</w:t>
            </w:r>
          </w:p>
        </w:tc>
        <w:tc>
          <w:tcPr>
            <w:tcW w:w="4457" w:type="pct"/>
            <w:gridSpan w:val="3"/>
          </w:tcPr>
          <w:p w:rsidR="00F95A12" w:rsidRPr="00016113" w:rsidRDefault="00F95A12" w:rsidP="00F95A12">
            <w:pPr>
              <w:pStyle w:val="SCCLsocParty"/>
              <w:jc w:val="both"/>
              <w:rPr>
                <w:b/>
                <w:sz w:val="20"/>
                <w:szCs w:val="20"/>
                <w:lang w:val="en-CA"/>
              </w:rPr>
            </w:pPr>
            <w:r w:rsidRPr="00016113">
              <w:rPr>
                <w:b/>
                <w:sz w:val="20"/>
                <w:szCs w:val="20"/>
                <w:lang w:val="en-CA"/>
              </w:rPr>
              <w:t>Tharoul Ménard v. Her Majesty the Queen</w:t>
            </w:r>
          </w:p>
          <w:p w:rsidR="00F95A12" w:rsidRPr="00016113" w:rsidRDefault="004F14BB" w:rsidP="00F95A12">
            <w:pPr>
              <w:jc w:val="both"/>
              <w:rPr>
                <w:sz w:val="20"/>
                <w:lang w:val="en-CA"/>
              </w:rPr>
            </w:pPr>
            <w:r w:rsidRPr="00016113">
              <w:rPr>
                <w:sz w:val="20"/>
                <w:lang w:val="en-CA"/>
              </w:rPr>
              <w:t>(Que.) (Criminal) (By Leave)</w:t>
            </w:r>
          </w:p>
        </w:tc>
      </w:tr>
      <w:tr w:rsidR="00F95A12" w:rsidRPr="00016113" w:rsidTr="00F95A12">
        <w:tc>
          <w:tcPr>
            <w:tcW w:w="5000" w:type="pct"/>
            <w:gridSpan w:val="4"/>
          </w:tcPr>
          <w:p w:rsidR="00F95A12" w:rsidRPr="00016113" w:rsidRDefault="00F95A12" w:rsidP="00F95A12">
            <w:pPr>
              <w:jc w:val="both"/>
              <w:rPr>
                <w:sz w:val="20"/>
                <w:lang w:val="en-CA"/>
              </w:rPr>
            </w:pPr>
            <w:proofErr w:type="gramStart"/>
            <w:r w:rsidRPr="00016113">
              <w:rPr>
                <w:sz w:val="20"/>
                <w:lang w:val="en-CA"/>
              </w:rPr>
              <w:t xml:space="preserve">Criminal law — Evidence — Reasons — Whether applicable standard for intervention in relation to existence of violation of principle in </w:t>
            </w:r>
            <w:r w:rsidRPr="00016113">
              <w:rPr>
                <w:i/>
                <w:sz w:val="20"/>
                <w:lang w:val="en-CA"/>
              </w:rPr>
              <w:t xml:space="preserve">Browne v. Dunn </w:t>
            </w:r>
            <w:r w:rsidRPr="00016113">
              <w:rPr>
                <w:sz w:val="20"/>
                <w:lang w:val="en-CA"/>
              </w:rPr>
              <w:t xml:space="preserve">(1893 CanLII 65 (FOREP)) is question of law or matter of discretion — Whether principle must be applied formally or in light of context — Whether principle must be applied to evidence filed under s. 715(1) of </w:t>
            </w:r>
            <w:r w:rsidRPr="00016113">
              <w:rPr>
                <w:i/>
                <w:sz w:val="20"/>
                <w:lang w:val="en-CA"/>
              </w:rPr>
              <w:t>Criminal Code</w:t>
            </w:r>
            <w:r w:rsidRPr="00016113">
              <w:rPr>
                <w:sz w:val="20"/>
                <w:lang w:val="en-CA"/>
              </w:rPr>
              <w:t xml:space="preserve"> — Whether there are factors that judge must take into consideration in identifying remedy — Whether appellate court may omit completely to consider ground for appeal that is not clearly frivolous.</w:t>
            </w:r>
            <w:proofErr w:type="gramEnd"/>
          </w:p>
        </w:tc>
      </w:tr>
      <w:tr w:rsidR="00F95A12" w:rsidRPr="00016113" w:rsidTr="00F95A12">
        <w:tc>
          <w:tcPr>
            <w:tcW w:w="5000" w:type="pct"/>
            <w:gridSpan w:val="4"/>
          </w:tcPr>
          <w:p w:rsidR="00F95A12" w:rsidRPr="00016113" w:rsidRDefault="00F95A12" w:rsidP="00F95A12">
            <w:pPr>
              <w:jc w:val="both"/>
              <w:rPr>
                <w:sz w:val="20"/>
                <w:lang w:val="en-CA"/>
              </w:rPr>
            </w:pPr>
          </w:p>
        </w:tc>
      </w:tr>
      <w:tr w:rsidR="00F95A12" w:rsidRPr="00016113" w:rsidTr="00F95A12">
        <w:tc>
          <w:tcPr>
            <w:tcW w:w="5000" w:type="pct"/>
            <w:gridSpan w:val="4"/>
          </w:tcPr>
          <w:p w:rsidR="00F95A12" w:rsidRPr="00016113" w:rsidRDefault="00F95A12" w:rsidP="00F95A12">
            <w:pPr>
              <w:jc w:val="both"/>
              <w:rPr>
                <w:sz w:val="20"/>
                <w:lang w:val="en-CA"/>
              </w:rPr>
            </w:pPr>
            <w:r w:rsidRPr="00016113">
              <w:rPr>
                <w:sz w:val="20"/>
                <w:lang w:val="en-CA"/>
              </w:rPr>
              <w:t xml:space="preserve">In the Superior Court, a jury found the applicant, Mr. Ménard, guilty of the </w:t>
            </w:r>
            <w:proofErr w:type="gramStart"/>
            <w:r w:rsidRPr="00016113">
              <w:rPr>
                <w:sz w:val="20"/>
                <w:lang w:val="en-CA"/>
              </w:rPr>
              <w:t>first degree</w:t>
            </w:r>
            <w:proofErr w:type="gramEnd"/>
            <w:r w:rsidRPr="00016113">
              <w:rPr>
                <w:sz w:val="20"/>
                <w:lang w:val="en-CA"/>
              </w:rPr>
              <w:t xml:space="preserve"> murder of Tidiani Keita. The Court of Appeal unanimously dismissed Mr. Ménard’s appeal. In its view, the trial judge had been right to conclude that counsel for Mr. Ménard had chosen for tactical reasons not to confront Mr. Samson with Mr. Ménard’s statement </w:t>
            </w:r>
            <w:proofErr w:type="gramStart"/>
            <w:r w:rsidRPr="00016113">
              <w:rPr>
                <w:sz w:val="20"/>
                <w:lang w:val="en-CA"/>
              </w:rPr>
              <w:t>that it was instead Mr. Samson who had caused Mr. Keita’s death</w:t>
            </w:r>
            <w:proofErr w:type="gramEnd"/>
            <w:r w:rsidRPr="00016113">
              <w:rPr>
                <w:sz w:val="20"/>
                <w:lang w:val="en-CA"/>
              </w:rPr>
              <w:t>. The Court of Appeal held that it would therefore be inappropriate to order a new trial for this reason.</w:t>
            </w:r>
          </w:p>
          <w:p w:rsidR="00F95A12" w:rsidRPr="00016113" w:rsidRDefault="00F95A12" w:rsidP="00F95A12">
            <w:pPr>
              <w:jc w:val="both"/>
              <w:rPr>
                <w:sz w:val="20"/>
                <w:lang w:val="en-CA"/>
              </w:rPr>
            </w:pPr>
          </w:p>
        </w:tc>
      </w:tr>
      <w:tr w:rsidR="00F95A12" w:rsidRPr="00016113" w:rsidTr="00F95A12">
        <w:tc>
          <w:tcPr>
            <w:tcW w:w="2427" w:type="pct"/>
            <w:gridSpan w:val="2"/>
          </w:tcPr>
          <w:p w:rsidR="00F95A12" w:rsidRPr="00016113" w:rsidRDefault="00F95A12" w:rsidP="00F95A12">
            <w:pPr>
              <w:jc w:val="both"/>
              <w:rPr>
                <w:sz w:val="20"/>
                <w:lang w:val="en-CA"/>
              </w:rPr>
            </w:pPr>
            <w:r w:rsidRPr="00016113">
              <w:rPr>
                <w:sz w:val="20"/>
                <w:lang w:val="en-CA"/>
              </w:rPr>
              <w:t>October 7, 2017</w:t>
            </w:r>
          </w:p>
          <w:p w:rsidR="00F95A12" w:rsidRPr="00016113" w:rsidRDefault="00F95A12" w:rsidP="00F95A12">
            <w:pPr>
              <w:jc w:val="both"/>
              <w:rPr>
                <w:sz w:val="20"/>
                <w:lang w:val="en-CA"/>
              </w:rPr>
            </w:pPr>
            <w:r w:rsidRPr="00016113">
              <w:rPr>
                <w:sz w:val="20"/>
                <w:lang w:val="en-CA"/>
              </w:rPr>
              <w:t>Quebec Superior Court</w:t>
            </w:r>
          </w:p>
          <w:p w:rsidR="00F95A12" w:rsidRPr="00016113" w:rsidRDefault="00F95A12" w:rsidP="00F95A12">
            <w:pPr>
              <w:jc w:val="both"/>
              <w:rPr>
                <w:sz w:val="20"/>
                <w:lang w:val="en-CA"/>
              </w:rPr>
            </w:pPr>
            <w:r w:rsidRPr="00016113">
              <w:rPr>
                <w:sz w:val="20"/>
                <w:lang w:val="en-CA"/>
              </w:rPr>
              <w:t>(Vincent J.)</w:t>
            </w:r>
          </w:p>
          <w:p w:rsidR="00F95A12" w:rsidRPr="00016113" w:rsidRDefault="00F95A12" w:rsidP="00F95A12">
            <w:pPr>
              <w:jc w:val="both"/>
              <w:rPr>
                <w:sz w:val="20"/>
                <w:lang w:val="en-CA"/>
              </w:rPr>
            </w:pPr>
            <w:r w:rsidRPr="00016113">
              <w:rPr>
                <w:sz w:val="20"/>
                <w:lang w:val="en-CA"/>
              </w:rPr>
              <w:t>500</w:t>
            </w:r>
            <w:r w:rsidRPr="00016113">
              <w:rPr>
                <w:sz w:val="20"/>
                <w:lang w:val="en-CA"/>
              </w:rPr>
              <w:noBreakHyphen/>
              <w:t>01</w:t>
            </w:r>
            <w:r w:rsidRPr="00016113">
              <w:rPr>
                <w:sz w:val="20"/>
                <w:lang w:val="en-CA"/>
              </w:rPr>
              <w:noBreakHyphen/>
              <w:t>015745</w:t>
            </w:r>
            <w:r w:rsidRPr="00016113">
              <w:rPr>
                <w:sz w:val="20"/>
                <w:lang w:val="en-CA"/>
              </w:rPr>
              <w:noBreakHyphen/>
              <w:t>083</w:t>
            </w:r>
          </w:p>
          <w:p w:rsidR="00F95A12" w:rsidRPr="00016113" w:rsidRDefault="00F95A12" w:rsidP="00F95A12">
            <w:pPr>
              <w:jc w:val="both"/>
              <w:rPr>
                <w:sz w:val="20"/>
                <w:lang w:val="en-CA"/>
              </w:rPr>
            </w:pPr>
          </w:p>
        </w:tc>
        <w:tc>
          <w:tcPr>
            <w:tcW w:w="243" w:type="pct"/>
          </w:tcPr>
          <w:p w:rsidR="00F95A12" w:rsidRPr="00016113" w:rsidRDefault="00F95A12" w:rsidP="00F95A12">
            <w:pPr>
              <w:jc w:val="both"/>
              <w:rPr>
                <w:sz w:val="20"/>
                <w:lang w:val="en-CA"/>
              </w:rPr>
            </w:pPr>
          </w:p>
        </w:tc>
        <w:tc>
          <w:tcPr>
            <w:tcW w:w="2330" w:type="pct"/>
          </w:tcPr>
          <w:p w:rsidR="00F95A12" w:rsidRPr="00016113" w:rsidRDefault="00F95A12" w:rsidP="00F95A12">
            <w:pPr>
              <w:jc w:val="both"/>
              <w:rPr>
                <w:sz w:val="20"/>
                <w:lang w:val="en-CA"/>
              </w:rPr>
            </w:pPr>
            <w:r w:rsidRPr="00016113">
              <w:rPr>
                <w:sz w:val="20"/>
                <w:lang w:val="en-CA"/>
              </w:rPr>
              <w:t>Verdict of guilty of first degree murder delivered by jury and sentence imposed</w:t>
            </w:r>
          </w:p>
          <w:p w:rsidR="00F95A12" w:rsidRPr="00016113" w:rsidRDefault="00F95A12" w:rsidP="00F95A12">
            <w:pPr>
              <w:jc w:val="both"/>
              <w:rPr>
                <w:sz w:val="20"/>
                <w:lang w:val="en-CA"/>
              </w:rPr>
            </w:pPr>
          </w:p>
        </w:tc>
      </w:tr>
      <w:tr w:rsidR="00F95A12" w:rsidRPr="00016113" w:rsidTr="00F95A12">
        <w:tc>
          <w:tcPr>
            <w:tcW w:w="2427" w:type="pct"/>
            <w:gridSpan w:val="2"/>
          </w:tcPr>
          <w:p w:rsidR="00F95A12" w:rsidRPr="00016113" w:rsidRDefault="00F95A12" w:rsidP="00F95A12">
            <w:pPr>
              <w:jc w:val="both"/>
              <w:rPr>
                <w:sz w:val="20"/>
                <w:lang w:val="en-CA"/>
              </w:rPr>
            </w:pPr>
            <w:r w:rsidRPr="00016113">
              <w:rPr>
                <w:sz w:val="20"/>
                <w:lang w:val="en-CA"/>
              </w:rPr>
              <w:t>February 21, 2020</w:t>
            </w:r>
          </w:p>
          <w:p w:rsidR="00F95A12" w:rsidRPr="00016113" w:rsidRDefault="00F95A12" w:rsidP="00F95A12">
            <w:pPr>
              <w:jc w:val="both"/>
              <w:rPr>
                <w:sz w:val="20"/>
                <w:lang w:val="en-CA"/>
              </w:rPr>
            </w:pPr>
            <w:r w:rsidRPr="00016113">
              <w:rPr>
                <w:sz w:val="20"/>
                <w:lang w:val="en-CA"/>
              </w:rPr>
              <w:t>Quebec Court of Appeal (Montréal)</w:t>
            </w:r>
          </w:p>
          <w:p w:rsidR="00F95A12" w:rsidRPr="00016113" w:rsidRDefault="00F95A12" w:rsidP="00F95A12">
            <w:pPr>
              <w:jc w:val="both"/>
              <w:rPr>
                <w:sz w:val="20"/>
                <w:lang w:val="en-CA"/>
              </w:rPr>
            </w:pPr>
            <w:r w:rsidRPr="00016113">
              <w:rPr>
                <w:sz w:val="20"/>
                <w:lang w:val="en-CA"/>
              </w:rPr>
              <w:t>(Hilton, Roy and Cotnam JJ.A.)</w:t>
            </w:r>
          </w:p>
          <w:p w:rsidR="00F95A12" w:rsidRPr="00016113" w:rsidRDefault="00F95A12" w:rsidP="00F95A12">
            <w:pPr>
              <w:jc w:val="both"/>
              <w:rPr>
                <w:sz w:val="20"/>
                <w:lang w:val="en-CA"/>
              </w:rPr>
            </w:pPr>
            <w:hyperlink r:id="rId59" w:history="1">
              <w:r w:rsidRPr="00016113">
                <w:rPr>
                  <w:rStyle w:val="Hyperlink"/>
                  <w:sz w:val="20"/>
                  <w:lang w:val="en-CA"/>
                </w:rPr>
                <w:t>2020 QCCA 281</w:t>
              </w:r>
            </w:hyperlink>
          </w:p>
          <w:p w:rsidR="00F95A12" w:rsidRPr="00016113" w:rsidRDefault="00F95A12" w:rsidP="00F95A12">
            <w:pPr>
              <w:jc w:val="both"/>
              <w:rPr>
                <w:sz w:val="20"/>
                <w:lang w:val="en-CA"/>
              </w:rPr>
            </w:pPr>
          </w:p>
        </w:tc>
        <w:tc>
          <w:tcPr>
            <w:tcW w:w="243" w:type="pct"/>
          </w:tcPr>
          <w:p w:rsidR="00F95A12" w:rsidRPr="00016113" w:rsidRDefault="00F95A12" w:rsidP="00F95A12">
            <w:pPr>
              <w:jc w:val="both"/>
              <w:rPr>
                <w:sz w:val="20"/>
                <w:lang w:val="en-CA"/>
              </w:rPr>
            </w:pPr>
          </w:p>
        </w:tc>
        <w:tc>
          <w:tcPr>
            <w:tcW w:w="2330" w:type="pct"/>
          </w:tcPr>
          <w:p w:rsidR="00F95A12" w:rsidRPr="00016113" w:rsidRDefault="00F95A12" w:rsidP="00F95A12">
            <w:pPr>
              <w:jc w:val="both"/>
              <w:rPr>
                <w:sz w:val="20"/>
                <w:lang w:val="en-CA"/>
              </w:rPr>
            </w:pPr>
            <w:r w:rsidRPr="00016113">
              <w:rPr>
                <w:sz w:val="20"/>
                <w:lang w:val="en-CA"/>
              </w:rPr>
              <w:t xml:space="preserve">Appeal dismissed </w:t>
            </w:r>
          </w:p>
        </w:tc>
      </w:tr>
      <w:tr w:rsidR="00F95A12" w:rsidRPr="00016113" w:rsidTr="00F95A12">
        <w:tc>
          <w:tcPr>
            <w:tcW w:w="2427" w:type="pct"/>
            <w:gridSpan w:val="2"/>
          </w:tcPr>
          <w:p w:rsidR="00F95A12" w:rsidRPr="00016113" w:rsidRDefault="00F95A12" w:rsidP="00F95A12">
            <w:pPr>
              <w:jc w:val="both"/>
              <w:rPr>
                <w:sz w:val="20"/>
                <w:lang w:val="en-CA"/>
              </w:rPr>
            </w:pPr>
            <w:r w:rsidRPr="00016113">
              <w:rPr>
                <w:sz w:val="20"/>
                <w:lang w:val="en-CA"/>
              </w:rPr>
              <w:t>April 23, 2020</w:t>
            </w:r>
          </w:p>
          <w:p w:rsidR="00F95A12" w:rsidRPr="00016113" w:rsidRDefault="00F95A12" w:rsidP="00F95A12">
            <w:pPr>
              <w:jc w:val="both"/>
              <w:rPr>
                <w:sz w:val="20"/>
                <w:lang w:val="en-CA"/>
              </w:rPr>
            </w:pPr>
            <w:r w:rsidRPr="00016113">
              <w:rPr>
                <w:sz w:val="20"/>
                <w:lang w:val="en-CA"/>
              </w:rPr>
              <w:t>Supreme Court of Canada</w:t>
            </w:r>
          </w:p>
        </w:tc>
        <w:tc>
          <w:tcPr>
            <w:tcW w:w="243" w:type="pct"/>
          </w:tcPr>
          <w:p w:rsidR="00F95A12" w:rsidRPr="00016113" w:rsidRDefault="00F95A12" w:rsidP="00F95A12">
            <w:pPr>
              <w:jc w:val="both"/>
              <w:rPr>
                <w:sz w:val="20"/>
                <w:lang w:val="en-CA"/>
              </w:rPr>
            </w:pPr>
          </w:p>
        </w:tc>
        <w:tc>
          <w:tcPr>
            <w:tcW w:w="2330" w:type="pct"/>
          </w:tcPr>
          <w:p w:rsidR="00F95A12" w:rsidRPr="00016113" w:rsidRDefault="00F95A12" w:rsidP="00F95A12">
            <w:pPr>
              <w:jc w:val="both"/>
              <w:rPr>
                <w:sz w:val="20"/>
                <w:lang w:val="en-CA"/>
              </w:rPr>
            </w:pPr>
            <w:r w:rsidRPr="00016113">
              <w:rPr>
                <w:sz w:val="20"/>
                <w:lang w:val="en-CA"/>
              </w:rPr>
              <w:t>Application for leave to appeal filed</w:t>
            </w:r>
          </w:p>
          <w:p w:rsidR="00F95A12" w:rsidRPr="00016113" w:rsidRDefault="00F95A12" w:rsidP="00F95A12">
            <w:pPr>
              <w:jc w:val="both"/>
              <w:rPr>
                <w:sz w:val="20"/>
                <w:lang w:val="en-CA"/>
              </w:rPr>
            </w:pPr>
          </w:p>
        </w:tc>
      </w:tr>
    </w:tbl>
    <w:p w:rsidR="00F95A12" w:rsidRPr="00016113" w:rsidRDefault="00F95A12" w:rsidP="00F95A12">
      <w:pPr>
        <w:jc w:val="both"/>
        <w:rPr>
          <w:sz w:val="20"/>
          <w:lang w:val="en-CA"/>
        </w:rPr>
      </w:pPr>
    </w:p>
    <w:p w:rsidR="00F95A12" w:rsidRPr="00016113" w:rsidRDefault="004F14BB" w:rsidP="00F95A12">
      <w:pPr>
        <w:jc w:val="both"/>
        <w:rPr>
          <w:sz w:val="20"/>
          <w:lang w:val="en-CA"/>
        </w:rPr>
      </w:pPr>
      <w:r w:rsidRPr="00016113">
        <w:rPr>
          <w:sz w:val="20"/>
        </w:rPr>
        <w:pict>
          <v:rect id="_x0000_i1049" style="width:2in;height:1pt" o:hrpct="0" o:hralign="center" o:hrstd="t" o:hrnoshade="t" o:hr="t" fillcolor="black [3213]" stroked="f"/>
        </w:pict>
      </w:r>
    </w:p>
    <w:p w:rsidR="00F95A12" w:rsidRPr="00016113" w:rsidRDefault="00F95A12" w:rsidP="00F95A12">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95A12" w:rsidRPr="00016113" w:rsidTr="00F95A12">
        <w:tc>
          <w:tcPr>
            <w:tcW w:w="543" w:type="pct"/>
          </w:tcPr>
          <w:p w:rsidR="00F95A12" w:rsidRPr="00016113" w:rsidRDefault="00F95A12" w:rsidP="00F95A12">
            <w:pPr>
              <w:jc w:val="both"/>
              <w:rPr>
                <w:sz w:val="20"/>
              </w:rPr>
            </w:pPr>
            <w:r w:rsidRPr="00016113">
              <w:rPr>
                <w:rStyle w:val="SCCFileNumberChar"/>
                <w:sz w:val="20"/>
                <w:szCs w:val="20"/>
              </w:rPr>
              <w:t>39151</w:t>
            </w:r>
          </w:p>
        </w:tc>
        <w:tc>
          <w:tcPr>
            <w:tcW w:w="4457" w:type="pct"/>
            <w:gridSpan w:val="3"/>
          </w:tcPr>
          <w:p w:rsidR="00F95A12" w:rsidRPr="00016113" w:rsidRDefault="00F95A12" w:rsidP="00F95A12">
            <w:pPr>
              <w:pStyle w:val="SCCLsocParty"/>
              <w:jc w:val="both"/>
              <w:rPr>
                <w:b/>
                <w:sz w:val="20"/>
                <w:szCs w:val="20"/>
              </w:rPr>
            </w:pPr>
            <w:r w:rsidRPr="00016113">
              <w:rPr>
                <w:b/>
                <w:sz w:val="20"/>
                <w:szCs w:val="20"/>
              </w:rPr>
              <w:t>Tharoul Ménard c. Sa Majesté la Reine</w:t>
            </w:r>
          </w:p>
          <w:p w:rsidR="00F95A12" w:rsidRPr="00016113" w:rsidRDefault="00F95A12" w:rsidP="00F95A12">
            <w:pPr>
              <w:jc w:val="both"/>
              <w:rPr>
                <w:sz w:val="20"/>
              </w:rPr>
            </w:pPr>
            <w:r w:rsidRPr="00016113">
              <w:rPr>
                <w:sz w:val="20"/>
              </w:rPr>
              <w:t>(</w:t>
            </w:r>
            <w:r w:rsidR="004F14BB" w:rsidRPr="00016113">
              <w:rPr>
                <w:sz w:val="20"/>
              </w:rPr>
              <w:t>Qc) (Criminelle) (Autorisation)</w:t>
            </w:r>
          </w:p>
        </w:tc>
      </w:tr>
      <w:tr w:rsidR="00F95A12" w:rsidRPr="00016113" w:rsidTr="00F95A12">
        <w:tc>
          <w:tcPr>
            <w:tcW w:w="5000" w:type="pct"/>
            <w:gridSpan w:val="4"/>
          </w:tcPr>
          <w:p w:rsidR="00F95A12" w:rsidRPr="00016113" w:rsidRDefault="00F95A12" w:rsidP="00F95A12">
            <w:pPr>
              <w:jc w:val="both"/>
              <w:rPr>
                <w:sz w:val="20"/>
                <w:lang w:val="fr-CA"/>
              </w:rPr>
            </w:pPr>
            <w:r w:rsidRPr="00016113">
              <w:rPr>
                <w:sz w:val="20"/>
                <w:lang w:val="fr-CA"/>
              </w:rPr>
              <w:t xml:space="preserve">Droit criminel — Preuve — Motifs — La norme d’intervention applicable relativement à l’existence d’une violation du principe de la règle </w:t>
            </w:r>
            <w:proofErr w:type="spellStart"/>
            <w:r w:rsidRPr="00016113">
              <w:rPr>
                <w:i/>
                <w:sz w:val="20"/>
                <w:lang w:val="fr-CA"/>
              </w:rPr>
              <w:t>Browne</w:t>
            </w:r>
            <w:proofErr w:type="spellEnd"/>
            <w:r w:rsidRPr="00016113">
              <w:rPr>
                <w:i/>
                <w:sz w:val="20"/>
                <w:lang w:val="fr-CA"/>
              </w:rPr>
              <w:t xml:space="preserve"> v. Dunn </w:t>
            </w:r>
            <w:r w:rsidRPr="00016113">
              <w:rPr>
                <w:sz w:val="20"/>
                <w:lang w:val="fr-CA"/>
              </w:rPr>
              <w:t>(1893 CanLII 65 (FOREP)) est</w:t>
            </w:r>
            <w:r w:rsidRPr="00016113">
              <w:rPr>
                <w:sz w:val="20"/>
                <w:lang w:val="fr-CA"/>
              </w:rPr>
              <w:noBreakHyphen/>
              <w:t>elle une question de droit ou une question de discrétion? — Le principe doit</w:t>
            </w:r>
            <w:r w:rsidRPr="00016113">
              <w:rPr>
                <w:sz w:val="20"/>
                <w:lang w:val="fr-CA"/>
              </w:rPr>
              <w:noBreakHyphen/>
              <w:t>il s’appliquer de manière formelle ou tenant compte du contexte? — Le principe doit</w:t>
            </w:r>
            <w:r w:rsidRPr="00016113">
              <w:rPr>
                <w:sz w:val="20"/>
                <w:lang w:val="fr-CA"/>
              </w:rPr>
              <w:noBreakHyphen/>
              <w:t>il s’appliquer dans le cas d’un témoignage déposé en vertu de l’art. 715(1) du Code criminel? — Dans la détermination du remède, y a</w:t>
            </w:r>
            <w:r w:rsidRPr="00016113">
              <w:rPr>
                <w:sz w:val="20"/>
                <w:lang w:val="fr-CA"/>
              </w:rPr>
              <w:noBreakHyphen/>
              <w:t>t</w:t>
            </w:r>
            <w:r w:rsidRPr="00016113">
              <w:rPr>
                <w:sz w:val="20"/>
                <w:lang w:val="fr-CA"/>
              </w:rPr>
              <w:noBreakHyphen/>
              <w:t>il des facteurs que le juge doit prendre en considération? — Une instance d’appel peut</w:t>
            </w:r>
            <w:r w:rsidRPr="00016113">
              <w:rPr>
                <w:sz w:val="20"/>
                <w:lang w:val="fr-CA"/>
              </w:rPr>
              <w:noBreakHyphen/>
              <w:t>elle complètement omettre de traiter d’un moyen d’appel qui n’est pas manifestement futile?</w:t>
            </w:r>
          </w:p>
        </w:tc>
      </w:tr>
      <w:tr w:rsidR="00F95A12" w:rsidRPr="00016113" w:rsidTr="00F95A12">
        <w:tc>
          <w:tcPr>
            <w:tcW w:w="5000" w:type="pct"/>
            <w:gridSpan w:val="4"/>
          </w:tcPr>
          <w:p w:rsidR="00F95A12" w:rsidRPr="00016113" w:rsidRDefault="00F95A12" w:rsidP="00F95A12">
            <w:pPr>
              <w:jc w:val="both"/>
              <w:rPr>
                <w:sz w:val="20"/>
                <w:lang w:val="fr-CA"/>
              </w:rPr>
            </w:pPr>
          </w:p>
        </w:tc>
      </w:tr>
      <w:tr w:rsidR="00F95A12" w:rsidRPr="00016113" w:rsidTr="00F95A12">
        <w:tc>
          <w:tcPr>
            <w:tcW w:w="5000" w:type="pct"/>
            <w:gridSpan w:val="4"/>
          </w:tcPr>
          <w:p w:rsidR="00F95A12" w:rsidRPr="00016113" w:rsidRDefault="00F95A12" w:rsidP="00F95A12">
            <w:pPr>
              <w:jc w:val="both"/>
              <w:rPr>
                <w:sz w:val="20"/>
                <w:lang w:val="fr-CA"/>
              </w:rPr>
            </w:pPr>
            <w:r w:rsidRPr="00016113">
              <w:rPr>
                <w:sz w:val="20"/>
                <w:lang w:val="fr-CA"/>
              </w:rPr>
              <w:t>En Cour supérieure, un jury trouve le demandeur M. Ménard coupable du meurtre au premier degré de M. </w:t>
            </w:r>
            <w:proofErr w:type="spellStart"/>
            <w:r w:rsidRPr="00016113">
              <w:rPr>
                <w:sz w:val="20"/>
                <w:lang w:val="fr-CA"/>
              </w:rPr>
              <w:t>Tidiani</w:t>
            </w:r>
            <w:proofErr w:type="spellEnd"/>
            <w:r w:rsidRPr="00016113">
              <w:rPr>
                <w:sz w:val="20"/>
                <w:lang w:val="fr-CA"/>
              </w:rPr>
              <w:t xml:space="preserve"> Keita. La Cour d’appel rejette l’appel de M. Ménard de façon unanime. Elle considère que le juge du procès avait raison de conclure que l’avocat de M. Ménard avait choisi pour des motifs stratégiques de ne pas confronter M. Samson à l’affirmation de M. Ménard selon laquelle ce serait plutôt M. Samson qui aurait causé la mort de M. Keita. De l’avis de la Cour d’appel, il serait ainsi inapproprié d’ordonner la tenue d’un nouveau procès pour ce motif.</w:t>
            </w:r>
          </w:p>
          <w:p w:rsidR="00F95A12" w:rsidRPr="00016113" w:rsidRDefault="00F95A12" w:rsidP="00F95A12">
            <w:pPr>
              <w:jc w:val="both"/>
              <w:rPr>
                <w:sz w:val="20"/>
                <w:lang w:val="fr-CA"/>
              </w:rPr>
            </w:pPr>
          </w:p>
        </w:tc>
      </w:tr>
      <w:tr w:rsidR="00F95A12" w:rsidRPr="00016113" w:rsidTr="00F95A12">
        <w:tc>
          <w:tcPr>
            <w:tcW w:w="2427" w:type="pct"/>
            <w:gridSpan w:val="2"/>
          </w:tcPr>
          <w:p w:rsidR="00F95A12" w:rsidRPr="00016113" w:rsidRDefault="00F95A12" w:rsidP="00F95A12">
            <w:pPr>
              <w:jc w:val="both"/>
              <w:rPr>
                <w:sz w:val="20"/>
                <w:lang w:val="fr-CA"/>
              </w:rPr>
            </w:pPr>
            <w:r w:rsidRPr="00016113">
              <w:rPr>
                <w:sz w:val="20"/>
                <w:lang w:val="fr-CA"/>
              </w:rPr>
              <w:t>Le 7 octobre 2017</w:t>
            </w:r>
          </w:p>
          <w:p w:rsidR="00F95A12" w:rsidRPr="00016113" w:rsidRDefault="00F95A12" w:rsidP="00F95A12">
            <w:pPr>
              <w:jc w:val="both"/>
              <w:rPr>
                <w:sz w:val="20"/>
                <w:lang w:val="fr-CA"/>
              </w:rPr>
            </w:pPr>
            <w:r w:rsidRPr="00016113">
              <w:rPr>
                <w:sz w:val="20"/>
                <w:lang w:val="fr-CA"/>
              </w:rPr>
              <w:t>Cour supérieure du Québec</w:t>
            </w:r>
          </w:p>
          <w:p w:rsidR="00F95A12" w:rsidRPr="00016113" w:rsidRDefault="00F95A12" w:rsidP="00F95A12">
            <w:pPr>
              <w:jc w:val="both"/>
              <w:rPr>
                <w:sz w:val="20"/>
              </w:rPr>
            </w:pPr>
            <w:r w:rsidRPr="00016113">
              <w:rPr>
                <w:sz w:val="20"/>
              </w:rPr>
              <w:t>(le juge Vincent)</w:t>
            </w:r>
          </w:p>
          <w:p w:rsidR="00F95A12" w:rsidRPr="00016113" w:rsidRDefault="00F95A12" w:rsidP="00F95A12">
            <w:pPr>
              <w:jc w:val="both"/>
              <w:rPr>
                <w:sz w:val="20"/>
              </w:rPr>
            </w:pPr>
            <w:r w:rsidRPr="00016113">
              <w:rPr>
                <w:sz w:val="20"/>
              </w:rPr>
              <w:t>500</w:t>
            </w:r>
            <w:r w:rsidRPr="00016113">
              <w:rPr>
                <w:sz w:val="20"/>
              </w:rPr>
              <w:noBreakHyphen/>
              <w:t>01</w:t>
            </w:r>
            <w:r w:rsidRPr="00016113">
              <w:rPr>
                <w:sz w:val="20"/>
              </w:rPr>
              <w:noBreakHyphen/>
              <w:t>015745</w:t>
            </w:r>
            <w:r w:rsidRPr="00016113">
              <w:rPr>
                <w:sz w:val="20"/>
              </w:rPr>
              <w:noBreakHyphen/>
              <w:t>083</w:t>
            </w:r>
          </w:p>
          <w:p w:rsidR="00F95A12" w:rsidRPr="00016113" w:rsidRDefault="00F95A12" w:rsidP="00F95A12">
            <w:pPr>
              <w:jc w:val="both"/>
              <w:rPr>
                <w:sz w:val="20"/>
              </w:rPr>
            </w:pPr>
          </w:p>
        </w:tc>
        <w:tc>
          <w:tcPr>
            <w:tcW w:w="243" w:type="pct"/>
          </w:tcPr>
          <w:p w:rsidR="00F95A12" w:rsidRPr="00016113" w:rsidRDefault="00F95A12" w:rsidP="00F95A12">
            <w:pPr>
              <w:jc w:val="both"/>
              <w:rPr>
                <w:sz w:val="20"/>
              </w:rPr>
            </w:pPr>
          </w:p>
        </w:tc>
        <w:tc>
          <w:tcPr>
            <w:tcW w:w="2330" w:type="pct"/>
          </w:tcPr>
          <w:p w:rsidR="00F95A12" w:rsidRPr="00016113" w:rsidRDefault="00F95A12" w:rsidP="00F95A12">
            <w:pPr>
              <w:jc w:val="both"/>
              <w:rPr>
                <w:sz w:val="20"/>
                <w:lang w:val="fr-CA"/>
              </w:rPr>
            </w:pPr>
            <w:r w:rsidRPr="00016113">
              <w:rPr>
                <w:sz w:val="20"/>
                <w:lang w:val="fr-CA"/>
              </w:rPr>
              <w:t>Verdict de culpabilité pour meurtre au premier degré rendu par jury et sentence prononcée</w:t>
            </w:r>
          </w:p>
          <w:p w:rsidR="00F95A12" w:rsidRPr="00016113" w:rsidRDefault="00F95A12" w:rsidP="00F95A12">
            <w:pPr>
              <w:jc w:val="both"/>
              <w:rPr>
                <w:sz w:val="20"/>
                <w:lang w:val="fr-CA"/>
              </w:rPr>
            </w:pPr>
          </w:p>
        </w:tc>
      </w:tr>
      <w:tr w:rsidR="00F95A12" w:rsidRPr="00016113" w:rsidTr="00F95A12">
        <w:tc>
          <w:tcPr>
            <w:tcW w:w="2427" w:type="pct"/>
            <w:gridSpan w:val="2"/>
          </w:tcPr>
          <w:p w:rsidR="00F95A12" w:rsidRPr="00016113" w:rsidRDefault="00F95A12" w:rsidP="00F95A12">
            <w:pPr>
              <w:jc w:val="both"/>
              <w:rPr>
                <w:sz w:val="20"/>
                <w:lang w:val="fr-CA"/>
              </w:rPr>
            </w:pPr>
            <w:r w:rsidRPr="00016113">
              <w:rPr>
                <w:sz w:val="20"/>
                <w:lang w:val="fr-CA"/>
              </w:rPr>
              <w:t>Le 21 février 2020</w:t>
            </w:r>
          </w:p>
          <w:p w:rsidR="00F95A12" w:rsidRPr="00016113" w:rsidRDefault="00F95A12" w:rsidP="00F95A12">
            <w:pPr>
              <w:jc w:val="both"/>
              <w:rPr>
                <w:sz w:val="20"/>
                <w:lang w:val="fr-CA"/>
              </w:rPr>
            </w:pPr>
            <w:r w:rsidRPr="00016113">
              <w:rPr>
                <w:sz w:val="20"/>
                <w:lang w:val="fr-CA"/>
              </w:rPr>
              <w:t>Cour d’appel du Québec (Montréal)</w:t>
            </w:r>
          </w:p>
          <w:p w:rsidR="00F95A12" w:rsidRPr="00016113" w:rsidRDefault="00F95A12" w:rsidP="00F95A12">
            <w:pPr>
              <w:jc w:val="both"/>
              <w:rPr>
                <w:sz w:val="20"/>
                <w:lang w:val="fr-CA"/>
              </w:rPr>
            </w:pPr>
            <w:r w:rsidRPr="00016113">
              <w:rPr>
                <w:sz w:val="20"/>
                <w:lang w:val="fr-CA"/>
              </w:rPr>
              <w:t xml:space="preserve">(les juges Hilton, Roy et </w:t>
            </w:r>
            <w:proofErr w:type="spellStart"/>
            <w:r w:rsidRPr="00016113">
              <w:rPr>
                <w:sz w:val="20"/>
                <w:lang w:val="fr-CA"/>
              </w:rPr>
              <w:t>Cotnam</w:t>
            </w:r>
            <w:proofErr w:type="spellEnd"/>
            <w:r w:rsidRPr="00016113">
              <w:rPr>
                <w:sz w:val="20"/>
                <w:lang w:val="fr-CA"/>
              </w:rPr>
              <w:t>)</w:t>
            </w:r>
          </w:p>
          <w:p w:rsidR="00F95A12" w:rsidRPr="00016113" w:rsidRDefault="00F95A12" w:rsidP="00F95A12">
            <w:pPr>
              <w:jc w:val="both"/>
              <w:rPr>
                <w:sz w:val="20"/>
              </w:rPr>
            </w:pPr>
            <w:hyperlink r:id="rId60" w:history="1">
              <w:r w:rsidRPr="00016113">
                <w:rPr>
                  <w:rStyle w:val="Hyperlink"/>
                  <w:sz w:val="20"/>
                </w:rPr>
                <w:t>2020 QCCA 281</w:t>
              </w:r>
            </w:hyperlink>
          </w:p>
          <w:p w:rsidR="00F95A12" w:rsidRPr="00016113" w:rsidRDefault="00F95A12" w:rsidP="00F95A12">
            <w:pPr>
              <w:jc w:val="both"/>
              <w:rPr>
                <w:sz w:val="20"/>
              </w:rPr>
            </w:pPr>
          </w:p>
        </w:tc>
        <w:tc>
          <w:tcPr>
            <w:tcW w:w="243" w:type="pct"/>
          </w:tcPr>
          <w:p w:rsidR="00F95A12" w:rsidRPr="00016113" w:rsidRDefault="00F95A12" w:rsidP="00F95A12">
            <w:pPr>
              <w:jc w:val="both"/>
              <w:rPr>
                <w:sz w:val="20"/>
              </w:rPr>
            </w:pPr>
          </w:p>
        </w:tc>
        <w:tc>
          <w:tcPr>
            <w:tcW w:w="2330" w:type="pct"/>
          </w:tcPr>
          <w:p w:rsidR="00F95A12" w:rsidRPr="00016113" w:rsidRDefault="00F95A12" w:rsidP="00F95A12">
            <w:pPr>
              <w:jc w:val="both"/>
              <w:rPr>
                <w:sz w:val="20"/>
              </w:rPr>
            </w:pPr>
            <w:r w:rsidRPr="00016113">
              <w:rPr>
                <w:sz w:val="20"/>
              </w:rPr>
              <w:t xml:space="preserve">Pourvoi rejeté </w:t>
            </w:r>
          </w:p>
        </w:tc>
      </w:tr>
      <w:tr w:rsidR="00F95A12" w:rsidRPr="00016113" w:rsidTr="00F95A12">
        <w:tc>
          <w:tcPr>
            <w:tcW w:w="2427" w:type="pct"/>
            <w:gridSpan w:val="2"/>
          </w:tcPr>
          <w:p w:rsidR="00F95A12" w:rsidRPr="00016113" w:rsidRDefault="00F95A12" w:rsidP="00F95A12">
            <w:pPr>
              <w:jc w:val="both"/>
              <w:rPr>
                <w:sz w:val="20"/>
                <w:lang w:val="fr-CA"/>
              </w:rPr>
            </w:pPr>
            <w:r w:rsidRPr="00016113">
              <w:rPr>
                <w:sz w:val="20"/>
                <w:lang w:val="fr-CA"/>
              </w:rPr>
              <w:t>Le 23 avril 2020</w:t>
            </w:r>
          </w:p>
          <w:p w:rsidR="00F95A12" w:rsidRPr="00016113" w:rsidRDefault="00F95A12" w:rsidP="00F95A12">
            <w:pPr>
              <w:jc w:val="both"/>
              <w:rPr>
                <w:sz w:val="20"/>
                <w:lang w:val="fr-CA"/>
              </w:rPr>
            </w:pPr>
            <w:r w:rsidRPr="00016113">
              <w:rPr>
                <w:sz w:val="20"/>
                <w:lang w:val="fr-CA"/>
              </w:rPr>
              <w:t>Cour suprême du Canada</w:t>
            </w:r>
          </w:p>
        </w:tc>
        <w:tc>
          <w:tcPr>
            <w:tcW w:w="243" w:type="pct"/>
          </w:tcPr>
          <w:p w:rsidR="00F95A12" w:rsidRPr="00016113" w:rsidRDefault="00F95A12" w:rsidP="00F95A12">
            <w:pPr>
              <w:jc w:val="both"/>
              <w:rPr>
                <w:sz w:val="20"/>
                <w:lang w:val="fr-CA"/>
              </w:rPr>
            </w:pPr>
          </w:p>
        </w:tc>
        <w:tc>
          <w:tcPr>
            <w:tcW w:w="2330" w:type="pct"/>
          </w:tcPr>
          <w:p w:rsidR="00F95A12" w:rsidRPr="00016113" w:rsidRDefault="00F95A12" w:rsidP="00F95A12">
            <w:pPr>
              <w:jc w:val="both"/>
              <w:rPr>
                <w:sz w:val="20"/>
              </w:rPr>
            </w:pPr>
            <w:r w:rsidRPr="00016113">
              <w:rPr>
                <w:sz w:val="20"/>
              </w:rPr>
              <w:t>Demande d’autorisation d’appel déposée</w:t>
            </w:r>
          </w:p>
          <w:p w:rsidR="00F95A12" w:rsidRPr="00016113" w:rsidRDefault="00F95A12" w:rsidP="00F95A12">
            <w:pPr>
              <w:jc w:val="both"/>
              <w:rPr>
                <w:sz w:val="20"/>
              </w:rPr>
            </w:pPr>
          </w:p>
        </w:tc>
      </w:tr>
    </w:tbl>
    <w:p w:rsidR="00F95A12" w:rsidRPr="00016113" w:rsidRDefault="00F95A12" w:rsidP="00F95A12">
      <w:pPr>
        <w:jc w:val="both"/>
        <w:rPr>
          <w:sz w:val="20"/>
        </w:rPr>
      </w:pPr>
    </w:p>
    <w:p w:rsidR="004F14BB" w:rsidRPr="00016113" w:rsidRDefault="004F14BB" w:rsidP="00F95A12">
      <w:pPr>
        <w:jc w:val="both"/>
        <w:rPr>
          <w:sz w:val="20"/>
        </w:rPr>
      </w:pPr>
      <w:r w:rsidRPr="00016113">
        <w:rPr>
          <w:sz w:val="20"/>
        </w:rPr>
        <w:pict>
          <v:rect id="_x0000_i1050" style="width:2in;height:1pt" o:hrpct="0" o:hralign="center" o:hrstd="t" o:hrnoshade="t" o:hr="t" fillcolor="black [3213]" stroked="f"/>
        </w:pict>
      </w:r>
    </w:p>
    <w:p w:rsidR="00F95A12" w:rsidRPr="00016113" w:rsidRDefault="00F95A12" w:rsidP="00F95A1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95A12" w:rsidRPr="00016113" w:rsidTr="00F95A12">
        <w:tc>
          <w:tcPr>
            <w:tcW w:w="543" w:type="pct"/>
          </w:tcPr>
          <w:p w:rsidR="00F95A12" w:rsidRPr="00016113" w:rsidRDefault="00F95A12" w:rsidP="00F95A12">
            <w:pPr>
              <w:jc w:val="both"/>
              <w:rPr>
                <w:sz w:val="20"/>
              </w:rPr>
            </w:pPr>
            <w:r w:rsidRPr="00016113">
              <w:rPr>
                <w:rStyle w:val="SCCFileNumberChar"/>
                <w:sz w:val="20"/>
                <w:szCs w:val="20"/>
              </w:rPr>
              <w:t>39190</w:t>
            </w:r>
          </w:p>
        </w:tc>
        <w:tc>
          <w:tcPr>
            <w:tcW w:w="4457" w:type="pct"/>
            <w:gridSpan w:val="3"/>
          </w:tcPr>
          <w:p w:rsidR="00F95A12" w:rsidRPr="00016113" w:rsidRDefault="00F95A12" w:rsidP="00F95A12">
            <w:pPr>
              <w:pStyle w:val="SCCLsocParty"/>
              <w:jc w:val="both"/>
              <w:rPr>
                <w:b/>
                <w:sz w:val="20"/>
                <w:szCs w:val="20"/>
                <w:lang w:val="en-US"/>
              </w:rPr>
            </w:pPr>
            <w:r w:rsidRPr="00016113">
              <w:rPr>
                <w:b/>
                <w:sz w:val="20"/>
                <w:szCs w:val="20"/>
                <w:lang w:val="en-US"/>
              </w:rPr>
              <w:t>Caroline Colitto v. Her Majesty the Queen</w:t>
            </w:r>
          </w:p>
          <w:p w:rsidR="00F95A12" w:rsidRPr="00016113" w:rsidRDefault="004F14BB" w:rsidP="00F95A12">
            <w:pPr>
              <w:jc w:val="both"/>
              <w:rPr>
                <w:sz w:val="20"/>
              </w:rPr>
            </w:pPr>
            <w:r w:rsidRPr="00016113">
              <w:rPr>
                <w:sz w:val="20"/>
              </w:rPr>
              <w:t>(F.C.) (Civil) (By Leave)</w:t>
            </w:r>
          </w:p>
        </w:tc>
      </w:tr>
      <w:tr w:rsidR="00F95A12" w:rsidRPr="00016113" w:rsidTr="00F95A12">
        <w:tc>
          <w:tcPr>
            <w:tcW w:w="5000" w:type="pct"/>
            <w:gridSpan w:val="4"/>
          </w:tcPr>
          <w:p w:rsidR="00F95A12" w:rsidRPr="00016113" w:rsidRDefault="00F95A12" w:rsidP="00F95A12">
            <w:pPr>
              <w:jc w:val="both"/>
              <w:rPr>
                <w:sz w:val="20"/>
              </w:rPr>
            </w:pPr>
            <w:r w:rsidRPr="00016113">
              <w:rPr>
                <w:sz w:val="20"/>
              </w:rPr>
              <w:t xml:space="preserve">Taxation — Income tax — Assessment — Legislation — Interpretation — Whether corporate directors become immediately liable with corporation for unremitted source deductions — Proper approach to statutory interpretation where taxation provision reflects competing statutory purposes — </w:t>
            </w:r>
            <w:r w:rsidRPr="00016113">
              <w:rPr>
                <w:i/>
                <w:sz w:val="20"/>
              </w:rPr>
              <w:t>Income Tax Act</w:t>
            </w:r>
            <w:r w:rsidRPr="00016113">
              <w:rPr>
                <w:sz w:val="20"/>
              </w:rPr>
              <w:t>, R.S.C. 1985, c. 1 (5th Supp.), ss. 160, 227.1</w:t>
            </w:r>
          </w:p>
        </w:tc>
      </w:tr>
      <w:tr w:rsidR="00F95A12" w:rsidRPr="00016113" w:rsidTr="00F95A12">
        <w:tc>
          <w:tcPr>
            <w:tcW w:w="5000" w:type="pct"/>
            <w:gridSpan w:val="4"/>
          </w:tcPr>
          <w:p w:rsidR="00F95A12" w:rsidRPr="00016113" w:rsidRDefault="00F95A12" w:rsidP="00F95A12">
            <w:pPr>
              <w:jc w:val="both"/>
              <w:rPr>
                <w:sz w:val="20"/>
              </w:rPr>
            </w:pPr>
          </w:p>
        </w:tc>
      </w:tr>
      <w:tr w:rsidR="00F95A12" w:rsidRPr="00016113" w:rsidTr="00F95A12">
        <w:tc>
          <w:tcPr>
            <w:tcW w:w="5000" w:type="pct"/>
            <w:gridSpan w:val="4"/>
          </w:tcPr>
          <w:p w:rsidR="00F95A12" w:rsidRPr="00016113" w:rsidRDefault="00F95A12" w:rsidP="00F95A12">
            <w:pPr>
              <w:widowControl w:val="0"/>
              <w:jc w:val="both"/>
              <w:rPr>
                <w:color w:val="373739"/>
                <w:sz w:val="20"/>
              </w:rPr>
            </w:pPr>
            <w:r w:rsidRPr="00016113">
              <w:rPr>
                <w:color w:val="373739"/>
                <w:sz w:val="20"/>
              </w:rPr>
              <w:t>Ms. </w:t>
            </w:r>
            <w:proofErr w:type="spellStart"/>
            <w:r w:rsidRPr="00016113">
              <w:rPr>
                <w:color w:val="373739"/>
                <w:sz w:val="20"/>
              </w:rPr>
              <w:t>Colitto’s</w:t>
            </w:r>
            <w:proofErr w:type="spellEnd"/>
            <w:r w:rsidRPr="00016113">
              <w:rPr>
                <w:color w:val="373739"/>
                <w:sz w:val="20"/>
              </w:rPr>
              <w:t xml:space="preserve"> husband was a director and shareholder of Core Precision Technologies Ltd., which in 2008, failed to remit source deductions to the Minister of National Revenue. In 2008, Mr. Colitto transferred 50% of his interests in each of two properties to Ms. Colitto. She paid two dollars for each transfer and received interests with fair market values of $41,250 and $187,500. A notice of assessment to Core Precision Technologies Ltd. was issued. Its tax debt was registered in court, executed, and returned unsatisfied. In 2011, the Minister issued notices of assessment to Mr. Colitto for the amount of Core Precision Technologies Ltd.’s tax debt. In 2016, pursuant to s. 160 of the </w:t>
            </w:r>
            <w:r w:rsidRPr="00016113">
              <w:rPr>
                <w:i/>
                <w:sz w:val="20"/>
              </w:rPr>
              <w:t>Income Tax Act</w:t>
            </w:r>
            <w:r w:rsidRPr="00016113">
              <w:rPr>
                <w:sz w:val="20"/>
              </w:rPr>
              <w:t xml:space="preserve">, R.S.C. 1985, c. 1 (5th Supp.), </w:t>
            </w:r>
            <w:r w:rsidRPr="00016113">
              <w:rPr>
                <w:color w:val="373739"/>
                <w:sz w:val="20"/>
              </w:rPr>
              <w:t xml:space="preserve">the Minister issued notices of assessment to Ms. Colitto for $187,498 and $41,248, assessed as the fair market values of the benefits received. </w:t>
            </w:r>
            <w:r w:rsidRPr="00016113">
              <w:rPr>
                <w:bCs/>
                <w:color w:val="373739"/>
                <w:sz w:val="20"/>
              </w:rPr>
              <w:t>She</w:t>
            </w:r>
            <w:r w:rsidRPr="00016113">
              <w:rPr>
                <w:b/>
                <w:bCs/>
                <w:color w:val="373739"/>
                <w:sz w:val="20"/>
              </w:rPr>
              <w:t xml:space="preserve"> </w:t>
            </w:r>
            <w:r w:rsidRPr="00016113">
              <w:rPr>
                <w:color w:val="373739"/>
                <w:sz w:val="20"/>
              </w:rPr>
              <w:t xml:space="preserve">filed notices of objection and then appealed to the Tax Court of Canada. The Tax Court of Canada allowed the appeal and set aside the assessments. </w:t>
            </w:r>
            <w:r w:rsidRPr="00016113">
              <w:rPr>
                <w:sz w:val="20"/>
              </w:rPr>
              <w:t>The Federal Court of Appeal allowed an appeal</w:t>
            </w:r>
            <w:r w:rsidRPr="00016113">
              <w:rPr>
                <w:color w:val="373739"/>
                <w:sz w:val="20"/>
              </w:rPr>
              <w:t>.</w:t>
            </w:r>
          </w:p>
          <w:p w:rsidR="00F95A12" w:rsidRPr="00016113" w:rsidRDefault="00F95A12" w:rsidP="00F95A12">
            <w:pPr>
              <w:jc w:val="both"/>
              <w:rPr>
                <w:sz w:val="20"/>
              </w:rPr>
            </w:pPr>
          </w:p>
        </w:tc>
      </w:tr>
      <w:tr w:rsidR="00F95A12" w:rsidRPr="00016113" w:rsidTr="00F95A12">
        <w:tc>
          <w:tcPr>
            <w:tcW w:w="2427" w:type="pct"/>
            <w:gridSpan w:val="2"/>
          </w:tcPr>
          <w:p w:rsidR="00F95A12" w:rsidRPr="00016113" w:rsidRDefault="00F95A12" w:rsidP="00F95A12">
            <w:pPr>
              <w:jc w:val="both"/>
              <w:rPr>
                <w:sz w:val="20"/>
              </w:rPr>
            </w:pPr>
            <w:r w:rsidRPr="00016113">
              <w:rPr>
                <w:sz w:val="20"/>
              </w:rPr>
              <w:t>April 26, 2019</w:t>
            </w:r>
          </w:p>
          <w:p w:rsidR="00F95A12" w:rsidRPr="00016113" w:rsidRDefault="00F95A12" w:rsidP="00F95A12">
            <w:pPr>
              <w:jc w:val="both"/>
              <w:rPr>
                <w:sz w:val="20"/>
              </w:rPr>
            </w:pPr>
            <w:r w:rsidRPr="00016113">
              <w:rPr>
                <w:sz w:val="20"/>
              </w:rPr>
              <w:t>Tax Court of Canada</w:t>
            </w:r>
          </w:p>
          <w:p w:rsidR="00F95A12" w:rsidRPr="00016113" w:rsidRDefault="00F95A12" w:rsidP="00F95A12">
            <w:pPr>
              <w:jc w:val="both"/>
              <w:rPr>
                <w:sz w:val="20"/>
              </w:rPr>
            </w:pPr>
            <w:r w:rsidRPr="00016113">
              <w:rPr>
                <w:sz w:val="20"/>
              </w:rPr>
              <w:t>(Visser J.)</w:t>
            </w:r>
          </w:p>
          <w:p w:rsidR="00F95A12" w:rsidRPr="00016113" w:rsidRDefault="00F95A12" w:rsidP="00F95A12">
            <w:pPr>
              <w:jc w:val="both"/>
              <w:rPr>
                <w:sz w:val="20"/>
              </w:rPr>
            </w:pPr>
            <w:hyperlink r:id="rId61" w:history="1">
              <w:r w:rsidRPr="00016113">
                <w:rPr>
                  <w:rStyle w:val="Hyperlink"/>
                  <w:sz w:val="20"/>
                </w:rPr>
                <w:t>2019 TCC 88</w:t>
              </w:r>
            </w:hyperlink>
          </w:p>
          <w:p w:rsidR="00F95A12" w:rsidRPr="00016113" w:rsidRDefault="00F95A12" w:rsidP="00F95A12">
            <w:pPr>
              <w:jc w:val="both"/>
              <w:rPr>
                <w:sz w:val="20"/>
              </w:rPr>
            </w:pPr>
          </w:p>
        </w:tc>
        <w:tc>
          <w:tcPr>
            <w:tcW w:w="243" w:type="pct"/>
          </w:tcPr>
          <w:p w:rsidR="00F95A12" w:rsidRPr="00016113" w:rsidRDefault="00F95A12" w:rsidP="00F95A12">
            <w:pPr>
              <w:jc w:val="both"/>
              <w:rPr>
                <w:sz w:val="20"/>
              </w:rPr>
            </w:pPr>
          </w:p>
        </w:tc>
        <w:tc>
          <w:tcPr>
            <w:tcW w:w="2330" w:type="pct"/>
          </w:tcPr>
          <w:p w:rsidR="00F95A12" w:rsidRPr="00016113" w:rsidRDefault="00F95A12" w:rsidP="00F95A12">
            <w:pPr>
              <w:jc w:val="both"/>
              <w:rPr>
                <w:sz w:val="20"/>
              </w:rPr>
            </w:pPr>
            <w:r w:rsidRPr="00016113">
              <w:rPr>
                <w:color w:val="373739"/>
                <w:sz w:val="20"/>
              </w:rPr>
              <w:t>Appeals from taxation assessments allowed and assessments vacated</w:t>
            </w:r>
          </w:p>
        </w:tc>
      </w:tr>
      <w:tr w:rsidR="00F95A12" w:rsidRPr="00016113" w:rsidTr="00F95A12">
        <w:tc>
          <w:tcPr>
            <w:tcW w:w="2427" w:type="pct"/>
            <w:gridSpan w:val="2"/>
          </w:tcPr>
          <w:p w:rsidR="00F95A12" w:rsidRPr="00016113" w:rsidRDefault="00F95A12" w:rsidP="00F95A12">
            <w:pPr>
              <w:jc w:val="both"/>
              <w:rPr>
                <w:sz w:val="20"/>
              </w:rPr>
            </w:pPr>
            <w:r w:rsidRPr="00016113">
              <w:rPr>
                <w:sz w:val="20"/>
              </w:rPr>
              <w:t>April 2, 2020</w:t>
            </w:r>
          </w:p>
          <w:p w:rsidR="00F95A12" w:rsidRPr="00016113" w:rsidRDefault="00F95A12" w:rsidP="00F95A12">
            <w:pPr>
              <w:jc w:val="both"/>
              <w:rPr>
                <w:sz w:val="20"/>
              </w:rPr>
            </w:pPr>
            <w:r w:rsidRPr="00016113">
              <w:rPr>
                <w:sz w:val="20"/>
              </w:rPr>
              <w:t>Federal Court of Appeal</w:t>
            </w:r>
          </w:p>
          <w:p w:rsidR="00F95A12" w:rsidRPr="00016113" w:rsidRDefault="00F95A12" w:rsidP="00F95A12">
            <w:pPr>
              <w:jc w:val="both"/>
              <w:rPr>
                <w:sz w:val="20"/>
              </w:rPr>
            </w:pPr>
            <w:r w:rsidRPr="00016113">
              <w:rPr>
                <w:sz w:val="20"/>
              </w:rPr>
              <w:t>(Dawson, Stratas, Laskin JJ.A.)</w:t>
            </w:r>
          </w:p>
          <w:p w:rsidR="00F95A12" w:rsidRPr="00016113" w:rsidRDefault="00F95A12" w:rsidP="00F95A12">
            <w:pPr>
              <w:jc w:val="both"/>
              <w:rPr>
                <w:sz w:val="20"/>
              </w:rPr>
            </w:pPr>
            <w:hyperlink r:id="rId62" w:history="1">
              <w:r w:rsidRPr="00016113">
                <w:rPr>
                  <w:rStyle w:val="Hyperlink"/>
                  <w:sz w:val="20"/>
                </w:rPr>
                <w:t>2020 FCA 70</w:t>
              </w:r>
            </w:hyperlink>
            <w:r w:rsidRPr="00016113">
              <w:rPr>
                <w:color w:val="373739"/>
                <w:sz w:val="20"/>
              </w:rPr>
              <w:t>; A-189-19</w:t>
            </w:r>
          </w:p>
          <w:p w:rsidR="00F95A12" w:rsidRPr="00016113" w:rsidRDefault="00F95A12" w:rsidP="00F95A12">
            <w:pPr>
              <w:jc w:val="both"/>
              <w:rPr>
                <w:sz w:val="20"/>
              </w:rPr>
            </w:pPr>
          </w:p>
        </w:tc>
        <w:tc>
          <w:tcPr>
            <w:tcW w:w="243" w:type="pct"/>
          </w:tcPr>
          <w:p w:rsidR="00F95A12" w:rsidRPr="00016113" w:rsidRDefault="00F95A12" w:rsidP="00F95A12">
            <w:pPr>
              <w:jc w:val="both"/>
              <w:rPr>
                <w:sz w:val="20"/>
              </w:rPr>
            </w:pPr>
          </w:p>
        </w:tc>
        <w:tc>
          <w:tcPr>
            <w:tcW w:w="2330" w:type="pct"/>
          </w:tcPr>
          <w:p w:rsidR="00F95A12" w:rsidRPr="00016113" w:rsidRDefault="00F95A12" w:rsidP="00F95A12">
            <w:pPr>
              <w:jc w:val="both"/>
              <w:rPr>
                <w:sz w:val="20"/>
              </w:rPr>
            </w:pPr>
            <w:r w:rsidRPr="00016113">
              <w:rPr>
                <w:sz w:val="20"/>
              </w:rPr>
              <w:t>Appeal allowed and appeals from assessments dismissed</w:t>
            </w:r>
          </w:p>
        </w:tc>
      </w:tr>
      <w:tr w:rsidR="00F95A12" w:rsidRPr="00016113" w:rsidTr="00F95A12">
        <w:tc>
          <w:tcPr>
            <w:tcW w:w="2427" w:type="pct"/>
            <w:gridSpan w:val="2"/>
          </w:tcPr>
          <w:p w:rsidR="00F95A12" w:rsidRPr="00016113" w:rsidRDefault="00F95A12" w:rsidP="00F95A12">
            <w:pPr>
              <w:jc w:val="both"/>
              <w:rPr>
                <w:sz w:val="20"/>
              </w:rPr>
            </w:pPr>
            <w:r w:rsidRPr="00016113">
              <w:rPr>
                <w:sz w:val="20"/>
              </w:rPr>
              <w:t>June 2, 2020</w:t>
            </w:r>
          </w:p>
          <w:p w:rsidR="00F95A12" w:rsidRPr="00016113" w:rsidRDefault="00F95A12" w:rsidP="00F95A12">
            <w:pPr>
              <w:jc w:val="both"/>
              <w:rPr>
                <w:sz w:val="20"/>
              </w:rPr>
            </w:pPr>
            <w:r w:rsidRPr="00016113">
              <w:rPr>
                <w:sz w:val="20"/>
              </w:rPr>
              <w:t>Supreme Court of Canada</w:t>
            </w:r>
          </w:p>
        </w:tc>
        <w:tc>
          <w:tcPr>
            <w:tcW w:w="243" w:type="pct"/>
          </w:tcPr>
          <w:p w:rsidR="00F95A12" w:rsidRPr="00016113" w:rsidRDefault="00F95A12" w:rsidP="00F95A12">
            <w:pPr>
              <w:jc w:val="both"/>
              <w:rPr>
                <w:sz w:val="20"/>
              </w:rPr>
            </w:pPr>
          </w:p>
        </w:tc>
        <w:tc>
          <w:tcPr>
            <w:tcW w:w="2330" w:type="pct"/>
          </w:tcPr>
          <w:p w:rsidR="00F95A12" w:rsidRPr="00016113" w:rsidRDefault="00F95A12" w:rsidP="00F95A12">
            <w:pPr>
              <w:jc w:val="both"/>
              <w:rPr>
                <w:sz w:val="20"/>
              </w:rPr>
            </w:pPr>
            <w:r w:rsidRPr="00016113">
              <w:rPr>
                <w:sz w:val="20"/>
              </w:rPr>
              <w:t>Application for leave to appeal filed</w:t>
            </w:r>
          </w:p>
          <w:p w:rsidR="00F95A12" w:rsidRPr="00016113" w:rsidRDefault="00F95A12" w:rsidP="00F95A12">
            <w:pPr>
              <w:jc w:val="both"/>
              <w:rPr>
                <w:sz w:val="20"/>
              </w:rPr>
            </w:pPr>
          </w:p>
        </w:tc>
      </w:tr>
    </w:tbl>
    <w:p w:rsidR="00F95A12" w:rsidRPr="00016113" w:rsidRDefault="00F95A12" w:rsidP="00F95A12">
      <w:pPr>
        <w:jc w:val="both"/>
        <w:rPr>
          <w:sz w:val="20"/>
        </w:rPr>
      </w:pPr>
    </w:p>
    <w:p w:rsidR="004F14BB" w:rsidRPr="00016113" w:rsidRDefault="004F14BB" w:rsidP="00F95A12">
      <w:pPr>
        <w:jc w:val="both"/>
        <w:rPr>
          <w:sz w:val="20"/>
        </w:rPr>
      </w:pPr>
      <w:r w:rsidRPr="00016113">
        <w:rPr>
          <w:sz w:val="20"/>
        </w:rPr>
        <w:pict>
          <v:rect id="_x0000_i1051" style="width:2in;height:1pt" o:hrpct="0" o:hralign="center" o:hrstd="t" o:hrnoshade="t" o:hr="t" fillcolor="black [3213]" stroked="f"/>
        </w:pict>
      </w:r>
    </w:p>
    <w:p w:rsidR="004F14BB" w:rsidRPr="00016113" w:rsidRDefault="004F14BB" w:rsidP="00F95A1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95A12" w:rsidRPr="00016113" w:rsidTr="00F95A12">
        <w:tc>
          <w:tcPr>
            <w:tcW w:w="543" w:type="pct"/>
          </w:tcPr>
          <w:p w:rsidR="00F95A12" w:rsidRPr="00016113" w:rsidRDefault="00F95A12" w:rsidP="00F95A12">
            <w:pPr>
              <w:jc w:val="both"/>
              <w:rPr>
                <w:color w:val="000000" w:themeColor="text1"/>
                <w:sz w:val="20"/>
                <w:lang w:val="fr-CA"/>
              </w:rPr>
            </w:pPr>
            <w:r w:rsidRPr="00016113">
              <w:rPr>
                <w:rStyle w:val="SCCFileNumberChar"/>
                <w:color w:val="000000" w:themeColor="text1"/>
                <w:sz w:val="20"/>
                <w:szCs w:val="20"/>
                <w:lang w:val="fr-CA"/>
              </w:rPr>
              <w:t>39190</w:t>
            </w:r>
          </w:p>
        </w:tc>
        <w:tc>
          <w:tcPr>
            <w:tcW w:w="4457" w:type="pct"/>
            <w:gridSpan w:val="3"/>
          </w:tcPr>
          <w:p w:rsidR="00F95A12" w:rsidRPr="00016113" w:rsidRDefault="00F95A12" w:rsidP="00F95A12">
            <w:pPr>
              <w:pStyle w:val="SCCLsocParty"/>
              <w:jc w:val="both"/>
              <w:rPr>
                <w:b/>
                <w:color w:val="000000" w:themeColor="text1"/>
                <w:sz w:val="20"/>
                <w:szCs w:val="20"/>
              </w:rPr>
            </w:pPr>
            <w:r w:rsidRPr="00016113">
              <w:rPr>
                <w:b/>
                <w:color w:val="000000" w:themeColor="text1"/>
                <w:sz w:val="20"/>
                <w:szCs w:val="20"/>
              </w:rPr>
              <w:t>Caroline Colitto c. Sa Majesté la Reine</w:t>
            </w:r>
          </w:p>
          <w:p w:rsidR="00F95A12" w:rsidRPr="00016113" w:rsidRDefault="004F14BB" w:rsidP="00F95A12">
            <w:pPr>
              <w:jc w:val="both"/>
              <w:rPr>
                <w:color w:val="000000" w:themeColor="text1"/>
                <w:sz w:val="20"/>
                <w:lang w:val="fr-CA"/>
              </w:rPr>
            </w:pPr>
            <w:r w:rsidRPr="00016113">
              <w:rPr>
                <w:color w:val="000000" w:themeColor="text1"/>
                <w:sz w:val="20"/>
                <w:lang w:val="fr-CA"/>
              </w:rPr>
              <w:t>(C.F.) (Civile) (Autorisation)</w:t>
            </w:r>
          </w:p>
        </w:tc>
      </w:tr>
      <w:tr w:rsidR="00F95A12" w:rsidRPr="00016113" w:rsidTr="00F95A12">
        <w:tc>
          <w:tcPr>
            <w:tcW w:w="5000" w:type="pct"/>
            <w:gridSpan w:val="4"/>
          </w:tcPr>
          <w:p w:rsidR="00F95A12" w:rsidRPr="00016113" w:rsidRDefault="00F95A12" w:rsidP="00F95A12">
            <w:pPr>
              <w:jc w:val="both"/>
              <w:rPr>
                <w:color w:val="000000" w:themeColor="text1"/>
                <w:sz w:val="20"/>
                <w:lang w:val="fr-CA"/>
              </w:rPr>
            </w:pPr>
            <w:r w:rsidRPr="00016113">
              <w:rPr>
                <w:color w:val="000000" w:themeColor="text1"/>
                <w:sz w:val="20"/>
                <w:lang w:val="fr-CA"/>
              </w:rPr>
              <w:t>Droit fiscal — Impôt sur le revenu — Cotisation — Législation — Interprétation — Les administrateurs d’une personne morale deviennent</w:t>
            </w:r>
            <w:r w:rsidRPr="00016113">
              <w:rPr>
                <w:color w:val="000000" w:themeColor="text1"/>
                <w:sz w:val="20"/>
                <w:lang w:val="fr-CA"/>
              </w:rPr>
              <w:noBreakHyphen/>
              <w:t xml:space="preserve">ils immédiatement responsables à l’égard de retenues à la source non versées? — Bonne méthode d’interprétation de la loi lorsqu’une disposition fiscale reflète des objets législatifs concurrents — </w:t>
            </w:r>
            <w:r w:rsidRPr="00016113">
              <w:rPr>
                <w:i/>
                <w:color w:val="000000" w:themeColor="text1"/>
                <w:sz w:val="20"/>
                <w:lang w:val="fr-CA"/>
              </w:rPr>
              <w:t>Loi de l’impôt sur le revenu</w:t>
            </w:r>
            <w:r w:rsidRPr="00016113">
              <w:rPr>
                <w:color w:val="000000" w:themeColor="text1"/>
                <w:sz w:val="20"/>
                <w:lang w:val="fr-CA"/>
              </w:rPr>
              <w:t>, L.R.C. 1985, ch. 1 (5</w:t>
            </w:r>
            <w:r w:rsidRPr="00016113">
              <w:rPr>
                <w:color w:val="000000" w:themeColor="text1"/>
                <w:sz w:val="20"/>
                <w:vertAlign w:val="superscript"/>
                <w:lang w:val="fr-CA"/>
              </w:rPr>
              <w:t>e</w:t>
            </w:r>
            <w:r w:rsidRPr="00016113">
              <w:rPr>
                <w:color w:val="000000" w:themeColor="text1"/>
                <w:sz w:val="20"/>
                <w:lang w:val="fr-CA"/>
              </w:rPr>
              <w:t xml:space="preserve"> suppl.), art. 160, 227.1</w:t>
            </w:r>
          </w:p>
        </w:tc>
      </w:tr>
      <w:tr w:rsidR="00F95A12" w:rsidRPr="00016113" w:rsidTr="00F95A12">
        <w:tc>
          <w:tcPr>
            <w:tcW w:w="5000" w:type="pct"/>
            <w:gridSpan w:val="4"/>
          </w:tcPr>
          <w:p w:rsidR="00F95A12" w:rsidRPr="00016113" w:rsidRDefault="00F95A12" w:rsidP="00F95A12">
            <w:pPr>
              <w:jc w:val="both"/>
              <w:rPr>
                <w:color w:val="000000" w:themeColor="text1"/>
                <w:sz w:val="20"/>
                <w:lang w:val="fr-CA"/>
              </w:rPr>
            </w:pPr>
          </w:p>
        </w:tc>
      </w:tr>
      <w:tr w:rsidR="00F95A12" w:rsidRPr="00016113" w:rsidTr="00F95A12">
        <w:tc>
          <w:tcPr>
            <w:tcW w:w="5000" w:type="pct"/>
            <w:gridSpan w:val="4"/>
          </w:tcPr>
          <w:p w:rsidR="00F95A12" w:rsidRPr="00016113" w:rsidRDefault="00F95A12" w:rsidP="00F95A12">
            <w:pPr>
              <w:widowControl w:val="0"/>
              <w:jc w:val="both"/>
              <w:rPr>
                <w:color w:val="000000" w:themeColor="text1"/>
                <w:sz w:val="20"/>
                <w:lang w:val="fr-CA"/>
              </w:rPr>
            </w:pPr>
            <w:r w:rsidRPr="00016113">
              <w:rPr>
                <w:color w:val="000000" w:themeColor="text1"/>
                <w:sz w:val="20"/>
                <w:lang w:val="fr-CA"/>
              </w:rPr>
              <w:t>L’époux de Mme Colitto était administrateur et actionnaire de Core Precision Technologies Ltd qui, en 2008, a omis de verser des retenues à la source au ministre du Revenu national. En 2008, M. Colitto a transféré 50 % de sa participation dans chacun des deux biens à Mme Colitto. Celle-ci a payé deux dollars pour chaque transfert et a reçu des participations dont les justes valeurs marchandes s’élevaient à 41 250 $ et 187 500 $. Un avis de cotisation a été délivré à Core Precision Technologies Ltd. Sa dette fiscale a été reconnue par jugement qui a fait l’objet d’une exécution, mais celle</w:t>
            </w:r>
            <w:r w:rsidRPr="00016113">
              <w:rPr>
                <w:color w:val="000000" w:themeColor="text1"/>
                <w:sz w:val="20"/>
                <w:lang w:val="fr-CA"/>
              </w:rPr>
              <w:noBreakHyphen/>
              <w:t xml:space="preserve">ci n’a pu satisfaire au montant du jugement. En 2011, le ministre a délivré des avis de cotisation à M. Colitto pour le montant de la dette fiscale de Core Precision Technologies Ltd. En 2016, en application de l’art. 160 de la </w:t>
            </w:r>
            <w:r w:rsidRPr="00016113">
              <w:rPr>
                <w:i/>
                <w:color w:val="000000" w:themeColor="text1"/>
                <w:sz w:val="20"/>
                <w:lang w:val="fr-CA"/>
              </w:rPr>
              <w:t>Loi de l’impôt sur le revenu</w:t>
            </w:r>
            <w:r w:rsidRPr="00016113">
              <w:rPr>
                <w:color w:val="000000" w:themeColor="text1"/>
                <w:sz w:val="20"/>
                <w:lang w:val="fr-CA"/>
              </w:rPr>
              <w:t>, L.R.C. 1985, ch. 1 (5</w:t>
            </w:r>
            <w:r w:rsidRPr="00016113">
              <w:rPr>
                <w:color w:val="000000" w:themeColor="text1"/>
                <w:sz w:val="20"/>
                <w:vertAlign w:val="superscript"/>
                <w:lang w:val="fr-CA"/>
              </w:rPr>
              <w:t>e</w:t>
            </w:r>
            <w:r w:rsidRPr="00016113">
              <w:rPr>
                <w:color w:val="000000" w:themeColor="text1"/>
                <w:sz w:val="20"/>
                <w:lang w:val="fr-CA"/>
              </w:rPr>
              <w:t xml:space="preserve"> suppl.), le ministre a délivré des avis de cotisation à Mme Colitto pour 187 498 $ et 41 248 $, établis comme la juste valeur marchande des avantages reçus. </w:t>
            </w:r>
            <w:r w:rsidRPr="00016113">
              <w:rPr>
                <w:bCs/>
                <w:color w:val="000000" w:themeColor="text1"/>
                <w:sz w:val="20"/>
                <w:lang w:val="fr-CA"/>
              </w:rPr>
              <w:t>Elle a déposé des avis d’opposition, puis a interjeté appel à la Cour canadienne de l’impôt</w:t>
            </w:r>
            <w:r w:rsidRPr="00016113">
              <w:rPr>
                <w:color w:val="000000" w:themeColor="text1"/>
                <w:sz w:val="20"/>
                <w:lang w:val="fr-CA"/>
              </w:rPr>
              <w:t>. La Cour canadienne de l’impôt a accueilli l’appel et annulé les cotisations. La Cour d’appel fédérale a accueilli l’appel.</w:t>
            </w:r>
          </w:p>
          <w:p w:rsidR="00F95A12" w:rsidRPr="00016113" w:rsidRDefault="00F95A12" w:rsidP="00F95A12">
            <w:pPr>
              <w:jc w:val="both"/>
              <w:rPr>
                <w:color w:val="000000" w:themeColor="text1"/>
                <w:sz w:val="20"/>
                <w:lang w:val="fr-CA"/>
              </w:rPr>
            </w:pPr>
          </w:p>
        </w:tc>
      </w:tr>
      <w:tr w:rsidR="00F95A12" w:rsidRPr="00016113" w:rsidTr="00F95A12">
        <w:tc>
          <w:tcPr>
            <w:tcW w:w="2427" w:type="pct"/>
            <w:gridSpan w:val="2"/>
          </w:tcPr>
          <w:p w:rsidR="00F95A12" w:rsidRPr="00016113" w:rsidRDefault="00F95A12" w:rsidP="00F95A12">
            <w:pPr>
              <w:jc w:val="both"/>
              <w:rPr>
                <w:color w:val="000000" w:themeColor="text1"/>
                <w:sz w:val="20"/>
                <w:lang w:val="fr-CA"/>
              </w:rPr>
            </w:pPr>
            <w:r w:rsidRPr="00016113">
              <w:rPr>
                <w:color w:val="000000" w:themeColor="text1"/>
                <w:sz w:val="20"/>
                <w:lang w:val="fr-CA"/>
              </w:rPr>
              <w:t>26 avril 2019</w:t>
            </w:r>
          </w:p>
          <w:p w:rsidR="00F95A12" w:rsidRPr="00016113" w:rsidRDefault="00F95A12" w:rsidP="00F95A12">
            <w:pPr>
              <w:jc w:val="both"/>
              <w:rPr>
                <w:color w:val="000000" w:themeColor="text1"/>
                <w:sz w:val="20"/>
                <w:lang w:val="fr-CA"/>
              </w:rPr>
            </w:pPr>
            <w:r w:rsidRPr="00016113">
              <w:rPr>
                <w:color w:val="000000" w:themeColor="text1"/>
                <w:sz w:val="20"/>
                <w:lang w:val="fr-CA"/>
              </w:rPr>
              <w:t>Cour canadienne de l’impôt</w:t>
            </w:r>
          </w:p>
          <w:p w:rsidR="00F95A12" w:rsidRPr="00016113" w:rsidRDefault="00F95A12" w:rsidP="00F95A12">
            <w:pPr>
              <w:jc w:val="both"/>
              <w:rPr>
                <w:color w:val="000000" w:themeColor="text1"/>
                <w:sz w:val="20"/>
                <w:lang w:val="fr-CA"/>
              </w:rPr>
            </w:pPr>
            <w:r w:rsidRPr="00016113">
              <w:rPr>
                <w:color w:val="000000" w:themeColor="text1"/>
                <w:sz w:val="20"/>
                <w:lang w:val="fr-CA"/>
              </w:rPr>
              <w:t>(Juge Visser)</w:t>
            </w:r>
          </w:p>
          <w:p w:rsidR="00F95A12" w:rsidRPr="00016113" w:rsidRDefault="00F95A12" w:rsidP="00F95A12">
            <w:pPr>
              <w:jc w:val="both"/>
              <w:rPr>
                <w:color w:val="000000" w:themeColor="text1"/>
                <w:sz w:val="20"/>
                <w:lang w:val="fr-CA"/>
              </w:rPr>
            </w:pPr>
            <w:hyperlink r:id="rId63" w:history="1">
              <w:r w:rsidRPr="00016113">
                <w:rPr>
                  <w:rStyle w:val="Hyperlink"/>
                  <w:color w:val="000000" w:themeColor="text1"/>
                  <w:sz w:val="20"/>
                  <w:lang w:val="fr-CA"/>
                </w:rPr>
                <w:t>2019 TCC 88</w:t>
              </w:r>
            </w:hyperlink>
          </w:p>
          <w:p w:rsidR="00F95A12" w:rsidRPr="00016113" w:rsidRDefault="00F95A12" w:rsidP="00F95A12">
            <w:pPr>
              <w:jc w:val="both"/>
              <w:rPr>
                <w:color w:val="000000" w:themeColor="text1"/>
                <w:sz w:val="20"/>
                <w:lang w:val="fr-CA"/>
              </w:rPr>
            </w:pPr>
          </w:p>
        </w:tc>
        <w:tc>
          <w:tcPr>
            <w:tcW w:w="243" w:type="pct"/>
          </w:tcPr>
          <w:p w:rsidR="00F95A12" w:rsidRPr="00016113" w:rsidRDefault="00F95A12" w:rsidP="00F95A12">
            <w:pPr>
              <w:jc w:val="both"/>
              <w:rPr>
                <w:color w:val="000000" w:themeColor="text1"/>
                <w:sz w:val="20"/>
                <w:lang w:val="fr-CA"/>
              </w:rPr>
            </w:pPr>
          </w:p>
        </w:tc>
        <w:tc>
          <w:tcPr>
            <w:tcW w:w="2330" w:type="pct"/>
          </w:tcPr>
          <w:p w:rsidR="00F95A12" w:rsidRPr="00016113" w:rsidRDefault="00F95A12" w:rsidP="00F95A12">
            <w:pPr>
              <w:jc w:val="both"/>
              <w:rPr>
                <w:color w:val="000000" w:themeColor="text1"/>
                <w:sz w:val="20"/>
                <w:lang w:val="fr-CA"/>
              </w:rPr>
            </w:pPr>
            <w:r w:rsidRPr="00016113">
              <w:rPr>
                <w:color w:val="000000" w:themeColor="text1"/>
                <w:sz w:val="20"/>
                <w:lang w:val="fr-CA"/>
              </w:rPr>
              <w:t>Jugement accueillant les appels des cotisations fiscales et annulant les cotisations</w:t>
            </w:r>
          </w:p>
        </w:tc>
      </w:tr>
      <w:tr w:rsidR="00F95A12" w:rsidRPr="00016113" w:rsidTr="00F95A12">
        <w:tc>
          <w:tcPr>
            <w:tcW w:w="2427" w:type="pct"/>
            <w:gridSpan w:val="2"/>
          </w:tcPr>
          <w:p w:rsidR="00F95A12" w:rsidRPr="00016113" w:rsidRDefault="00F95A12" w:rsidP="00F95A12">
            <w:pPr>
              <w:jc w:val="both"/>
              <w:rPr>
                <w:color w:val="000000" w:themeColor="text1"/>
                <w:sz w:val="20"/>
                <w:lang w:val="fr-CA"/>
              </w:rPr>
            </w:pPr>
            <w:r w:rsidRPr="00016113">
              <w:rPr>
                <w:color w:val="000000" w:themeColor="text1"/>
                <w:sz w:val="20"/>
                <w:lang w:val="fr-CA"/>
              </w:rPr>
              <w:t>2 avril 2020</w:t>
            </w:r>
          </w:p>
          <w:p w:rsidR="00F95A12" w:rsidRPr="00016113" w:rsidRDefault="00F95A12" w:rsidP="00F95A12">
            <w:pPr>
              <w:jc w:val="both"/>
              <w:rPr>
                <w:color w:val="000000" w:themeColor="text1"/>
                <w:sz w:val="20"/>
                <w:lang w:val="fr-CA"/>
              </w:rPr>
            </w:pPr>
            <w:r w:rsidRPr="00016113">
              <w:rPr>
                <w:color w:val="000000" w:themeColor="text1"/>
                <w:sz w:val="20"/>
                <w:lang w:val="fr-CA"/>
              </w:rPr>
              <w:t>Cour d’appel fédérale</w:t>
            </w:r>
          </w:p>
          <w:p w:rsidR="00F95A12" w:rsidRPr="00016113" w:rsidRDefault="00F95A12" w:rsidP="00F95A12">
            <w:pPr>
              <w:jc w:val="both"/>
              <w:rPr>
                <w:color w:val="000000" w:themeColor="text1"/>
                <w:sz w:val="20"/>
                <w:lang w:val="fr-CA"/>
              </w:rPr>
            </w:pPr>
            <w:r w:rsidRPr="00016113">
              <w:rPr>
                <w:color w:val="000000" w:themeColor="text1"/>
                <w:sz w:val="20"/>
                <w:lang w:val="fr-CA"/>
              </w:rPr>
              <w:t>(Juges Dawson, Stratas et Laskin)</w:t>
            </w:r>
          </w:p>
          <w:p w:rsidR="00F95A12" w:rsidRPr="00016113" w:rsidRDefault="00F95A12" w:rsidP="00F95A12">
            <w:pPr>
              <w:jc w:val="both"/>
              <w:rPr>
                <w:color w:val="000000" w:themeColor="text1"/>
                <w:sz w:val="20"/>
                <w:lang w:val="fr-CA"/>
              </w:rPr>
            </w:pPr>
            <w:hyperlink r:id="rId64" w:history="1">
              <w:r w:rsidRPr="00016113">
                <w:rPr>
                  <w:rStyle w:val="Hyperlink"/>
                  <w:color w:val="000000" w:themeColor="text1"/>
                  <w:sz w:val="20"/>
                  <w:lang w:val="fr-CA"/>
                </w:rPr>
                <w:t>2020 FCA 70</w:t>
              </w:r>
            </w:hyperlink>
            <w:r w:rsidRPr="00016113">
              <w:rPr>
                <w:color w:val="000000" w:themeColor="text1"/>
                <w:sz w:val="20"/>
                <w:lang w:val="fr-CA"/>
              </w:rPr>
              <w:t>; A</w:t>
            </w:r>
            <w:r w:rsidRPr="00016113">
              <w:rPr>
                <w:color w:val="000000" w:themeColor="text1"/>
                <w:sz w:val="20"/>
                <w:lang w:val="fr-CA"/>
              </w:rPr>
              <w:noBreakHyphen/>
              <w:t>189</w:t>
            </w:r>
            <w:r w:rsidRPr="00016113">
              <w:rPr>
                <w:color w:val="000000" w:themeColor="text1"/>
                <w:sz w:val="20"/>
                <w:lang w:val="fr-CA"/>
              </w:rPr>
              <w:noBreakHyphen/>
              <w:t>19</w:t>
            </w:r>
          </w:p>
          <w:p w:rsidR="00F95A12" w:rsidRPr="00016113" w:rsidRDefault="00F95A12" w:rsidP="00F95A12">
            <w:pPr>
              <w:jc w:val="both"/>
              <w:rPr>
                <w:color w:val="000000" w:themeColor="text1"/>
                <w:sz w:val="20"/>
                <w:lang w:val="fr-CA"/>
              </w:rPr>
            </w:pPr>
          </w:p>
        </w:tc>
        <w:tc>
          <w:tcPr>
            <w:tcW w:w="243" w:type="pct"/>
          </w:tcPr>
          <w:p w:rsidR="00F95A12" w:rsidRPr="00016113" w:rsidRDefault="00F95A12" w:rsidP="00F95A12">
            <w:pPr>
              <w:jc w:val="both"/>
              <w:rPr>
                <w:color w:val="000000" w:themeColor="text1"/>
                <w:sz w:val="20"/>
                <w:lang w:val="fr-CA"/>
              </w:rPr>
            </w:pPr>
          </w:p>
        </w:tc>
        <w:tc>
          <w:tcPr>
            <w:tcW w:w="2330" w:type="pct"/>
          </w:tcPr>
          <w:p w:rsidR="00F95A12" w:rsidRPr="00016113" w:rsidRDefault="00F95A12" w:rsidP="00F95A12">
            <w:pPr>
              <w:jc w:val="both"/>
              <w:rPr>
                <w:color w:val="000000" w:themeColor="text1"/>
                <w:sz w:val="20"/>
                <w:lang w:val="fr-CA"/>
              </w:rPr>
            </w:pPr>
            <w:r w:rsidRPr="00016113">
              <w:rPr>
                <w:color w:val="000000" w:themeColor="text1"/>
                <w:sz w:val="20"/>
                <w:lang w:val="fr-CA"/>
              </w:rPr>
              <w:t>Arrêt accueillant l’appel et rejetant les appels des cotisations</w:t>
            </w:r>
          </w:p>
        </w:tc>
      </w:tr>
      <w:tr w:rsidR="00F95A12" w:rsidRPr="00016113" w:rsidTr="00F95A12">
        <w:tc>
          <w:tcPr>
            <w:tcW w:w="2427" w:type="pct"/>
            <w:gridSpan w:val="2"/>
          </w:tcPr>
          <w:p w:rsidR="00F95A12" w:rsidRPr="00016113" w:rsidRDefault="00F95A12" w:rsidP="00F95A12">
            <w:pPr>
              <w:jc w:val="both"/>
              <w:rPr>
                <w:color w:val="000000" w:themeColor="text1"/>
                <w:sz w:val="20"/>
                <w:lang w:val="fr-CA"/>
              </w:rPr>
            </w:pPr>
            <w:r w:rsidRPr="00016113">
              <w:rPr>
                <w:color w:val="000000" w:themeColor="text1"/>
                <w:sz w:val="20"/>
                <w:lang w:val="fr-CA"/>
              </w:rPr>
              <w:t>2 juin 2020</w:t>
            </w:r>
          </w:p>
          <w:p w:rsidR="00F95A12" w:rsidRPr="00016113" w:rsidRDefault="00F95A12" w:rsidP="00F95A12">
            <w:pPr>
              <w:jc w:val="both"/>
              <w:rPr>
                <w:color w:val="000000" w:themeColor="text1"/>
                <w:sz w:val="20"/>
                <w:lang w:val="fr-CA"/>
              </w:rPr>
            </w:pPr>
            <w:r w:rsidRPr="00016113">
              <w:rPr>
                <w:color w:val="000000" w:themeColor="text1"/>
                <w:sz w:val="20"/>
                <w:lang w:val="fr-CA"/>
              </w:rPr>
              <w:t>Cour suprême du Canada</w:t>
            </w:r>
          </w:p>
        </w:tc>
        <w:tc>
          <w:tcPr>
            <w:tcW w:w="243" w:type="pct"/>
          </w:tcPr>
          <w:p w:rsidR="00F95A12" w:rsidRPr="00016113" w:rsidRDefault="00F95A12" w:rsidP="00F95A12">
            <w:pPr>
              <w:jc w:val="both"/>
              <w:rPr>
                <w:color w:val="000000" w:themeColor="text1"/>
                <w:sz w:val="20"/>
                <w:lang w:val="fr-CA"/>
              </w:rPr>
            </w:pPr>
          </w:p>
        </w:tc>
        <w:tc>
          <w:tcPr>
            <w:tcW w:w="2330" w:type="pct"/>
          </w:tcPr>
          <w:p w:rsidR="00F95A12" w:rsidRPr="00016113" w:rsidRDefault="00F95A12" w:rsidP="00F95A12">
            <w:pPr>
              <w:jc w:val="both"/>
              <w:rPr>
                <w:color w:val="000000" w:themeColor="text1"/>
                <w:sz w:val="20"/>
                <w:lang w:val="fr-CA"/>
              </w:rPr>
            </w:pPr>
            <w:r w:rsidRPr="00016113">
              <w:rPr>
                <w:color w:val="000000" w:themeColor="text1"/>
                <w:sz w:val="20"/>
                <w:lang w:val="fr-CA"/>
              </w:rPr>
              <w:t>Dépôt de la demande d’autorisation d’appel</w:t>
            </w:r>
          </w:p>
          <w:p w:rsidR="00F95A12" w:rsidRPr="00016113" w:rsidRDefault="00F95A12" w:rsidP="00F95A12">
            <w:pPr>
              <w:jc w:val="both"/>
              <w:rPr>
                <w:color w:val="000000" w:themeColor="text1"/>
                <w:sz w:val="20"/>
                <w:lang w:val="fr-CA"/>
              </w:rPr>
            </w:pPr>
          </w:p>
        </w:tc>
      </w:tr>
    </w:tbl>
    <w:p w:rsidR="00F95A12" w:rsidRPr="00016113" w:rsidRDefault="00F95A12" w:rsidP="00F95A12">
      <w:pPr>
        <w:jc w:val="both"/>
        <w:rPr>
          <w:color w:val="000000" w:themeColor="text1"/>
          <w:sz w:val="20"/>
          <w:lang w:val="fr-CA"/>
        </w:rPr>
      </w:pPr>
    </w:p>
    <w:p w:rsidR="00F95A12" w:rsidRPr="00016113" w:rsidRDefault="004F14BB" w:rsidP="00F95A12">
      <w:pPr>
        <w:jc w:val="both"/>
        <w:rPr>
          <w:sz w:val="20"/>
          <w:lang w:val="fr-CA"/>
        </w:rPr>
      </w:pPr>
      <w:r w:rsidRPr="00016113">
        <w:rPr>
          <w:sz w:val="20"/>
        </w:rPr>
        <w:pict>
          <v:rect id="_x0000_i1052" style="width:2in;height:1pt" o:hrpct="0" o:hralign="center" o:hrstd="t" o:hrnoshade="t" o:hr="t" fillcolor="black [3213]" stroked="f"/>
        </w:pict>
      </w:r>
    </w:p>
    <w:p w:rsidR="004F14BB" w:rsidRPr="00016113" w:rsidRDefault="004F14BB" w:rsidP="00F95A12">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95A12" w:rsidRPr="00016113" w:rsidTr="00F95A12">
        <w:tc>
          <w:tcPr>
            <w:tcW w:w="543" w:type="pct"/>
          </w:tcPr>
          <w:p w:rsidR="00F95A12" w:rsidRPr="00016113" w:rsidRDefault="00F95A12" w:rsidP="00F95A12">
            <w:pPr>
              <w:jc w:val="both"/>
              <w:rPr>
                <w:sz w:val="20"/>
              </w:rPr>
            </w:pPr>
            <w:r w:rsidRPr="00016113">
              <w:rPr>
                <w:rStyle w:val="SCCFileNumberChar"/>
                <w:sz w:val="20"/>
                <w:szCs w:val="20"/>
              </w:rPr>
              <w:t>39261</w:t>
            </w:r>
          </w:p>
        </w:tc>
        <w:tc>
          <w:tcPr>
            <w:tcW w:w="4457" w:type="pct"/>
            <w:gridSpan w:val="3"/>
          </w:tcPr>
          <w:p w:rsidR="00F95A12" w:rsidRPr="00016113" w:rsidRDefault="00F95A12" w:rsidP="00F95A12">
            <w:pPr>
              <w:pStyle w:val="SCCLsocParty"/>
              <w:jc w:val="both"/>
              <w:rPr>
                <w:b/>
                <w:sz w:val="20"/>
                <w:szCs w:val="20"/>
                <w:lang w:val="en-US"/>
              </w:rPr>
            </w:pPr>
            <w:r w:rsidRPr="00016113">
              <w:rPr>
                <w:b/>
                <w:sz w:val="20"/>
                <w:szCs w:val="20"/>
                <w:lang w:val="en-US"/>
              </w:rPr>
              <w:t>James Karygiannis v. City of Toronto, Ulli S. Watkiss, Adam Chaleff</w:t>
            </w:r>
          </w:p>
          <w:p w:rsidR="00F95A12" w:rsidRPr="00016113" w:rsidRDefault="004F14BB" w:rsidP="00F95A12">
            <w:pPr>
              <w:jc w:val="both"/>
              <w:rPr>
                <w:sz w:val="20"/>
              </w:rPr>
            </w:pPr>
            <w:r w:rsidRPr="00016113">
              <w:rPr>
                <w:sz w:val="20"/>
              </w:rPr>
              <w:t>(Ont.) (Civil) (By Leave)</w:t>
            </w:r>
          </w:p>
        </w:tc>
      </w:tr>
      <w:tr w:rsidR="00F95A12" w:rsidRPr="00016113" w:rsidTr="00F95A12">
        <w:tc>
          <w:tcPr>
            <w:tcW w:w="5000" w:type="pct"/>
            <w:gridSpan w:val="4"/>
          </w:tcPr>
          <w:p w:rsidR="00F95A12" w:rsidRPr="00016113" w:rsidRDefault="00F95A12" w:rsidP="00F95A12">
            <w:pPr>
              <w:jc w:val="both"/>
              <w:rPr>
                <w:sz w:val="20"/>
              </w:rPr>
            </w:pPr>
            <w:r w:rsidRPr="00016113">
              <w:rPr>
                <w:sz w:val="20"/>
              </w:rPr>
              <w:t xml:space="preserve">Legislation — Interpretation — Courts — Jurisdiction — Relief from forfeiture of office — True statutory penalties — Did the court below err in finding that s. 88.23 of the </w:t>
            </w:r>
            <w:r w:rsidRPr="00016113">
              <w:rPr>
                <w:i/>
                <w:sz w:val="20"/>
              </w:rPr>
              <w:t>Municipal Elections Act, 1996</w:t>
            </w:r>
            <w:r w:rsidRPr="00016113">
              <w:rPr>
                <w:sz w:val="20"/>
              </w:rPr>
              <w:t>, S.O. 1996, c. 32, Sched. (the “</w:t>
            </w:r>
            <w:r w:rsidRPr="00016113">
              <w:rPr>
                <w:i/>
                <w:sz w:val="20"/>
              </w:rPr>
              <w:t>Act</w:t>
            </w:r>
            <w:r w:rsidRPr="00016113">
              <w:rPr>
                <w:sz w:val="20"/>
              </w:rPr>
              <w:t xml:space="preserve">”) is a true statutory penalty precluding relief from forfeiture and inconsistent with authorities decided at first instance and on appeal across Canada concerning the availability of relief from forfeiture in cases involving a true statutory penalty — Did the Court below err in finding that the broad inherent jurisdiction of the Superior Court of Justice was displaced by amendments to the </w:t>
            </w:r>
            <w:r w:rsidRPr="00016113">
              <w:rPr>
                <w:i/>
                <w:sz w:val="20"/>
              </w:rPr>
              <w:t>Act</w:t>
            </w:r>
            <w:r w:rsidRPr="00016113">
              <w:rPr>
                <w:sz w:val="20"/>
              </w:rPr>
              <w:t xml:space="preserve">, contrary to this Court’s authorities — Did the Court below err in failing to address the applicant’s submissions that the provisions of the </w:t>
            </w:r>
            <w:r w:rsidRPr="00016113">
              <w:rPr>
                <w:i/>
                <w:sz w:val="20"/>
              </w:rPr>
              <w:t>Act</w:t>
            </w:r>
            <w:r w:rsidRPr="00016113">
              <w:rPr>
                <w:sz w:val="20"/>
              </w:rPr>
              <w:t xml:space="preserve"> are internally inconsistent and that the respondent’s interpretation of the </w:t>
            </w:r>
            <w:r w:rsidRPr="00016113">
              <w:rPr>
                <w:i/>
                <w:sz w:val="20"/>
              </w:rPr>
              <w:t>Act</w:t>
            </w:r>
            <w:r w:rsidRPr="00016113">
              <w:rPr>
                <w:sz w:val="20"/>
              </w:rPr>
              <w:t xml:space="preserve"> results in an absurdity insofar as the relevant provisions concerning relief from forfeiture (ss. 88.23 and 92) are more forgiving for a convicted offender than an individual subjected to an automatic, administrative act.</w:t>
            </w:r>
          </w:p>
        </w:tc>
      </w:tr>
      <w:tr w:rsidR="00F95A12" w:rsidRPr="00016113" w:rsidTr="00F95A12">
        <w:tc>
          <w:tcPr>
            <w:tcW w:w="5000" w:type="pct"/>
            <w:gridSpan w:val="4"/>
          </w:tcPr>
          <w:p w:rsidR="00F95A12" w:rsidRPr="00016113" w:rsidRDefault="00F95A12" w:rsidP="00F95A12">
            <w:pPr>
              <w:jc w:val="both"/>
              <w:rPr>
                <w:sz w:val="20"/>
              </w:rPr>
            </w:pPr>
          </w:p>
          <w:p w:rsidR="00F95A12" w:rsidRPr="00016113" w:rsidRDefault="00F95A12" w:rsidP="00F95A12">
            <w:pPr>
              <w:jc w:val="both"/>
              <w:rPr>
                <w:sz w:val="20"/>
              </w:rPr>
            </w:pPr>
            <w:r w:rsidRPr="00016113">
              <w:rPr>
                <w:sz w:val="20"/>
              </w:rPr>
              <w:t>Two complaints were made about the applicant’s allocation of expenses in his financial statement of campaign income and expenses following his re</w:t>
            </w:r>
            <w:r w:rsidRPr="00016113">
              <w:rPr>
                <w:sz w:val="20"/>
              </w:rPr>
              <w:noBreakHyphen/>
              <w:t xml:space="preserve">election as a Councillor for the City of Toronto. A compliance audit was ordered, and the supplementary financial statement the applicant filed revealed that he had exceeded the allowable spending limit for expressions of appreciation during the 2018 election. Under s. 88.23(2) of the </w:t>
            </w:r>
            <w:r w:rsidRPr="00016113">
              <w:rPr>
                <w:i/>
                <w:sz w:val="20"/>
              </w:rPr>
              <w:t>Act</w:t>
            </w:r>
            <w:r w:rsidRPr="00016113">
              <w:rPr>
                <w:sz w:val="20"/>
              </w:rPr>
              <w:t>, automatic forfeiture of office is among the penalties for exceeding the spending limit. The City Clerk advised the applicant that he was removed from office.  The applicant applied for relief from forfeiture, claiming that he had made a good faith error in categorizing his expenses. The respondent, Adam Chaleff, is a Toronto voter who intervened in the proceedings.</w:t>
            </w:r>
          </w:p>
          <w:p w:rsidR="00F95A12" w:rsidRPr="00016113" w:rsidRDefault="00F95A12" w:rsidP="00F95A12">
            <w:pPr>
              <w:jc w:val="both"/>
              <w:rPr>
                <w:sz w:val="20"/>
              </w:rPr>
            </w:pPr>
          </w:p>
          <w:p w:rsidR="00F95A12" w:rsidRPr="00016113" w:rsidRDefault="00F95A12" w:rsidP="00F95A12">
            <w:pPr>
              <w:jc w:val="both"/>
              <w:rPr>
                <w:sz w:val="20"/>
              </w:rPr>
            </w:pPr>
            <w:r w:rsidRPr="00016113">
              <w:rPr>
                <w:sz w:val="20"/>
              </w:rPr>
              <w:t>The Ontario Superior Court of Justice granted the applicant relief from forfeiture. The Ontario Court of Appeal allowed Mr. </w:t>
            </w:r>
            <w:proofErr w:type="spellStart"/>
            <w:r w:rsidRPr="00016113">
              <w:rPr>
                <w:sz w:val="20"/>
              </w:rPr>
              <w:t>Chaleff’s</w:t>
            </w:r>
            <w:proofErr w:type="spellEnd"/>
            <w:r w:rsidRPr="00016113">
              <w:rPr>
                <w:sz w:val="20"/>
              </w:rPr>
              <w:t xml:space="preserve"> appeal and set aside the lower court decision on the basis that there is no jurisdiction to provide relief from forfeiture in these circumstances. The court declared that the applicant was subject to the penalties under s. 88.23(2) of the </w:t>
            </w:r>
            <w:r w:rsidRPr="00016113">
              <w:rPr>
                <w:i/>
                <w:sz w:val="20"/>
              </w:rPr>
              <w:t>Act</w:t>
            </w:r>
            <w:r w:rsidRPr="00016113">
              <w:rPr>
                <w:sz w:val="20"/>
              </w:rPr>
              <w:t>, including forfeiture of his office, but has stayed its decision pending the determination of the application for leave to appeal to the Supreme Court of Canada.</w:t>
            </w:r>
          </w:p>
        </w:tc>
      </w:tr>
      <w:tr w:rsidR="00F95A12" w:rsidRPr="00016113" w:rsidTr="00F95A12">
        <w:tc>
          <w:tcPr>
            <w:tcW w:w="5000" w:type="pct"/>
            <w:gridSpan w:val="4"/>
          </w:tcPr>
          <w:p w:rsidR="00F95A12" w:rsidRPr="00016113" w:rsidRDefault="00F95A12" w:rsidP="00F95A12">
            <w:pPr>
              <w:jc w:val="both"/>
              <w:rPr>
                <w:sz w:val="20"/>
              </w:rPr>
            </w:pPr>
          </w:p>
        </w:tc>
      </w:tr>
      <w:tr w:rsidR="00F95A12" w:rsidRPr="00016113" w:rsidTr="00F95A12">
        <w:tc>
          <w:tcPr>
            <w:tcW w:w="2427" w:type="pct"/>
            <w:gridSpan w:val="2"/>
          </w:tcPr>
          <w:p w:rsidR="00F95A12" w:rsidRPr="00016113" w:rsidRDefault="00F95A12" w:rsidP="00F95A12">
            <w:pPr>
              <w:jc w:val="both"/>
              <w:rPr>
                <w:sz w:val="20"/>
              </w:rPr>
            </w:pPr>
            <w:r w:rsidRPr="00016113">
              <w:rPr>
                <w:sz w:val="20"/>
              </w:rPr>
              <w:t>November 25, 2019</w:t>
            </w:r>
          </w:p>
          <w:p w:rsidR="00F95A12" w:rsidRPr="00016113" w:rsidRDefault="00F95A12" w:rsidP="00F95A12">
            <w:pPr>
              <w:jc w:val="both"/>
              <w:rPr>
                <w:sz w:val="20"/>
              </w:rPr>
            </w:pPr>
            <w:r w:rsidRPr="00016113">
              <w:rPr>
                <w:sz w:val="20"/>
              </w:rPr>
              <w:t>Ontario Superior Court of Justice</w:t>
            </w:r>
          </w:p>
          <w:p w:rsidR="00F95A12" w:rsidRPr="00016113" w:rsidRDefault="00F95A12" w:rsidP="00F95A12">
            <w:pPr>
              <w:jc w:val="both"/>
              <w:rPr>
                <w:sz w:val="20"/>
              </w:rPr>
            </w:pPr>
            <w:r w:rsidRPr="00016113">
              <w:rPr>
                <w:sz w:val="20"/>
              </w:rPr>
              <w:t>(Chalmers J.)</w:t>
            </w:r>
          </w:p>
          <w:p w:rsidR="00F95A12" w:rsidRPr="00016113" w:rsidRDefault="00F95A12" w:rsidP="00F95A12">
            <w:pPr>
              <w:jc w:val="both"/>
              <w:rPr>
                <w:sz w:val="20"/>
              </w:rPr>
            </w:pPr>
            <w:r w:rsidRPr="00016113">
              <w:rPr>
                <w:sz w:val="20"/>
              </w:rPr>
              <w:t>2019 ONSC 6821</w:t>
            </w:r>
          </w:p>
        </w:tc>
        <w:tc>
          <w:tcPr>
            <w:tcW w:w="243" w:type="pct"/>
          </w:tcPr>
          <w:p w:rsidR="00F95A12" w:rsidRPr="00016113" w:rsidRDefault="00F95A12" w:rsidP="00F95A12">
            <w:pPr>
              <w:jc w:val="both"/>
              <w:rPr>
                <w:sz w:val="20"/>
              </w:rPr>
            </w:pPr>
          </w:p>
        </w:tc>
        <w:tc>
          <w:tcPr>
            <w:tcW w:w="2330" w:type="pct"/>
          </w:tcPr>
          <w:p w:rsidR="00F95A12" w:rsidRPr="00016113" w:rsidRDefault="00F95A12" w:rsidP="00F95A12">
            <w:pPr>
              <w:jc w:val="both"/>
              <w:rPr>
                <w:sz w:val="20"/>
              </w:rPr>
            </w:pPr>
            <w:r w:rsidRPr="00016113">
              <w:rPr>
                <w:sz w:val="20"/>
              </w:rPr>
              <w:t>Applicant granted relief from forfeiture of his elected office and relief from the statutory prohibition on being elected or appointed to office.</w:t>
            </w:r>
          </w:p>
          <w:p w:rsidR="00F95A12" w:rsidRPr="00016113" w:rsidRDefault="00F95A12" w:rsidP="00F95A12">
            <w:pPr>
              <w:jc w:val="both"/>
              <w:rPr>
                <w:sz w:val="20"/>
              </w:rPr>
            </w:pPr>
          </w:p>
        </w:tc>
      </w:tr>
      <w:tr w:rsidR="00F95A12" w:rsidRPr="00016113" w:rsidTr="00F95A12">
        <w:tc>
          <w:tcPr>
            <w:tcW w:w="2427" w:type="pct"/>
            <w:gridSpan w:val="2"/>
          </w:tcPr>
          <w:p w:rsidR="00F95A12" w:rsidRPr="00016113" w:rsidRDefault="00F95A12" w:rsidP="00F95A12">
            <w:pPr>
              <w:jc w:val="both"/>
              <w:rPr>
                <w:sz w:val="20"/>
              </w:rPr>
            </w:pPr>
            <w:r w:rsidRPr="00016113">
              <w:rPr>
                <w:sz w:val="20"/>
              </w:rPr>
              <w:t>June 24, 2020</w:t>
            </w:r>
          </w:p>
          <w:p w:rsidR="00F95A12" w:rsidRPr="00016113" w:rsidRDefault="00F95A12" w:rsidP="00F95A12">
            <w:pPr>
              <w:jc w:val="both"/>
              <w:rPr>
                <w:sz w:val="20"/>
              </w:rPr>
            </w:pPr>
            <w:r w:rsidRPr="00016113">
              <w:rPr>
                <w:sz w:val="20"/>
              </w:rPr>
              <w:t>Court of Appeal for Ontario</w:t>
            </w:r>
          </w:p>
          <w:p w:rsidR="00F95A12" w:rsidRPr="00016113" w:rsidRDefault="00F95A12" w:rsidP="00F95A12">
            <w:pPr>
              <w:jc w:val="both"/>
              <w:rPr>
                <w:sz w:val="20"/>
              </w:rPr>
            </w:pPr>
            <w:r w:rsidRPr="00016113">
              <w:rPr>
                <w:sz w:val="20"/>
              </w:rPr>
              <w:t>(</w:t>
            </w:r>
            <w:proofErr w:type="spellStart"/>
            <w:r w:rsidRPr="00016113">
              <w:rPr>
                <w:sz w:val="20"/>
              </w:rPr>
              <w:t>Benotto</w:t>
            </w:r>
            <w:proofErr w:type="spellEnd"/>
            <w:r w:rsidRPr="00016113">
              <w:rPr>
                <w:sz w:val="20"/>
              </w:rPr>
              <w:t xml:space="preserve">, </w:t>
            </w:r>
            <w:proofErr w:type="spellStart"/>
            <w:r w:rsidRPr="00016113">
              <w:rPr>
                <w:sz w:val="20"/>
              </w:rPr>
              <w:t>Zarnett</w:t>
            </w:r>
            <w:proofErr w:type="spellEnd"/>
            <w:r w:rsidRPr="00016113">
              <w:rPr>
                <w:sz w:val="20"/>
              </w:rPr>
              <w:t xml:space="preserve"> and </w:t>
            </w:r>
            <w:proofErr w:type="spellStart"/>
            <w:r w:rsidRPr="00016113">
              <w:rPr>
                <w:sz w:val="20"/>
              </w:rPr>
              <w:t>Thorburn</w:t>
            </w:r>
            <w:proofErr w:type="spellEnd"/>
            <w:r w:rsidRPr="00016113">
              <w:rPr>
                <w:sz w:val="20"/>
              </w:rPr>
              <w:t xml:space="preserve"> JJ.A.)</w:t>
            </w:r>
          </w:p>
          <w:p w:rsidR="00F95A12" w:rsidRPr="00016113" w:rsidRDefault="00F95A12" w:rsidP="00F95A12">
            <w:pPr>
              <w:jc w:val="both"/>
              <w:rPr>
                <w:sz w:val="20"/>
              </w:rPr>
            </w:pPr>
            <w:hyperlink r:id="rId65" w:history="1">
              <w:r w:rsidRPr="00016113">
                <w:rPr>
                  <w:rStyle w:val="Hyperlink"/>
                  <w:sz w:val="20"/>
                </w:rPr>
                <w:t>2020 ONCA 411</w:t>
              </w:r>
            </w:hyperlink>
          </w:p>
          <w:p w:rsidR="00F95A12" w:rsidRPr="00016113" w:rsidRDefault="00F95A12" w:rsidP="00F95A12">
            <w:pPr>
              <w:jc w:val="both"/>
              <w:rPr>
                <w:sz w:val="20"/>
              </w:rPr>
            </w:pPr>
          </w:p>
        </w:tc>
        <w:tc>
          <w:tcPr>
            <w:tcW w:w="243" w:type="pct"/>
          </w:tcPr>
          <w:p w:rsidR="00F95A12" w:rsidRPr="00016113" w:rsidRDefault="00F95A12" w:rsidP="00F95A12">
            <w:pPr>
              <w:jc w:val="both"/>
              <w:rPr>
                <w:sz w:val="20"/>
              </w:rPr>
            </w:pPr>
          </w:p>
        </w:tc>
        <w:tc>
          <w:tcPr>
            <w:tcW w:w="2330" w:type="pct"/>
          </w:tcPr>
          <w:p w:rsidR="00F95A12" w:rsidRPr="00016113" w:rsidRDefault="00F95A12" w:rsidP="00F95A12">
            <w:pPr>
              <w:jc w:val="both"/>
              <w:rPr>
                <w:sz w:val="20"/>
              </w:rPr>
            </w:pPr>
            <w:r w:rsidRPr="00016113">
              <w:rPr>
                <w:sz w:val="20"/>
              </w:rPr>
              <w:t>Appeal allowed, lower court decision set aside; Declaration that applicant is subject to penalties under Act, including forfeiture of his office.</w:t>
            </w:r>
          </w:p>
          <w:p w:rsidR="00F95A12" w:rsidRPr="00016113" w:rsidRDefault="00F95A12" w:rsidP="00F95A12">
            <w:pPr>
              <w:jc w:val="both"/>
              <w:rPr>
                <w:sz w:val="20"/>
              </w:rPr>
            </w:pPr>
          </w:p>
        </w:tc>
      </w:tr>
      <w:tr w:rsidR="00F95A12" w:rsidRPr="00016113" w:rsidTr="00F95A12">
        <w:tc>
          <w:tcPr>
            <w:tcW w:w="2427" w:type="pct"/>
            <w:gridSpan w:val="2"/>
          </w:tcPr>
          <w:p w:rsidR="00F95A12" w:rsidRPr="00016113" w:rsidRDefault="00F95A12" w:rsidP="00F95A12">
            <w:pPr>
              <w:jc w:val="both"/>
              <w:rPr>
                <w:sz w:val="20"/>
              </w:rPr>
            </w:pPr>
            <w:r w:rsidRPr="00016113">
              <w:rPr>
                <w:sz w:val="20"/>
              </w:rPr>
              <w:t>July 24, 2020</w:t>
            </w:r>
          </w:p>
          <w:p w:rsidR="00F95A12" w:rsidRPr="00016113" w:rsidRDefault="00F95A12" w:rsidP="00F95A12">
            <w:pPr>
              <w:jc w:val="both"/>
              <w:rPr>
                <w:sz w:val="20"/>
              </w:rPr>
            </w:pPr>
            <w:r w:rsidRPr="00016113">
              <w:rPr>
                <w:sz w:val="20"/>
              </w:rPr>
              <w:t>Supreme Court of Canada</w:t>
            </w:r>
          </w:p>
        </w:tc>
        <w:tc>
          <w:tcPr>
            <w:tcW w:w="243" w:type="pct"/>
          </w:tcPr>
          <w:p w:rsidR="00F95A12" w:rsidRPr="00016113" w:rsidRDefault="00F95A12" w:rsidP="00F95A12">
            <w:pPr>
              <w:jc w:val="both"/>
              <w:rPr>
                <w:sz w:val="20"/>
              </w:rPr>
            </w:pPr>
          </w:p>
        </w:tc>
        <w:tc>
          <w:tcPr>
            <w:tcW w:w="2330" w:type="pct"/>
          </w:tcPr>
          <w:p w:rsidR="00F95A12" w:rsidRPr="00016113" w:rsidRDefault="00F95A12" w:rsidP="00F95A12">
            <w:pPr>
              <w:jc w:val="both"/>
              <w:rPr>
                <w:sz w:val="20"/>
              </w:rPr>
            </w:pPr>
            <w:r w:rsidRPr="00016113">
              <w:rPr>
                <w:sz w:val="20"/>
              </w:rPr>
              <w:t>Application for leave to appeal filed</w:t>
            </w:r>
          </w:p>
          <w:p w:rsidR="00F95A12" w:rsidRPr="00016113" w:rsidRDefault="00F95A12" w:rsidP="00F95A12">
            <w:pPr>
              <w:jc w:val="both"/>
              <w:rPr>
                <w:sz w:val="20"/>
              </w:rPr>
            </w:pPr>
          </w:p>
        </w:tc>
      </w:tr>
    </w:tbl>
    <w:p w:rsidR="00F95A12" w:rsidRPr="00016113" w:rsidRDefault="00F95A12" w:rsidP="00F95A12">
      <w:pPr>
        <w:jc w:val="both"/>
        <w:rPr>
          <w:sz w:val="20"/>
        </w:rPr>
      </w:pPr>
    </w:p>
    <w:p w:rsidR="004F14BB" w:rsidRPr="00016113" w:rsidRDefault="004F14BB" w:rsidP="00F95A12">
      <w:pPr>
        <w:jc w:val="both"/>
        <w:rPr>
          <w:sz w:val="20"/>
        </w:rPr>
      </w:pPr>
      <w:r w:rsidRPr="00016113">
        <w:rPr>
          <w:sz w:val="20"/>
        </w:rPr>
        <w:pict>
          <v:rect id="_x0000_i1053" style="width:2in;height:1pt" o:hrpct="0" o:hralign="center" o:hrstd="t" o:hrnoshade="t" o:hr="t" fillcolor="black [3213]" stroked="f"/>
        </w:pict>
      </w:r>
    </w:p>
    <w:p w:rsidR="004F14BB" w:rsidRPr="00016113" w:rsidRDefault="004F14BB" w:rsidP="00F95A1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95A12" w:rsidRPr="00016113" w:rsidTr="00F95A12">
        <w:tc>
          <w:tcPr>
            <w:tcW w:w="543" w:type="pct"/>
          </w:tcPr>
          <w:p w:rsidR="00F95A12" w:rsidRPr="00016113" w:rsidRDefault="00F95A12" w:rsidP="00F95A12">
            <w:pPr>
              <w:jc w:val="both"/>
              <w:rPr>
                <w:sz w:val="20"/>
                <w:lang w:val="fr-CA"/>
              </w:rPr>
            </w:pPr>
            <w:r w:rsidRPr="00016113">
              <w:rPr>
                <w:rStyle w:val="SCCFileNumberChar"/>
                <w:sz w:val="20"/>
                <w:szCs w:val="20"/>
                <w:lang w:val="fr-CA"/>
              </w:rPr>
              <w:t>39261</w:t>
            </w:r>
          </w:p>
        </w:tc>
        <w:tc>
          <w:tcPr>
            <w:tcW w:w="4457" w:type="pct"/>
            <w:gridSpan w:val="3"/>
          </w:tcPr>
          <w:p w:rsidR="00F95A12" w:rsidRPr="00016113" w:rsidRDefault="00F95A12" w:rsidP="00F95A12">
            <w:pPr>
              <w:pStyle w:val="SCCLsocParty"/>
              <w:jc w:val="both"/>
              <w:rPr>
                <w:b/>
                <w:sz w:val="20"/>
                <w:szCs w:val="20"/>
              </w:rPr>
            </w:pPr>
            <w:r w:rsidRPr="00016113">
              <w:rPr>
                <w:b/>
                <w:sz w:val="20"/>
                <w:szCs w:val="20"/>
              </w:rPr>
              <w:t>James Karygiannis c. Ville de Toronto, Ulli S. Watkiss, Adam Chaleff</w:t>
            </w:r>
          </w:p>
          <w:p w:rsidR="00F95A12" w:rsidRPr="00016113" w:rsidRDefault="004F14BB" w:rsidP="00F95A12">
            <w:pPr>
              <w:jc w:val="both"/>
              <w:rPr>
                <w:sz w:val="20"/>
                <w:lang w:val="fr-CA"/>
              </w:rPr>
            </w:pPr>
            <w:r w:rsidRPr="00016113">
              <w:rPr>
                <w:sz w:val="20"/>
                <w:lang w:val="fr-CA"/>
              </w:rPr>
              <w:t>(Ont.) (Civile) (Autorisation)</w:t>
            </w:r>
          </w:p>
        </w:tc>
      </w:tr>
      <w:tr w:rsidR="00F95A12" w:rsidRPr="00016113" w:rsidTr="00F95A12">
        <w:tc>
          <w:tcPr>
            <w:tcW w:w="5000" w:type="pct"/>
            <w:gridSpan w:val="4"/>
          </w:tcPr>
          <w:p w:rsidR="00F95A12" w:rsidRPr="00016113" w:rsidRDefault="00F95A12" w:rsidP="00F95A12">
            <w:pPr>
              <w:jc w:val="both"/>
              <w:rPr>
                <w:sz w:val="20"/>
                <w:lang w:val="fr-CA"/>
              </w:rPr>
            </w:pPr>
            <w:r w:rsidRPr="00016113">
              <w:rPr>
                <w:sz w:val="20"/>
                <w:lang w:val="fr-CA"/>
              </w:rPr>
              <w:t>Législation — Interprétation — Tribunaux — Compétence — Levée de la déchéance de charge — Véritables sanctions légales — La juridiction inférieure a</w:t>
            </w:r>
            <w:r w:rsidRPr="00016113">
              <w:rPr>
                <w:sz w:val="20"/>
                <w:lang w:val="fr-CA"/>
              </w:rPr>
              <w:noBreakHyphen/>
              <w:t>t</w:t>
            </w:r>
            <w:r w:rsidRPr="00016113">
              <w:rPr>
                <w:sz w:val="20"/>
                <w:lang w:val="fr-CA"/>
              </w:rPr>
              <w:noBreakHyphen/>
              <w:t xml:space="preserve">elle eu tort de conclure que l’art. 88.23 de la </w:t>
            </w:r>
            <w:r w:rsidRPr="00016113">
              <w:rPr>
                <w:i/>
                <w:sz w:val="20"/>
                <w:lang w:val="fr-CA"/>
              </w:rPr>
              <w:t>Loi de 1996 sur les élections municipales</w:t>
            </w:r>
            <w:r w:rsidRPr="00016113">
              <w:rPr>
                <w:sz w:val="20"/>
                <w:lang w:val="fr-CA"/>
              </w:rPr>
              <w:t>, L.O. 1996, ch. 32, ann. (la « </w:t>
            </w:r>
            <w:r w:rsidRPr="00016113">
              <w:rPr>
                <w:i/>
                <w:sz w:val="20"/>
                <w:lang w:val="fr-CA"/>
              </w:rPr>
              <w:t>Loi</w:t>
            </w:r>
            <w:r w:rsidRPr="00016113">
              <w:rPr>
                <w:sz w:val="20"/>
                <w:lang w:val="fr-CA"/>
              </w:rPr>
              <w:t> ») est une véritable sanction légale qui empêche la levée de la déchéance et incompatible avec la jurisprudence des tribunaux de première instance et d’appel partout au Canada portant sur la possibilité d’obtenir la levée de la déchéance dans les affaires intéressant une véritable sanction légale? — La juridiction inférieure a</w:t>
            </w:r>
            <w:r w:rsidRPr="00016113">
              <w:rPr>
                <w:sz w:val="20"/>
                <w:lang w:val="fr-CA"/>
              </w:rPr>
              <w:noBreakHyphen/>
              <w:t>t</w:t>
            </w:r>
            <w:r w:rsidRPr="00016113">
              <w:rPr>
                <w:sz w:val="20"/>
                <w:lang w:val="fr-CA"/>
              </w:rPr>
              <w:noBreakHyphen/>
              <w:t xml:space="preserve">elle eu tort de conclure que le large pouvoir inhérent de la Cour supérieure de justice avait été écarté par des modifications de la </w:t>
            </w:r>
            <w:r w:rsidRPr="00016113">
              <w:rPr>
                <w:i/>
                <w:sz w:val="20"/>
                <w:lang w:val="fr-CA"/>
              </w:rPr>
              <w:t>Loi</w:t>
            </w:r>
            <w:r w:rsidRPr="00016113">
              <w:rPr>
                <w:sz w:val="20"/>
                <w:lang w:val="fr-CA"/>
              </w:rPr>
              <w:t>, contrairement à la jurisprudence de notre Cour? — La juridiction inférieure a</w:t>
            </w:r>
            <w:r w:rsidRPr="00016113">
              <w:rPr>
                <w:sz w:val="20"/>
                <w:lang w:val="fr-CA"/>
              </w:rPr>
              <w:noBreakHyphen/>
              <w:t>t</w:t>
            </w:r>
            <w:r w:rsidRPr="00016113">
              <w:rPr>
                <w:sz w:val="20"/>
                <w:lang w:val="fr-CA"/>
              </w:rPr>
              <w:noBreakHyphen/>
              <w:t xml:space="preserve">elle eu tort de ne pas traiter les arguments du demandeur selon lesquels les dispositions de la </w:t>
            </w:r>
            <w:r w:rsidRPr="00016113">
              <w:rPr>
                <w:i/>
                <w:sz w:val="20"/>
                <w:lang w:val="fr-CA"/>
              </w:rPr>
              <w:t>Loi</w:t>
            </w:r>
            <w:r w:rsidRPr="00016113">
              <w:rPr>
                <w:sz w:val="20"/>
                <w:lang w:val="fr-CA"/>
              </w:rPr>
              <w:t xml:space="preserve"> souffraient d’une incohérence interne et que l’interprétation de la </w:t>
            </w:r>
            <w:r w:rsidRPr="00016113">
              <w:rPr>
                <w:i/>
                <w:sz w:val="20"/>
                <w:lang w:val="fr-CA"/>
              </w:rPr>
              <w:t>Loi</w:t>
            </w:r>
            <w:r w:rsidRPr="00016113">
              <w:rPr>
                <w:sz w:val="20"/>
                <w:lang w:val="fr-CA"/>
              </w:rPr>
              <w:t xml:space="preserve"> par l’intimée donne lieu à une absurdité dans la mesure où les dispositions pertinentes concernant la levée de la déchéance (art. 88.23 et 92) sont plus clémentes pour un délinquant déclaré coupable que pour une personne faisant l’objet d’un acte administratif automatique.</w:t>
            </w:r>
          </w:p>
        </w:tc>
      </w:tr>
      <w:tr w:rsidR="00F95A12" w:rsidRPr="00016113" w:rsidTr="00F95A12">
        <w:tc>
          <w:tcPr>
            <w:tcW w:w="5000" w:type="pct"/>
            <w:gridSpan w:val="4"/>
          </w:tcPr>
          <w:p w:rsidR="00F95A12" w:rsidRPr="00016113" w:rsidRDefault="00F95A12" w:rsidP="00F95A12">
            <w:pPr>
              <w:jc w:val="both"/>
              <w:rPr>
                <w:sz w:val="20"/>
                <w:lang w:val="fr-CA"/>
              </w:rPr>
            </w:pPr>
          </w:p>
          <w:p w:rsidR="00F95A12" w:rsidRPr="00016113" w:rsidRDefault="00F95A12" w:rsidP="00F95A12">
            <w:pPr>
              <w:jc w:val="both"/>
              <w:rPr>
                <w:sz w:val="20"/>
                <w:lang w:val="fr-CA"/>
              </w:rPr>
            </w:pPr>
            <w:r w:rsidRPr="00016113">
              <w:rPr>
                <w:sz w:val="20"/>
                <w:lang w:val="fr-CA"/>
              </w:rPr>
              <w:t xml:space="preserve">Deux plaintes ont été déposées relativement à l’imputation des dépenses du demandeur dans son état financier des recettes et dépenses de campagne à la suite de sa réélection comme conseiller de la Ville de Toronto. Une vérification de conformité a été ordonnée et l’état financier supplémentaire qu’a déposé le demandeur a révélé qu’il avait dépassé le plafond de dépenses autorisé au titre des marques de reconnaissance pendant l’élection de 2018. En vertu du par. 88.23(2) de la </w:t>
            </w:r>
            <w:r w:rsidRPr="00016113">
              <w:rPr>
                <w:i/>
                <w:sz w:val="20"/>
                <w:lang w:val="fr-CA"/>
              </w:rPr>
              <w:t>Loi</w:t>
            </w:r>
            <w:r w:rsidRPr="00016113">
              <w:rPr>
                <w:sz w:val="20"/>
                <w:lang w:val="fr-CA"/>
              </w:rPr>
              <w:t>, la déchéance automatique de charge fait partie des peines imposées pour dépassement du plafond de dépenses. Le greffier de la Ville a informé le demandeur de sa destitution. Le demandeur a demandé la levée de la déchéance, alléguant qu’il avait commis une erreur de bonne foi dans le classement de ses dépenses. L’intimé, Adam Chaleff, est un électeur de Toronto qui est intervenu à l’instance.</w:t>
            </w:r>
          </w:p>
          <w:p w:rsidR="00F95A12" w:rsidRPr="00016113" w:rsidRDefault="00F95A12" w:rsidP="00F95A12">
            <w:pPr>
              <w:jc w:val="both"/>
              <w:rPr>
                <w:sz w:val="20"/>
                <w:lang w:val="fr-CA"/>
              </w:rPr>
            </w:pPr>
          </w:p>
          <w:p w:rsidR="00F95A12" w:rsidRPr="00016113" w:rsidRDefault="00F95A12" w:rsidP="00F95A12">
            <w:pPr>
              <w:jc w:val="both"/>
              <w:rPr>
                <w:sz w:val="20"/>
                <w:lang w:val="fr-CA"/>
              </w:rPr>
            </w:pPr>
            <w:r w:rsidRPr="00016113">
              <w:rPr>
                <w:sz w:val="20"/>
                <w:lang w:val="fr-CA"/>
              </w:rPr>
              <w:t>La Cour supérieure de justice de l’Ontario a accordé au demandeur la levée de la déchéance. La Cour d’appel de l’Ontario a accueilli l’appel de M. Chaleff et a annulé la décision de la juridiction inférieure au motif que celle</w:t>
            </w:r>
            <w:r w:rsidRPr="00016113">
              <w:rPr>
                <w:sz w:val="20"/>
                <w:lang w:val="fr-CA"/>
              </w:rPr>
              <w:noBreakHyphen/>
              <w:t xml:space="preserve">ci n’avait pas le pouvoir de prononcer la levée de la déchéance en l’espèce. La cour a déclaré que le demandeur était passible des peines prévues au </w:t>
            </w:r>
            <w:proofErr w:type="spellStart"/>
            <w:r w:rsidRPr="00016113">
              <w:rPr>
                <w:sz w:val="20"/>
                <w:lang w:val="fr-CA"/>
              </w:rPr>
              <w:t>par</w:t>
            </w:r>
            <w:proofErr w:type="spellEnd"/>
            <w:r w:rsidRPr="00016113">
              <w:rPr>
                <w:sz w:val="20"/>
                <w:lang w:val="fr-CA"/>
              </w:rPr>
              <w:t xml:space="preserve">. 88.23(2) de la </w:t>
            </w:r>
            <w:r w:rsidRPr="00016113">
              <w:rPr>
                <w:i/>
                <w:sz w:val="20"/>
                <w:lang w:val="fr-CA"/>
              </w:rPr>
              <w:t>Loi</w:t>
            </w:r>
            <w:r w:rsidRPr="00016113">
              <w:rPr>
                <w:sz w:val="20"/>
                <w:lang w:val="fr-CA"/>
              </w:rPr>
              <w:t>, y compris la déchéance de sa charge, mais a suspendu sa décision en attendant que soit tranchée la demande d’autorisation d’appel à la Cour suprême du Canada.</w:t>
            </w:r>
          </w:p>
        </w:tc>
      </w:tr>
      <w:tr w:rsidR="00F95A12" w:rsidRPr="00016113" w:rsidTr="00F95A12">
        <w:tc>
          <w:tcPr>
            <w:tcW w:w="5000" w:type="pct"/>
            <w:gridSpan w:val="4"/>
          </w:tcPr>
          <w:p w:rsidR="00F95A12" w:rsidRPr="00016113" w:rsidRDefault="00F95A12" w:rsidP="00F95A12">
            <w:pPr>
              <w:jc w:val="both"/>
              <w:rPr>
                <w:sz w:val="20"/>
                <w:lang w:val="fr-CA"/>
              </w:rPr>
            </w:pPr>
          </w:p>
        </w:tc>
      </w:tr>
      <w:tr w:rsidR="00F95A12" w:rsidRPr="00016113" w:rsidTr="00F95A12">
        <w:tc>
          <w:tcPr>
            <w:tcW w:w="2427" w:type="pct"/>
            <w:gridSpan w:val="2"/>
          </w:tcPr>
          <w:p w:rsidR="00F95A12" w:rsidRPr="00016113" w:rsidRDefault="00F95A12" w:rsidP="00F95A12">
            <w:pPr>
              <w:jc w:val="both"/>
              <w:rPr>
                <w:sz w:val="20"/>
                <w:lang w:val="fr-CA"/>
              </w:rPr>
            </w:pPr>
            <w:r w:rsidRPr="00016113">
              <w:rPr>
                <w:sz w:val="20"/>
                <w:lang w:val="fr-CA"/>
              </w:rPr>
              <w:t>25 novembre 2019</w:t>
            </w:r>
          </w:p>
          <w:p w:rsidR="00F95A12" w:rsidRPr="00016113" w:rsidRDefault="00F95A12" w:rsidP="00F95A12">
            <w:pPr>
              <w:jc w:val="both"/>
              <w:rPr>
                <w:sz w:val="20"/>
                <w:lang w:val="fr-CA"/>
              </w:rPr>
            </w:pPr>
            <w:r w:rsidRPr="00016113">
              <w:rPr>
                <w:sz w:val="20"/>
                <w:lang w:val="fr-CA"/>
              </w:rPr>
              <w:t>Cour supérieure de justice de l’Ontario</w:t>
            </w:r>
          </w:p>
          <w:p w:rsidR="00F95A12" w:rsidRPr="00016113" w:rsidRDefault="00F95A12" w:rsidP="00F95A12">
            <w:pPr>
              <w:jc w:val="both"/>
              <w:rPr>
                <w:sz w:val="20"/>
                <w:lang w:val="fr-CA"/>
              </w:rPr>
            </w:pPr>
            <w:r w:rsidRPr="00016113">
              <w:rPr>
                <w:sz w:val="20"/>
                <w:lang w:val="fr-CA"/>
              </w:rPr>
              <w:t>(Juge Chalmers)</w:t>
            </w:r>
          </w:p>
          <w:p w:rsidR="00F95A12" w:rsidRPr="00016113" w:rsidRDefault="00F95A12" w:rsidP="00F95A12">
            <w:pPr>
              <w:jc w:val="both"/>
              <w:rPr>
                <w:sz w:val="20"/>
                <w:lang w:val="fr-CA"/>
              </w:rPr>
            </w:pPr>
            <w:r w:rsidRPr="00016113">
              <w:rPr>
                <w:sz w:val="20"/>
                <w:lang w:val="fr-CA"/>
              </w:rPr>
              <w:t>2019 ONSC 6821</w:t>
            </w:r>
          </w:p>
        </w:tc>
        <w:tc>
          <w:tcPr>
            <w:tcW w:w="243" w:type="pct"/>
          </w:tcPr>
          <w:p w:rsidR="00F95A12" w:rsidRPr="00016113" w:rsidRDefault="00F95A12" w:rsidP="00F95A12">
            <w:pPr>
              <w:jc w:val="both"/>
              <w:rPr>
                <w:sz w:val="20"/>
                <w:lang w:val="fr-CA"/>
              </w:rPr>
            </w:pPr>
          </w:p>
        </w:tc>
        <w:tc>
          <w:tcPr>
            <w:tcW w:w="2330" w:type="pct"/>
          </w:tcPr>
          <w:p w:rsidR="00F95A12" w:rsidRPr="00016113" w:rsidRDefault="00F95A12" w:rsidP="00F95A12">
            <w:pPr>
              <w:jc w:val="both"/>
              <w:rPr>
                <w:sz w:val="20"/>
                <w:lang w:val="fr-CA"/>
              </w:rPr>
            </w:pPr>
            <w:r w:rsidRPr="00016113">
              <w:rPr>
                <w:sz w:val="20"/>
                <w:lang w:val="fr-CA"/>
              </w:rPr>
              <w:t>Jugement prononçant la levée de la déchéance de la charge élective du demandeur et le redressement de l’interdiction légale d’être élu ou nommé à une charge.</w:t>
            </w:r>
          </w:p>
          <w:p w:rsidR="00F95A12" w:rsidRPr="00016113" w:rsidRDefault="00F95A12" w:rsidP="00F95A12">
            <w:pPr>
              <w:jc w:val="both"/>
              <w:rPr>
                <w:sz w:val="20"/>
                <w:lang w:val="fr-CA"/>
              </w:rPr>
            </w:pPr>
          </w:p>
        </w:tc>
      </w:tr>
      <w:tr w:rsidR="00F95A12" w:rsidRPr="00016113" w:rsidTr="00F95A12">
        <w:tc>
          <w:tcPr>
            <w:tcW w:w="2427" w:type="pct"/>
            <w:gridSpan w:val="2"/>
          </w:tcPr>
          <w:p w:rsidR="00F95A12" w:rsidRPr="00016113" w:rsidRDefault="00F95A12" w:rsidP="00F95A12">
            <w:pPr>
              <w:jc w:val="both"/>
              <w:rPr>
                <w:sz w:val="20"/>
                <w:lang w:val="fr-CA"/>
              </w:rPr>
            </w:pPr>
            <w:r w:rsidRPr="00016113">
              <w:rPr>
                <w:sz w:val="20"/>
                <w:lang w:val="fr-CA"/>
              </w:rPr>
              <w:t>4 juin 2020</w:t>
            </w:r>
          </w:p>
          <w:p w:rsidR="00F95A12" w:rsidRPr="00016113" w:rsidRDefault="00F95A12" w:rsidP="00F95A12">
            <w:pPr>
              <w:jc w:val="both"/>
              <w:rPr>
                <w:sz w:val="20"/>
                <w:lang w:val="fr-CA"/>
              </w:rPr>
            </w:pPr>
            <w:r w:rsidRPr="00016113">
              <w:rPr>
                <w:sz w:val="20"/>
                <w:lang w:val="fr-CA"/>
              </w:rPr>
              <w:t>Cour d’appel de l’Ontario</w:t>
            </w:r>
          </w:p>
          <w:p w:rsidR="00F95A12" w:rsidRPr="00016113" w:rsidRDefault="00F95A12" w:rsidP="00F95A12">
            <w:pPr>
              <w:jc w:val="both"/>
              <w:rPr>
                <w:sz w:val="20"/>
                <w:lang w:val="fr-CA"/>
              </w:rPr>
            </w:pPr>
            <w:r w:rsidRPr="00016113">
              <w:rPr>
                <w:sz w:val="20"/>
                <w:lang w:val="fr-CA"/>
              </w:rPr>
              <w:t>(Juges Benotto, Zarnett et Thorburn)</w:t>
            </w:r>
          </w:p>
          <w:p w:rsidR="00F95A12" w:rsidRPr="00016113" w:rsidRDefault="00F95A12" w:rsidP="00F95A12">
            <w:pPr>
              <w:jc w:val="both"/>
              <w:rPr>
                <w:sz w:val="20"/>
                <w:lang w:val="fr-CA"/>
              </w:rPr>
            </w:pPr>
            <w:hyperlink r:id="rId66" w:history="1">
              <w:r w:rsidRPr="00016113">
                <w:rPr>
                  <w:rStyle w:val="Hyperlink"/>
                  <w:sz w:val="20"/>
                  <w:lang w:val="fr-CA"/>
                </w:rPr>
                <w:t>2020 ONCA 411</w:t>
              </w:r>
            </w:hyperlink>
          </w:p>
          <w:p w:rsidR="00F95A12" w:rsidRPr="00016113" w:rsidRDefault="00F95A12" w:rsidP="00F95A12">
            <w:pPr>
              <w:jc w:val="both"/>
              <w:rPr>
                <w:sz w:val="20"/>
                <w:lang w:val="fr-CA"/>
              </w:rPr>
            </w:pPr>
          </w:p>
        </w:tc>
        <w:tc>
          <w:tcPr>
            <w:tcW w:w="243" w:type="pct"/>
          </w:tcPr>
          <w:p w:rsidR="00F95A12" w:rsidRPr="00016113" w:rsidRDefault="00F95A12" w:rsidP="00F95A12">
            <w:pPr>
              <w:jc w:val="both"/>
              <w:rPr>
                <w:sz w:val="20"/>
                <w:lang w:val="fr-CA"/>
              </w:rPr>
            </w:pPr>
          </w:p>
        </w:tc>
        <w:tc>
          <w:tcPr>
            <w:tcW w:w="2330" w:type="pct"/>
          </w:tcPr>
          <w:p w:rsidR="00F95A12" w:rsidRPr="00016113" w:rsidRDefault="00F95A12" w:rsidP="00F95A12">
            <w:pPr>
              <w:jc w:val="both"/>
              <w:rPr>
                <w:sz w:val="20"/>
                <w:lang w:val="fr-CA"/>
              </w:rPr>
            </w:pPr>
            <w:r w:rsidRPr="00016113">
              <w:rPr>
                <w:sz w:val="20"/>
                <w:lang w:val="fr-CA"/>
              </w:rPr>
              <w:t>Arrêt accueillant l’appel, annulant le jugement de première instance, déclarant que le demandeur était passible des peines prévues dans la Loi, y compris la déchéance de sa charge.</w:t>
            </w:r>
          </w:p>
          <w:p w:rsidR="00F95A12" w:rsidRPr="00016113" w:rsidRDefault="00F95A12" w:rsidP="00F95A12">
            <w:pPr>
              <w:jc w:val="both"/>
              <w:rPr>
                <w:sz w:val="20"/>
                <w:lang w:val="fr-CA"/>
              </w:rPr>
            </w:pPr>
          </w:p>
        </w:tc>
      </w:tr>
      <w:tr w:rsidR="00F95A12" w:rsidRPr="00016113" w:rsidTr="00F95A12">
        <w:tc>
          <w:tcPr>
            <w:tcW w:w="2427" w:type="pct"/>
            <w:gridSpan w:val="2"/>
          </w:tcPr>
          <w:p w:rsidR="00F95A12" w:rsidRPr="00016113" w:rsidRDefault="00F95A12" w:rsidP="00F95A12">
            <w:pPr>
              <w:jc w:val="both"/>
              <w:rPr>
                <w:sz w:val="20"/>
                <w:lang w:val="fr-CA"/>
              </w:rPr>
            </w:pPr>
            <w:r w:rsidRPr="00016113">
              <w:rPr>
                <w:sz w:val="20"/>
                <w:lang w:val="fr-CA"/>
              </w:rPr>
              <w:t>24 juillet 2020</w:t>
            </w:r>
          </w:p>
          <w:p w:rsidR="00F95A12" w:rsidRPr="00016113" w:rsidRDefault="00F95A12" w:rsidP="00F95A12">
            <w:pPr>
              <w:jc w:val="both"/>
              <w:rPr>
                <w:sz w:val="20"/>
                <w:lang w:val="fr-CA"/>
              </w:rPr>
            </w:pPr>
            <w:r w:rsidRPr="00016113">
              <w:rPr>
                <w:sz w:val="20"/>
                <w:lang w:val="fr-CA"/>
              </w:rPr>
              <w:t>Cour suprême du Canada</w:t>
            </w:r>
          </w:p>
        </w:tc>
        <w:tc>
          <w:tcPr>
            <w:tcW w:w="243" w:type="pct"/>
          </w:tcPr>
          <w:p w:rsidR="00F95A12" w:rsidRPr="00016113" w:rsidRDefault="00F95A12" w:rsidP="00F95A12">
            <w:pPr>
              <w:jc w:val="both"/>
              <w:rPr>
                <w:sz w:val="20"/>
                <w:lang w:val="fr-CA"/>
              </w:rPr>
            </w:pPr>
          </w:p>
        </w:tc>
        <w:tc>
          <w:tcPr>
            <w:tcW w:w="2330" w:type="pct"/>
          </w:tcPr>
          <w:p w:rsidR="00F95A12" w:rsidRPr="00016113" w:rsidRDefault="00F95A12" w:rsidP="00F95A12">
            <w:pPr>
              <w:jc w:val="both"/>
              <w:rPr>
                <w:sz w:val="20"/>
                <w:lang w:val="fr-CA"/>
              </w:rPr>
            </w:pPr>
            <w:r w:rsidRPr="00016113">
              <w:rPr>
                <w:sz w:val="20"/>
                <w:lang w:val="fr-CA"/>
              </w:rPr>
              <w:t>Dépôt de la demande d’autorisation d’appel</w:t>
            </w:r>
          </w:p>
          <w:p w:rsidR="00F95A12" w:rsidRPr="00016113" w:rsidRDefault="00F95A12" w:rsidP="00F95A12">
            <w:pPr>
              <w:jc w:val="both"/>
              <w:rPr>
                <w:sz w:val="20"/>
                <w:lang w:val="fr-CA"/>
              </w:rPr>
            </w:pPr>
          </w:p>
        </w:tc>
      </w:tr>
    </w:tbl>
    <w:p w:rsidR="00FC473D" w:rsidRPr="00016113" w:rsidRDefault="00FC473D" w:rsidP="00B352DD">
      <w:pPr>
        <w:widowControl w:val="0"/>
        <w:jc w:val="both"/>
        <w:rPr>
          <w:sz w:val="20"/>
          <w:lang w:val="fr-CA"/>
        </w:rPr>
      </w:pPr>
    </w:p>
    <w:p w:rsidR="00E85588" w:rsidRPr="00016113" w:rsidRDefault="00F95A12" w:rsidP="00E85588">
      <w:pPr>
        <w:jc w:val="both"/>
        <w:rPr>
          <w:sz w:val="20"/>
        </w:rPr>
      </w:pPr>
      <w:r w:rsidRPr="00016113">
        <w:rPr>
          <w:sz w:val="20"/>
        </w:rPr>
        <w:pict>
          <v:rect id="_x0000_i1027" style="width:2in;height:1pt" o:hrpct="0" o:hralign="center" o:hrstd="t" o:hrnoshade="t" o:hr="t" fillcolor="black [3213]" stroked="f"/>
        </w:pict>
      </w:r>
    </w:p>
    <w:p w:rsidR="00E85588" w:rsidRPr="00016113" w:rsidRDefault="00E85588" w:rsidP="00E85588">
      <w:pPr>
        <w:jc w:val="both"/>
        <w:rPr>
          <w:sz w:val="20"/>
        </w:rPr>
      </w:pPr>
    </w:p>
    <w:p w:rsidR="005C7161" w:rsidRPr="00016113" w:rsidRDefault="005C7161" w:rsidP="006A22CA">
      <w:pPr>
        <w:ind w:left="142" w:hanging="142"/>
        <w:jc w:val="both"/>
        <w:rPr>
          <w:sz w:val="20"/>
        </w:rPr>
      </w:pPr>
    </w:p>
    <w:p w:rsidR="00FD3FA0" w:rsidRPr="00016113" w:rsidRDefault="00FD3FA0" w:rsidP="006A22CA">
      <w:pPr>
        <w:ind w:left="142" w:hanging="142"/>
        <w:jc w:val="both"/>
        <w:rPr>
          <w:sz w:val="20"/>
        </w:rPr>
      </w:pPr>
    </w:p>
    <w:p w:rsidR="00D3344A" w:rsidRPr="00016113" w:rsidRDefault="00D3344A" w:rsidP="00D3344A">
      <w:pPr>
        <w:widowControl w:val="0"/>
        <w:outlineLvl w:val="0"/>
      </w:pPr>
      <w:r w:rsidRPr="00016113">
        <w:t xml:space="preserve">Supreme Court of Canada / Cour suprême du </w:t>
      </w:r>
      <w:proofErr w:type="gramStart"/>
      <w:r w:rsidRPr="00016113">
        <w:t>Canad</w:t>
      </w:r>
      <w:r w:rsidR="00EE289F" w:rsidRPr="00016113">
        <w:t>a</w:t>
      </w:r>
      <w:r w:rsidRPr="00016113">
        <w:t xml:space="preserve"> :</w:t>
      </w:r>
      <w:proofErr w:type="gramEnd"/>
    </w:p>
    <w:p w:rsidR="00D3344A" w:rsidRPr="00016113" w:rsidRDefault="00F95A12" w:rsidP="00D3344A">
      <w:pPr>
        <w:widowControl w:val="0"/>
        <w:outlineLvl w:val="0"/>
        <w:rPr>
          <w:u w:val="single"/>
        </w:rPr>
      </w:pPr>
      <w:hyperlink r:id="rId67" w:history="1">
        <w:r w:rsidR="009B7391" w:rsidRPr="00016113">
          <w:rPr>
            <w:rStyle w:val="Hyperlink"/>
          </w:rPr>
          <w:t>comments-commentaires@scc-csc.ca</w:t>
        </w:r>
      </w:hyperlink>
    </w:p>
    <w:p w:rsidR="00D3344A" w:rsidRPr="00016113" w:rsidRDefault="0065588C" w:rsidP="00D3344A">
      <w:pPr>
        <w:widowControl w:val="0"/>
        <w:outlineLvl w:val="0"/>
      </w:pPr>
      <w:r w:rsidRPr="00016113">
        <w:t>613-</w:t>
      </w:r>
      <w:r w:rsidR="00D3344A" w:rsidRPr="00016113">
        <w:t>995-4330</w:t>
      </w:r>
    </w:p>
    <w:p w:rsidR="00497B5E" w:rsidRPr="00016113" w:rsidRDefault="00497B5E" w:rsidP="00497B5E">
      <w:pPr>
        <w:widowControl w:val="0"/>
        <w:rPr>
          <w:sz w:val="20"/>
        </w:rPr>
      </w:pPr>
    </w:p>
    <w:p w:rsidR="00F6251B" w:rsidRPr="006E558B" w:rsidRDefault="003F43E6" w:rsidP="00F6251B">
      <w:pPr>
        <w:pStyle w:val="Footer"/>
        <w:jc w:val="center"/>
      </w:pPr>
      <w:r w:rsidRPr="00016113">
        <w:t>- 30 -</w:t>
      </w:r>
      <w:bookmarkStart w:id="7" w:name="_GoBack"/>
      <w:bookmarkEnd w:id="7"/>
    </w:p>
    <w:sectPr w:rsidR="00F6251B" w:rsidRPr="006E558B" w:rsidSect="00E62F93">
      <w:headerReference w:type="even" r:id="rId68"/>
      <w:headerReference w:type="default" r:id="rId69"/>
      <w:footerReference w:type="even" r:id="rId70"/>
      <w:footerReference w:type="default" r:id="rId71"/>
      <w:headerReference w:type="first" r:id="rId72"/>
      <w:footerReference w:type="first" r:id="rId73"/>
      <w:pgSz w:w="12240" w:h="15840"/>
      <w:pgMar w:top="851" w:right="1440" w:bottom="1134"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A12" w:rsidRDefault="00F95A12" w:rsidP="0034178A">
      <w:r>
        <w:separator/>
      </w:r>
    </w:p>
  </w:endnote>
  <w:endnote w:type="continuationSeparator" w:id="0">
    <w:p w:rsidR="00F95A12" w:rsidRDefault="00F95A12"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A12" w:rsidRDefault="00F95A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A12" w:rsidRPr="009F77F0" w:rsidRDefault="00F95A12"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A12" w:rsidRDefault="00F95A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A12" w:rsidRDefault="00F95A12" w:rsidP="0034178A">
      <w:r>
        <w:separator/>
      </w:r>
    </w:p>
  </w:footnote>
  <w:footnote w:type="continuationSeparator" w:id="0">
    <w:p w:rsidR="00F95A12" w:rsidRDefault="00F95A12"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A12" w:rsidRDefault="00F95A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A12" w:rsidRDefault="00F95A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A12" w:rsidRDefault="00F95A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26540"/>
    <w:multiLevelType w:val="hybridMultilevel"/>
    <w:tmpl w:val="66C06438"/>
    <w:lvl w:ilvl="0" w:tplc="421473E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F52E8"/>
    <w:multiLevelType w:val="hybridMultilevel"/>
    <w:tmpl w:val="FA58CBD4"/>
    <w:lvl w:ilvl="0" w:tplc="2CBEC10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D45903"/>
    <w:multiLevelType w:val="hybridMultilevel"/>
    <w:tmpl w:val="DB7A7FAA"/>
    <w:lvl w:ilvl="0" w:tplc="239A52EC">
      <w:start w:val="1"/>
      <w:numFmt w:val="decimal"/>
      <w:lvlText w:val="%1."/>
      <w:lvlJc w:val="left"/>
      <w:pPr>
        <w:ind w:left="720" w:hanging="360"/>
      </w:pPr>
      <w:rPr>
        <w:rFonts w:eastAsiaTheme="minorHAnsi" w:cstheme="minorBidi"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D35DD"/>
    <w:multiLevelType w:val="hybridMultilevel"/>
    <w:tmpl w:val="338AB3DC"/>
    <w:lvl w:ilvl="0" w:tplc="863E597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CC122C"/>
    <w:multiLevelType w:val="hybridMultilevel"/>
    <w:tmpl w:val="3266B86C"/>
    <w:lvl w:ilvl="0" w:tplc="BB24021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57B77"/>
    <w:multiLevelType w:val="hybridMultilevel"/>
    <w:tmpl w:val="B5EA5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870922"/>
    <w:multiLevelType w:val="hybridMultilevel"/>
    <w:tmpl w:val="2A3CA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C94FA0"/>
    <w:multiLevelType w:val="hybridMultilevel"/>
    <w:tmpl w:val="E01A0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F04D3C"/>
    <w:multiLevelType w:val="hybridMultilevel"/>
    <w:tmpl w:val="FA58CBD4"/>
    <w:lvl w:ilvl="0" w:tplc="2CBEC10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5098F"/>
    <w:multiLevelType w:val="hybridMultilevel"/>
    <w:tmpl w:val="667AE996"/>
    <w:lvl w:ilvl="0" w:tplc="D2189AB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6A6699"/>
    <w:multiLevelType w:val="hybridMultilevel"/>
    <w:tmpl w:val="6BA40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A021E8"/>
    <w:multiLevelType w:val="hybridMultilevel"/>
    <w:tmpl w:val="29A61F44"/>
    <w:lvl w:ilvl="0" w:tplc="CF64B7C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0C46BE"/>
    <w:multiLevelType w:val="hybridMultilevel"/>
    <w:tmpl w:val="384AE248"/>
    <w:lvl w:ilvl="0" w:tplc="8D64DD9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E22E77"/>
    <w:multiLevelType w:val="hybridMultilevel"/>
    <w:tmpl w:val="6AD01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193DA2"/>
    <w:multiLevelType w:val="hybridMultilevel"/>
    <w:tmpl w:val="27B4AACC"/>
    <w:lvl w:ilvl="0" w:tplc="E65CDCD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8467AB"/>
    <w:multiLevelType w:val="hybridMultilevel"/>
    <w:tmpl w:val="CC28BC14"/>
    <w:lvl w:ilvl="0" w:tplc="DDE2B6C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900E6A"/>
    <w:multiLevelType w:val="hybridMultilevel"/>
    <w:tmpl w:val="05003C6C"/>
    <w:lvl w:ilvl="0" w:tplc="A46A24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65B2E2B"/>
    <w:multiLevelType w:val="hybridMultilevel"/>
    <w:tmpl w:val="FD369DD2"/>
    <w:lvl w:ilvl="0" w:tplc="FFC243D2">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BB62D07"/>
    <w:multiLevelType w:val="hybridMultilevel"/>
    <w:tmpl w:val="88E2B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445E8F"/>
    <w:multiLevelType w:val="hybridMultilevel"/>
    <w:tmpl w:val="976A4C48"/>
    <w:lvl w:ilvl="0" w:tplc="D188ED6A">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DAE13A9"/>
    <w:multiLevelType w:val="hybridMultilevel"/>
    <w:tmpl w:val="B7E8E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CD37C3"/>
    <w:multiLevelType w:val="hybridMultilevel"/>
    <w:tmpl w:val="006C7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F52FF3"/>
    <w:multiLevelType w:val="hybridMultilevel"/>
    <w:tmpl w:val="50AE8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5A5CD1"/>
    <w:multiLevelType w:val="hybridMultilevel"/>
    <w:tmpl w:val="00DA1D12"/>
    <w:lvl w:ilvl="0" w:tplc="6128A3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3415FE"/>
    <w:multiLevelType w:val="hybridMultilevel"/>
    <w:tmpl w:val="DA48B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584082"/>
    <w:multiLevelType w:val="hybridMultilevel"/>
    <w:tmpl w:val="C4BE5B64"/>
    <w:lvl w:ilvl="0" w:tplc="89E4604C">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9"/>
  </w:num>
  <w:num w:numId="10">
    <w:abstractNumId w:val="24"/>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1"/>
  </w:num>
  <w:num w:numId="14">
    <w:abstractNumId w:val="14"/>
  </w:num>
  <w:num w:numId="15">
    <w:abstractNumId w:val="23"/>
  </w:num>
  <w:num w:numId="16">
    <w:abstractNumId w:val="13"/>
  </w:num>
  <w:num w:numId="17">
    <w:abstractNumId w:val="21"/>
  </w:num>
  <w:num w:numId="18">
    <w:abstractNumId w:val="20"/>
  </w:num>
  <w:num w:numId="19">
    <w:abstractNumId w:val="16"/>
  </w:num>
  <w:num w:numId="20">
    <w:abstractNumId w:val="10"/>
  </w:num>
  <w:num w:numId="21">
    <w:abstractNumId w:val="2"/>
  </w:num>
  <w:num w:numId="22">
    <w:abstractNumId w:val="1"/>
  </w:num>
  <w:num w:numId="23">
    <w:abstractNumId w:val="8"/>
  </w:num>
  <w:num w:numId="24">
    <w:abstractNumId w:val="3"/>
  </w:num>
  <w:num w:numId="25">
    <w:abstractNumId w:val="22"/>
  </w:num>
  <w:num w:numId="26">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2677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309"/>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2FFC"/>
    <w:rsid w:val="00013258"/>
    <w:rsid w:val="000136CC"/>
    <w:rsid w:val="0001374A"/>
    <w:rsid w:val="00014C19"/>
    <w:rsid w:val="00014E32"/>
    <w:rsid w:val="00015958"/>
    <w:rsid w:val="00016113"/>
    <w:rsid w:val="000164DB"/>
    <w:rsid w:val="00016932"/>
    <w:rsid w:val="00016D65"/>
    <w:rsid w:val="00016D95"/>
    <w:rsid w:val="0001736B"/>
    <w:rsid w:val="000176FB"/>
    <w:rsid w:val="00017D08"/>
    <w:rsid w:val="00020797"/>
    <w:rsid w:val="00020816"/>
    <w:rsid w:val="00020A11"/>
    <w:rsid w:val="00020DAE"/>
    <w:rsid w:val="00021515"/>
    <w:rsid w:val="0002267C"/>
    <w:rsid w:val="00022EFE"/>
    <w:rsid w:val="000238E0"/>
    <w:rsid w:val="00024962"/>
    <w:rsid w:val="00024D1A"/>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1302"/>
    <w:rsid w:val="000414EB"/>
    <w:rsid w:val="0004159F"/>
    <w:rsid w:val="00041650"/>
    <w:rsid w:val="00041B58"/>
    <w:rsid w:val="00042069"/>
    <w:rsid w:val="00042390"/>
    <w:rsid w:val="00042618"/>
    <w:rsid w:val="0004298B"/>
    <w:rsid w:val="000437B4"/>
    <w:rsid w:val="00043D20"/>
    <w:rsid w:val="00043FDE"/>
    <w:rsid w:val="000464AC"/>
    <w:rsid w:val="000467DE"/>
    <w:rsid w:val="00046CB2"/>
    <w:rsid w:val="00046DF1"/>
    <w:rsid w:val="00047188"/>
    <w:rsid w:val="00047941"/>
    <w:rsid w:val="00047CD6"/>
    <w:rsid w:val="00051DE6"/>
    <w:rsid w:val="00052C3A"/>
    <w:rsid w:val="00053B2B"/>
    <w:rsid w:val="00053BAF"/>
    <w:rsid w:val="00054353"/>
    <w:rsid w:val="0005486A"/>
    <w:rsid w:val="00054A01"/>
    <w:rsid w:val="00054F8E"/>
    <w:rsid w:val="00055DB2"/>
    <w:rsid w:val="0005719F"/>
    <w:rsid w:val="000577D9"/>
    <w:rsid w:val="000579A0"/>
    <w:rsid w:val="00060753"/>
    <w:rsid w:val="00060981"/>
    <w:rsid w:val="00060B62"/>
    <w:rsid w:val="00061283"/>
    <w:rsid w:val="00062012"/>
    <w:rsid w:val="0006231F"/>
    <w:rsid w:val="000627A2"/>
    <w:rsid w:val="000629D7"/>
    <w:rsid w:val="0006325B"/>
    <w:rsid w:val="00063516"/>
    <w:rsid w:val="00063A81"/>
    <w:rsid w:val="0006417A"/>
    <w:rsid w:val="000645F4"/>
    <w:rsid w:val="00064D3D"/>
    <w:rsid w:val="000657E8"/>
    <w:rsid w:val="00065F8F"/>
    <w:rsid w:val="00066404"/>
    <w:rsid w:val="0006649C"/>
    <w:rsid w:val="0006663B"/>
    <w:rsid w:val="00066B80"/>
    <w:rsid w:val="00067F50"/>
    <w:rsid w:val="00070830"/>
    <w:rsid w:val="00070B2E"/>
    <w:rsid w:val="00073B1F"/>
    <w:rsid w:val="0007424A"/>
    <w:rsid w:val="00074E6D"/>
    <w:rsid w:val="00074EB7"/>
    <w:rsid w:val="000757E6"/>
    <w:rsid w:val="000770D5"/>
    <w:rsid w:val="00077C71"/>
    <w:rsid w:val="00077CCC"/>
    <w:rsid w:val="00077CF7"/>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41F9"/>
    <w:rsid w:val="000843DB"/>
    <w:rsid w:val="000845AF"/>
    <w:rsid w:val="00084C8D"/>
    <w:rsid w:val="00085BE8"/>
    <w:rsid w:val="00085D13"/>
    <w:rsid w:val="00086629"/>
    <w:rsid w:val="00087808"/>
    <w:rsid w:val="000879BA"/>
    <w:rsid w:val="00090151"/>
    <w:rsid w:val="0009046F"/>
    <w:rsid w:val="00090A95"/>
    <w:rsid w:val="00090D30"/>
    <w:rsid w:val="00091FFC"/>
    <w:rsid w:val="00093693"/>
    <w:rsid w:val="00093B7C"/>
    <w:rsid w:val="00093DFA"/>
    <w:rsid w:val="00093FF5"/>
    <w:rsid w:val="00094C56"/>
    <w:rsid w:val="00095627"/>
    <w:rsid w:val="00095945"/>
    <w:rsid w:val="00095A2E"/>
    <w:rsid w:val="0009681E"/>
    <w:rsid w:val="00096BDC"/>
    <w:rsid w:val="00096F2F"/>
    <w:rsid w:val="000975EC"/>
    <w:rsid w:val="00097C55"/>
    <w:rsid w:val="000A0444"/>
    <w:rsid w:val="000A0472"/>
    <w:rsid w:val="000A0F64"/>
    <w:rsid w:val="000A152E"/>
    <w:rsid w:val="000A1691"/>
    <w:rsid w:val="000A1891"/>
    <w:rsid w:val="000A1E61"/>
    <w:rsid w:val="000A20B0"/>
    <w:rsid w:val="000A245A"/>
    <w:rsid w:val="000A2C8D"/>
    <w:rsid w:val="000A397A"/>
    <w:rsid w:val="000A4311"/>
    <w:rsid w:val="000A43F5"/>
    <w:rsid w:val="000A4D7E"/>
    <w:rsid w:val="000A50F9"/>
    <w:rsid w:val="000A53E5"/>
    <w:rsid w:val="000A6C60"/>
    <w:rsid w:val="000A6F64"/>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41A6"/>
    <w:rsid w:val="000C41C9"/>
    <w:rsid w:val="000C467B"/>
    <w:rsid w:val="000C4781"/>
    <w:rsid w:val="000C4D58"/>
    <w:rsid w:val="000C53A3"/>
    <w:rsid w:val="000C572E"/>
    <w:rsid w:val="000C61C7"/>
    <w:rsid w:val="000C6AA2"/>
    <w:rsid w:val="000C6C97"/>
    <w:rsid w:val="000C7179"/>
    <w:rsid w:val="000C7BD5"/>
    <w:rsid w:val="000D002C"/>
    <w:rsid w:val="000D070B"/>
    <w:rsid w:val="000D1DDF"/>
    <w:rsid w:val="000D2200"/>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3195"/>
    <w:rsid w:val="000E35CD"/>
    <w:rsid w:val="000E391F"/>
    <w:rsid w:val="000E3CC1"/>
    <w:rsid w:val="000E4801"/>
    <w:rsid w:val="000E4F1E"/>
    <w:rsid w:val="000E50F2"/>
    <w:rsid w:val="000E514D"/>
    <w:rsid w:val="000E51E9"/>
    <w:rsid w:val="000E5407"/>
    <w:rsid w:val="000E5979"/>
    <w:rsid w:val="000E5CCD"/>
    <w:rsid w:val="000E6310"/>
    <w:rsid w:val="000E68D3"/>
    <w:rsid w:val="000E6E56"/>
    <w:rsid w:val="000F03FB"/>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9D6"/>
    <w:rsid w:val="00102F8F"/>
    <w:rsid w:val="001033B2"/>
    <w:rsid w:val="001043C6"/>
    <w:rsid w:val="00105612"/>
    <w:rsid w:val="00105EA6"/>
    <w:rsid w:val="0010618E"/>
    <w:rsid w:val="001068F5"/>
    <w:rsid w:val="00106D48"/>
    <w:rsid w:val="00107219"/>
    <w:rsid w:val="00107693"/>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2000C"/>
    <w:rsid w:val="001200D6"/>
    <w:rsid w:val="00120360"/>
    <w:rsid w:val="0012068C"/>
    <w:rsid w:val="001207F9"/>
    <w:rsid w:val="00120BC7"/>
    <w:rsid w:val="00120C2F"/>
    <w:rsid w:val="00120CA0"/>
    <w:rsid w:val="00121008"/>
    <w:rsid w:val="0012101A"/>
    <w:rsid w:val="001215D6"/>
    <w:rsid w:val="0012202C"/>
    <w:rsid w:val="00122CE1"/>
    <w:rsid w:val="00122E2B"/>
    <w:rsid w:val="00123976"/>
    <w:rsid w:val="00124629"/>
    <w:rsid w:val="00124DEC"/>
    <w:rsid w:val="00124EFD"/>
    <w:rsid w:val="0012577E"/>
    <w:rsid w:val="0012596E"/>
    <w:rsid w:val="00125F7D"/>
    <w:rsid w:val="001260C8"/>
    <w:rsid w:val="001262EF"/>
    <w:rsid w:val="0012655D"/>
    <w:rsid w:val="00126583"/>
    <w:rsid w:val="00126B65"/>
    <w:rsid w:val="0012732F"/>
    <w:rsid w:val="00130339"/>
    <w:rsid w:val="001307C5"/>
    <w:rsid w:val="001311F8"/>
    <w:rsid w:val="00131433"/>
    <w:rsid w:val="0013159F"/>
    <w:rsid w:val="00131EB1"/>
    <w:rsid w:val="00132635"/>
    <w:rsid w:val="0013283A"/>
    <w:rsid w:val="00134190"/>
    <w:rsid w:val="00134A11"/>
    <w:rsid w:val="00134F05"/>
    <w:rsid w:val="001354E7"/>
    <w:rsid w:val="00135A54"/>
    <w:rsid w:val="00136710"/>
    <w:rsid w:val="0013672B"/>
    <w:rsid w:val="00137CFA"/>
    <w:rsid w:val="00137F05"/>
    <w:rsid w:val="001400A0"/>
    <w:rsid w:val="00140982"/>
    <w:rsid w:val="00140CFB"/>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3E7A"/>
    <w:rsid w:val="00144111"/>
    <w:rsid w:val="00144A29"/>
    <w:rsid w:val="00147BE4"/>
    <w:rsid w:val="00147CDB"/>
    <w:rsid w:val="00147DDC"/>
    <w:rsid w:val="00147DE3"/>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B04"/>
    <w:rsid w:val="00157BD4"/>
    <w:rsid w:val="0016057A"/>
    <w:rsid w:val="00160866"/>
    <w:rsid w:val="0016091C"/>
    <w:rsid w:val="00160E97"/>
    <w:rsid w:val="00161774"/>
    <w:rsid w:val="00161E40"/>
    <w:rsid w:val="00161F83"/>
    <w:rsid w:val="0016346F"/>
    <w:rsid w:val="00163837"/>
    <w:rsid w:val="00163A54"/>
    <w:rsid w:val="00164559"/>
    <w:rsid w:val="00164791"/>
    <w:rsid w:val="00165EAA"/>
    <w:rsid w:val="001665EA"/>
    <w:rsid w:val="00166949"/>
    <w:rsid w:val="00167721"/>
    <w:rsid w:val="00170788"/>
    <w:rsid w:val="001708BE"/>
    <w:rsid w:val="0017098A"/>
    <w:rsid w:val="00170C21"/>
    <w:rsid w:val="001716F7"/>
    <w:rsid w:val="00172993"/>
    <w:rsid w:val="00173064"/>
    <w:rsid w:val="001732B2"/>
    <w:rsid w:val="001739C2"/>
    <w:rsid w:val="00173B3A"/>
    <w:rsid w:val="00173FCF"/>
    <w:rsid w:val="00174655"/>
    <w:rsid w:val="00174D90"/>
    <w:rsid w:val="00175977"/>
    <w:rsid w:val="0017605B"/>
    <w:rsid w:val="001761EF"/>
    <w:rsid w:val="0017656E"/>
    <w:rsid w:val="00176790"/>
    <w:rsid w:val="00176D8B"/>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A22"/>
    <w:rsid w:val="001A3AA1"/>
    <w:rsid w:val="001A3CBF"/>
    <w:rsid w:val="001A3F98"/>
    <w:rsid w:val="001A4109"/>
    <w:rsid w:val="001A4547"/>
    <w:rsid w:val="001A48FB"/>
    <w:rsid w:val="001A4C89"/>
    <w:rsid w:val="001A562F"/>
    <w:rsid w:val="001A646C"/>
    <w:rsid w:val="001A66AF"/>
    <w:rsid w:val="001B09DF"/>
    <w:rsid w:val="001B100D"/>
    <w:rsid w:val="001B1019"/>
    <w:rsid w:val="001B1B0D"/>
    <w:rsid w:val="001B2704"/>
    <w:rsid w:val="001B2C82"/>
    <w:rsid w:val="001B2F6B"/>
    <w:rsid w:val="001B354E"/>
    <w:rsid w:val="001B3657"/>
    <w:rsid w:val="001B3EDD"/>
    <w:rsid w:val="001B3EE2"/>
    <w:rsid w:val="001B43FF"/>
    <w:rsid w:val="001B4478"/>
    <w:rsid w:val="001B4569"/>
    <w:rsid w:val="001B4B99"/>
    <w:rsid w:val="001B5B2D"/>
    <w:rsid w:val="001B5EB4"/>
    <w:rsid w:val="001B6030"/>
    <w:rsid w:val="001B68D3"/>
    <w:rsid w:val="001B6F65"/>
    <w:rsid w:val="001B72AE"/>
    <w:rsid w:val="001B76EB"/>
    <w:rsid w:val="001B776A"/>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815"/>
    <w:rsid w:val="001C6B3A"/>
    <w:rsid w:val="001C7591"/>
    <w:rsid w:val="001D006E"/>
    <w:rsid w:val="001D0423"/>
    <w:rsid w:val="001D073F"/>
    <w:rsid w:val="001D0DE3"/>
    <w:rsid w:val="001D1020"/>
    <w:rsid w:val="001D15CF"/>
    <w:rsid w:val="001D1E16"/>
    <w:rsid w:val="001D235D"/>
    <w:rsid w:val="001D2555"/>
    <w:rsid w:val="001D337C"/>
    <w:rsid w:val="001D380D"/>
    <w:rsid w:val="001D41F0"/>
    <w:rsid w:val="001D65C6"/>
    <w:rsid w:val="001D6CED"/>
    <w:rsid w:val="001E04E8"/>
    <w:rsid w:val="001E184B"/>
    <w:rsid w:val="001E1EE3"/>
    <w:rsid w:val="001E1F20"/>
    <w:rsid w:val="001E26B5"/>
    <w:rsid w:val="001E2AA6"/>
    <w:rsid w:val="001E386F"/>
    <w:rsid w:val="001E394B"/>
    <w:rsid w:val="001E3BCD"/>
    <w:rsid w:val="001E4E84"/>
    <w:rsid w:val="001E4EBC"/>
    <w:rsid w:val="001E5107"/>
    <w:rsid w:val="001E55D4"/>
    <w:rsid w:val="001E6376"/>
    <w:rsid w:val="001E71B5"/>
    <w:rsid w:val="001E7B18"/>
    <w:rsid w:val="001F0D95"/>
    <w:rsid w:val="001F15CD"/>
    <w:rsid w:val="001F1A6D"/>
    <w:rsid w:val="001F1F3F"/>
    <w:rsid w:val="001F27B1"/>
    <w:rsid w:val="001F2F00"/>
    <w:rsid w:val="001F348D"/>
    <w:rsid w:val="001F3AE7"/>
    <w:rsid w:val="001F47D0"/>
    <w:rsid w:val="001F5B11"/>
    <w:rsid w:val="001F6550"/>
    <w:rsid w:val="001F69E8"/>
    <w:rsid w:val="001F7038"/>
    <w:rsid w:val="001F7320"/>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20BD"/>
    <w:rsid w:val="00212962"/>
    <w:rsid w:val="00213196"/>
    <w:rsid w:val="00214731"/>
    <w:rsid w:val="00214F01"/>
    <w:rsid w:val="0021540E"/>
    <w:rsid w:val="00215C9A"/>
    <w:rsid w:val="0021615A"/>
    <w:rsid w:val="002169FE"/>
    <w:rsid w:val="00216F58"/>
    <w:rsid w:val="00217135"/>
    <w:rsid w:val="0022132D"/>
    <w:rsid w:val="00221D16"/>
    <w:rsid w:val="00221D27"/>
    <w:rsid w:val="00222064"/>
    <w:rsid w:val="00222CAE"/>
    <w:rsid w:val="00223622"/>
    <w:rsid w:val="002237D8"/>
    <w:rsid w:val="0022382C"/>
    <w:rsid w:val="00223B83"/>
    <w:rsid w:val="00223DAB"/>
    <w:rsid w:val="0022536E"/>
    <w:rsid w:val="002258F4"/>
    <w:rsid w:val="00225A53"/>
    <w:rsid w:val="00225C88"/>
    <w:rsid w:val="002262C4"/>
    <w:rsid w:val="002264F4"/>
    <w:rsid w:val="00227A81"/>
    <w:rsid w:val="00230A52"/>
    <w:rsid w:val="00231427"/>
    <w:rsid w:val="00231B27"/>
    <w:rsid w:val="00231FE3"/>
    <w:rsid w:val="002326CA"/>
    <w:rsid w:val="00232934"/>
    <w:rsid w:val="00232BAB"/>
    <w:rsid w:val="00233057"/>
    <w:rsid w:val="002331EC"/>
    <w:rsid w:val="00233ABC"/>
    <w:rsid w:val="00234906"/>
    <w:rsid w:val="00234A3D"/>
    <w:rsid w:val="00235ACB"/>
    <w:rsid w:val="00235DEC"/>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CDD"/>
    <w:rsid w:val="00245302"/>
    <w:rsid w:val="0024568B"/>
    <w:rsid w:val="00245D73"/>
    <w:rsid w:val="002460F2"/>
    <w:rsid w:val="00246374"/>
    <w:rsid w:val="002472FE"/>
    <w:rsid w:val="002477B4"/>
    <w:rsid w:val="0025030E"/>
    <w:rsid w:val="002503B8"/>
    <w:rsid w:val="00250F72"/>
    <w:rsid w:val="002514CA"/>
    <w:rsid w:val="00252675"/>
    <w:rsid w:val="00252803"/>
    <w:rsid w:val="00252FDB"/>
    <w:rsid w:val="0025369C"/>
    <w:rsid w:val="00254AA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3AF2"/>
    <w:rsid w:val="00264405"/>
    <w:rsid w:val="00265174"/>
    <w:rsid w:val="00266503"/>
    <w:rsid w:val="00266E0E"/>
    <w:rsid w:val="00266FD4"/>
    <w:rsid w:val="002671CC"/>
    <w:rsid w:val="00267241"/>
    <w:rsid w:val="002676FA"/>
    <w:rsid w:val="002677C2"/>
    <w:rsid w:val="00267CA4"/>
    <w:rsid w:val="00270135"/>
    <w:rsid w:val="0027099E"/>
    <w:rsid w:val="002709E7"/>
    <w:rsid w:val="00271222"/>
    <w:rsid w:val="00271B2A"/>
    <w:rsid w:val="00272101"/>
    <w:rsid w:val="002728FA"/>
    <w:rsid w:val="0027369C"/>
    <w:rsid w:val="00273706"/>
    <w:rsid w:val="00273FF3"/>
    <w:rsid w:val="00274A18"/>
    <w:rsid w:val="00274B8F"/>
    <w:rsid w:val="00274D9D"/>
    <w:rsid w:val="002769B7"/>
    <w:rsid w:val="00276C42"/>
    <w:rsid w:val="002775A0"/>
    <w:rsid w:val="0027764C"/>
    <w:rsid w:val="00280C4C"/>
    <w:rsid w:val="00280E55"/>
    <w:rsid w:val="0028141B"/>
    <w:rsid w:val="00281E59"/>
    <w:rsid w:val="00282FEC"/>
    <w:rsid w:val="00282FF3"/>
    <w:rsid w:val="0028364E"/>
    <w:rsid w:val="00284655"/>
    <w:rsid w:val="002848CB"/>
    <w:rsid w:val="00284D72"/>
    <w:rsid w:val="00285776"/>
    <w:rsid w:val="002858BA"/>
    <w:rsid w:val="0028661B"/>
    <w:rsid w:val="002866D9"/>
    <w:rsid w:val="0028686B"/>
    <w:rsid w:val="002912A0"/>
    <w:rsid w:val="0029184C"/>
    <w:rsid w:val="0029235D"/>
    <w:rsid w:val="00292574"/>
    <w:rsid w:val="002926A4"/>
    <w:rsid w:val="00292EA2"/>
    <w:rsid w:val="00292F35"/>
    <w:rsid w:val="00292F9A"/>
    <w:rsid w:val="0029396A"/>
    <w:rsid w:val="00293DE2"/>
    <w:rsid w:val="0029488A"/>
    <w:rsid w:val="00294D80"/>
    <w:rsid w:val="00295E8C"/>
    <w:rsid w:val="00296148"/>
    <w:rsid w:val="0029649C"/>
    <w:rsid w:val="00296FB8"/>
    <w:rsid w:val="0029771E"/>
    <w:rsid w:val="002A01ED"/>
    <w:rsid w:val="002A04CF"/>
    <w:rsid w:val="002A0621"/>
    <w:rsid w:val="002A07B1"/>
    <w:rsid w:val="002A17E0"/>
    <w:rsid w:val="002A21C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36C3"/>
    <w:rsid w:val="002B3812"/>
    <w:rsid w:val="002B532E"/>
    <w:rsid w:val="002B543A"/>
    <w:rsid w:val="002B5525"/>
    <w:rsid w:val="002B5A2E"/>
    <w:rsid w:val="002B5A4B"/>
    <w:rsid w:val="002B5AA3"/>
    <w:rsid w:val="002B61A8"/>
    <w:rsid w:val="002B678E"/>
    <w:rsid w:val="002B68FE"/>
    <w:rsid w:val="002B7AFC"/>
    <w:rsid w:val="002C0717"/>
    <w:rsid w:val="002C0BC3"/>
    <w:rsid w:val="002C0D00"/>
    <w:rsid w:val="002C10D1"/>
    <w:rsid w:val="002C1CFA"/>
    <w:rsid w:val="002C239C"/>
    <w:rsid w:val="002C2F4E"/>
    <w:rsid w:val="002C30B8"/>
    <w:rsid w:val="002C356F"/>
    <w:rsid w:val="002C3A5F"/>
    <w:rsid w:val="002C3CEB"/>
    <w:rsid w:val="002C433A"/>
    <w:rsid w:val="002C43CD"/>
    <w:rsid w:val="002C4406"/>
    <w:rsid w:val="002C4DD7"/>
    <w:rsid w:val="002C4E55"/>
    <w:rsid w:val="002C5754"/>
    <w:rsid w:val="002C6BF5"/>
    <w:rsid w:val="002C6D79"/>
    <w:rsid w:val="002C765A"/>
    <w:rsid w:val="002C7B4C"/>
    <w:rsid w:val="002D0C49"/>
    <w:rsid w:val="002D0F70"/>
    <w:rsid w:val="002D1469"/>
    <w:rsid w:val="002D2333"/>
    <w:rsid w:val="002D2553"/>
    <w:rsid w:val="002D43A1"/>
    <w:rsid w:val="002D48D1"/>
    <w:rsid w:val="002D6310"/>
    <w:rsid w:val="002D63D6"/>
    <w:rsid w:val="002D667F"/>
    <w:rsid w:val="002D6680"/>
    <w:rsid w:val="002D6EFA"/>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6084"/>
    <w:rsid w:val="002E710B"/>
    <w:rsid w:val="002E7C69"/>
    <w:rsid w:val="002F06D0"/>
    <w:rsid w:val="002F15AD"/>
    <w:rsid w:val="002F2CF2"/>
    <w:rsid w:val="002F369F"/>
    <w:rsid w:val="002F3830"/>
    <w:rsid w:val="002F38D7"/>
    <w:rsid w:val="002F3EFA"/>
    <w:rsid w:val="002F42D9"/>
    <w:rsid w:val="002F4929"/>
    <w:rsid w:val="002F5989"/>
    <w:rsid w:val="002F694D"/>
    <w:rsid w:val="002F73F4"/>
    <w:rsid w:val="002F7DD0"/>
    <w:rsid w:val="002F7DDE"/>
    <w:rsid w:val="002F7E97"/>
    <w:rsid w:val="003000FF"/>
    <w:rsid w:val="003006A1"/>
    <w:rsid w:val="003012A2"/>
    <w:rsid w:val="00301499"/>
    <w:rsid w:val="003018B7"/>
    <w:rsid w:val="0030204B"/>
    <w:rsid w:val="003020C6"/>
    <w:rsid w:val="0030280A"/>
    <w:rsid w:val="00302C8C"/>
    <w:rsid w:val="00303EF4"/>
    <w:rsid w:val="00304ACA"/>
    <w:rsid w:val="00304F2A"/>
    <w:rsid w:val="00305A1B"/>
    <w:rsid w:val="003062D8"/>
    <w:rsid w:val="0030704A"/>
    <w:rsid w:val="003070B7"/>
    <w:rsid w:val="00307309"/>
    <w:rsid w:val="003075BC"/>
    <w:rsid w:val="00307E7E"/>
    <w:rsid w:val="003101EC"/>
    <w:rsid w:val="003106DE"/>
    <w:rsid w:val="00311663"/>
    <w:rsid w:val="00311B59"/>
    <w:rsid w:val="0031227B"/>
    <w:rsid w:val="003127F4"/>
    <w:rsid w:val="00312A20"/>
    <w:rsid w:val="003133C7"/>
    <w:rsid w:val="00313652"/>
    <w:rsid w:val="0031376D"/>
    <w:rsid w:val="00313D36"/>
    <w:rsid w:val="003151B5"/>
    <w:rsid w:val="00315AF8"/>
    <w:rsid w:val="00315C91"/>
    <w:rsid w:val="003168A7"/>
    <w:rsid w:val="003175F3"/>
    <w:rsid w:val="00317835"/>
    <w:rsid w:val="00317A71"/>
    <w:rsid w:val="00317C72"/>
    <w:rsid w:val="00320ED9"/>
    <w:rsid w:val="00321DAA"/>
    <w:rsid w:val="003225D9"/>
    <w:rsid w:val="00322AF3"/>
    <w:rsid w:val="0032306C"/>
    <w:rsid w:val="00323146"/>
    <w:rsid w:val="003235CC"/>
    <w:rsid w:val="003240B6"/>
    <w:rsid w:val="00324EC4"/>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32E"/>
    <w:rsid w:val="00334EB2"/>
    <w:rsid w:val="003351CE"/>
    <w:rsid w:val="0033535C"/>
    <w:rsid w:val="00335589"/>
    <w:rsid w:val="0033559C"/>
    <w:rsid w:val="0033625F"/>
    <w:rsid w:val="003362C9"/>
    <w:rsid w:val="003379DC"/>
    <w:rsid w:val="00337C8D"/>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93A"/>
    <w:rsid w:val="003509E6"/>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75B9"/>
    <w:rsid w:val="00357828"/>
    <w:rsid w:val="00357895"/>
    <w:rsid w:val="00357916"/>
    <w:rsid w:val="00357B15"/>
    <w:rsid w:val="0036025D"/>
    <w:rsid w:val="00360937"/>
    <w:rsid w:val="00360957"/>
    <w:rsid w:val="00360B19"/>
    <w:rsid w:val="00360FCE"/>
    <w:rsid w:val="0036193E"/>
    <w:rsid w:val="003626D8"/>
    <w:rsid w:val="00362D25"/>
    <w:rsid w:val="00362DF3"/>
    <w:rsid w:val="00362E82"/>
    <w:rsid w:val="00363384"/>
    <w:rsid w:val="00364001"/>
    <w:rsid w:val="003658BD"/>
    <w:rsid w:val="00365B5F"/>
    <w:rsid w:val="00365DC3"/>
    <w:rsid w:val="0036633C"/>
    <w:rsid w:val="00366CA4"/>
    <w:rsid w:val="00366CC9"/>
    <w:rsid w:val="0036763E"/>
    <w:rsid w:val="00367773"/>
    <w:rsid w:val="00367C14"/>
    <w:rsid w:val="00367E02"/>
    <w:rsid w:val="0037013D"/>
    <w:rsid w:val="0037078A"/>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AFB"/>
    <w:rsid w:val="00383B9B"/>
    <w:rsid w:val="0038431A"/>
    <w:rsid w:val="0038547C"/>
    <w:rsid w:val="003857D3"/>
    <w:rsid w:val="00385A88"/>
    <w:rsid w:val="00385BA5"/>
    <w:rsid w:val="00386E93"/>
    <w:rsid w:val="00387900"/>
    <w:rsid w:val="00387AF8"/>
    <w:rsid w:val="00387BE8"/>
    <w:rsid w:val="00390065"/>
    <w:rsid w:val="00390A1E"/>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612"/>
    <w:rsid w:val="003C6A1E"/>
    <w:rsid w:val="003C6BB7"/>
    <w:rsid w:val="003C7603"/>
    <w:rsid w:val="003D0A88"/>
    <w:rsid w:val="003D0DC8"/>
    <w:rsid w:val="003D12C2"/>
    <w:rsid w:val="003D19A0"/>
    <w:rsid w:val="003D265F"/>
    <w:rsid w:val="003D27BD"/>
    <w:rsid w:val="003D3202"/>
    <w:rsid w:val="003D353C"/>
    <w:rsid w:val="003D63C8"/>
    <w:rsid w:val="003D6472"/>
    <w:rsid w:val="003D6A4E"/>
    <w:rsid w:val="003D7756"/>
    <w:rsid w:val="003E059A"/>
    <w:rsid w:val="003E08FA"/>
    <w:rsid w:val="003E0A78"/>
    <w:rsid w:val="003E19E7"/>
    <w:rsid w:val="003E29B3"/>
    <w:rsid w:val="003E36C0"/>
    <w:rsid w:val="003E3724"/>
    <w:rsid w:val="003E3957"/>
    <w:rsid w:val="003E398D"/>
    <w:rsid w:val="003E4289"/>
    <w:rsid w:val="003E4800"/>
    <w:rsid w:val="003E487B"/>
    <w:rsid w:val="003E4957"/>
    <w:rsid w:val="003E55E5"/>
    <w:rsid w:val="003E57F9"/>
    <w:rsid w:val="003E5DFE"/>
    <w:rsid w:val="003E5F4F"/>
    <w:rsid w:val="003E6144"/>
    <w:rsid w:val="003E6395"/>
    <w:rsid w:val="003E6A80"/>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DDB"/>
    <w:rsid w:val="003F5542"/>
    <w:rsid w:val="003F5842"/>
    <w:rsid w:val="003F6190"/>
    <w:rsid w:val="003F61E1"/>
    <w:rsid w:val="003F704D"/>
    <w:rsid w:val="003F755C"/>
    <w:rsid w:val="003F77FC"/>
    <w:rsid w:val="003F7E56"/>
    <w:rsid w:val="004000BE"/>
    <w:rsid w:val="00400122"/>
    <w:rsid w:val="004015C7"/>
    <w:rsid w:val="00401D3D"/>
    <w:rsid w:val="004020AB"/>
    <w:rsid w:val="004024ED"/>
    <w:rsid w:val="004026BA"/>
    <w:rsid w:val="00403038"/>
    <w:rsid w:val="004030D5"/>
    <w:rsid w:val="0040388F"/>
    <w:rsid w:val="00404249"/>
    <w:rsid w:val="004042BA"/>
    <w:rsid w:val="004050B4"/>
    <w:rsid w:val="00405746"/>
    <w:rsid w:val="004062EC"/>
    <w:rsid w:val="00406755"/>
    <w:rsid w:val="004067DB"/>
    <w:rsid w:val="004069C5"/>
    <w:rsid w:val="0040709C"/>
    <w:rsid w:val="00407F30"/>
    <w:rsid w:val="00410ECC"/>
    <w:rsid w:val="004116DA"/>
    <w:rsid w:val="004117D6"/>
    <w:rsid w:val="00411834"/>
    <w:rsid w:val="00411963"/>
    <w:rsid w:val="00411B1C"/>
    <w:rsid w:val="00411C7A"/>
    <w:rsid w:val="00412A23"/>
    <w:rsid w:val="004149DA"/>
    <w:rsid w:val="00414A2E"/>
    <w:rsid w:val="00415755"/>
    <w:rsid w:val="00415B3D"/>
    <w:rsid w:val="004161DE"/>
    <w:rsid w:val="00416211"/>
    <w:rsid w:val="004162D1"/>
    <w:rsid w:val="004167B1"/>
    <w:rsid w:val="0041720D"/>
    <w:rsid w:val="0042035D"/>
    <w:rsid w:val="00420604"/>
    <w:rsid w:val="00420841"/>
    <w:rsid w:val="00421E00"/>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C25"/>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5F0"/>
    <w:rsid w:val="00436DA8"/>
    <w:rsid w:val="00437108"/>
    <w:rsid w:val="00437D2F"/>
    <w:rsid w:val="00440246"/>
    <w:rsid w:val="00440912"/>
    <w:rsid w:val="00441588"/>
    <w:rsid w:val="00441CF2"/>
    <w:rsid w:val="00441EE6"/>
    <w:rsid w:val="00442540"/>
    <w:rsid w:val="0044307B"/>
    <w:rsid w:val="004431F9"/>
    <w:rsid w:val="00443B1B"/>
    <w:rsid w:val="00444072"/>
    <w:rsid w:val="004440D4"/>
    <w:rsid w:val="004441C7"/>
    <w:rsid w:val="00444204"/>
    <w:rsid w:val="004446E5"/>
    <w:rsid w:val="00446A46"/>
    <w:rsid w:val="00446BAE"/>
    <w:rsid w:val="004473E9"/>
    <w:rsid w:val="0045044A"/>
    <w:rsid w:val="004504BB"/>
    <w:rsid w:val="00450B23"/>
    <w:rsid w:val="004511AB"/>
    <w:rsid w:val="004511FA"/>
    <w:rsid w:val="004514DB"/>
    <w:rsid w:val="0045234D"/>
    <w:rsid w:val="0045235F"/>
    <w:rsid w:val="004533F1"/>
    <w:rsid w:val="00453797"/>
    <w:rsid w:val="00453ABE"/>
    <w:rsid w:val="004542A8"/>
    <w:rsid w:val="004546CE"/>
    <w:rsid w:val="00455912"/>
    <w:rsid w:val="004560D2"/>
    <w:rsid w:val="004576E8"/>
    <w:rsid w:val="00457CEE"/>
    <w:rsid w:val="00460794"/>
    <w:rsid w:val="00461DF1"/>
    <w:rsid w:val="00462B10"/>
    <w:rsid w:val="00462BA8"/>
    <w:rsid w:val="00462C0D"/>
    <w:rsid w:val="00462E57"/>
    <w:rsid w:val="00463731"/>
    <w:rsid w:val="00463A9F"/>
    <w:rsid w:val="00463CEF"/>
    <w:rsid w:val="00463DEF"/>
    <w:rsid w:val="004648AA"/>
    <w:rsid w:val="00464FEE"/>
    <w:rsid w:val="004672B7"/>
    <w:rsid w:val="00467391"/>
    <w:rsid w:val="004706A0"/>
    <w:rsid w:val="0047103A"/>
    <w:rsid w:val="00471318"/>
    <w:rsid w:val="004715A8"/>
    <w:rsid w:val="00471789"/>
    <w:rsid w:val="00471907"/>
    <w:rsid w:val="00472190"/>
    <w:rsid w:val="004724BF"/>
    <w:rsid w:val="00472695"/>
    <w:rsid w:val="004729E0"/>
    <w:rsid w:val="00473164"/>
    <w:rsid w:val="00473E9C"/>
    <w:rsid w:val="004744D7"/>
    <w:rsid w:val="00474823"/>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7FE"/>
    <w:rsid w:val="00482BE4"/>
    <w:rsid w:val="004831E5"/>
    <w:rsid w:val="0048370B"/>
    <w:rsid w:val="00483C2E"/>
    <w:rsid w:val="00483E9A"/>
    <w:rsid w:val="004848D1"/>
    <w:rsid w:val="0048491E"/>
    <w:rsid w:val="00486750"/>
    <w:rsid w:val="00487EBC"/>
    <w:rsid w:val="00490DDC"/>
    <w:rsid w:val="00490E33"/>
    <w:rsid w:val="00491D56"/>
    <w:rsid w:val="00491D60"/>
    <w:rsid w:val="004930DF"/>
    <w:rsid w:val="004947D5"/>
    <w:rsid w:val="0049492A"/>
    <w:rsid w:val="00494CD1"/>
    <w:rsid w:val="00494CDA"/>
    <w:rsid w:val="00495713"/>
    <w:rsid w:val="004957BA"/>
    <w:rsid w:val="0049590A"/>
    <w:rsid w:val="00495CE9"/>
    <w:rsid w:val="004962C7"/>
    <w:rsid w:val="004963CC"/>
    <w:rsid w:val="004970C9"/>
    <w:rsid w:val="00497428"/>
    <w:rsid w:val="00497574"/>
    <w:rsid w:val="004977CF"/>
    <w:rsid w:val="004978DC"/>
    <w:rsid w:val="00497B5E"/>
    <w:rsid w:val="004A0C7E"/>
    <w:rsid w:val="004A1416"/>
    <w:rsid w:val="004A224A"/>
    <w:rsid w:val="004A275E"/>
    <w:rsid w:val="004A28DD"/>
    <w:rsid w:val="004A2F02"/>
    <w:rsid w:val="004A3074"/>
    <w:rsid w:val="004A32DD"/>
    <w:rsid w:val="004A41C2"/>
    <w:rsid w:val="004A570E"/>
    <w:rsid w:val="004A59B2"/>
    <w:rsid w:val="004A60ED"/>
    <w:rsid w:val="004A74F3"/>
    <w:rsid w:val="004A79D9"/>
    <w:rsid w:val="004A7CEC"/>
    <w:rsid w:val="004B00A4"/>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2A5"/>
    <w:rsid w:val="004B6816"/>
    <w:rsid w:val="004B6BC5"/>
    <w:rsid w:val="004B702E"/>
    <w:rsid w:val="004B7E3E"/>
    <w:rsid w:val="004C0165"/>
    <w:rsid w:val="004C0544"/>
    <w:rsid w:val="004C07ED"/>
    <w:rsid w:val="004C1AF9"/>
    <w:rsid w:val="004C1C4F"/>
    <w:rsid w:val="004C1C62"/>
    <w:rsid w:val="004C228F"/>
    <w:rsid w:val="004C2469"/>
    <w:rsid w:val="004C2585"/>
    <w:rsid w:val="004C279B"/>
    <w:rsid w:val="004C281D"/>
    <w:rsid w:val="004C2E9D"/>
    <w:rsid w:val="004C3128"/>
    <w:rsid w:val="004C3294"/>
    <w:rsid w:val="004C4513"/>
    <w:rsid w:val="004C4BEC"/>
    <w:rsid w:val="004C5A9B"/>
    <w:rsid w:val="004C60DC"/>
    <w:rsid w:val="004C7022"/>
    <w:rsid w:val="004C7663"/>
    <w:rsid w:val="004C7FC6"/>
    <w:rsid w:val="004D055D"/>
    <w:rsid w:val="004D08E0"/>
    <w:rsid w:val="004D129E"/>
    <w:rsid w:val="004D25B5"/>
    <w:rsid w:val="004D31BD"/>
    <w:rsid w:val="004D31CA"/>
    <w:rsid w:val="004D47B9"/>
    <w:rsid w:val="004D489C"/>
    <w:rsid w:val="004D49C8"/>
    <w:rsid w:val="004D4B5F"/>
    <w:rsid w:val="004D5428"/>
    <w:rsid w:val="004D5D5C"/>
    <w:rsid w:val="004D5FBA"/>
    <w:rsid w:val="004D6E67"/>
    <w:rsid w:val="004D752E"/>
    <w:rsid w:val="004E00B4"/>
    <w:rsid w:val="004E0745"/>
    <w:rsid w:val="004E0963"/>
    <w:rsid w:val="004E0B2F"/>
    <w:rsid w:val="004E0CCF"/>
    <w:rsid w:val="004E1B3F"/>
    <w:rsid w:val="004E21ED"/>
    <w:rsid w:val="004E2A8E"/>
    <w:rsid w:val="004E4559"/>
    <w:rsid w:val="004E458C"/>
    <w:rsid w:val="004E70F1"/>
    <w:rsid w:val="004E714B"/>
    <w:rsid w:val="004E7930"/>
    <w:rsid w:val="004F000D"/>
    <w:rsid w:val="004F0EC9"/>
    <w:rsid w:val="004F0F77"/>
    <w:rsid w:val="004F14BB"/>
    <w:rsid w:val="004F224B"/>
    <w:rsid w:val="004F27DD"/>
    <w:rsid w:val="004F40AB"/>
    <w:rsid w:val="004F47F7"/>
    <w:rsid w:val="004F4C76"/>
    <w:rsid w:val="004F5AD4"/>
    <w:rsid w:val="004F5E74"/>
    <w:rsid w:val="004F5ED2"/>
    <w:rsid w:val="004F7CCB"/>
    <w:rsid w:val="0050050B"/>
    <w:rsid w:val="00500DC6"/>
    <w:rsid w:val="0050132A"/>
    <w:rsid w:val="00502F3E"/>
    <w:rsid w:val="00503196"/>
    <w:rsid w:val="005035E4"/>
    <w:rsid w:val="00503672"/>
    <w:rsid w:val="00503967"/>
    <w:rsid w:val="00503ADE"/>
    <w:rsid w:val="00504302"/>
    <w:rsid w:val="005044E0"/>
    <w:rsid w:val="0050467F"/>
    <w:rsid w:val="00504706"/>
    <w:rsid w:val="00504E60"/>
    <w:rsid w:val="0050553B"/>
    <w:rsid w:val="00505D13"/>
    <w:rsid w:val="005066F9"/>
    <w:rsid w:val="0050674F"/>
    <w:rsid w:val="00506767"/>
    <w:rsid w:val="00506A2E"/>
    <w:rsid w:val="00510478"/>
    <w:rsid w:val="00510BE0"/>
    <w:rsid w:val="00510C5C"/>
    <w:rsid w:val="00511288"/>
    <w:rsid w:val="00511A73"/>
    <w:rsid w:val="00511E62"/>
    <w:rsid w:val="00513492"/>
    <w:rsid w:val="00513696"/>
    <w:rsid w:val="005139F7"/>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6D"/>
    <w:rsid w:val="00522BED"/>
    <w:rsid w:val="00522D01"/>
    <w:rsid w:val="00523237"/>
    <w:rsid w:val="00523A16"/>
    <w:rsid w:val="00523D2D"/>
    <w:rsid w:val="00524432"/>
    <w:rsid w:val="00524822"/>
    <w:rsid w:val="005256BB"/>
    <w:rsid w:val="005256DB"/>
    <w:rsid w:val="00525AC4"/>
    <w:rsid w:val="00525B79"/>
    <w:rsid w:val="005264A5"/>
    <w:rsid w:val="00526754"/>
    <w:rsid w:val="00526A8A"/>
    <w:rsid w:val="00526D01"/>
    <w:rsid w:val="00526D9F"/>
    <w:rsid w:val="00530860"/>
    <w:rsid w:val="00531932"/>
    <w:rsid w:val="00531C3D"/>
    <w:rsid w:val="005326BA"/>
    <w:rsid w:val="0053277C"/>
    <w:rsid w:val="00532EB0"/>
    <w:rsid w:val="005335BC"/>
    <w:rsid w:val="005336CE"/>
    <w:rsid w:val="00533CD5"/>
    <w:rsid w:val="00534621"/>
    <w:rsid w:val="00534871"/>
    <w:rsid w:val="00534F33"/>
    <w:rsid w:val="00535069"/>
    <w:rsid w:val="00535A60"/>
    <w:rsid w:val="005368AB"/>
    <w:rsid w:val="005372AF"/>
    <w:rsid w:val="00537F74"/>
    <w:rsid w:val="00540D5C"/>
    <w:rsid w:val="00540EBB"/>
    <w:rsid w:val="005414C4"/>
    <w:rsid w:val="00541971"/>
    <w:rsid w:val="00541FF9"/>
    <w:rsid w:val="00544481"/>
    <w:rsid w:val="005444FD"/>
    <w:rsid w:val="00544A27"/>
    <w:rsid w:val="00544C2E"/>
    <w:rsid w:val="0054689F"/>
    <w:rsid w:val="00546DAD"/>
    <w:rsid w:val="0054701C"/>
    <w:rsid w:val="0055024A"/>
    <w:rsid w:val="0055040D"/>
    <w:rsid w:val="00550D90"/>
    <w:rsid w:val="0055248D"/>
    <w:rsid w:val="00552EC6"/>
    <w:rsid w:val="00553590"/>
    <w:rsid w:val="005538CF"/>
    <w:rsid w:val="005542A1"/>
    <w:rsid w:val="005549AB"/>
    <w:rsid w:val="005557FE"/>
    <w:rsid w:val="00555A0C"/>
    <w:rsid w:val="00555A17"/>
    <w:rsid w:val="00555EC7"/>
    <w:rsid w:val="005570AD"/>
    <w:rsid w:val="00557DCC"/>
    <w:rsid w:val="0056092A"/>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B20"/>
    <w:rsid w:val="00566C79"/>
    <w:rsid w:val="00567966"/>
    <w:rsid w:val="00570169"/>
    <w:rsid w:val="00571DC3"/>
    <w:rsid w:val="00571DD3"/>
    <w:rsid w:val="00571FF4"/>
    <w:rsid w:val="005720B2"/>
    <w:rsid w:val="005721C8"/>
    <w:rsid w:val="00572D19"/>
    <w:rsid w:val="00573C76"/>
    <w:rsid w:val="0057402C"/>
    <w:rsid w:val="005748A1"/>
    <w:rsid w:val="00575001"/>
    <w:rsid w:val="005757C3"/>
    <w:rsid w:val="00575C32"/>
    <w:rsid w:val="0057720B"/>
    <w:rsid w:val="00577800"/>
    <w:rsid w:val="00577D2F"/>
    <w:rsid w:val="00580185"/>
    <w:rsid w:val="005809B5"/>
    <w:rsid w:val="005812EF"/>
    <w:rsid w:val="00582010"/>
    <w:rsid w:val="0058254B"/>
    <w:rsid w:val="0058351E"/>
    <w:rsid w:val="00584064"/>
    <w:rsid w:val="00584584"/>
    <w:rsid w:val="00584922"/>
    <w:rsid w:val="005854E3"/>
    <w:rsid w:val="005858C5"/>
    <w:rsid w:val="00585EF3"/>
    <w:rsid w:val="00587914"/>
    <w:rsid w:val="005900F4"/>
    <w:rsid w:val="0059181C"/>
    <w:rsid w:val="005921B3"/>
    <w:rsid w:val="005925EC"/>
    <w:rsid w:val="00592ACB"/>
    <w:rsid w:val="00593ADA"/>
    <w:rsid w:val="00593E4F"/>
    <w:rsid w:val="00594F57"/>
    <w:rsid w:val="00595265"/>
    <w:rsid w:val="005958A0"/>
    <w:rsid w:val="0059611F"/>
    <w:rsid w:val="005964F5"/>
    <w:rsid w:val="00597224"/>
    <w:rsid w:val="005A0727"/>
    <w:rsid w:val="005A0F0D"/>
    <w:rsid w:val="005A1B7D"/>
    <w:rsid w:val="005A1FB5"/>
    <w:rsid w:val="005A21F0"/>
    <w:rsid w:val="005A3592"/>
    <w:rsid w:val="005A3696"/>
    <w:rsid w:val="005A4082"/>
    <w:rsid w:val="005A46DD"/>
    <w:rsid w:val="005A64FE"/>
    <w:rsid w:val="005A6C46"/>
    <w:rsid w:val="005A71E5"/>
    <w:rsid w:val="005B0AAB"/>
    <w:rsid w:val="005B2FBF"/>
    <w:rsid w:val="005B3AF7"/>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DB2"/>
    <w:rsid w:val="005C1453"/>
    <w:rsid w:val="005C196C"/>
    <w:rsid w:val="005C1C71"/>
    <w:rsid w:val="005C205B"/>
    <w:rsid w:val="005C2CA2"/>
    <w:rsid w:val="005C3064"/>
    <w:rsid w:val="005C3121"/>
    <w:rsid w:val="005C3191"/>
    <w:rsid w:val="005C3464"/>
    <w:rsid w:val="005C3C86"/>
    <w:rsid w:val="005C42DE"/>
    <w:rsid w:val="005C4651"/>
    <w:rsid w:val="005C5C1C"/>
    <w:rsid w:val="005C7161"/>
    <w:rsid w:val="005C725E"/>
    <w:rsid w:val="005C7653"/>
    <w:rsid w:val="005C7BBF"/>
    <w:rsid w:val="005D0057"/>
    <w:rsid w:val="005D019B"/>
    <w:rsid w:val="005D22E9"/>
    <w:rsid w:val="005D3069"/>
    <w:rsid w:val="005D31CB"/>
    <w:rsid w:val="005D370F"/>
    <w:rsid w:val="005D3730"/>
    <w:rsid w:val="005D3BD1"/>
    <w:rsid w:val="005D40A5"/>
    <w:rsid w:val="005D4675"/>
    <w:rsid w:val="005D57F3"/>
    <w:rsid w:val="005D5940"/>
    <w:rsid w:val="005D5A15"/>
    <w:rsid w:val="005D5D26"/>
    <w:rsid w:val="005D5EBA"/>
    <w:rsid w:val="005D60AE"/>
    <w:rsid w:val="005D7907"/>
    <w:rsid w:val="005E00F5"/>
    <w:rsid w:val="005E0B86"/>
    <w:rsid w:val="005E0FA3"/>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3F86"/>
    <w:rsid w:val="005F4197"/>
    <w:rsid w:val="005F45D3"/>
    <w:rsid w:val="005F4B38"/>
    <w:rsid w:val="005F4C67"/>
    <w:rsid w:val="005F4F12"/>
    <w:rsid w:val="005F5163"/>
    <w:rsid w:val="005F52C6"/>
    <w:rsid w:val="005F541C"/>
    <w:rsid w:val="005F5A77"/>
    <w:rsid w:val="005F6596"/>
    <w:rsid w:val="005F6751"/>
    <w:rsid w:val="005F73CC"/>
    <w:rsid w:val="005F7D76"/>
    <w:rsid w:val="00600709"/>
    <w:rsid w:val="00601639"/>
    <w:rsid w:val="006024F3"/>
    <w:rsid w:val="006028B7"/>
    <w:rsid w:val="00603543"/>
    <w:rsid w:val="00603572"/>
    <w:rsid w:val="00603665"/>
    <w:rsid w:val="00604ACB"/>
    <w:rsid w:val="006055FE"/>
    <w:rsid w:val="00605FE7"/>
    <w:rsid w:val="006067DB"/>
    <w:rsid w:val="006073F9"/>
    <w:rsid w:val="00607F86"/>
    <w:rsid w:val="0061009A"/>
    <w:rsid w:val="006104F9"/>
    <w:rsid w:val="00610669"/>
    <w:rsid w:val="00610BC0"/>
    <w:rsid w:val="00611335"/>
    <w:rsid w:val="006114ED"/>
    <w:rsid w:val="0061157C"/>
    <w:rsid w:val="0061278F"/>
    <w:rsid w:val="0061282A"/>
    <w:rsid w:val="00612C9E"/>
    <w:rsid w:val="006131E5"/>
    <w:rsid w:val="006132AE"/>
    <w:rsid w:val="00615427"/>
    <w:rsid w:val="00615E96"/>
    <w:rsid w:val="006167B8"/>
    <w:rsid w:val="00617C22"/>
    <w:rsid w:val="00620A9C"/>
    <w:rsid w:val="00620D7C"/>
    <w:rsid w:val="00621047"/>
    <w:rsid w:val="00621A6D"/>
    <w:rsid w:val="00621DB3"/>
    <w:rsid w:val="00621F03"/>
    <w:rsid w:val="00621FED"/>
    <w:rsid w:val="0062265E"/>
    <w:rsid w:val="00622F11"/>
    <w:rsid w:val="00623213"/>
    <w:rsid w:val="006246E4"/>
    <w:rsid w:val="00624BC2"/>
    <w:rsid w:val="006251DE"/>
    <w:rsid w:val="006254EE"/>
    <w:rsid w:val="00625B63"/>
    <w:rsid w:val="00626190"/>
    <w:rsid w:val="00627517"/>
    <w:rsid w:val="00630B1A"/>
    <w:rsid w:val="006313B9"/>
    <w:rsid w:val="00632281"/>
    <w:rsid w:val="00632364"/>
    <w:rsid w:val="006324C1"/>
    <w:rsid w:val="006327BE"/>
    <w:rsid w:val="00632A4A"/>
    <w:rsid w:val="00634573"/>
    <w:rsid w:val="006348CC"/>
    <w:rsid w:val="00635A24"/>
    <w:rsid w:val="00635DDF"/>
    <w:rsid w:val="006366BE"/>
    <w:rsid w:val="00636818"/>
    <w:rsid w:val="00636ADD"/>
    <w:rsid w:val="00636C79"/>
    <w:rsid w:val="006373D4"/>
    <w:rsid w:val="00640221"/>
    <w:rsid w:val="006406E5"/>
    <w:rsid w:val="00640B24"/>
    <w:rsid w:val="0064110A"/>
    <w:rsid w:val="006417BC"/>
    <w:rsid w:val="0064185B"/>
    <w:rsid w:val="00641C9C"/>
    <w:rsid w:val="00641EE6"/>
    <w:rsid w:val="00641F0C"/>
    <w:rsid w:val="006422EA"/>
    <w:rsid w:val="00642EB3"/>
    <w:rsid w:val="006441AD"/>
    <w:rsid w:val="006442C8"/>
    <w:rsid w:val="0064464F"/>
    <w:rsid w:val="006446B7"/>
    <w:rsid w:val="0064476C"/>
    <w:rsid w:val="00644B90"/>
    <w:rsid w:val="00646E32"/>
    <w:rsid w:val="00646E56"/>
    <w:rsid w:val="00647687"/>
    <w:rsid w:val="00647768"/>
    <w:rsid w:val="006505E5"/>
    <w:rsid w:val="00651AD8"/>
    <w:rsid w:val="0065230F"/>
    <w:rsid w:val="0065353F"/>
    <w:rsid w:val="00653CF8"/>
    <w:rsid w:val="00653F72"/>
    <w:rsid w:val="006546B9"/>
    <w:rsid w:val="00654B60"/>
    <w:rsid w:val="00655090"/>
    <w:rsid w:val="0065588C"/>
    <w:rsid w:val="00655E6B"/>
    <w:rsid w:val="00656911"/>
    <w:rsid w:val="00656F58"/>
    <w:rsid w:val="00657727"/>
    <w:rsid w:val="00660969"/>
    <w:rsid w:val="00660B48"/>
    <w:rsid w:val="00662650"/>
    <w:rsid w:val="006634BC"/>
    <w:rsid w:val="0066366C"/>
    <w:rsid w:val="006648D1"/>
    <w:rsid w:val="00664D37"/>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38C1"/>
    <w:rsid w:val="00674329"/>
    <w:rsid w:val="00674808"/>
    <w:rsid w:val="00674CE6"/>
    <w:rsid w:val="00674F39"/>
    <w:rsid w:val="00674FC2"/>
    <w:rsid w:val="006758EF"/>
    <w:rsid w:val="00675D53"/>
    <w:rsid w:val="006767DB"/>
    <w:rsid w:val="00676BB6"/>
    <w:rsid w:val="00676FCA"/>
    <w:rsid w:val="00677279"/>
    <w:rsid w:val="00677979"/>
    <w:rsid w:val="0067798B"/>
    <w:rsid w:val="00680232"/>
    <w:rsid w:val="00680316"/>
    <w:rsid w:val="006803A0"/>
    <w:rsid w:val="00680AC2"/>
    <w:rsid w:val="0068141A"/>
    <w:rsid w:val="0068146E"/>
    <w:rsid w:val="00681809"/>
    <w:rsid w:val="00681B55"/>
    <w:rsid w:val="00682088"/>
    <w:rsid w:val="0068303F"/>
    <w:rsid w:val="006830FC"/>
    <w:rsid w:val="00683770"/>
    <w:rsid w:val="00683926"/>
    <w:rsid w:val="00683B58"/>
    <w:rsid w:val="006849D2"/>
    <w:rsid w:val="00685035"/>
    <w:rsid w:val="00685F7C"/>
    <w:rsid w:val="00686775"/>
    <w:rsid w:val="00686A7E"/>
    <w:rsid w:val="00686C41"/>
    <w:rsid w:val="00686CAE"/>
    <w:rsid w:val="00690509"/>
    <w:rsid w:val="00690963"/>
    <w:rsid w:val="00690B95"/>
    <w:rsid w:val="00690EA6"/>
    <w:rsid w:val="00691156"/>
    <w:rsid w:val="00691601"/>
    <w:rsid w:val="00691998"/>
    <w:rsid w:val="00691CD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438F"/>
    <w:rsid w:val="006A503A"/>
    <w:rsid w:val="006A65A6"/>
    <w:rsid w:val="006A66BF"/>
    <w:rsid w:val="006A6750"/>
    <w:rsid w:val="006A7601"/>
    <w:rsid w:val="006A7D6E"/>
    <w:rsid w:val="006A7FA7"/>
    <w:rsid w:val="006B0417"/>
    <w:rsid w:val="006B0634"/>
    <w:rsid w:val="006B0F9B"/>
    <w:rsid w:val="006B1837"/>
    <w:rsid w:val="006B1C34"/>
    <w:rsid w:val="006B1FDC"/>
    <w:rsid w:val="006B1FF1"/>
    <w:rsid w:val="006B293F"/>
    <w:rsid w:val="006B34DE"/>
    <w:rsid w:val="006B35F3"/>
    <w:rsid w:val="006B40C1"/>
    <w:rsid w:val="006B5F49"/>
    <w:rsid w:val="006B60A2"/>
    <w:rsid w:val="006B6A20"/>
    <w:rsid w:val="006C078D"/>
    <w:rsid w:val="006C0D6F"/>
    <w:rsid w:val="006C164E"/>
    <w:rsid w:val="006C1EDD"/>
    <w:rsid w:val="006C2188"/>
    <w:rsid w:val="006C22E4"/>
    <w:rsid w:val="006C25AD"/>
    <w:rsid w:val="006C2F5C"/>
    <w:rsid w:val="006C319D"/>
    <w:rsid w:val="006C3573"/>
    <w:rsid w:val="006C3593"/>
    <w:rsid w:val="006C4010"/>
    <w:rsid w:val="006C41FC"/>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C7"/>
    <w:rsid w:val="006D4C04"/>
    <w:rsid w:val="006D4E80"/>
    <w:rsid w:val="006D5DCC"/>
    <w:rsid w:val="006D5E38"/>
    <w:rsid w:val="006D614A"/>
    <w:rsid w:val="006D61AF"/>
    <w:rsid w:val="006D65EC"/>
    <w:rsid w:val="006D6B5E"/>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E4E"/>
    <w:rsid w:val="006E4019"/>
    <w:rsid w:val="006E43D2"/>
    <w:rsid w:val="006E4462"/>
    <w:rsid w:val="006E465C"/>
    <w:rsid w:val="006E48B7"/>
    <w:rsid w:val="006E4B08"/>
    <w:rsid w:val="006E4EB7"/>
    <w:rsid w:val="006E558B"/>
    <w:rsid w:val="006E753A"/>
    <w:rsid w:val="006E7A5E"/>
    <w:rsid w:val="006E7C6D"/>
    <w:rsid w:val="006E7D59"/>
    <w:rsid w:val="006E7F4D"/>
    <w:rsid w:val="006E7F81"/>
    <w:rsid w:val="006F12A6"/>
    <w:rsid w:val="006F1443"/>
    <w:rsid w:val="006F17D6"/>
    <w:rsid w:val="006F17DA"/>
    <w:rsid w:val="006F1C69"/>
    <w:rsid w:val="006F2579"/>
    <w:rsid w:val="006F2855"/>
    <w:rsid w:val="006F2887"/>
    <w:rsid w:val="006F2958"/>
    <w:rsid w:val="006F2DD6"/>
    <w:rsid w:val="006F5439"/>
    <w:rsid w:val="006F69AA"/>
    <w:rsid w:val="006F713E"/>
    <w:rsid w:val="006F750C"/>
    <w:rsid w:val="006F7BB3"/>
    <w:rsid w:val="006F7EB1"/>
    <w:rsid w:val="00700A36"/>
    <w:rsid w:val="00700AD5"/>
    <w:rsid w:val="00701834"/>
    <w:rsid w:val="0070199E"/>
    <w:rsid w:val="007019C6"/>
    <w:rsid w:val="00701BDD"/>
    <w:rsid w:val="00701E8E"/>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596D"/>
    <w:rsid w:val="00706AAB"/>
    <w:rsid w:val="00707178"/>
    <w:rsid w:val="007073E2"/>
    <w:rsid w:val="0070772C"/>
    <w:rsid w:val="00707EED"/>
    <w:rsid w:val="00710713"/>
    <w:rsid w:val="00710A96"/>
    <w:rsid w:val="00711B38"/>
    <w:rsid w:val="00711F83"/>
    <w:rsid w:val="007122C3"/>
    <w:rsid w:val="007123C3"/>
    <w:rsid w:val="0071266E"/>
    <w:rsid w:val="00712C38"/>
    <w:rsid w:val="00712E25"/>
    <w:rsid w:val="00712E70"/>
    <w:rsid w:val="007130F7"/>
    <w:rsid w:val="00714183"/>
    <w:rsid w:val="00714B95"/>
    <w:rsid w:val="00715CA4"/>
    <w:rsid w:val="00715E75"/>
    <w:rsid w:val="0071643E"/>
    <w:rsid w:val="0071691D"/>
    <w:rsid w:val="0071695A"/>
    <w:rsid w:val="007172B6"/>
    <w:rsid w:val="0071779F"/>
    <w:rsid w:val="00717CD9"/>
    <w:rsid w:val="00720C6C"/>
    <w:rsid w:val="00720D93"/>
    <w:rsid w:val="007218A2"/>
    <w:rsid w:val="00721EC2"/>
    <w:rsid w:val="007225C9"/>
    <w:rsid w:val="00722634"/>
    <w:rsid w:val="007226F3"/>
    <w:rsid w:val="0072328D"/>
    <w:rsid w:val="0072344E"/>
    <w:rsid w:val="007237EE"/>
    <w:rsid w:val="007240C3"/>
    <w:rsid w:val="007243CC"/>
    <w:rsid w:val="0072530B"/>
    <w:rsid w:val="007263B7"/>
    <w:rsid w:val="0072677C"/>
    <w:rsid w:val="00727471"/>
    <w:rsid w:val="00727632"/>
    <w:rsid w:val="007301CB"/>
    <w:rsid w:val="0073087D"/>
    <w:rsid w:val="00731957"/>
    <w:rsid w:val="007323E0"/>
    <w:rsid w:val="00732744"/>
    <w:rsid w:val="0073288D"/>
    <w:rsid w:val="00732974"/>
    <w:rsid w:val="00732BB6"/>
    <w:rsid w:val="00733697"/>
    <w:rsid w:val="00733C12"/>
    <w:rsid w:val="00733C2F"/>
    <w:rsid w:val="00733EF3"/>
    <w:rsid w:val="007344A7"/>
    <w:rsid w:val="007356BB"/>
    <w:rsid w:val="00735B0B"/>
    <w:rsid w:val="00735BED"/>
    <w:rsid w:val="0073666D"/>
    <w:rsid w:val="0073669E"/>
    <w:rsid w:val="00736799"/>
    <w:rsid w:val="0073707B"/>
    <w:rsid w:val="00737C67"/>
    <w:rsid w:val="00737D1D"/>
    <w:rsid w:val="00737F76"/>
    <w:rsid w:val="007404A0"/>
    <w:rsid w:val="007406D2"/>
    <w:rsid w:val="00740FC0"/>
    <w:rsid w:val="00741002"/>
    <w:rsid w:val="00741637"/>
    <w:rsid w:val="007418D4"/>
    <w:rsid w:val="00741E81"/>
    <w:rsid w:val="00742121"/>
    <w:rsid w:val="00742CE6"/>
    <w:rsid w:val="00743353"/>
    <w:rsid w:val="00743655"/>
    <w:rsid w:val="00743FDA"/>
    <w:rsid w:val="0074467F"/>
    <w:rsid w:val="00744F24"/>
    <w:rsid w:val="0074501E"/>
    <w:rsid w:val="00745868"/>
    <w:rsid w:val="00746472"/>
    <w:rsid w:val="00746CD0"/>
    <w:rsid w:val="00746F76"/>
    <w:rsid w:val="007471B6"/>
    <w:rsid w:val="00747C5A"/>
    <w:rsid w:val="00747CD0"/>
    <w:rsid w:val="007500B9"/>
    <w:rsid w:val="007502B5"/>
    <w:rsid w:val="00750846"/>
    <w:rsid w:val="007516D1"/>
    <w:rsid w:val="00751ADF"/>
    <w:rsid w:val="00751DE7"/>
    <w:rsid w:val="00752CE8"/>
    <w:rsid w:val="00753790"/>
    <w:rsid w:val="0075428A"/>
    <w:rsid w:val="0075561B"/>
    <w:rsid w:val="00755E24"/>
    <w:rsid w:val="00756E8B"/>
    <w:rsid w:val="007575BC"/>
    <w:rsid w:val="007603BD"/>
    <w:rsid w:val="00760A78"/>
    <w:rsid w:val="007620C8"/>
    <w:rsid w:val="00763C94"/>
    <w:rsid w:val="0076468E"/>
    <w:rsid w:val="00764725"/>
    <w:rsid w:val="0076472C"/>
    <w:rsid w:val="007649D6"/>
    <w:rsid w:val="00764B6B"/>
    <w:rsid w:val="00764F0C"/>
    <w:rsid w:val="007659EF"/>
    <w:rsid w:val="00765B31"/>
    <w:rsid w:val="00766029"/>
    <w:rsid w:val="00766432"/>
    <w:rsid w:val="00766983"/>
    <w:rsid w:val="00767A28"/>
    <w:rsid w:val="00767D99"/>
    <w:rsid w:val="00770893"/>
    <w:rsid w:val="007712C3"/>
    <w:rsid w:val="00771D33"/>
    <w:rsid w:val="00771F1C"/>
    <w:rsid w:val="00771F3F"/>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5E47"/>
    <w:rsid w:val="007861AA"/>
    <w:rsid w:val="0078659F"/>
    <w:rsid w:val="00787447"/>
    <w:rsid w:val="0078776F"/>
    <w:rsid w:val="007900EA"/>
    <w:rsid w:val="00790BDA"/>
    <w:rsid w:val="00790CD2"/>
    <w:rsid w:val="0079103F"/>
    <w:rsid w:val="007918A1"/>
    <w:rsid w:val="00792169"/>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F16"/>
    <w:rsid w:val="007A72CA"/>
    <w:rsid w:val="007A7512"/>
    <w:rsid w:val="007A752A"/>
    <w:rsid w:val="007A7B6E"/>
    <w:rsid w:val="007A7E3D"/>
    <w:rsid w:val="007A7F7F"/>
    <w:rsid w:val="007A7FD6"/>
    <w:rsid w:val="007B028F"/>
    <w:rsid w:val="007B09DF"/>
    <w:rsid w:val="007B0CC3"/>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B2B"/>
    <w:rsid w:val="007B7B34"/>
    <w:rsid w:val="007B7F68"/>
    <w:rsid w:val="007C0BE9"/>
    <w:rsid w:val="007C10C6"/>
    <w:rsid w:val="007C1B02"/>
    <w:rsid w:val="007C1D91"/>
    <w:rsid w:val="007C200D"/>
    <w:rsid w:val="007C204B"/>
    <w:rsid w:val="007C398B"/>
    <w:rsid w:val="007C4C4F"/>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3D41"/>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CC5"/>
    <w:rsid w:val="007E441D"/>
    <w:rsid w:val="007E450C"/>
    <w:rsid w:val="007E4A09"/>
    <w:rsid w:val="007E4C9C"/>
    <w:rsid w:val="007E5486"/>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6FA"/>
    <w:rsid w:val="00802B21"/>
    <w:rsid w:val="00802DB4"/>
    <w:rsid w:val="008036BE"/>
    <w:rsid w:val="00803B18"/>
    <w:rsid w:val="00803B2E"/>
    <w:rsid w:val="00804501"/>
    <w:rsid w:val="0080493A"/>
    <w:rsid w:val="00804BA2"/>
    <w:rsid w:val="00804FE6"/>
    <w:rsid w:val="008050F8"/>
    <w:rsid w:val="00805224"/>
    <w:rsid w:val="0080556B"/>
    <w:rsid w:val="00805FD6"/>
    <w:rsid w:val="00806809"/>
    <w:rsid w:val="00806ABD"/>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7B3"/>
    <w:rsid w:val="00815822"/>
    <w:rsid w:val="00815D1B"/>
    <w:rsid w:val="008163BE"/>
    <w:rsid w:val="008164A8"/>
    <w:rsid w:val="00816C1F"/>
    <w:rsid w:val="008174AD"/>
    <w:rsid w:val="00820876"/>
    <w:rsid w:val="0082143F"/>
    <w:rsid w:val="0082159A"/>
    <w:rsid w:val="00821718"/>
    <w:rsid w:val="00822064"/>
    <w:rsid w:val="008220AD"/>
    <w:rsid w:val="00822969"/>
    <w:rsid w:val="00823196"/>
    <w:rsid w:val="00823610"/>
    <w:rsid w:val="008237DE"/>
    <w:rsid w:val="00824ABF"/>
    <w:rsid w:val="00824E32"/>
    <w:rsid w:val="00825B9C"/>
    <w:rsid w:val="00827EFF"/>
    <w:rsid w:val="008301C6"/>
    <w:rsid w:val="0083049A"/>
    <w:rsid w:val="00830846"/>
    <w:rsid w:val="008319DA"/>
    <w:rsid w:val="00831D1D"/>
    <w:rsid w:val="008321A6"/>
    <w:rsid w:val="00833393"/>
    <w:rsid w:val="0083380F"/>
    <w:rsid w:val="00833A60"/>
    <w:rsid w:val="00833C3B"/>
    <w:rsid w:val="00833D2C"/>
    <w:rsid w:val="00835CF4"/>
    <w:rsid w:val="00835FCE"/>
    <w:rsid w:val="008368DE"/>
    <w:rsid w:val="0083696A"/>
    <w:rsid w:val="00840BCC"/>
    <w:rsid w:val="00840E25"/>
    <w:rsid w:val="0084161A"/>
    <w:rsid w:val="00841962"/>
    <w:rsid w:val="008424BB"/>
    <w:rsid w:val="00842B3A"/>
    <w:rsid w:val="00843613"/>
    <w:rsid w:val="0084383C"/>
    <w:rsid w:val="0084456D"/>
    <w:rsid w:val="00844729"/>
    <w:rsid w:val="008461B4"/>
    <w:rsid w:val="008465CB"/>
    <w:rsid w:val="00846695"/>
    <w:rsid w:val="00846A62"/>
    <w:rsid w:val="0085127E"/>
    <w:rsid w:val="008515CC"/>
    <w:rsid w:val="008517C6"/>
    <w:rsid w:val="00852898"/>
    <w:rsid w:val="00852F4F"/>
    <w:rsid w:val="00853308"/>
    <w:rsid w:val="008534CC"/>
    <w:rsid w:val="00853C98"/>
    <w:rsid w:val="00854103"/>
    <w:rsid w:val="00854773"/>
    <w:rsid w:val="008549B1"/>
    <w:rsid w:val="00854B47"/>
    <w:rsid w:val="008550BA"/>
    <w:rsid w:val="0085543E"/>
    <w:rsid w:val="00855820"/>
    <w:rsid w:val="008568B0"/>
    <w:rsid w:val="0085710E"/>
    <w:rsid w:val="008578F2"/>
    <w:rsid w:val="00857A16"/>
    <w:rsid w:val="00857DB6"/>
    <w:rsid w:val="008600ED"/>
    <w:rsid w:val="00860366"/>
    <w:rsid w:val="008614BF"/>
    <w:rsid w:val="008619B4"/>
    <w:rsid w:val="00861CAB"/>
    <w:rsid w:val="008623CA"/>
    <w:rsid w:val="008627A8"/>
    <w:rsid w:val="00862B21"/>
    <w:rsid w:val="00863523"/>
    <w:rsid w:val="008636D6"/>
    <w:rsid w:val="00863E02"/>
    <w:rsid w:val="0086489A"/>
    <w:rsid w:val="00865274"/>
    <w:rsid w:val="00865301"/>
    <w:rsid w:val="00865940"/>
    <w:rsid w:val="00865A0D"/>
    <w:rsid w:val="00865EEC"/>
    <w:rsid w:val="00866416"/>
    <w:rsid w:val="00866A27"/>
    <w:rsid w:val="00866C88"/>
    <w:rsid w:val="00867C61"/>
    <w:rsid w:val="008701DC"/>
    <w:rsid w:val="00870234"/>
    <w:rsid w:val="0087051A"/>
    <w:rsid w:val="0087081B"/>
    <w:rsid w:val="008714CD"/>
    <w:rsid w:val="00872A6E"/>
    <w:rsid w:val="008739F1"/>
    <w:rsid w:val="00873F33"/>
    <w:rsid w:val="00874197"/>
    <w:rsid w:val="00874308"/>
    <w:rsid w:val="00874882"/>
    <w:rsid w:val="00875375"/>
    <w:rsid w:val="008753E4"/>
    <w:rsid w:val="00875827"/>
    <w:rsid w:val="008764DF"/>
    <w:rsid w:val="00876C7F"/>
    <w:rsid w:val="00876DA9"/>
    <w:rsid w:val="00877B13"/>
    <w:rsid w:val="00880AB5"/>
    <w:rsid w:val="00880AD5"/>
    <w:rsid w:val="00880C01"/>
    <w:rsid w:val="00881095"/>
    <w:rsid w:val="00881457"/>
    <w:rsid w:val="00881918"/>
    <w:rsid w:val="00882802"/>
    <w:rsid w:val="00882B0F"/>
    <w:rsid w:val="008836A7"/>
    <w:rsid w:val="00883749"/>
    <w:rsid w:val="008837DA"/>
    <w:rsid w:val="00884467"/>
    <w:rsid w:val="0088452E"/>
    <w:rsid w:val="00884AB6"/>
    <w:rsid w:val="0088559A"/>
    <w:rsid w:val="00885D99"/>
    <w:rsid w:val="00886448"/>
    <w:rsid w:val="0088656B"/>
    <w:rsid w:val="00887031"/>
    <w:rsid w:val="008872D7"/>
    <w:rsid w:val="00887E8C"/>
    <w:rsid w:val="00887F03"/>
    <w:rsid w:val="0089055E"/>
    <w:rsid w:val="00891448"/>
    <w:rsid w:val="008914A2"/>
    <w:rsid w:val="00891D38"/>
    <w:rsid w:val="00891D7B"/>
    <w:rsid w:val="008923EA"/>
    <w:rsid w:val="00893B95"/>
    <w:rsid w:val="008941B2"/>
    <w:rsid w:val="0089486E"/>
    <w:rsid w:val="00894DEA"/>
    <w:rsid w:val="00895941"/>
    <w:rsid w:val="00896875"/>
    <w:rsid w:val="008A0D44"/>
    <w:rsid w:val="008A1084"/>
    <w:rsid w:val="008A1C2F"/>
    <w:rsid w:val="008A1DA7"/>
    <w:rsid w:val="008A29BC"/>
    <w:rsid w:val="008A3884"/>
    <w:rsid w:val="008A3A4B"/>
    <w:rsid w:val="008A41DE"/>
    <w:rsid w:val="008A49EA"/>
    <w:rsid w:val="008A4ABF"/>
    <w:rsid w:val="008A5519"/>
    <w:rsid w:val="008A6614"/>
    <w:rsid w:val="008A739F"/>
    <w:rsid w:val="008A7517"/>
    <w:rsid w:val="008A790C"/>
    <w:rsid w:val="008B0108"/>
    <w:rsid w:val="008B1123"/>
    <w:rsid w:val="008B18E3"/>
    <w:rsid w:val="008B3670"/>
    <w:rsid w:val="008B392A"/>
    <w:rsid w:val="008B3E82"/>
    <w:rsid w:val="008B4157"/>
    <w:rsid w:val="008B4A24"/>
    <w:rsid w:val="008B51DE"/>
    <w:rsid w:val="008B5AFF"/>
    <w:rsid w:val="008B5E0B"/>
    <w:rsid w:val="008B758A"/>
    <w:rsid w:val="008B7C72"/>
    <w:rsid w:val="008B7CD2"/>
    <w:rsid w:val="008C053C"/>
    <w:rsid w:val="008C0C4F"/>
    <w:rsid w:val="008C0F75"/>
    <w:rsid w:val="008C12F3"/>
    <w:rsid w:val="008C1433"/>
    <w:rsid w:val="008C17EE"/>
    <w:rsid w:val="008C1D8B"/>
    <w:rsid w:val="008C1F03"/>
    <w:rsid w:val="008C21EC"/>
    <w:rsid w:val="008C277A"/>
    <w:rsid w:val="008C2F47"/>
    <w:rsid w:val="008C49A9"/>
    <w:rsid w:val="008C561D"/>
    <w:rsid w:val="008C62EC"/>
    <w:rsid w:val="008C6316"/>
    <w:rsid w:val="008C7911"/>
    <w:rsid w:val="008C7FAF"/>
    <w:rsid w:val="008D0BE4"/>
    <w:rsid w:val="008D0F42"/>
    <w:rsid w:val="008D1475"/>
    <w:rsid w:val="008D151E"/>
    <w:rsid w:val="008D19DB"/>
    <w:rsid w:val="008D35E2"/>
    <w:rsid w:val="008D3981"/>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53E7"/>
    <w:rsid w:val="008E5B3B"/>
    <w:rsid w:val="008E5D69"/>
    <w:rsid w:val="008E5EE3"/>
    <w:rsid w:val="008E63EA"/>
    <w:rsid w:val="008E7537"/>
    <w:rsid w:val="008E7558"/>
    <w:rsid w:val="008E7C23"/>
    <w:rsid w:val="008E7F8D"/>
    <w:rsid w:val="008F06E9"/>
    <w:rsid w:val="008F11C4"/>
    <w:rsid w:val="008F19BB"/>
    <w:rsid w:val="008F2850"/>
    <w:rsid w:val="008F2FC2"/>
    <w:rsid w:val="008F302C"/>
    <w:rsid w:val="008F327F"/>
    <w:rsid w:val="008F3305"/>
    <w:rsid w:val="008F3A1B"/>
    <w:rsid w:val="008F3C46"/>
    <w:rsid w:val="008F3E18"/>
    <w:rsid w:val="008F4783"/>
    <w:rsid w:val="008F4C45"/>
    <w:rsid w:val="008F5481"/>
    <w:rsid w:val="008F5D1E"/>
    <w:rsid w:val="008F6FE8"/>
    <w:rsid w:val="008F7242"/>
    <w:rsid w:val="008F75F1"/>
    <w:rsid w:val="008F7D34"/>
    <w:rsid w:val="008F7FBB"/>
    <w:rsid w:val="00901457"/>
    <w:rsid w:val="00901C77"/>
    <w:rsid w:val="0090233F"/>
    <w:rsid w:val="00902698"/>
    <w:rsid w:val="009026E8"/>
    <w:rsid w:val="009030B0"/>
    <w:rsid w:val="009031E3"/>
    <w:rsid w:val="009035A2"/>
    <w:rsid w:val="0090368C"/>
    <w:rsid w:val="00903C20"/>
    <w:rsid w:val="00903E1E"/>
    <w:rsid w:val="00903EBB"/>
    <w:rsid w:val="00904067"/>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6AF"/>
    <w:rsid w:val="00913DCC"/>
    <w:rsid w:val="0091409A"/>
    <w:rsid w:val="00914378"/>
    <w:rsid w:val="00914F27"/>
    <w:rsid w:val="00916333"/>
    <w:rsid w:val="00916B50"/>
    <w:rsid w:val="00917B21"/>
    <w:rsid w:val="00921E03"/>
    <w:rsid w:val="00922101"/>
    <w:rsid w:val="00922A4B"/>
    <w:rsid w:val="00923492"/>
    <w:rsid w:val="009236F3"/>
    <w:rsid w:val="009241BB"/>
    <w:rsid w:val="009244F7"/>
    <w:rsid w:val="00924C0D"/>
    <w:rsid w:val="00924D94"/>
    <w:rsid w:val="0092501B"/>
    <w:rsid w:val="0092587F"/>
    <w:rsid w:val="00925AA4"/>
    <w:rsid w:val="00926BE1"/>
    <w:rsid w:val="009272CD"/>
    <w:rsid w:val="00930FA6"/>
    <w:rsid w:val="00931158"/>
    <w:rsid w:val="009313BE"/>
    <w:rsid w:val="009318B0"/>
    <w:rsid w:val="00932FE2"/>
    <w:rsid w:val="00933907"/>
    <w:rsid w:val="00933DCB"/>
    <w:rsid w:val="0093405E"/>
    <w:rsid w:val="009340AB"/>
    <w:rsid w:val="0093426D"/>
    <w:rsid w:val="00934498"/>
    <w:rsid w:val="00936192"/>
    <w:rsid w:val="00937516"/>
    <w:rsid w:val="0094066E"/>
    <w:rsid w:val="0094182D"/>
    <w:rsid w:val="00942004"/>
    <w:rsid w:val="0094245B"/>
    <w:rsid w:val="00942913"/>
    <w:rsid w:val="00942A08"/>
    <w:rsid w:val="00942CAD"/>
    <w:rsid w:val="00943363"/>
    <w:rsid w:val="009434CF"/>
    <w:rsid w:val="009434EA"/>
    <w:rsid w:val="009442EB"/>
    <w:rsid w:val="00944491"/>
    <w:rsid w:val="009447D8"/>
    <w:rsid w:val="00945752"/>
    <w:rsid w:val="009461AA"/>
    <w:rsid w:val="0094624F"/>
    <w:rsid w:val="009463C5"/>
    <w:rsid w:val="009468E9"/>
    <w:rsid w:val="00946910"/>
    <w:rsid w:val="00946D18"/>
    <w:rsid w:val="00947C38"/>
    <w:rsid w:val="00947E63"/>
    <w:rsid w:val="00951718"/>
    <w:rsid w:val="00951817"/>
    <w:rsid w:val="00952CCB"/>
    <w:rsid w:val="00953322"/>
    <w:rsid w:val="00953BFE"/>
    <w:rsid w:val="009550BB"/>
    <w:rsid w:val="0095545C"/>
    <w:rsid w:val="00955935"/>
    <w:rsid w:val="00955992"/>
    <w:rsid w:val="00955B26"/>
    <w:rsid w:val="00955B99"/>
    <w:rsid w:val="00956067"/>
    <w:rsid w:val="00956115"/>
    <w:rsid w:val="00956244"/>
    <w:rsid w:val="00956304"/>
    <w:rsid w:val="009566DC"/>
    <w:rsid w:val="00957342"/>
    <w:rsid w:val="009574F2"/>
    <w:rsid w:val="00957921"/>
    <w:rsid w:val="00957A1E"/>
    <w:rsid w:val="00957A76"/>
    <w:rsid w:val="00957C00"/>
    <w:rsid w:val="00960719"/>
    <w:rsid w:val="00960F89"/>
    <w:rsid w:val="009616B6"/>
    <w:rsid w:val="009619CF"/>
    <w:rsid w:val="00962255"/>
    <w:rsid w:val="00962B2A"/>
    <w:rsid w:val="00963502"/>
    <w:rsid w:val="00963C96"/>
    <w:rsid w:val="009648EF"/>
    <w:rsid w:val="009649FF"/>
    <w:rsid w:val="00965DC9"/>
    <w:rsid w:val="00966B53"/>
    <w:rsid w:val="00967433"/>
    <w:rsid w:val="009700F8"/>
    <w:rsid w:val="00970584"/>
    <w:rsid w:val="00970F04"/>
    <w:rsid w:val="009710FB"/>
    <w:rsid w:val="0097114B"/>
    <w:rsid w:val="00971224"/>
    <w:rsid w:val="00971F36"/>
    <w:rsid w:val="009720C3"/>
    <w:rsid w:val="0097319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122A"/>
    <w:rsid w:val="0098137E"/>
    <w:rsid w:val="009816C8"/>
    <w:rsid w:val="0098173F"/>
    <w:rsid w:val="00981DC5"/>
    <w:rsid w:val="00981FC9"/>
    <w:rsid w:val="00982327"/>
    <w:rsid w:val="009833CB"/>
    <w:rsid w:val="009836FB"/>
    <w:rsid w:val="009837A3"/>
    <w:rsid w:val="00983F27"/>
    <w:rsid w:val="009843E2"/>
    <w:rsid w:val="0098582B"/>
    <w:rsid w:val="009858DA"/>
    <w:rsid w:val="009861EE"/>
    <w:rsid w:val="00987566"/>
    <w:rsid w:val="0098760C"/>
    <w:rsid w:val="0098795A"/>
    <w:rsid w:val="00987F32"/>
    <w:rsid w:val="0099011B"/>
    <w:rsid w:val="009912E2"/>
    <w:rsid w:val="00991536"/>
    <w:rsid w:val="009915AA"/>
    <w:rsid w:val="00991648"/>
    <w:rsid w:val="009918AC"/>
    <w:rsid w:val="0099255B"/>
    <w:rsid w:val="00992A8B"/>
    <w:rsid w:val="00993DAC"/>
    <w:rsid w:val="00995D5C"/>
    <w:rsid w:val="00996373"/>
    <w:rsid w:val="00996A23"/>
    <w:rsid w:val="00997046"/>
    <w:rsid w:val="009973B6"/>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ECB"/>
    <w:rsid w:val="009A5F3F"/>
    <w:rsid w:val="009A6007"/>
    <w:rsid w:val="009A6A00"/>
    <w:rsid w:val="009A6E33"/>
    <w:rsid w:val="009A6F9E"/>
    <w:rsid w:val="009A714A"/>
    <w:rsid w:val="009A718B"/>
    <w:rsid w:val="009A7318"/>
    <w:rsid w:val="009A7E2A"/>
    <w:rsid w:val="009B0602"/>
    <w:rsid w:val="009B0987"/>
    <w:rsid w:val="009B0CAB"/>
    <w:rsid w:val="009B121B"/>
    <w:rsid w:val="009B144A"/>
    <w:rsid w:val="009B14F4"/>
    <w:rsid w:val="009B177F"/>
    <w:rsid w:val="009B17DB"/>
    <w:rsid w:val="009B26EE"/>
    <w:rsid w:val="009B3199"/>
    <w:rsid w:val="009B38BC"/>
    <w:rsid w:val="009B4EC5"/>
    <w:rsid w:val="009B50CC"/>
    <w:rsid w:val="009B51A4"/>
    <w:rsid w:val="009B5A4A"/>
    <w:rsid w:val="009B5ACD"/>
    <w:rsid w:val="009B5E21"/>
    <w:rsid w:val="009B67B3"/>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F7"/>
    <w:rsid w:val="009C5C5F"/>
    <w:rsid w:val="009C5F2B"/>
    <w:rsid w:val="009C5F5B"/>
    <w:rsid w:val="009C61C6"/>
    <w:rsid w:val="009C61EE"/>
    <w:rsid w:val="009C6454"/>
    <w:rsid w:val="009C6CF4"/>
    <w:rsid w:val="009C74B8"/>
    <w:rsid w:val="009C78E3"/>
    <w:rsid w:val="009C7FFB"/>
    <w:rsid w:val="009D04DD"/>
    <w:rsid w:val="009D1DCA"/>
    <w:rsid w:val="009D2018"/>
    <w:rsid w:val="009D2D62"/>
    <w:rsid w:val="009D31CD"/>
    <w:rsid w:val="009D4E10"/>
    <w:rsid w:val="009D4F53"/>
    <w:rsid w:val="009D5454"/>
    <w:rsid w:val="009D69CD"/>
    <w:rsid w:val="009D7121"/>
    <w:rsid w:val="009D7892"/>
    <w:rsid w:val="009E01B8"/>
    <w:rsid w:val="009E0843"/>
    <w:rsid w:val="009E0B3D"/>
    <w:rsid w:val="009E18D5"/>
    <w:rsid w:val="009E1B79"/>
    <w:rsid w:val="009E1BC8"/>
    <w:rsid w:val="009E1E84"/>
    <w:rsid w:val="009E3111"/>
    <w:rsid w:val="009E38AF"/>
    <w:rsid w:val="009E40B7"/>
    <w:rsid w:val="009E4205"/>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73E"/>
    <w:rsid w:val="00A00F88"/>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06DB6"/>
    <w:rsid w:val="00A10003"/>
    <w:rsid w:val="00A1084E"/>
    <w:rsid w:val="00A10A09"/>
    <w:rsid w:val="00A113B3"/>
    <w:rsid w:val="00A114CC"/>
    <w:rsid w:val="00A11A74"/>
    <w:rsid w:val="00A11CB9"/>
    <w:rsid w:val="00A12CC9"/>
    <w:rsid w:val="00A134B1"/>
    <w:rsid w:val="00A13648"/>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6BB3"/>
    <w:rsid w:val="00A271B3"/>
    <w:rsid w:val="00A272BE"/>
    <w:rsid w:val="00A273BD"/>
    <w:rsid w:val="00A27757"/>
    <w:rsid w:val="00A2797C"/>
    <w:rsid w:val="00A27C35"/>
    <w:rsid w:val="00A30231"/>
    <w:rsid w:val="00A30545"/>
    <w:rsid w:val="00A309B7"/>
    <w:rsid w:val="00A30B94"/>
    <w:rsid w:val="00A31850"/>
    <w:rsid w:val="00A318DD"/>
    <w:rsid w:val="00A31D0C"/>
    <w:rsid w:val="00A322BE"/>
    <w:rsid w:val="00A33274"/>
    <w:rsid w:val="00A33342"/>
    <w:rsid w:val="00A3344C"/>
    <w:rsid w:val="00A33719"/>
    <w:rsid w:val="00A33DF9"/>
    <w:rsid w:val="00A34383"/>
    <w:rsid w:val="00A3529A"/>
    <w:rsid w:val="00A376F0"/>
    <w:rsid w:val="00A40262"/>
    <w:rsid w:val="00A40858"/>
    <w:rsid w:val="00A40A77"/>
    <w:rsid w:val="00A4137E"/>
    <w:rsid w:val="00A41515"/>
    <w:rsid w:val="00A41B5E"/>
    <w:rsid w:val="00A41E03"/>
    <w:rsid w:val="00A41FEE"/>
    <w:rsid w:val="00A42042"/>
    <w:rsid w:val="00A422C2"/>
    <w:rsid w:val="00A42659"/>
    <w:rsid w:val="00A4281A"/>
    <w:rsid w:val="00A42CF9"/>
    <w:rsid w:val="00A42F88"/>
    <w:rsid w:val="00A43F0E"/>
    <w:rsid w:val="00A44228"/>
    <w:rsid w:val="00A44C41"/>
    <w:rsid w:val="00A44E81"/>
    <w:rsid w:val="00A45529"/>
    <w:rsid w:val="00A461E4"/>
    <w:rsid w:val="00A466AC"/>
    <w:rsid w:val="00A47031"/>
    <w:rsid w:val="00A4765E"/>
    <w:rsid w:val="00A50604"/>
    <w:rsid w:val="00A50E26"/>
    <w:rsid w:val="00A51518"/>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5D3"/>
    <w:rsid w:val="00A7462D"/>
    <w:rsid w:val="00A748DB"/>
    <w:rsid w:val="00A7498A"/>
    <w:rsid w:val="00A7549A"/>
    <w:rsid w:val="00A77966"/>
    <w:rsid w:val="00A77A0F"/>
    <w:rsid w:val="00A77E09"/>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7B41"/>
    <w:rsid w:val="00A97DC4"/>
    <w:rsid w:val="00A97F0C"/>
    <w:rsid w:val="00A97F93"/>
    <w:rsid w:val="00AA0147"/>
    <w:rsid w:val="00AA0E4D"/>
    <w:rsid w:val="00AA219A"/>
    <w:rsid w:val="00AA25C5"/>
    <w:rsid w:val="00AA2964"/>
    <w:rsid w:val="00AA2B8B"/>
    <w:rsid w:val="00AA2C6E"/>
    <w:rsid w:val="00AA3E2B"/>
    <w:rsid w:val="00AA3F84"/>
    <w:rsid w:val="00AA46DD"/>
    <w:rsid w:val="00AA4886"/>
    <w:rsid w:val="00AA509E"/>
    <w:rsid w:val="00AA53A0"/>
    <w:rsid w:val="00AA53AC"/>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5983"/>
    <w:rsid w:val="00AB6656"/>
    <w:rsid w:val="00AB7178"/>
    <w:rsid w:val="00AB74C3"/>
    <w:rsid w:val="00AC0E72"/>
    <w:rsid w:val="00AC1250"/>
    <w:rsid w:val="00AC21C6"/>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328A"/>
    <w:rsid w:val="00AE42F5"/>
    <w:rsid w:val="00AE4721"/>
    <w:rsid w:val="00AE4736"/>
    <w:rsid w:val="00AE4C09"/>
    <w:rsid w:val="00AE541B"/>
    <w:rsid w:val="00AE56D5"/>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C96"/>
    <w:rsid w:val="00AF63E5"/>
    <w:rsid w:val="00AF67F3"/>
    <w:rsid w:val="00AF71D2"/>
    <w:rsid w:val="00B00325"/>
    <w:rsid w:val="00B00478"/>
    <w:rsid w:val="00B01410"/>
    <w:rsid w:val="00B01BCB"/>
    <w:rsid w:val="00B01DF0"/>
    <w:rsid w:val="00B026D2"/>
    <w:rsid w:val="00B02B12"/>
    <w:rsid w:val="00B02B2E"/>
    <w:rsid w:val="00B02C5B"/>
    <w:rsid w:val="00B02DE3"/>
    <w:rsid w:val="00B037AA"/>
    <w:rsid w:val="00B03A9D"/>
    <w:rsid w:val="00B054BA"/>
    <w:rsid w:val="00B06804"/>
    <w:rsid w:val="00B0782C"/>
    <w:rsid w:val="00B07908"/>
    <w:rsid w:val="00B07ADC"/>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6F3"/>
    <w:rsid w:val="00B226FA"/>
    <w:rsid w:val="00B22B7D"/>
    <w:rsid w:val="00B22D7B"/>
    <w:rsid w:val="00B2329D"/>
    <w:rsid w:val="00B2343E"/>
    <w:rsid w:val="00B2355A"/>
    <w:rsid w:val="00B23822"/>
    <w:rsid w:val="00B23A32"/>
    <w:rsid w:val="00B23A60"/>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52DD"/>
    <w:rsid w:val="00B3606F"/>
    <w:rsid w:val="00B36C97"/>
    <w:rsid w:val="00B37179"/>
    <w:rsid w:val="00B37AAA"/>
    <w:rsid w:val="00B37AE6"/>
    <w:rsid w:val="00B37C41"/>
    <w:rsid w:val="00B4078C"/>
    <w:rsid w:val="00B40A92"/>
    <w:rsid w:val="00B40D0C"/>
    <w:rsid w:val="00B41227"/>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47A4F"/>
    <w:rsid w:val="00B50983"/>
    <w:rsid w:val="00B50BD3"/>
    <w:rsid w:val="00B5139A"/>
    <w:rsid w:val="00B51669"/>
    <w:rsid w:val="00B52315"/>
    <w:rsid w:val="00B5294D"/>
    <w:rsid w:val="00B52D8A"/>
    <w:rsid w:val="00B52DAB"/>
    <w:rsid w:val="00B539BE"/>
    <w:rsid w:val="00B53BAE"/>
    <w:rsid w:val="00B53CF9"/>
    <w:rsid w:val="00B54336"/>
    <w:rsid w:val="00B54F44"/>
    <w:rsid w:val="00B5549D"/>
    <w:rsid w:val="00B56011"/>
    <w:rsid w:val="00B56152"/>
    <w:rsid w:val="00B565D0"/>
    <w:rsid w:val="00B56C51"/>
    <w:rsid w:val="00B56EF5"/>
    <w:rsid w:val="00B575F4"/>
    <w:rsid w:val="00B57C19"/>
    <w:rsid w:val="00B60423"/>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70E5"/>
    <w:rsid w:val="00B70807"/>
    <w:rsid w:val="00B70890"/>
    <w:rsid w:val="00B71CAF"/>
    <w:rsid w:val="00B71DB8"/>
    <w:rsid w:val="00B72ED7"/>
    <w:rsid w:val="00B7320C"/>
    <w:rsid w:val="00B73271"/>
    <w:rsid w:val="00B73752"/>
    <w:rsid w:val="00B73779"/>
    <w:rsid w:val="00B749EC"/>
    <w:rsid w:val="00B74DA0"/>
    <w:rsid w:val="00B74DFD"/>
    <w:rsid w:val="00B7733B"/>
    <w:rsid w:val="00B778F3"/>
    <w:rsid w:val="00B77E7C"/>
    <w:rsid w:val="00B809A7"/>
    <w:rsid w:val="00B80A20"/>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CFF"/>
    <w:rsid w:val="00B86E92"/>
    <w:rsid w:val="00B879A2"/>
    <w:rsid w:val="00B87DBB"/>
    <w:rsid w:val="00B90370"/>
    <w:rsid w:val="00B907B5"/>
    <w:rsid w:val="00B90F3B"/>
    <w:rsid w:val="00B91053"/>
    <w:rsid w:val="00B91270"/>
    <w:rsid w:val="00B916F3"/>
    <w:rsid w:val="00B91DE9"/>
    <w:rsid w:val="00B92397"/>
    <w:rsid w:val="00B92EB5"/>
    <w:rsid w:val="00B92EEB"/>
    <w:rsid w:val="00B9309E"/>
    <w:rsid w:val="00B93544"/>
    <w:rsid w:val="00B946DE"/>
    <w:rsid w:val="00B94A45"/>
    <w:rsid w:val="00B955E4"/>
    <w:rsid w:val="00B957C1"/>
    <w:rsid w:val="00B95994"/>
    <w:rsid w:val="00B95A58"/>
    <w:rsid w:val="00B95A9E"/>
    <w:rsid w:val="00B9625A"/>
    <w:rsid w:val="00B96795"/>
    <w:rsid w:val="00B96958"/>
    <w:rsid w:val="00B972EB"/>
    <w:rsid w:val="00B9730B"/>
    <w:rsid w:val="00B974A4"/>
    <w:rsid w:val="00B9752D"/>
    <w:rsid w:val="00B976DB"/>
    <w:rsid w:val="00B979F7"/>
    <w:rsid w:val="00BA00D5"/>
    <w:rsid w:val="00BA01C1"/>
    <w:rsid w:val="00BA0438"/>
    <w:rsid w:val="00BA06FA"/>
    <w:rsid w:val="00BA0A23"/>
    <w:rsid w:val="00BA33A9"/>
    <w:rsid w:val="00BA3460"/>
    <w:rsid w:val="00BA39C2"/>
    <w:rsid w:val="00BA441A"/>
    <w:rsid w:val="00BA49AF"/>
    <w:rsid w:val="00BA4B61"/>
    <w:rsid w:val="00BA5BDA"/>
    <w:rsid w:val="00BA5EB3"/>
    <w:rsid w:val="00BA5F1E"/>
    <w:rsid w:val="00BA6D44"/>
    <w:rsid w:val="00BA6F31"/>
    <w:rsid w:val="00BA7240"/>
    <w:rsid w:val="00BA7782"/>
    <w:rsid w:val="00BB0472"/>
    <w:rsid w:val="00BB134D"/>
    <w:rsid w:val="00BB2A4D"/>
    <w:rsid w:val="00BB2F5F"/>
    <w:rsid w:val="00BB3A0C"/>
    <w:rsid w:val="00BB3D35"/>
    <w:rsid w:val="00BB3D7A"/>
    <w:rsid w:val="00BB3DB6"/>
    <w:rsid w:val="00BB4B53"/>
    <w:rsid w:val="00BB4D5A"/>
    <w:rsid w:val="00BB5337"/>
    <w:rsid w:val="00BB6658"/>
    <w:rsid w:val="00BB686D"/>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8F"/>
    <w:rsid w:val="00BD4DE9"/>
    <w:rsid w:val="00BD513D"/>
    <w:rsid w:val="00BD525F"/>
    <w:rsid w:val="00BD5EDD"/>
    <w:rsid w:val="00BD62A2"/>
    <w:rsid w:val="00BD6A96"/>
    <w:rsid w:val="00BD6BF0"/>
    <w:rsid w:val="00BD74B1"/>
    <w:rsid w:val="00BD76C9"/>
    <w:rsid w:val="00BE0172"/>
    <w:rsid w:val="00BE037A"/>
    <w:rsid w:val="00BE0AF2"/>
    <w:rsid w:val="00BE0F38"/>
    <w:rsid w:val="00BE112A"/>
    <w:rsid w:val="00BE1561"/>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178"/>
    <w:rsid w:val="00BE540B"/>
    <w:rsid w:val="00BE6364"/>
    <w:rsid w:val="00BE6576"/>
    <w:rsid w:val="00BE6C1C"/>
    <w:rsid w:val="00BE7433"/>
    <w:rsid w:val="00BE7CB6"/>
    <w:rsid w:val="00BF048F"/>
    <w:rsid w:val="00BF062D"/>
    <w:rsid w:val="00BF0B8A"/>
    <w:rsid w:val="00BF0F92"/>
    <w:rsid w:val="00BF159A"/>
    <w:rsid w:val="00BF1A2A"/>
    <w:rsid w:val="00BF1A6B"/>
    <w:rsid w:val="00BF1EEF"/>
    <w:rsid w:val="00BF1FCA"/>
    <w:rsid w:val="00BF282B"/>
    <w:rsid w:val="00BF3924"/>
    <w:rsid w:val="00BF44FB"/>
    <w:rsid w:val="00BF5160"/>
    <w:rsid w:val="00BF6E43"/>
    <w:rsid w:val="00BF72CB"/>
    <w:rsid w:val="00BF7494"/>
    <w:rsid w:val="00BF7FF6"/>
    <w:rsid w:val="00C00270"/>
    <w:rsid w:val="00C00650"/>
    <w:rsid w:val="00C00E23"/>
    <w:rsid w:val="00C012C4"/>
    <w:rsid w:val="00C014C3"/>
    <w:rsid w:val="00C01507"/>
    <w:rsid w:val="00C021BB"/>
    <w:rsid w:val="00C026F9"/>
    <w:rsid w:val="00C028E5"/>
    <w:rsid w:val="00C02BBE"/>
    <w:rsid w:val="00C0331F"/>
    <w:rsid w:val="00C037A3"/>
    <w:rsid w:val="00C03932"/>
    <w:rsid w:val="00C03D86"/>
    <w:rsid w:val="00C04812"/>
    <w:rsid w:val="00C04D79"/>
    <w:rsid w:val="00C0626D"/>
    <w:rsid w:val="00C06879"/>
    <w:rsid w:val="00C06B98"/>
    <w:rsid w:val="00C06DE4"/>
    <w:rsid w:val="00C0702A"/>
    <w:rsid w:val="00C076B5"/>
    <w:rsid w:val="00C110FB"/>
    <w:rsid w:val="00C1171A"/>
    <w:rsid w:val="00C1312A"/>
    <w:rsid w:val="00C1340F"/>
    <w:rsid w:val="00C138FD"/>
    <w:rsid w:val="00C13EFE"/>
    <w:rsid w:val="00C143CD"/>
    <w:rsid w:val="00C14B68"/>
    <w:rsid w:val="00C14FA2"/>
    <w:rsid w:val="00C15480"/>
    <w:rsid w:val="00C166E5"/>
    <w:rsid w:val="00C16980"/>
    <w:rsid w:val="00C16A27"/>
    <w:rsid w:val="00C17F02"/>
    <w:rsid w:val="00C204EF"/>
    <w:rsid w:val="00C21013"/>
    <w:rsid w:val="00C21459"/>
    <w:rsid w:val="00C214B9"/>
    <w:rsid w:val="00C234F7"/>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42CA"/>
    <w:rsid w:val="00C34515"/>
    <w:rsid w:val="00C34A03"/>
    <w:rsid w:val="00C34D9A"/>
    <w:rsid w:val="00C34ECA"/>
    <w:rsid w:val="00C350DE"/>
    <w:rsid w:val="00C35396"/>
    <w:rsid w:val="00C3552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313B"/>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8A9"/>
    <w:rsid w:val="00C54C93"/>
    <w:rsid w:val="00C5509F"/>
    <w:rsid w:val="00C5543B"/>
    <w:rsid w:val="00C55F27"/>
    <w:rsid w:val="00C56B88"/>
    <w:rsid w:val="00C573B1"/>
    <w:rsid w:val="00C57B64"/>
    <w:rsid w:val="00C600EE"/>
    <w:rsid w:val="00C60567"/>
    <w:rsid w:val="00C611F9"/>
    <w:rsid w:val="00C61C88"/>
    <w:rsid w:val="00C6294C"/>
    <w:rsid w:val="00C62B06"/>
    <w:rsid w:val="00C62DF8"/>
    <w:rsid w:val="00C62E03"/>
    <w:rsid w:val="00C6321D"/>
    <w:rsid w:val="00C64192"/>
    <w:rsid w:val="00C647CB"/>
    <w:rsid w:val="00C64B47"/>
    <w:rsid w:val="00C651FF"/>
    <w:rsid w:val="00C65B99"/>
    <w:rsid w:val="00C66BB7"/>
    <w:rsid w:val="00C67D33"/>
    <w:rsid w:val="00C70135"/>
    <w:rsid w:val="00C71A35"/>
    <w:rsid w:val="00C7235F"/>
    <w:rsid w:val="00C72D39"/>
    <w:rsid w:val="00C72EB7"/>
    <w:rsid w:val="00C7333C"/>
    <w:rsid w:val="00C7346F"/>
    <w:rsid w:val="00C7351D"/>
    <w:rsid w:val="00C73A25"/>
    <w:rsid w:val="00C73D60"/>
    <w:rsid w:val="00C73E33"/>
    <w:rsid w:val="00C747F2"/>
    <w:rsid w:val="00C752A5"/>
    <w:rsid w:val="00C752EB"/>
    <w:rsid w:val="00C75878"/>
    <w:rsid w:val="00C75BD1"/>
    <w:rsid w:val="00C76BBB"/>
    <w:rsid w:val="00C7713E"/>
    <w:rsid w:val="00C77212"/>
    <w:rsid w:val="00C776FE"/>
    <w:rsid w:val="00C779D4"/>
    <w:rsid w:val="00C77B57"/>
    <w:rsid w:val="00C77C0E"/>
    <w:rsid w:val="00C80094"/>
    <w:rsid w:val="00C80125"/>
    <w:rsid w:val="00C809C6"/>
    <w:rsid w:val="00C81430"/>
    <w:rsid w:val="00C823B7"/>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11A9"/>
    <w:rsid w:val="00C9135D"/>
    <w:rsid w:val="00C914F8"/>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32B5"/>
    <w:rsid w:val="00CA37CC"/>
    <w:rsid w:val="00CA418B"/>
    <w:rsid w:val="00CA42DE"/>
    <w:rsid w:val="00CA52C0"/>
    <w:rsid w:val="00CA5922"/>
    <w:rsid w:val="00CA5C69"/>
    <w:rsid w:val="00CA6C2E"/>
    <w:rsid w:val="00CA7A1E"/>
    <w:rsid w:val="00CB12E9"/>
    <w:rsid w:val="00CB16E0"/>
    <w:rsid w:val="00CB1766"/>
    <w:rsid w:val="00CB1BC5"/>
    <w:rsid w:val="00CB1E90"/>
    <w:rsid w:val="00CB1EB4"/>
    <w:rsid w:val="00CB328F"/>
    <w:rsid w:val="00CB3573"/>
    <w:rsid w:val="00CB364D"/>
    <w:rsid w:val="00CB3A38"/>
    <w:rsid w:val="00CB3B10"/>
    <w:rsid w:val="00CB425D"/>
    <w:rsid w:val="00CB46B1"/>
    <w:rsid w:val="00CB4831"/>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935"/>
    <w:rsid w:val="00CD6C36"/>
    <w:rsid w:val="00CD7204"/>
    <w:rsid w:val="00CD7CC3"/>
    <w:rsid w:val="00CE0A6E"/>
    <w:rsid w:val="00CE113C"/>
    <w:rsid w:val="00CE1E9C"/>
    <w:rsid w:val="00CE1F89"/>
    <w:rsid w:val="00CE1F94"/>
    <w:rsid w:val="00CE2C20"/>
    <w:rsid w:val="00CE2CC9"/>
    <w:rsid w:val="00CE42F4"/>
    <w:rsid w:val="00CE47E8"/>
    <w:rsid w:val="00CE4C9B"/>
    <w:rsid w:val="00CE6109"/>
    <w:rsid w:val="00CE6260"/>
    <w:rsid w:val="00CE62A5"/>
    <w:rsid w:val="00CE633C"/>
    <w:rsid w:val="00CE6C1C"/>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AA3"/>
    <w:rsid w:val="00CF732A"/>
    <w:rsid w:val="00D00533"/>
    <w:rsid w:val="00D00540"/>
    <w:rsid w:val="00D0083A"/>
    <w:rsid w:val="00D00AA4"/>
    <w:rsid w:val="00D00E4F"/>
    <w:rsid w:val="00D00F77"/>
    <w:rsid w:val="00D01406"/>
    <w:rsid w:val="00D015A7"/>
    <w:rsid w:val="00D015CB"/>
    <w:rsid w:val="00D01ABC"/>
    <w:rsid w:val="00D01D87"/>
    <w:rsid w:val="00D0250E"/>
    <w:rsid w:val="00D041BB"/>
    <w:rsid w:val="00D0423A"/>
    <w:rsid w:val="00D048C7"/>
    <w:rsid w:val="00D04A90"/>
    <w:rsid w:val="00D05C02"/>
    <w:rsid w:val="00D05D7C"/>
    <w:rsid w:val="00D06573"/>
    <w:rsid w:val="00D06EF2"/>
    <w:rsid w:val="00D07131"/>
    <w:rsid w:val="00D07526"/>
    <w:rsid w:val="00D07E3B"/>
    <w:rsid w:val="00D10705"/>
    <w:rsid w:val="00D11276"/>
    <w:rsid w:val="00D1233D"/>
    <w:rsid w:val="00D123CF"/>
    <w:rsid w:val="00D127DF"/>
    <w:rsid w:val="00D1308F"/>
    <w:rsid w:val="00D13678"/>
    <w:rsid w:val="00D1460D"/>
    <w:rsid w:val="00D14B1E"/>
    <w:rsid w:val="00D14DCC"/>
    <w:rsid w:val="00D150F9"/>
    <w:rsid w:val="00D152F0"/>
    <w:rsid w:val="00D1550B"/>
    <w:rsid w:val="00D15858"/>
    <w:rsid w:val="00D165A5"/>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14B"/>
    <w:rsid w:val="00D25A76"/>
    <w:rsid w:val="00D2692A"/>
    <w:rsid w:val="00D278F4"/>
    <w:rsid w:val="00D27C28"/>
    <w:rsid w:val="00D27E31"/>
    <w:rsid w:val="00D308D8"/>
    <w:rsid w:val="00D31186"/>
    <w:rsid w:val="00D311F7"/>
    <w:rsid w:val="00D318AF"/>
    <w:rsid w:val="00D322C3"/>
    <w:rsid w:val="00D32350"/>
    <w:rsid w:val="00D32B0E"/>
    <w:rsid w:val="00D3344A"/>
    <w:rsid w:val="00D3355A"/>
    <w:rsid w:val="00D33AB7"/>
    <w:rsid w:val="00D34CA3"/>
    <w:rsid w:val="00D35AA2"/>
    <w:rsid w:val="00D35BC0"/>
    <w:rsid w:val="00D362BE"/>
    <w:rsid w:val="00D36BE9"/>
    <w:rsid w:val="00D3722A"/>
    <w:rsid w:val="00D37579"/>
    <w:rsid w:val="00D379CE"/>
    <w:rsid w:val="00D4006F"/>
    <w:rsid w:val="00D4068D"/>
    <w:rsid w:val="00D40B0A"/>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6E9D"/>
    <w:rsid w:val="00D47282"/>
    <w:rsid w:val="00D4779F"/>
    <w:rsid w:val="00D47829"/>
    <w:rsid w:val="00D47B29"/>
    <w:rsid w:val="00D47E7C"/>
    <w:rsid w:val="00D47EF5"/>
    <w:rsid w:val="00D50AD1"/>
    <w:rsid w:val="00D517BD"/>
    <w:rsid w:val="00D542A9"/>
    <w:rsid w:val="00D54305"/>
    <w:rsid w:val="00D5443B"/>
    <w:rsid w:val="00D54789"/>
    <w:rsid w:val="00D54F6A"/>
    <w:rsid w:val="00D5501F"/>
    <w:rsid w:val="00D55807"/>
    <w:rsid w:val="00D56540"/>
    <w:rsid w:val="00D56BA3"/>
    <w:rsid w:val="00D56D40"/>
    <w:rsid w:val="00D56D87"/>
    <w:rsid w:val="00D57242"/>
    <w:rsid w:val="00D57F64"/>
    <w:rsid w:val="00D57FAB"/>
    <w:rsid w:val="00D57FD7"/>
    <w:rsid w:val="00D604C4"/>
    <w:rsid w:val="00D605E1"/>
    <w:rsid w:val="00D60C3B"/>
    <w:rsid w:val="00D624DF"/>
    <w:rsid w:val="00D62550"/>
    <w:rsid w:val="00D62693"/>
    <w:rsid w:val="00D635F6"/>
    <w:rsid w:val="00D63645"/>
    <w:rsid w:val="00D63929"/>
    <w:rsid w:val="00D63C1C"/>
    <w:rsid w:val="00D63E1C"/>
    <w:rsid w:val="00D6421D"/>
    <w:rsid w:val="00D645E0"/>
    <w:rsid w:val="00D65124"/>
    <w:rsid w:val="00D65231"/>
    <w:rsid w:val="00D65507"/>
    <w:rsid w:val="00D656B6"/>
    <w:rsid w:val="00D6599A"/>
    <w:rsid w:val="00D65B73"/>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507B"/>
    <w:rsid w:val="00D7557F"/>
    <w:rsid w:val="00D75794"/>
    <w:rsid w:val="00D75BC9"/>
    <w:rsid w:val="00D75CC0"/>
    <w:rsid w:val="00D77016"/>
    <w:rsid w:val="00D77153"/>
    <w:rsid w:val="00D77953"/>
    <w:rsid w:val="00D77B31"/>
    <w:rsid w:val="00D77D62"/>
    <w:rsid w:val="00D8028D"/>
    <w:rsid w:val="00D80B5C"/>
    <w:rsid w:val="00D81BB1"/>
    <w:rsid w:val="00D83554"/>
    <w:rsid w:val="00D84343"/>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C1A"/>
    <w:rsid w:val="00D928A3"/>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5BA5"/>
    <w:rsid w:val="00DA5E1F"/>
    <w:rsid w:val="00DA65BB"/>
    <w:rsid w:val="00DA6D82"/>
    <w:rsid w:val="00DA70A5"/>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124A"/>
    <w:rsid w:val="00DC1BD9"/>
    <w:rsid w:val="00DC1FC3"/>
    <w:rsid w:val="00DC2393"/>
    <w:rsid w:val="00DC23B0"/>
    <w:rsid w:val="00DC246B"/>
    <w:rsid w:val="00DC2998"/>
    <w:rsid w:val="00DC2AD7"/>
    <w:rsid w:val="00DC2CDA"/>
    <w:rsid w:val="00DC54DF"/>
    <w:rsid w:val="00DC5A4C"/>
    <w:rsid w:val="00DC6443"/>
    <w:rsid w:val="00DC68D3"/>
    <w:rsid w:val="00DC6EBF"/>
    <w:rsid w:val="00DD0581"/>
    <w:rsid w:val="00DD085F"/>
    <w:rsid w:val="00DD1761"/>
    <w:rsid w:val="00DD19C3"/>
    <w:rsid w:val="00DD273A"/>
    <w:rsid w:val="00DD3483"/>
    <w:rsid w:val="00DD40A3"/>
    <w:rsid w:val="00DD4C6C"/>
    <w:rsid w:val="00DD4D17"/>
    <w:rsid w:val="00DD5846"/>
    <w:rsid w:val="00DD620A"/>
    <w:rsid w:val="00DD6AAC"/>
    <w:rsid w:val="00DD6F71"/>
    <w:rsid w:val="00DD7392"/>
    <w:rsid w:val="00DD7C97"/>
    <w:rsid w:val="00DE0462"/>
    <w:rsid w:val="00DE10A6"/>
    <w:rsid w:val="00DE11D6"/>
    <w:rsid w:val="00DE1AEE"/>
    <w:rsid w:val="00DE2212"/>
    <w:rsid w:val="00DE2457"/>
    <w:rsid w:val="00DE2796"/>
    <w:rsid w:val="00DE2C8D"/>
    <w:rsid w:val="00DE36B6"/>
    <w:rsid w:val="00DE4021"/>
    <w:rsid w:val="00DE4278"/>
    <w:rsid w:val="00DE5E69"/>
    <w:rsid w:val="00DE610C"/>
    <w:rsid w:val="00DE6776"/>
    <w:rsid w:val="00DE6C81"/>
    <w:rsid w:val="00DE7B73"/>
    <w:rsid w:val="00DE7CEB"/>
    <w:rsid w:val="00DE7F13"/>
    <w:rsid w:val="00DF0396"/>
    <w:rsid w:val="00DF06C4"/>
    <w:rsid w:val="00DF090E"/>
    <w:rsid w:val="00DF0C8E"/>
    <w:rsid w:val="00DF0E4D"/>
    <w:rsid w:val="00DF1212"/>
    <w:rsid w:val="00DF12DD"/>
    <w:rsid w:val="00DF16E3"/>
    <w:rsid w:val="00DF1A38"/>
    <w:rsid w:val="00DF1CAA"/>
    <w:rsid w:val="00DF234C"/>
    <w:rsid w:val="00DF2530"/>
    <w:rsid w:val="00DF2C09"/>
    <w:rsid w:val="00DF3A31"/>
    <w:rsid w:val="00DF3DDB"/>
    <w:rsid w:val="00DF563C"/>
    <w:rsid w:val="00DF5D6C"/>
    <w:rsid w:val="00DF631D"/>
    <w:rsid w:val="00DF6C1A"/>
    <w:rsid w:val="00DF6C2D"/>
    <w:rsid w:val="00DF6D88"/>
    <w:rsid w:val="00DF74F4"/>
    <w:rsid w:val="00DF752A"/>
    <w:rsid w:val="00E00415"/>
    <w:rsid w:val="00E010DC"/>
    <w:rsid w:val="00E01D4D"/>
    <w:rsid w:val="00E028C1"/>
    <w:rsid w:val="00E02941"/>
    <w:rsid w:val="00E03081"/>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16"/>
    <w:rsid w:val="00E10EA2"/>
    <w:rsid w:val="00E10F8D"/>
    <w:rsid w:val="00E11171"/>
    <w:rsid w:val="00E112C9"/>
    <w:rsid w:val="00E114D9"/>
    <w:rsid w:val="00E11EF2"/>
    <w:rsid w:val="00E11FDF"/>
    <w:rsid w:val="00E12004"/>
    <w:rsid w:val="00E126BB"/>
    <w:rsid w:val="00E126F6"/>
    <w:rsid w:val="00E1305B"/>
    <w:rsid w:val="00E13069"/>
    <w:rsid w:val="00E13402"/>
    <w:rsid w:val="00E134A9"/>
    <w:rsid w:val="00E135F9"/>
    <w:rsid w:val="00E13649"/>
    <w:rsid w:val="00E136F7"/>
    <w:rsid w:val="00E13771"/>
    <w:rsid w:val="00E140FF"/>
    <w:rsid w:val="00E14AED"/>
    <w:rsid w:val="00E14D31"/>
    <w:rsid w:val="00E150E0"/>
    <w:rsid w:val="00E155F6"/>
    <w:rsid w:val="00E167A2"/>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73"/>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37C4"/>
    <w:rsid w:val="00E337E8"/>
    <w:rsid w:val="00E33990"/>
    <w:rsid w:val="00E339C0"/>
    <w:rsid w:val="00E33A8F"/>
    <w:rsid w:val="00E33AE6"/>
    <w:rsid w:val="00E33EC0"/>
    <w:rsid w:val="00E34274"/>
    <w:rsid w:val="00E3485E"/>
    <w:rsid w:val="00E34AA2"/>
    <w:rsid w:val="00E34E43"/>
    <w:rsid w:val="00E353B2"/>
    <w:rsid w:val="00E35486"/>
    <w:rsid w:val="00E35A3A"/>
    <w:rsid w:val="00E36AD6"/>
    <w:rsid w:val="00E3737C"/>
    <w:rsid w:val="00E379DE"/>
    <w:rsid w:val="00E37FAF"/>
    <w:rsid w:val="00E4090B"/>
    <w:rsid w:val="00E4098C"/>
    <w:rsid w:val="00E40ABB"/>
    <w:rsid w:val="00E412A9"/>
    <w:rsid w:val="00E4166F"/>
    <w:rsid w:val="00E416FB"/>
    <w:rsid w:val="00E419BD"/>
    <w:rsid w:val="00E41F06"/>
    <w:rsid w:val="00E422DC"/>
    <w:rsid w:val="00E42314"/>
    <w:rsid w:val="00E42827"/>
    <w:rsid w:val="00E42B30"/>
    <w:rsid w:val="00E42DA2"/>
    <w:rsid w:val="00E447FE"/>
    <w:rsid w:val="00E44CAD"/>
    <w:rsid w:val="00E4596A"/>
    <w:rsid w:val="00E45E6B"/>
    <w:rsid w:val="00E465FE"/>
    <w:rsid w:val="00E46B19"/>
    <w:rsid w:val="00E476B7"/>
    <w:rsid w:val="00E47A35"/>
    <w:rsid w:val="00E47A7A"/>
    <w:rsid w:val="00E50167"/>
    <w:rsid w:val="00E5097C"/>
    <w:rsid w:val="00E513DE"/>
    <w:rsid w:val="00E51879"/>
    <w:rsid w:val="00E51DDA"/>
    <w:rsid w:val="00E52A08"/>
    <w:rsid w:val="00E5361B"/>
    <w:rsid w:val="00E5366E"/>
    <w:rsid w:val="00E54925"/>
    <w:rsid w:val="00E5566F"/>
    <w:rsid w:val="00E57188"/>
    <w:rsid w:val="00E604A4"/>
    <w:rsid w:val="00E609FD"/>
    <w:rsid w:val="00E61C4E"/>
    <w:rsid w:val="00E62147"/>
    <w:rsid w:val="00E629E6"/>
    <w:rsid w:val="00E62F93"/>
    <w:rsid w:val="00E631DE"/>
    <w:rsid w:val="00E633BE"/>
    <w:rsid w:val="00E635C2"/>
    <w:rsid w:val="00E6371C"/>
    <w:rsid w:val="00E63872"/>
    <w:rsid w:val="00E63C6C"/>
    <w:rsid w:val="00E63F87"/>
    <w:rsid w:val="00E6527E"/>
    <w:rsid w:val="00E65A41"/>
    <w:rsid w:val="00E665CB"/>
    <w:rsid w:val="00E70C65"/>
    <w:rsid w:val="00E710C9"/>
    <w:rsid w:val="00E71666"/>
    <w:rsid w:val="00E71676"/>
    <w:rsid w:val="00E71C69"/>
    <w:rsid w:val="00E724E4"/>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ABB"/>
    <w:rsid w:val="00E82B29"/>
    <w:rsid w:val="00E82B62"/>
    <w:rsid w:val="00E83021"/>
    <w:rsid w:val="00E841D8"/>
    <w:rsid w:val="00E84E02"/>
    <w:rsid w:val="00E850A8"/>
    <w:rsid w:val="00E85588"/>
    <w:rsid w:val="00E858D9"/>
    <w:rsid w:val="00E85DC1"/>
    <w:rsid w:val="00E862F4"/>
    <w:rsid w:val="00E8666E"/>
    <w:rsid w:val="00E86D33"/>
    <w:rsid w:val="00E9032B"/>
    <w:rsid w:val="00E90393"/>
    <w:rsid w:val="00E90B5E"/>
    <w:rsid w:val="00E91579"/>
    <w:rsid w:val="00E91640"/>
    <w:rsid w:val="00E92BD9"/>
    <w:rsid w:val="00E92DE1"/>
    <w:rsid w:val="00E936A7"/>
    <w:rsid w:val="00E93717"/>
    <w:rsid w:val="00E94339"/>
    <w:rsid w:val="00E944FD"/>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224E"/>
    <w:rsid w:val="00EA3FF6"/>
    <w:rsid w:val="00EA5683"/>
    <w:rsid w:val="00EA6DC0"/>
    <w:rsid w:val="00EA7FBE"/>
    <w:rsid w:val="00EB0C5B"/>
    <w:rsid w:val="00EB1185"/>
    <w:rsid w:val="00EB159B"/>
    <w:rsid w:val="00EB2033"/>
    <w:rsid w:val="00EB2481"/>
    <w:rsid w:val="00EB257B"/>
    <w:rsid w:val="00EB2A1F"/>
    <w:rsid w:val="00EB2D88"/>
    <w:rsid w:val="00EB370F"/>
    <w:rsid w:val="00EB404A"/>
    <w:rsid w:val="00EB44D2"/>
    <w:rsid w:val="00EB4BE5"/>
    <w:rsid w:val="00EB5234"/>
    <w:rsid w:val="00EB52CC"/>
    <w:rsid w:val="00EB610E"/>
    <w:rsid w:val="00EB6335"/>
    <w:rsid w:val="00EB722E"/>
    <w:rsid w:val="00EB733C"/>
    <w:rsid w:val="00EC091F"/>
    <w:rsid w:val="00EC0E72"/>
    <w:rsid w:val="00EC2028"/>
    <w:rsid w:val="00EC2317"/>
    <w:rsid w:val="00EC25BA"/>
    <w:rsid w:val="00EC2990"/>
    <w:rsid w:val="00EC2A4D"/>
    <w:rsid w:val="00EC3301"/>
    <w:rsid w:val="00EC340D"/>
    <w:rsid w:val="00EC348F"/>
    <w:rsid w:val="00EC376C"/>
    <w:rsid w:val="00EC3CE7"/>
    <w:rsid w:val="00EC43F0"/>
    <w:rsid w:val="00EC4BBD"/>
    <w:rsid w:val="00EC4E0E"/>
    <w:rsid w:val="00EC4EC1"/>
    <w:rsid w:val="00EC4FBB"/>
    <w:rsid w:val="00EC6001"/>
    <w:rsid w:val="00EC61E5"/>
    <w:rsid w:val="00EC63BD"/>
    <w:rsid w:val="00EC6654"/>
    <w:rsid w:val="00EC67A3"/>
    <w:rsid w:val="00EC6FC0"/>
    <w:rsid w:val="00EC7EEF"/>
    <w:rsid w:val="00ED0D0F"/>
    <w:rsid w:val="00ED0E87"/>
    <w:rsid w:val="00ED1037"/>
    <w:rsid w:val="00ED11BA"/>
    <w:rsid w:val="00ED1575"/>
    <w:rsid w:val="00ED1764"/>
    <w:rsid w:val="00ED19B7"/>
    <w:rsid w:val="00ED200B"/>
    <w:rsid w:val="00ED2520"/>
    <w:rsid w:val="00ED2E12"/>
    <w:rsid w:val="00ED3C62"/>
    <w:rsid w:val="00ED3EDC"/>
    <w:rsid w:val="00ED4F03"/>
    <w:rsid w:val="00ED52B2"/>
    <w:rsid w:val="00ED54B4"/>
    <w:rsid w:val="00ED552A"/>
    <w:rsid w:val="00ED56DC"/>
    <w:rsid w:val="00ED59AD"/>
    <w:rsid w:val="00ED6F74"/>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5E5"/>
    <w:rsid w:val="00EE76C8"/>
    <w:rsid w:val="00EF0066"/>
    <w:rsid w:val="00EF1864"/>
    <w:rsid w:val="00EF26B4"/>
    <w:rsid w:val="00EF2732"/>
    <w:rsid w:val="00EF2A9D"/>
    <w:rsid w:val="00EF2BB9"/>
    <w:rsid w:val="00EF3131"/>
    <w:rsid w:val="00EF33BF"/>
    <w:rsid w:val="00EF41F1"/>
    <w:rsid w:val="00EF491E"/>
    <w:rsid w:val="00EF50F3"/>
    <w:rsid w:val="00EF5D14"/>
    <w:rsid w:val="00EF6828"/>
    <w:rsid w:val="00EF6E6D"/>
    <w:rsid w:val="00EF6EAC"/>
    <w:rsid w:val="00EF775A"/>
    <w:rsid w:val="00EF7A66"/>
    <w:rsid w:val="00EF7D2B"/>
    <w:rsid w:val="00F00020"/>
    <w:rsid w:val="00F00B05"/>
    <w:rsid w:val="00F00DA4"/>
    <w:rsid w:val="00F01A7F"/>
    <w:rsid w:val="00F0227A"/>
    <w:rsid w:val="00F02E36"/>
    <w:rsid w:val="00F03426"/>
    <w:rsid w:val="00F036BA"/>
    <w:rsid w:val="00F03CE3"/>
    <w:rsid w:val="00F04655"/>
    <w:rsid w:val="00F04707"/>
    <w:rsid w:val="00F04ACD"/>
    <w:rsid w:val="00F04D5B"/>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67A"/>
    <w:rsid w:val="00F15DE4"/>
    <w:rsid w:val="00F16949"/>
    <w:rsid w:val="00F16D8C"/>
    <w:rsid w:val="00F177AD"/>
    <w:rsid w:val="00F17C72"/>
    <w:rsid w:val="00F17D2D"/>
    <w:rsid w:val="00F201D4"/>
    <w:rsid w:val="00F20894"/>
    <w:rsid w:val="00F20D29"/>
    <w:rsid w:val="00F20D34"/>
    <w:rsid w:val="00F2115A"/>
    <w:rsid w:val="00F22383"/>
    <w:rsid w:val="00F2241D"/>
    <w:rsid w:val="00F22AEB"/>
    <w:rsid w:val="00F22AFE"/>
    <w:rsid w:val="00F22BCA"/>
    <w:rsid w:val="00F23754"/>
    <w:rsid w:val="00F237A4"/>
    <w:rsid w:val="00F23F6D"/>
    <w:rsid w:val="00F24087"/>
    <w:rsid w:val="00F24334"/>
    <w:rsid w:val="00F243AE"/>
    <w:rsid w:val="00F24A5E"/>
    <w:rsid w:val="00F250A9"/>
    <w:rsid w:val="00F265F6"/>
    <w:rsid w:val="00F26653"/>
    <w:rsid w:val="00F27291"/>
    <w:rsid w:val="00F2770C"/>
    <w:rsid w:val="00F3016B"/>
    <w:rsid w:val="00F30CB6"/>
    <w:rsid w:val="00F31113"/>
    <w:rsid w:val="00F311A3"/>
    <w:rsid w:val="00F314C0"/>
    <w:rsid w:val="00F314D3"/>
    <w:rsid w:val="00F31D20"/>
    <w:rsid w:val="00F31E5C"/>
    <w:rsid w:val="00F31EE7"/>
    <w:rsid w:val="00F32084"/>
    <w:rsid w:val="00F32457"/>
    <w:rsid w:val="00F32541"/>
    <w:rsid w:val="00F3254D"/>
    <w:rsid w:val="00F32569"/>
    <w:rsid w:val="00F32D1C"/>
    <w:rsid w:val="00F33889"/>
    <w:rsid w:val="00F33B34"/>
    <w:rsid w:val="00F347C0"/>
    <w:rsid w:val="00F351D3"/>
    <w:rsid w:val="00F357FA"/>
    <w:rsid w:val="00F35C22"/>
    <w:rsid w:val="00F364B2"/>
    <w:rsid w:val="00F377FB"/>
    <w:rsid w:val="00F37FE3"/>
    <w:rsid w:val="00F40306"/>
    <w:rsid w:val="00F40663"/>
    <w:rsid w:val="00F41337"/>
    <w:rsid w:val="00F4140B"/>
    <w:rsid w:val="00F41940"/>
    <w:rsid w:val="00F43AF6"/>
    <w:rsid w:val="00F43E13"/>
    <w:rsid w:val="00F44405"/>
    <w:rsid w:val="00F44796"/>
    <w:rsid w:val="00F44C14"/>
    <w:rsid w:val="00F44D8E"/>
    <w:rsid w:val="00F461AD"/>
    <w:rsid w:val="00F46255"/>
    <w:rsid w:val="00F478ED"/>
    <w:rsid w:val="00F47DC5"/>
    <w:rsid w:val="00F505DA"/>
    <w:rsid w:val="00F50665"/>
    <w:rsid w:val="00F50A23"/>
    <w:rsid w:val="00F50E9F"/>
    <w:rsid w:val="00F51174"/>
    <w:rsid w:val="00F518F3"/>
    <w:rsid w:val="00F5367B"/>
    <w:rsid w:val="00F539D9"/>
    <w:rsid w:val="00F53B3B"/>
    <w:rsid w:val="00F542AC"/>
    <w:rsid w:val="00F54B12"/>
    <w:rsid w:val="00F55403"/>
    <w:rsid w:val="00F55934"/>
    <w:rsid w:val="00F5608F"/>
    <w:rsid w:val="00F560B9"/>
    <w:rsid w:val="00F579FF"/>
    <w:rsid w:val="00F6027C"/>
    <w:rsid w:val="00F60415"/>
    <w:rsid w:val="00F60DAD"/>
    <w:rsid w:val="00F60DE0"/>
    <w:rsid w:val="00F61271"/>
    <w:rsid w:val="00F617DE"/>
    <w:rsid w:val="00F61846"/>
    <w:rsid w:val="00F6194D"/>
    <w:rsid w:val="00F61F8E"/>
    <w:rsid w:val="00F61FFA"/>
    <w:rsid w:val="00F620EC"/>
    <w:rsid w:val="00F62233"/>
    <w:rsid w:val="00F6251B"/>
    <w:rsid w:val="00F626C6"/>
    <w:rsid w:val="00F62CF6"/>
    <w:rsid w:val="00F63405"/>
    <w:rsid w:val="00F63C7A"/>
    <w:rsid w:val="00F6415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A04"/>
    <w:rsid w:val="00F73ECA"/>
    <w:rsid w:val="00F743A3"/>
    <w:rsid w:val="00F74A72"/>
    <w:rsid w:val="00F74DE7"/>
    <w:rsid w:val="00F74E5A"/>
    <w:rsid w:val="00F751B6"/>
    <w:rsid w:val="00F76A83"/>
    <w:rsid w:val="00F774C8"/>
    <w:rsid w:val="00F802C8"/>
    <w:rsid w:val="00F813B4"/>
    <w:rsid w:val="00F81D96"/>
    <w:rsid w:val="00F826E7"/>
    <w:rsid w:val="00F827AA"/>
    <w:rsid w:val="00F82C6C"/>
    <w:rsid w:val="00F83978"/>
    <w:rsid w:val="00F83ED3"/>
    <w:rsid w:val="00F83F3F"/>
    <w:rsid w:val="00F83FE2"/>
    <w:rsid w:val="00F840B9"/>
    <w:rsid w:val="00F857B4"/>
    <w:rsid w:val="00F85C14"/>
    <w:rsid w:val="00F85C44"/>
    <w:rsid w:val="00F85F4D"/>
    <w:rsid w:val="00F86002"/>
    <w:rsid w:val="00F86371"/>
    <w:rsid w:val="00F86648"/>
    <w:rsid w:val="00F86C88"/>
    <w:rsid w:val="00F86D13"/>
    <w:rsid w:val="00F87027"/>
    <w:rsid w:val="00F874B8"/>
    <w:rsid w:val="00F87535"/>
    <w:rsid w:val="00F877A0"/>
    <w:rsid w:val="00F90859"/>
    <w:rsid w:val="00F916C9"/>
    <w:rsid w:val="00F91915"/>
    <w:rsid w:val="00F91D8C"/>
    <w:rsid w:val="00F921C0"/>
    <w:rsid w:val="00F92282"/>
    <w:rsid w:val="00F931F5"/>
    <w:rsid w:val="00F932FB"/>
    <w:rsid w:val="00F9337A"/>
    <w:rsid w:val="00F9347F"/>
    <w:rsid w:val="00F944B3"/>
    <w:rsid w:val="00F94D65"/>
    <w:rsid w:val="00F9549D"/>
    <w:rsid w:val="00F95724"/>
    <w:rsid w:val="00F95A12"/>
    <w:rsid w:val="00F960B1"/>
    <w:rsid w:val="00F962B4"/>
    <w:rsid w:val="00F96CF3"/>
    <w:rsid w:val="00F972B0"/>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695"/>
    <w:rsid w:val="00FB66D9"/>
    <w:rsid w:val="00FB74E5"/>
    <w:rsid w:val="00FC05C1"/>
    <w:rsid w:val="00FC0D59"/>
    <w:rsid w:val="00FC1673"/>
    <w:rsid w:val="00FC1A3D"/>
    <w:rsid w:val="00FC1A5C"/>
    <w:rsid w:val="00FC1C53"/>
    <w:rsid w:val="00FC1D2A"/>
    <w:rsid w:val="00FC2B88"/>
    <w:rsid w:val="00FC2D03"/>
    <w:rsid w:val="00FC2D4C"/>
    <w:rsid w:val="00FC39EA"/>
    <w:rsid w:val="00FC469C"/>
    <w:rsid w:val="00FC473D"/>
    <w:rsid w:val="00FC4943"/>
    <w:rsid w:val="00FC49E0"/>
    <w:rsid w:val="00FC4AA6"/>
    <w:rsid w:val="00FC559A"/>
    <w:rsid w:val="00FC56B8"/>
    <w:rsid w:val="00FC5CFE"/>
    <w:rsid w:val="00FC60B8"/>
    <w:rsid w:val="00FC6DE6"/>
    <w:rsid w:val="00FC6E48"/>
    <w:rsid w:val="00FD0A9D"/>
    <w:rsid w:val="00FD0A9E"/>
    <w:rsid w:val="00FD0F14"/>
    <w:rsid w:val="00FD15AF"/>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A47"/>
    <w:rsid w:val="00FE1D5C"/>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F02E4"/>
    <w:rsid w:val="00FF0DA9"/>
    <w:rsid w:val="00FF10F1"/>
    <w:rsid w:val="00FF2986"/>
    <w:rsid w:val="00FF2F3F"/>
    <w:rsid w:val="00FF3A63"/>
    <w:rsid w:val="00FF4902"/>
    <w:rsid w:val="00FF524A"/>
    <w:rsid w:val="00FF524F"/>
    <w:rsid w:val="00FF58A5"/>
    <w:rsid w:val="00FF58F3"/>
    <w:rsid w:val="00FF5AA4"/>
    <w:rsid w:val="00FF6251"/>
    <w:rsid w:val="00FF6A5E"/>
    <w:rsid w:val="00FF7151"/>
    <w:rsid w:val="00FF7523"/>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677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 w:type="paragraph" w:customStyle="1" w:styleId="aparanumbering">
    <w:name w:val="aparanumbering"/>
    <w:basedOn w:val="Normal"/>
    <w:rsid w:val="002E6084"/>
    <w:pPr>
      <w:spacing w:before="100" w:beforeAutospacing="1" w:after="100" w:afterAutospacing="1"/>
    </w:pPr>
    <w:rPr>
      <w:szCs w:val="24"/>
    </w:rPr>
  </w:style>
  <w:style w:type="paragraph" w:customStyle="1" w:styleId="felskynumbering12">
    <w:name w:val="felskynumbering12"/>
    <w:basedOn w:val="Normal"/>
    <w:rsid w:val="00F95A12"/>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27291651">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5501231">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cc-csc.ca/case-dossier/info/sum-som-fra.aspx?cas=39141" TargetMode="External"/><Relationship Id="rId18" Type="http://schemas.openxmlformats.org/officeDocument/2006/relationships/hyperlink" Target="https://www.scc-csc.ca/case-dossier/info/sum-som-fra.aspx?cas=39151" TargetMode="External"/><Relationship Id="rId26" Type="http://schemas.openxmlformats.org/officeDocument/2006/relationships/hyperlink" Target="http://canlii.ca/t/j5wvg" TargetMode="External"/><Relationship Id="rId39" Type="http://schemas.openxmlformats.org/officeDocument/2006/relationships/hyperlink" Target="https://www.canlii.org/fr/qc/qccs/doc/2018/2018qccs4605/2018qccs4605.pdf" TargetMode="External"/><Relationship Id="rId21" Type="http://schemas.openxmlformats.org/officeDocument/2006/relationships/hyperlink" Target="https://www.canlii.org/fr/qc/qcca/doc/2019/2019qcca2108/2019qcca2108.html?resultIndex=1" TargetMode="External"/><Relationship Id="rId34" Type="http://schemas.openxmlformats.org/officeDocument/2006/relationships/hyperlink" Target="https://www.canlii.org/en/bc/bcca/doc/2020/2020bcca122/2020bcca122.html?resultIndex=1" TargetMode="External"/><Relationship Id="rId42" Type="http://schemas.openxmlformats.org/officeDocument/2006/relationships/hyperlink" Target="https://www.canlii.org/fr/qc/qcca/doc/2020/2020qcca303/2020qcca303.pdf" TargetMode="External"/><Relationship Id="rId47" Type="http://schemas.openxmlformats.org/officeDocument/2006/relationships/hyperlink" Target="http://c-doc.domain.scc-csc.gc.ca/L25/01/05/%3chttp:/canlii.ca/t/j6fnk%3e," TargetMode="External"/><Relationship Id="rId50" Type="http://schemas.openxmlformats.org/officeDocument/2006/relationships/hyperlink" Target="http://c-doc.domain.scc-csc.gc.ca/L25/01/05/%3chttp:/canlii.ca/t/j80km" TargetMode="External"/><Relationship Id="rId55" Type="http://schemas.openxmlformats.org/officeDocument/2006/relationships/hyperlink" Target="https://www.canlii.org/en/ab/abqb/doc/2019/2019abqb162/2019abqb162.html?autocompleteStr=2019%20abqb%20%20162&amp;autocompletePos=1" TargetMode="External"/><Relationship Id="rId63" Type="http://schemas.openxmlformats.org/officeDocument/2006/relationships/hyperlink" Target="https://www.canlii.org/en/ca/tcc/doc/2019/2019tcc88/2019tcc88.html?resultIndex=1" TargetMode="External"/><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scc-csc.ca/case-dossier/info/sum-som-eng.aspx?cas=39095" TargetMode="External"/><Relationship Id="rId29" Type="http://schemas.openxmlformats.org/officeDocument/2006/relationships/hyperlink" Target="https://www.canlii.org/en/yk/yksc/doc/2019/2019yksc23/2019yksc23.html" TargetMode="External"/><Relationship Id="rId11" Type="http://schemas.openxmlformats.org/officeDocument/2006/relationships/hyperlink" Target="https://www.scc-csc.ca/case-dossier/info/sum-som-eng.aspx?cas=39188" TargetMode="External"/><Relationship Id="rId24" Type="http://schemas.openxmlformats.org/officeDocument/2006/relationships/hyperlink" Target="http://canlii.ca/t/j5wvg" TargetMode="External"/><Relationship Id="rId32" Type="http://schemas.openxmlformats.org/officeDocument/2006/relationships/hyperlink" Target="https://www.canlii.org/en/bc/bcca/doc/2020/2020bcca122/2020bcca122.html?resultIndex=1" TargetMode="External"/><Relationship Id="rId37" Type="http://schemas.openxmlformats.org/officeDocument/2006/relationships/hyperlink" Target="https://www.canlii.org/fr/ca/cfpi/doc/2015/2015cf721/2015cf721.html" TargetMode="External"/><Relationship Id="rId40" Type="http://schemas.openxmlformats.org/officeDocument/2006/relationships/hyperlink" Target="https://www.canlii.org/fr/qc/qcca/doc/2020/2020qcca303/2020qcca303.pdf" TargetMode="External"/><Relationship Id="rId45" Type="http://schemas.openxmlformats.org/officeDocument/2006/relationships/hyperlink" Target="https://www.canlii.org/fr/qc/qccs/doc/2017/2017qccs1687/2017qccs1687.html" TargetMode="External"/><Relationship Id="rId53" Type="http://schemas.openxmlformats.org/officeDocument/2006/relationships/hyperlink" Target="https://www.canlii.org/fr/ca/cfpi/doc/2018/2018cf1298/2018cf1298.html" TargetMode="External"/><Relationship Id="rId58" Type="http://schemas.openxmlformats.org/officeDocument/2006/relationships/hyperlink" Target="https://www.canlii.org/en/ab/abca/doc/2020/2020abca21/2020abca21.html?autocompleteStr=2020%20abca%2021&amp;autocompletePos=1" TargetMode="External"/><Relationship Id="rId66" Type="http://schemas.openxmlformats.org/officeDocument/2006/relationships/hyperlink" Target="https://www.canlii.org/en/on/onca/doc/2020/2020onca411/2020onca411.html?autocompleteStr=2020%20ONCA%20411&amp;autocompletePos=1"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cc-csc.ca/case-dossier/info/sum-som-eng.aspx?cas=39221" TargetMode="External"/><Relationship Id="rId23" Type="http://schemas.openxmlformats.org/officeDocument/2006/relationships/hyperlink" Target="http://canlii.ca/t/htp2k" TargetMode="External"/><Relationship Id="rId28" Type="http://schemas.openxmlformats.org/officeDocument/2006/relationships/hyperlink" Target="https://www.canlii.org/en/yk/ykca/doc/2020/2020ykca8/2020ykca8.html" TargetMode="External"/><Relationship Id="rId36" Type="http://schemas.openxmlformats.org/officeDocument/2006/relationships/hyperlink" Target="http://canlii.ca/t/j60hx" TargetMode="External"/><Relationship Id="rId49" Type="http://schemas.openxmlformats.org/officeDocument/2006/relationships/hyperlink" Target="http://c-doc.domain.scc-csc.gc.ca/L25/01/05/%3chttp:/canlii.ca/t/j6fnk%3e," TargetMode="External"/><Relationship Id="rId57" Type="http://schemas.openxmlformats.org/officeDocument/2006/relationships/hyperlink" Target="https://www.canlii.org/en/ab/abqb/doc/2019/2019abqb162/2019abqb162.html?autocompleteStr=2019%20abqb%20%20162&amp;autocompletePos=1" TargetMode="External"/><Relationship Id="rId61" Type="http://schemas.openxmlformats.org/officeDocument/2006/relationships/hyperlink" Target="https://www.canlii.org/en/ca/tcc/doc/2019/2019tcc88/2019tcc88.html?resultIndex=1" TargetMode="External"/><Relationship Id="rId10" Type="http://schemas.openxmlformats.org/officeDocument/2006/relationships/hyperlink" Target="https://www.scc-csc.ca/case-dossier/info/sum-som-eng.aspx?cas=39176" TargetMode="External"/><Relationship Id="rId19" Type="http://schemas.openxmlformats.org/officeDocument/2006/relationships/hyperlink" Target="https://www.scc-csc.ca/case-dossier/info/sum-som-eng.aspx?cas=39190" TargetMode="External"/><Relationship Id="rId31" Type="http://schemas.openxmlformats.org/officeDocument/2006/relationships/hyperlink" Target="https://www.canlii.org/en/bc/bcsc/doc/2019/2019bcsc258/2019bcsc258.html?resultIndex=1" TargetMode="External"/><Relationship Id="rId44" Type="http://schemas.openxmlformats.org/officeDocument/2006/relationships/hyperlink" Target="https://www.canlii.org/fr/qc/qcca/doc/2020/2020qcca372/2020qcca372.html" TargetMode="External"/><Relationship Id="rId52" Type="http://schemas.openxmlformats.org/officeDocument/2006/relationships/hyperlink" Target="https://www.canlii.org/en/ca/fca/doc/2020/2020fca22/2020fca22.html?autocompleteStr=2020%20fca%2022&amp;autocompletePos=1" TargetMode="External"/><Relationship Id="rId60" Type="http://schemas.openxmlformats.org/officeDocument/2006/relationships/hyperlink" Target="https://www.canlii.org/en/qc/qcca/doc/2020/2020qcca281/2020qcca281.html?autocompleteStr=500-10-006551-178&amp;autocompletePos=1" TargetMode="External"/><Relationship Id="rId65" Type="http://schemas.openxmlformats.org/officeDocument/2006/relationships/hyperlink" Target="https://www.canlii.org/en/on/onca/doc/2020/2020onca411/2020onca411.html?autocompleteStr=2020%20ONCA%20411&amp;autocompletePos=1" TargetMode="External"/><Relationship Id="rId73"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scc-csc.ca/case-dossier/info/sum-som-fra.aspx?cas=39173" TargetMode="External"/><Relationship Id="rId14" Type="http://schemas.openxmlformats.org/officeDocument/2006/relationships/hyperlink" Target="https://www.scc-csc.ca/case-dossier/info/sum-som-fra.aspx?cas=39162" TargetMode="External"/><Relationship Id="rId22" Type="http://schemas.openxmlformats.org/officeDocument/2006/relationships/hyperlink" Target="https://www.canlii.org/fr/qc/qcca/doc/2019/2019qcca2108/2019qcca2108.html?resultIndex=1" TargetMode="External"/><Relationship Id="rId27" Type="http://schemas.openxmlformats.org/officeDocument/2006/relationships/hyperlink" Target="https://www.canlii.org/en/yk/yksc/doc/2019/2019yksc23/2019yksc23.html" TargetMode="External"/><Relationship Id="rId30" Type="http://schemas.openxmlformats.org/officeDocument/2006/relationships/hyperlink" Target="https://www.canlii.org/en/yk/ykca/doc/2020/2020ykca8/2020ykca8.html" TargetMode="External"/><Relationship Id="rId35" Type="http://schemas.openxmlformats.org/officeDocument/2006/relationships/hyperlink" Target="http://canlii.ca/t/gk495" TargetMode="External"/><Relationship Id="rId43" Type="http://schemas.openxmlformats.org/officeDocument/2006/relationships/hyperlink" Target="https://www.canlii.org/fr/qc/qccs/doc/2017/2017qccs1687/2017qccs1687.html" TargetMode="External"/><Relationship Id="rId48" Type="http://schemas.openxmlformats.org/officeDocument/2006/relationships/hyperlink" Target="http://c-doc.domain.scc-csc.gc.ca/L25/01/05/%3chttp:/canlii.ca/t/j80km" TargetMode="External"/><Relationship Id="rId56" Type="http://schemas.openxmlformats.org/officeDocument/2006/relationships/hyperlink" Target="https://www.canlii.org/en/ab/abca/doc/2020/2020abca21/2020abca21.html?autocompleteStr=2020%20abca%2021&amp;autocompletePos=1" TargetMode="External"/><Relationship Id="rId64" Type="http://schemas.openxmlformats.org/officeDocument/2006/relationships/hyperlink" Target="https://www.canlii.org/en/ca/fca/doc/2020/2020fca70/2020fca70.html?resultIndex=1" TargetMode="External"/><Relationship Id="rId69" Type="http://schemas.openxmlformats.org/officeDocument/2006/relationships/header" Target="header2.xml"/><Relationship Id="rId8" Type="http://schemas.openxmlformats.org/officeDocument/2006/relationships/hyperlink" Target="https://www.scc-csc.ca/case-dossier/info/sum-som-fra.aspx?cas=39074" TargetMode="External"/><Relationship Id="rId51" Type="http://schemas.openxmlformats.org/officeDocument/2006/relationships/hyperlink" Target="https://www.canlii.org/en/ca/fct/doc/2018/2018fc1298/2018fc1298.html" TargetMode="External"/><Relationship Id="rId72"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s://www.scc-csc.ca/case-dossier/info/sum-som-eng.aspx?cas=39172" TargetMode="External"/><Relationship Id="rId17" Type="http://schemas.openxmlformats.org/officeDocument/2006/relationships/hyperlink" Target="https://www.scc-csc.ca/case-dossier/info/sum-som-eng.aspx?cas=39093" TargetMode="External"/><Relationship Id="rId25" Type="http://schemas.openxmlformats.org/officeDocument/2006/relationships/hyperlink" Target="http://canlii.ca/t/htp2k" TargetMode="External"/><Relationship Id="rId33" Type="http://schemas.openxmlformats.org/officeDocument/2006/relationships/hyperlink" Target="https://www.canlii.org/en/bc/bcsc/doc/2019/2019bcsc258/2019bcsc258.html?resultIndex=1" TargetMode="External"/><Relationship Id="rId38" Type="http://schemas.openxmlformats.org/officeDocument/2006/relationships/hyperlink" Target="http://canlii.ca/t/j60hx" TargetMode="External"/><Relationship Id="rId46" Type="http://schemas.openxmlformats.org/officeDocument/2006/relationships/hyperlink" Target="https://www.canlii.org/fr/qc/qcca/doc/2020/2020qcca372/2020qcca372.html" TargetMode="External"/><Relationship Id="rId59" Type="http://schemas.openxmlformats.org/officeDocument/2006/relationships/hyperlink" Target="https://www.canlii.org/en/qc/qcca/doc/2020/2020qcca281/2020qcca281.html?autocompleteStr=500-10-006551-178&amp;autocompletePos=1" TargetMode="External"/><Relationship Id="rId67" Type="http://schemas.openxmlformats.org/officeDocument/2006/relationships/hyperlink" Target="mailto:comments-commentaires@scc-csc.ca" TargetMode="External"/><Relationship Id="rId20" Type="http://schemas.openxmlformats.org/officeDocument/2006/relationships/hyperlink" Target="https://www.scc-csc.ca/case-dossier/info/sum-som-eng.aspx?cas=39261" TargetMode="External"/><Relationship Id="rId41" Type="http://schemas.openxmlformats.org/officeDocument/2006/relationships/hyperlink" Target="https://www.canlii.org/fr/qc/qccs/doc/2018/2018qccs4605/2018qccs4605.pdf" TargetMode="External"/><Relationship Id="rId54" Type="http://schemas.openxmlformats.org/officeDocument/2006/relationships/hyperlink" Target="https://www.canlii.org/fr/ca/caf/doc/2020/2020caf22/2020caf22.html" TargetMode="External"/><Relationship Id="rId62" Type="http://schemas.openxmlformats.org/officeDocument/2006/relationships/hyperlink" Target="https://www.canlii.org/en/ca/fca/doc/2020/2020fca70/2020fca70.html?resultIndex=1" TargetMode="External"/><Relationship Id="rId70" Type="http://schemas.openxmlformats.org/officeDocument/2006/relationships/footer" Target="footer1.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D0D8E-EA0B-43C1-BC8E-971BD834C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11617</Words>
  <Characters>66219</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77681</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2019-12-17T19:10:00Z</dcterms:created>
  <dcterms:modified xsi:type="dcterms:W3CDTF">2020-09-18T16:58:00Z</dcterms:modified>
</cp:coreProperties>
</file>