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AD420D" w:rsidRDefault="000E391F" w:rsidP="000E391F">
      <w:pPr>
        <w:pStyle w:val="Header"/>
        <w:jc w:val="center"/>
        <w:rPr>
          <w:b/>
          <w:sz w:val="32"/>
        </w:rPr>
      </w:pPr>
      <w:r w:rsidRPr="00AD420D">
        <w:rPr>
          <w:b/>
          <w:sz w:val="32"/>
        </w:rPr>
        <w:t>Supreme Court of Canada / Cour suprême du Canada</w:t>
      </w:r>
    </w:p>
    <w:p w:rsidR="000E391F" w:rsidRPr="00AD420D" w:rsidRDefault="000E391F" w:rsidP="000E391F">
      <w:pPr>
        <w:widowControl w:val="0"/>
      </w:pPr>
    </w:p>
    <w:p w:rsidR="000E391F" w:rsidRPr="00AD420D" w:rsidRDefault="000E391F" w:rsidP="000E391F">
      <w:pPr>
        <w:widowControl w:val="0"/>
        <w:rPr>
          <w:i/>
        </w:rPr>
      </w:pPr>
    </w:p>
    <w:p w:rsidR="006F2579" w:rsidRPr="00AD420D" w:rsidRDefault="006F2579" w:rsidP="006F2579">
      <w:pPr>
        <w:widowControl w:val="0"/>
        <w:rPr>
          <w:i/>
          <w:sz w:val="20"/>
        </w:rPr>
      </w:pPr>
      <w:r w:rsidRPr="00AD420D">
        <w:rPr>
          <w:i/>
          <w:sz w:val="20"/>
        </w:rPr>
        <w:t>(</w:t>
      </w:r>
      <w:r w:rsidR="003240B6" w:rsidRPr="00AD420D">
        <w:rPr>
          <w:i/>
          <w:sz w:val="20"/>
        </w:rPr>
        <w:t>L</w:t>
      </w:r>
      <w:r w:rsidRPr="00AD420D">
        <w:rPr>
          <w:i/>
          <w:sz w:val="20"/>
        </w:rPr>
        <w:t>e français suit)</w:t>
      </w:r>
    </w:p>
    <w:p w:rsidR="006F2579" w:rsidRPr="00AD420D" w:rsidRDefault="006F2579" w:rsidP="006F2579">
      <w:pPr>
        <w:widowControl w:val="0"/>
      </w:pPr>
    </w:p>
    <w:p w:rsidR="006F2579" w:rsidRPr="00AD420D" w:rsidRDefault="00B07908" w:rsidP="006F2579">
      <w:pPr>
        <w:widowControl w:val="0"/>
        <w:jc w:val="center"/>
        <w:rPr>
          <w:b/>
        </w:rPr>
      </w:pPr>
      <w:r w:rsidRPr="00AD420D">
        <w:fldChar w:fldCharType="begin"/>
      </w:r>
      <w:r w:rsidR="006F2579" w:rsidRPr="00AD420D">
        <w:instrText xml:space="preserve"> SEQ CHAPTER \h \r 1</w:instrText>
      </w:r>
      <w:r w:rsidRPr="00AD420D">
        <w:fldChar w:fldCharType="end"/>
      </w:r>
      <w:r w:rsidR="006F2579" w:rsidRPr="00AD420D">
        <w:rPr>
          <w:b/>
        </w:rPr>
        <w:t>JUDGMENT</w:t>
      </w:r>
      <w:r w:rsidR="00B17AAC" w:rsidRPr="00AD420D">
        <w:rPr>
          <w:b/>
        </w:rPr>
        <w:t>S</w:t>
      </w:r>
      <w:r w:rsidR="006F2579" w:rsidRPr="00AD420D">
        <w:rPr>
          <w:b/>
        </w:rPr>
        <w:t xml:space="preserve"> TO B</w:t>
      </w:r>
      <w:r w:rsidR="00001846" w:rsidRPr="00AD420D">
        <w:rPr>
          <w:b/>
        </w:rPr>
        <w:t>E RENDERED IN LE</w:t>
      </w:r>
      <w:r w:rsidR="00A0288A" w:rsidRPr="00AD420D">
        <w:rPr>
          <w:b/>
        </w:rPr>
        <w:t>A</w:t>
      </w:r>
      <w:r w:rsidR="00001846" w:rsidRPr="00AD420D">
        <w:rPr>
          <w:b/>
        </w:rPr>
        <w:t>VE APPLICATION</w:t>
      </w:r>
      <w:r w:rsidR="00511288" w:rsidRPr="00AD420D">
        <w:rPr>
          <w:b/>
        </w:rPr>
        <w:t>S</w:t>
      </w:r>
    </w:p>
    <w:p w:rsidR="006F2579" w:rsidRPr="00AD420D" w:rsidRDefault="006F2579" w:rsidP="006F2579">
      <w:pPr>
        <w:widowControl w:val="0"/>
      </w:pPr>
    </w:p>
    <w:p w:rsidR="006F2579" w:rsidRPr="00AD420D" w:rsidRDefault="00350F1B" w:rsidP="006F2579">
      <w:pPr>
        <w:widowControl w:val="0"/>
      </w:pPr>
      <w:r w:rsidRPr="00AD420D">
        <w:rPr>
          <w:b/>
        </w:rPr>
        <w:t>October</w:t>
      </w:r>
      <w:r w:rsidR="00A15B66" w:rsidRPr="00AD420D">
        <w:rPr>
          <w:b/>
        </w:rPr>
        <w:t xml:space="preserve"> </w:t>
      </w:r>
      <w:r w:rsidR="00AE6180" w:rsidRPr="00AD420D">
        <w:rPr>
          <w:b/>
        </w:rPr>
        <w:t>13</w:t>
      </w:r>
      <w:r w:rsidR="004441C7" w:rsidRPr="00AD420D">
        <w:rPr>
          <w:b/>
        </w:rPr>
        <w:t>,</w:t>
      </w:r>
      <w:r w:rsidR="006F2579" w:rsidRPr="00AD420D">
        <w:rPr>
          <w:b/>
        </w:rPr>
        <w:t xml:space="preserve"> </w:t>
      </w:r>
      <w:r w:rsidR="0054689F" w:rsidRPr="00AD420D">
        <w:rPr>
          <w:b/>
        </w:rPr>
        <w:t>20</w:t>
      </w:r>
      <w:r w:rsidR="00526754" w:rsidRPr="00AD420D">
        <w:rPr>
          <w:b/>
        </w:rPr>
        <w:t>20</w:t>
      </w:r>
    </w:p>
    <w:p w:rsidR="006F2579" w:rsidRPr="00AD420D" w:rsidRDefault="00674F39" w:rsidP="006F2579">
      <w:pPr>
        <w:widowControl w:val="0"/>
        <w:rPr>
          <w:b/>
        </w:rPr>
      </w:pPr>
      <w:r w:rsidRPr="00AD420D">
        <w:rPr>
          <w:b/>
        </w:rPr>
        <w:t>For immediate release</w:t>
      </w:r>
    </w:p>
    <w:p w:rsidR="006F2579" w:rsidRPr="00AD420D" w:rsidRDefault="006F2579" w:rsidP="006F2579">
      <w:pPr>
        <w:widowControl w:val="0"/>
      </w:pPr>
    </w:p>
    <w:p w:rsidR="006F2579" w:rsidRPr="00AD420D" w:rsidRDefault="006F2579" w:rsidP="006F2579">
      <w:pPr>
        <w:widowControl w:val="0"/>
        <w:rPr>
          <w:lang w:val="fr-CA"/>
        </w:rPr>
      </w:pPr>
      <w:r w:rsidRPr="00AD420D">
        <w:rPr>
          <w:b/>
        </w:rPr>
        <w:t>OTTAWA</w:t>
      </w:r>
      <w:r w:rsidRPr="00AD420D">
        <w:t xml:space="preserve"> – The Supreme Court of Canad</w:t>
      </w:r>
      <w:r w:rsidR="006246E4" w:rsidRPr="00AD420D">
        <w:t>a</w:t>
      </w:r>
      <w:r w:rsidRPr="00AD420D">
        <w:t xml:space="preserve"> announced today that judgment in the following </w:t>
      </w:r>
      <w:r w:rsidR="00DB6199" w:rsidRPr="00AD420D">
        <w:t xml:space="preserve">leave applications </w:t>
      </w:r>
      <w:r w:rsidRPr="00AD420D">
        <w:t xml:space="preserve">will be delivered at 9:45 a.m. </w:t>
      </w:r>
      <w:r w:rsidR="00E05816" w:rsidRPr="00AD420D">
        <w:t>E</w:t>
      </w:r>
      <w:r w:rsidR="00273FF3" w:rsidRPr="00AD420D">
        <w:t>D</w:t>
      </w:r>
      <w:r w:rsidR="00E05816" w:rsidRPr="00AD420D">
        <w:t>T</w:t>
      </w:r>
      <w:r w:rsidRPr="00AD420D">
        <w:t xml:space="preserve"> on Thursday, </w:t>
      </w:r>
      <w:r w:rsidR="00466302" w:rsidRPr="00AD420D">
        <w:t>October</w:t>
      </w:r>
      <w:r w:rsidR="00455912" w:rsidRPr="00AD420D">
        <w:t xml:space="preserve"> </w:t>
      </w:r>
      <w:r w:rsidR="00AE6180" w:rsidRPr="00AD420D">
        <w:t>15</w:t>
      </w:r>
      <w:r w:rsidR="007E112F" w:rsidRPr="00AD420D">
        <w:t>,</w:t>
      </w:r>
      <w:r w:rsidR="002F38D7" w:rsidRPr="00AD420D">
        <w:t xml:space="preserve"> </w:t>
      </w:r>
      <w:r w:rsidR="006648D1" w:rsidRPr="00AD420D">
        <w:t>20</w:t>
      </w:r>
      <w:r w:rsidR="00526754" w:rsidRPr="00AD420D">
        <w:t>20</w:t>
      </w:r>
      <w:r w:rsidRPr="00AD420D">
        <w:t xml:space="preserve">. </w:t>
      </w:r>
      <w:r w:rsidRPr="00AD420D">
        <w:rPr>
          <w:lang w:val="fr-CA"/>
        </w:rPr>
        <w:t>This list is subject to chang</w:t>
      </w:r>
      <w:r w:rsidR="00192F7F" w:rsidRPr="00AD420D">
        <w:rPr>
          <w:lang w:val="fr-CA"/>
        </w:rPr>
        <w:t>e</w:t>
      </w:r>
      <w:r w:rsidRPr="00AD420D">
        <w:rPr>
          <w:lang w:val="fr-CA"/>
        </w:rPr>
        <w:t>.</w:t>
      </w:r>
    </w:p>
    <w:p w:rsidR="00FF5AA4" w:rsidRPr="00AD420D" w:rsidRDefault="00FF5AA4" w:rsidP="006F2579">
      <w:pPr>
        <w:widowControl w:val="0"/>
        <w:rPr>
          <w:lang w:val="fr-CA"/>
        </w:rPr>
      </w:pPr>
    </w:p>
    <w:p w:rsidR="00B43418" w:rsidRPr="00AD420D" w:rsidRDefault="00B43418" w:rsidP="006F2579">
      <w:pPr>
        <w:widowControl w:val="0"/>
        <w:rPr>
          <w:lang w:val="fr-CA"/>
        </w:rPr>
      </w:pPr>
    </w:p>
    <w:p w:rsidR="006F2579" w:rsidRPr="00AD420D" w:rsidRDefault="006F2579" w:rsidP="006F2579">
      <w:pPr>
        <w:widowControl w:val="0"/>
        <w:jc w:val="center"/>
        <w:rPr>
          <w:lang w:val="fr-CA"/>
        </w:rPr>
      </w:pPr>
      <w:r w:rsidRPr="00AD420D">
        <w:rPr>
          <w:b/>
          <w:lang w:val="fr-CA"/>
        </w:rPr>
        <w:t>PROCHAIN</w:t>
      </w:r>
      <w:r w:rsidR="00B17AAC" w:rsidRPr="00AD420D">
        <w:rPr>
          <w:b/>
          <w:lang w:val="fr-CA"/>
        </w:rPr>
        <w:t>S</w:t>
      </w:r>
      <w:r w:rsidRPr="00AD420D">
        <w:rPr>
          <w:b/>
          <w:lang w:val="fr-CA"/>
        </w:rPr>
        <w:t xml:space="preserve"> JUGEMENT</w:t>
      </w:r>
      <w:r w:rsidR="00B17AAC" w:rsidRPr="00AD420D">
        <w:rPr>
          <w:b/>
          <w:lang w:val="fr-CA"/>
        </w:rPr>
        <w:t>S</w:t>
      </w:r>
      <w:r w:rsidR="00001846" w:rsidRPr="00AD420D">
        <w:rPr>
          <w:b/>
          <w:lang w:val="fr-CA"/>
        </w:rPr>
        <w:t xml:space="preserve"> SUR DEMANDE</w:t>
      </w:r>
      <w:r w:rsidR="00B17AAC" w:rsidRPr="00AD420D">
        <w:rPr>
          <w:b/>
          <w:lang w:val="fr-CA"/>
        </w:rPr>
        <w:t>S</w:t>
      </w:r>
      <w:r w:rsidRPr="00AD420D">
        <w:rPr>
          <w:b/>
          <w:lang w:val="fr-CA"/>
        </w:rPr>
        <w:t xml:space="preserve"> D’AUTORISATION</w:t>
      </w:r>
    </w:p>
    <w:p w:rsidR="006F2579" w:rsidRPr="00AD420D" w:rsidRDefault="006F2579" w:rsidP="006F2579">
      <w:pPr>
        <w:widowControl w:val="0"/>
        <w:rPr>
          <w:lang w:val="fr-CA"/>
        </w:rPr>
      </w:pPr>
    </w:p>
    <w:p w:rsidR="006F2579" w:rsidRPr="00AD420D" w:rsidRDefault="006F2579" w:rsidP="006F2579">
      <w:pPr>
        <w:widowControl w:val="0"/>
        <w:rPr>
          <w:lang w:val="fr-CA"/>
        </w:rPr>
      </w:pPr>
      <w:r w:rsidRPr="00AD420D">
        <w:rPr>
          <w:b/>
          <w:lang w:val="fr-CA"/>
        </w:rPr>
        <w:t>Le</w:t>
      </w:r>
      <w:r w:rsidR="00957A76" w:rsidRPr="00AD420D">
        <w:rPr>
          <w:b/>
          <w:lang w:val="fr-CA"/>
        </w:rPr>
        <w:t xml:space="preserve"> </w:t>
      </w:r>
      <w:r w:rsidR="00AE6180" w:rsidRPr="00AD420D">
        <w:rPr>
          <w:b/>
          <w:lang w:val="fr-CA"/>
        </w:rPr>
        <w:t>13</w:t>
      </w:r>
      <w:r w:rsidR="007A72CA" w:rsidRPr="00AD420D">
        <w:rPr>
          <w:b/>
          <w:lang w:val="fr-CA"/>
        </w:rPr>
        <w:t xml:space="preserve"> </w:t>
      </w:r>
      <w:r w:rsidR="00350F1B" w:rsidRPr="00AD420D">
        <w:rPr>
          <w:b/>
          <w:lang w:val="fr-CA"/>
        </w:rPr>
        <w:t>octobre</w:t>
      </w:r>
      <w:r w:rsidR="00A151D1" w:rsidRPr="00AD420D">
        <w:rPr>
          <w:b/>
          <w:lang w:val="fr-CA"/>
        </w:rPr>
        <w:t xml:space="preserve"> 20</w:t>
      </w:r>
      <w:r w:rsidR="00526754" w:rsidRPr="00AD420D">
        <w:rPr>
          <w:b/>
          <w:lang w:val="fr-CA"/>
        </w:rPr>
        <w:t>20</w:t>
      </w:r>
    </w:p>
    <w:p w:rsidR="006F2579" w:rsidRPr="00AD420D" w:rsidRDefault="006F2579" w:rsidP="006F2579">
      <w:pPr>
        <w:widowControl w:val="0"/>
        <w:rPr>
          <w:b/>
          <w:lang w:val="fr-CA"/>
        </w:rPr>
      </w:pPr>
      <w:r w:rsidRPr="00AD420D">
        <w:rPr>
          <w:b/>
          <w:lang w:val="fr-CA"/>
        </w:rPr>
        <w:t>Pour diffusion immédiate</w:t>
      </w:r>
    </w:p>
    <w:p w:rsidR="006F2579" w:rsidRPr="00AD420D" w:rsidRDefault="006F2579" w:rsidP="006F2579">
      <w:pPr>
        <w:widowControl w:val="0"/>
        <w:rPr>
          <w:lang w:val="fr-CA"/>
        </w:rPr>
      </w:pPr>
    </w:p>
    <w:p w:rsidR="006F2579" w:rsidRPr="00AD420D" w:rsidRDefault="006F2579" w:rsidP="006F2579">
      <w:pPr>
        <w:widowControl w:val="0"/>
        <w:rPr>
          <w:lang w:val="fr-CA"/>
        </w:rPr>
      </w:pPr>
      <w:r w:rsidRPr="00AD420D">
        <w:rPr>
          <w:b/>
          <w:lang w:val="fr-CA"/>
        </w:rPr>
        <w:t>OTTAWA</w:t>
      </w:r>
      <w:r w:rsidRPr="00AD420D">
        <w:rPr>
          <w:lang w:val="fr-CA"/>
        </w:rPr>
        <w:t xml:space="preserve"> – La Cour suprême du Canada annonce que jugement ser</w:t>
      </w:r>
      <w:r w:rsidR="004259F9" w:rsidRPr="00AD420D">
        <w:rPr>
          <w:lang w:val="fr-CA"/>
        </w:rPr>
        <w:t>a</w:t>
      </w:r>
      <w:r w:rsidRPr="00AD420D">
        <w:rPr>
          <w:lang w:val="fr-CA"/>
        </w:rPr>
        <w:t xml:space="preserve"> rendu dans l</w:t>
      </w:r>
      <w:r w:rsidR="008600ED" w:rsidRPr="00AD420D">
        <w:rPr>
          <w:lang w:val="fr-CA"/>
        </w:rPr>
        <w:t>es</w:t>
      </w:r>
      <w:r w:rsidRPr="00AD420D">
        <w:rPr>
          <w:lang w:val="fr-CA"/>
        </w:rPr>
        <w:t xml:space="preserve"> demande</w:t>
      </w:r>
      <w:r w:rsidR="008600ED" w:rsidRPr="00AD420D">
        <w:rPr>
          <w:lang w:val="fr-CA"/>
        </w:rPr>
        <w:t>s</w:t>
      </w:r>
      <w:r w:rsidRPr="00AD420D">
        <w:rPr>
          <w:lang w:val="fr-CA"/>
        </w:rPr>
        <w:t xml:space="preserve"> d</w:t>
      </w:r>
      <w:r w:rsidR="00001846" w:rsidRPr="00AD420D">
        <w:rPr>
          <w:lang w:val="fr-CA"/>
        </w:rPr>
        <w:t>’autorisation suivante</w:t>
      </w:r>
      <w:r w:rsidR="008600ED" w:rsidRPr="00AD420D">
        <w:rPr>
          <w:lang w:val="fr-CA"/>
        </w:rPr>
        <w:t>s</w:t>
      </w:r>
      <w:r w:rsidRPr="00AD420D">
        <w:rPr>
          <w:lang w:val="fr-CA"/>
        </w:rPr>
        <w:t xml:space="preserve"> le jeudi </w:t>
      </w:r>
      <w:r w:rsidR="00AE6180" w:rsidRPr="00AD420D">
        <w:rPr>
          <w:lang w:val="fr-CA"/>
        </w:rPr>
        <w:t>15</w:t>
      </w:r>
      <w:r w:rsidR="00466302" w:rsidRPr="00AD420D">
        <w:rPr>
          <w:lang w:val="fr-CA"/>
        </w:rPr>
        <w:t xml:space="preserve"> octobre</w:t>
      </w:r>
      <w:r w:rsidR="00694391" w:rsidRPr="00AD420D">
        <w:rPr>
          <w:lang w:val="fr-CA"/>
        </w:rPr>
        <w:t xml:space="preserve"> 2</w:t>
      </w:r>
      <w:r w:rsidR="006648D1" w:rsidRPr="00AD420D">
        <w:rPr>
          <w:lang w:val="fr-CA"/>
        </w:rPr>
        <w:t>0</w:t>
      </w:r>
      <w:r w:rsidR="00526754" w:rsidRPr="00AD420D">
        <w:rPr>
          <w:lang w:val="fr-CA"/>
        </w:rPr>
        <w:t>20</w:t>
      </w:r>
      <w:r w:rsidRPr="00AD420D">
        <w:rPr>
          <w:lang w:val="fr-CA"/>
        </w:rPr>
        <w:t xml:space="preserve">, à 9 h 45 </w:t>
      </w:r>
      <w:r w:rsidR="000627A2" w:rsidRPr="00AD420D">
        <w:rPr>
          <w:lang w:val="fr-CA"/>
        </w:rPr>
        <w:t>H</w:t>
      </w:r>
      <w:r w:rsidR="00273FF3" w:rsidRPr="00AD420D">
        <w:rPr>
          <w:lang w:val="fr-CA"/>
        </w:rPr>
        <w:t>A</w:t>
      </w:r>
      <w:r w:rsidRPr="00AD420D">
        <w:rPr>
          <w:lang w:val="fr-CA"/>
        </w:rPr>
        <w:t>E. Cette liste est sujette à modifications.</w:t>
      </w:r>
    </w:p>
    <w:p w:rsidR="0080556B" w:rsidRPr="00AD420D" w:rsidRDefault="0080556B" w:rsidP="009B14F4">
      <w:pPr>
        <w:widowControl w:val="0"/>
        <w:jc w:val="both"/>
        <w:rPr>
          <w:sz w:val="20"/>
          <w:lang w:val="fr-CA"/>
        </w:rPr>
      </w:pPr>
    </w:p>
    <w:p w:rsidR="00867C61" w:rsidRPr="00AD420D" w:rsidRDefault="004E02BD" w:rsidP="009B14F4">
      <w:pPr>
        <w:widowControl w:val="0"/>
        <w:jc w:val="both"/>
        <w:rPr>
          <w:sz w:val="20"/>
        </w:rPr>
      </w:pPr>
      <w:r>
        <w:rPr>
          <w:sz w:val="20"/>
        </w:rPr>
        <w:pict>
          <v:rect id="_x0000_i1025" style="width:2in;height:1pt" o:hrpct="0" o:hralign="center" o:hrstd="t" o:hrnoshade="t" o:hr="t" fillcolor="black [3213]" stroked="f"/>
        </w:pict>
      </w:r>
    </w:p>
    <w:p w:rsidR="00D06989" w:rsidRPr="00AD420D" w:rsidRDefault="00D06989" w:rsidP="00D06989">
      <w:pPr>
        <w:contextualSpacing/>
        <w:rPr>
          <w:sz w:val="20"/>
        </w:rPr>
      </w:pPr>
    </w:p>
    <w:p w:rsidR="00DC2400" w:rsidRPr="00AD420D" w:rsidRDefault="00DC2400" w:rsidP="00881E91">
      <w:pPr>
        <w:pStyle w:val="ListParagraph"/>
        <w:numPr>
          <w:ilvl w:val="0"/>
          <w:numId w:val="40"/>
        </w:numPr>
        <w:ind w:left="357" w:hanging="357"/>
        <w:rPr>
          <w:sz w:val="20"/>
          <w:lang w:val="en-CA"/>
        </w:rPr>
      </w:pPr>
      <w:r w:rsidRPr="00AD420D">
        <w:rPr>
          <w:i/>
          <w:sz w:val="20"/>
          <w:lang w:val="fr-CA"/>
        </w:rPr>
        <w:t>B’Nai Brith Canada v. Alexander Dimitri Lascaris</w:t>
      </w:r>
      <w:r w:rsidRPr="00AD420D">
        <w:rPr>
          <w:sz w:val="20"/>
          <w:lang w:val="fr-CA"/>
        </w:rPr>
        <w:t xml:space="preserve"> (Ont.) </w:t>
      </w:r>
      <w:r w:rsidRPr="00AD420D">
        <w:rPr>
          <w:sz w:val="20"/>
          <w:lang w:val="en-CA"/>
        </w:rPr>
        <w:t xml:space="preserve">(Civil) (By Leave) </w:t>
      </w:r>
      <w:r w:rsidRPr="00AD420D">
        <w:rPr>
          <w:sz w:val="20"/>
        </w:rPr>
        <w:t>(</w:t>
      </w:r>
      <w:hyperlink r:id="rId8" w:history="1">
        <w:r w:rsidRPr="00AD420D">
          <w:rPr>
            <w:rStyle w:val="Hyperlink"/>
            <w:sz w:val="20"/>
            <w:szCs w:val="20"/>
          </w:rPr>
          <w:t>3</w:t>
        </w:r>
        <w:r w:rsidR="003C656D" w:rsidRPr="00AD420D">
          <w:rPr>
            <w:rStyle w:val="Hyperlink"/>
            <w:sz w:val="20"/>
          </w:rPr>
          <w:t>8614</w:t>
        </w:r>
      </w:hyperlink>
      <w:r w:rsidRPr="00AD420D">
        <w:rPr>
          <w:sz w:val="20"/>
        </w:rPr>
        <w:t>)</w:t>
      </w:r>
    </w:p>
    <w:p w:rsidR="00DC2400" w:rsidRPr="00AD420D" w:rsidRDefault="00DC2400" w:rsidP="00881E91">
      <w:pPr>
        <w:ind w:left="357" w:hanging="357"/>
        <w:rPr>
          <w:sz w:val="20"/>
        </w:rPr>
      </w:pPr>
    </w:p>
    <w:p w:rsidR="00DC2400" w:rsidRPr="00AD420D" w:rsidRDefault="00DC2400" w:rsidP="00881E91">
      <w:pPr>
        <w:pStyle w:val="ListParagraph"/>
        <w:numPr>
          <w:ilvl w:val="0"/>
          <w:numId w:val="40"/>
        </w:numPr>
        <w:ind w:left="357" w:hanging="357"/>
        <w:rPr>
          <w:sz w:val="20"/>
        </w:rPr>
      </w:pPr>
      <w:r w:rsidRPr="00AD420D">
        <w:rPr>
          <w:i/>
          <w:sz w:val="20"/>
        </w:rPr>
        <w:t>Terry Blaine Gustafson v. Input Capital Corp.</w:t>
      </w:r>
      <w:r w:rsidRPr="00AD420D">
        <w:rPr>
          <w:sz w:val="20"/>
        </w:rPr>
        <w:t xml:space="preserve"> (Sask.) (Civil) (By Leave) (</w:t>
      </w:r>
      <w:hyperlink r:id="rId9" w:history="1">
        <w:r w:rsidRPr="00AD420D">
          <w:rPr>
            <w:rStyle w:val="Hyperlink"/>
            <w:sz w:val="20"/>
            <w:szCs w:val="20"/>
          </w:rPr>
          <w:t>3</w:t>
        </w:r>
        <w:r w:rsidR="003C656D" w:rsidRPr="00AD420D">
          <w:rPr>
            <w:rStyle w:val="Hyperlink"/>
            <w:sz w:val="20"/>
          </w:rPr>
          <w:t>8880</w:t>
        </w:r>
      </w:hyperlink>
      <w:r w:rsidRPr="00AD420D">
        <w:rPr>
          <w:sz w:val="20"/>
        </w:rPr>
        <w:t>)</w:t>
      </w:r>
    </w:p>
    <w:p w:rsidR="00DC2400" w:rsidRPr="00AD420D" w:rsidRDefault="00DC2400" w:rsidP="00881E91">
      <w:pPr>
        <w:ind w:left="357" w:hanging="357"/>
        <w:rPr>
          <w:sz w:val="20"/>
        </w:rPr>
      </w:pPr>
    </w:p>
    <w:p w:rsidR="00DC2400" w:rsidRPr="00AD420D" w:rsidRDefault="00DC2400" w:rsidP="00881E91">
      <w:pPr>
        <w:pStyle w:val="ListParagraph"/>
        <w:numPr>
          <w:ilvl w:val="0"/>
          <w:numId w:val="40"/>
        </w:numPr>
        <w:ind w:left="357" w:hanging="357"/>
        <w:rPr>
          <w:rFonts w:eastAsiaTheme="minorHAnsi" w:cstheme="minorBidi"/>
          <w:sz w:val="20"/>
          <w:lang w:val="fr-CA"/>
        </w:rPr>
      </w:pPr>
      <w:r w:rsidRPr="00AD420D">
        <w:rPr>
          <w:i/>
          <w:sz w:val="20"/>
          <w:lang w:val="fr-CA"/>
        </w:rPr>
        <w:t>Hydro-Québec c. Nadia Mbanga Molima</w:t>
      </w:r>
      <w:r w:rsidRPr="00AD420D">
        <w:rPr>
          <w:sz w:val="20"/>
          <w:lang w:val="fr-CA"/>
        </w:rPr>
        <w:t xml:space="preserve"> </w:t>
      </w:r>
      <w:r w:rsidRPr="00AD420D">
        <w:rPr>
          <w:rFonts w:eastAsiaTheme="minorHAnsi" w:cstheme="minorBidi"/>
          <w:sz w:val="20"/>
          <w:lang w:val="fr-CA"/>
        </w:rPr>
        <w:t xml:space="preserve">(Qc) (Civile) (Autorisation) </w:t>
      </w:r>
      <w:r w:rsidRPr="00AD420D">
        <w:rPr>
          <w:sz w:val="20"/>
          <w:lang w:val="fr-CA"/>
        </w:rPr>
        <w:t>(</w:t>
      </w:r>
      <w:hyperlink r:id="rId10" w:history="1">
        <w:r w:rsidRPr="00AD420D">
          <w:rPr>
            <w:rStyle w:val="Hyperlink"/>
            <w:sz w:val="20"/>
            <w:szCs w:val="20"/>
            <w:lang w:val="fr-CA"/>
          </w:rPr>
          <w:t>39</w:t>
        </w:r>
        <w:r w:rsidR="00E16B4A" w:rsidRPr="00AD420D">
          <w:rPr>
            <w:rStyle w:val="Hyperlink"/>
            <w:sz w:val="20"/>
            <w:lang w:val="fr-CA"/>
          </w:rPr>
          <w:t>138</w:t>
        </w:r>
      </w:hyperlink>
      <w:r w:rsidRPr="00AD420D">
        <w:rPr>
          <w:sz w:val="20"/>
          <w:lang w:val="fr-CA"/>
        </w:rPr>
        <w:t>)</w:t>
      </w:r>
    </w:p>
    <w:p w:rsidR="00DC2400" w:rsidRPr="00AD420D" w:rsidRDefault="00DC2400" w:rsidP="00881E91">
      <w:pPr>
        <w:ind w:left="357" w:hanging="357"/>
        <w:rPr>
          <w:sz w:val="20"/>
          <w:lang w:val="fr-CA"/>
        </w:rPr>
      </w:pPr>
    </w:p>
    <w:p w:rsidR="00DC2400" w:rsidRPr="00AD420D" w:rsidRDefault="00DC2400" w:rsidP="00881E91">
      <w:pPr>
        <w:pStyle w:val="ListParagraph"/>
        <w:numPr>
          <w:ilvl w:val="0"/>
          <w:numId w:val="40"/>
        </w:numPr>
        <w:ind w:left="357" w:hanging="357"/>
        <w:rPr>
          <w:sz w:val="20"/>
          <w:lang w:val="fr-CA"/>
        </w:rPr>
      </w:pPr>
      <w:r w:rsidRPr="00AD420D">
        <w:rPr>
          <w:rFonts w:eastAsiaTheme="minorHAnsi" w:cstheme="minorBidi"/>
          <w:i/>
          <w:sz w:val="20"/>
          <w:lang w:val="fr-CA"/>
        </w:rPr>
        <w:t>Ressources Strateco inc. c. Procureure générale du Québec</w:t>
      </w:r>
      <w:r w:rsidRPr="00AD420D">
        <w:rPr>
          <w:sz w:val="20"/>
          <w:lang w:val="fr-CA"/>
        </w:rPr>
        <w:t xml:space="preserve"> </w:t>
      </w:r>
      <w:r w:rsidRPr="00AD420D">
        <w:rPr>
          <w:rFonts w:eastAsiaTheme="minorHAnsi" w:cstheme="minorBidi"/>
          <w:sz w:val="20"/>
          <w:lang w:val="fr-CA"/>
        </w:rPr>
        <w:t xml:space="preserve">(Qc) (Civile) (Autorisation) </w:t>
      </w:r>
      <w:r w:rsidRPr="00AD420D">
        <w:rPr>
          <w:sz w:val="20"/>
          <w:lang w:val="fr-CA"/>
        </w:rPr>
        <w:t>(</w:t>
      </w:r>
      <w:hyperlink r:id="rId11" w:history="1">
        <w:r w:rsidRPr="00AD420D">
          <w:rPr>
            <w:rStyle w:val="Hyperlink"/>
            <w:sz w:val="20"/>
            <w:szCs w:val="20"/>
            <w:lang w:val="fr-CA"/>
          </w:rPr>
          <w:t>39</w:t>
        </w:r>
        <w:r w:rsidR="00853646" w:rsidRPr="00AD420D">
          <w:rPr>
            <w:rStyle w:val="Hyperlink"/>
            <w:sz w:val="20"/>
            <w:lang w:val="fr-CA"/>
          </w:rPr>
          <w:t>085</w:t>
        </w:r>
      </w:hyperlink>
      <w:r w:rsidRPr="00AD420D">
        <w:rPr>
          <w:sz w:val="20"/>
          <w:lang w:val="fr-CA"/>
        </w:rPr>
        <w:t>)</w:t>
      </w:r>
    </w:p>
    <w:p w:rsidR="00DC2400" w:rsidRPr="00AD420D" w:rsidRDefault="00DC2400" w:rsidP="00881E91">
      <w:pPr>
        <w:ind w:left="357" w:hanging="357"/>
        <w:contextualSpacing/>
        <w:rPr>
          <w:sz w:val="20"/>
          <w:lang w:val="fr-CA"/>
        </w:rPr>
      </w:pPr>
    </w:p>
    <w:p w:rsidR="006849B0" w:rsidRPr="00AD420D" w:rsidRDefault="006849B0" w:rsidP="00881E91">
      <w:pPr>
        <w:pStyle w:val="ListParagraph"/>
        <w:numPr>
          <w:ilvl w:val="0"/>
          <w:numId w:val="40"/>
        </w:numPr>
        <w:ind w:left="357" w:hanging="357"/>
        <w:rPr>
          <w:rFonts w:eastAsiaTheme="minorHAnsi" w:cstheme="minorBidi"/>
          <w:sz w:val="20"/>
        </w:rPr>
      </w:pPr>
      <w:r w:rsidRPr="00AD420D">
        <w:rPr>
          <w:rFonts w:eastAsiaTheme="minorHAnsi" w:cstheme="minorBidi"/>
          <w:i/>
          <w:sz w:val="20"/>
        </w:rPr>
        <w:t>Timothy E. Leahy v. Minister of Justice</w:t>
      </w:r>
      <w:r w:rsidRPr="00AD420D">
        <w:rPr>
          <w:rFonts w:eastAsiaTheme="minorHAnsi" w:cstheme="minorBidi"/>
          <w:sz w:val="20"/>
        </w:rPr>
        <w:t xml:space="preserve"> (F.C.) (Civil) (By Leave)</w:t>
      </w:r>
      <w:r w:rsidR="00042E94" w:rsidRPr="00AD420D">
        <w:rPr>
          <w:rFonts w:eastAsiaTheme="minorHAnsi" w:cstheme="minorBidi"/>
          <w:sz w:val="20"/>
        </w:rPr>
        <w:t xml:space="preserve"> </w:t>
      </w:r>
      <w:r w:rsidR="00042E94" w:rsidRPr="00AD420D">
        <w:rPr>
          <w:sz w:val="20"/>
        </w:rPr>
        <w:t>(</w:t>
      </w:r>
      <w:hyperlink r:id="rId12" w:history="1">
        <w:r w:rsidR="00042E94" w:rsidRPr="00AD420D">
          <w:rPr>
            <w:rStyle w:val="Hyperlink"/>
            <w:sz w:val="20"/>
            <w:szCs w:val="20"/>
          </w:rPr>
          <w:t>39</w:t>
        </w:r>
        <w:r w:rsidR="00406D6A" w:rsidRPr="00AD420D">
          <w:rPr>
            <w:rStyle w:val="Hyperlink"/>
            <w:sz w:val="20"/>
            <w:szCs w:val="20"/>
          </w:rPr>
          <w:t>2</w:t>
        </w:r>
        <w:r w:rsidR="00042E94" w:rsidRPr="00AD420D">
          <w:rPr>
            <w:rStyle w:val="Hyperlink"/>
            <w:sz w:val="20"/>
            <w:szCs w:val="20"/>
          </w:rPr>
          <w:t>5</w:t>
        </w:r>
        <w:r w:rsidR="00406D6A" w:rsidRPr="00AD420D">
          <w:rPr>
            <w:rStyle w:val="Hyperlink"/>
            <w:sz w:val="20"/>
            <w:szCs w:val="20"/>
          </w:rPr>
          <w:t>4</w:t>
        </w:r>
      </w:hyperlink>
      <w:r w:rsidR="00042E94" w:rsidRPr="00AD420D">
        <w:rPr>
          <w:sz w:val="20"/>
        </w:rPr>
        <w:t>)</w:t>
      </w:r>
    </w:p>
    <w:p w:rsidR="00AE6180" w:rsidRPr="00AD420D" w:rsidRDefault="00AE6180" w:rsidP="00881E91">
      <w:pPr>
        <w:ind w:left="357" w:hanging="357"/>
        <w:contextualSpacing/>
        <w:rPr>
          <w:sz w:val="20"/>
        </w:rPr>
      </w:pPr>
    </w:p>
    <w:p w:rsidR="00AE6180" w:rsidRPr="00AD420D" w:rsidRDefault="006849B0" w:rsidP="00881E91">
      <w:pPr>
        <w:pStyle w:val="ListParagraph"/>
        <w:numPr>
          <w:ilvl w:val="0"/>
          <w:numId w:val="40"/>
        </w:numPr>
        <w:ind w:left="357" w:hanging="357"/>
        <w:rPr>
          <w:sz w:val="20"/>
          <w:lang w:val="fr-CA"/>
        </w:rPr>
      </w:pPr>
      <w:r w:rsidRPr="00AD420D">
        <w:rPr>
          <w:i/>
          <w:sz w:val="20"/>
          <w:lang w:val="fr-CA"/>
        </w:rPr>
        <w:t xml:space="preserve">Groupe </w:t>
      </w:r>
      <w:r w:rsidR="006F7400" w:rsidRPr="00AD420D">
        <w:rPr>
          <w:i/>
          <w:sz w:val="20"/>
          <w:lang w:val="fr-CA"/>
        </w:rPr>
        <w:t>d</w:t>
      </w:r>
      <w:r w:rsidRPr="00AD420D">
        <w:rPr>
          <w:i/>
          <w:sz w:val="20"/>
          <w:lang w:val="fr-CA"/>
        </w:rPr>
        <w:t xml:space="preserve">imension </w:t>
      </w:r>
      <w:r w:rsidR="006F7400" w:rsidRPr="00AD420D">
        <w:rPr>
          <w:i/>
          <w:sz w:val="20"/>
          <w:lang w:val="fr-CA"/>
        </w:rPr>
        <w:t>m</w:t>
      </w:r>
      <w:r w:rsidRPr="00AD420D">
        <w:rPr>
          <w:i/>
          <w:sz w:val="20"/>
          <w:lang w:val="fr-CA"/>
        </w:rPr>
        <w:t xml:space="preserve">ulti </w:t>
      </w:r>
      <w:r w:rsidR="006F7400" w:rsidRPr="00AD420D">
        <w:rPr>
          <w:i/>
          <w:sz w:val="20"/>
          <w:lang w:val="fr-CA"/>
        </w:rPr>
        <w:t>v</w:t>
      </w:r>
      <w:r w:rsidRPr="00AD420D">
        <w:rPr>
          <w:i/>
          <w:sz w:val="20"/>
          <w:lang w:val="fr-CA"/>
        </w:rPr>
        <w:t xml:space="preserve">étérinaire inc. c. Jean-Philippe Ewart, </w:t>
      </w:r>
      <w:r w:rsidR="00406D6A" w:rsidRPr="00AD420D">
        <w:rPr>
          <w:i/>
          <w:sz w:val="20"/>
          <w:lang w:val="fr-CA"/>
        </w:rPr>
        <w:t>et al.</w:t>
      </w:r>
      <w:r w:rsidRPr="00AD420D">
        <w:rPr>
          <w:sz w:val="20"/>
          <w:lang w:val="fr-CA"/>
        </w:rPr>
        <w:t xml:space="preserve"> (Qc) (Civile) (Autorisation)</w:t>
      </w:r>
      <w:r w:rsidR="00406D6A" w:rsidRPr="00AD420D">
        <w:rPr>
          <w:sz w:val="20"/>
          <w:lang w:val="fr-CA"/>
        </w:rPr>
        <w:t xml:space="preserve"> </w:t>
      </w:r>
      <w:r w:rsidR="00042E94" w:rsidRPr="00AD420D">
        <w:rPr>
          <w:sz w:val="20"/>
          <w:lang w:val="fr-CA"/>
        </w:rPr>
        <w:t>(</w:t>
      </w:r>
      <w:hyperlink r:id="rId13" w:history="1">
        <w:r w:rsidR="00042E94" w:rsidRPr="00AD420D">
          <w:rPr>
            <w:rStyle w:val="Hyperlink"/>
            <w:sz w:val="20"/>
            <w:szCs w:val="20"/>
            <w:lang w:val="fr-CA"/>
          </w:rPr>
          <w:t>391</w:t>
        </w:r>
        <w:r w:rsidR="00406D6A" w:rsidRPr="00AD420D">
          <w:rPr>
            <w:rStyle w:val="Hyperlink"/>
            <w:sz w:val="20"/>
            <w:szCs w:val="20"/>
            <w:lang w:val="fr-CA"/>
          </w:rPr>
          <w:t>98</w:t>
        </w:r>
      </w:hyperlink>
      <w:r w:rsidR="00042E94" w:rsidRPr="00AD420D">
        <w:rPr>
          <w:sz w:val="20"/>
          <w:lang w:val="fr-CA"/>
        </w:rPr>
        <w:t>)</w:t>
      </w:r>
    </w:p>
    <w:p w:rsidR="00AE6180" w:rsidRPr="00AD420D" w:rsidRDefault="00AE6180" w:rsidP="00881E91">
      <w:pPr>
        <w:ind w:left="357" w:hanging="357"/>
        <w:contextualSpacing/>
        <w:rPr>
          <w:sz w:val="20"/>
          <w:lang w:val="fr-CA"/>
        </w:rPr>
      </w:pPr>
    </w:p>
    <w:p w:rsidR="00AE6180" w:rsidRPr="00AD420D" w:rsidRDefault="006849B0" w:rsidP="00881E91">
      <w:pPr>
        <w:pStyle w:val="ListParagraph"/>
        <w:numPr>
          <w:ilvl w:val="0"/>
          <w:numId w:val="40"/>
        </w:numPr>
        <w:ind w:left="357" w:hanging="357"/>
        <w:rPr>
          <w:sz w:val="20"/>
        </w:rPr>
      </w:pPr>
      <w:r w:rsidRPr="00AD420D">
        <w:rPr>
          <w:i/>
          <w:sz w:val="20"/>
        </w:rPr>
        <w:t>York University</w:t>
      </w:r>
      <w:r w:rsidR="00701B71" w:rsidRPr="00AD420D">
        <w:rPr>
          <w:i/>
          <w:sz w:val="20"/>
        </w:rPr>
        <w:t>, et al.</w:t>
      </w:r>
      <w:r w:rsidRPr="00AD420D">
        <w:rPr>
          <w:i/>
          <w:sz w:val="20"/>
        </w:rPr>
        <w:t xml:space="preserve"> v. Canadian Copyright Licensing Agency ("Access Copyright")</w:t>
      </w:r>
      <w:r w:rsidR="00701B71" w:rsidRPr="00AD420D">
        <w:rPr>
          <w:i/>
          <w:sz w:val="20"/>
        </w:rPr>
        <w:t>, et al.</w:t>
      </w:r>
      <w:r w:rsidRPr="00AD420D">
        <w:rPr>
          <w:sz w:val="20"/>
        </w:rPr>
        <w:t xml:space="preserve"> (F.C.) (Civil) (By Leave)</w:t>
      </w:r>
      <w:r w:rsidR="00042E94" w:rsidRPr="00AD420D">
        <w:rPr>
          <w:sz w:val="20"/>
        </w:rPr>
        <w:t xml:space="preserve"> (</w:t>
      </w:r>
      <w:hyperlink r:id="rId14" w:history="1">
        <w:r w:rsidR="00042E94" w:rsidRPr="00AD420D">
          <w:rPr>
            <w:rStyle w:val="Hyperlink"/>
            <w:sz w:val="20"/>
            <w:szCs w:val="20"/>
          </w:rPr>
          <w:t>39</w:t>
        </w:r>
        <w:r w:rsidR="00522CEC" w:rsidRPr="00AD420D">
          <w:rPr>
            <w:rStyle w:val="Hyperlink"/>
            <w:sz w:val="20"/>
            <w:szCs w:val="20"/>
          </w:rPr>
          <w:t>22</w:t>
        </w:r>
        <w:r w:rsidR="00042E94" w:rsidRPr="00AD420D">
          <w:rPr>
            <w:rStyle w:val="Hyperlink"/>
            <w:sz w:val="20"/>
            <w:szCs w:val="20"/>
          </w:rPr>
          <w:t>2</w:t>
        </w:r>
      </w:hyperlink>
      <w:r w:rsidR="00042E94" w:rsidRPr="00AD420D">
        <w:rPr>
          <w:sz w:val="20"/>
        </w:rPr>
        <w:t>)</w:t>
      </w:r>
    </w:p>
    <w:p w:rsidR="00AE6180" w:rsidRPr="00AD420D" w:rsidRDefault="00AE6180" w:rsidP="00881E91">
      <w:pPr>
        <w:ind w:left="357" w:hanging="357"/>
        <w:contextualSpacing/>
        <w:rPr>
          <w:sz w:val="20"/>
        </w:rPr>
      </w:pPr>
    </w:p>
    <w:p w:rsidR="00881E91" w:rsidRPr="00AD420D" w:rsidRDefault="00881E91" w:rsidP="00881E91">
      <w:pPr>
        <w:pStyle w:val="ListParagraph"/>
        <w:numPr>
          <w:ilvl w:val="0"/>
          <w:numId w:val="40"/>
        </w:numPr>
        <w:ind w:left="357" w:hanging="357"/>
        <w:rPr>
          <w:sz w:val="20"/>
          <w:szCs w:val="20"/>
        </w:rPr>
      </w:pPr>
      <w:r w:rsidRPr="00AD420D">
        <w:rPr>
          <w:i/>
          <w:sz w:val="20"/>
          <w:szCs w:val="20"/>
        </w:rPr>
        <w:t xml:space="preserve">Democracy Watch v. Attorney General of Canada </w:t>
      </w:r>
      <w:r w:rsidRPr="00AD420D">
        <w:rPr>
          <w:sz w:val="20"/>
          <w:szCs w:val="20"/>
        </w:rPr>
        <w:t>(F</w:t>
      </w:r>
      <w:r w:rsidRPr="00AD420D">
        <w:rPr>
          <w:sz w:val="20"/>
        </w:rPr>
        <w:t>.</w:t>
      </w:r>
      <w:r w:rsidRPr="00AD420D">
        <w:rPr>
          <w:sz w:val="20"/>
          <w:szCs w:val="20"/>
        </w:rPr>
        <w:t>C</w:t>
      </w:r>
      <w:r w:rsidRPr="00AD420D">
        <w:rPr>
          <w:sz w:val="20"/>
        </w:rPr>
        <w:t>.</w:t>
      </w:r>
      <w:r w:rsidRPr="00AD420D">
        <w:rPr>
          <w:sz w:val="20"/>
          <w:szCs w:val="20"/>
        </w:rPr>
        <w:t>)</w:t>
      </w:r>
      <w:r w:rsidRPr="00AD420D">
        <w:rPr>
          <w:i/>
          <w:sz w:val="20"/>
          <w:szCs w:val="20"/>
        </w:rPr>
        <w:t xml:space="preserve"> </w:t>
      </w:r>
      <w:r w:rsidRPr="00AD420D">
        <w:rPr>
          <w:sz w:val="20"/>
          <w:szCs w:val="20"/>
        </w:rPr>
        <w:t>(Civil</w:t>
      </w:r>
      <w:r w:rsidRPr="00AD420D">
        <w:rPr>
          <w:i/>
          <w:sz w:val="20"/>
          <w:szCs w:val="20"/>
        </w:rPr>
        <w:t>) (</w:t>
      </w:r>
      <w:r w:rsidRPr="00AD420D">
        <w:rPr>
          <w:sz w:val="20"/>
          <w:szCs w:val="20"/>
        </w:rPr>
        <w:t>By</w:t>
      </w:r>
      <w:r w:rsidRPr="00AD420D">
        <w:rPr>
          <w:i/>
          <w:sz w:val="20"/>
          <w:szCs w:val="20"/>
        </w:rPr>
        <w:t xml:space="preserve"> </w:t>
      </w:r>
      <w:r w:rsidRPr="00AD420D">
        <w:rPr>
          <w:sz w:val="20"/>
          <w:szCs w:val="20"/>
        </w:rPr>
        <w:t>Leave)</w:t>
      </w:r>
      <w:r w:rsidRPr="00AD420D">
        <w:rPr>
          <w:sz w:val="20"/>
        </w:rPr>
        <w:t xml:space="preserve"> (</w:t>
      </w:r>
      <w:hyperlink r:id="rId15" w:history="1">
        <w:r w:rsidRPr="00AD420D">
          <w:rPr>
            <w:rStyle w:val="Hyperlink"/>
            <w:sz w:val="20"/>
            <w:szCs w:val="20"/>
          </w:rPr>
          <w:t>39</w:t>
        </w:r>
        <w:r w:rsidRPr="00AD420D">
          <w:rPr>
            <w:rStyle w:val="Hyperlink"/>
            <w:sz w:val="20"/>
          </w:rPr>
          <w:t>202</w:t>
        </w:r>
      </w:hyperlink>
      <w:r w:rsidRPr="00AD420D">
        <w:rPr>
          <w:sz w:val="20"/>
        </w:rPr>
        <w:t>)</w:t>
      </w:r>
    </w:p>
    <w:p w:rsidR="00881E91" w:rsidRPr="00AD420D" w:rsidRDefault="00881E91" w:rsidP="00881E91">
      <w:pPr>
        <w:ind w:left="357" w:hanging="357"/>
        <w:contextualSpacing/>
        <w:rPr>
          <w:sz w:val="20"/>
        </w:rPr>
      </w:pPr>
    </w:p>
    <w:p w:rsidR="00AE6180" w:rsidRPr="00AD420D" w:rsidRDefault="006849B0" w:rsidP="00881E91">
      <w:pPr>
        <w:pStyle w:val="ListParagraph"/>
        <w:numPr>
          <w:ilvl w:val="0"/>
          <w:numId w:val="40"/>
        </w:numPr>
        <w:ind w:left="357" w:hanging="357"/>
        <w:rPr>
          <w:sz w:val="20"/>
        </w:rPr>
      </w:pPr>
      <w:r w:rsidRPr="00AD420D">
        <w:rPr>
          <w:i/>
          <w:sz w:val="20"/>
          <w:lang w:val="en-CA"/>
        </w:rPr>
        <w:t>Anton Oleynik v. Attorney General of Canada</w:t>
      </w:r>
      <w:r w:rsidRPr="00AD420D">
        <w:rPr>
          <w:rFonts w:eastAsiaTheme="minorHAnsi" w:cstheme="minorBidi"/>
          <w:sz w:val="20"/>
          <w:lang w:val="en-CA"/>
        </w:rPr>
        <w:t xml:space="preserve"> </w:t>
      </w:r>
      <w:r w:rsidRPr="00AD420D">
        <w:rPr>
          <w:sz w:val="20"/>
          <w:lang w:val="en-CA"/>
        </w:rPr>
        <w:t>(F.C.) (Civil) (By Leave)</w:t>
      </w:r>
      <w:r w:rsidR="00042E94" w:rsidRPr="00AD420D">
        <w:rPr>
          <w:sz w:val="20"/>
          <w:lang w:val="en-CA"/>
        </w:rPr>
        <w:t xml:space="preserve"> </w:t>
      </w:r>
      <w:r w:rsidR="00042E94" w:rsidRPr="00AD420D">
        <w:rPr>
          <w:sz w:val="20"/>
        </w:rPr>
        <w:t>(</w:t>
      </w:r>
      <w:hyperlink r:id="rId16" w:history="1">
        <w:r w:rsidR="00042E94" w:rsidRPr="00AD420D">
          <w:rPr>
            <w:rStyle w:val="Hyperlink"/>
            <w:sz w:val="20"/>
            <w:szCs w:val="20"/>
          </w:rPr>
          <w:t>391</w:t>
        </w:r>
        <w:r w:rsidR="002D54D8" w:rsidRPr="00AD420D">
          <w:rPr>
            <w:rStyle w:val="Hyperlink"/>
            <w:sz w:val="20"/>
            <w:szCs w:val="20"/>
          </w:rPr>
          <w:t>18</w:t>
        </w:r>
      </w:hyperlink>
      <w:r w:rsidR="00042E94" w:rsidRPr="00AD420D">
        <w:rPr>
          <w:sz w:val="20"/>
        </w:rPr>
        <w:t>)</w:t>
      </w:r>
    </w:p>
    <w:p w:rsidR="00AE6180" w:rsidRPr="00AD420D" w:rsidRDefault="00AE6180" w:rsidP="00881E91">
      <w:pPr>
        <w:ind w:left="357" w:hanging="357"/>
        <w:contextualSpacing/>
        <w:rPr>
          <w:sz w:val="20"/>
        </w:rPr>
      </w:pPr>
    </w:p>
    <w:p w:rsidR="00AE6180" w:rsidRPr="00AD420D" w:rsidRDefault="006849B0" w:rsidP="00881E91">
      <w:pPr>
        <w:pStyle w:val="ListParagraph"/>
        <w:numPr>
          <w:ilvl w:val="0"/>
          <w:numId w:val="40"/>
        </w:numPr>
        <w:ind w:left="357" w:hanging="357"/>
        <w:rPr>
          <w:sz w:val="20"/>
        </w:rPr>
      </w:pPr>
      <w:r w:rsidRPr="00AD420D">
        <w:rPr>
          <w:i/>
          <w:sz w:val="20"/>
          <w:lang w:val="en-CA"/>
        </w:rPr>
        <w:t>A</w:t>
      </w:r>
      <w:r w:rsidR="002A0B1A" w:rsidRPr="00AD420D">
        <w:rPr>
          <w:i/>
          <w:sz w:val="20"/>
          <w:lang w:val="en-CA"/>
        </w:rPr>
        <w:t>tlantic Packaging Products Ltd.</w:t>
      </w:r>
      <w:r w:rsidRPr="00AD420D">
        <w:rPr>
          <w:i/>
          <w:sz w:val="20"/>
          <w:lang w:val="en-CA"/>
        </w:rPr>
        <w:t xml:space="preserve"> v. Her Majesty the Queen</w:t>
      </w:r>
      <w:r w:rsidRPr="00AD420D">
        <w:rPr>
          <w:sz w:val="20"/>
        </w:rPr>
        <w:t xml:space="preserve"> </w:t>
      </w:r>
      <w:r w:rsidRPr="00AD420D">
        <w:rPr>
          <w:sz w:val="20"/>
          <w:lang w:val="en-CA"/>
        </w:rPr>
        <w:t>(F.C.) (Civil) (By Leave)</w:t>
      </w:r>
      <w:r w:rsidR="00042E94" w:rsidRPr="00AD420D">
        <w:rPr>
          <w:sz w:val="20"/>
          <w:lang w:val="en-CA"/>
        </w:rPr>
        <w:t xml:space="preserve"> </w:t>
      </w:r>
      <w:r w:rsidR="00042E94" w:rsidRPr="00AD420D">
        <w:rPr>
          <w:sz w:val="20"/>
        </w:rPr>
        <w:t>(</w:t>
      </w:r>
      <w:hyperlink r:id="rId17" w:history="1">
        <w:r w:rsidR="00042E94" w:rsidRPr="00AD420D">
          <w:rPr>
            <w:rStyle w:val="Hyperlink"/>
            <w:sz w:val="20"/>
            <w:szCs w:val="20"/>
          </w:rPr>
          <w:t>39</w:t>
        </w:r>
        <w:r w:rsidR="002D54D8" w:rsidRPr="00AD420D">
          <w:rPr>
            <w:rStyle w:val="Hyperlink"/>
            <w:sz w:val="20"/>
            <w:szCs w:val="20"/>
          </w:rPr>
          <w:t>218</w:t>
        </w:r>
      </w:hyperlink>
      <w:r w:rsidR="00042E94" w:rsidRPr="00AD420D">
        <w:rPr>
          <w:sz w:val="20"/>
        </w:rPr>
        <w:t>)</w:t>
      </w:r>
    </w:p>
    <w:p w:rsidR="00350F1B" w:rsidRPr="00AD420D" w:rsidRDefault="00350F1B" w:rsidP="009B14F4">
      <w:pPr>
        <w:widowControl w:val="0"/>
        <w:jc w:val="both"/>
        <w:rPr>
          <w:sz w:val="20"/>
        </w:rPr>
      </w:pPr>
    </w:p>
    <w:p w:rsidR="0057402C" w:rsidRPr="00AD420D" w:rsidRDefault="004E02BD" w:rsidP="009B14F4">
      <w:pPr>
        <w:widowControl w:val="0"/>
        <w:jc w:val="both"/>
        <w:rPr>
          <w:sz w:val="20"/>
        </w:rPr>
      </w:pPr>
      <w:r>
        <w:rPr>
          <w:sz w:val="20"/>
        </w:rPr>
        <w:pict>
          <v:rect id="_x0000_i1026" style="width:2in;height:1pt" o:hrpct="0" o:hralign="center" o:hrstd="t" o:hrnoshade="t" o:hr="t" fillcolor="black [3213]" stroked="f"/>
        </w:pict>
      </w:r>
    </w:p>
    <w:p w:rsidR="0057402C" w:rsidRPr="00AD420D" w:rsidRDefault="0057402C" w:rsidP="007B7DA1">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DA1" w:rsidRPr="00AD420D" w:rsidTr="00610FEC">
        <w:tc>
          <w:tcPr>
            <w:tcW w:w="543" w:type="pct"/>
          </w:tcPr>
          <w:p w:rsidR="007B7DA1" w:rsidRPr="00AD420D" w:rsidRDefault="007B7DA1" w:rsidP="007B7DA1">
            <w:pPr>
              <w:jc w:val="both"/>
              <w:rPr>
                <w:sz w:val="20"/>
              </w:rPr>
            </w:pPr>
            <w:r w:rsidRPr="00AD420D">
              <w:rPr>
                <w:rStyle w:val="SCCFileNumberChar"/>
                <w:sz w:val="20"/>
                <w:szCs w:val="20"/>
              </w:rPr>
              <w:t>38614</w:t>
            </w:r>
          </w:p>
        </w:tc>
        <w:tc>
          <w:tcPr>
            <w:tcW w:w="4457" w:type="pct"/>
            <w:gridSpan w:val="3"/>
          </w:tcPr>
          <w:p w:rsidR="007B7DA1" w:rsidRPr="00AD420D" w:rsidRDefault="007B7DA1" w:rsidP="007B7DA1">
            <w:pPr>
              <w:pStyle w:val="SCCLsocParty"/>
              <w:jc w:val="both"/>
              <w:rPr>
                <w:b/>
                <w:sz w:val="20"/>
                <w:szCs w:val="20"/>
                <w:lang w:val="en-US"/>
              </w:rPr>
            </w:pPr>
            <w:r w:rsidRPr="00AD420D">
              <w:rPr>
                <w:b/>
                <w:sz w:val="20"/>
                <w:szCs w:val="20"/>
                <w:lang w:val="en-US"/>
              </w:rPr>
              <w:t>B’Nai Brith Canada v. Alexander Dimitri Lascaris</w:t>
            </w:r>
          </w:p>
          <w:p w:rsidR="007B7DA1" w:rsidRPr="00AD420D" w:rsidRDefault="007B7DA1" w:rsidP="007B7DA1">
            <w:pPr>
              <w:jc w:val="both"/>
              <w:rPr>
                <w:sz w:val="20"/>
              </w:rPr>
            </w:pPr>
            <w:r w:rsidRPr="00AD420D">
              <w:rPr>
                <w:sz w:val="20"/>
              </w:rPr>
              <w:t>(Ont.) (Civil) (By Leave)</w:t>
            </w:r>
          </w:p>
        </w:tc>
      </w:tr>
      <w:tr w:rsidR="007B7DA1" w:rsidRPr="00AD420D" w:rsidTr="00610FEC">
        <w:tc>
          <w:tcPr>
            <w:tcW w:w="5000" w:type="pct"/>
            <w:gridSpan w:val="4"/>
          </w:tcPr>
          <w:p w:rsidR="007B7DA1" w:rsidRPr="00AD420D" w:rsidRDefault="007B7DA1" w:rsidP="007B7DA1">
            <w:pPr>
              <w:jc w:val="both"/>
              <w:rPr>
                <w:sz w:val="20"/>
              </w:rPr>
            </w:pPr>
            <w:r w:rsidRPr="00AD420D">
              <w:rPr>
                <w:sz w:val="20"/>
              </w:rPr>
              <w:t>Judgments and orders — Anti</w:t>
            </w:r>
            <w:r w:rsidRPr="00AD420D">
              <w:rPr>
                <w:sz w:val="20"/>
              </w:rPr>
              <w:noBreakHyphen/>
              <w:t>SLAPP legislation — Summary dismissal — Torts — Libel and slander — Applicant published in article and tweet that respondent advocates on behalf of terrorists — Respondent brought claim in libel and slander and applicant responded with anti</w:t>
            </w:r>
            <w:r w:rsidRPr="00AD420D">
              <w:rPr>
                <w:sz w:val="20"/>
              </w:rPr>
              <w:noBreakHyphen/>
              <w:t xml:space="preserve">SLAPP motion for summary dismissal of claim — How does a court </w:t>
            </w:r>
            <w:r w:rsidRPr="00AD420D">
              <w:rPr>
                <w:sz w:val="20"/>
              </w:rPr>
              <w:lastRenderedPageBreak/>
              <w:t xml:space="preserve">evaluate the merits of claims and validity of defences in determining whether to dismiss proceedings under section 137.1 of the </w:t>
            </w:r>
            <w:r w:rsidRPr="00AD420D">
              <w:rPr>
                <w:i/>
                <w:sz w:val="20"/>
              </w:rPr>
              <w:t>Courts of Justice Act</w:t>
            </w:r>
            <w:r w:rsidRPr="00AD420D">
              <w:rPr>
                <w:sz w:val="20"/>
              </w:rPr>
              <w:t xml:space="preserve">? — How does a court assess and weigh the seriousness of the harm suffered by the responding party in balancing the competing public interests engaged by motions under section 137.1 of the </w:t>
            </w:r>
            <w:r w:rsidRPr="00AD420D">
              <w:rPr>
                <w:i/>
                <w:sz w:val="20"/>
              </w:rPr>
              <w:t>Courts of Justice Act</w:t>
            </w:r>
            <w:r w:rsidRPr="00AD420D">
              <w:rPr>
                <w:sz w:val="20"/>
              </w:rPr>
              <w:t xml:space="preserve">? — </w:t>
            </w:r>
            <w:r w:rsidRPr="00AD420D">
              <w:rPr>
                <w:i/>
                <w:sz w:val="20"/>
              </w:rPr>
              <w:t>Courts of Justice Act</w:t>
            </w:r>
            <w:r w:rsidRPr="00AD420D">
              <w:rPr>
                <w:sz w:val="20"/>
              </w:rPr>
              <w:t>, R.S.O. 1990, c. C. 43, s. 137.1.</w:t>
            </w:r>
          </w:p>
        </w:tc>
      </w:tr>
      <w:tr w:rsidR="007B7DA1" w:rsidRPr="00AD420D" w:rsidTr="00610FEC">
        <w:tc>
          <w:tcPr>
            <w:tcW w:w="5000" w:type="pct"/>
            <w:gridSpan w:val="4"/>
          </w:tcPr>
          <w:p w:rsidR="007B7DA1" w:rsidRPr="00AD420D" w:rsidRDefault="007B7DA1" w:rsidP="007B7DA1">
            <w:pPr>
              <w:jc w:val="both"/>
              <w:rPr>
                <w:sz w:val="20"/>
              </w:rPr>
            </w:pPr>
          </w:p>
        </w:tc>
      </w:tr>
      <w:tr w:rsidR="007B7DA1" w:rsidRPr="00AD420D" w:rsidTr="00610FEC">
        <w:tc>
          <w:tcPr>
            <w:tcW w:w="5000" w:type="pct"/>
            <w:gridSpan w:val="4"/>
          </w:tcPr>
          <w:p w:rsidR="007B7DA1" w:rsidRPr="00AD420D" w:rsidRDefault="007B7DA1" w:rsidP="007B7DA1">
            <w:pPr>
              <w:jc w:val="both"/>
              <w:rPr>
                <w:sz w:val="20"/>
              </w:rPr>
            </w:pPr>
            <w:r w:rsidRPr="00AD420D">
              <w:rPr>
                <w:sz w:val="20"/>
              </w:rPr>
              <w:t xml:space="preserve">The province of Ontario is the first to legislate </w:t>
            </w:r>
            <w:proofErr w:type="spellStart"/>
            <w:r w:rsidRPr="00AD420D">
              <w:rPr>
                <w:sz w:val="20"/>
              </w:rPr>
              <w:t>anti</w:t>
            </w:r>
            <w:proofErr w:type="spellEnd"/>
            <w:r w:rsidRPr="00AD420D">
              <w:rPr>
                <w:sz w:val="20"/>
              </w:rPr>
              <w:noBreakHyphen/>
              <w:t xml:space="preserve">“SLAPP” legislation (Strategic Lawsuits Against Public Participation), which came into force in November 2015. The </w:t>
            </w:r>
            <w:r w:rsidRPr="00AD420D">
              <w:rPr>
                <w:i/>
                <w:sz w:val="20"/>
              </w:rPr>
              <w:t>Protection of Public Participation Act, 2015</w:t>
            </w:r>
            <w:r w:rsidRPr="00AD420D">
              <w:rPr>
                <w:sz w:val="20"/>
              </w:rPr>
              <w:t>,</w:t>
            </w:r>
            <w:r w:rsidRPr="00AD420D">
              <w:rPr>
                <w:i/>
                <w:sz w:val="20"/>
              </w:rPr>
              <w:t xml:space="preserve"> </w:t>
            </w:r>
            <w:r w:rsidRPr="00AD420D">
              <w:rPr>
                <w:sz w:val="20"/>
              </w:rPr>
              <w:t xml:space="preserve">amended the </w:t>
            </w:r>
            <w:r w:rsidRPr="00AD420D">
              <w:rPr>
                <w:i/>
                <w:sz w:val="20"/>
              </w:rPr>
              <w:t>Courts of Justice Act</w:t>
            </w:r>
            <w:r w:rsidRPr="00AD420D">
              <w:rPr>
                <w:sz w:val="20"/>
              </w:rPr>
              <w:t xml:space="preserve"> to introduce ss. 137.1 to 137.5 which sections created a new pretrial procedure which allows defendants to move expeditiously and early in the litigation for an order dismissing claims arising out of expressions by defendants on matters of public interest. The underlying action in this case is one of libel and slander. The applicant, B’Nai Brith Canada, is a charitable organization involved in human rights and advocacy initiatives for the Canadian Jewish community. The respondent, Mr. Lascaris, is a lawyer, human rights advocate, independent journalist and former candidate and justice critic of the federal Green Party. Mr. Lascaris was publicly criticized by B’Nai Brith for having met, while in Israel, with the father of an alleged terrorist. Citing this meeting, and by way of two separate publications, B’Nai Brith accused Mr. Lascaris of being an advocate of terrorists. Mr. Lascaris initiated a claim in libel and slander, and B’Nai Brith brought a motion for an order dismissing the action pursuant to the new anti</w:t>
            </w:r>
            <w:r w:rsidRPr="00AD420D">
              <w:rPr>
                <w:sz w:val="20"/>
              </w:rPr>
              <w:noBreakHyphen/>
              <w:t>SLAPP regime. B’Nai Brith was initially successful before the motion judge, but Mr. Lascaris’ action was reinstated on appeal.</w:t>
            </w:r>
          </w:p>
          <w:p w:rsidR="007B7DA1" w:rsidRPr="00AD420D" w:rsidRDefault="007B7DA1" w:rsidP="007B7DA1">
            <w:pPr>
              <w:jc w:val="both"/>
              <w:rPr>
                <w:sz w:val="20"/>
              </w:rPr>
            </w:pPr>
          </w:p>
        </w:tc>
      </w:tr>
      <w:tr w:rsidR="007B7DA1" w:rsidRPr="00AD420D" w:rsidTr="00610FEC">
        <w:tc>
          <w:tcPr>
            <w:tcW w:w="2427" w:type="pct"/>
            <w:gridSpan w:val="2"/>
          </w:tcPr>
          <w:p w:rsidR="007B7DA1" w:rsidRPr="00AD420D" w:rsidRDefault="007B7DA1" w:rsidP="007B7DA1">
            <w:pPr>
              <w:jc w:val="both"/>
              <w:rPr>
                <w:sz w:val="20"/>
              </w:rPr>
            </w:pPr>
            <w:r w:rsidRPr="00AD420D">
              <w:rPr>
                <w:sz w:val="20"/>
              </w:rPr>
              <w:t>June 28, 2018</w:t>
            </w:r>
          </w:p>
          <w:p w:rsidR="007B7DA1" w:rsidRPr="00AD420D" w:rsidRDefault="007B7DA1" w:rsidP="007B7DA1">
            <w:pPr>
              <w:jc w:val="both"/>
              <w:rPr>
                <w:sz w:val="20"/>
              </w:rPr>
            </w:pPr>
            <w:r w:rsidRPr="00AD420D">
              <w:rPr>
                <w:sz w:val="20"/>
              </w:rPr>
              <w:t>Ontario Superior Court of Justice</w:t>
            </w:r>
          </w:p>
          <w:p w:rsidR="007B7DA1" w:rsidRPr="00AD420D" w:rsidRDefault="007B7DA1" w:rsidP="007B7DA1">
            <w:pPr>
              <w:jc w:val="both"/>
              <w:rPr>
                <w:sz w:val="20"/>
              </w:rPr>
            </w:pPr>
            <w:r w:rsidRPr="00AD420D">
              <w:rPr>
                <w:sz w:val="20"/>
              </w:rPr>
              <w:t>(</w:t>
            </w:r>
            <w:proofErr w:type="spellStart"/>
            <w:r w:rsidRPr="00AD420D">
              <w:rPr>
                <w:sz w:val="20"/>
              </w:rPr>
              <w:t>Rady</w:t>
            </w:r>
            <w:proofErr w:type="spellEnd"/>
            <w:r w:rsidRPr="00AD420D">
              <w:rPr>
                <w:sz w:val="20"/>
              </w:rPr>
              <w:t xml:space="preserve"> J.)</w:t>
            </w:r>
          </w:p>
          <w:p w:rsidR="007B7DA1" w:rsidRPr="00AD420D" w:rsidRDefault="004E02BD" w:rsidP="007B7DA1">
            <w:pPr>
              <w:jc w:val="both"/>
              <w:rPr>
                <w:sz w:val="20"/>
              </w:rPr>
            </w:pPr>
            <w:hyperlink r:id="rId18" w:history="1">
              <w:r w:rsidR="007B7DA1" w:rsidRPr="00AD420D">
                <w:rPr>
                  <w:rStyle w:val="Hyperlink"/>
                  <w:sz w:val="20"/>
                </w:rPr>
                <w:t>2018 ONSC 3068</w:t>
              </w:r>
            </w:hyperlink>
          </w:p>
          <w:p w:rsidR="007B7DA1" w:rsidRPr="00AD420D" w:rsidRDefault="007B7DA1" w:rsidP="007B7DA1">
            <w:pPr>
              <w:jc w:val="both"/>
              <w:rPr>
                <w:sz w:val="20"/>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rPr>
            </w:pPr>
            <w:r w:rsidRPr="00AD420D">
              <w:rPr>
                <w:sz w:val="20"/>
              </w:rPr>
              <w:t xml:space="preserve">Applicant’s motion to dismiss action under s. 137.1 of the </w:t>
            </w:r>
            <w:r w:rsidRPr="00AD420D">
              <w:rPr>
                <w:i/>
                <w:sz w:val="20"/>
              </w:rPr>
              <w:t>Courts of Justice Act</w:t>
            </w:r>
            <w:r w:rsidRPr="00AD420D">
              <w:rPr>
                <w:sz w:val="20"/>
              </w:rPr>
              <w:t xml:space="preserve"> granted</w:t>
            </w:r>
          </w:p>
          <w:p w:rsidR="007B7DA1" w:rsidRPr="00AD420D" w:rsidRDefault="007B7DA1" w:rsidP="007B7DA1">
            <w:pPr>
              <w:jc w:val="both"/>
              <w:rPr>
                <w:sz w:val="20"/>
              </w:rPr>
            </w:pPr>
          </w:p>
        </w:tc>
      </w:tr>
      <w:tr w:rsidR="007B7DA1" w:rsidRPr="00AD420D" w:rsidTr="00610FEC">
        <w:tc>
          <w:tcPr>
            <w:tcW w:w="2427" w:type="pct"/>
            <w:gridSpan w:val="2"/>
          </w:tcPr>
          <w:p w:rsidR="007B7DA1" w:rsidRPr="00AD420D" w:rsidRDefault="007B7DA1" w:rsidP="007B7DA1">
            <w:pPr>
              <w:jc w:val="both"/>
              <w:rPr>
                <w:sz w:val="20"/>
              </w:rPr>
            </w:pPr>
            <w:r w:rsidRPr="00AD420D">
              <w:rPr>
                <w:sz w:val="20"/>
              </w:rPr>
              <w:t>March 4, 2019</w:t>
            </w:r>
          </w:p>
          <w:p w:rsidR="007B7DA1" w:rsidRPr="00AD420D" w:rsidRDefault="007B7DA1" w:rsidP="007B7DA1">
            <w:pPr>
              <w:jc w:val="both"/>
              <w:rPr>
                <w:sz w:val="20"/>
              </w:rPr>
            </w:pPr>
            <w:r w:rsidRPr="00AD420D">
              <w:rPr>
                <w:sz w:val="20"/>
              </w:rPr>
              <w:t>Court of Appeal for Ontario</w:t>
            </w:r>
          </w:p>
          <w:p w:rsidR="007B7DA1" w:rsidRPr="00AD420D" w:rsidRDefault="007B7DA1" w:rsidP="007B7DA1">
            <w:pPr>
              <w:jc w:val="both"/>
              <w:rPr>
                <w:sz w:val="20"/>
              </w:rPr>
            </w:pPr>
            <w:r w:rsidRPr="00AD420D">
              <w:rPr>
                <w:sz w:val="20"/>
              </w:rPr>
              <w:t>(Doherty, Pardu and Nordheimer JJ.A.)</w:t>
            </w:r>
          </w:p>
          <w:p w:rsidR="007B7DA1" w:rsidRPr="00AD420D" w:rsidRDefault="007B7DA1" w:rsidP="007B7DA1">
            <w:pPr>
              <w:jc w:val="both"/>
              <w:rPr>
                <w:sz w:val="20"/>
              </w:rPr>
            </w:pPr>
            <w:r w:rsidRPr="00AD420D">
              <w:rPr>
                <w:sz w:val="20"/>
              </w:rPr>
              <w:t>File no. C65698</w:t>
            </w:r>
          </w:p>
          <w:p w:rsidR="007B7DA1" w:rsidRPr="00AD420D" w:rsidRDefault="004E02BD" w:rsidP="007B7DA1">
            <w:pPr>
              <w:jc w:val="both"/>
              <w:rPr>
                <w:sz w:val="20"/>
              </w:rPr>
            </w:pPr>
            <w:hyperlink r:id="rId19" w:history="1">
              <w:r w:rsidR="007B7DA1" w:rsidRPr="00AD420D">
                <w:rPr>
                  <w:rStyle w:val="Hyperlink"/>
                  <w:sz w:val="20"/>
                </w:rPr>
                <w:t>2019 ONCA 163</w:t>
              </w:r>
            </w:hyperlink>
          </w:p>
          <w:p w:rsidR="007B7DA1" w:rsidRPr="00AD420D" w:rsidRDefault="007B7DA1" w:rsidP="007B7DA1">
            <w:pPr>
              <w:jc w:val="both"/>
              <w:rPr>
                <w:sz w:val="20"/>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rPr>
            </w:pPr>
            <w:r w:rsidRPr="00AD420D">
              <w:rPr>
                <w:sz w:val="20"/>
              </w:rPr>
              <w:t>Appeal allowed; order below set aside; matter remitted to the Superior Court of Justice</w:t>
            </w:r>
          </w:p>
          <w:p w:rsidR="007B7DA1" w:rsidRPr="00AD420D" w:rsidRDefault="007B7DA1" w:rsidP="007B7DA1">
            <w:pPr>
              <w:jc w:val="both"/>
              <w:rPr>
                <w:sz w:val="20"/>
              </w:rPr>
            </w:pPr>
          </w:p>
        </w:tc>
      </w:tr>
      <w:tr w:rsidR="007B7DA1" w:rsidRPr="00AD420D" w:rsidTr="00610FEC">
        <w:tc>
          <w:tcPr>
            <w:tcW w:w="2427" w:type="pct"/>
            <w:gridSpan w:val="2"/>
          </w:tcPr>
          <w:p w:rsidR="007B7DA1" w:rsidRPr="00AD420D" w:rsidRDefault="007B7DA1" w:rsidP="007B7DA1">
            <w:pPr>
              <w:jc w:val="both"/>
              <w:rPr>
                <w:sz w:val="20"/>
              </w:rPr>
            </w:pPr>
            <w:r w:rsidRPr="00AD420D">
              <w:rPr>
                <w:sz w:val="20"/>
              </w:rPr>
              <w:t>May 3, 2019</w:t>
            </w:r>
          </w:p>
          <w:p w:rsidR="007B7DA1" w:rsidRPr="00AD420D" w:rsidRDefault="008C3373" w:rsidP="007B7DA1">
            <w:pPr>
              <w:jc w:val="both"/>
              <w:rPr>
                <w:sz w:val="20"/>
              </w:rPr>
            </w:pPr>
            <w:r w:rsidRPr="00AD420D">
              <w:rPr>
                <w:sz w:val="20"/>
              </w:rPr>
              <w:t>Supreme Court of Canada</w:t>
            </w: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rPr>
            </w:pPr>
            <w:r w:rsidRPr="00AD420D">
              <w:rPr>
                <w:sz w:val="20"/>
              </w:rPr>
              <w:t>Application for leave to appeal filed</w:t>
            </w:r>
          </w:p>
          <w:p w:rsidR="007B7DA1" w:rsidRPr="00AD420D" w:rsidRDefault="007B7DA1" w:rsidP="007B7DA1">
            <w:pPr>
              <w:jc w:val="both"/>
              <w:rPr>
                <w:sz w:val="20"/>
              </w:rPr>
            </w:pPr>
          </w:p>
        </w:tc>
      </w:tr>
    </w:tbl>
    <w:p w:rsidR="007B7DA1" w:rsidRPr="00AD420D" w:rsidRDefault="007B7DA1" w:rsidP="007B7DA1">
      <w:pPr>
        <w:jc w:val="both"/>
        <w:rPr>
          <w:sz w:val="20"/>
        </w:rPr>
      </w:pPr>
    </w:p>
    <w:p w:rsidR="008C3373" w:rsidRPr="00AD420D" w:rsidRDefault="004E02BD" w:rsidP="007B7DA1">
      <w:pPr>
        <w:jc w:val="both"/>
        <w:rPr>
          <w:sz w:val="20"/>
        </w:rPr>
      </w:pPr>
      <w:r>
        <w:rPr>
          <w:sz w:val="20"/>
        </w:rPr>
        <w:pict>
          <v:rect id="_x0000_i1027" style="width:2in;height:1pt" o:hrpct="0" o:hralign="center" o:hrstd="t" o:hrnoshade="t" o:hr="t" fillcolor="black [3213]" stroked="f"/>
        </w:pict>
      </w:r>
    </w:p>
    <w:p w:rsidR="008C3373" w:rsidRPr="00AD420D" w:rsidRDefault="008C3373" w:rsidP="007B7DA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DA1" w:rsidRPr="004E02BD" w:rsidTr="00610FEC">
        <w:tc>
          <w:tcPr>
            <w:tcW w:w="543" w:type="pct"/>
          </w:tcPr>
          <w:p w:rsidR="007B7DA1" w:rsidRPr="00AD420D" w:rsidRDefault="007B7DA1" w:rsidP="007B7DA1">
            <w:pPr>
              <w:jc w:val="both"/>
              <w:rPr>
                <w:sz w:val="20"/>
              </w:rPr>
            </w:pPr>
            <w:r w:rsidRPr="00AD420D">
              <w:rPr>
                <w:rStyle w:val="SCCFileNumberChar"/>
                <w:sz w:val="20"/>
                <w:szCs w:val="20"/>
              </w:rPr>
              <w:t>38614</w:t>
            </w:r>
          </w:p>
        </w:tc>
        <w:tc>
          <w:tcPr>
            <w:tcW w:w="4457" w:type="pct"/>
            <w:gridSpan w:val="3"/>
          </w:tcPr>
          <w:p w:rsidR="007B7DA1" w:rsidRPr="00AD420D" w:rsidRDefault="007B7DA1" w:rsidP="007B7DA1">
            <w:pPr>
              <w:pStyle w:val="SCCLsocParty"/>
              <w:jc w:val="both"/>
              <w:rPr>
                <w:b/>
                <w:sz w:val="20"/>
                <w:szCs w:val="20"/>
              </w:rPr>
            </w:pPr>
            <w:r w:rsidRPr="00AD420D">
              <w:rPr>
                <w:b/>
                <w:sz w:val="20"/>
                <w:szCs w:val="20"/>
              </w:rPr>
              <w:t>B’Nai Brith Canada v. Alexander Dimitri Lascaris</w:t>
            </w:r>
          </w:p>
          <w:p w:rsidR="007B7DA1" w:rsidRPr="00AD420D" w:rsidRDefault="007B7DA1" w:rsidP="007B7DA1">
            <w:pPr>
              <w:jc w:val="both"/>
              <w:rPr>
                <w:sz w:val="20"/>
                <w:lang w:val="fr-CA"/>
              </w:rPr>
            </w:pPr>
            <w:r w:rsidRPr="00AD420D">
              <w:rPr>
                <w:sz w:val="20"/>
                <w:lang w:val="fr-CA"/>
              </w:rPr>
              <w:t>(Ont.) (Civile) (Sur autorisation)</w:t>
            </w:r>
          </w:p>
        </w:tc>
      </w:tr>
      <w:tr w:rsidR="007B7DA1" w:rsidRPr="004E02BD" w:rsidTr="00610FEC">
        <w:tc>
          <w:tcPr>
            <w:tcW w:w="5000" w:type="pct"/>
            <w:gridSpan w:val="4"/>
          </w:tcPr>
          <w:p w:rsidR="007B7DA1" w:rsidRPr="00AD420D" w:rsidRDefault="007B7DA1" w:rsidP="007B7DA1">
            <w:pPr>
              <w:jc w:val="both"/>
              <w:rPr>
                <w:sz w:val="20"/>
                <w:lang w:val="fr-CA"/>
              </w:rPr>
            </w:pPr>
            <w:r w:rsidRPr="00AD420D">
              <w:rPr>
                <w:sz w:val="20"/>
                <w:lang w:val="fr-CA"/>
              </w:rPr>
              <w:t>Jugements et ordonnances — Dispositions législatives interdisant les poursuites baillons — Rejets sommaires — Délits civils — Diffamation — La demanderesse a publié un article et un tweet selon lesquels l’intimé défend des terroristes — L’intimé a intenté une poursuite en diffamation et la demanderesse a répondu par une motion fondée sur l’interdiction des poursuites baillons en vue d’obtenir le rejet sommaire de la demande — Comment un tribunal évalue</w:t>
            </w:r>
            <w:r w:rsidRPr="00AD420D">
              <w:rPr>
                <w:sz w:val="20"/>
                <w:lang w:val="fr-CA"/>
              </w:rPr>
              <w:noBreakHyphen/>
              <w:t>t</w:t>
            </w:r>
            <w:r w:rsidRPr="00AD420D">
              <w:rPr>
                <w:sz w:val="20"/>
                <w:lang w:val="fr-CA"/>
              </w:rPr>
              <w:noBreakHyphen/>
              <w:t>il le bien</w:t>
            </w:r>
            <w:r w:rsidRPr="00AD420D">
              <w:rPr>
                <w:sz w:val="20"/>
                <w:lang w:val="fr-CA"/>
              </w:rPr>
              <w:noBreakHyphen/>
              <w:t xml:space="preserve">fondé des demandes et la validité des défenses pour déterminer s’il doit rejeter les poursuites fondées sur l’article 137.1 de la </w:t>
            </w:r>
            <w:r w:rsidRPr="00AD420D">
              <w:rPr>
                <w:i/>
                <w:sz w:val="20"/>
                <w:lang w:val="fr-CA"/>
              </w:rPr>
              <w:t>Loi sur les tribunaux judiciaires</w:t>
            </w:r>
            <w:r w:rsidRPr="00AD420D">
              <w:rPr>
                <w:sz w:val="20"/>
                <w:lang w:val="fr-CA"/>
              </w:rPr>
              <w:t xml:space="preserve"> ? — Comment un tribunal évalue</w:t>
            </w:r>
            <w:r w:rsidRPr="00AD420D">
              <w:rPr>
                <w:sz w:val="20"/>
                <w:lang w:val="fr-CA"/>
              </w:rPr>
              <w:noBreakHyphen/>
              <w:t>t</w:t>
            </w:r>
            <w:r w:rsidRPr="00AD420D">
              <w:rPr>
                <w:sz w:val="20"/>
                <w:lang w:val="fr-CA"/>
              </w:rPr>
              <w:noBreakHyphen/>
              <w:t>il et soupèse</w:t>
            </w:r>
            <w:r w:rsidRPr="00AD420D">
              <w:rPr>
                <w:sz w:val="20"/>
                <w:lang w:val="fr-CA"/>
              </w:rPr>
              <w:noBreakHyphen/>
              <w:t>t</w:t>
            </w:r>
            <w:r w:rsidRPr="00AD420D">
              <w:rPr>
                <w:sz w:val="20"/>
                <w:lang w:val="fr-CA"/>
              </w:rPr>
              <w:noBreakHyphen/>
              <w:t xml:space="preserve">il la gravité du préjudice subi par la partie défenderesse lorsqu’il met en balance les intérêts publics opposés en jeu dans les motions présentées en application de l’art. 137.1 de la </w:t>
            </w:r>
            <w:r w:rsidRPr="00AD420D">
              <w:rPr>
                <w:i/>
                <w:sz w:val="20"/>
                <w:lang w:val="fr-CA"/>
              </w:rPr>
              <w:t>Loi sur les tribunaux judiciaires</w:t>
            </w:r>
            <w:r w:rsidRPr="00AD420D">
              <w:rPr>
                <w:sz w:val="20"/>
                <w:lang w:val="fr-CA"/>
              </w:rPr>
              <w:t xml:space="preserve"> ? — </w:t>
            </w:r>
            <w:r w:rsidRPr="00AD420D">
              <w:rPr>
                <w:i/>
                <w:sz w:val="20"/>
                <w:lang w:val="fr-CA"/>
              </w:rPr>
              <w:t>Loi sur les tribunaux judiciaires</w:t>
            </w:r>
            <w:r w:rsidRPr="00AD420D">
              <w:rPr>
                <w:sz w:val="20"/>
                <w:lang w:val="fr-CA"/>
              </w:rPr>
              <w:t>, L.R.O. 1990, c. C. 43, art. 137.1.</w:t>
            </w:r>
          </w:p>
        </w:tc>
      </w:tr>
      <w:tr w:rsidR="007B7DA1" w:rsidRPr="004E02BD" w:rsidTr="00610FEC">
        <w:tc>
          <w:tcPr>
            <w:tcW w:w="5000" w:type="pct"/>
            <w:gridSpan w:val="4"/>
          </w:tcPr>
          <w:p w:rsidR="007B7DA1" w:rsidRPr="00AD420D" w:rsidRDefault="007B7DA1" w:rsidP="007B7DA1">
            <w:pPr>
              <w:jc w:val="both"/>
              <w:rPr>
                <w:sz w:val="20"/>
                <w:lang w:val="fr-CA"/>
              </w:rPr>
            </w:pPr>
          </w:p>
        </w:tc>
      </w:tr>
      <w:tr w:rsidR="007B7DA1" w:rsidRPr="004E02BD" w:rsidTr="00610FEC">
        <w:tc>
          <w:tcPr>
            <w:tcW w:w="5000" w:type="pct"/>
            <w:gridSpan w:val="4"/>
          </w:tcPr>
          <w:p w:rsidR="007B7DA1" w:rsidRPr="00AD420D" w:rsidRDefault="007B7DA1" w:rsidP="007B7DA1">
            <w:pPr>
              <w:jc w:val="both"/>
              <w:rPr>
                <w:sz w:val="20"/>
                <w:lang w:val="fr-CA"/>
              </w:rPr>
            </w:pPr>
            <w:r w:rsidRPr="00AD420D">
              <w:rPr>
                <w:sz w:val="20"/>
                <w:lang w:val="fr-CA"/>
              </w:rPr>
              <w:t xml:space="preserve">La province de l’Ontario est la première à avoir adopté des dispositions législatives interdisant les « poursuites baillons », qui sont entrées en vigueur en novembre 2015. La </w:t>
            </w:r>
            <w:r w:rsidRPr="00AD420D">
              <w:rPr>
                <w:i/>
                <w:sz w:val="20"/>
                <w:lang w:val="fr-CA"/>
              </w:rPr>
              <w:t>Loi de 2015 sur la protection du droit à la participation aux affaires publiques</w:t>
            </w:r>
            <w:r w:rsidRPr="00AD420D">
              <w:rPr>
                <w:sz w:val="20"/>
                <w:lang w:val="fr-CA"/>
              </w:rPr>
              <w:t xml:space="preserve"> a modifié la </w:t>
            </w:r>
            <w:r w:rsidRPr="00AD420D">
              <w:rPr>
                <w:i/>
                <w:sz w:val="20"/>
                <w:lang w:val="fr-CA"/>
              </w:rPr>
              <w:t>Loi sur les tribunaux judiciaires</w:t>
            </w:r>
            <w:r w:rsidRPr="00AD420D">
              <w:rPr>
                <w:sz w:val="20"/>
                <w:lang w:val="fr-CA"/>
              </w:rPr>
              <w:t xml:space="preserve"> afin d’introduire les articles 137.1 à 137.5. Ceux</w:t>
            </w:r>
            <w:r w:rsidRPr="00AD420D">
              <w:rPr>
                <w:sz w:val="20"/>
                <w:lang w:val="fr-CA"/>
              </w:rPr>
              <w:noBreakHyphen/>
              <w:t>ci ont créé une nouvelle procédure préalable au procès permettant aux défendeurs d’agir rapidement et tôt dans l’instance pour obtenir une ordonnance rejetant les demandes découlant de propos tenus par les défendeurs quant aux affaires publiques. L’action sous</w:t>
            </w:r>
            <w:r w:rsidRPr="00AD420D">
              <w:rPr>
                <w:sz w:val="20"/>
                <w:lang w:val="fr-CA"/>
              </w:rPr>
              <w:noBreakHyphen/>
              <w:t xml:space="preserve">jacente dans la présente affaire en est une de diffamation. La demanderesse, B'Nai Brith Canada, est un organisme de bienfaisance qui participe à des initiatives de défense des droits de la personne et de défense des droits pour la communauté juive canadienne. L’intimé, M. Lascaris, est avocat, défenseur des droits </w:t>
            </w:r>
            <w:r w:rsidRPr="00AD420D">
              <w:rPr>
                <w:sz w:val="20"/>
                <w:lang w:val="fr-CA"/>
              </w:rPr>
              <w:lastRenderedPageBreak/>
              <w:t>de la personne, journaliste indépendant et ancien candidat et critique en matière de justice du Parti vert fédéral. M. Lascaris a été publiquement critiqué par B'Nai Brith pour avoir rencontré, en Israël, le père d’un présumé terroriste. Citant cette rencontre, et par le biais de deux publications distinctes, B'Nai Brith a accusé M. Lascaris de défendre des terroristes. M. Lascaris a intenté une action en diffamation, et B'Nai Brith a déposé une motion en vue d’obtenir une ordonnance rejetant l’action en application du nouveau régime interdisant les poursuites baillons. B'Nai Brith a d’abord eu gain de cause devant le juge des motions, mais l’action de M. Lascaris a été rétablie en appel.</w:t>
            </w:r>
          </w:p>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lastRenderedPageBreak/>
              <w:t>28 juin 2018</w:t>
            </w:r>
          </w:p>
          <w:p w:rsidR="007B7DA1" w:rsidRPr="00AD420D" w:rsidRDefault="007B7DA1" w:rsidP="007B7DA1">
            <w:pPr>
              <w:jc w:val="both"/>
              <w:rPr>
                <w:sz w:val="20"/>
                <w:lang w:val="fr-CA"/>
              </w:rPr>
            </w:pPr>
            <w:r w:rsidRPr="00AD420D">
              <w:rPr>
                <w:sz w:val="20"/>
                <w:lang w:val="fr-CA"/>
              </w:rPr>
              <w:t>Cour supérieure de justice de l’Ontario</w:t>
            </w:r>
          </w:p>
          <w:p w:rsidR="007B7DA1" w:rsidRPr="00AD420D" w:rsidRDefault="007B7DA1" w:rsidP="007B7DA1">
            <w:pPr>
              <w:jc w:val="both"/>
              <w:rPr>
                <w:sz w:val="20"/>
              </w:rPr>
            </w:pPr>
            <w:r w:rsidRPr="00AD420D">
              <w:rPr>
                <w:sz w:val="20"/>
              </w:rPr>
              <w:t xml:space="preserve">(Juge </w:t>
            </w:r>
            <w:proofErr w:type="spellStart"/>
            <w:r w:rsidRPr="00AD420D">
              <w:rPr>
                <w:sz w:val="20"/>
              </w:rPr>
              <w:t>Rady</w:t>
            </w:r>
            <w:proofErr w:type="spellEnd"/>
            <w:r w:rsidRPr="00AD420D">
              <w:rPr>
                <w:sz w:val="20"/>
              </w:rPr>
              <w:t>)</w:t>
            </w:r>
          </w:p>
          <w:p w:rsidR="007B7DA1" w:rsidRPr="00AD420D" w:rsidRDefault="004E02BD" w:rsidP="007B7DA1">
            <w:pPr>
              <w:jc w:val="both"/>
              <w:rPr>
                <w:sz w:val="20"/>
              </w:rPr>
            </w:pPr>
            <w:hyperlink r:id="rId20" w:history="1">
              <w:r w:rsidR="007B7DA1" w:rsidRPr="00AD420D">
                <w:rPr>
                  <w:rStyle w:val="Hyperlink"/>
                  <w:sz w:val="20"/>
                </w:rPr>
                <w:t>2018 ONSC 3068</w:t>
              </w:r>
            </w:hyperlink>
          </w:p>
          <w:p w:rsidR="007B7DA1" w:rsidRPr="00AD420D" w:rsidRDefault="007B7DA1" w:rsidP="007B7DA1">
            <w:pPr>
              <w:jc w:val="both"/>
              <w:rPr>
                <w:sz w:val="20"/>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lang w:val="fr-CA"/>
              </w:rPr>
            </w:pPr>
            <w:r w:rsidRPr="00AD420D">
              <w:rPr>
                <w:sz w:val="20"/>
                <w:lang w:val="fr-CA"/>
              </w:rPr>
              <w:t xml:space="preserve">Motion de la demanderesse en rejet d’action en application de l’art. 137.1 de la </w:t>
            </w:r>
            <w:r w:rsidRPr="00AD420D">
              <w:rPr>
                <w:i/>
                <w:sz w:val="20"/>
                <w:lang w:val="fr-CA"/>
              </w:rPr>
              <w:t>Loi sur les tribunaux judiciaires</w:t>
            </w:r>
            <w:r w:rsidRPr="00AD420D">
              <w:rPr>
                <w:sz w:val="20"/>
                <w:lang w:val="fr-CA"/>
              </w:rPr>
              <w:t xml:space="preserve"> accueillie.</w:t>
            </w:r>
          </w:p>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t>4 mars 2019</w:t>
            </w:r>
          </w:p>
          <w:p w:rsidR="007B7DA1" w:rsidRPr="00AD420D" w:rsidRDefault="007B7DA1" w:rsidP="007B7DA1">
            <w:pPr>
              <w:jc w:val="both"/>
              <w:rPr>
                <w:sz w:val="20"/>
                <w:lang w:val="fr-CA"/>
              </w:rPr>
            </w:pPr>
            <w:r w:rsidRPr="00AD420D">
              <w:rPr>
                <w:sz w:val="20"/>
                <w:lang w:val="fr-CA"/>
              </w:rPr>
              <w:t>Cour d’appel de l’Ontario</w:t>
            </w:r>
          </w:p>
          <w:p w:rsidR="007B7DA1" w:rsidRPr="00AD420D" w:rsidRDefault="007B7DA1" w:rsidP="007B7DA1">
            <w:pPr>
              <w:jc w:val="both"/>
              <w:rPr>
                <w:sz w:val="20"/>
                <w:lang w:val="fr-CA"/>
              </w:rPr>
            </w:pPr>
            <w:r w:rsidRPr="00AD420D">
              <w:rPr>
                <w:sz w:val="20"/>
                <w:lang w:val="fr-CA"/>
              </w:rPr>
              <w:t>(Juges Doherty, Pardu et Nordheimer)</w:t>
            </w:r>
          </w:p>
          <w:p w:rsidR="007B7DA1" w:rsidRPr="00AD420D" w:rsidRDefault="007B7DA1" w:rsidP="007B7DA1">
            <w:pPr>
              <w:jc w:val="both"/>
              <w:rPr>
                <w:sz w:val="20"/>
                <w:lang w:val="fr-CA"/>
              </w:rPr>
            </w:pPr>
            <w:r w:rsidRPr="00AD420D">
              <w:rPr>
                <w:sz w:val="20"/>
                <w:lang w:val="fr-CA"/>
              </w:rPr>
              <w:t>Dossier n</w:t>
            </w:r>
            <w:r w:rsidRPr="00AD420D">
              <w:rPr>
                <w:sz w:val="20"/>
                <w:vertAlign w:val="superscript"/>
                <w:lang w:val="fr-CA"/>
              </w:rPr>
              <w:t>o</w:t>
            </w:r>
            <w:r w:rsidRPr="00AD420D">
              <w:rPr>
                <w:sz w:val="20"/>
                <w:lang w:val="fr-CA"/>
              </w:rPr>
              <w:t> C65698</w:t>
            </w:r>
          </w:p>
          <w:p w:rsidR="007B7DA1" w:rsidRPr="00AD420D" w:rsidRDefault="004E02BD" w:rsidP="007B7DA1">
            <w:pPr>
              <w:jc w:val="both"/>
              <w:rPr>
                <w:sz w:val="20"/>
              </w:rPr>
            </w:pPr>
            <w:hyperlink r:id="rId21" w:history="1">
              <w:r w:rsidR="007B7DA1" w:rsidRPr="00AD420D">
                <w:rPr>
                  <w:rStyle w:val="Hyperlink"/>
                  <w:sz w:val="20"/>
                </w:rPr>
                <w:t>2019 ONCA 163</w:t>
              </w:r>
            </w:hyperlink>
          </w:p>
          <w:p w:rsidR="007B7DA1" w:rsidRPr="00AD420D" w:rsidRDefault="007B7DA1" w:rsidP="007B7DA1">
            <w:pPr>
              <w:jc w:val="both"/>
              <w:rPr>
                <w:sz w:val="20"/>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lang w:val="fr-CA"/>
              </w:rPr>
            </w:pPr>
            <w:r w:rsidRPr="00AD420D">
              <w:rPr>
                <w:sz w:val="20"/>
                <w:lang w:val="fr-CA"/>
              </w:rPr>
              <w:t>Appel accueilli; ordonnance de première instance annulée; dossier renvoyé devant la supérieure de justice</w:t>
            </w:r>
          </w:p>
          <w:p w:rsidR="007B7DA1" w:rsidRPr="00AD420D" w:rsidRDefault="007B7DA1" w:rsidP="007B7DA1">
            <w:pPr>
              <w:jc w:val="both"/>
              <w:rPr>
                <w:sz w:val="20"/>
                <w:lang w:val="fr-CA"/>
              </w:rPr>
            </w:pPr>
          </w:p>
        </w:tc>
      </w:tr>
      <w:tr w:rsidR="007B7DA1" w:rsidRPr="00AD420D" w:rsidTr="00610FEC">
        <w:tc>
          <w:tcPr>
            <w:tcW w:w="2427" w:type="pct"/>
            <w:gridSpan w:val="2"/>
          </w:tcPr>
          <w:p w:rsidR="007B7DA1" w:rsidRPr="00AD420D" w:rsidRDefault="007B7DA1" w:rsidP="007B7DA1">
            <w:pPr>
              <w:jc w:val="both"/>
              <w:rPr>
                <w:sz w:val="20"/>
                <w:lang w:val="fr-CA"/>
              </w:rPr>
            </w:pPr>
            <w:r w:rsidRPr="00AD420D">
              <w:rPr>
                <w:sz w:val="20"/>
                <w:lang w:val="fr-CA"/>
              </w:rPr>
              <w:t>3 mai 2019</w:t>
            </w:r>
          </w:p>
          <w:p w:rsidR="007B7DA1" w:rsidRPr="00AD420D" w:rsidRDefault="008C3373" w:rsidP="007B7DA1">
            <w:pPr>
              <w:jc w:val="both"/>
              <w:rPr>
                <w:sz w:val="20"/>
                <w:lang w:val="fr-CA"/>
              </w:rPr>
            </w:pPr>
            <w:r w:rsidRPr="00AD420D">
              <w:rPr>
                <w:sz w:val="20"/>
                <w:lang w:val="fr-CA"/>
              </w:rPr>
              <w:t>Cour suprême du Canada</w:t>
            </w: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tabs>
                <w:tab w:val="left" w:pos="3584"/>
              </w:tabs>
              <w:jc w:val="both"/>
              <w:rPr>
                <w:sz w:val="20"/>
              </w:rPr>
            </w:pPr>
            <w:r w:rsidRPr="00AD420D">
              <w:rPr>
                <w:sz w:val="20"/>
              </w:rPr>
              <w:t>Demande d’autorisation d’appel déposée</w:t>
            </w:r>
          </w:p>
          <w:p w:rsidR="007B7DA1" w:rsidRPr="00AD420D" w:rsidRDefault="007B7DA1" w:rsidP="007B7DA1">
            <w:pPr>
              <w:jc w:val="both"/>
              <w:rPr>
                <w:sz w:val="20"/>
              </w:rPr>
            </w:pPr>
          </w:p>
        </w:tc>
      </w:tr>
    </w:tbl>
    <w:p w:rsidR="007B7DA1" w:rsidRPr="00AD420D" w:rsidRDefault="007B7DA1" w:rsidP="007B7DA1">
      <w:pPr>
        <w:jc w:val="both"/>
        <w:rPr>
          <w:sz w:val="20"/>
        </w:rPr>
      </w:pPr>
    </w:p>
    <w:p w:rsidR="008C3373" w:rsidRPr="00AD420D" w:rsidRDefault="004E02BD" w:rsidP="007B7DA1">
      <w:pPr>
        <w:jc w:val="both"/>
        <w:rPr>
          <w:sz w:val="20"/>
        </w:rPr>
      </w:pPr>
      <w:r>
        <w:rPr>
          <w:sz w:val="20"/>
        </w:rPr>
        <w:pict>
          <v:rect id="_x0000_i1028" style="width:2in;height:1pt" o:hrpct="0" o:hralign="center" o:hrstd="t" o:hrnoshade="t" o:hr="t" fillcolor="black [3213]" stroked="f"/>
        </w:pict>
      </w:r>
    </w:p>
    <w:p w:rsidR="00AE6180" w:rsidRPr="00AD420D" w:rsidRDefault="00AE6180" w:rsidP="007B7DA1">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DA1" w:rsidRPr="00AD420D" w:rsidTr="00610FEC">
        <w:tc>
          <w:tcPr>
            <w:tcW w:w="543" w:type="pct"/>
          </w:tcPr>
          <w:p w:rsidR="007B7DA1" w:rsidRPr="00AD420D" w:rsidRDefault="007B7DA1" w:rsidP="007B7DA1">
            <w:pPr>
              <w:jc w:val="both"/>
              <w:rPr>
                <w:sz w:val="20"/>
              </w:rPr>
            </w:pPr>
            <w:r w:rsidRPr="00AD420D">
              <w:rPr>
                <w:rStyle w:val="SCCFileNumberChar"/>
                <w:sz w:val="20"/>
                <w:szCs w:val="20"/>
              </w:rPr>
              <w:t>38880</w:t>
            </w:r>
          </w:p>
        </w:tc>
        <w:tc>
          <w:tcPr>
            <w:tcW w:w="4457" w:type="pct"/>
            <w:gridSpan w:val="3"/>
          </w:tcPr>
          <w:p w:rsidR="007B7DA1" w:rsidRPr="00AD420D" w:rsidRDefault="007B7DA1" w:rsidP="007B7DA1">
            <w:pPr>
              <w:pStyle w:val="SCCLsocParty"/>
              <w:jc w:val="both"/>
              <w:rPr>
                <w:b/>
                <w:sz w:val="20"/>
                <w:szCs w:val="20"/>
                <w:lang w:val="en-US"/>
              </w:rPr>
            </w:pPr>
            <w:r w:rsidRPr="00AD420D">
              <w:rPr>
                <w:b/>
                <w:sz w:val="20"/>
                <w:szCs w:val="20"/>
                <w:lang w:val="en-US"/>
              </w:rPr>
              <w:t>Terry Blaine Gustafson v. Input Capital Corp.</w:t>
            </w:r>
          </w:p>
          <w:p w:rsidR="007B7DA1" w:rsidRPr="00AD420D" w:rsidRDefault="007B7DA1" w:rsidP="007B7DA1">
            <w:pPr>
              <w:jc w:val="both"/>
              <w:rPr>
                <w:sz w:val="20"/>
              </w:rPr>
            </w:pPr>
            <w:r w:rsidRPr="00AD420D">
              <w:rPr>
                <w:sz w:val="20"/>
              </w:rPr>
              <w:t>(Sask.) (Civil) (By Leave)</w:t>
            </w:r>
          </w:p>
        </w:tc>
      </w:tr>
      <w:tr w:rsidR="007B7DA1" w:rsidRPr="00AD420D" w:rsidTr="00610FEC">
        <w:tc>
          <w:tcPr>
            <w:tcW w:w="5000" w:type="pct"/>
            <w:gridSpan w:val="4"/>
          </w:tcPr>
          <w:p w:rsidR="007B7DA1" w:rsidRPr="00AD420D" w:rsidRDefault="007B7DA1" w:rsidP="007B7DA1">
            <w:pPr>
              <w:jc w:val="both"/>
              <w:rPr>
                <w:sz w:val="20"/>
                <w:lang w:val="en"/>
              </w:rPr>
            </w:pPr>
            <w:r w:rsidRPr="00AD420D">
              <w:rPr>
                <w:sz w:val="20"/>
              </w:rPr>
              <w:t>Contracts — Unconscionability — What is the governing test for the unconscionability doctrine</w:t>
            </w:r>
            <w:r w:rsidRPr="00AD420D">
              <w:rPr>
                <w:sz w:val="20"/>
                <w:lang w:val="en"/>
              </w:rPr>
              <w:t xml:space="preserve"> — Whether the agreements were unconscionable — Whether the Court of Appeal erred in its review of the trial judge’s decision?</w:t>
            </w:r>
          </w:p>
          <w:p w:rsidR="007B7DA1" w:rsidRPr="00AD420D" w:rsidRDefault="007B7DA1" w:rsidP="007B7DA1">
            <w:pPr>
              <w:jc w:val="both"/>
              <w:rPr>
                <w:sz w:val="20"/>
              </w:rPr>
            </w:pPr>
          </w:p>
        </w:tc>
      </w:tr>
      <w:tr w:rsidR="007B7DA1" w:rsidRPr="00AD420D" w:rsidTr="00610FEC">
        <w:tc>
          <w:tcPr>
            <w:tcW w:w="5000" w:type="pct"/>
            <w:gridSpan w:val="4"/>
          </w:tcPr>
          <w:p w:rsidR="007B7DA1" w:rsidRPr="00AD420D" w:rsidRDefault="007B7DA1" w:rsidP="007B7DA1">
            <w:pPr>
              <w:jc w:val="both"/>
              <w:rPr>
                <w:sz w:val="20"/>
                <w:lang w:val="en"/>
              </w:rPr>
            </w:pPr>
            <w:r w:rsidRPr="00AD420D">
              <w:rPr>
                <w:sz w:val="20"/>
                <w:lang w:val="en"/>
              </w:rPr>
              <w:t>The application for leave to appeal stems from an offer by the respondent, Input Capital Corp. (ICC), to purchase canola from the applicant, Mr. Gustafson, and related farming corporations (together, Gustafson Farms). That bargain was struck early in 2014 and amended over time to provide for the delivery of canola in 2014 and into the future. The parties entered into a series of agreements for Gustafson Farms to deliver 1,790 tonnes of canola in 2014 and 6,240 tonnes in 2015, with an ongoing annual delivery requirement of 2,490 tonnes, in consideration for an upfront payment of $4.5 million from ICC as well as future payments at times of delivery. By the fall of 2015, Gustafson Farms had defaulted under all but the First Spot Contract by failing to deliver the canola ICC had purchased.</w:t>
            </w:r>
          </w:p>
          <w:p w:rsidR="007B7DA1" w:rsidRPr="00AD420D" w:rsidRDefault="007B7DA1" w:rsidP="007B7DA1">
            <w:pPr>
              <w:jc w:val="both"/>
              <w:rPr>
                <w:sz w:val="20"/>
                <w:lang w:val="en"/>
              </w:rPr>
            </w:pPr>
          </w:p>
          <w:p w:rsidR="007B7DA1" w:rsidRPr="00AD420D" w:rsidRDefault="007B7DA1" w:rsidP="007B7DA1">
            <w:pPr>
              <w:jc w:val="both"/>
              <w:rPr>
                <w:sz w:val="20"/>
                <w:lang w:val="en"/>
              </w:rPr>
            </w:pPr>
            <w:r w:rsidRPr="00AD420D">
              <w:rPr>
                <w:sz w:val="20"/>
                <w:lang w:val="en"/>
              </w:rPr>
              <w:t>The trial judge was satisfied that, in the circumstances of this case, the Purchase Agreement, the Streaming Contracts, the Amending Agreement, the Collateral Mortgage, the Collateral Security Agreements and the Mortgage Amending Agreement were unconscionable and must all be set aside. The Court of Appeal held that the trial judge erred in his interpretation of the Agreements and misapprehended the contractual relationship between the parties leading him to erroneously conclude the Agreements were unconscionable and that the Agreements were void and unenforceable in their entirety. The Court of Appeal set aside the trial judge’s findings and allowed the appeal.</w:t>
            </w:r>
          </w:p>
        </w:tc>
      </w:tr>
      <w:tr w:rsidR="007B7DA1" w:rsidRPr="00AD420D" w:rsidTr="00610FEC">
        <w:tc>
          <w:tcPr>
            <w:tcW w:w="5000" w:type="pct"/>
            <w:gridSpan w:val="4"/>
          </w:tcPr>
          <w:p w:rsidR="007B7DA1" w:rsidRPr="00AD420D" w:rsidRDefault="007B7DA1" w:rsidP="007B7DA1">
            <w:pPr>
              <w:jc w:val="both"/>
              <w:rPr>
                <w:sz w:val="20"/>
              </w:rPr>
            </w:pPr>
          </w:p>
        </w:tc>
      </w:tr>
      <w:tr w:rsidR="007B7DA1" w:rsidRPr="00AD420D" w:rsidTr="00610FEC">
        <w:tc>
          <w:tcPr>
            <w:tcW w:w="2427" w:type="pct"/>
            <w:gridSpan w:val="2"/>
          </w:tcPr>
          <w:p w:rsidR="007B7DA1" w:rsidRPr="00AD420D" w:rsidRDefault="007B7DA1" w:rsidP="007B7DA1">
            <w:pPr>
              <w:jc w:val="both"/>
              <w:rPr>
                <w:sz w:val="20"/>
              </w:rPr>
            </w:pPr>
            <w:r w:rsidRPr="00AD420D">
              <w:rPr>
                <w:sz w:val="20"/>
              </w:rPr>
              <w:t>May 17, 2018</w:t>
            </w:r>
          </w:p>
          <w:p w:rsidR="007B7DA1" w:rsidRPr="00AD420D" w:rsidRDefault="007B7DA1" w:rsidP="007B7DA1">
            <w:pPr>
              <w:jc w:val="both"/>
              <w:rPr>
                <w:sz w:val="20"/>
              </w:rPr>
            </w:pPr>
            <w:r w:rsidRPr="00AD420D">
              <w:rPr>
                <w:sz w:val="20"/>
              </w:rPr>
              <w:t>Court of Queen’s Bench of Saskatchewan</w:t>
            </w:r>
          </w:p>
          <w:p w:rsidR="007B7DA1" w:rsidRPr="00AD420D" w:rsidRDefault="007B7DA1" w:rsidP="007B7DA1">
            <w:pPr>
              <w:jc w:val="both"/>
              <w:rPr>
                <w:sz w:val="20"/>
              </w:rPr>
            </w:pPr>
            <w:r w:rsidRPr="00AD420D">
              <w:rPr>
                <w:sz w:val="20"/>
              </w:rPr>
              <w:t>(Kalmakoff J.)</w:t>
            </w:r>
          </w:p>
          <w:p w:rsidR="007B7DA1" w:rsidRPr="00AD420D" w:rsidRDefault="004E02BD" w:rsidP="007B7DA1">
            <w:pPr>
              <w:jc w:val="both"/>
              <w:rPr>
                <w:sz w:val="20"/>
              </w:rPr>
            </w:pPr>
            <w:hyperlink r:id="rId22" w:history="1">
              <w:r w:rsidR="007B7DA1" w:rsidRPr="00AD420D">
                <w:rPr>
                  <w:rStyle w:val="Hyperlink"/>
                  <w:sz w:val="20"/>
                </w:rPr>
                <w:t>2018 SKQB 154</w:t>
              </w:r>
            </w:hyperlink>
          </w:p>
          <w:p w:rsidR="007B7DA1" w:rsidRPr="00AD420D" w:rsidRDefault="007B7DA1" w:rsidP="007B7DA1">
            <w:pPr>
              <w:jc w:val="both"/>
              <w:rPr>
                <w:sz w:val="20"/>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rPr>
            </w:pPr>
            <w:r w:rsidRPr="00AD420D">
              <w:rPr>
                <w:sz w:val="20"/>
              </w:rPr>
              <w:t>Agreements were determined to be unconscionable and were set aside</w:t>
            </w:r>
          </w:p>
          <w:p w:rsidR="007B7DA1" w:rsidRPr="00AD420D" w:rsidRDefault="007B7DA1" w:rsidP="007B7DA1">
            <w:pPr>
              <w:jc w:val="both"/>
              <w:rPr>
                <w:sz w:val="20"/>
              </w:rPr>
            </w:pPr>
          </w:p>
        </w:tc>
      </w:tr>
      <w:tr w:rsidR="007B7DA1" w:rsidRPr="00AD420D" w:rsidTr="00610FEC">
        <w:tc>
          <w:tcPr>
            <w:tcW w:w="2427" w:type="pct"/>
            <w:gridSpan w:val="2"/>
          </w:tcPr>
          <w:p w:rsidR="007B7DA1" w:rsidRPr="00AD420D" w:rsidRDefault="007B7DA1" w:rsidP="007B7DA1">
            <w:pPr>
              <w:jc w:val="both"/>
              <w:rPr>
                <w:sz w:val="20"/>
              </w:rPr>
            </w:pPr>
            <w:r w:rsidRPr="00AD420D">
              <w:rPr>
                <w:sz w:val="20"/>
              </w:rPr>
              <w:t>August 16, 2019</w:t>
            </w:r>
          </w:p>
          <w:p w:rsidR="007B7DA1" w:rsidRPr="00AD420D" w:rsidRDefault="007B7DA1" w:rsidP="007B7DA1">
            <w:pPr>
              <w:jc w:val="both"/>
              <w:rPr>
                <w:sz w:val="20"/>
              </w:rPr>
            </w:pPr>
            <w:r w:rsidRPr="00AD420D">
              <w:rPr>
                <w:sz w:val="20"/>
              </w:rPr>
              <w:t>Court of Appeal for Saskatchewan</w:t>
            </w:r>
          </w:p>
          <w:p w:rsidR="007B7DA1" w:rsidRPr="00AD420D" w:rsidRDefault="007B7DA1" w:rsidP="007B7DA1">
            <w:pPr>
              <w:jc w:val="both"/>
              <w:rPr>
                <w:sz w:val="20"/>
              </w:rPr>
            </w:pPr>
            <w:r w:rsidRPr="00AD420D">
              <w:rPr>
                <w:sz w:val="20"/>
              </w:rPr>
              <w:t>(Richards C.J.S., Caldwell and Leurer JJ.A.)</w:t>
            </w:r>
          </w:p>
          <w:p w:rsidR="007B7DA1" w:rsidRPr="00AD420D" w:rsidRDefault="004E02BD" w:rsidP="007B7DA1">
            <w:pPr>
              <w:jc w:val="both"/>
              <w:rPr>
                <w:sz w:val="20"/>
              </w:rPr>
            </w:pPr>
            <w:hyperlink r:id="rId23" w:history="1">
              <w:r w:rsidR="007B7DA1" w:rsidRPr="00AD420D">
                <w:rPr>
                  <w:rStyle w:val="Hyperlink"/>
                  <w:sz w:val="20"/>
                </w:rPr>
                <w:t>2019 SKCA 78</w:t>
              </w:r>
            </w:hyperlink>
          </w:p>
          <w:p w:rsidR="007B7DA1" w:rsidRPr="00AD420D" w:rsidRDefault="007B7DA1" w:rsidP="007B7DA1">
            <w:pPr>
              <w:jc w:val="both"/>
              <w:rPr>
                <w:sz w:val="20"/>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rPr>
            </w:pPr>
            <w:r w:rsidRPr="00AD420D">
              <w:rPr>
                <w:sz w:val="20"/>
              </w:rPr>
              <w:t>Appeal allowed; cross</w:t>
            </w:r>
            <w:r w:rsidRPr="00AD420D">
              <w:rPr>
                <w:sz w:val="20"/>
              </w:rPr>
              <w:noBreakHyphen/>
              <w:t>appeal is moot</w:t>
            </w:r>
          </w:p>
          <w:p w:rsidR="007B7DA1" w:rsidRPr="00AD420D" w:rsidRDefault="007B7DA1" w:rsidP="007B7DA1">
            <w:pPr>
              <w:jc w:val="both"/>
              <w:rPr>
                <w:sz w:val="20"/>
              </w:rPr>
            </w:pPr>
          </w:p>
        </w:tc>
      </w:tr>
      <w:tr w:rsidR="007B7DA1" w:rsidRPr="00AD420D" w:rsidTr="00610FEC">
        <w:tc>
          <w:tcPr>
            <w:tcW w:w="2427" w:type="pct"/>
            <w:gridSpan w:val="2"/>
          </w:tcPr>
          <w:p w:rsidR="007B7DA1" w:rsidRPr="00AD420D" w:rsidRDefault="007B7DA1" w:rsidP="007B7DA1">
            <w:pPr>
              <w:jc w:val="both"/>
              <w:rPr>
                <w:sz w:val="20"/>
              </w:rPr>
            </w:pPr>
            <w:r w:rsidRPr="00AD420D">
              <w:rPr>
                <w:sz w:val="20"/>
              </w:rPr>
              <w:t>October 15, 2019</w:t>
            </w:r>
          </w:p>
          <w:p w:rsidR="007B7DA1" w:rsidRPr="00AD420D" w:rsidRDefault="007B7DA1" w:rsidP="007B7DA1">
            <w:pPr>
              <w:jc w:val="both"/>
              <w:rPr>
                <w:sz w:val="20"/>
              </w:rPr>
            </w:pPr>
            <w:r w:rsidRPr="00AD420D">
              <w:rPr>
                <w:sz w:val="20"/>
              </w:rPr>
              <w:t>Supreme Court of Canada</w:t>
            </w: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rPr>
            </w:pPr>
            <w:r w:rsidRPr="00AD420D">
              <w:rPr>
                <w:sz w:val="20"/>
              </w:rPr>
              <w:t>Application for leave to appeal filed</w:t>
            </w:r>
          </w:p>
          <w:p w:rsidR="007B7DA1" w:rsidRPr="00AD420D" w:rsidRDefault="007B7DA1" w:rsidP="007B7DA1">
            <w:pPr>
              <w:jc w:val="both"/>
              <w:rPr>
                <w:sz w:val="20"/>
              </w:rPr>
            </w:pPr>
          </w:p>
        </w:tc>
      </w:tr>
    </w:tbl>
    <w:p w:rsidR="007B7DA1" w:rsidRPr="00AD420D" w:rsidRDefault="007B7DA1" w:rsidP="007B7DA1">
      <w:pPr>
        <w:jc w:val="both"/>
        <w:rPr>
          <w:sz w:val="20"/>
        </w:rPr>
      </w:pPr>
    </w:p>
    <w:p w:rsidR="008C3373" w:rsidRPr="00AD420D" w:rsidRDefault="004E02BD" w:rsidP="007B7DA1">
      <w:pPr>
        <w:jc w:val="both"/>
        <w:rPr>
          <w:sz w:val="20"/>
        </w:rPr>
      </w:pPr>
      <w:r>
        <w:rPr>
          <w:sz w:val="20"/>
        </w:rPr>
        <w:pict>
          <v:rect id="_x0000_i1029" style="width:2in;height:1pt" o:hrpct="0" o:hralign="center" o:hrstd="t" o:hrnoshade="t" o:hr="t" fillcolor="black [3213]" stroked="f"/>
        </w:pict>
      </w:r>
    </w:p>
    <w:p w:rsidR="008C3373" w:rsidRPr="00AD420D" w:rsidRDefault="008C3373" w:rsidP="007B7DA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DA1" w:rsidRPr="00AD420D" w:rsidTr="00610FEC">
        <w:tc>
          <w:tcPr>
            <w:tcW w:w="543" w:type="pct"/>
          </w:tcPr>
          <w:p w:rsidR="007B7DA1" w:rsidRPr="00AD420D" w:rsidRDefault="007B7DA1" w:rsidP="007B7DA1">
            <w:pPr>
              <w:jc w:val="both"/>
              <w:rPr>
                <w:sz w:val="20"/>
                <w:lang w:val="fr-CA"/>
              </w:rPr>
            </w:pPr>
            <w:r w:rsidRPr="00AD420D">
              <w:rPr>
                <w:rStyle w:val="SCCFileNumberChar"/>
                <w:sz w:val="20"/>
                <w:szCs w:val="20"/>
                <w:lang w:val="fr-CA"/>
              </w:rPr>
              <w:t>38880</w:t>
            </w:r>
          </w:p>
        </w:tc>
        <w:tc>
          <w:tcPr>
            <w:tcW w:w="4457" w:type="pct"/>
            <w:gridSpan w:val="3"/>
          </w:tcPr>
          <w:p w:rsidR="007B7DA1" w:rsidRPr="00AD420D" w:rsidRDefault="007B7DA1" w:rsidP="007B7DA1">
            <w:pPr>
              <w:pStyle w:val="SCCLsocParty"/>
              <w:jc w:val="both"/>
              <w:rPr>
                <w:b/>
                <w:sz w:val="20"/>
                <w:szCs w:val="20"/>
                <w:lang w:val="en-US"/>
              </w:rPr>
            </w:pPr>
            <w:r w:rsidRPr="00AD420D">
              <w:rPr>
                <w:b/>
                <w:sz w:val="20"/>
                <w:szCs w:val="20"/>
                <w:lang w:val="en-US"/>
              </w:rPr>
              <w:t>Terry Blaine Gustafson c. Input Capital Corp.</w:t>
            </w:r>
          </w:p>
          <w:p w:rsidR="007B7DA1" w:rsidRPr="00AD420D" w:rsidRDefault="007B7DA1" w:rsidP="007B7DA1">
            <w:pPr>
              <w:jc w:val="both"/>
              <w:rPr>
                <w:sz w:val="20"/>
                <w:lang w:val="fr-CA"/>
              </w:rPr>
            </w:pPr>
            <w:r w:rsidRPr="00AD420D">
              <w:rPr>
                <w:sz w:val="20"/>
                <w:lang w:val="fr-CA"/>
              </w:rPr>
              <w:t>(Sask.) (Civile) (Autorisation)</w:t>
            </w:r>
          </w:p>
        </w:tc>
      </w:tr>
      <w:tr w:rsidR="007B7DA1" w:rsidRPr="004E02BD" w:rsidTr="00610FEC">
        <w:tc>
          <w:tcPr>
            <w:tcW w:w="5000" w:type="pct"/>
            <w:gridSpan w:val="4"/>
          </w:tcPr>
          <w:p w:rsidR="007B7DA1" w:rsidRPr="00AD420D" w:rsidRDefault="007B7DA1" w:rsidP="007B7DA1">
            <w:pPr>
              <w:jc w:val="both"/>
              <w:rPr>
                <w:sz w:val="20"/>
                <w:lang w:val="fr-CA"/>
              </w:rPr>
            </w:pPr>
            <w:r w:rsidRPr="00AD420D">
              <w:rPr>
                <w:sz w:val="20"/>
                <w:lang w:val="fr-CA"/>
              </w:rPr>
              <w:t>Contrats — Iniquité — Quel critère s’applique à la théorie de l’iniquité? — Les ententes étaient</w:t>
            </w:r>
            <w:r w:rsidRPr="00AD420D">
              <w:rPr>
                <w:sz w:val="20"/>
                <w:lang w:val="fr-CA"/>
              </w:rPr>
              <w:noBreakHyphen/>
              <w:t>elles iniques? — La Cour d’appel s’est</w:t>
            </w:r>
            <w:r w:rsidRPr="00AD420D">
              <w:rPr>
                <w:sz w:val="20"/>
                <w:lang w:val="fr-CA"/>
              </w:rPr>
              <w:noBreakHyphen/>
              <w:t>elle trompée dans son examen de la décision du juge de première instance?</w:t>
            </w:r>
          </w:p>
          <w:p w:rsidR="007B7DA1" w:rsidRPr="00AD420D" w:rsidRDefault="007B7DA1" w:rsidP="007B7DA1">
            <w:pPr>
              <w:jc w:val="both"/>
              <w:rPr>
                <w:sz w:val="20"/>
                <w:lang w:val="fr-CA"/>
              </w:rPr>
            </w:pPr>
          </w:p>
        </w:tc>
      </w:tr>
      <w:tr w:rsidR="007B7DA1" w:rsidRPr="004E02BD" w:rsidTr="00610FEC">
        <w:tc>
          <w:tcPr>
            <w:tcW w:w="5000" w:type="pct"/>
            <w:gridSpan w:val="4"/>
          </w:tcPr>
          <w:p w:rsidR="007B7DA1" w:rsidRPr="00AD420D" w:rsidRDefault="007B7DA1" w:rsidP="007B7DA1">
            <w:pPr>
              <w:jc w:val="both"/>
              <w:rPr>
                <w:sz w:val="20"/>
                <w:lang w:val="fr-CA"/>
              </w:rPr>
            </w:pPr>
            <w:r w:rsidRPr="00AD420D">
              <w:rPr>
                <w:sz w:val="20"/>
                <w:lang w:val="fr-CA"/>
              </w:rPr>
              <w:t>La demande d’autorisation d’appel a pour origine une offre par l’intimée, Input Capital Corp. (ICC), d’acheter du canola du demandeur, M. Gustafson, et de sociétés d’exploitation agricole liées (collectivement les Fermes Gustafson). Ce marché a été conclu au début de 2014 et modifié par la suite pour prévoir la livraison de canola en 2014 et à l’avenir. Les parties ont conclu une série d’ententes prévoyant que les Fermes Gustafson allaient livrer 1 790 tonnes de canola en 2014 et 6 240 tonnes en 2015, avec l’obligation de livrer annuellement 2 490 tonnes par la suite, en contrepartie d’un paiement forfaitaire unique de 4,5 millions de dollars par ICC et des versements futurs payables au moment des livraisons. À l’automne 2015, les Fermes Gustafson avaient manqué à leurs engagements prévus dans toutes les ententes, à l’exception du premier contrat au comptant, en ne livrant pas le canola qu’ICC avait acheté.</w:t>
            </w:r>
          </w:p>
          <w:p w:rsidR="007B7DA1" w:rsidRPr="00AD420D" w:rsidRDefault="007B7DA1" w:rsidP="007B7DA1">
            <w:pPr>
              <w:jc w:val="both"/>
              <w:rPr>
                <w:sz w:val="20"/>
                <w:lang w:val="fr-CA"/>
              </w:rPr>
            </w:pPr>
          </w:p>
          <w:p w:rsidR="007B7DA1" w:rsidRPr="00AD420D" w:rsidRDefault="007B7DA1" w:rsidP="007B7DA1">
            <w:pPr>
              <w:jc w:val="both"/>
              <w:rPr>
                <w:sz w:val="20"/>
                <w:lang w:val="fr-CA"/>
              </w:rPr>
            </w:pPr>
            <w:r w:rsidRPr="00AD420D">
              <w:rPr>
                <w:sz w:val="20"/>
                <w:lang w:val="fr-CA"/>
              </w:rPr>
              <w:t>Le juge de première instance était convaincu qu’eu égard aux circonstances de l’espèce, la convention d’achat, les contrats d’écoulement, l’avenant, l’hypothèque accessoire, les conventions de sûreté accessoire et l’avenant à l’hypothèque étaient iniques et devaient tous être annulés. La Cour d’appel a statué que le juge de première instance avait commis une erreur dans son interprétation des ententes et avait mal interprété la relation contractuelle entre les parties, l’amenant à conclure à tort que les ententes étaient iniques et qu’elles étaient entièrement nulles et non exécutoires. La Cour d’appel a annulé les conclusions du juge de première instance et a accueilli l’appel.</w:t>
            </w:r>
          </w:p>
        </w:tc>
      </w:tr>
      <w:tr w:rsidR="007B7DA1" w:rsidRPr="004E02BD" w:rsidTr="00610FEC">
        <w:tc>
          <w:tcPr>
            <w:tcW w:w="5000" w:type="pct"/>
            <w:gridSpan w:val="4"/>
          </w:tcPr>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t>17 mai 2018</w:t>
            </w:r>
          </w:p>
          <w:p w:rsidR="007B7DA1" w:rsidRPr="00AD420D" w:rsidRDefault="007B7DA1" w:rsidP="007B7DA1">
            <w:pPr>
              <w:jc w:val="both"/>
              <w:rPr>
                <w:sz w:val="20"/>
                <w:lang w:val="fr-CA"/>
              </w:rPr>
            </w:pPr>
            <w:r w:rsidRPr="00AD420D">
              <w:rPr>
                <w:sz w:val="20"/>
                <w:lang w:val="fr-CA"/>
              </w:rPr>
              <w:t>Cour du Banc de la Reine de la Saskatchewan</w:t>
            </w:r>
          </w:p>
          <w:p w:rsidR="007B7DA1" w:rsidRPr="00AD420D" w:rsidRDefault="007B7DA1" w:rsidP="007B7DA1">
            <w:pPr>
              <w:jc w:val="both"/>
              <w:rPr>
                <w:sz w:val="20"/>
                <w:lang w:val="fr-CA"/>
              </w:rPr>
            </w:pPr>
            <w:r w:rsidRPr="00AD420D">
              <w:rPr>
                <w:sz w:val="20"/>
                <w:lang w:val="fr-CA"/>
              </w:rPr>
              <w:t>(Juge Kalmakoff)</w:t>
            </w:r>
          </w:p>
          <w:p w:rsidR="007B7DA1" w:rsidRPr="00AD420D" w:rsidRDefault="004E02BD" w:rsidP="007B7DA1">
            <w:pPr>
              <w:jc w:val="both"/>
              <w:rPr>
                <w:sz w:val="20"/>
                <w:lang w:val="fr-CA"/>
              </w:rPr>
            </w:pPr>
            <w:hyperlink r:id="rId24" w:history="1">
              <w:r w:rsidR="007B7DA1" w:rsidRPr="00AD420D">
                <w:rPr>
                  <w:rStyle w:val="Hyperlink"/>
                  <w:sz w:val="20"/>
                  <w:lang w:val="fr-CA"/>
                </w:rPr>
                <w:t>2018 SKQB 154</w:t>
              </w:r>
            </w:hyperlink>
          </w:p>
          <w:p w:rsidR="007B7DA1" w:rsidRPr="00AD420D" w:rsidRDefault="007B7DA1" w:rsidP="007B7DA1">
            <w:pPr>
              <w:jc w:val="both"/>
              <w:rPr>
                <w:sz w:val="20"/>
                <w:lang w:val="fr-CA"/>
              </w:rPr>
            </w:pP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lang w:val="fr-CA"/>
              </w:rPr>
            </w:pPr>
            <w:r w:rsidRPr="00AD420D">
              <w:rPr>
                <w:sz w:val="20"/>
                <w:lang w:val="fr-CA"/>
              </w:rPr>
              <w:t>Jugement concluant que les ententes étaient iniques et les annulant</w:t>
            </w:r>
          </w:p>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t>16 août 2019</w:t>
            </w:r>
          </w:p>
          <w:p w:rsidR="007B7DA1" w:rsidRPr="00AD420D" w:rsidRDefault="007B7DA1" w:rsidP="007B7DA1">
            <w:pPr>
              <w:jc w:val="both"/>
              <w:rPr>
                <w:sz w:val="20"/>
                <w:lang w:val="fr-CA"/>
              </w:rPr>
            </w:pPr>
            <w:r w:rsidRPr="00AD420D">
              <w:rPr>
                <w:sz w:val="20"/>
                <w:lang w:val="fr-CA"/>
              </w:rPr>
              <w:t>Cour d’appel de la Saskatchewan</w:t>
            </w:r>
          </w:p>
          <w:p w:rsidR="007B7DA1" w:rsidRPr="00AD420D" w:rsidRDefault="007B7DA1" w:rsidP="007B7DA1">
            <w:pPr>
              <w:jc w:val="both"/>
              <w:rPr>
                <w:sz w:val="20"/>
                <w:lang w:val="fr-CA"/>
              </w:rPr>
            </w:pPr>
            <w:r w:rsidRPr="00AD420D">
              <w:rPr>
                <w:sz w:val="20"/>
                <w:lang w:val="fr-CA"/>
              </w:rPr>
              <w:t>(Juge en chef Richards, juges Caldwell et Leurer)</w:t>
            </w:r>
          </w:p>
          <w:p w:rsidR="007B7DA1" w:rsidRPr="00AD420D" w:rsidRDefault="004E02BD" w:rsidP="007B7DA1">
            <w:pPr>
              <w:jc w:val="both"/>
              <w:rPr>
                <w:sz w:val="20"/>
                <w:lang w:val="fr-CA"/>
              </w:rPr>
            </w:pPr>
            <w:hyperlink r:id="rId25" w:history="1">
              <w:r w:rsidR="007B7DA1" w:rsidRPr="00AD420D">
                <w:rPr>
                  <w:rStyle w:val="Hyperlink"/>
                  <w:sz w:val="20"/>
                  <w:lang w:val="fr-CA"/>
                </w:rPr>
                <w:t>2019 SKCA 78</w:t>
              </w:r>
            </w:hyperlink>
          </w:p>
          <w:p w:rsidR="007B7DA1" w:rsidRPr="00AD420D" w:rsidRDefault="007B7DA1" w:rsidP="007B7DA1">
            <w:pPr>
              <w:jc w:val="both"/>
              <w:rPr>
                <w:sz w:val="20"/>
                <w:lang w:val="fr-CA"/>
              </w:rPr>
            </w:pP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lang w:val="fr-CA"/>
              </w:rPr>
            </w:pPr>
            <w:r w:rsidRPr="00AD420D">
              <w:rPr>
                <w:sz w:val="20"/>
                <w:lang w:val="fr-CA"/>
              </w:rPr>
              <w:t>Arrêt accueillant l’appel et déclarant théorique l’appel incident</w:t>
            </w:r>
          </w:p>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t>15 octobre 2019</w:t>
            </w:r>
          </w:p>
          <w:p w:rsidR="007B7DA1" w:rsidRPr="00AD420D" w:rsidRDefault="007B7DA1" w:rsidP="007B7DA1">
            <w:pPr>
              <w:jc w:val="both"/>
              <w:rPr>
                <w:sz w:val="20"/>
                <w:lang w:val="fr-CA"/>
              </w:rPr>
            </w:pPr>
            <w:r w:rsidRPr="00AD420D">
              <w:rPr>
                <w:sz w:val="20"/>
                <w:lang w:val="fr-CA"/>
              </w:rPr>
              <w:t>Cour suprême du Canada</w:t>
            </w: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lang w:val="fr-CA"/>
              </w:rPr>
            </w:pPr>
            <w:r w:rsidRPr="00AD420D">
              <w:rPr>
                <w:sz w:val="20"/>
                <w:lang w:val="fr-CA"/>
              </w:rPr>
              <w:t>Dépôt de la demande d’autorisation d’appel</w:t>
            </w:r>
          </w:p>
          <w:p w:rsidR="007B7DA1" w:rsidRPr="00AD420D" w:rsidRDefault="007B7DA1" w:rsidP="007B7DA1">
            <w:pPr>
              <w:jc w:val="both"/>
              <w:rPr>
                <w:sz w:val="20"/>
                <w:lang w:val="fr-CA"/>
              </w:rPr>
            </w:pPr>
          </w:p>
        </w:tc>
      </w:tr>
    </w:tbl>
    <w:p w:rsidR="007B7DA1" w:rsidRPr="00AD420D" w:rsidRDefault="007B7DA1" w:rsidP="007B7DA1">
      <w:pPr>
        <w:jc w:val="both"/>
        <w:rPr>
          <w:sz w:val="20"/>
          <w:lang w:val="fr-CA"/>
        </w:rPr>
      </w:pPr>
    </w:p>
    <w:p w:rsidR="008C3373" w:rsidRPr="00AD420D" w:rsidRDefault="004E02BD" w:rsidP="007B7DA1">
      <w:pPr>
        <w:jc w:val="both"/>
        <w:rPr>
          <w:sz w:val="20"/>
          <w:lang w:val="fr-CA"/>
        </w:rPr>
      </w:pPr>
      <w:r>
        <w:rPr>
          <w:sz w:val="20"/>
        </w:rPr>
        <w:pict>
          <v:rect id="_x0000_i1030" style="width:2in;height:1pt" o:hrpct="0" o:hralign="center" o:hrstd="t" o:hrnoshade="t" o:hr="t" fillcolor="black [3213]" stroked="f"/>
        </w:pict>
      </w:r>
    </w:p>
    <w:p w:rsidR="00AE6180" w:rsidRPr="00AD420D" w:rsidRDefault="00AE6180" w:rsidP="007B7DA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DA1" w:rsidRPr="00AD420D" w:rsidTr="00610FEC">
        <w:tc>
          <w:tcPr>
            <w:tcW w:w="543" w:type="pct"/>
          </w:tcPr>
          <w:p w:rsidR="007B7DA1" w:rsidRPr="00AD420D" w:rsidRDefault="007B7DA1" w:rsidP="007B7DA1">
            <w:pPr>
              <w:jc w:val="both"/>
              <w:rPr>
                <w:sz w:val="20"/>
                <w:lang w:val="en-CA"/>
              </w:rPr>
            </w:pPr>
            <w:r w:rsidRPr="00AD420D">
              <w:rPr>
                <w:rStyle w:val="SCCFileNumberChar"/>
                <w:sz w:val="20"/>
                <w:szCs w:val="20"/>
              </w:rPr>
              <w:t>39138</w:t>
            </w:r>
          </w:p>
        </w:tc>
        <w:tc>
          <w:tcPr>
            <w:tcW w:w="4457" w:type="pct"/>
            <w:gridSpan w:val="3"/>
          </w:tcPr>
          <w:p w:rsidR="007B7DA1" w:rsidRPr="00AD420D" w:rsidRDefault="007B7DA1" w:rsidP="007B7DA1">
            <w:pPr>
              <w:pStyle w:val="SCCLsocParty"/>
              <w:jc w:val="both"/>
              <w:rPr>
                <w:b/>
                <w:sz w:val="20"/>
                <w:szCs w:val="20"/>
              </w:rPr>
            </w:pPr>
            <w:r w:rsidRPr="00AD420D">
              <w:rPr>
                <w:b/>
                <w:sz w:val="20"/>
                <w:szCs w:val="20"/>
              </w:rPr>
              <w:t>Hydro-Québec v. Nadia Mbanga Molima</w:t>
            </w:r>
          </w:p>
          <w:p w:rsidR="007B7DA1" w:rsidRPr="00AD420D" w:rsidRDefault="007B7DA1" w:rsidP="007B7DA1">
            <w:pPr>
              <w:jc w:val="both"/>
              <w:rPr>
                <w:sz w:val="20"/>
                <w:lang w:val="en-CA"/>
              </w:rPr>
            </w:pPr>
            <w:r w:rsidRPr="00AD420D">
              <w:rPr>
                <w:sz w:val="20"/>
                <w:lang w:val="en-CA"/>
              </w:rPr>
              <w:t>(Que.) (Civil) (By Leave)</w:t>
            </w:r>
          </w:p>
        </w:tc>
      </w:tr>
      <w:tr w:rsidR="007B7DA1" w:rsidRPr="00AD420D" w:rsidTr="00610FEC">
        <w:tc>
          <w:tcPr>
            <w:tcW w:w="5000" w:type="pct"/>
            <w:gridSpan w:val="4"/>
          </w:tcPr>
          <w:p w:rsidR="007B7DA1" w:rsidRPr="00AD420D" w:rsidRDefault="007B7DA1" w:rsidP="007B7DA1">
            <w:pPr>
              <w:pStyle w:val="SCCBanSummary"/>
              <w:rPr>
                <w:smallCaps w:val="0"/>
                <w:sz w:val="20"/>
                <w:szCs w:val="20"/>
              </w:rPr>
            </w:pPr>
            <w:proofErr w:type="gramStart"/>
            <w:r w:rsidRPr="00AD420D">
              <w:rPr>
                <w:smallCaps w:val="0"/>
                <w:sz w:val="20"/>
                <w:szCs w:val="20"/>
              </w:rPr>
              <w:t xml:space="preserve">Civil procedure — Jurisdiction — Class Action — Electricity rates — Divergence from rates of return authorized by Régie de l’énergie — Collateral attack barred — Abuse of process — Proper application of rule against collateral attacks and doctrine of abuse of process in context of regulatory law and private law — Whether court can call into question presumption that rate is fair and reasonable and principle of stability of final decisions made by regulatory body with exclusive jurisdiction — </w:t>
            </w:r>
            <w:r w:rsidRPr="00AD420D">
              <w:rPr>
                <w:i/>
                <w:smallCaps w:val="0"/>
                <w:sz w:val="20"/>
                <w:szCs w:val="20"/>
              </w:rPr>
              <w:t>Code of Civil Procedure</w:t>
            </w:r>
            <w:r w:rsidRPr="00AD420D">
              <w:rPr>
                <w:smallCaps w:val="0"/>
                <w:sz w:val="20"/>
                <w:szCs w:val="20"/>
              </w:rPr>
              <w:t>, CQLR, c. C</w:t>
            </w:r>
            <w:r w:rsidRPr="00AD420D">
              <w:rPr>
                <w:smallCaps w:val="0"/>
                <w:sz w:val="20"/>
                <w:szCs w:val="20"/>
              </w:rPr>
              <w:noBreakHyphen/>
              <w:t>25.01, art. </w:t>
            </w:r>
            <w:proofErr w:type="gramEnd"/>
            <w:r w:rsidRPr="00AD420D">
              <w:rPr>
                <w:smallCaps w:val="0"/>
                <w:sz w:val="20"/>
                <w:szCs w:val="20"/>
              </w:rPr>
              <w:t xml:space="preserve">575(2) — </w:t>
            </w:r>
            <w:r w:rsidRPr="00AD420D">
              <w:rPr>
                <w:i/>
                <w:smallCaps w:val="0"/>
                <w:sz w:val="20"/>
                <w:szCs w:val="20"/>
              </w:rPr>
              <w:t>Act respecting the Régie de l’énergie</w:t>
            </w:r>
            <w:r w:rsidRPr="00AD420D">
              <w:rPr>
                <w:smallCaps w:val="0"/>
                <w:sz w:val="20"/>
                <w:szCs w:val="20"/>
              </w:rPr>
              <w:t>, CQLR, c. R</w:t>
            </w:r>
            <w:r w:rsidRPr="00AD420D">
              <w:rPr>
                <w:smallCaps w:val="0"/>
                <w:sz w:val="20"/>
                <w:szCs w:val="20"/>
              </w:rPr>
              <w:noBreakHyphen/>
              <w:t>6.01, ss. 31</w:t>
            </w:r>
            <w:r w:rsidRPr="00AD420D">
              <w:rPr>
                <w:smallCaps w:val="0"/>
                <w:sz w:val="20"/>
                <w:szCs w:val="20"/>
              </w:rPr>
              <w:noBreakHyphen/>
              <w:t>32.</w:t>
            </w:r>
          </w:p>
        </w:tc>
      </w:tr>
      <w:tr w:rsidR="007B7DA1" w:rsidRPr="00AD420D" w:rsidTr="00610FEC">
        <w:tc>
          <w:tcPr>
            <w:tcW w:w="5000" w:type="pct"/>
            <w:gridSpan w:val="4"/>
          </w:tcPr>
          <w:p w:rsidR="007B7DA1" w:rsidRPr="00AD420D" w:rsidRDefault="007B7DA1" w:rsidP="007B7DA1">
            <w:pPr>
              <w:jc w:val="both"/>
              <w:rPr>
                <w:sz w:val="20"/>
                <w:lang w:val="en-CA"/>
              </w:rPr>
            </w:pPr>
          </w:p>
        </w:tc>
      </w:tr>
      <w:tr w:rsidR="007B7DA1" w:rsidRPr="00AD420D" w:rsidTr="00610FEC">
        <w:tc>
          <w:tcPr>
            <w:tcW w:w="5000" w:type="pct"/>
            <w:gridSpan w:val="4"/>
          </w:tcPr>
          <w:p w:rsidR="007B7DA1" w:rsidRPr="00AD420D" w:rsidRDefault="007B7DA1" w:rsidP="007B7DA1">
            <w:pPr>
              <w:jc w:val="both"/>
              <w:rPr>
                <w:sz w:val="20"/>
                <w:lang w:val="en-CA"/>
              </w:rPr>
            </w:pPr>
            <w:r w:rsidRPr="00AD420D">
              <w:rPr>
                <w:sz w:val="20"/>
                <w:lang w:val="en-CA"/>
              </w:rPr>
              <w:t>The respondent brought a class action against the applicant, Hydro</w:t>
            </w:r>
            <w:r w:rsidRPr="00AD420D">
              <w:rPr>
                <w:sz w:val="20"/>
                <w:lang w:val="en-CA"/>
              </w:rPr>
              <w:noBreakHyphen/>
              <w:t>Québec, alleging that it had accumulated surpluses from 2008 to 2013 by exceeding the rates of return on equity authorized by the Régie de l’énergie. The respondent accordingly claimed $1.2 billion for excessive electricity charges paid by the members of the class. The Superior Court allowed the application for authorization to institute a class action against Hydro</w:t>
            </w:r>
            <w:r w:rsidRPr="00AD420D">
              <w:rPr>
                <w:sz w:val="20"/>
                <w:lang w:val="en-CA"/>
              </w:rPr>
              <w:noBreakHyphen/>
              <w:t xml:space="preserve">Québec, finding that the proposed action met the arguable case threshold and that the proceeding in its true essence was an action for damages based on extracontractual civil liability, not a collateral attack on electricity rates. The Court of Appeal </w:t>
            </w:r>
            <w:r w:rsidRPr="00AD420D">
              <w:rPr>
                <w:sz w:val="20"/>
                <w:lang w:val="en-CA"/>
              </w:rPr>
              <w:lastRenderedPageBreak/>
              <w:t>dismissed the motion for leave to appeal. It found that the factual elements provided by Hydro</w:t>
            </w:r>
            <w:r w:rsidRPr="00AD420D">
              <w:rPr>
                <w:sz w:val="20"/>
                <w:lang w:val="en-CA"/>
              </w:rPr>
              <w:noBreakHyphen/>
              <w:t xml:space="preserve">Québec to contest the allegations of fault made against it might constitute a valid defence on the merits, but not an argument for granting leave to appeal from the authorization of a class action. </w:t>
            </w:r>
          </w:p>
          <w:p w:rsidR="007B7DA1" w:rsidRPr="00AD420D" w:rsidRDefault="007B7DA1" w:rsidP="007B7DA1">
            <w:pPr>
              <w:jc w:val="both"/>
              <w:rPr>
                <w:sz w:val="20"/>
                <w:lang w:val="en-CA"/>
              </w:rPr>
            </w:pPr>
          </w:p>
        </w:tc>
      </w:tr>
      <w:tr w:rsidR="007B7DA1" w:rsidRPr="00AD420D" w:rsidTr="00610FEC">
        <w:tc>
          <w:tcPr>
            <w:tcW w:w="2427" w:type="pct"/>
            <w:gridSpan w:val="2"/>
          </w:tcPr>
          <w:p w:rsidR="007B7DA1" w:rsidRPr="00AD420D" w:rsidRDefault="007B7DA1" w:rsidP="007B7DA1">
            <w:pPr>
              <w:jc w:val="both"/>
              <w:rPr>
                <w:sz w:val="20"/>
                <w:lang w:val="en-CA"/>
              </w:rPr>
            </w:pPr>
            <w:r w:rsidRPr="00AD420D">
              <w:rPr>
                <w:sz w:val="20"/>
                <w:lang w:val="en-CA"/>
              </w:rPr>
              <w:lastRenderedPageBreak/>
              <w:t>December 11, 2019</w:t>
            </w:r>
          </w:p>
          <w:p w:rsidR="007B7DA1" w:rsidRPr="00AD420D" w:rsidRDefault="007B7DA1" w:rsidP="007B7DA1">
            <w:pPr>
              <w:jc w:val="both"/>
              <w:rPr>
                <w:sz w:val="20"/>
                <w:lang w:val="en-CA"/>
              </w:rPr>
            </w:pPr>
            <w:r w:rsidRPr="00AD420D">
              <w:rPr>
                <w:sz w:val="20"/>
                <w:lang w:val="en-CA"/>
              </w:rPr>
              <w:t>Quebec Superior Court</w:t>
            </w:r>
          </w:p>
          <w:p w:rsidR="007B7DA1" w:rsidRPr="00AD420D" w:rsidRDefault="007B7DA1" w:rsidP="007B7DA1">
            <w:pPr>
              <w:jc w:val="both"/>
              <w:rPr>
                <w:sz w:val="20"/>
                <w:lang w:val="en-CA"/>
              </w:rPr>
            </w:pPr>
            <w:r w:rsidRPr="00AD420D">
              <w:rPr>
                <w:sz w:val="20"/>
                <w:lang w:val="en-CA"/>
              </w:rPr>
              <w:t>(Duprat J.)</w:t>
            </w:r>
          </w:p>
          <w:p w:rsidR="007B7DA1" w:rsidRPr="00AD420D" w:rsidRDefault="007B7DA1" w:rsidP="007B7DA1">
            <w:pPr>
              <w:jc w:val="both"/>
              <w:rPr>
                <w:sz w:val="20"/>
                <w:lang w:val="en-CA"/>
              </w:rPr>
            </w:pPr>
            <w:r w:rsidRPr="00AD420D">
              <w:rPr>
                <w:sz w:val="20"/>
                <w:lang w:val="en-CA"/>
              </w:rPr>
              <w:t>500</w:t>
            </w:r>
            <w:r w:rsidRPr="00AD420D">
              <w:rPr>
                <w:sz w:val="20"/>
                <w:lang w:val="en-CA"/>
              </w:rPr>
              <w:noBreakHyphen/>
              <w:t>06</w:t>
            </w:r>
            <w:r w:rsidRPr="00AD420D">
              <w:rPr>
                <w:sz w:val="20"/>
                <w:lang w:val="en-CA"/>
              </w:rPr>
              <w:noBreakHyphen/>
              <w:t>000889</w:t>
            </w:r>
            <w:r w:rsidRPr="00AD420D">
              <w:rPr>
                <w:sz w:val="20"/>
                <w:lang w:val="en-CA"/>
              </w:rPr>
              <w:noBreakHyphen/>
              <w:t>176</w:t>
            </w:r>
          </w:p>
          <w:p w:rsidR="007B7DA1" w:rsidRPr="00AD420D" w:rsidRDefault="004E02BD" w:rsidP="007B7DA1">
            <w:pPr>
              <w:jc w:val="both"/>
              <w:rPr>
                <w:sz w:val="20"/>
                <w:lang w:val="en-CA"/>
              </w:rPr>
            </w:pPr>
            <w:hyperlink r:id="rId26" w:history="1">
              <w:r w:rsidR="007B7DA1" w:rsidRPr="00AD420D">
                <w:rPr>
                  <w:rStyle w:val="Hyperlink"/>
                  <w:sz w:val="20"/>
                  <w:lang w:val="en-CA"/>
                </w:rPr>
                <w:t>2019 QCCS 5241</w:t>
              </w:r>
            </w:hyperlink>
            <w:r w:rsidR="007B7DA1" w:rsidRPr="00AD420D">
              <w:rPr>
                <w:sz w:val="20"/>
                <w:lang w:val="en-CA"/>
              </w:rPr>
              <w:t xml:space="preserve"> </w:t>
            </w:r>
          </w:p>
          <w:p w:rsidR="007B7DA1" w:rsidRPr="00AD420D" w:rsidRDefault="007B7DA1" w:rsidP="007B7DA1">
            <w:pPr>
              <w:jc w:val="both"/>
              <w:rPr>
                <w:sz w:val="20"/>
                <w:lang w:val="en-CA"/>
              </w:rPr>
            </w:pPr>
          </w:p>
        </w:tc>
        <w:tc>
          <w:tcPr>
            <w:tcW w:w="243" w:type="pct"/>
          </w:tcPr>
          <w:p w:rsidR="007B7DA1" w:rsidRPr="00AD420D" w:rsidRDefault="007B7DA1" w:rsidP="007B7DA1">
            <w:pPr>
              <w:jc w:val="both"/>
              <w:rPr>
                <w:sz w:val="20"/>
                <w:lang w:val="en-CA"/>
              </w:rPr>
            </w:pPr>
          </w:p>
        </w:tc>
        <w:tc>
          <w:tcPr>
            <w:tcW w:w="2330" w:type="pct"/>
          </w:tcPr>
          <w:p w:rsidR="007B7DA1" w:rsidRPr="00AD420D" w:rsidRDefault="007B7DA1" w:rsidP="007B7DA1">
            <w:pPr>
              <w:jc w:val="both"/>
              <w:rPr>
                <w:sz w:val="20"/>
                <w:lang w:val="en-CA"/>
              </w:rPr>
            </w:pPr>
            <w:r w:rsidRPr="00AD420D">
              <w:rPr>
                <w:sz w:val="20"/>
                <w:lang w:val="en-CA"/>
              </w:rPr>
              <w:t>Application for authorization to institute class action against Attorney General of Quebec dismissed with legal costs; application for authorization to institute class action against Hydro</w:t>
            </w:r>
            <w:r w:rsidRPr="00AD420D">
              <w:rPr>
                <w:sz w:val="20"/>
                <w:lang w:val="en-CA"/>
              </w:rPr>
              <w:noBreakHyphen/>
              <w:t>Québec allowed</w:t>
            </w:r>
          </w:p>
          <w:p w:rsidR="007B7DA1" w:rsidRPr="00AD420D" w:rsidRDefault="007B7DA1" w:rsidP="007B7DA1">
            <w:pPr>
              <w:jc w:val="both"/>
              <w:rPr>
                <w:sz w:val="20"/>
                <w:lang w:val="en-CA"/>
              </w:rPr>
            </w:pPr>
          </w:p>
        </w:tc>
      </w:tr>
      <w:tr w:rsidR="007B7DA1" w:rsidRPr="00AD420D" w:rsidTr="00610FEC">
        <w:tc>
          <w:tcPr>
            <w:tcW w:w="2427" w:type="pct"/>
            <w:gridSpan w:val="2"/>
          </w:tcPr>
          <w:p w:rsidR="007B7DA1" w:rsidRPr="00AD420D" w:rsidRDefault="007B7DA1" w:rsidP="007B7DA1">
            <w:pPr>
              <w:jc w:val="both"/>
              <w:rPr>
                <w:sz w:val="20"/>
                <w:lang w:val="en-CA"/>
              </w:rPr>
            </w:pPr>
            <w:r w:rsidRPr="00AD420D">
              <w:rPr>
                <w:sz w:val="20"/>
                <w:lang w:val="en-CA"/>
              </w:rPr>
              <w:t>February 28, 2020</w:t>
            </w:r>
          </w:p>
          <w:p w:rsidR="007B7DA1" w:rsidRPr="00AD420D" w:rsidRDefault="007B7DA1" w:rsidP="007B7DA1">
            <w:pPr>
              <w:jc w:val="both"/>
              <w:rPr>
                <w:sz w:val="20"/>
                <w:lang w:val="en-CA"/>
              </w:rPr>
            </w:pPr>
            <w:r w:rsidRPr="00AD420D">
              <w:rPr>
                <w:sz w:val="20"/>
                <w:lang w:val="en-CA"/>
              </w:rPr>
              <w:t>Quebec Court of Appeal (Montréal)</w:t>
            </w:r>
          </w:p>
          <w:p w:rsidR="007B7DA1" w:rsidRPr="00AD420D" w:rsidRDefault="007B7DA1" w:rsidP="007B7DA1">
            <w:pPr>
              <w:jc w:val="both"/>
              <w:rPr>
                <w:sz w:val="20"/>
                <w:lang w:val="en-CA"/>
              </w:rPr>
            </w:pPr>
            <w:r w:rsidRPr="00AD420D">
              <w:rPr>
                <w:sz w:val="20"/>
                <w:lang w:val="en-CA"/>
              </w:rPr>
              <w:t>(Schrager J.A.)</w:t>
            </w:r>
          </w:p>
          <w:p w:rsidR="007B7DA1" w:rsidRPr="00AD420D" w:rsidRDefault="007B7DA1" w:rsidP="007B7DA1">
            <w:pPr>
              <w:jc w:val="both"/>
              <w:rPr>
                <w:sz w:val="20"/>
                <w:lang w:val="en-CA"/>
              </w:rPr>
            </w:pPr>
            <w:r w:rsidRPr="00AD420D">
              <w:rPr>
                <w:sz w:val="20"/>
                <w:lang w:val="en-CA"/>
              </w:rPr>
              <w:t>500</w:t>
            </w:r>
            <w:r w:rsidRPr="00AD420D">
              <w:rPr>
                <w:sz w:val="20"/>
                <w:lang w:val="en-CA"/>
              </w:rPr>
              <w:noBreakHyphen/>
              <w:t>09</w:t>
            </w:r>
            <w:r w:rsidRPr="00AD420D">
              <w:rPr>
                <w:sz w:val="20"/>
                <w:lang w:val="en-CA"/>
              </w:rPr>
              <w:noBreakHyphen/>
              <w:t>028789</w:t>
            </w:r>
            <w:r w:rsidRPr="00AD420D">
              <w:rPr>
                <w:sz w:val="20"/>
                <w:lang w:val="en-CA"/>
              </w:rPr>
              <w:noBreakHyphen/>
              <w:t>204</w:t>
            </w:r>
          </w:p>
          <w:p w:rsidR="007B7DA1" w:rsidRPr="00AD420D" w:rsidRDefault="004E02BD" w:rsidP="007B7DA1">
            <w:pPr>
              <w:jc w:val="both"/>
              <w:rPr>
                <w:sz w:val="20"/>
                <w:lang w:val="en-CA"/>
              </w:rPr>
            </w:pPr>
            <w:hyperlink r:id="rId27" w:history="1">
              <w:r w:rsidR="007B7DA1" w:rsidRPr="00AD420D">
                <w:rPr>
                  <w:rStyle w:val="Hyperlink"/>
                  <w:sz w:val="20"/>
                  <w:lang w:val="en-CA"/>
                </w:rPr>
                <w:t>2020 QCCA 357</w:t>
              </w:r>
            </w:hyperlink>
          </w:p>
          <w:p w:rsidR="007B7DA1" w:rsidRPr="00AD420D" w:rsidRDefault="007B7DA1" w:rsidP="007B7DA1">
            <w:pPr>
              <w:jc w:val="both"/>
              <w:rPr>
                <w:sz w:val="20"/>
                <w:lang w:val="en-CA"/>
              </w:rPr>
            </w:pPr>
          </w:p>
        </w:tc>
        <w:tc>
          <w:tcPr>
            <w:tcW w:w="243" w:type="pct"/>
          </w:tcPr>
          <w:p w:rsidR="007B7DA1" w:rsidRPr="00AD420D" w:rsidRDefault="007B7DA1" w:rsidP="007B7DA1">
            <w:pPr>
              <w:jc w:val="both"/>
              <w:rPr>
                <w:sz w:val="20"/>
                <w:lang w:val="en-CA"/>
              </w:rPr>
            </w:pPr>
          </w:p>
        </w:tc>
        <w:tc>
          <w:tcPr>
            <w:tcW w:w="2330" w:type="pct"/>
          </w:tcPr>
          <w:p w:rsidR="007B7DA1" w:rsidRPr="00AD420D" w:rsidRDefault="007B7DA1" w:rsidP="007B7DA1">
            <w:pPr>
              <w:jc w:val="both"/>
              <w:rPr>
                <w:sz w:val="20"/>
                <w:lang w:val="en-CA"/>
              </w:rPr>
            </w:pPr>
            <w:r w:rsidRPr="00AD420D">
              <w:rPr>
                <w:sz w:val="20"/>
                <w:lang w:val="en-CA"/>
              </w:rPr>
              <w:t>Motion for leave to appeal dismissed with legal costs</w:t>
            </w:r>
          </w:p>
          <w:p w:rsidR="007B7DA1" w:rsidRPr="00AD420D" w:rsidRDefault="007B7DA1" w:rsidP="007B7DA1">
            <w:pPr>
              <w:jc w:val="both"/>
              <w:rPr>
                <w:sz w:val="20"/>
                <w:lang w:val="en-CA"/>
              </w:rPr>
            </w:pPr>
          </w:p>
        </w:tc>
      </w:tr>
      <w:tr w:rsidR="007B7DA1" w:rsidRPr="00AD420D" w:rsidTr="00610FEC">
        <w:tc>
          <w:tcPr>
            <w:tcW w:w="2427" w:type="pct"/>
            <w:gridSpan w:val="2"/>
          </w:tcPr>
          <w:p w:rsidR="007B7DA1" w:rsidRPr="00AD420D" w:rsidRDefault="007B7DA1" w:rsidP="007B7DA1">
            <w:pPr>
              <w:jc w:val="both"/>
              <w:rPr>
                <w:sz w:val="20"/>
                <w:lang w:val="en-CA"/>
              </w:rPr>
            </w:pPr>
            <w:r w:rsidRPr="00AD420D">
              <w:rPr>
                <w:sz w:val="20"/>
                <w:lang w:val="en-CA"/>
              </w:rPr>
              <w:t>April 28, 2020</w:t>
            </w:r>
          </w:p>
          <w:p w:rsidR="007B7DA1" w:rsidRPr="00AD420D" w:rsidRDefault="007B7DA1" w:rsidP="007B7DA1">
            <w:pPr>
              <w:jc w:val="both"/>
              <w:rPr>
                <w:sz w:val="20"/>
                <w:lang w:val="en-CA"/>
              </w:rPr>
            </w:pPr>
            <w:r w:rsidRPr="00AD420D">
              <w:rPr>
                <w:sz w:val="20"/>
                <w:lang w:val="en-CA"/>
              </w:rPr>
              <w:t>Supreme Court of Canada</w:t>
            </w:r>
          </w:p>
        </w:tc>
        <w:tc>
          <w:tcPr>
            <w:tcW w:w="243" w:type="pct"/>
          </w:tcPr>
          <w:p w:rsidR="007B7DA1" w:rsidRPr="00AD420D" w:rsidRDefault="007B7DA1" w:rsidP="007B7DA1">
            <w:pPr>
              <w:jc w:val="both"/>
              <w:rPr>
                <w:sz w:val="20"/>
                <w:lang w:val="en-CA"/>
              </w:rPr>
            </w:pPr>
          </w:p>
        </w:tc>
        <w:tc>
          <w:tcPr>
            <w:tcW w:w="2330" w:type="pct"/>
          </w:tcPr>
          <w:p w:rsidR="007B7DA1" w:rsidRPr="00AD420D" w:rsidRDefault="007B7DA1" w:rsidP="007B7DA1">
            <w:pPr>
              <w:jc w:val="both"/>
              <w:rPr>
                <w:sz w:val="20"/>
                <w:lang w:val="en-CA"/>
              </w:rPr>
            </w:pPr>
            <w:r w:rsidRPr="00AD420D">
              <w:rPr>
                <w:sz w:val="20"/>
                <w:lang w:val="en-CA"/>
              </w:rPr>
              <w:t>Application for leave to appeal filed</w:t>
            </w:r>
          </w:p>
          <w:p w:rsidR="007B7DA1" w:rsidRPr="00AD420D" w:rsidRDefault="007B7DA1" w:rsidP="007B7DA1">
            <w:pPr>
              <w:jc w:val="both"/>
              <w:rPr>
                <w:sz w:val="20"/>
                <w:lang w:val="en-CA"/>
              </w:rPr>
            </w:pPr>
          </w:p>
        </w:tc>
      </w:tr>
    </w:tbl>
    <w:p w:rsidR="007B7DA1" w:rsidRPr="00AD420D" w:rsidRDefault="007B7DA1" w:rsidP="007B7DA1">
      <w:pPr>
        <w:jc w:val="both"/>
        <w:rPr>
          <w:sz w:val="20"/>
          <w:lang w:val="en-CA"/>
        </w:rPr>
      </w:pPr>
    </w:p>
    <w:p w:rsidR="008C3373" w:rsidRPr="00AD420D" w:rsidRDefault="004E02BD" w:rsidP="007B7DA1">
      <w:pPr>
        <w:jc w:val="both"/>
        <w:rPr>
          <w:sz w:val="20"/>
          <w:lang w:val="en-CA"/>
        </w:rPr>
      </w:pPr>
      <w:r>
        <w:rPr>
          <w:sz w:val="20"/>
        </w:rPr>
        <w:pict>
          <v:rect id="_x0000_i1031" style="width:2in;height:1pt" o:hrpct="0" o:hralign="center" o:hrstd="t" o:hrnoshade="t" o:hr="t" fillcolor="black [3213]" stroked="f"/>
        </w:pict>
      </w:r>
    </w:p>
    <w:p w:rsidR="008C3373" w:rsidRPr="00AD420D" w:rsidRDefault="008C3373" w:rsidP="007B7DA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DA1" w:rsidRPr="00AD420D" w:rsidTr="00610FEC">
        <w:tc>
          <w:tcPr>
            <w:tcW w:w="543" w:type="pct"/>
          </w:tcPr>
          <w:p w:rsidR="007B7DA1" w:rsidRPr="00AD420D" w:rsidRDefault="007B7DA1" w:rsidP="007B7DA1">
            <w:pPr>
              <w:jc w:val="both"/>
              <w:rPr>
                <w:sz w:val="20"/>
              </w:rPr>
            </w:pPr>
            <w:r w:rsidRPr="00AD420D">
              <w:rPr>
                <w:rStyle w:val="SCCFileNumberChar"/>
                <w:sz w:val="20"/>
                <w:szCs w:val="20"/>
              </w:rPr>
              <w:t>39138</w:t>
            </w:r>
          </w:p>
        </w:tc>
        <w:tc>
          <w:tcPr>
            <w:tcW w:w="4457" w:type="pct"/>
            <w:gridSpan w:val="3"/>
          </w:tcPr>
          <w:p w:rsidR="007B7DA1" w:rsidRPr="00AD420D" w:rsidRDefault="007B7DA1" w:rsidP="007B7DA1">
            <w:pPr>
              <w:pStyle w:val="SCCLsocParty"/>
              <w:jc w:val="both"/>
              <w:rPr>
                <w:b/>
                <w:sz w:val="20"/>
                <w:szCs w:val="20"/>
              </w:rPr>
            </w:pPr>
            <w:r w:rsidRPr="00AD420D">
              <w:rPr>
                <w:b/>
                <w:sz w:val="20"/>
                <w:szCs w:val="20"/>
              </w:rPr>
              <w:t>Hydro-Québec c. Nadia Mbanga Molima</w:t>
            </w:r>
          </w:p>
          <w:p w:rsidR="007B7DA1" w:rsidRPr="00AD420D" w:rsidRDefault="007B7DA1" w:rsidP="007B7DA1">
            <w:pPr>
              <w:jc w:val="both"/>
              <w:rPr>
                <w:sz w:val="20"/>
              </w:rPr>
            </w:pPr>
            <w:r w:rsidRPr="00AD420D">
              <w:rPr>
                <w:sz w:val="20"/>
              </w:rPr>
              <w:t>(Qc) (Civile) (Autorisation)</w:t>
            </w:r>
          </w:p>
        </w:tc>
      </w:tr>
      <w:tr w:rsidR="007B7DA1" w:rsidRPr="004E02BD" w:rsidTr="00610FEC">
        <w:tc>
          <w:tcPr>
            <w:tcW w:w="5000" w:type="pct"/>
            <w:gridSpan w:val="4"/>
          </w:tcPr>
          <w:p w:rsidR="007B7DA1" w:rsidRPr="00AD420D" w:rsidRDefault="007B7DA1" w:rsidP="007B7DA1">
            <w:pPr>
              <w:pStyle w:val="SCCBanSummary"/>
              <w:rPr>
                <w:smallCaps w:val="0"/>
                <w:sz w:val="20"/>
                <w:szCs w:val="20"/>
                <w:lang w:val="fr-CA"/>
              </w:rPr>
            </w:pPr>
            <w:r w:rsidRPr="00AD420D">
              <w:rPr>
                <w:smallCaps w:val="0"/>
                <w:sz w:val="20"/>
                <w:szCs w:val="20"/>
                <w:lang w:val="fr-CA"/>
              </w:rPr>
              <w:t xml:space="preserve">Procédure civile — Compétence — Action collective — Tarifs d’électricité — Écarts de taux de rendement autorisés par la Régie de l’énergie — Contestation incidente interdite — Abus de procédure — Comment la règle interdisant les contestations incidentes ainsi que la doctrine de l’abus de procédure devraient être appliquées dans un contexte de droit réglementaire et de droit privé ? — </w:t>
            </w:r>
            <w:r w:rsidRPr="00AD420D">
              <w:rPr>
                <w:smallCaps w:val="0"/>
                <w:sz w:val="20"/>
                <w:szCs w:val="20"/>
                <w:lang w:val="x-none"/>
              </w:rPr>
              <w:t xml:space="preserve">Une </w:t>
            </w:r>
            <w:proofErr w:type="spellStart"/>
            <w:r w:rsidRPr="00AD420D">
              <w:rPr>
                <w:smallCaps w:val="0"/>
                <w:sz w:val="20"/>
                <w:szCs w:val="20"/>
                <w:lang w:val="x-none"/>
              </w:rPr>
              <w:t>cour</w:t>
            </w:r>
            <w:proofErr w:type="spellEnd"/>
            <w:r w:rsidRPr="00AD420D">
              <w:rPr>
                <w:smallCaps w:val="0"/>
                <w:sz w:val="20"/>
                <w:szCs w:val="20"/>
                <w:lang w:val="fr-CA"/>
              </w:rPr>
              <w:t xml:space="preserve"> </w:t>
            </w:r>
            <w:r w:rsidRPr="00AD420D">
              <w:rPr>
                <w:smallCaps w:val="0"/>
                <w:sz w:val="20"/>
                <w:szCs w:val="20"/>
                <w:lang w:val="x-none"/>
              </w:rPr>
              <w:t xml:space="preserve">de justice </w:t>
            </w:r>
            <w:proofErr w:type="spellStart"/>
            <w:r w:rsidRPr="00AD420D">
              <w:rPr>
                <w:smallCaps w:val="0"/>
                <w:sz w:val="20"/>
                <w:szCs w:val="20"/>
                <w:lang w:val="x-none"/>
              </w:rPr>
              <w:t>peut</w:t>
            </w:r>
            <w:proofErr w:type="spellEnd"/>
            <w:r w:rsidRPr="00AD420D">
              <w:rPr>
                <w:smallCaps w:val="0"/>
                <w:sz w:val="20"/>
                <w:szCs w:val="20"/>
                <w:lang w:val="x-none"/>
              </w:rPr>
              <w:noBreakHyphen/>
              <w:t xml:space="preserve">elle </w:t>
            </w:r>
            <w:proofErr w:type="spellStart"/>
            <w:r w:rsidRPr="00AD420D">
              <w:rPr>
                <w:smallCaps w:val="0"/>
                <w:sz w:val="20"/>
                <w:szCs w:val="20"/>
                <w:lang w:val="x-none"/>
              </w:rPr>
              <w:t>remettre</w:t>
            </w:r>
            <w:proofErr w:type="spellEnd"/>
            <w:r w:rsidRPr="00AD420D">
              <w:rPr>
                <w:smallCaps w:val="0"/>
                <w:sz w:val="20"/>
                <w:szCs w:val="20"/>
                <w:lang w:val="x-none"/>
              </w:rPr>
              <w:t xml:space="preserve"> en cause</w:t>
            </w:r>
            <w:r w:rsidRPr="00AD420D">
              <w:rPr>
                <w:smallCaps w:val="0"/>
                <w:sz w:val="20"/>
                <w:szCs w:val="20"/>
                <w:lang w:val="fr-CA"/>
              </w:rPr>
              <w:t xml:space="preserve"> </w:t>
            </w:r>
            <w:r w:rsidRPr="00AD420D">
              <w:rPr>
                <w:smallCaps w:val="0"/>
                <w:sz w:val="20"/>
                <w:szCs w:val="20"/>
                <w:lang w:val="x-none"/>
              </w:rPr>
              <w:t xml:space="preserve">la </w:t>
            </w:r>
            <w:proofErr w:type="spellStart"/>
            <w:r w:rsidRPr="00AD420D">
              <w:rPr>
                <w:smallCaps w:val="0"/>
                <w:sz w:val="20"/>
                <w:szCs w:val="20"/>
                <w:lang w:val="x-none"/>
              </w:rPr>
              <w:t>présomption</w:t>
            </w:r>
            <w:proofErr w:type="spellEnd"/>
            <w:r w:rsidRPr="00AD420D">
              <w:rPr>
                <w:smallCaps w:val="0"/>
                <w:sz w:val="20"/>
                <w:szCs w:val="20"/>
                <w:lang w:val="x-none"/>
              </w:rPr>
              <w:t xml:space="preserve"> de</w:t>
            </w:r>
            <w:r w:rsidRPr="00AD420D">
              <w:rPr>
                <w:smallCaps w:val="0"/>
                <w:sz w:val="20"/>
                <w:szCs w:val="20"/>
                <w:lang w:val="fr-CA"/>
              </w:rPr>
              <w:t xml:space="preserve"> </w:t>
            </w:r>
            <w:proofErr w:type="spellStart"/>
            <w:r w:rsidRPr="00AD420D">
              <w:rPr>
                <w:smallCaps w:val="0"/>
                <w:sz w:val="20"/>
                <w:szCs w:val="20"/>
                <w:lang w:val="x-none"/>
              </w:rPr>
              <w:t>caractère</w:t>
            </w:r>
            <w:proofErr w:type="spellEnd"/>
            <w:r w:rsidRPr="00AD420D">
              <w:rPr>
                <w:smallCaps w:val="0"/>
                <w:sz w:val="20"/>
                <w:szCs w:val="20"/>
                <w:lang w:val="x-none"/>
              </w:rPr>
              <w:t xml:space="preserve"> </w:t>
            </w:r>
            <w:proofErr w:type="spellStart"/>
            <w:r w:rsidRPr="00AD420D">
              <w:rPr>
                <w:smallCaps w:val="0"/>
                <w:sz w:val="20"/>
                <w:szCs w:val="20"/>
                <w:lang w:val="x-none"/>
              </w:rPr>
              <w:t>juste</w:t>
            </w:r>
            <w:proofErr w:type="spellEnd"/>
            <w:r w:rsidRPr="00AD420D">
              <w:rPr>
                <w:smallCaps w:val="0"/>
                <w:sz w:val="20"/>
                <w:szCs w:val="20"/>
                <w:lang w:val="x-none"/>
              </w:rPr>
              <w:t xml:space="preserve"> et raisonnable d’un tarif et la règle de la </w:t>
            </w:r>
            <w:proofErr w:type="spellStart"/>
            <w:r w:rsidRPr="00AD420D">
              <w:rPr>
                <w:smallCaps w:val="0"/>
                <w:sz w:val="20"/>
                <w:szCs w:val="20"/>
                <w:lang w:val="x-none"/>
              </w:rPr>
              <w:t>stabilité</w:t>
            </w:r>
            <w:proofErr w:type="spellEnd"/>
            <w:r w:rsidRPr="00AD420D">
              <w:rPr>
                <w:smallCaps w:val="0"/>
                <w:sz w:val="20"/>
                <w:szCs w:val="20"/>
                <w:lang w:val="x-none"/>
              </w:rPr>
              <w:t xml:space="preserve"> des </w:t>
            </w:r>
            <w:proofErr w:type="spellStart"/>
            <w:r w:rsidRPr="00AD420D">
              <w:rPr>
                <w:smallCaps w:val="0"/>
                <w:sz w:val="20"/>
                <w:szCs w:val="20"/>
                <w:lang w:val="x-none"/>
              </w:rPr>
              <w:t>décisions</w:t>
            </w:r>
            <w:proofErr w:type="spellEnd"/>
            <w:r w:rsidRPr="00AD420D">
              <w:rPr>
                <w:smallCaps w:val="0"/>
                <w:sz w:val="20"/>
                <w:szCs w:val="20"/>
                <w:lang w:val="x-none"/>
              </w:rPr>
              <w:t xml:space="preserve"> finales d’un</w:t>
            </w:r>
            <w:r w:rsidRPr="00AD420D">
              <w:rPr>
                <w:smallCaps w:val="0"/>
                <w:sz w:val="20"/>
                <w:szCs w:val="20"/>
                <w:lang w:val="fr-CA"/>
              </w:rPr>
              <w:t xml:space="preserve"> </w:t>
            </w:r>
            <w:proofErr w:type="spellStart"/>
            <w:r w:rsidRPr="00AD420D">
              <w:rPr>
                <w:smallCaps w:val="0"/>
                <w:sz w:val="20"/>
                <w:szCs w:val="20"/>
                <w:lang w:val="x-none"/>
              </w:rPr>
              <w:t>organisme</w:t>
            </w:r>
            <w:proofErr w:type="spellEnd"/>
            <w:r w:rsidRPr="00AD420D">
              <w:rPr>
                <w:smallCaps w:val="0"/>
                <w:sz w:val="20"/>
                <w:szCs w:val="20"/>
                <w:lang w:val="x-none"/>
              </w:rPr>
              <w:t xml:space="preserve"> </w:t>
            </w:r>
            <w:proofErr w:type="spellStart"/>
            <w:r w:rsidRPr="00AD420D">
              <w:rPr>
                <w:smallCaps w:val="0"/>
                <w:sz w:val="20"/>
                <w:szCs w:val="20"/>
                <w:lang w:val="x-none"/>
              </w:rPr>
              <w:t>réglementaire</w:t>
            </w:r>
            <w:proofErr w:type="spellEnd"/>
            <w:r w:rsidRPr="00AD420D">
              <w:rPr>
                <w:smallCaps w:val="0"/>
                <w:sz w:val="20"/>
                <w:szCs w:val="20"/>
                <w:lang w:val="x-none"/>
              </w:rPr>
              <w:t xml:space="preserve"> de </w:t>
            </w:r>
            <w:proofErr w:type="spellStart"/>
            <w:r w:rsidRPr="00AD420D">
              <w:rPr>
                <w:smallCaps w:val="0"/>
                <w:sz w:val="20"/>
                <w:szCs w:val="20"/>
                <w:lang w:val="x-none"/>
              </w:rPr>
              <w:t>compétence</w:t>
            </w:r>
            <w:proofErr w:type="spellEnd"/>
            <w:r w:rsidRPr="00AD420D">
              <w:rPr>
                <w:smallCaps w:val="0"/>
                <w:sz w:val="20"/>
                <w:szCs w:val="20"/>
                <w:lang w:val="x-none"/>
              </w:rPr>
              <w:t xml:space="preserve"> exclusive</w:t>
            </w:r>
            <w:r w:rsidRPr="00AD420D">
              <w:rPr>
                <w:smallCaps w:val="0"/>
                <w:sz w:val="20"/>
                <w:szCs w:val="20"/>
                <w:lang w:val="fr-CA"/>
              </w:rPr>
              <w:t xml:space="preserve">? — </w:t>
            </w:r>
            <w:r w:rsidRPr="00AD420D">
              <w:rPr>
                <w:i/>
                <w:smallCaps w:val="0"/>
                <w:sz w:val="20"/>
                <w:szCs w:val="20"/>
                <w:lang w:val="fr-CA"/>
              </w:rPr>
              <w:t>Code de procédure civile</w:t>
            </w:r>
            <w:r w:rsidRPr="00AD420D">
              <w:rPr>
                <w:smallCaps w:val="0"/>
                <w:sz w:val="20"/>
                <w:szCs w:val="20"/>
                <w:lang w:val="fr-CA"/>
              </w:rPr>
              <w:t>, RLRQ c C</w:t>
            </w:r>
            <w:r w:rsidRPr="00AD420D">
              <w:rPr>
                <w:smallCaps w:val="0"/>
                <w:sz w:val="20"/>
                <w:szCs w:val="20"/>
                <w:lang w:val="fr-CA"/>
              </w:rPr>
              <w:noBreakHyphen/>
              <w:t xml:space="preserve">25.01, art. 575(2) — </w:t>
            </w:r>
            <w:r w:rsidRPr="00AD420D">
              <w:rPr>
                <w:i/>
                <w:smallCaps w:val="0"/>
                <w:sz w:val="20"/>
                <w:szCs w:val="20"/>
                <w:lang w:val="fr-CA"/>
              </w:rPr>
              <w:t>Loi sur la régie de l’énergie</w:t>
            </w:r>
            <w:r w:rsidRPr="00AD420D">
              <w:rPr>
                <w:smallCaps w:val="0"/>
                <w:sz w:val="20"/>
                <w:szCs w:val="20"/>
                <w:lang w:val="fr-CA"/>
              </w:rPr>
              <w:t>, RLRQ c R6.01, art. 31</w:t>
            </w:r>
            <w:r w:rsidRPr="00AD420D">
              <w:rPr>
                <w:smallCaps w:val="0"/>
                <w:sz w:val="20"/>
                <w:szCs w:val="20"/>
                <w:lang w:val="fr-CA"/>
              </w:rPr>
              <w:noBreakHyphen/>
              <w:t>32.</w:t>
            </w:r>
          </w:p>
        </w:tc>
      </w:tr>
      <w:tr w:rsidR="007B7DA1" w:rsidRPr="004E02BD" w:rsidTr="00610FEC">
        <w:tc>
          <w:tcPr>
            <w:tcW w:w="5000" w:type="pct"/>
            <w:gridSpan w:val="4"/>
          </w:tcPr>
          <w:p w:rsidR="007B7DA1" w:rsidRPr="00AD420D" w:rsidRDefault="007B7DA1" w:rsidP="007B7DA1">
            <w:pPr>
              <w:jc w:val="both"/>
              <w:rPr>
                <w:sz w:val="20"/>
                <w:lang w:val="fr-CA"/>
              </w:rPr>
            </w:pPr>
          </w:p>
        </w:tc>
      </w:tr>
      <w:tr w:rsidR="007B7DA1" w:rsidRPr="004E02BD" w:rsidTr="00610FEC">
        <w:tc>
          <w:tcPr>
            <w:tcW w:w="5000" w:type="pct"/>
            <w:gridSpan w:val="4"/>
          </w:tcPr>
          <w:p w:rsidR="007B7DA1" w:rsidRPr="00AD420D" w:rsidRDefault="007B7DA1" w:rsidP="007B7DA1">
            <w:pPr>
              <w:jc w:val="both"/>
              <w:rPr>
                <w:sz w:val="20"/>
                <w:lang w:val="fr-CA"/>
              </w:rPr>
            </w:pPr>
            <w:r w:rsidRPr="00AD420D">
              <w:rPr>
                <w:sz w:val="20"/>
                <w:lang w:val="fr-CA"/>
              </w:rPr>
              <w:t>L’intimé intente une action collective contre la demanderesse, Hydro</w:t>
            </w:r>
            <w:r w:rsidRPr="00AD420D">
              <w:rPr>
                <w:sz w:val="20"/>
                <w:lang w:val="fr-CA"/>
              </w:rPr>
              <w:noBreakHyphen/>
              <w:t>Québec, lui reprochant d’avoir accumulé des excédents durant les années 2008 à 2013 en dépassant les taux de rendement des capitaux propres autorisés par la Régie de l’énergie. Il réclame donc 1,2 milliard $ à titre de frais d’électricité excessifs payés par les membres du groupe. La Cour supérieure accueille la demande d’autorisation d’exercer une action collective à l’encontre d’Hydro</w:t>
            </w:r>
            <w:r w:rsidRPr="00AD420D">
              <w:rPr>
                <w:sz w:val="20"/>
                <w:lang w:val="fr-CA"/>
              </w:rPr>
              <w:noBreakHyphen/>
              <w:t>Québec, concluant que l’action proposée rencontre le seuil d’une cause défendable et que la véritable essence du litige est de l’ordre d’une action en dommages fondée sur la responsabilité civile extracontractuelle et non d’une contestation incidente des tarifs d’électricité. La Cour d’appel rejette la requête pour permission d’appeler, concluant que les éléments factuels apportés par Hydro</w:t>
            </w:r>
            <w:r w:rsidRPr="00AD420D">
              <w:rPr>
                <w:sz w:val="20"/>
                <w:lang w:val="fr-CA"/>
              </w:rPr>
              <w:noBreakHyphen/>
              <w:t xml:space="preserve">Québec pour contester les allégations de faute à son égard peuvent constituer une défense valable au fond, mais non un argument contre l’octroi de la permission d’appel contre l’autorisation d’une action collective. </w:t>
            </w:r>
          </w:p>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t>Le 11 décembre 2019</w:t>
            </w:r>
          </w:p>
          <w:p w:rsidR="007B7DA1" w:rsidRPr="00AD420D" w:rsidRDefault="007B7DA1" w:rsidP="007B7DA1">
            <w:pPr>
              <w:jc w:val="both"/>
              <w:rPr>
                <w:sz w:val="20"/>
                <w:lang w:val="fr-CA"/>
              </w:rPr>
            </w:pPr>
            <w:r w:rsidRPr="00AD420D">
              <w:rPr>
                <w:sz w:val="20"/>
                <w:lang w:val="fr-CA"/>
              </w:rPr>
              <w:t>Cour supérieure du Québec</w:t>
            </w:r>
          </w:p>
          <w:p w:rsidR="007B7DA1" w:rsidRPr="00AD420D" w:rsidRDefault="007B7DA1" w:rsidP="007B7DA1">
            <w:pPr>
              <w:jc w:val="both"/>
              <w:rPr>
                <w:sz w:val="20"/>
                <w:lang w:val="en-CA"/>
              </w:rPr>
            </w:pPr>
            <w:r w:rsidRPr="00AD420D">
              <w:rPr>
                <w:sz w:val="20"/>
                <w:lang w:val="en-CA"/>
              </w:rPr>
              <w:t xml:space="preserve">(Le juge </w:t>
            </w:r>
            <w:proofErr w:type="spellStart"/>
            <w:r w:rsidRPr="00AD420D">
              <w:rPr>
                <w:sz w:val="20"/>
                <w:lang w:val="en-CA"/>
              </w:rPr>
              <w:t>Duprat</w:t>
            </w:r>
            <w:proofErr w:type="spellEnd"/>
            <w:r w:rsidRPr="00AD420D">
              <w:rPr>
                <w:sz w:val="20"/>
                <w:lang w:val="en-CA"/>
              </w:rPr>
              <w:t>)</w:t>
            </w:r>
          </w:p>
          <w:p w:rsidR="007B7DA1" w:rsidRPr="00AD420D" w:rsidRDefault="007B7DA1" w:rsidP="007B7DA1">
            <w:pPr>
              <w:jc w:val="both"/>
              <w:rPr>
                <w:sz w:val="20"/>
                <w:lang w:val="en-CA"/>
              </w:rPr>
            </w:pPr>
            <w:r w:rsidRPr="00AD420D">
              <w:rPr>
                <w:sz w:val="20"/>
                <w:lang w:val="en-CA"/>
              </w:rPr>
              <w:t>500</w:t>
            </w:r>
            <w:r w:rsidRPr="00AD420D">
              <w:rPr>
                <w:sz w:val="20"/>
                <w:lang w:val="en-CA"/>
              </w:rPr>
              <w:noBreakHyphen/>
              <w:t>06</w:t>
            </w:r>
            <w:r w:rsidRPr="00AD420D">
              <w:rPr>
                <w:sz w:val="20"/>
                <w:lang w:val="en-CA"/>
              </w:rPr>
              <w:noBreakHyphen/>
              <w:t>000889</w:t>
            </w:r>
            <w:r w:rsidRPr="00AD420D">
              <w:rPr>
                <w:sz w:val="20"/>
                <w:lang w:val="en-CA"/>
              </w:rPr>
              <w:noBreakHyphen/>
              <w:t>176</w:t>
            </w:r>
          </w:p>
          <w:p w:rsidR="007B7DA1" w:rsidRPr="00AD420D" w:rsidRDefault="004E02BD" w:rsidP="007B7DA1">
            <w:pPr>
              <w:jc w:val="both"/>
              <w:rPr>
                <w:sz w:val="20"/>
                <w:lang w:val="en-CA"/>
              </w:rPr>
            </w:pPr>
            <w:hyperlink r:id="rId28" w:history="1">
              <w:r w:rsidR="007B7DA1" w:rsidRPr="00AD420D">
                <w:rPr>
                  <w:rStyle w:val="Hyperlink"/>
                  <w:sz w:val="20"/>
                  <w:lang w:val="en-CA"/>
                </w:rPr>
                <w:t>2019 QCCS 5241</w:t>
              </w:r>
            </w:hyperlink>
            <w:r w:rsidR="007B7DA1" w:rsidRPr="00AD420D">
              <w:rPr>
                <w:sz w:val="20"/>
                <w:lang w:val="en-CA"/>
              </w:rPr>
              <w:t xml:space="preserve"> </w:t>
            </w:r>
          </w:p>
          <w:p w:rsidR="007B7DA1" w:rsidRPr="00AD420D" w:rsidRDefault="007B7DA1" w:rsidP="007B7DA1">
            <w:pPr>
              <w:jc w:val="both"/>
              <w:rPr>
                <w:sz w:val="20"/>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lang w:val="fr-CA"/>
              </w:rPr>
            </w:pPr>
            <w:r w:rsidRPr="00AD420D">
              <w:rPr>
                <w:sz w:val="20"/>
                <w:lang w:val="fr-CA"/>
              </w:rPr>
              <w:t>Demande d’autorisation d’exercer une action collective à l’encontre de la Procureure générale du Québec rejetée avec frais de justice; demande d’autorisation d’exercer une action collective à l’encontre d’Hydro</w:t>
            </w:r>
            <w:r w:rsidRPr="00AD420D">
              <w:rPr>
                <w:sz w:val="20"/>
                <w:lang w:val="fr-CA"/>
              </w:rPr>
              <w:noBreakHyphen/>
              <w:t>Québec accueillie.</w:t>
            </w:r>
          </w:p>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t>Le 28 février 2020</w:t>
            </w:r>
          </w:p>
          <w:p w:rsidR="007B7DA1" w:rsidRPr="00AD420D" w:rsidRDefault="007B7DA1" w:rsidP="007B7DA1">
            <w:pPr>
              <w:jc w:val="both"/>
              <w:rPr>
                <w:sz w:val="20"/>
                <w:lang w:val="fr-CA"/>
              </w:rPr>
            </w:pPr>
            <w:r w:rsidRPr="00AD420D">
              <w:rPr>
                <w:sz w:val="20"/>
                <w:lang w:val="fr-CA"/>
              </w:rPr>
              <w:t>Cour d’appel du Québec (Montréal)</w:t>
            </w:r>
          </w:p>
          <w:p w:rsidR="007B7DA1" w:rsidRPr="00AD420D" w:rsidRDefault="007B7DA1" w:rsidP="007B7DA1">
            <w:pPr>
              <w:jc w:val="both"/>
              <w:rPr>
                <w:sz w:val="20"/>
                <w:lang w:val="en-CA"/>
              </w:rPr>
            </w:pPr>
            <w:r w:rsidRPr="00AD420D">
              <w:rPr>
                <w:sz w:val="20"/>
                <w:lang w:val="en-CA"/>
              </w:rPr>
              <w:t>(Le juge Schrager)</w:t>
            </w:r>
          </w:p>
          <w:p w:rsidR="007B7DA1" w:rsidRPr="00AD420D" w:rsidRDefault="007B7DA1" w:rsidP="007B7DA1">
            <w:pPr>
              <w:jc w:val="both"/>
              <w:rPr>
                <w:sz w:val="20"/>
                <w:lang w:val="en-CA"/>
              </w:rPr>
            </w:pPr>
            <w:r w:rsidRPr="00AD420D">
              <w:rPr>
                <w:sz w:val="20"/>
                <w:lang w:val="en-CA"/>
              </w:rPr>
              <w:t>500</w:t>
            </w:r>
            <w:r w:rsidRPr="00AD420D">
              <w:rPr>
                <w:sz w:val="20"/>
                <w:lang w:val="en-CA"/>
              </w:rPr>
              <w:noBreakHyphen/>
              <w:t>09</w:t>
            </w:r>
            <w:r w:rsidRPr="00AD420D">
              <w:rPr>
                <w:sz w:val="20"/>
                <w:lang w:val="en-CA"/>
              </w:rPr>
              <w:noBreakHyphen/>
              <w:t>028789</w:t>
            </w:r>
            <w:r w:rsidRPr="00AD420D">
              <w:rPr>
                <w:sz w:val="20"/>
                <w:lang w:val="en-CA"/>
              </w:rPr>
              <w:noBreakHyphen/>
              <w:t>204</w:t>
            </w:r>
          </w:p>
          <w:p w:rsidR="007B7DA1" w:rsidRPr="00AD420D" w:rsidRDefault="004E02BD" w:rsidP="007B7DA1">
            <w:pPr>
              <w:jc w:val="both"/>
              <w:rPr>
                <w:sz w:val="20"/>
                <w:lang w:val="en-CA"/>
              </w:rPr>
            </w:pPr>
            <w:hyperlink r:id="rId29" w:history="1">
              <w:r w:rsidR="007B7DA1" w:rsidRPr="00AD420D">
                <w:rPr>
                  <w:rStyle w:val="Hyperlink"/>
                  <w:sz w:val="20"/>
                  <w:lang w:val="en-CA"/>
                </w:rPr>
                <w:t>2020 QCCA 357</w:t>
              </w:r>
            </w:hyperlink>
          </w:p>
          <w:p w:rsidR="007B7DA1" w:rsidRPr="00AD420D" w:rsidRDefault="007B7DA1" w:rsidP="007B7DA1">
            <w:pPr>
              <w:jc w:val="both"/>
              <w:rPr>
                <w:sz w:val="20"/>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lang w:val="fr-CA"/>
              </w:rPr>
            </w:pPr>
            <w:r w:rsidRPr="00AD420D">
              <w:rPr>
                <w:sz w:val="20"/>
                <w:lang w:val="fr-CA"/>
              </w:rPr>
              <w:t>Requête pour permission d’appeler rejetée avec frais de justice.</w:t>
            </w:r>
          </w:p>
          <w:p w:rsidR="007B7DA1" w:rsidRPr="00AD420D" w:rsidRDefault="007B7DA1" w:rsidP="007B7DA1">
            <w:pPr>
              <w:jc w:val="both"/>
              <w:rPr>
                <w:sz w:val="20"/>
                <w:lang w:val="fr-CA"/>
              </w:rPr>
            </w:pPr>
          </w:p>
        </w:tc>
      </w:tr>
      <w:tr w:rsidR="007B7DA1" w:rsidRPr="00AD420D" w:rsidTr="00610FEC">
        <w:tc>
          <w:tcPr>
            <w:tcW w:w="2427" w:type="pct"/>
            <w:gridSpan w:val="2"/>
          </w:tcPr>
          <w:p w:rsidR="007B7DA1" w:rsidRPr="00AD420D" w:rsidRDefault="007B7DA1" w:rsidP="007B7DA1">
            <w:pPr>
              <w:jc w:val="both"/>
              <w:rPr>
                <w:sz w:val="20"/>
                <w:lang w:val="fr-CA"/>
              </w:rPr>
            </w:pPr>
            <w:r w:rsidRPr="00AD420D">
              <w:rPr>
                <w:sz w:val="20"/>
                <w:lang w:val="fr-CA"/>
              </w:rPr>
              <w:t>Le 28 avril 2020</w:t>
            </w:r>
          </w:p>
          <w:p w:rsidR="007B7DA1" w:rsidRPr="00AD420D" w:rsidRDefault="007B7DA1" w:rsidP="007B7DA1">
            <w:pPr>
              <w:jc w:val="both"/>
              <w:rPr>
                <w:sz w:val="20"/>
                <w:lang w:val="fr-CA"/>
              </w:rPr>
            </w:pPr>
            <w:r w:rsidRPr="00AD420D">
              <w:rPr>
                <w:sz w:val="20"/>
                <w:lang w:val="fr-CA"/>
              </w:rPr>
              <w:lastRenderedPageBreak/>
              <w:t>Cour suprême du Canada</w:t>
            </w: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lang w:val="en-CA"/>
              </w:rPr>
            </w:pPr>
            <w:r w:rsidRPr="00AD420D">
              <w:rPr>
                <w:sz w:val="20"/>
                <w:lang w:val="en-CA"/>
              </w:rPr>
              <w:t>Demande d’autorisation d’appel déposée.</w:t>
            </w:r>
          </w:p>
          <w:p w:rsidR="007B7DA1" w:rsidRPr="00AD420D" w:rsidRDefault="007B7DA1" w:rsidP="007B7DA1">
            <w:pPr>
              <w:jc w:val="both"/>
              <w:rPr>
                <w:sz w:val="20"/>
              </w:rPr>
            </w:pPr>
          </w:p>
        </w:tc>
      </w:tr>
    </w:tbl>
    <w:p w:rsidR="007B7DA1" w:rsidRPr="00AD420D" w:rsidRDefault="007B7DA1" w:rsidP="007B7DA1">
      <w:pPr>
        <w:jc w:val="both"/>
        <w:rPr>
          <w:sz w:val="20"/>
        </w:rPr>
      </w:pPr>
    </w:p>
    <w:p w:rsidR="008C3373" w:rsidRPr="00AD420D" w:rsidRDefault="004E02BD" w:rsidP="007B7DA1">
      <w:pPr>
        <w:jc w:val="both"/>
        <w:rPr>
          <w:sz w:val="20"/>
        </w:rPr>
      </w:pPr>
      <w:r>
        <w:rPr>
          <w:sz w:val="20"/>
        </w:rPr>
        <w:pict>
          <v:rect id="_x0000_i1032" style="width:2in;height:1pt" o:hrpct="0" o:hralign="center" o:hrstd="t" o:hrnoshade="t" o:hr="t" fillcolor="black [3213]" stroked="f"/>
        </w:pict>
      </w:r>
    </w:p>
    <w:p w:rsidR="00AE6180" w:rsidRPr="00AD420D" w:rsidRDefault="00AE6180" w:rsidP="007B7DA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DA1" w:rsidRPr="00AD420D" w:rsidTr="00610FEC">
        <w:tc>
          <w:tcPr>
            <w:tcW w:w="543" w:type="pct"/>
          </w:tcPr>
          <w:p w:rsidR="007B7DA1" w:rsidRPr="00AD420D" w:rsidRDefault="007B7DA1" w:rsidP="007B7DA1">
            <w:pPr>
              <w:jc w:val="both"/>
              <w:rPr>
                <w:sz w:val="20"/>
                <w:lang w:val="en-CA"/>
              </w:rPr>
            </w:pPr>
            <w:r w:rsidRPr="00AD420D">
              <w:rPr>
                <w:rStyle w:val="SCCFileNumberChar"/>
                <w:sz w:val="20"/>
                <w:szCs w:val="20"/>
              </w:rPr>
              <w:t>39085</w:t>
            </w:r>
          </w:p>
        </w:tc>
        <w:tc>
          <w:tcPr>
            <w:tcW w:w="4457" w:type="pct"/>
            <w:gridSpan w:val="3"/>
          </w:tcPr>
          <w:p w:rsidR="007B7DA1" w:rsidRPr="00AD420D" w:rsidRDefault="007B7DA1" w:rsidP="007B7DA1">
            <w:pPr>
              <w:pStyle w:val="SCCLsocParty"/>
              <w:jc w:val="both"/>
              <w:rPr>
                <w:b/>
                <w:sz w:val="20"/>
                <w:szCs w:val="20"/>
                <w:lang w:val="en-CA"/>
              </w:rPr>
            </w:pPr>
            <w:r w:rsidRPr="00AD420D">
              <w:rPr>
                <w:b/>
                <w:sz w:val="20"/>
                <w:szCs w:val="20"/>
                <w:lang w:val="en-CA"/>
              </w:rPr>
              <w:t>Strateco Resources Inc. v. Attorney General of Quebec</w:t>
            </w:r>
          </w:p>
          <w:p w:rsidR="007B7DA1" w:rsidRPr="00AD420D" w:rsidRDefault="007B7DA1" w:rsidP="007B7DA1">
            <w:pPr>
              <w:pStyle w:val="SCCLsocOtherPartySeparator"/>
              <w:rPr>
                <w:sz w:val="20"/>
                <w:szCs w:val="20"/>
                <w:lang w:val="en-CA"/>
              </w:rPr>
            </w:pPr>
            <w:r w:rsidRPr="00AD420D">
              <w:rPr>
                <w:sz w:val="20"/>
                <w:szCs w:val="20"/>
                <w:lang w:val="en-CA"/>
              </w:rPr>
              <w:t>- and -</w:t>
            </w:r>
          </w:p>
          <w:p w:rsidR="007B7DA1" w:rsidRPr="00AD420D" w:rsidRDefault="007B7DA1" w:rsidP="007B7DA1">
            <w:pPr>
              <w:pStyle w:val="SCCLsocParty"/>
              <w:jc w:val="both"/>
              <w:rPr>
                <w:b/>
                <w:sz w:val="20"/>
                <w:szCs w:val="20"/>
                <w:lang w:val="en-CA"/>
              </w:rPr>
            </w:pPr>
            <w:r w:rsidRPr="00AD420D">
              <w:rPr>
                <w:b/>
                <w:sz w:val="20"/>
                <w:szCs w:val="20"/>
                <w:lang w:val="en-CA"/>
              </w:rPr>
              <w:t>The Grand Council of the Crees (Eeyou Istchee), Cree Nation Government, Cree Nation of Mistissini</w:t>
            </w:r>
          </w:p>
          <w:p w:rsidR="007B7DA1" w:rsidRPr="00AD420D" w:rsidRDefault="007B7DA1" w:rsidP="007B7DA1">
            <w:pPr>
              <w:jc w:val="both"/>
              <w:rPr>
                <w:sz w:val="20"/>
                <w:lang w:val="en-CA"/>
              </w:rPr>
            </w:pPr>
            <w:r w:rsidRPr="00AD420D">
              <w:rPr>
                <w:sz w:val="20"/>
                <w:lang w:val="en-CA"/>
              </w:rPr>
              <w:t>(Que.) (Civil) (By Leave)</w:t>
            </w:r>
          </w:p>
        </w:tc>
      </w:tr>
      <w:tr w:rsidR="007B7DA1" w:rsidRPr="00AD420D" w:rsidTr="00610FEC">
        <w:tc>
          <w:tcPr>
            <w:tcW w:w="5000" w:type="pct"/>
            <w:gridSpan w:val="4"/>
          </w:tcPr>
          <w:p w:rsidR="007B7DA1" w:rsidRPr="00AD420D" w:rsidRDefault="007B7DA1" w:rsidP="007B7DA1">
            <w:pPr>
              <w:pStyle w:val="SCCBanSummary"/>
              <w:rPr>
                <w:smallCaps w:val="0"/>
                <w:sz w:val="20"/>
                <w:szCs w:val="20"/>
              </w:rPr>
            </w:pPr>
            <w:proofErr w:type="gramStart"/>
            <w:r w:rsidRPr="00AD420D">
              <w:rPr>
                <w:smallCaps w:val="0"/>
                <w:sz w:val="20"/>
                <w:szCs w:val="20"/>
              </w:rPr>
              <w:t xml:space="preserve">Damages — Administrative law — Crown liability and qualified privilege — Disguised expropriation — Mining claims — Uranium exploration and mining project — Environmental assessment — Social acceptability — Moratorium — Compensation for lost investments — James Bay and Northern Quebec Agreement — Whether it was open to Minister to base refusal to issue certificate of authorization for mineral exploration on lack of social acceptability — Whether declaration of moratorium on issuance of certificates of authorization for mineral exploration constituted disguised expropriation of mining claims — Whether government must compensate mine’s proponent for investments lost as result of announcement of moratorium — </w:t>
            </w:r>
            <w:r w:rsidRPr="00AD420D">
              <w:rPr>
                <w:i/>
                <w:smallCaps w:val="0"/>
                <w:sz w:val="20"/>
                <w:szCs w:val="20"/>
              </w:rPr>
              <w:t>Environment Quality Act</w:t>
            </w:r>
            <w:r w:rsidRPr="00AD420D">
              <w:rPr>
                <w:smallCaps w:val="0"/>
                <w:sz w:val="20"/>
                <w:szCs w:val="20"/>
              </w:rPr>
              <w:t xml:space="preserve">, CQLR, c. Q-2, ss. 152, 164 — </w:t>
            </w:r>
            <w:r w:rsidRPr="00AD420D">
              <w:rPr>
                <w:i/>
                <w:smallCaps w:val="0"/>
                <w:sz w:val="20"/>
                <w:szCs w:val="20"/>
              </w:rPr>
              <w:t>Mining Act</w:t>
            </w:r>
            <w:r w:rsidRPr="00AD420D">
              <w:rPr>
                <w:smallCaps w:val="0"/>
                <w:sz w:val="20"/>
                <w:szCs w:val="20"/>
              </w:rPr>
              <w:t>, CQLR, c. M</w:t>
            </w:r>
            <w:r w:rsidRPr="00AD420D">
              <w:rPr>
                <w:smallCaps w:val="0"/>
                <w:sz w:val="20"/>
                <w:szCs w:val="20"/>
              </w:rPr>
              <w:noBreakHyphen/>
              <w:t xml:space="preserve">13.1, s. 82 — </w:t>
            </w:r>
            <w:r w:rsidRPr="00AD420D">
              <w:rPr>
                <w:i/>
                <w:smallCaps w:val="0"/>
                <w:sz w:val="20"/>
                <w:szCs w:val="20"/>
              </w:rPr>
              <w:t>Civil Code of Québec</w:t>
            </w:r>
            <w:r w:rsidRPr="00AD420D">
              <w:rPr>
                <w:smallCaps w:val="0"/>
                <w:sz w:val="20"/>
                <w:szCs w:val="20"/>
              </w:rPr>
              <w:t>, CQLR, c. CCQ</w:t>
            </w:r>
            <w:r w:rsidRPr="00AD420D">
              <w:rPr>
                <w:smallCaps w:val="0"/>
                <w:sz w:val="20"/>
                <w:szCs w:val="20"/>
              </w:rPr>
              <w:noBreakHyphen/>
              <w:t>1991, art. </w:t>
            </w:r>
            <w:proofErr w:type="gramEnd"/>
            <w:r w:rsidRPr="00AD420D">
              <w:rPr>
                <w:smallCaps w:val="0"/>
                <w:sz w:val="20"/>
                <w:szCs w:val="20"/>
              </w:rPr>
              <w:t>952.</w:t>
            </w:r>
          </w:p>
        </w:tc>
      </w:tr>
      <w:tr w:rsidR="007B7DA1" w:rsidRPr="00AD420D" w:rsidTr="00610FEC">
        <w:tc>
          <w:tcPr>
            <w:tcW w:w="5000" w:type="pct"/>
            <w:gridSpan w:val="4"/>
          </w:tcPr>
          <w:p w:rsidR="007B7DA1" w:rsidRPr="00AD420D" w:rsidRDefault="007B7DA1" w:rsidP="007B7DA1">
            <w:pPr>
              <w:jc w:val="both"/>
              <w:rPr>
                <w:sz w:val="20"/>
                <w:lang w:val="en-CA"/>
              </w:rPr>
            </w:pPr>
          </w:p>
        </w:tc>
      </w:tr>
      <w:tr w:rsidR="007B7DA1" w:rsidRPr="00AD420D" w:rsidTr="00610FEC">
        <w:tc>
          <w:tcPr>
            <w:tcW w:w="5000" w:type="pct"/>
            <w:gridSpan w:val="4"/>
          </w:tcPr>
          <w:p w:rsidR="007B7DA1" w:rsidRPr="00AD420D" w:rsidRDefault="007B7DA1" w:rsidP="007B7DA1">
            <w:pPr>
              <w:jc w:val="both"/>
              <w:rPr>
                <w:sz w:val="20"/>
                <w:lang w:val="en-CA"/>
              </w:rPr>
            </w:pPr>
            <w:r w:rsidRPr="00AD420D">
              <w:rPr>
                <w:sz w:val="20"/>
                <w:lang w:val="en-CA"/>
              </w:rPr>
              <w:t xml:space="preserve">In 2005, the applicant, a mineral exploration company, acquired mining claims on category III lands under the James Bay and Northern Quebec Agreement </w:t>
            </w:r>
            <w:proofErr w:type="gramStart"/>
            <w:r w:rsidRPr="00AD420D">
              <w:rPr>
                <w:sz w:val="20"/>
                <w:lang w:val="en-CA"/>
              </w:rPr>
              <w:t>for the purpose of</w:t>
            </w:r>
            <w:proofErr w:type="gramEnd"/>
            <w:r w:rsidRPr="00AD420D">
              <w:rPr>
                <w:sz w:val="20"/>
                <w:lang w:val="en-CA"/>
              </w:rPr>
              <w:t xml:space="preserve"> operating a proposed uranium mine</w:t>
            </w:r>
            <w:r w:rsidRPr="00AD420D">
              <w:rPr>
                <w:iCs/>
                <w:sz w:val="20"/>
                <w:lang w:val="en-CA"/>
              </w:rPr>
              <w:t>. From 2008 to 2012, it undertook an extensive authorization process to carry out the advanced underground exploration phase of its project</w:t>
            </w:r>
            <w:r w:rsidRPr="00AD420D">
              <w:rPr>
                <w:sz w:val="20"/>
                <w:lang w:val="en-CA"/>
              </w:rPr>
              <w:t xml:space="preserve">, which involved an environmental assessment process and required that a certificate of authorization </w:t>
            </w:r>
            <w:proofErr w:type="gramStart"/>
            <w:r w:rsidRPr="00AD420D">
              <w:rPr>
                <w:sz w:val="20"/>
                <w:lang w:val="en-CA"/>
              </w:rPr>
              <w:t>be obtained</w:t>
            </w:r>
            <w:proofErr w:type="gramEnd"/>
            <w:r w:rsidRPr="00AD420D">
              <w:rPr>
                <w:sz w:val="20"/>
                <w:lang w:val="en-CA"/>
              </w:rPr>
              <w:t xml:space="preserve"> from the provincial government. In March 2013, because of opposition from local Cree communities, the provincial government announced that it was suspending the issuance of certificates of authorization in relation to uranium production. In November 2013, the government notified the applicant of its refusal to issue the certificate of authorization. The applicant brought an action in damages against the Attorney General of Quebec for almost $200 million. The Superior Court dismissed the applicant’s claim, concluding that it had been open to the government to consider social acceptability in refusing to issue the certificate of authorization in question and that the decision in this regard had not been made in bad faith. The court also concluded that the applicant was entitled to no compensation, because its claims </w:t>
            </w:r>
            <w:proofErr w:type="gramStart"/>
            <w:r w:rsidRPr="00AD420D">
              <w:rPr>
                <w:sz w:val="20"/>
                <w:lang w:val="en-CA"/>
              </w:rPr>
              <w:t>had not been expropriated</w:t>
            </w:r>
            <w:proofErr w:type="gramEnd"/>
            <w:r w:rsidRPr="00AD420D">
              <w:rPr>
                <w:sz w:val="20"/>
                <w:lang w:val="en-CA"/>
              </w:rPr>
              <w:t>.  The Court of Appeal dismissed the applicant’s appeal, holding that the government had not committed a fault in basing its refusal on a lack of social acceptability, that the moratorium and the refusal to issue the certificate had not constituted a disguised expropriation of the claims, and that the government had not breached its duty of coherence.</w:t>
            </w:r>
          </w:p>
          <w:p w:rsidR="007B7DA1" w:rsidRPr="00AD420D" w:rsidRDefault="007B7DA1" w:rsidP="007B7DA1">
            <w:pPr>
              <w:jc w:val="both"/>
              <w:rPr>
                <w:sz w:val="20"/>
                <w:lang w:val="en-CA"/>
              </w:rPr>
            </w:pPr>
          </w:p>
        </w:tc>
      </w:tr>
      <w:tr w:rsidR="007B7DA1" w:rsidRPr="00AD420D" w:rsidTr="00610FEC">
        <w:tc>
          <w:tcPr>
            <w:tcW w:w="2427" w:type="pct"/>
            <w:gridSpan w:val="2"/>
          </w:tcPr>
          <w:p w:rsidR="007B7DA1" w:rsidRPr="00AD420D" w:rsidRDefault="007B7DA1" w:rsidP="007B7DA1">
            <w:pPr>
              <w:jc w:val="both"/>
              <w:rPr>
                <w:sz w:val="20"/>
                <w:lang w:val="en-CA"/>
              </w:rPr>
            </w:pPr>
            <w:r w:rsidRPr="00AD420D">
              <w:rPr>
                <w:sz w:val="20"/>
                <w:lang w:val="en-CA"/>
              </w:rPr>
              <w:t>June 21, 2017</w:t>
            </w:r>
          </w:p>
          <w:p w:rsidR="007B7DA1" w:rsidRPr="00AD420D" w:rsidRDefault="007B7DA1" w:rsidP="007B7DA1">
            <w:pPr>
              <w:jc w:val="both"/>
              <w:rPr>
                <w:sz w:val="20"/>
                <w:lang w:val="en-CA"/>
              </w:rPr>
            </w:pPr>
            <w:r w:rsidRPr="00AD420D">
              <w:rPr>
                <w:sz w:val="20"/>
                <w:lang w:val="en-CA"/>
              </w:rPr>
              <w:t>Quebec Superior Court</w:t>
            </w:r>
          </w:p>
          <w:p w:rsidR="007B7DA1" w:rsidRPr="00AD420D" w:rsidRDefault="007B7DA1" w:rsidP="007B7DA1">
            <w:pPr>
              <w:jc w:val="both"/>
              <w:rPr>
                <w:sz w:val="20"/>
                <w:lang w:val="en-CA"/>
              </w:rPr>
            </w:pPr>
            <w:r w:rsidRPr="00AD420D">
              <w:rPr>
                <w:sz w:val="20"/>
                <w:lang w:val="en-CA"/>
              </w:rPr>
              <w:t>(Jacques J.)</w:t>
            </w:r>
          </w:p>
          <w:p w:rsidR="007B7DA1" w:rsidRPr="00AD420D" w:rsidRDefault="007B7DA1" w:rsidP="007B7DA1">
            <w:pPr>
              <w:jc w:val="both"/>
              <w:rPr>
                <w:sz w:val="20"/>
                <w:lang w:val="en-CA"/>
              </w:rPr>
            </w:pPr>
            <w:r w:rsidRPr="00AD420D">
              <w:rPr>
                <w:sz w:val="20"/>
                <w:lang w:val="en-CA"/>
              </w:rPr>
              <w:t>200</w:t>
            </w:r>
            <w:r w:rsidRPr="00AD420D">
              <w:rPr>
                <w:sz w:val="20"/>
                <w:lang w:val="en-CA"/>
              </w:rPr>
              <w:noBreakHyphen/>
              <w:t>17</w:t>
            </w:r>
            <w:r w:rsidRPr="00AD420D">
              <w:rPr>
                <w:sz w:val="20"/>
                <w:lang w:val="en-CA"/>
              </w:rPr>
              <w:noBreakHyphen/>
              <w:t>022389</w:t>
            </w:r>
            <w:r w:rsidRPr="00AD420D">
              <w:rPr>
                <w:sz w:val="20"/>
                <w:lang w:val="en-CA"/>
              </w:rPr>
              <w:noBreakHyphen/>
              <w:t>159</w:t>
            </w:r>
          </w:p>
          <w:p w:rsidR="007B7DA1" w:rsidRPr="00AD420D" w:rsidRDefault="004E02BD" w:rsidP="007B7DA1">
            <w:pPr>
              <w:jc w:val="both"/>
              <w:rPr>
                <w:sz w:val="20"/>
                <w:lang w:val="en-CA"/>
              </w:rPr>
            </w:pPr>
            <w:hyperlink r:id="rId30" w:history="1">
              <w:r w:rsidR="007B7DA1" w:rsidRPr="00AD420D">
                <w:rPr>
                  <w:rStyle w:val="Hyperlink"/>
                  <w:sz w:val="20"/>
                  <w:lang w:val="en-CA"/>
                </w:rPr>
                <w:t>2017 QCCS 2679</w:t>
              </w:r>
            </w:hyperlink>
          </w:p>
          <w:p w:rsidR="007B7DA1" w:rsidRPr="00AD420D" w:rsidRDefault="007B7DA1" w:rsidP="007B7DA1">
            <w:pPr>
              <w:jc w:val="both"/>
              <w:rPr>
                <w:sz w:val="20"/>
                <w:lang w:val="en-CA"/>
              </w:rPr>
            </w:pPr>
          </w:p>
        </w:tc>
        <w:tc>
          <w:tcPr>
            <w:tcW w:w="243" w:type="pct"/>
          </w:tcPr>
          <w:p w:rsidR="007B7DA1" w:rsidRPr="00AD420D" w:rsidRDefault="007B7DA1" w:rsidP="007B7DA1">
            <w:pPr>
              <w:jc w:val="both"/>
              <w:rPr>
                <w:sz w:val="20"/>
                <w:lang w:val="en-CA"/>
              </w:rPr>
            </w:pPr>
          </w:p>
        </w:tc>
        <w:tc>
          <w:tcPr>
            <w:tcW w:w="2330" w:type="pct"/>
          </w:tcPr>
          <w:p w:rsidR="007B7DA1" w:rsidRPr="00AD420D" w:rsidRDefault="007B7DA1" w:rsidP="007B7DA1">
            <w:pPr>
              <w:jc w:val="both"/>
              <w:rPr>
                <w:sz w:val="20"/>
                <w:lang w:val="en-CA"/>
              </w:rPr>
            </w:pPr>
            <w:r w:rsidRPr="00AD420D">
              <w:rPr>
                <w:sz w:val="20"/>
                <w:lang w:val="en-CA"/>
              </w:rPr>
              <w:t>Claim dismissed with costs, including experts’ fees.</w:t>
            </w:r>
          </w:p>
          <w:p w:rsidR="007B7DA1" w:rsidRPr="00AD420D" w:rsidRDefault="007B7DA1" w:rsidP="007B7DA1">
            <w:pPr>
              <w:jc w:val="both"/>
              <w:rPr>
                <w:sz w:val="20"/>
                <w:lang w:val="en-CA"/>
              </w:rPr>
            </w:pPr>
          </w:p>
        </w:tc>
      </w:tr>
      <w:tr w:rsidR="007B7DA1" w:rsidRPr="00AD420D" w:rsidTr="00610FEC">
        <w:tc>
          <w:tcPr>
            <w:tcW w:w="2427" w:type="pct"/>
            <w:gridSpan w:val="2"/>
          </w:tcPr>
          <w:p w:rsidR="007B7DA1" w:rsidRPr="00AD420D" w:rsidRDefault="007B7DA1" w:rsidP="007B7DA1">
            <w:pPr>
              <w:jc w:val="both"/>
              <w:rPr>
                <w:sz w:val="20"/>
                <w:lang w:val="en-CA"/>
              </w:rPr>
            </w:pPr>
            <w:r w:rsidRPr="00AD420D">
              <w:rPr>
                <w:sz w:val="20"/>
                <w:lang w:val="en-CA"/>
              </w:rPr>
              <w:t>January 13, 2020</w:t>
            </w:r>
          </w:p>
          <w:p w:rsidR="007B7DA1" w:rsidRPr="00AD420D" w:rsidRDefault="007B7DA1" w:rsidP="007B7DA1">
            <w:pPr>
              <w:jc w:val="both"/>
              <w:rPr>
                <w:sz w:val="20"/>
                <w:lang w:val="en-CA"/>
              </w:rPr>
            </w:pPr>
            <w:r w:rsidRPr="00AD420D">
              <w:rPr>
                <w:sz w:val="20"/>
                <w:lang w:val="en-CA"/>
              </w:rPr>
              <w:t>Quebec Court of Appeal (Québec)</w:t>
            </w:r>
          </w:p>
          <w:p w:rsidR="007B7DA1" w:rsidRPr="00AD420D" w:rsidRDefault="007B7DA1" w:rsidP="007B7DA1">
            <w:pPr>
              <w:jc w:val="both"/>
              <w:rPr>
                <w:sz w:val="20"/>
                <w:lang w:val="en-CA"/>
              </w:rPr>
            </w:pPr>
            <w:r w:rsidRPr="00AD420D">
              <w:rPr>
                <w:sz w:val="20"/>
                <w:lang w:val="en-CA"/>
              </w:rPr>
              <w:t>(Rancourt, Gagné and Cotnam JJ.A.)</w:t>
            </w:r>
          </w:p>
          <w:p w:rsidR="007B7DA1" w:rsidRPr="00AD420D" w:rsidRDefault="007B7DA1" w:rsidP="007B7DA1">
            <w:pPr>
              <w:jc w:val="both"/>
              <w:rPr>
                <w:sz w:val="20"/>
                <w:lang w:val="en-CA"/>
              </w:rPr>
            </w:pPr>
            <w:r w:rsidRPr="00AD420D">
              <w:rPr>
                <w:sz w:val="20"/>
                <w:lang w:val="en-CA"/>
              </w:rPr>
              <w:t>200</w:t>
            </w:r>
            <w:r w:rsidRPr="00AD420D">
              <w:rPr>
                <w:sz w:val="20"/>
                <w:lang w:val="en-CA"/>
              </w:rPr>
              <w:noBreakHyphen/>
              <w:t>09</w:t>
            </w:r>
            <w:r w:rsidRPr="00AD420D">
              <w:rPr>
                <w:sz w:val="20"/>
                <w:lang w:val="en-CA"/>
              </w:rPr>
              <w:noBreakHyphen/>
              <w:t>009554</w:t>
            </w:r>
            <w:r w:rsidRPr="00AD420D">
              <w:rPr>
                <w:sz w:val="20"/>
                <w:lang w:val="en-CA"/>
              </w:rPr>
              <w:noBreakHyphen/>
              <w:t>178</w:t>
            </w:r>
          </w:p>
          <w:p w:rsidR="007B7DA1" w:rsidRPr="00AD420D" w:rsidRDefault="004E02BD" w:rsidP="007B7DA1">
            <w:pPr>
              <w:jc w:val="both"/>
              <w:rPr>
                <w:sz w:val="20"/>
                <w:lang w:val="en-CA"/>
              </w:rPr>
            </w:pPr>
            <w:hyperlink r:id="rId31" w:history="1">
              <w:r w:rsidR="007B7DA1" w:rsidRPr="00AD420D">
                <w:rPr>
                  <w:rStyle w:val="Hyperlink"/>
                  <w:sz w:val="20"/>
                  <w:lang w:val="en-CA"/>
                </w:rPr>
                <w:t>2020 QCCA 18</w:t>
              </w:r>
            </w:hyperlink>
          </w:p>
          <w:p w:rsidR="007B7DA1" w:rsidRPr="00AD420D" w:rsidRDefault="007B7DA1" w:rsidP="007B7DA1">
            <w:pPr>
              <w:jc w:val="both"/>
              <w:rPr>
                <w:sz w:val="20"/>
                <w:lang w:val="en-CA"/>
              </w:rPr>
            </w:pPr>
          </w:p>
        </w:tc>
        <w:tc>
          <w:tcPr>
            <w:tcW w:w="243" w:type="pct"/>
          </w:tcPr>
          <w:p w:rsidR="007B7DA1" w:rsidRPr="00AD420D" w:rsidRDefault="007B7DA1" w:rsidP="007B7DA1">
            <w:pPr>
              <w:jc w:val="both"/>
              <w:rPr>
                <w:sz w:val="20"/>
                <w:lang w:val="en-CA"/>
              </w:rPr>
            </w:pPr>
          </w:p>
        </w:tc>
        <w:tc>
          <w:tcPr>
            <w:tcW w:w="2330" w:type="pct"/>
          </w:tcPr>
          <w:p w:rsidR="007B7DA1" w:rsidRPr="00AD420D" w:rsidRDefault="007B7DA1" w:rsidP="007B7DA1">
            <w:pPr>
              <w:jc w:val="both"/>
              <w:rPr>
                <w:sz w:val="20"/>
                <w:lang w:val="en-CA"/>
              </w:rPr>
            </w:pPr>
            <w:r w:rsidRPr="00AD420D">
              <w:rPr>
                <w:sz w:val="20"/>
                <w:lang w:val="en-CA"/>
              </w:rPr>
              <w:t>Appeal dismissed with costs</w:t>
            </w:r>
          </w:p>
          <w:p w:rsidR="007B7DA1" w:rsidRPr="00AD420D" w:rsidRDefault="007B7DA1" w:rsidP="007B7DA1">
            <w:pPr>
              <w:jc w:val="both"/>
              <w:rPr>
                <w:sz w:val="20"/>
                <w:lang w:val="en-CA"/>
              </w:rPr>
            </w:pPr>
          </w:p>
        </w:tc>
      </w:tr>
      <w:tr w:rsidR="007B7DA1" w:rsidRPr="00AD420D" w:rsidTr="00610FEC">
        <w:tc>
          <w:tcPr>
            <w:tcW w:w="2427" w:type="pct"/>
            <w:gridSpan w:val="2"/>
          </w:tcPr>
          <w:p w:rsidR="007B7DA1" w:rsidRPr="00AD420D" w:rsidRDefault="007B7DA1" w:rsidP="007B7DA1">
            <w:pPr>
              <w:jc w:val="both"/>
              <w:rPr>
                <w:sz w:val="20"/>
                <w:lang w:val="en-CA"/>
              </w:rPr>
            </w:pPr>
            <w:r w:rsidRPr="00AD420D">
              <w:rPr>
                <w:sz w:val="20"/>
                <w:lang w:val="en-CA"/>
              </w:rPr>
              <w:t>March 13, 2020</w:t>
            </w:r>
          </w:p>
          <w:p w:rsidR="007B7DA1" w:rsidRPr="00AD420D" w:rsidRDefault="007B7DA1" w:rsidP="007B7DA1">
            <w:pPr>
              <w:jc w:val="both"/>
              <w:rPr>
                <w:sz w:val="20"/>
                <w:lang w:val="en-CA"/>
              </w:rPr>
            </w:pPr>
            <w:r w:rsidRPr="00AD420D">
              <w:rPr>
                <w:sz w:val="20"/>
                <w:lang w:val="en-CA"/>
              </w:rPr>
              <w:t>Supreme Court of Canada</w:t>
            </w:r>
          </w:p>
        </w:tc>
        <w:tc>
          <w:tcPr>
            <w:tcW w:w="243" w:type="pct"/>
          </w:tcPr>
          <w:p w:rsidR="007B7DA1" w:rsidRPr="00AD420D" w:rsidRDefault="007B7DA1" w:rsidP="007B7DA1">
            <w:pPr>
              <w:jc w:val="both"/>
              <w:rPr>
                <w:sz w:val="20"/>
                <w:lang w:val="en-CA"/>
              </w:rPr>
            </w:pPr>
          </w:p>
        </w:tc>
        <w:tc>
          <w:tcPr>
            <w:tcW w:w="2330" w:type="pct"/>
          </w:tcPr>
          <w:p w:rsidR="007B7DA1" w:rsidRPr="00AD420D" w:rsidRDefault="007B7DA1" w:rsidP="007B7DA1">
            <w:pPr>
              <w:jc w:val="both"/>
              <w:rPr>
                <w:sz w:val="20"/>
                <w:lang w:val="en-CA"/>
              </w:rPr>
            </w:pPr>
            <w:r w:rsidRPr="00AD420D">
              <w:rPr>
                <w:sz w:val="20"/>
                <w:lang w:val="en-CA"/>
              </w:rPr>
              <w:t>Application for leave to appeal filed</w:t>
            </w:r>
          </w:p>
          <w:p w:rsidR="007B7DA1" w:rsidRPr="00AD420D" w:rsidRDefault="007B7DA1" w:rsidP="007B7DA1">
            <w:pPr>
              <w:jc w:val="both"/>
              <w:rPr>
                <w:sz w:val="20"/>
                <w:lang w:val="en-CA"/>
              </w:rPr>
            </w:pPr>
          </w:p>
        </w:tc>
      </w:tr>
    </w:tbl>
    <w:p w:rsidR="007B7DA1" w:rsidRPr="00AD420D" w:rsidRDefault="007B7DA1" w:rsidP="007B7DA1">
      <w:pPr>
        <w:jc w:val="both"/>
        <w:rPr>
          <w:sz w:val="20"/>
          <w:lang w:val="en-CA"/>
        </w:rPr>
      </w:pPr>
    </w:p>
    <w:p w:rsidR="008C3373" w:rsidRPr="00AD420D" w:rsidRDefault="004E02BD" w:rsidP="007B7DA1">
      <w:pPr>
        <w:jc w:val="both"/>
        <w:rPr>
          <w:sz w:val="20"/>
          <w:lang w:val="en-CA"/>
        </w:rPr>
      </w:pPr>
      <w:r>
        <w:rPr>
          <w:sz w:val="20"/>
        </w:rPr>
        <w:pict>
          <v:rect id="_x0000_i1033" style="width:2in;height:1pt" o:hrpct="0" o:hralign="center" o:hrstd="t" o:hrnoshade="t" o:hr="t" fillcolor="black [3213]" stroked="f"/>
        </w:pict>
      </w:r>
    </w:p>
    <w:p w:rsidR="008C3373" w:rsidRPr="00AD420D" w:rsidRDefault="008C3373" w:rsidP="007B7DA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DA1" w:rsidRPr="00AD420D" w:rsidTr="00610FEC">
        <w:tc>
          <w:tcPr>
            <w:tcW w:w="543" w:type="pct"/>
          </w:tcPr>
          <w:p w:rsidR="007B7DA1" w:rsidRPr="00AD420D" w:rsidRDefault="007B7DA1" w:rsidP="007B7DA1">
            <w:pPr>
              <w:jc w:val="both"/>
              <w:rPr>
                <w:sz w:val="20"/>
              </w:rPr>
            </w:pPr>
            <w:r w:rsidRPr="00AD420D">
              <w:rPr>
                <w:rStyle w:val="SCCFileNumberChar"/>
                <w:sz w:val="20"/>
                <w:szCs w:val="20"/>
              </w:rPr>
              <w:t>39085</w:t>
            </w:r>
          </w:p>
        </w:tc>
        <w:tc>
          <w:tcPr>
            <w:tcW w:w="4457" w:type="pct"/>
            <w:gridSpan w:val="3"/>
          </w:tcPr>
          <w:p w:rsidR="007B7DA1" w:rsidRPr="00AD420D" w:rsidRDefault="007B7DA1" w:rsidP="007B7DA1">
            <w:pPr>
              <w:pStyle w:val="SCCLsocParty"/>
              <w:jc w:val="both"/>
              <w:rPr>
                <w:b/>
                <w:sz w:val="20"/>
                <w:szCs w:val="20"/>
              </w:rPr>
            </w:pPr>
            <w:r w:rsidRPr="00AD420D">
              <w:rPr>
                <w:b/>
                <w:sz w:val="20"/>
                <w:szCs w:val="20"/>
              </w:rPr>
              <w:t>Ressources Strateco inc. c. Procureure générale du Québec</w:t>
            </w:r>
          </w:p>
          <w:p w:rsidR="007B7DA1" w:rsidRPr="00AD420D" w:rsidRDefault="007B7DA1" w:rsidP="007B7DA1">
            <w:pPr>
              <w:pStyle w:val="SCCLsocOtherPartySeparator"/>
              <w:rPr>
                <w:sz w:val="20"/>
                <w:szCs w:val="20"/>
              </w:rPr>
            </w:pPr>
            <w:r w:rsidRPr="00AD420D">
              <w:rPr>
                <w:sz w:val="20"/>
                <w:szCs w:val="20"/>
              </w:rPr>
              <w:t>- et -</w:t>
            </w:r>
          </w:p>
          <w:p w:rsidR="007B7DA1" w:rsidRPr="00AD420D" w:rsidRDefault="007B7DA1" w:rsidP="007B7DA1">
            <w:pPr>
              <w:pStyle w:val="SCCLsocParty"/>
              <w:jc w:val="both"/>
              <w:rPr>
                <w:b/>
                <w:sz w:val="20"/>
                <w:szCs w:val="20"/>
              </w:rPr>
            </w:pPr>
            <w:r w:rsidRPr="00AD420D">
              <w:rPr>
                <w:b/>
                <w:sz w:val="20"/>
                <w:szCs w:val="20"/>
              </w:rPr>
              <w:t>Le Grand Conseil des Cris (Eeyou Istchee), le Gouvernement de la Nation Crie, La Nation Crie de Mistissini</w:t>
            </w:r>
          </w:p>
          <w:p w:rsidR="007B7DA1" w:rsidRPr="00AD420D" w:rsidRDefault="007B7DA1" w:rsidP="007B7DA1">
            <w:pPr>
              <w:jc w:val="both"/>
              <w:rPr>
                <w:sz w:val="20"/>
              </w:rPr>
            </w:pPr>
            <w:r w:rsidRPr="00AD420D">
              <w:rPr>
                <w:sz w:val="20"/>
              </w:rPr>
              <w:t>(Qc) (Civile) (Autorisation)</w:t>
            </w:r>
          </w:p>
        </w:tc>
      </w:tr>
      <w:tr w:rsidR="007B7DA1" w:rsidRPr="004E02BD" w:rsidTr="00610FEC">
        <w:tc>
          <w:tcPr>
            <w:tcW w:w="5000" w:type="pct"/>
            <w:gridSpan w:val="4"/>
          </w:tcPr>
          <w:p w:rsidR="007B7DA1" w:rsidRPr="00AD420D" w:rsidRDefault="007B7DA1" w:rsidP="007B7DA1">
            <w:pPr>
              <w:pStyle w:val="SCCBanSummary"/>
              <w:rPr>
                <w:smallCaps w:val="0"/>
                <w:sz w:val="20"/>
                <w:szCs w:val="20"/>
                <w:lang w:val="fr-CA"/>
              </w:rPr>
            </w:pPr>
            <w:r w:rsidRPr="00AD420D">
              <w:rPr>
                <w:smallCaps w:val="0"/>
                <w:sz w:val="20"/>
                <w:szCs w:val="20"/>
                <w:lang w:val="fr-CA"/>
              </w:rPr>
              <w:lastRenderedPageBreak/>
              <w:t>Dommages</w:t>
            </w:r>
            <w:r w:rsidRPr="00AD420D">
              <w:rPr>
                <w:smallCaps w:val="0"/>
                <w:sz w:val="20"/>
                <w:szCs w:val="20"/>
                <w:lang w:val="fr-CA"/>
              </w:rPr>
              <w:noBreakHyphen/>
              <w:t>intérêts — Droit administratif — Responsabilité civile et immunité relative de l’État — Expropriation déguisée — Claims miniers — Projet d’exploration et d’exploitation uranifère — Évaluation environnementale — Acceptabilité sociale — Moratoire — Indemnisation pour perte d’investissements — Convention de la Baie James et du Nord Québécois — Le Ministre pouvait</w:t>
            </w:r>
            <w:r w:rsidRPr="00AD420D">
              <w:rPr>
                <w:smallCaps w:val="0"/>
                <w:sz w:val="20"/>
                <w:szCs w:val="20"/>
                <w:lang w:val="fr-CA"/>
              </w:rPr>
              <w:noBreakHyphen/>
              <w:t>il fonder son refus d’émettre un certificat d’autorisation d’exploration minière sur l’absence d’acceptabilité sociale ? — La déclaration d’un moratoire sur la délivrance de certificats d’autorisation d’exploration minière constitue</w:t>
            </w:r>
            <w:r w:rsidRPr="00AD420D">
              <w:rPr>
                <w:smallCaps w:val="0"/>
                <w:sz w:val="20"/>
                <w:szCs w:val="20"/>
                <w:lang w:val="fr-CA"/>
              </w:rPr>
              <w:noBreakHyphen/>
              <w:t>t</w:t>
            </w:r>
            <w:r w:rsidRPr="00AD420D">
              <w:rPr>
                <w:smallCaps w:val="0"/>
                <w:sz w:val="20"/>
                <w:szCs w:val="20"/>
                <w:lang w:val="fr-CA"/>
              </w:rPr>
              <w:noBreakHyphen/>
              <w:t>elle une expropriation déguisée de claims miniers ? — Le gouvernement doit</w:t>
            </w:r>
            <w:r w:rsidRPr="00AD420D">
              <w:rPr>
                <w:smallCaps w:val="0"/>
                <w:sz w:val="20"/>
                <w:szCs w:val="20"/>
                <w:lang w:val="fr-CA"/>
              </w:rPr>
              <w:noBreakHyphen/>
              <w:t xml:space="preserve">il </w:t>
            </w:r>
            <w:proofErr w:type="gramStart"/>
            <w:r w:rsidRPr="00AD420D">
              <w:rPr>
                <w:smallCaps w:val="0"/>
                <w:sz w:val="20"/>
                <w:szCs w:val="20"/>
                <w:lang w:val="fr-CA"/>
              </w:rPr>
              <w:t>compenser</w:t>
            </w:r>
            <w:proofErr w:type="gramEnd"/>
            <w:r w:rsidRPr="00AD420D">
              <w:rPr>
                <w:smallCaps w:val="0"/>
                <w:sz w:val="20"/>
                <w:szCs w:val="20"/>
                <w:lang w:val="fr-CA"/>
              </w:rPr>
              <w:t xml:space="preserve"> le promoteur minier pour les pertes d’investissements subies à la suite de l’annonce du moratoire ? — </w:t>
            </w:r>
            <w:r w:rsidRPr="00AD420D">
              <w:rPr>
                <w:i/>
                <w:smallCaps w:val="0"/>
                <w:sz w:val="20"/>
                <w:szCs w:val="20"/>
                <w:lang w:val="fr-CA"/>
              </w:rPr>
              <w:t>Loi sur la qualité de l’environnement</w:t>
            </w:r>
            <w:r w:rsidRPr="00AD420D">
              <w:rPr>
                <w:smallCaps w:val="0"/>
                <w:sz w:val="20"/>
                <w:szCs w:val="20"/>
                <w:lang w:val="fr-CA"/>
              </w:rPr>
              <w:t xml:space="preserve">, RLRQ c Q-2, art. 152, 164 — </w:t>
            </w:r>
            <w:r w:rsidRPr="00AD420D">
              <w:rPr>
                <w:i/>
                <w:smallCaps w:val="0"/>
                <w:sz w:val="20"/>
                <w:szCs w:val="20"/>
                <w:lang w:val="fr-CA"/>
              </w:rPr>
              <w:t>Loi sur les mines</w:t>
            </w:r>
            <w:r w:rsidRPr="00AD420D">
              <w:rPr>
                <w:smallCaps w:val="0"/>
                <w:sz w:val="20"/>
                <w:szCs w:val="20"/>
                <w:lang w:val="fr-CA"/>
              </w:rPr>
              <w:t>, RLRQ c M</w:t>
            </w:r>
            <w:r w:rsidRPr="00AD420D">
              <w:rPr>
                <w:smallCaps w:val="0"/>
                <w:sz w:val="20"/>
                <w:szCs w:val="20"/>
                <w:lang w:val="fr-CA"/>
              </w:rPr>
              <w:noBreakHyphen/>
              <w:t xml:space="preserve">13.1, art. 82 — </w:t>
            </w:r>
            <w:r w:rsidRPr="00AD420D">
              <w:rPr>
                <w:i/>
                <w:smallCaps w:val="0"/>
                <w:sz w:val="20"/>
                <w:szCs w:val="20"/>
                <w:lang w:val="fr-CA"/>
              </w:rPr>
              <w:t>Code civil du Québec</w:t>
            </w:r>
            <w:r w:rsidRPr="00AD420D">
              <w:rPr>
                <w:smallCaps w:val="0"/>
                <w:sz w:val="20"/>
                <w:szCs w:val="20"/>
                <w:lang w:val="fr-CA"/>
              </w:rPr>
              <w:t>, RLRQ c CCQ</w:t>
            </w:r>
            <w:r w:rsidRPr="00AD420D">
              <w:rPr>
                <w:smallCaps w:val="0"/>
                <w:sz w:val="20"/>
                <w:szCs w:val="20"/>
                <w:lang w:val="fr-CA"/>
              </w:rPr>
              <w:noBreakHyphen/>
              <w:t>1991, art. 952.</w:t>
            </w:r>
          </w:p>
        </w:tc>
      </w:tr>
      <w:tr w:rsidR="007B7DA1" w:rsidRPr="004E02BD" w:rsidTr="00610FEC">
        <w:tc>
          <w:tcPr>
            <w:tcW w:w="5000" w:type="pct"/>
            <w:gridSpan w:val="4"/>
          </w:tcPr>
          <w:p w:rsidR="007B7DA1" w:rsidRPr="00AD420D" w:rsidRDefault="007B7DA1" w:rsidP="007B7DA1">
            <w:pPr>
              <w:jc w:val="both"/>
              <w:rPr>
                <w:sz w:val="20"/>
                <w:lang w:val="fr-CA"/>
              </w:rPr>
            </w:pPr>
          </w:p>
        </w:tc>
      </w:tr>
      <w:tr w:rsidR="007B7DA1" w:rsidRPr="004E02BD" w:rsidTr="00610FEC">
        <w:tc>
          <w:tcPr>
            <w:tcW w:w="5000" w:type="pct"/>
            <w:gridSpan w:val="4"/>
          </w:tcPr>
          <w:p w:rsidR="007B7DA1" w:rsidRPr="00AD420D" w:rsidRDefault="007B7DA1" w:rsidP="007B7DA1">
            <w:pPr>
              <w:jc w:val="both"/>
              <w:rPr>
                <w:sz w:val="20"/>
                <w:lang w:val="fr-CA"/>
              </w:rPr>
            </w:pPr>
            <w:r w:rsidRPr="00AD420D">
              <w:rPr>
                <w:sz w:val="20"/>
                <w:lang w:val="fr-CA"/>
              </w:rPr>
              <w:t xml:space="preserve">La demanderesse, une société d’exploration minière, acquiert en 2005 des claims miniers sur des terres de catégorie III visées par la </w:t>
            </w:r>
            <w:r w:rsidRPr="00AD420D">
              <w:rPr>
                <w:iCs/>
                <w:sz w:val="20"/>
                <w:lang w:val="fr-CA"/>
              </w:rPr>
              <w:t>Convention de la Baie James et du Nord québécois,</w:t>
            </w:r>
            <w:r w:rsidRPr="00AD420D">
              <w:rPr>
                <w:i/>
                <w:iCs/>
                <w:sz w:val="20"/>
                <w:lang w:val="fr-CA"/>
              </w:rPr>
              <w:t xml:space="preserve"> </w:t>
            </w:r>
            <w:r w:rsidRPr="00AD420D">
              <w:rPr>
                <w:sz w:val="20"/>
                <w:lang w:val="fr-CA"/>
              </w:rPr>
              <w:t>en projection de l’exploitation d’uranium</w:t>
            </w:r>
            <w:r w:rsidRPr="00AD420D">
              <w:rPr>
                <w:iCs/>
                <w:sz w:val="20"/>
                <w:lang w:val="fr-CA"/>
              </w:rPr>
              <w:t>. Entre 2008 à 2012, elle se livre à un important processus d’a</w:t>
            </w:r>
            <w:r w:rsidRPr="00AD420D">
              <w:rPr>
                <w:sz w:val="20"/>
                <w:lang w:val="fr-CA"/>
              </w:rPr>
              <w:t>utorisation pour réaliser la phase d’exploration souterraine avancée de son projet, lequel comprend un processus d’évaluation environnementale et requiert l’obtention d’un certificat d’autorisation du gouvernement provincial. En mars 2013, devant l’opposition des communautés cries locales, le gouvernement provincial annonce la suspension de la délivrance de certificats d’autorisation en lien avec la production uranifère. En novembre 2013, le gouvernement signifie à la demanderesse son refus de délivrer le certificat d’autorisation. La demanderesse intente une action en dommages contre la Procureure générale du Québec de près de 200 millions de dollars. La Cour supérieure rejette la réclamation de la demanderesse, concluant que le gouvernement pouvait considérer l’acceptabilité sociale pour refuser d’émettre le certificat d’autorisation recherché et que cette décision n’était pas empreinte de mauvaise foi. Elle conclut également que la demanderesse n’a droit à aucune compensation puisqu’elle n’a pas été expropriée de ses claims.  La Cour d’appel rejette le pourvoi de la demanderesse, concluant que le gouvernement n’a pas commis de faute en fondant son refus sur l’absence d’acceptabilité sociale, que le moratoire et le refus de délivrer le certificat ne constituent pas une expropriation déguisée des claims et que le gouvernement n’a pas manqué à son devoir de cohérence.</w:t>
            </w:r>
          </w:p>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t>Le 21 juin 2017</w:t>
            </w:r>
          </w:p>
          <w:p w:rsidR="007B7DA1" w:rsidRPr="00AD420D" w:rsidRDefault="007B7DA1" w:rsidP="007B7DA1">
            <w:pPr>
              <w:jc w:val="both"/>
              <w:rPr>
                <w:sz w:val="20"/>
                <w:lang w:val="fr-CA"/>
              </w:rPr>
            </w:pPr>
            <w:r w:rsidRPr="00AD420D">
              <w:rPr>
                <w:sz w:val="20"/>
                <w:lang w:val="fr-CA"/>
              </w:rPr>
              <w:t>Cour supérieure du Québec</w:t>
            </w:r>
          </w:p>
          <w:p w:rsidR="007B7DA1" w:rsidRPr="00AD420D" w:rsidRDefault="007B7DA1" w:rsidP="007B7DA1">
            <w:pPr>
              <w:jc w:val="both"/>
              <w:rPr>
                <w:sz w:val="20"/>
              </w:rPr>
            </w:pPr>
            <w:r w:rsidRPr="00AD420D">
              <w:rPr>
                <w:sz w:val="20"/>
              </w:rPr>
              <w:t>(Le juge Jacques)</w:t>
            </w:r>
          </w:p>
          <w:p w:rsidR="007B7DA1" w:rsidRPr="00AD420D" w:rsidRDefault="007B7DA1" w:rsidP="007B7DA1">
            <w:pPr>
              <w:jc w:val="both"/>
              <w:rPr>
                <w:sz w:val="20"/>
              </w:rPr>
            </w:pPr>
            <w:r w:rsidRPr="00AD420D">
              <w:rPr>
                <w:sz w:val="20"/>
              </w:rPr>
              <w:t>200</w:t>
            </w:r>
            <w:r w:rsidRPr="00AD420D">
              <w:rPr>
                <w:sz w:val="20"/>
              </w:rPr>
              <w:noBreakHyphen/>
              <w:t>17</w:t>
            </w:r>
            <w:r w:rsidRPr="00AD420D">
              <w:rPr>
                <w:sz w:val="20"/>
              </w:rPr>
              <w:noBreakHyphen/>
              <w:t>022389</w:t>
            </w:r>
            <w:r w:rsidRPr="00AD420D">
              <w:rPr>
                <w:sz w:val="20"/>
              </w:rPr>
              <w:noBreakHyphen/>
              <w:t>159</w:t>
            </w:r>
          </w:p>
          <w:p w:rsidR="007B7DA1" w:rsidRPr="00AD420D" w:rsidRDefault="004E02BD" w:rsidP="007B7DA1">
            <w:pPr>
              <w:jc w:val="both"/>
              <w:rPr>
                <w:sz w:val="20"/>
              </w:rPr>
            </w:pPr>
            <w:hyperlink r:id="rId32" w:history="1">
              <w:r w:rsidR="007B7DA1" w:rsidRPr="00AD420D">
                <w:rPr>
                  <w:rStyle w:val="Hyperlink"/>
                  <w:sz w:val="20"/>
                </w:rPr>
                <w:t>2017 QCCS 2679</w:t>
              </w:r>
            </w:hyperlink>
          </w:p>
          <w:p w:rsidR="007B7DA1" w:rsidRPr="00AD420D" w:rsidRDefault="007B7DA1" w:rsidP="007B7DA1">
            <w:pPr>
              <w:jc w:val="both"/>
              <w:rPr>
                <w:sz w:val="20"/>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lang w:val="fr-CA"/>
              </w:rPr>
            </w:pPr>
            <w:r w:rsidRPr="00AD420D">
              <w:rPr>
                <w:sz w:val="20"/>
                <w:lang w:val="fr-CA"/>
              </w:rPr>
              <w:t>Réclamation rejetée, avec frais de justice, incluant les frais d’expertise.</w:t>
            </w:r>
          </w:p>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t>Le 13 janvier 2020</w:t>
            </w:r>
          </w:p>
          <w:p w:rsidR="007B7DA1" w:rsidRPr="00AD420D" w:rsidRDefault="007B7DA1" w:rsidP="007B7DA1">
            <w:pPr>
              <w:jc w:val="both"/>
              <w:rPr>
                <w:sz w:val="20"/>
                <w:lang w:val="fr-CA"/>
              </w:rPr>
            </w:pPr>
            <w:r w:rsidRPr="00AD420D">
              <w:rPr>
                <w:sz w:val="20"/>
                <w:lang w:val="fr-CA"/>
              </w:rPr>
              <w:t>Cour d’appel du Québec (Québec)</w:t>
            </w:r>
          </w:p>
          <w:p w:rsidR="007B7DA1" w:rsidRPr="00AD420D" w:rsidRDefault="007B7DA1" w:rsidP="007B7DA1">
            <w:pPr>
              <w:jc w:val="both"/>
              <w:rPr>
                <w:sz w:val="20"/>
                <w:lang w:val="fr-CA"/>
              </w:rPr>
            </w:pPr>
            <w:r w:rsidRPr="00AD420D">
              <w:rPr>
                <w:sz w:val="20"/>
                <w:lang w:val="fr-CA"/>
              </w:rPr>
              <w:t xml:space="preserve">(Les juges Rancourt, Gagné et </w:t>
            </w:r>
            <w:proofErr w:type="spellStart"/>
            <w:r w:rsidRPr="00AD420D">
              <w:rPr>
                <w:sz w:val="20"/>
                <w:lang w:val="fr-CA"/>
              </w:rPr>
              <w:t>Cotnam</w:t>
            </w:r>
            <w:proofErr w:type="spellEnd"/>
            <w:r w:rsidRPr="00AD420D">
              <w:rPr>
                <w:sz w:val="20"/>
                <w:lang w:val="fr-CA"/>
              </w:rPr>
              <w:t>)</w:t>
            </w:r>
          </w:p>
          <w:p w:rsidR="007B7DA1" w:rsidRPr="00AD420D" w:rsidRDefault="007B7DA1" w:rsidP="007B7DA1">
            <w:pPr>
              <w:jc w:val="both"/>
              <w:rPr>
                <w:sz w:val="20"/>
              </w:rPr>
            </w:pPr>
            <w:r w:rsidRPr="00AD420D">
              <w:rPr>
                <w:sz w:val="20"/>
              </w:rPr>
              <w:t>200</w:t>
            </w:r>
            <w:r w:rsidRPr="00AD420D">
              <w:rPr>
                <w:sz w:val="20"/>
              </w:rPr>
              <w:noBreakHyphen/>
              <w:t>09</w:t>
            </w:r>
            <w:r w:rsidRPr="00AD420D">
              <w:rPr>
                <w:sz w:val="20"/>
              </w:rPr>
              <w:noBreakHyphen/>
              <w:t>009554</w:t>
            </w:r>
            <w:r w:rsidRPr="00AD420D">
              <w:rPr>
                <w:sz w:val="20"/>
              </w:rPr>
              <w:noBreakHyphen/>
              <w:t>178</w:t>
            </w:r>
          </w:p>
          <w:p w:rsidR="007B7DA1" w:rsidRPr="00AD420D" w:rsidRDefault="004E02BD" w:rsidP="007B7DA1">
            <w:pPr>
              <w:jc w:val="both"/>
              <w:rPr>
                <w:sz w:val="20"/>
              </w:rPr>
            </w:pPr>
            <w:hyperlink r:id="rId33" w:history="1">
              <w:r w:rsidR="007B7DA1" w:rsidRPr="00AD420D">
                <w:rPr>
                  <w:rStyle w:val="Hyperlink"/>
                  <w:sz w:val="20"/>
                </w:rPr>
                <w:t>2020 QCCA 18</w:t>
              </w:r>
            </w:hyperlink>
          </w:p>
          <w:p w:rsidR="007B7DA1" w:rsidRPr="00AD420D" w:rsidRDefault="007B7DA1" w:rsidP="007B7DA1">
            <w:pPr>
              <w:jc w:val="both"/>
              <w:rPr>
                <w:sz w:val="20"/>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lang w:val="fr-CA"/>
              </w:rPr>
            </w:pPr>
            <w:r w:rsidRPr="00AD420D">
              <w:rPr>
                <w:sz w:val="20"/>
                <w:lang w:val="fr-CA"/>
              </w:rPr>
              <w:t>Appel rejeté, avec frais de justice.</w:t>
            </w:r>
          </w:p>
          <w:p w:rsidR="007B7DA1" w:rsidRPr="00AD420D" w:rsidRDefault="007B7DA1" w:rsidP="007B7DA1">
            <w:pPr>
              <w:jc w:val="both"/>
              <w:rPr>
                <w:sz w:val="20"/>
                <w:lang w:val="fr-CA"/>
              </w:rPr>
            </w:pPr>
          </w:p>
        </w:tc>
      </w:tr>
      <w:tr w:rsidR="007B7DA1" w:rsidRPr="00AD420D" w:rsidTr="00610FEC">
        <w:tc>
          <w:tcPr>
            <w:tcW w:w="2427" w:type="pct"/>
            <w:gridSpan w:val="2"/>
          </w:tcPr>
          <w:p w:rsidR="007B7DA1" w:rsidRPr="00AD420D" w:rsidRDefault="007B7DA1" w:rsidP="007B7DA1">
            <w:pPr>
              <w:jc w:val="both"/>
              <w:rPr>
                <w:sz w:val="20"/>
                <w:lang w:val="fr-CA"/>
              </w:rPr>
            </w:pPr>
            <w:r w:rsidRPr="00AD420D">
              <w:rPr>
                <w:sz w:val="20"/>
                <w:lang w:val="fr-CA"/>
              </w:rPr>
              <w:t>Le 13 mars 2020</w:t>
            </w:r>
          </w:p>
          <w:p w:rsidR="007B7DA1" w:rsidRPr="00AD420D" w:rsidRDefault="007B7DA1" w:rsidP="007B7DA1">
            <w:pPr>
              <w:jc w:val="both"/>
              <w:rPr>
                <w:sz w:val="20"/>
                <w:lang w:val="fr-CA"/>
              </w:rPr>
            </w:pPr>
            <w:r w:rsidRPr="00AD420D">
              <w:rPr>
                <w:sz w:val="20"/>
                <w:lang w:val="fr-CA"/>
              </w:rPr>
              <w:t>Cour suprême du Canada</w:t>
            </w: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rPr>
            </w:pPr>
            <w:r w:rsidRPr="00AD420D">
              <w:rPr>
                <w:sz w:val="20"/>
              </w:rPr>
              <w:t>Demande d’autorisation d’appel déposée</w:t>
            </w:r>
          </w:p>
          <w:p w:rsidR="007B7DA1" w:rsidRPr="00AD420D" w:rsidRDefault="007B7DA1" w:rsidP="007B7DA1">
            <w:pPr>
              <w:jc w:val="both"/>
              <w:rPr>
                <w:sz w:val="20"/>
              </w:rPr>
            </w:pPr>
          </w:p>
        </w:tc>
      </w:tr>
    </w:tbl>
    <w:p w:rsidR="007B7DA1" w:rsidRPr="00AD420D" w:rsidRDefault="007B7DA1" w:rsidP="007B7DA1">
      <w:pPr>
        <w:jc w:val="both"/>
        <w:rPr>
          <w:sz w:val="20"/>
        </w:rPr>
      </w:pPr>
    </w:p>
    <w:p w:rsidR="00AE6180" w:rsidRPr="00AD420D" w:rsidRDefault="004E02BD" w:rsidP="007B7DA1">
      <w:pPr>
        <w:widowControl w:val="0"/>
        <w:jc w:val="both"/>
        <w:rPr>
          <w:sz w:val="20"/>
          <w:lang w:val="fr-CA"/>
        </w:rPr>
      </w:pPr>
      <w:r>
        <w:rPr>
          <w:sz w:val="20"/>
        </w:rPr>
        <w:pict>
          <v:rect id="_x0000_i1034" style="width:2in;height:1pt" o:hrpct="0" o:hralign="center" o:hrstd="t" o:hrnoshade="t" o:hr="t" fillcolor="black [3213]" stroked="f"/>
        </w:pict>
      </w:r>
    </w:p>
    <w:p w:rsidR="008C3373" w:rsidRPr="00AD420D" w:rsidRDefault="008C3373" w:rsidP="007B7DA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DA1" w:rsidRPr="00AD420D" w:rsidTr="00610FEC">
        <w:tc>
          <w:tcPr>
            <w:tcW w:w="543" w:type="pct"/>
          </w:tcPr>
          <w:p w:rsidR="007B7DA1" w:rsidRPr="00AD420D" w:rsidRDefault="007B7DA1" w:rsidP="007B7DA1">
            <w:pPr>
              <w:jc w:val="both"/>
              <w:rPr>
                <w:sz w:val="20"/>
              </w:rPr>
            </w:pPr>
            <w:r w:rsidRPr="00AD420D">
              <w:rPr>
                <w:rStyle w:val="SCCFileNumberChar"/>
                <w:sz w:val="20"/>
                <w:szCs w:val="20"/>
              </w:rPr>
              <w:t>39254</w:t>
            </w:r>
          </w:p>
        </w:tc>
        <w:tc>
          <w:tcPr>
            <w:tcW w:w="4457" w:type="pct"/>
            <w:gridSpan w:val="3"/>
          </w:tcPr>
          <w:p w:rsidR="007B7DA1" w:rsidRPr="00AD420D" w:rsidRDefault="007B7DA1" w:rsidP="007B7DA1">
            <w:pPr>
              <w:pStyle w:val="SCCLsocParty"/>
              <w:jc w:val="both"/>
              <w:rPr>
                <w:b/>
                <w:sz w:val="20"/>
                <w:szCs w:val="20"/>
                <w:lang w:val="en-US"/>
              </w:rPr>
            </w:pPr>
            <w:r w:rsidRPr="00AD420D">
              <w:rPr>
                <w:b/>
                <w:sz w:val="20"/>
                <w:szCs w:val="20"/>
                <w:lang w:val="en-US"/>
              </w:rPr>
              <w:t>Timothy E. Leahy v. Minister of Justice</w:t>
            </w:r>
          </w:p>
          <w:p w:rsidR="007B7DA1" w:rsidRPr="00AD420D" w:rsidRDefault="007B7DA1" w:rsidP="007B7DA1">
            <w:pPr>
              <w:jc w:val="both"/>
              <w:rPr>
                <w:sz w:val="20"/>
              </w:rPr>
            </w:pPr>
            <w:r w:rsidRPr="00AD420D">
              <w:rPr>
                <w:sz w:val="20"/>
              </w:rPr>
              <w:t>(F</w:t>
            </w:r>
            <w:r w:rsidR="008C3373" w:rsidRPr="00AD420D">
              <w:rPr>
                <w:sz w:val="20"/>
              </w:rPr>
              <w:t>.</w:t>
            </w:r>
            <w:r w:rsidRPr="00AD420D">
              <w:rPr>
                <w:sz w:val="20"/>
              </w:rPr>
              <w:t>C</w:t>
            </w:r>
            <w:r w:rsidR="008C3373" w:rsidRPr="00AD420D">
              <w:rPr>
                <w:sz w:val="20"/>
              </w:rPr>
              <w:t>.</w:t>
            </w:r>
            <w:r w:rsidRPr="00AD420D">
              <w:rPr>
                <w:sz w:val="20"/>
              </w:rPr>
              <w:t>) (Civil) (By Leave)</w:t>
            </w:r>
          </w:p>
        </w:tc>
      </w:tr>
      <w:tr w:rsidR="007B7DA1" w:rsidRPr="00AD420D" w:rsidTr="00610FEC">
        <w:tc>
          <w:tcPr>
            <w:tcW w:w="5000" w:type="pct"/>
            <w:gridSpan w:val="4"/>
          </w:tcPr>
          <w:p w:rsidR="007B7DA1" w:rsidRPr="00AD420D" w:rsidRDefault="007B7DA1" w:rsidP="007B7DA1">
            <w:pPr>
              <w:jc w:val="both"/>
              <w:rPr>
                <w:sz w:val="20"/>
              </w:rPr>
            </w:pPr>
            <w:r w:rsidRPr="00AD420D">
              <w:rPr>
                <w:sz w:val="20"/>
              </w:rPr>
              <w:t>Civil procedure — Appeal — Time — Law of professions – Discipline — Applicant’s motion for an extension of time to file his notice of appeal dismissed by Federal Court of Appeal —</w:t>
            </w:r>
            <w:r w:rsidRPr="00AD420D">
              <w:rPr>
                <w:rFonts w:eastAsia="Verdana"/>
                <w:sz w:val="20"/>
              </w:rPr>
              <w:t>Whether denial of an uncontested extension of time to pursue an appeal was unreasonable and brought the administration of justice into disrepute</w:t>
            </w:r>
            <w:r w:rsidRPr="00AD420D">
              <w:rPr>
                <w:rFonts w:eastAsia="Verdana"/>
                <w:spacing w:val="-8"/>
                <w:sz w:val="20"/>
              </w:rPr>
              <w:t xml:space="preserve"> — Whether applicant has been, and continues to be, authorized to appear as counsel of record in the Federal Courts of Canada.</w:t>
            </w:r>
          </w:p>
        </w:tc>
      </w:tr>
      <w:tr w:rsidR="007B7DA1" w:rsidRPr="00AD420D" w:rsidTr="00610FEC">
        <w:tc>
          <w:tcPr>
            <w:tcW w:w="5000" w:type="pct"/>
            <w:gridSpan w:val="4"/>
          </w:tcPr>
          <w:p w:rsidR="007B7DA1" w:rsidRPr="00AD420D" w:rsidRDefault="007B7DA1" w:rsidP="007B7DA1">
            <w:pPr>
              <w:jc w:val="both"/>
              <w:rPr>
                <w:sz w:val="20"/>
              </w:rPr>
            </w:pPr>
          </w:p>
        </w:tc>
      </w:tr>
      <w:tr w:rsidR="007B7DA1" w:rsidRPr="00AD420D" w:rsidTr="00610FEC">
        <w:tc>
          <w:tcPr>
            <w:tcW w:w="5000" w:type="pct"/>
            <w:gridSpan w:val="4"/>
          </w:tcPr>
          <w:p w:rsidR="007B7DA1" w:rsidRPr="00AD420D" w:rsidRDefault="007B7DA1" w:rsidP="007B7DA1">
            <w:pPr>
              <w:jc w:val="both"/>
              <w:rPr>
                <w:sz w:val="20"/>
              </w:rPr>
            </w:pPr>
            <w:r w:rsidRPr="00AD420D">
              <w:rPr>
                <w:sz w:val="20"/>
              </w:rPr>
              <w:t xml:space="preserve">The applicant’s licence to practice law in Ontario was revoked on December 10, 2014, and has not been reinstated. Mr. Leahy maintained that he was entitled to practice as counsel of record in the Federal Courts. In 2017, three Federal Court proceedings in which Mr. Leahy purported to act as counsel were held in abeyance after the Department of Justice faxed a letter to the Federal Court, advising that Mr. Leahy had been disbarred, but appeared to be acting on behalf of litigants before the Federal Court. Mr. Leahy applied for judicial review of the </w:t>
            </w:r>
            <w:r w:rsidRPr="00AD420D">
              <w:rPr>
                <w:sz w:val="20"/>
              </w:rPr>
              <w:lastRenderedPageBreak/>
              <w:t xml:space="preserve">communications between the Law Society of Ontario (“LSO”) and the Department of Justice. He sought an order barring the Department of Justice from seeking the interference of the LSO in pending litigation, an order requiring the Department of Justice to comply with the </w:t>
            </w:r>
            <w:r w:rsidRPr="00AD420D">
              <w:rPr>
                <w:i/>
                <w:sz w:val="20"/>
              </w:rPr>
              <w:t>Federal Court Rules</w:t>
            </w:r>
            <w:r w:rsidRPr="00AD420D">
              <w:rPr>
                <w:sz w:val="20"/>
              </w:rPr>
              <w:t xml:space="preserve">, SOR/98-106, and a declaration that he could appear as counsel in the Federal Courts in light of s. 11(2) of the </w:t>
            </w:r>
            <w:r w:rsidRPr="00AD420D">
              <w:rPr>
                <w:i/>
                <w:sz w:val="20"/>
              </w:rPr>
              <w:t>Federal Courts Act</w:t>
            </w:r>
            <w:r w:rsidRPr="00AD420D">
              <w:rPr>
                <w:sz w:val="20"/>
              </w:rPr>
              <w:t>,</w:t>
            </w:r>
            <w:r w:rsidRPr="00AD420D">
              <w:rPr>
                <w:i/>
                <w:sz w:val="20"/>
              </w:rPr>
              <w:t xml:space="preserve"> </w:t>
            </w:r>
            <w:r w:rsidRPr="00AD420D">
              <w:rPr>
                <w:sz w:val="20"/>
              </w:rPr>
              <w:t>RSC 1985, c F</w:t>
            </w:r>
            <w:r w:rsidRPr="00AD420D">
              <w:rPr>
                <w:sz w:val="20"/>
              </w:rPr>
              <w:noBreakHyphen/>
              <w:t>7, and by authorization of the Ontario Court of Appeal certificate issued in 1991, allowing him to appear in the Ontario courts. The respondent brought a motion to strike the application, which was granted. Mr. Leahy’s appeal was allowed in part. The Federal Court of Appeal remitted for reconsideration Mr. Leahy’s request for a declaration that he be able to appear before the Federal Court despite not being a member of the LSO. The Federal Court dismissed his application in July, 2019. When Mr. Leahy attempted to file a notice of appeal in January, 2020, he was advised that this would require a motion for an extension of time. Mr. Leahy brought the motion for an extension of time that was dismissed by the Federal Court of Appeal.</w:t>
            </w:r>
          </w:p>
          <w:p w:rsidR="007B7DA1" w:rsidRPr="00AD420D" w:rsidRDefault="007B7DA1" w:rsidP="007B7DA1">
            <w:pPr>
              <w:jc w:val="both"/>
              <w:rPr>
                <w:sz w:val="20"/>
              </w:rPr>
            </w:pPr>
          </w:p>
        </w:tc>
      </w:tr>
      <w:tr w:rsidR="007B7DA1" w:rsidRPr="00AD420D" w:rsidTr="00610FEC">
        <w:tc>
          <w:tcPr>
            <w:tcW w:w="2427" w:type="pct"/>
            <w:gridSpan w:val="2"/>
          </w:tcPr>
          <w:p w:rsidR="007B7DA1" w:rsidRPr="00AD420D" w:rsidRDefault="007B7DA1" w:rsidP="007B7DA1">
            <w:pPr>
              <w:jc w:val="both"/>
              <w:rPr>
                <w:sz w:val="20"/>
              </w:rPr>
            </w:pPr>
            <w:r w:rsidRPr="00AD420D">
              <w:rPr>
                <w:sz w:val="20"/>
              </w:rPr>
              <w:lastRenderedPageBreak/>
              <w:t>July 23, 2019</w:t>
            </w:r>
          </w:p>
          <w:p w:rsidR="007B7DA1" w:rsidRPr="00AD420D" w:rsidRDefault="007B7DA1" w:rsidP="007B7DA1">
            <w:pPr>
              <w:jc w:val="both"/>
              <w:rPr>
                <w:sz w:val="20"/>
              </w:rPr>
            </w:pPr>
            <w:r w:rsidRPr="00AD420D">
              <w:rPr>
                <w:sz w:val="20"/>
              </w:rPr>
              <w:t>Federal Court</w:t>
            </w:r>
          </w:p>
          <w:p w:rsidR="007B7DA1" w:rsidRPr="00AD420D" w:rsidRDefault="007B7DA1" w:rsidP="007B7DA1">
            <w:pPr>
              <w:jc w:val="both"/>
              <w:rPr>
                <w:sz w:val="20"/>
              </w:rPr>
            </w:pPr>
            <w:r w:rsidRPr="00AD420D">
              <w:rPr>
                <w:sz w:val="20"/>
              </w:rPr>
              <w:t>(O’Reilly J.)</w:t>
            </w:r>
          </w:p>
          <w:p w:rsidR="007B7DA1" w:rsidRPr="00AD420D" w:rsidRDefault="004E02BD" w:rsidP="007B7DA1">
            <w:pPr>
              <w:jc w:val="both"/>
              <w:rPr>
                <w:sz w:val="20"/>
              </w:rPr>
            </w:pPr>
            <w:hyperlink r:id="rId34" w:history="1">
              <w:r w:rsidR="007B7DA1" w:rsidRPr="00AD420D">
                <w:rPr>
                  <w:rStyle w:val="Hyperlink"/>
                  <w:sz w:val="20"/>
                </w:rPr>
                <w:t>2019 FC 973</w:t>
              </w:r>
            </w:hyperlink>
          </w:p>
          <w:p w:rsidR="007B7DA1" w:rsidRPr="00AD420D" w:rsidRDefault="007B7DA1" w:rsidP="007B7DA1">
            <w:pPr>
              <w:jc w:val="both"/>
              <w:rPr>
                <w:sz w:val="20"/>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rPr>
            </w:pPr>
            <w:r w:rsidRPr="00AD420D">
              <w:rPr>
                <w:sz w:val="20"/>
              </w:rPr>
              <w:t xml:space="preserve">Applicant’s application for order barring the Department of Justice from seeking the interference of the Law Society, an order requiring the Department of Justice to comply with the </w:t>
            </w:r>
            <w:r w:rsidRPr="00AD420D">
              <w:rPr>
                <w:i/>
                <w:sz w:val="20"/>
              </w:rPr>
              <w:t>Federal Court Rules</w:t>
            </w:r>
            <w:r w:rsidRPr="00AD420D">
              <w:rPr>
                <w:sz w:val="20"/>
              </w:rPr>
              <w:t xml:space="preserve"> and a declaration that the applicant could appear as counsel in the Federal Courts dismissed</w:t>
            </w:r>
          </w:p>
          <w:p w:rsidR="007B7DA1" w:rsidRPr="00AD420D" w:rsidRDefault="007B7DA1" w:rsidP="007B7DA1">
            <w:pPr>
              <w:jc w:val="both"/>
              <w:rPr>
                <w:sz w:val="20"/>
              </w:rPr>
            </w:pPr>
          </w:p>
        </w:tc>
      </w:tr>
      <w:tr w:rsidR="007B7DA1" w:rsidRPr="00AD420D" w:rsidTr="00610FEC">
        <w:tc>
          <w:tcPr>
            <w:tcW w:w="2427" w:type="pct"/>
            <w:gridSpan w:val="2"/>
          </w:tcPr>
          <w:p w:rsidR="007B7DA1" w:rsidRPr="00AD420D" w:rsidRDefault="007B7DA1" w:rsidP="007B7DA1">
            <w:pPr>
              <w:jc w:val="both"/>
              <w:rPr>
                <w:sz w:val="20"/>
              </w:rPr>
            </w:pPr>
            <w:r w:rsidRPr="00AD420D">
              <w:rPr>
                <w:sz w:val="20"/>
              </w:rPr>
              <w:t>February 17, 2020</w:t>
            </w:r>
          </w:p>
          <w:p w:rsidR="007B7DA1" w:rsidRPr="00AD420D" w:rsidRDefault="007B7DA1" w:rsidP="007B7DA1">
            <w:pPr>
              <w:jc w:val="both"/>
              <w:rPr>
                <w:sz w:val="20"/>
              </w:rPr>
            </w:pPr>
            <w:r w:rsidRPr="00AD420D">
              <w:rPr>
                <w:sz w:val="20"/>
              </w:rPr>
              <w:t>Federal Court of Appeal</w:t>
            </w:r>
          </w:p>
          <w:p w:rsidR="007B7DA1" w:rsidRPr="00AD420D" w:rsidRDefault="007B7DA1" w:rsidP="007B7DA1">
            <w:pPr>
              <w:jc w:val="both"/>
              <w:rPr>
                <w:sz w:val="20"/>
              </w:rPr>
            </w:pPr>
            <w:r w:rsidRPr="00AD420D">
              <w:rPr>
                <w:sz w:val="20"/>
              </w:rPr>
              <w:t>(Stratas J.A.)</w:t>
            </w:r>
          </w:p>
          <w:p w:rsidR="007B7DA1" w:rsidRPr="00AD420D" w:rsidRDefault="007B7DA1" w:rsidP="007B7DA1">
            <w:pPr>
              <w:jc w:val="both"/>
              <w:rPr>
                <w:sz w:val="20"/>
              </w:rPr>
            </w:pPr>
            <w:r w:rsidRPr="00AD420D">
              <w:rPr>
                <w:sz w:val="20"/>
              </w:rPr>
              <w:t>Unreported</w:t>
            </w:r>
          </w:p>
          <w:p w:rsidR="007B7DA1" w:rsidRPr="00AD420D" w:rsidRDefault="007B7DA1" w:rsidP="007B7DA1">
            <w:pPr>
              <w:jc w:val="both"/>
              <w:rPr>
                <w:sz w:val="20"/>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rPr>
            </w:pPr>
            <w:r w:rsidRPr="00AD420D">
              <w:rPr>
                <w:sz w:val="20"/>
              </w:rPr>
              <w:t>Applicant’s appeal dismissed</w:t>
            </w:r>
          </w:p>
          <w:p w:rsidR="007B7DA1" w:rsidRPr="00AD420D" w:rsidRDefault="007B7DA1" w:rsidP="007B7DA1">
            <w:pPr>
              <w:jc w:val="both"/>
              <w:rPr>
                <w:sz w:val="20"/>
              </w:rPr>
            </w:pPr>
          </w:p>
        </w:tc>
      </w:tr>
      <w:tr w:rsidR="007B7DA1" w:rsidRPr="00AD420D" w:rsidTr="00610FEC">
        <w:tc>
          <w:tcPr>
            <w:tcW w:w="2427" w:type="pct"/>
            <w:gridSpan w:val="2"/>
          </w:tcPr>
          <w:p w:rsidR="007B7DA1" w:rsidRPr="00AD420D" w:rsidRDefault="007B7DA1" w:rsidP="007B7DA1">
            <w:pPr>
              <w:jc w:val="both"/>
              <w:rPr>
                <w:sz w:val="20"/>
              </w:rPr>
            </w:pPr>
            <w:r w:rsidRPr="00AD420D">
              <w:rPr>
                <w:sz w:val="20"/>
              </w:rPr>
              <w:t>March 16, 2020</w:t>
            </w:r>
          </w:p>
          <w:p w:rsidR="007B7DA1" w:rsidRPr="00AD420D" w:rsidRDefault="007B7DA1" w:rsidP="007B7DA1">
            <w:pPr>
              <w:jc w:val="both"/>
              <w:rPr>
                <w:sz w:val="20"/>
              </w:rPr>
            </w:pPr>
            <w:r w:rsidRPr="00AD420D">
              <w:rPr>
                <w:sz w:val="20"/>
              </w:rPr>
              <w:t>Supreme Court of Canada</w:t>
            </w: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rPr>
            </w:pPr>
            <w:r w:rsidRPr="00AD420D">
              <w:rPr>
                <w:sz w:val="20"/>
              </w:rPr>
              <w:t>Application for leave to appeal filed</w:t>
            </w:r>
          </w:p>
          <w:p w:rsidR="007B7DA1" w:rsidRPr="00AD420D" w:rsidRDefault="007B7DA1" w:rsidP="007B7DA1">
            <w:pPr>
              <w:jc w:val="both"/>
              <w:rPr>
                <w:sz w:val="20"/>
              </w:rPr>
            </w:pPr>
          </w:p>
        </w:tc>
      </w:tr>
    </w:tbl>
    <w:p w:rsidR="007B7DA1" w:rsidRPr="00AD420D" w:rsidRDefault="007B7DA1" w:rsidP="007B7DA1">
      <w:pPr>
        <w:jc w:val="both"/>
        <w:rPr>
          <w:sz w:val="20"/>
        </w:rPr>
      </w:pPr>
    </w:p>
    <w:p w:rsidR="008C3373" w:rsidRPr="00AD420D" w:rsidRDefault="004E02BD" w:rsidP="007B7DA1">
      <w:pPr>
        <w:jc w:val="both"/>
        <w:rPr>
          <w:sz w:val="20"/>
        </w:rPr>
      </w:pPr>
      <w:r>
        <w:rPr>
          <w:sz w:val="20"/>
        </w:rPr>
        <w:pict>
          <v:rect id="_x0000_i1035" style="width:2in;height:1pt" o:hrpct="0" o:hralign="center" o:hrstd="t" o:hrnoshade="t" o:hr="t" fillcolor="black [3213]" stroked="f"/>
        </w:pict>
      </w:r>
    </w:p>
    <w:p w:rsidR="008C3373" w:rsidRPr="00AD420D" w:rsidRDefault="008C3373" w:rsidP="007B7DA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DA1" w:rsidRPr="004E02BD" w:rsidTr="00610FEC">
        <w:tc>
          <w:tcPr>
            <w:tcW w:w="543" w:type="pct"/>
          </w:tcPr>
          <w:p w:rsidR="007B7DA1" w:rsidRPr="00AD420D" w:rsidRDefault="007B7DA1" w:rsidP="007B7DA1">
            <w:pPr>
              <w:jc w:val="both"/>
              <w:rPr>
                <w:sz w:val="20"/>
                <w:lang w:val="fr-CA"/>
              </w:rPr>
            </w:pPr>
            <w:r w:rsidRPr="00AD420D">
              <w:rPr>
                <w:rStyle w:val="SCCFileNumberChar"/>
                <w:sz w:val="20"/>
                <w:szCs w:val="20"/>
                <w:lang w:val="fr-CA"/>
              </w:rPr>
              <w:t>39254</w:t>
            </w:r>
          </w:p>
        </w:tc>
        <w:tc>
          <w:tcPr>
            <w:tcW w:w="4457" w:type="pct"/>
            <w:gridSpan w:val="3"/>
          </w:tcPr>
          <w:p w:rsidR="007B7DA1" w:rsidRPr="00AD420D" w:rsidRDefault="007B7DA1" w:rsidP="007B7DA1">
            <w:pPr>
              <w:pStyle w:val="SCCLsocParty"/>
              <w:jc w:val="both"/>
              <w:rPr>
                <w:b/>
                <w:sz w:val="20"/>
                <w:szCs w:val="20"/>
              </w:rPr>
            </w:pPr>
            <w:r w:rsidRPr="00AD420D">
              <w:rPr>
                <w:b/>
                <w:sz w:val="20"/>
                <w:szCs w:val="20"/>
              </w:rPr>
              <w:t>Timothy E. Leahy c. Ministre de la Justice</w:t>
            </w:r>
          </w:p>
          <w:p w:rsidR="007B7DA1" w:rsidRPr="00AD420D" w:rsidRDefault="007B7DA1" w:rsidP="007B7DA1">
            <w:pPr>
              <w:jc w:val="both"/>
              <w:rPr>
                <w:sz w:val="20"/>
                <w:lang w:val="fr-CA"/>
              </w:rPr>
            </w:pPr>
            <w:r w:rsidRPr="00AD420D">
              <w:rPr>
                <w:sz w:val="20"/>
                <w:lang w:val="fr-CA"/>
              </w:rPr>
              <w:t>(C</w:t>
            </w:r>
            <w:r w:rsidR="008C3373" w:rsidRPr="00AD420D">
              <w:rPr>
                <w:sz w:val="20"/>
                <w:lang w:val="fr-CA"/>
              </w:rPr>
              <w:t>.</w:t>
            </w:r>
            <w:r w:rsidRPr="00AD420D">
              <w:rPr>
                <w:sz w:val="20"/>
                <w:lang w:val="fr-CA"/>
              </w:rPr>
              <w:t>F</w:t>
            </w:r>
            <w:r w:rsidR="008C3373" w:rsidRPr="00AD420D">
              <w:rPr>
                <w:sz w:val="20"/>
                <w:lang w:val="fr-CA"/>
              </w:rPr>
              <w:t>.</w:t>
            </w:r>
            <w:r w:rsidRPr="00AD420D">
              <w:rPr>
                <w:sz w:val="20"/>
                <w:lang w:val="fr-CA"/>
              </w:rPr>
              <w:t>) (Civile) (Sur autorisation)</w:t>
            </w:r>
          </w:p>
        </w:tc>
      </w:tr>
      <w:tr w:rsidR="007B7DA1" w:rsidRPr="004E02BD" w:rsidTr="00610FEC">
        <w:tc>
          <w:tcPr>
            <w:tcW w:w="5000" w:type="pct"/>
            <w:gridSpan w:val="4"/>
          </w:tcPr>
          <w:p w:rsidR="007B7DA1" w:rsidRPr="00AD420D" w:rsidRDefault="007B7DA1" w:rsidP="007B7DA1">
            <w:pPr>
              <w:jc w:val="both"/>
              <w:rPr>
                <w:sz w:val="20"/>
                <w:lang w:val="fr-CA"/>
              </w:rPr>
            </w:pPr>
            <w:r w:rsidRPr="00AD420D">
              <w:rPr>
                <w:sz w:val="20"/>
                <w:lang w:val="fr-CA"/>
              </w:rPr>
              <w:t>Procédure civile — Appels — Délais — Droit des professions — Discipline — Demande de prorogation de délai présentée par le demandeur pour le dépôt de son avis d’appel rejetée par la Cour d’appel fédérale — Le rejet d’une demande non contestée de prorogation de délai pour l’introduction d’un appel était-il déraisonnable et déconsidérait</w:t>
            </w:r>
            <w:r w:rsidRPr="00AD420D">
              <w:rPr>
                <w:sz w:val="20"/>
                <w:lang w:val="fr-CA"/>
              </w:rPr>
              <w:noBreakHyphen/>
              <w:t xml:space="preserve">il l’administration de la justice? </w:t>
            </w:r>
            <w:r w:rsidRPr="00AD420D">
              <w:rPr>
                <w:rFonts w:eastAsia="Verdana"/>
                <w:spacing w:val="-8"/>
                <w:sz w:val="20"/>
                <w:lang w:val="fr-CA"/>
              </w:rPr>
              <w:t>— Le demandeur était</w:t>
            </w:r>
            <w:r w:rsidRPr="00AD420D">
              <w:rPr>
                <w:rFonts w:eastAsia="Verdana"/>
                <w:spacing w:val="-8"/>
                <w:sz w:val="20"/>
                <w:lang w:val="fr-CA"/>
              </w:rPr>
              <w:noBreakHyphen/>
              <w:t>il, et est</w:t>
            </w:r>
            <w:r w:rsidRPr="00AD420D">
              <w:rPr>
                <w:rFonts w:eastAsia="Verdana"/>
                <w:spacing w:val="-8"/>
                <w:sz w:val="20"/>
                <w:lang w:val="fr-CA"/>
              </w:rPr>
              <w:noBreakHyphen/>
              <w:t>il toujours, autorisé à agir à titre d’avocat au dossier devant les Cours fédérales du Canada?</w:t>
            </w:r>
          </w:p>
        </w:tc>
      </w:tr>
      <w:tr w:rsidR="007B7DA1" w:rsidRPr="004E02BD" w:rsidTr="00610FEC">
        <w:tc>
          <w:tcPr>
            <w:tcW w:w="5000" w:type="pct"/>
            <w:gridSpan w:val="4"/>
          </w:tcPr>
          <w:p w:rsidR="007B7DA1" w:rsidRPr="00AD420D" w:rsidRDefault="007B7DA1" w:rsidP="007B7DA1">
            <w:pPr>
              <w:jc w:val="both"/>
              <w:rPr>
                <w:sz w:val="20"/>
                <w:lang w:val="fr-CA"/>
              </w:rPr>
            </w:pPr>
          </w:p>
        </w:tc>
      </w:tr>
      <w:tr w:rsidR="007B7DA1" w:rsidRPr="004E02BD" w:rsidTr="00610FEC">
        <w:tc>
          <w:tcPr>
            <w:tcW w:w="5000" w:type="pct"/>
            <w:gridSpan w:val="4"/>
          </w:tcPr>
          <w:p w:rsidR="007B7DA1" w:rsidRPr="00AD420D" w:rsidRDefault="007B7DA1" w:rsidP="007B7DA1">
            <w:pPr>
              <w:jc w:val="both"/>
              <w:rPr>
                <w:sz w:val="20"/>
                <w:lang w:val="fr-CA"/>
              </w:rPr>
            </w:pPr>
            <w:r w:rsidRPr="00AD420D">
              <w:rPr>
                <w:sz w:val="20"/>
                <w:lang w:val="fr-CA"/>
              </w:rPr>
              <w:t xml:space="preserve">Le permis du demandeur d’exercer le droit en Ontario a été révoqué le 10 décembre 2014, et n’a pas été rétabli. M. Leahy a soutenu qu’il était autorisé à pratiquer le droit devant les Cours fédérales en tant qu’avocat au dossier. En 2017, trois instances devant la Cour fédérale dans lesquelles M. Leahy prétendait agir comme avocat ont été suspendues après que le ministère de la Justice a envoyé par télécopieur une lettre à la Cour fédérale, indiquant que M. Leahy avait été radié mais semblait agir pour le compte de parties à un litige devant la Cour fédérale. M. Leahy a demandé le contrôle judiciaire des communications entre le Barreau de l’Ontario (« Barreau ») et le ministère de la Justice. Il a cherché à obtenir une ordonnance interdisant au ministère de la Justice de solliciter l’intervention du Barreau lors des instances en cours, une ordonnance obligeant le ministère de la Justice à respecter les </w:t>
            </w:r>
            <w:r w:rsidRPr="00AD420D">
              <w:rPr>
                <w:i/>
                <w:sz w:val="20"/>
                <w:lang w:val="fr-CA"/>
              </w:rPr>
              <w:t>Règles des Cours fédérales</w:t>
            </w:r>
            <w:r w:rsidRPr="00AD420D">
              <w:rPr>
                <w:sz w:val="20"/>
                <w:lang w:val="fr-CA"/>
              </w:rPr>
              <w:t>, DORS/98</w:t>
            </w:r>
            <w:r w:rsidRPr="00AD420D">
              <w:rPr>
                <w:sz w:val="20"/>
                <w:lang w:val="fr-CA"/>
              </w:rPr>
              <w:noBreakHyphen/>
              <w:t xml:space="preserve">106, et un jugement déclaratoire portant qu’il peut agir à titre d’avocat devant les Cours fédérales en raison du par. 11(2) de la </w:t>
            </w:r>
            <w:r w:rsidRPr="00AD420D">
              <w:rPr>
                <w:i/>
                <w:sz w:val="20"/>
                <w:lang w:val="fr-CA"/>
              </w:rPr>
              <w:t>Loi sur les Cours fédérales</w:t>
            </w:r>
            <w:r w:rsidRPr="00AD420D">
              <w:rPr>
                <w:sz w:val="20"/>
                <w:lang w:val="fr-CA"/>
              </w:rPr>
              <w:t>, L.R.C. 1985, c. F</w:t>
            </w:r>
            <w:r w:rsidRPr="00AD420D">
              <w:rPr>
                <w:sz w:val="20"/>
                <w:lang w:val="fr-CA"/>
              </w:rPr>
              <w:noBreakHyphen/>
              <w:t>7, et de l’autorisation prévue dans un certificat délivré en 1991 par la Cour d’appel de l’Ontario, lui permettant d’agir à titre de procureur devant les tribunaux de l’Ontario. L’intimé a présenté une requête en radiation de la demande, qui a été accueillie. L’appel de M. Leahy a été accueilli en partie. La Cour d’appel fédérale a renvoyé pour réexamen la demande de M. Leahy visant à obtenir une déclaration portant qu’il peut agir à titre d’avocat devant la Cour fédérale même s’il n’est pas membre du Barreau. La Cour fédérale a rejeté sa demande en juillet 2019. Lorsque M. Leahy a voulu déposer un avis d’appel en janvier 2020, il a été avisé qu’une requête en prorogation de délai serait nécessaire. M. Leahy a présenté une telle requête, laquelle a été rejetée par la Cour d’appel fédérale.</w:t>
            </w:r>
          </w:p>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lastRenderedPageBreak/>
              <w:t>23 juillet 2019</w:t>
            </w:r>
          </w:p>
          <w:p w:rsidR="007B7DA1" w:rsidRPr="00AD420D" w:rsidRDefault="007B7DA1" w:rsidP="007B7DA1">
            <w:pPr>
              <w:jc w:val="both"/>
              <w:rPr>
                <w:sz w:val="20"/>
                <w:lang w:val="fr-CA"/>
              </w:rPr>
            </w:pPr>
            <w:r w:rsidRPr="00AD420D">
              <w:rPr>
                <w:sz w:val="20"/>
                <w:lang w:val="fr-CA"/>
              </w:rPr>
              <w:t>Cour fédérale</w:t>
            </w:r>
          </w:p>
          <w:p w:rsidR="007B7DA1" w:rsidRPr="00AD420D" w:rsidRDefault="007B7DA1" w:rsidP="007B7DA1">
            <w:pPr>
              <w:jc w:val="both"/>
              <w:rPr>
                <w:sz w:val="20"/>
                <w:lang w:val="fr-CA"/>
              </w:rPr>
            </w:pPr>
            <w:r w:rsidRPr="00AD420D">
              <w:rPr>
                <w:sz w:val="20"/>
                <w:lang w:val="fr-CA"/>
              </w:rPr>
              <w:t xml:space="preserve">(Juge </w:t>
            </w:r>
            <w:proofErr w:type="spellStart"/>
            <w:r w:rsidRPr="00AD420D">
              <w:rPr>
                <w:sz w:val="20"/>
                <w:lang w:val="fr-CA"/>
              </w:rPr>
              <w:t>O’Reilly</w:t>
            </w:r>
            <w:proofErr w:type="spellEnd"/>
            <w:r w:rsidRPr="00AD420D">
              <w:rPr>
                <w:sz w:val="20"/>
                <w:lang w:val="fr-CA"/>
              </w:rPr>
              <w:t>)</w:t>
            </w:r>
          </w:p>
          <w:p w:rsidR="007B7DA1" w:rsidRPr="00AD420D" w:rsidRDefault="004E02BD" w:rsidP="007B7DA1">
            <w:pPr>
              <w:jc w:val="both"/>
              <w:rPr>
                <w:sz w:val="20"/>
                <w:lang w:val="fr-CA"/>
              </w:rPr>
            </w:pPr>
            <w:hyperlink r:id="rId35" w:history="1">
              <w:r w:rsidR="007B7DA1" w:rsidRPr="00AD420D">
                <w:rPr>
                  <w:rStyle w:val="Hyperlink"/>
                  <w:sz w:val="20"/>
                  <w:lang w:val="fr-CA"/>
                </w:rPr>
                <w:t>2019 CF 973</w:t>
              </w:r>
            </w:hyperlink>
          </w:p>
          <w:p w:rsidR="007B7DA1" w:rsidRPr="00AD420D" w:rsidRDefault="007B7DA1" w:rsidP="007B7DA1">
            <w:pPr>
              <w:jc w:val="both"/>
              <w:rPr>
                <w:sz w:val="20"/>
                <w:lang w:val="fr-CA"/>
              </w:rPr>
            </w:pP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lang w:val="fr-CA"/>
              </w:rPr>
            </w:pPr>
            <w:r w:rsidRPr="00AD420D">
              <w:rPr>
                <w:sz w:val="20"/>
                <w:lang w:val="fr-CA"/>
              </w:rPr>
              <w:t xml:space="preserve">Rejet de la demande présentée par le demandeur en vue d’obtenir une ordonnance interdisant au ministère de la Justice de solliciter l’intervention du Barreau, une ordonnance obligeant le ministère de la Justice à respecter les </w:t>
            </w:r>
            <w:r w:rsidRPr="00AD420D">
              <w:rPr>
                <w:i/>
                <w:sz w:val="20"/>
                <w:lang w:val="fr-CA"/>
              </w:rPr>
              <w:t>Règles des Cours fédérales</w:t>
            </w:r>
            <w:r w:rsidRPr="00AD420D">
              <w:rPr>
                <w:sz w:val="20"/>
                <w:lang w:val="fr-CA"/>
              </w:rPr>
              <w:t xml:space="preserve"> et une déclaration portant que le demandeur peut agir à titre d’avocat devant les Cours fédérales.</w:t>
            </w:r>
          </w:p>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t>17 février 2020</w:t>
            </w:r>
          </w:p>
          <w:p w:rsidR="007B7DA1" w:rsidRPr="00AD420D" w:rsidRDefault="007B7DA1" w:rsidP="007B7DA1">
            <w:pPr>
              <w:jc w:val="both"/>
              <w:rPr>
                <w:sz w:val="20"/>
                <w:lang w:val="fr-CA"/>
              </w:rPr>
            </w:pPr>
            <w:r w:rsidRPr="00AD420D">
              <w:rPr>
                <w:sz w:val="20"/>
                <w:lang w:val="fr-CA"/>
              </w:rPr>
              <w:t>Cour d’appel fédérale</w:t>
            </w:r>
          </w:p>
          <w:p w:rsidR="007B7DA1" w:rsidRPr="00AD420D" w:rsidRDefault="007B7DA1" w:rsidP="007B7DA1">
            <w:pPr>
              <w:jc w:val="both"/>
              <w:rPr>
                <w:sz w:val="20"/>
                <w:lang w:val="fr-CA"/>
              </w:rPr>
            </w:pPr>
            <w:r w:rsidRPr="00AD420D">
              <w:rPr>
                <w:sz w:val="20"/>
                <w:lang w:val="fr-CA"/>
              </w:rPr>
              <w:t xml:space="preserve">(Juge </w:t>
            </w:r>
            <w:proofErr w:type="spellStart"/>
            <w:r w:rsidRPr="00AD420D">
              <w:rPr>
                <w:sz w:val="20"/>
                <w:lang w:val="fr-CA"/>
              </w:rPr>
              <w:t>Stratas</w:t>
            </w:r>
            <w:proofErr w:type="spellEnd"/>
            <w:r w:rsidRPr="00AD420D">
              <w:rPr>
                <w:sz w:val="20"/>
                <w:lang w:val="fr-CA"/>
              </w:rPr>
              <w:t>)</w:t>
            </w:r>
          </w:p>
          <w:p w:rsidR="007B7DA1" w:rsidRPr="00AD420D" w:rsidRDefault="007B7DA1" w:rsidP="007B7DA1">
            <w:pPr>
              <w:jc w:val="both"/>
              <w:rPr>
                <w:sz w:val="20"/>
                <w:lang w:val="fr-CA"/>
              </w:rPr>
            </w:pPr>
            <w:r w:rsidRPr="00AD420D">
              <w:rPr>
                <w:sz w:val="20"/>
                <w:lang w:val="fr-CA"/>
              </w:rPr>
              <w:t>Non publié</w:t>
            </w:r>
          </w:p>
          <w:p w:rsidR="007B7DA1" w:rsidRPr="00AD420D" w:rsidRDefault="007B7DA1" w:rsidP="007B7DA1">
            <w:pPr>
              <w:jc w:val="both"/>
              <w:rPr>
                <w:sz w:val="20"/>
                <w:lang w:val="fr-CA"/>
              </w:rPr>
            </w:pP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lang w:val="fr-CA"/>
              </w:rPr>
            </w:pPr>
            <w:r w:rsidRPr="00AD420D">
              <w:rPr>
                <w:sz w:val="20"/>
                <w:lang w:val="fr-CA"/>
              </w:rPr>
              <w:t>Rejet de l’appel interjeté par le demandeur</w:t>
            </w:r>
          </w:p>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t>16 mars 2020</w:t>
            </w:r>
          </w:p>
          <w:p w:rsidR="007B7DA1" w:rsidRPr="00AD420D" w:rsidRDefault="007B7DA1" w:rsidP="007B7DA1">
            <w:pPr>
              <w:jc w:val="both"/>
              <w:rPr>
                <w:sz w:val="20"/>
                <w:lang w:val="fr-CA"/>
              </w:rPr>
            </w:pPr>
            <w:r w:rsidRPr="00AD420D">
              <w:rPr>
                <w:sz w:val="20"/>
                <w:lang w:val="fr-CA"/>
              </w:rPr>
              <w:t>Cour suprême du Canada</w:t>
            </w: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lang w:val="fr-CA"/>
              </w:rPr>
            </w:pPr>
            <w:r w:rsidRPr="00AD420D">
              <w:rPr>
                <w:sz w:val="20"/>
                <w:lang w:val="fr-CA"/>
              </w:rPr>
              <w:t>Dépôt de la demande d’autorisation d’appel</w:t>
            </w:r>
          </w:p>
          <w:p w:rsidR="007B7DA1" w:rsidRPr="00AD420D" w:rsidRDefault="007B7DA1" w:rsidP="007B7DA1">
            <w:pPr>
              <w:jc w:val="both"/>
              <w:rPr>
                <w:sz w:val="20"/>
                <w:lang w:val="fr-CA"/>
              </w:rPr>
            </w:pPr>
          </w:p>
        </w:tc>
      </w:tr>
    </w:tbl>
    <w:p w:rsidR="007B7DA1" w:rsidRPr="00AD420D" w:rsidRDefault="007B7DA1" w:rsidP="007B7DA1">
      <w:pPr>
        <w:jc w:val="both"/>
        <w:rPr>
          <w:sz w:val="20"/>
          <w:lang w:val="fr-CA"/>
        </w:rPr>
      </w:pPr>
    </w:p>
    <w:p w:rsidR="008C3373" w:rsidRPr="00AD420D" w:rsidRDefault="004E02BD" w:rsidP="007B7DA1">
      <w:pPr>
        <w:jc w:val="both"/>
        <w:rPr>
          <w:sz w:val="20"/>
          <w:lang w:val="fr-CA"/>
        </w:rPr>
      </w:pPr>
      <w:r>
        <w:rPr>
          <w:sz w:val="20"/>
        </w:rPr>
        <w:pict>
          <v:rect id="_x0000_i1036" style="width:2in;height:1pt" o:hrpct="0" o:hralign="center" o:hrstd="t" o:hrnoshade="t" o:hr="t" fillcolor="black [3213]" stroked="f"/>
        </w:pict>
      </w:r>
    </w:p>
    <w:p w:rsidR="00AE6180" w:rsidRPr="00AD420D" w:rsidRDefault="00AE6180" w:rsidP="007B7DA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DA1" w:rsidRPr="00AD420D" w:rsidTr="00610FEC">
        <w:tc>
          <w:tcPr>
            <w:tcW w:w="543" w:type="pct"/>
          </w:tcPr>
          <w:p w:rsidR="007B7DA1" w:rsidRPr="00AD420D" w:rsidRDefault="007B7DA1" w:rsidP="007B7DA1">
            <w:pPr>
              <w:jc w:val="both"/>
              <w:rPr>
                <w:sz w:val="20"/>
                <w:lang w:val="en-CA"/>
              </w:rPr>
            </w:pPr>
            <w:r w:rsidRPr="00AD420D">
              <w:rPr>
                <w:rStyle w:val="SCCFileNumberChar"/>
                <w:sz w:val="20"/>
                <w:szCs w:val="20"/>
              </w:rPr>
              <w:t>39198</w:t>
            </w:r>
          </w:p>
        </w:tc>
        <w:tc>
          <w:tcPr>
            <w:tcW w:w="4457" w:type="pct"/>
            <w:gridSpan w:val="3"/>
          </w:tcPr>
          <w:p w:rsidR="007B7DA1" w:rsidRPr="00AD420D" w:rsidRDefault="007B7DA1" w:rsidP="007B7DA1">
            <w:pPr>
              <w:pStyle w:val="SCCLsocParty"/>
              <w:jc w:val="both"/>
              <w:rPr>
                <w:b/>
                <w:sz w:val="20"/>
                <w:szCs w:val="20"/>
              </w:rPr>
            </w:pPr>
            <w:r w:rsidRPr="00AD420D">
              <w:rPr>
                <w:b/>
                <w:sz w:val="20"/>
                <w:szCs w:val="20"/>
              </w:rPr>
              <w:t>Groupe dimension multi vétérinaire inc. v. Jean-Philippe Ewart, Canadian Commercial Arbitration Center, Jean-Marc Vaillancourt, Jean-Paul Dussault</w:t>
            </w:r>
          </w:p>
          <w:p w:rsidR="007B7DA1" w:rsidRPr="00AD420D" w:rsidRDefault="007B7DA1" w:rsidP="007B7DA1">
            <w:pPr>
              <w:jc w:val="both"/>
              <w:rPr>
                <w:sz w:val="20"/>
                <w:lang w:val="en-CA"/>
              </w:rPr>
            </w:pPr>
            <w:r w:rsidRPr="00AD420D">
              <w:rPr>
                <w:sz w:val="20"/>
                <w:lang w:val="en-CA"/>
              </w:rPr>
              <w:t>(Que.) (Civil) (By Leave)</w:t>
            </w:r>
          </w:p>
        </w:tc>
      </w:tr>
      <w:tr w:rsidR="007B7DA1" w:rsidRPr="00AD420D" w:rsidTr="00610FEC">
        <w:tc>
          <w:tcPr>
            <w:tcW w:w="5000" w:type="pct"/>
            <w:gridSpan w:val="4"/>
          </w:tcPr>
          <w:p w:rsidR="007B7DA1" w:rsidRPr="00AD420D" w:rsidRDefault="007B7DA1" w:rsidP="007B7DA1">
            <w:pPr>
              <w:jc w:val="both"/>
              <w:rPr>
                <w:sz w:val="20"/>
                <w:lang w:val="en-CA"/>
              </w:rPr>
            </w:pPr>
            <w:proofErr w:type="gramStart"/>
            <w:r w:rsidRPr="00AD420D">
              <w:rPr>
                <w:sz w:val="20"/>
                <w:lang w:val="en-CA"/>
              </w:rPr>
              <w:t xml:space="preserve">Civil procedure — Arbitration — Jurisdiction — Shareholders’ agreement — Arbitration clause — Remedy — Whether arbitrator appointed under commercial arbitration agreement has inherent powers similar to those granted exclusively to Superior Court by </w:t>
            </w:r>
            <w:r w:rsidRPr="00AD420D">
              <w:rPr>
                <w:i/>
                <w:sz w:val="20"/>
                <w:lang w:val="en-CA"/>
              </w:rPr>
              <w:t>Business Corporations Act</w:t>
            </w:r>
            <w:r w:rsidRPr="00AD420D">
              <w:rPr>
                <w:sz w:val="20"/>
                <w:lang w:val="en-CA"/>
              </w:rPr>
              <w:t>, CQLR, c. S</w:t>
            </w:r>
            <w:r w:rsidRPr="00AD420D">
              <w:rPr>
                <w:sz w:val="20"/>
                <w:lang w:val="en-CA"/>
              </w:rPr>
              <w:noBreakHyphen/>
              <w:t>31.1, for purpose of dealing with matters related to oppression — If not, whether arbitration clause must, in order to give arbitrator jurisdiction over such matters, provide expressly or implicitly that parties intend to exclude Superior Court’s jurisdiction and that arbitrator has power to make such orders — Tests for intervention that Superior Court can apply where it is asked, pursuant to new art. </w:t>
            </w:r>
            <w:proofErr w:type="gramEnd"/>
            <w:r w:rsidRPr="00AD420D">
              <w:rPr>
                <w:sz w:val="20"/>
                <w:lang w:val="en-CA"/>
              </w:rPr>
              <w:t xml:space="preserve">632 C.C.P., to rule on arbitrator’s decision concerning own jurisdiction — </w:t>
            </w:r>
            <w:r w:rsidRPr="00AD420D">
              <w:rPr>
                <w:i/>
                <w:sz w:val="20"/>
                <w:lang w:val="en-CA"/>
              </w:rPr>
              <w:t xml:space="preserve">Code of Civil Procedure </w:t>
            </w:r>
            <w:r w:rsidRPr="00AD420D">
              <w:rPr>
                <w:sz w:val="20"/>
                <w:lang w:val="en-CA"/>
              </w:rPr>
              <w:t>of Quebec, CQLR, c. C</w:t>
            </w:r>
            <w:r w:rsidRPr="00AD420D">
              <w:rPr>
                <w:sz w:val="20"/>
                <w:lang w:val="en-CA"/>
              </w:rPr>
              <w:noBreakHyphen/>
              <w:t xml:space="preserve">25.01, art. 632 — </w:t>
            </w:r>
            <w:r w:rsidRPr="00AD420D">
              <w:rPr>
                <w:i/>
                <w:sz w:val="20"/>
                <w:lang w:val="en-CA"/>
              </w:rPr>
              <w:t>Business Corporations Act</w:t>
            </w:r>
            <w:r w:rsidRPr="00AD420D">
              <w:rPr>
                <w:sz w:val="20"/>
                <w:lang w:val="en-CA"/>
              </w:rPr>
              <w:t>, CQLR, c. S</w:t>
            </w:r>
            <w:r w:rsidRPr="00AD420D">
              <w:rPr>
                <w:sz w:val="20"/>
                <w:lang w:val="en-CA"/>
              </w:rPr>
              <w:noBreakHyphen/>
              <w:t>31.1, s. 450.</w:t>
            </w:r>
          </w:p>
        </w:tc>
      </w:tr>
      <w:tr w:rsidR="007B7DA1" w:rsidRPr="00AD420D" w:rsidTr="00610FEC">
        <w:tc>
          <w:tcPr>
            <w:tcW w:w="5000" w:type="pct"/>
            <w:gridSpan w:val="4"/>
          </w:tcPr>
          <w:p w:rsidR="007B7DA1" w:rsidRPr="00AD420D" w:rsidRDefault="007B7DA1" w:rsidP="007B7DA1">
            <w:pPr>
              <w:jc w:val="both"/>
              <w:rPr>
                <w:sz w:val="20"/>
                <w:lang w:val="en-CA"/>
              </w:rPr>
            </w:pPr>
          </w:p>
          <w:p w:rsidR="007B7DA1" w:rsidRPr="00AD420D" w:rsidRDefault="007B7DA1" w:rsidP="007B7DA1">
            <w:pPr>
              <w:jc w:val="both"/>
              <w:rPr>
                <w:sz w:val="20"/>
                <w:lang w:val="en-CA"/>
              </w:rPr>
            </w:pPr>
            <w:r w:rsidRPr="00AD420D">
              <w:rPr>
                <w:sz w:val="20"/>
                <w:lang w:val="en-CA"/>
              </w:rPr>
              <w:t>The applicant filed a notice of arbitration against two of its shareholders, seeking a declaration that certain transfers of shares could not be set up against it. It alleged that its shareholders had contravened the provisions of the shareholders’ agreement in conducting those transactions. One of the shareholders asked the arbitration tribunal to make several remedial orders because of the applicant’s allegedly oppressive conduct toward him. The applicant contested that measure, arguing that it was not within the scope of the arbitration clause. The arbitration tribunal found that it had jurisdiction. The Superior Court recognized the arbitrator’s jurisdiction and dismissed the applicant’s application.</w:t>
            </w:r>
          </w:p>
        </w:tc>
      </w:tr>
      <w:tr w:rsidR="007B7DA1" w:rsidRPr="00AD420D" w:rsidTr="00610FEC">
        <w:tc>
          <w:tcPr>
            <w:tcW w:w="5000" w:type="pct"/>
            <w:gridSpan w:val="4"/>
          </w:tcPr>
          <w:p w:rsidR="007B7DA1" w:rsidRPr="00AD420D" w:rsidRDefault="007B7DA1" w:rsidP="007B7DA1">
            <w:pPr>
              <w:jc w:val="both"/>
              <w:rPr>
                <w:sz w:val="20"/>
                <w:lang w:val="en-CA"/>
              </w:rPr>
            </w:pPr>
          </w:p>
        </w:tc>
      </w:tr>
      <w:tr w:rsidR="007B7DA1" w:rsidRPr="00AD420D" w:rsidTr="00610FEC">
        <w:tc>
          <w:tcPr>
            <w:tcW w:w="2427" w:type="pct"/>
            <w:gridSpan w:val="2"/>
          </w:tcPr>
          <w:p w:rsidR="007B7DA1" w:rsidRPr="00AD420D" w:rsidRDefault="007B7DA1" w:rsidP="007B7DA1">
            <w:pPr>
              <w:jc w:val="both"/>
              <w:rPr>
                <w:sz w:val="20"/>
                <w:lang w:val="en-CA"/>
              </w:rPr>
            </w:pPr>
            <w:r w:rsidRPr="00AD420D">
              <w:rPr>
                <w:sz w:val="20"/>
                <w:lang w:val="en-CA"/>
              </w:rPr>
              <w:t>May 13, 2019</w:t>
            </w:r>
          </w:p>
          <w:p w:rsidR="007B7DA1" w:rsidRPr="00AD420D" w:rsidRDefault="007B7DA1" w:rsidP="007B7DA1">
            <w:pPr>
              <w:jc w:val="both"/>
              <w:rPr>
                <w:sz w:val="20"/>
                <w:lang w:val="en-CA"/>
              </w:rPr>
            </w:pPr>
            <w:r w:rsidRPr="00AD420D">
              <w:rPr>
                <w:sz w:val="20"/>
                <w:lang w:val="en-CA"/>
              </w:rPr>
              <w:t>Arbitration Tribunal</w:t>
            </w:r>
          </w:p>
          <w:p w:rsidR="007B7DA1" w:rsidRPr="00AD420D" w:rsidRDefault="007B7DA1" w:rsidP="007B7DA1">
            <w:pPr>
              <w:jc w:val="both"/>
              <w:rPr>
                <w:sz w:val="20"/>
                <w:lang w:val="en-CA"/>
              </w:rPr>
            </w:pPr>
            <w:r w:rsidRPr="00AD420D">
              <w:rPr>
                <w:sz w:val="20"/>
                <w:lang w:val="en-CA"/>
              </w:rPr>
              <w:t>S18</w:t>
            </w:r>
            <w:r w:rsidRPr="00AD420D">
              <w:rPr>
                <w:sz w:val="20"/>
                <w:lang w:val="en-CA"/>
              </w:rPr>
              <w:noBreakHyphen/>
              <w:t>020601</w:t>
            </w:r>
            <w:r w:rsidRPr="00AD420D">
              <w:rPr>
                <w:sz w:val="20"/>
                <w:lang w:val="en-CA"/>
              </w:rPr>
              <w:noBreakHyphen/>
              <w:t>RG</w:t>
            </w:r>
          </w:p>
          <w:p w:rsidR="007B7DA1" w:rsidRPr="00AD420D" w:rsidRDefault="007B7DA1" w:rsidP="007B7DA1">
            <w:pPr>
              <w:jc w:val="both"/>
              <w:rPr>
                <w:sz w:val="20"/>
                <w:lang w:val="en-CA"/>
              </w:rPr>
            </w:pPr>
            <w:r w:rsidRPr="00AD420D">
              <w:rPr>
                <w:sz w:val="20"/>
                <w:lang w:val="en-CA"/>
              </w:rPr>
              <w:t>(Mr. Ewart)</w:t>
            </w:r>
          </w:p>
          <w:p w:rsidR="007B7DA1" w:rsidRPr="00AD420D" w:rsidRDefault="007B7DA1" w:rsidP="007B7DA1">
            <w:pPr>
              <w:jc w:val="both"/>
              <w:rPr>
                <w:sz w:val="20"/>
                <w:lang w:val="en-CA"/>
              </w:rPr>
            </w:pPr>
          </w:p>
        </w:tc>
        <w:tc>
          <w:tcPr>
            <w:tcW w:w="243" w:type="pct"/>
          </w:tcPr>
          <w:p w:rsidR="007B7DA1" w:rsidRPr="00AD420D" w:rsidRDefault="007B7DA1" w:rsidP="007B7DA1">
            <w:pPr>
              <w:jc w:val="both"/>
              <w:rPr>
                <w:sz w:val="20"/>
                <w:lang w:val="en-CA"/>
              </w:rPr>
            </w:pPr>
          </w:p>
        </w:tc>
        <w:tc>
          <w:tcPr>
            <w:tcW w:w="2330" w:type="pct"/>
          </w:tcPr>
          <w:p w:rsidR="007B7DA1" w:rsidRPr="00AD420D" w:rsidRDefault="007B7DA1" w:rsidP="007B7DA1">
            <w:pPr>
              <w:jc w:val="both"/>
              <w:rPr>
                <w:sz w:val="20"/>
                <w:lang w:val="en-CA"/>
              </w:rPr>
            </w:pPr>
            <w:r w:rsidRPr="00AD420D">
              <w:rPr>
                <w:sz w:val="20"/>
                <w:lang w:val="en-CA"/>
              </w:rPr>
              <w:t>Application to dismiss for lack of jurisdiction dismissed</w:t>
            </w:r>
          </w:p>
          <w:p w:rsidR="007B7DA1" w:rsidRPr="00AD420D" w:rsidRDefault="007B7DA1" w:rsidP="007B7DA1">
            <w:pPr>
              <w:jc w:val="both"/>
              <w:rPr>
                <w:sz w:val="20"/>
                <w:lang w:val="en-CA"/>
              </w:rPr>
            </w:pPr>
          </w:p>
        </w:tc>
      </w:tr>
      <w:tr w:rsidR="007B7DA1" w:rsidRPr="00AD420D" w:rsidTr="00610FEC">
        <w:tc>
          <w:tcPr>
            <w:tcW w:w="2427" w:type="pct"/>
            <w:gridSpan w:val="2"/>
          </w:tcPr>
          <w:p w:rsidR="007B7DA1" w:rsidRPr="00AD420D" w:rsidRDefault="007B7DA1" w:rsidP="007B7DA1">
            <w:pPr>
              <w:jc w:val="both"/>
              <w:rPr>
                <w:sz w:val="20"/>
                <w:lang w:val="en-CA"/>
              </w:rPr>
            </w:pPr>
            <w:r w:rsidRPr="00AD420D">
              <w:rPr>
                <w:sz w:val="20"/>
                <w:lang w:val="en-CA"/>
              </w:rPr>
              <w:t>March 27, 2020</w:t>
            </w:r>
          </w:p>
          <w:p w:rsidR="007B7DA1" w:rsidRPr="00AD420D" w:rsidRDefault="007B7DA1" w:rsidP="007B7DA1">
            <w:pPr>
              <w:jc w:val="both"/>
              <w:rPr>
                <w:sz w:val="20"/>
                <w:lang w:val="en-CA"/>
              </w:rPr>
            </w:pPr>
            <w:r w:rsidRPr="00AD420D">
              <w:rPr>
                <w:sz w:val="20"/>
                <w:lang w:val="en-CA"/>
              </w:rPr>
              <w:t>Quebec Superior Court</w:t>
            </w:r>
          </w:p>
          <w:p w:rsidR="007B7DA1" w:rsidRPr="00AD420D" w:rsidRDefault="007B7DA1" w:rsidP="007B7DA1">
            <w:pPr>
              <w:jc w:val="both"/>
              <w:rPr>
                <w:sz w:val="20"/>
                <w:lang w:val="en-CA"/>
              </w:rPr>
            </w:pPr>
            <w:r w:rsidRPr="00AD420D">
              <w:rPr>
                <w:sz w:val="20"/>
                <w:lang w:val="en-CA"/>
              </w:rPr>
              <w:t>(Bachand J.)</w:t>
            </w:r>
          </w:p>
          <w:p w:rsidR="007B7DA1" w:rsidRPr="00AD420D" w:rsidRDefault="007B7DA1" w:rsidP="007B7DA1">
            <w:pPr>
              <w:jc w:val="both"/>
              <w:rPr>
                <w:sz w:val="20"/>
                <w:lang w:val="en-CA"/>
              </w:rPr>
            </w:pPr>
            <w:r w:rsidRPr="00AD420D">
              <w:rPr>
                <w:sz w:val="20"/>
                <w:lang w:val="en-CA"/>
              </w:rPr>
              <w:t>500</w:t>
            </w:r>
            <w:r w:rsidRPr="00AD420D">
              <w:rPr>
                <w:sz w:val="20"/>
                <w:lang w:val="en-CA"/>
              </w:rPr>
              <w:noBreakHyphen/>
              <w:t>17</w:t>
            </w:r>
            <w:r w:rsidRPr="00AD420D">
              <w:rPr>
                <w:sz w:val="20"/>
                <w:lang w:val="en-CA"/>
              </w:rPr>
              <w:noBreakHyphen/>
              <w:t>109139</w:t>
            </w:r>
            <w:r w:rsidRPr="00AD420D">
              <w:rPr>
                <w:sz w:val="20"/>
                <w:lang w:val="en-CA"/>
              </w:rPr>
              <w:noBreakHyphen/>
              <w:t>199</w:t>
            </w:r>
          </w:p>
          <w:p w:rsidR="007B7DA1" w:rsidRPr="00AD420D" w:rsidRDefault="004E02BD" w:rsidP="007B7DA1">
            <w:pPr>
              <w:jc w:val="both"/>
              <w:rPr>
                <w:sz w:val="20"/>
                <w:lang w:val="en-CA"/>
              </w:rPr>
            </w:pPr>
            <w:hyperlink r:id="rId36" w:history="1">
              <w:r w:rsidR="007B7DA1" w:rsidRPr="00AD420D">
                <w:rPr>
                  <w:rStyle w:val="Hyperlink"/>
                  <w:sz w:val="20"/>
                  <w:lang w:val="en-CA"/>
                </w:rPr>
                <w:t>2020 QCCS 1134</w:t>
              </w:r>
            </w:hyperlink>
          </w:p>
          <w:p w:rsidR="007B7DA1" w:rsidRPr="00AD420D" w:rsidRDefault="007B7DA1" w:rsidP="007B7DA1">
            <w:pPr>
              <w:jc w:val="both"/>
              <w:rPr>
                <w:sz w:val="20"/>
                <w:lang w:val="en-CA"/>
              </w:rPr>
            </w:pPr>
          </w:p>
        </w:tc>
        <w:tc>
          <w:tcPr>
            <w:tcW w:w="243" w:type="pct"/>
          </w:tcPr>
          <w:p w:rsidR="007B7DA1" w:rsidRPr="00AD420D" w:rsidRDefault="007B7DA1" w:rsidP="007B7DA1">
            <w:pPr>
              <w:jc w:val="both"/>
              <w:rPr>
                <w:sz w:val="20"/>
                <w:lang w:val="en-CA"/>
              </w:rPr>
            </w:pPr>
          </w:p>
        </w:tc>
        <w:tc>
          <w:tcPr>
            <w:tcW w:w="2330" w:type="pct"/>
          </w:tcPr>
          <w:p w:rsidR="007B7DA1" w:rsidRPr="00AD420D" w:rsidRDefault="007B7DA1" w:rsidP="007B7DA1">
            <w:pPr>
              <w:jc w:val="both"/>
              <w:rPr>
                <w:sz w:val="20"/>
                <w:lang w:val="en-CA"/>
              </w:rPr>
            </w:pPr>
            <w:r w:rsidRPr="00AD420D">
              <w:rPr>
                <w:sz w:val="20"/>
                <w:lang w:val="en-CA"/>
              </w:rPr>
              <w:t xml:space="preserve">Application dismissed and arbitrator’s jurisdiction upheld </w:t>
            </w:r>
          </w:p>
          <w:p w:rsidR="007B7DA1" w:rsidRPr="00AD420D" w:rsidRDefault="007B7DA1" w:rsidP="007B7DA1">
            <w:pPr>
              <w:jc w:val="both"/>
              <w:rPr>
                <w:sz w:val="20"/>
                <w:lang w:val="en-CA"/>
              </w:rPr>
            </w:pPr>
          </w:p>
        </w:tc>
      </w:tr>
      <w:tr w:rsidR="007B7DA1" w:rsidRPr="00AD420D" w:rsidTr="00610FEC">
        <w:tc>
          <w:tcPr>
            <w:tcW w:w="2427" w:type="pct"/>
            <w:gridSpan w:val="2"/>
          </w:tcPr>
          <w:p w:rsidR="007B7DA1" w:rsidRPr="00AD420D" w:rsidRDefault="007B7DA1" w:rsidP="007B7DA1">
            <w:pPr>
              <w:jc w:val="both"/>
              <w:rPr>
                <w:sz w:val="20"/>
                <w:lang w:val="en-CA"/>
              </w:rPr>
            </w:pPr>
            <w:r w:rsidRPr="00AD420D">
              <w:rPr>
                <w:sz w:val="20"/>
                <w:lang w:val="en-CA"/>
              </w:rPr>
              <w:t>May 21, 2020</w:t>
            </w:r>
          </w:p>
          <w:p w:rsidR="007B7DA1" w:rsidRPr="00AD420D" w:rsidRDefault="007B7DA1" w:rsidP="007B7DA1">
            <w:pPr>
              <w:jc w:val="both"/>
              <w:rPr>
                <w:sz w:val="20"/>
                <w:lang w:val="en-CA"/>
              </w:rPr>
            </w:pPr>
            <w:r w:rsidRPr="00AD420D">
              <w:rPr>
                <w:sz w:val="20"/>
                <w:lang w:val="en-CA"/>
              </w:rPr>
              <w:t>Supreme Court of Canada</w:t>
            </w:r>
          </w:p>
        </w:tc>
        <w:tc>
          <w:tcPr>
            <w:tcW w:w="243" w:type="pct"/>
          </w:tcPr>
          <w:p w:rsidR="007B7DA1" w:rsidRPr="00AD420D" w:rsidRDefault="007B7DA1" w:rsidP="007B7DA1">
            <w:pPr>
              <w:jc w:val="both"/>
              <w:rPr>
                <w:sz w:val="20"/>
                <w:lang w:val="en-CA"/>
              </w:rPr>
            </w:pPr>
          </w:p>
        </w:tc>
        <w:tc>
          <w:tcPr>
            <w:tcW w:w="2330" w:type="pct"/>
          </w:tcPr>
          <w:p w:rsidR="007B7DA1" w:rsidRPr="00AD420D" w:rsidRDefault="007B7DA1" w:rsidP="007B7DA1">
            <w:pPr>
              <w:jc w:val="both"/>
              <w:rPr>
                <w:sz w:val="20"/>
                <w:lang w:val="en-CA"/>
              </w:rPr>
            </w:pPr>
            <w:r w:rsidRPr="00AD420D">
              <w:rPr>
                <w:sz w:val="20"/>
                <w:lang w:val="en-CA"/>
              </w:rPr>
              <w:t>Application for leave to appeal filed</w:t>
            </w:r>
          </w:p>
          <w:p w:rsidR="007B7DA1" w:rsidRPr="00AD420D" w:rsidRDefault="007B7DA1" w:rsidP="007B7DA1">
            <w:pPr>
              <w:jc w:val="both"/>
              <w:rPr>
                <w:sz w:val="20"/>
                <w:lang w:val="en-CA"/>
              </w:rPr>
            </w:pPr>
          </w:p>
        </w:tc>
      </w:tr>
    </w:tbl>
    <w:p w:rsidR="007B7DA1" w:rsidRPr="00AD420D" w:rsidRDefault="007B7DA1" w:rsidP="007B7DA1">
      <w:pPr>
        <w:jc w:val="both"/>
        <w:rPr>
          <w:sz w:val="20"/>
          <w:lang w:val="en-CA"/>
        </w:rPr>
      </w:pPr>
    </w:p>
    <w:p w:rsidR="008C3373" w:rsidRPr="00AD420D" w:rsidRDefault="004E02BD" w:rsidP="007B7DA1">
      <w:pPr>
        <w:jc w:val="both"/>
        <w:rPr>
          <w:sz w:val="20"/>
          <w:lang w:val="en-CA"/>
        </w:rPr>
      </w:pPr>
      <w:r>
        <w:rPr>
          <w:sz w:val="20"/>
        </w:rPr>
        <w:pict>
          <v:rect id="_x0000_i1037" style="width:2in;height:1pt" o:hrpct="0" o:hralign="center" o:hrstd="t" o:hrnoshade="t" o:hr="t" fillcolor="black [3213]" stroked="f"/>
        </w:pict>
      </w:r>
    </w:p>
    <w:p w:rsidR="008C3373" w:rsidRPr="00AD420D" w:rsidRDefault="008C3373" w:rsidP="007B7DA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DA1" w:rsidRPr="00AD420D" w:rsidTr="00610FEC">
        <w:tc>
          <w:tcPr>
            <w:tcW w:w="543" w:type="pct"/>
          </w:tcPr>
          <w:p w:rsidR="007B7DA1" w:rsidRPr="00AD420D" w:rsidRDefault="007B7DA1" w:rsidP="007B7DA1">
            <w:pPr>
              <w:jc w:val="both"/>
              <w:rPr>
                <w:sz w:val="20"/>
              </w:rPr>
            </w:pPr>
            <w:r w:rsidRPr="00AD420D">
              <w:rPr>
                <w:rStyle w:val="SCCFileNumberChar"/>
                <w:sz w:val="20"/>
                <w:szCs w:val="20"/>
              </w:rPr>
              <w:lastRenderedPageBreak/>
              <w:t>39198</w:t>
            </w:r>
          </w:p>
        </w:tc>
        <w:tc>
          <w:tcPr>
            <w:tcW w:w="4457" w:type="pct"/>
            <w:gridSpan w:val="3"/>
          </w:tcPr>
          <w:p w:rsidR="007B7DA1" w:rsidRPr="00AD420D" w:rsidRDefault="007B7DA1" w:rsidP="007B7DA1">
            <w:pPr>
              <w:pStyle w:val="SCCLsocParty"/>
              <w:jc w:val="both"/>
              <w:rPr>
                <w:b/>
                <w:sz w:val="20"/>
                <w:szCs w:val="20"/>
              </w:rPr>
            </w:pPr>
            <w:r w:rsidRPr="00AD420D">
              <w:rPr>
                <w:b/>
                <w:sz w:val="20"/>
                <w:szCs w:val="20"/>
              </w:rPr>
              <w:t>Groupe Dimension Multi Vétérinaire inc. c. Jean-Philippe Ewart, Centre Canadien d'Arbitrage Commercial, Jean-Marc Vaillancourt, Jean-Paul Dussault</w:t>
            </w:r>
          </w:p>
          <w:p w:rsidR="007B7DA1" w:rsidRPr="00AD420D" w:rsidRDefault="007B7DA1" w:rsidP="007B7DA1">
            <w:pPr>
              <w:jc w:val="both"/>
              <w:rPr>
                <w:sz w:val="20"/>
              </w:rPr>
            </w:pPr>
            <w:r w:rsidRPr="00AD420D">
              <w:rPr>
                <w:sz w:val="20"/>
              </w:rPr>
              <w:t>(Qc) (Civile) (Autorisation)</w:t>
            </w:r>
          </w:p>
        </w:tc>
      </w:tr>
      <w:tr w:rsidR="007B7DA1" w:rsidRPr="004E02BD" w:rsidTr="00610FEC">
        <w:tc>
          <w:tcPr>
            <w:tcW w:w="5000" w:type="pct"/>
            <w:gridSpan w:val="4"/>
          </w:tcPr>
          <w:p w:rsidR="007B7DA1" w:rsidRPr="00AD420D" w:rsidRDefault="007B7DA1" w:rsidP="007B7DA1">
            <w:pPr>
              <w:jc w:val="both"/>
              <w:rPr>
                <w:sz w:val="20"/>
                <w:lang w:val="fr-CA"/>
              </w:rPr>
            </w:pPr>
            <w:r w:rsidRPr="00AD420D">
              <w:rPr>
                <w:sz w:val="20"/>
                <w:lang w:val="fr-CA"/>
              </w:rPr>
              <w:t>Procédure civile — Arbitrage — Compétence — Convention entre actionnaires — Clause compromissoire — Recours en redressement — Un arbitre nommé aux termes d’une convention d’arbitrage commercial possède</w:t>
            </w:r>
            <w:r w:rsidRPr="00AD420D">
              <w:rPr>
                <w:sz w:val="20"/>
                <w:lang w:val="fr-CA"/>
              </w:rPr>
              <w:noBreakHyphen/>
              <w:t>t</w:t>
            </w:r>
            <w:r w:rsidRPr="00AD420D">
              <w:rPr>
                <w:sz w:val="20"/>
                <w:lang w:val="fr-CA"/>
              </w:rPr>
              <w:noBreakHyphen/>
              <w:t xml:space="preserve">il des pouvoirs inhérents similaires à ceux accordés par la </w:t>
            </w:r>
            <w:r w:rsidRPr="00AD420D">
              <w:rPr>
                <w:i/>
                <w:sz w:val="20"/>
                <w:lang w:val="fr-CA"/>
              </w:rPr>
              <w:t>Loi sur les sociétés par actions</w:t>
            </w:r>
            <w:r w:rsidRPr="00AD420D">
              <w:rPr>
                <w:sz w:val="20"/>
                <w:lang w:val="fr-CA"/>
              </w:rPr>
              <w:t>, RLRQ c S</w:t>
            </w:r>
            <w:r w:rsidRPr="00AD420D">
              <w:rPr>
                <w:sz w:val="20"/>
                <w:lang w:val="fr-CA"/>
              </w:rPr>
              <w:noBreakHyphen/>
              <w:t>31.1, exclusivement à la Cour supérieure aux fins de disposer de questions fondées sur des motifs d’oppression ? — Dans la négative, pour conférer juridiction à un arbitre relativement à des questions d’oppression, est</w:t>
            </w:r>
            <w:r w:rsidRPr="00AD420D">
              <w:rPr>
                <w:sz w:val="20"/>
                <w:lang w:val="fr-CA"/>
              </w:rPr>
              <w:noBreakHyphen/>
              <w:t xml:space="preserve">il nécessaire qu’une clause d’arbitrage prévoit expressément ou implicitement l’intention des parties d’exclure la juridiction de la Cour supérieure et le pouvoir de l’arbitre de rendre ces ordonnances ? — Quels sont les critères d’intervention qui peuvent être appliqués par la Cour supérieure lorsqu’elle est appelée, suivant le nouvel article 632 C.p.c., à se prononcer sur la décision d’un arbitre au sujet de sa propre compétence ? — </w:t>
            </w:r>
            <w:r w:rsidRPr="00AD420D">
              <w:rPr>
                <w:i/>
                <w:sz w:val="20"/>
                <w:lang w:val="fr-CA"/>
              </w:rPr>
              <w:t>Code de procédure civile du Québec</w:t>
            </w:r>
            <w:r w:rsidRPr="00AD420D">
              <w:rPr>
                <w:sz w:val="20"/>
                <w:lang w:val="fr-CA"/>
              </w:rPr>
              <w:t>, RLRQ c C</w:t>
            </w:r>
            <w:r w:rsidRPr="00AD420D">
              <w:rPr>
                <w:sz w:val="20"/>
                <w:lang w:val="fr-CA"/>
              </w:rPr>
              <w:noBreakHyphen/>
              <w:t xml:space="preserve">25.01, art. 632 — </w:t>
            </w:r>
            <w:r w:rsidRPr="00AD420D">
              <w:rPr>
                <w:i/>
                <w:sz w:val="20"/>
                <w:lang w:val="fr-CA"/>
              </w:rPr>
              <w:t>Loi sur les sociétés par actions</w:t>
            </w:r>
            <w:r w:rsidRPr="00AD420D">
              <w:rPr>
                <w:sz w:val="20"/>
                <w:lang w:val="fr-CA"/>
              </w:rPr>
              <w:t>, RLRQ c S</w:t>
            </w:r>
            <w:r w:rsidRPr="00AD420D">
              <w:rPr>
                <w:sz w:val="20"/>
                <w:lang w:val="fr-CA"/>
              </w:rPr>
              <w:noBreakHyphen/>
              <w:t>31.1, art. 450.</w:t>
            </w:r>
          </w:p>
        </w:tc>
      </w:tr>
      <w:tr w:rsidR="007B7DA1" w:rsidRPr="004E02BD" w:rsidTr="00610FEC">
        <w:tc>
          <w:tcPr>
            <w:tcW w:w="5000" w:type="pct"/>
            <w:gridSpan w:val="4"/>
          </w:tcPr>
          <w:p w:rsidR="007B7DA1" w:rsidRPr="00AD420D" w:rsidRDefault="007B7DA1" w:rsidP="007B7DA1">
            <w:pPr>
              <w:jc w:val="both"/>
              <w:rPr>
                <w:sz w:val="20"/>
                <w:lang w:val="fr-CA"/>
              </w:rPr>
            </w:pPr>
          </w:p>
          <w:p w:rsidR="007B7DA1" w:rsidRPr="00AD420D" w:rsidRDefault="007B7DA1" w:rsidP="007B7DA1">
            <w:pPr>
              <w:jc w:val="both"/>
              <w:rPr>
                <w:sz w:val="20"/>
                <w:lang w:val="fr-CA"/>
              </w:rPr>
            </w:pPr>
            <w:r w:rsidRPr="00AD420D">
              <w:rPr>
                <w:sz w:val="20"/>
                <w:lang w:val="fr-CA"/>
              </w:rPr>
              <w:t>La demanderesse dépose à l’encontre de deux de ses actionnaires un avis d’arbitrage en vue faire déclarer inopposable à son endroit certains transferts d’actions effectués. Elle reproche à ses actionnaires d’avoir contrevenu aux dispositions de la convention entre actionnaires à l’occasion de ces opérations. L’un des actionnaires demande au tribunal arbitral de rendre diverses ordonnances de redressement en raison du comportement abusif qu’aurait eu la demanderesse à son endroit. La demanderesse conteste ce moyen, soutenant qu’il ne tombe pas dans le champ d’application de la clause d’arbitrage. Le tribunal arbitral conclut qu’il a compétence. La Cour supérieure reconnaît la compétence de l’arbitre et rejette la demande de la demanderesse</w:t>
            </w:r>
          </w:p>
        </w:tc>
      </w:tr>
      <w:tr w:rsidR="007B7DA1" w:rsidRPr="004E02BD" w:rsidTr="00610FEC">
        <w:tc>
          <w:tcPr>
            <w:tcW w:w="5000" w:type="pct"/>
            <w:gridSpan w:val="4"/>
          </w:tcPr>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t>Le 13 mai 2019</w:t>
            </w:r>
          </w:p>
          <w:p w:rsidR="007B7DA1" w:rsidRPr="00AD420D" w:rsidRDefault="007B7DA1" w:rsidP="007B7DA1">
            <w:pPr>
              <w:jc w:val="both"/>
              <w:rPr>
                <w:sz w:val="20"/>
                <w:lang w:val="fr-CA"/>
              </w:rPr>
            </w:pPr>
            <w:r w:rsidRPr="00AD420D">
              <w:rPr>
                <w:sz w:val="20"/>
                <w:lang w:val="fr-CA"/>
              </w:rPr>
              <w:t>Tribunal d’arbitrage</w:t>
            </w:r>
          </w:p>
          <w:p w:rsidR="007B7DA1" w:rsidRPr="00AD420D" w:rsidRDefault="007B7DA1" w:rsidP="007B7DA1">
            <w:pPr>
              <w:jc w:val="both"/>
              <w:rPr>
                <w:sz w:val="20"/>
                <w:lang w:val="fr-CA"/>
              </w:rPr>
            </w:pPr>
            <w:r w:rsidRPr="00AD420D">
              <w:rPr>
                <w:sz w:val="20"/>
                <w:lang w:val="fr-CA"/>
              </w:rPr>
              <w:t>S18</w:t>
            </w:r>
            <w:r w:rsidRPr="00AD420D">
              <w:rPr>
                <w:sz w:val="20"/>
                <w:lang w:val="fr-CA"/>
              </w:rPr>
              <w:noBreakHyphen/>
              <w:t>020601</w:t>
            </w:r>
            <w:r w:rsidRPr="00AD420D">
              <w:rPr>
                <w:sz w:val="20"/>
                <w:lang w:val="fr-CA"/>
              </w:rPr>
              <w:noBreakHyphen/>
              <w:t>RG</w:t>
            </w:r>
          </w:p>
          <w:p w:rsidR="007B7DA1" w:rsidRPr="00AD420D" w:rsidRDefault="007B7DA1" w:rsidP="007B7DA1">
            <w:pPr>
              <w:jc w:val="both"/>
              <w:rPr>
                <w:sz w:val="20"/>
              </w:rPr>
            </w:pPr>
            <w:r w:rsidRPr="00AD420D">
              <w:rPr>
                <w:sz w:val="20"/>
              </w:rPr>
              <w:t>(Me Ewart)</w:t>
            </w:r>
          </w:p>
          <w:p w:rsidR="007B7DA1" w:rsidRPr="00AD420D" w:rsidRDefault="007B7DA1" w:rsidP="007B7DA1">
            <w:pPr>
              <w:jc w:val="both"/>
              <w:rPr>
                <w:sz w:val="20"/>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lang w:val="fr-CA"/>
              </w:rPr>
            </w:pPr>
            <w:r w:rsidRPr="00AD420D">
              <w:rPr>
                <w:sz w:val="20"/>
                <w:lang w:val="fr-CA"/>
              </w:rPr>
              <w:t>Demande en rejet pour absence de compétence rejetée.</w:t>
            </w:r>
          </w:p>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t>Le 27 mars 2020</w:t>
            </w:r>
          </w:p>
          <w:p w:rsidR="007B7DA1" w:rsidRPr="00AD420D" w:rsidRDefault="007B7DA1" w:rsidP="007B7DA1">
            <w:pPr>
              <w:jc w:val="both"/>
              <w:rPr>
                <w:sz w:val="20"/>
                <w:lang w:val="fr-CA"/>
              </w:rPr>
            </w:pPr>
            <w:r w:rsidRPr="00AD420D">
              <w:rPr>
                <w:sz w:val="20"/>
                <w:lang w:val="fr-CA"/>
              </w:rPr>
              <w:t>Cour supérieure du Québec</w:t>
            </w:r>
          </w:p>
          <w:p w:rsidR="007B7DA1" w:rsidRPr="00AD420D" w:rsidRDefault="007B7DA1" w:rsidP="007B7DA1">
            <w:pPr>
              <w:jc w:val="both"/>
              <w:rPr>
                <w:sz w:val="20"/>
              </w:rPr>
            </w:pPr>
            <w:r w:rsidRPr="00AD420D">
              <w:rPr>
                <w:sz w:val="20"/>
              </w:rPr>
              <w:t xml:space="preserve">(Le juge </w:t>
            </w:r>
            <w:proofErr w:type="spellStart"/>
            <w:r w:rsidRPr="00AD420D">
              <w:rPr>
                <w:sz w:val="20"/>
              </w:rPr>
              <w:t>Bachand</w:t>
            </w:r>
            <w:proofErr w:type="spellEnd"/>
            <w:r w:rsidRPr="00AD420D">
              <w:rPr>
                <w:sz w:val="20"/>
              </w:rPr>
              <w:t>)</w:t>
            </w:r>
          </w:p>
          <w:p w:rsidR="007B7DA1" w:rsidRPr="00AD420D" w:rsidRDefault="007B7DA1" w:rsidP="007B7DA1">
            <w:pPr>
              <w:jc w:val="both"/>
              <w:rPr>
                <w:sz w:val="20"/>
              </w:rPr>
            </w:pPr>
            <w:r w:rsidRPr="00AD420D">
              <w:rPr>
                <w:sz w:val="20"/>
              </w:rPr>
              <w:t>500</w:t>
            </w:r>
            <w:r w:rsidRPr="00AD420D">
              <w:rPr>
                <w:sz w:val="20"/>
              </w:rPr>
              <w:noBreakHyphen/>
              <w:t>17</w:t>
            </w:r>
            <w:r w:rsidRPr="00AD420D">
              <w:rPr>
                <w:sz w:val="20"/>
              </w:rPr>
              <w:noBreakHyphen/>
              <w:t>109139</w:t>
            </w:r>
            <w:r w:rsidRPr="00AD420D">
              <w:rPr>
                <w:sz w:val="20"/>
              </w:rPr>
              <w:noBreakHyphen/>
              <w:t>199</w:t>
            </w:r>
          </w:p>
          <w:p w:rsidR="007B7DA1" w:rsidRPr="00AD420D" w:rsidRDefault="004E02BD" w:rsidP="007B7DA1">
            <w:pPr>
              <w:jc w:val="both"/>
              <w:rPr>
                <w:sz w:val="20"/>
              </w:rPr>
            </w:pPr>
            <w:hyperlink r:id="rId37" w:history="1">
              <w:r w:rsidR="007B7DA1" w:rsidRPr="00AD420D">
                <w:rPr>
                  <w:rStyle w:val="Hyperlink"/>
                  <w:sz w:val="20"/>
                </w:rPr>
                <w:t>2020 QCCS 1134</w:t>
              </w:r>
            </w:hyperlink>
          </w:p>
          <w:p w:rsidR="007B7DA1" w:rsidRPr="00AD420D" w:rsidRDefault="007B7DA1" w:rsidP="007B7DA1">
            <w:pPr>
              <w:jc w:val="both"/>
              <w:rPr>
                <w:sz w:val="20"/>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lang w:val="fr-CA"/>
              </w:rPr>
            </w:pPr>
            <w:r w:rsidRPr="00AD420D">
              <w:rPr>
                <w:sz w:val="20"/>
                <w:lang w:val="fr-CA"/>
              </w:rPr>
              <w:t xml:space="preserve">Demande rejetée, compétence de l’arbitre confirmée. </w:t>
            </w:r>
          </w:p>
          <w:p w:rsidR="007B7DA1" w:rsidRPr="00AD420D" w:rsidRDefault="007B7DA1" w:rsidP="007B7DA1">
            <w:pPr>
              <w:jc w:val="both"/>
              <w:rPr>
                <w:sz w:val="20"/>
                <w:lang w:val="fr-CA"/>
              </w:rPr>
            </w:pPr>
          </w:p>
        </w:tc>
      </w:tr>
      <w:tr w:rsidR="007B7DA1" w:rsidRPr="00AD420D" w:rsidTr="00610FEC">
        <w:tc>
          <w:tcPr>
            <w:tcW w:w="2427" w:type="pct"/>
            <w:gridSpan w:val="2"/>
          </w:tcPr>
          <w:p w:rsidR="007B7DA1" w:rsidRPr="00AD420D" w:rsidRDefault="007B7DA1" w:rsidP="007B7DA1">
            <w:pPr>
              <w:jc w:val="both"/>
              <w:rPr>
                <w:sz w:val="20"/>
                <w:lang w:val="fr-CA"/>
              </w:rPr>
            </w:pPr>
            <w:r w:rsidRPr="00AD420D">
              <w:rPr>
                <w:sz w:val="20"/>
                <w:lang w:val="fr-CA"/>
              </w:rPr>
              <w:t>Le 21 mai 2020</w:t>
            </w:r>
          </w:p>
          <w:p w:rsidR="007B7DA1" w:rsidRPr="00AD420D" w:rsidRDefault="007B7DA1" w:rsidP="007B7DA1">
            <w:pPr>
              <w:jc w:val="both"/>
              <w:rPr>
                <w:sz w:val="20"/>
                <w:lang w:val="fr-CA"/>
              </w:rPr>
            </w:pPr>
            <w:r w:rsidRPr="00AD420D">
              <w:rPr>
                <w:sz w:val="20"/>
                <w:lang w:val="fr-CA"/>
              </w:rPr>
              <w:t>Cour suprême du Canada</w:t>
            </w: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rPr>
            </w:pPr>
            <w:r w:rsidRPr="00AD420D">
              <w:rPr>
                <w:sz w:val="20"/>
              </w:rPr>
              <w:t>Demande d’autorisation d’appel déposée</w:t>
            </w:r>
          </w:p>
          <w:p w:rsidR="007B7DA1" w:rsidRPr="00AD420D" w:rsidRDefault="007B7DA1" w:rsidP="007B7DA1">
            <w:pPr>
              <w:jc w:val="both"/>
              <w:rPr>
                <w:sz w:val="20"/>
              </w:rPr>
            </w:pPr>
          </w:p>
        </w:tc>
      </w:tr>
    </w:tbl>
    <w:p w:rsidR="007B7DA1" w:rsidRPr="00AD420D" w:rsidRDefault="007B7DA1" w:rsidP="007B7DA1">
      <w:pPr>
        <w:jc w:val="both"/>
        <w:rPr>
          <w:sz w:val="20"/>
        </w:rPr>
      </w:pPr>
    </w:p>
    <w:p w:rsidR="008C3373" w:rsidRPr="00AD420D" w:rsidRDefault="004E02BD" w:rsidP="007B7DA1">
      <w:pPr>
        <w:jc w:val="both"/>
        <w:rPr>
          <w:sz w:val="20"/>
        </w:rPr>
      </w:pPr>
      <w:r>
        <w:rPr>
          <w:sz w:val="20"/>
        </w:rPr>
        <w:pict>
          <v:rect id="_x0000_i1038" style="width:2in;height:1pt" o:hrpct="0" o:hralign="center" o:hrstd="t" o:hrnoshade="t" o:hr="t" fillcolor="black [3213]" stroked="f"/>
        </w:pict>
      </w:r>
    </w:p>
    <w:p w:rsidR="00AE6180" w:rsidRPr="00AD420D" w:rsidRDefault="00AE6180" w:rsidP="007B7DA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DA1" w:rsidRPr="00AD420D" w:rsidTr="00610FEC">
        <w:tc>
          <w:tcPr>
            <w:tcW w:w="543" w:type="pct"/>
          </w:tcPr>
          <w:p w:rsidR="007B7DA1" w:rsidRPr="00AD420D" w:rsidRDefault="007B7DA1" w:rsidP="007B7DA1">
            <w:pPr>
              <w:jc w:val="both"/>
              <w:rPr>
                <w:sz w:val="20"/>
              </w:rPr>
            </w:pPr>
            <w:r w:rsidRPr="00AD420D">
              <w:rPr>
                <w:rStyle w:val="SCCFileNumberChar"/>
                <w:sz w:val="20"/>
                <w:szCs w:val="20"/>
              </w:rPr>
              <w:t>39222</w:t>
            </w:r>
          </w:p>
        </w:tc>
        <w:tc>
          <w:tcPr>
            <w:tcW w:w="4457" w:type="pct"/>
            <w:gridSpan w:val="3"/>
          </w:tcPr>
          <w:p w:rsidR="007B7DA1" w:rsidRPr="00AD420D" w:rsidRDefault="007B7DA1" w:rsidP="007B7DA1">
            <w:pPr>
              <w:pStyle w:val="SCCLsocParty"/>
              <w:jc w:val="both"/>
              <w:rPr>
                <w:b/>
                <w:sz w:val="20"/>
                <w:szCs w:val="20"/>
                <w:lang w:val="en-US"/>
              </w:rPr>
            </w:pPr>
            <w:r w:rsidRPr="00AD420D">
              <w:rPr>
                <w:b/>
                <w:sz w:val="20"/>
                <w:szCs w:val="20"/>
                <w:lang w:val="en-US"/>
              </w:rPr>
              <w:t>York University v. Canadian Copyright Licensing Agency ("Access Copyright")</w:t>
            </w:r>
          </w:p>
          <w:p w:rsidR="007B7DA1" w:rsidRPr="00AD420D" w:rsidRDefault="007B7DA1" w:rsidP="007B7DA1">
            <w:pPr>
              <w:pStyle w:val="SCCLsocSubfileSeparator"/>
              <w:rPr>
                <w:sz w:val="20"/>
                <w:szCs w:val="20"/>
              </w:rPr>
            </w:pPr>
            <w:r w:rsidRPr="00AD420D">
              <w:rPr>
                <w:sz w:val="20"/>
                <w:szCs w:val="20"/>
              </w:rPr>
              <w:t>- and between -</w:t>
            </w:r>
          </w:p>
          <w:p w:rsidR="007B7DA1" w:rsidRPr="00AD420D" w:rsidRDefault="007B7DA1" w:rsidP="007B7DA1">
            <w:pPr>
              <w:pStyle w:val="SCCLsocParty"/>
              <w:jc w:val="both"/>
              <w:rPr>
                <w:b/>
                <w:sz w:val="20"/>
                <w:szCs w:val="20"/>
                <w:lang w:val="en-US"/>
              </w:rPr>
            </w:pPr>
            <w:r w:rsidRPr="00AD420D">
              <w:rPr>
                <w:b/>
                <w:sz w:val="20"/>
                <w:szCs w:val="20"/>
                <w:lang w:val="en-US"/>
              </w:rPr>
              <w:t>Canadian Copyright Licensing Agency ("Access Copyright") v. York University</w:t>
            </w:r>
          </w:p>
          <w:p w:rsidR="007B7DA1" w:rsidRPr="00AD420D" w:rsidRDefault="007B7DA1" w:rsidP="007B7DA1">
            <w:pPr>
              <w:jc w:val="both"/>
              <w:rPr>
                <w:sz w:val="20"/>
              </w:rPr>
            </w:pPr>
            <w:r w:rsidRPr="00AD420D">
              <w:rPr>
                <w:sz w:val="20"/>
              </w:rPr>
              <w:t>(F</w:t>
            </w:r>
            <w:r w:rsidR="008C3373" w:rsidRPr="00AD420D">
              <w:rPr>
                <w:sz w:val="20"/>
              </w:rPr>
              <w:t>.</w:t>
            </w:r>
            <w:r w:rsidRPr="00AD420D">
              <w:rPr>
                <w:sz w:val="20"/>
              </w:rPr>
              <w:t>C</w:t>
            </w:r>
            <w:r w:rsidR="008C3373" w:rsidRPr="00AD420D">
              <w:rPr>
                <w:sz w:val="20"/>
              </w:rPr>
              <w:t>.</w:t>
            </w:r>
            <w:r w:rsidRPr="00AD420D">
              <w:rPr>
                <w:sz w:val="20"/>
              </w:rPr>
              <w:t>) (Civil) (By Leave)</w:t>
            </w:r>
          </w:p>
        </w:tc>
      </w:tr>
      <w:tr w:rsidR="007B7DA1" w:rsidRPr="00AD420D" w:rsidTr="00610FEC">
        <w:tc>
          <w:tcPr>
            <w:tcW w:w="5000" w:type="pct"/>
            <w:gridSpan w:val="4"/>
          </w:tcPr>
          <w:p w:rsidR="007B7DA1" w:rsidRPr="00AD420D" w:rsidRDefault="007B7DA1" w:rsidP="007B7DA1">
            <w:pPr>
              <w:jc w:val="both"/>
              <w:rPr>
                <w:sz w:val="20"/>
              </w:rPr>
            </w:pPr>
            <w:r w:rsidRPr="00AD420D">
              <w:rPr>
                <w:sz w:val="20"/>
              </w:rPr>
              <w:t xml:space="preserve">Intellectual property — Copyright — Fair Dealing — Legislation – Interpretation – Whether interim tariffs are mandatory — When determining whether copying in the educational context constitutes “fair dealing” (and thus not infringement) under ss. 29, 29.1 and 29.2 of the </w:t>
            </w:r>
            <w:r w:rsidRPr="00AD420D">
              <w:rPr>
                <w:i/>
                <w:sz w:val="20"/>
              </w:rPr>
              <w:t>Copyright Act</w:t>
            </w:r>
            <w:r w:rsidRPr="00AD420D">
              <w:rPr>
                <w:sz w:val="20"/>
              </w:rPr>
              <w:t>, R.S.C., 1985, c. C</w:t>
            </w:r>
            <w:r w:rsidRPr="00AD420D">
              <w:rPr>
                <w:sz w:val="20"/>
              </w:rPr>
              <w:noBreakHyphen/>
              <w:t xml:space="preserve">42, should the analysis be conducted from the perspective of the ultimate users (students), or from the perspective of the educational institution they attend — When determining whether copying in the educational context constitutes "fair dealing" under ss. 29, 29.1 and 29.2 of the </w:t>
            </w:r>
            <w:r w:rsidRPr="00AD420D">
              <w:rPr>
                <w:i/>
                <w:sz w:val="20"/>
              </w:rPr>
              <w:t>Copyright Act</w:t>
            </w:r>
            <w:r w:rsidRPr="00AD420D">
              <w:rPr>
                <w:sz w:val="20"/>
              </w:rPr>
              <w:t xml:space="preserve">, the analysis should refrain from conflating factors — For institutional fair dealing guidelines to be "fair" for the purposes of ss. 29, 29.1 and 29.2 of the </w:t>
            </w:r>
            <w:r w:rsidRPr="00AD420D">
              <w:rPr>
                <w:i/>
                <w:sz w:val="20"/>
              </w:rPr>
              <w:t>Copyright Act</w:t>
            </w:r>
            <w:r w:rsidRPr="00AD420D">
              <w:rPr>
                <w:sz w:val="20"/>
              </w:rPr>
              <w:t xml:space="preserve">, is there an obligation for an educational institution to implement safeguards to ensure compliance with the guidelines themselves — Are tariffs approved by the Copyright Board under Part VII of the </w:t>
            </w:r>
            <w:r w:rsidRPr="00AD420D">
              <w:rPr>
                <w:i/>
                <w:sz w:val="20"/>
              </w:rPr>
              <w:t>Copyright Act</w:t>
            </w:r>
            <w:r w:rsidRPr="00AD420D">
              <w:rPr>
                <w:sz w:val="20"/>
              </w:rPr>
              <w:t xml:space="preserve"> merely voluntary licence terms that users can “opt into,” or are they enforceable by a collective society against all users who copy works without lawful authority.</w:t>
            </w:r>
          </w:p>
          <w:p w:rsidR="007B7DA1" w:rsidRPr="00AD420D" w:rsidRDefault="007B7DA1" w:rsidP="007B7DA1">
            <w:pPr>
              <w:pStyle w:val="SCCBanSummary"/>
              <w:rPr>
                <w:sz w:val="20"/>
                <w:szCs w:val="20"/>
              </w:rPr>
            </w:pPr>
          </w:p>
          <w:p w:rsidR="007B7DA1" w:rsidRPr="00AD420D" w:rsidRDefault="007B7DA1" w:rsidP="007B7DA1">
            <w:pPr>
              <w:jc w:val="both"/>
              <w:rPr>
                <w:sz w:val="20"/>
              </w:rPr>
            </w:pPr>
            <w:r w:rsidRPr="00AD420D">
              <w:rPr>
                <w:sz w:val="20"/>
              </w:rPr>
              <w:t xml:space="preserve">Access Copyright commenced an action against York University (“York”) to enforce an interim tariff set by the Copyright Board of Canada as it relates to copying activities by York’s employees between September 1, 2011 and December 31, 2013. The fees payable related to the paper copying of course packs for York students, digital copying </w:t>
            </w:r>
            <w:r w:rsidRPr="00AD420D">
              <w:rPr>
                <w:sz w:val="20"/>
              </w:rPr>
              <w:lastRenderedPageBreak/>
              <w:t xml:space="preserve">through learning management systems, and other copying. York defended on the basis that the interim tariff was not approved and therefore cannot be enforced but is only binding on consent. York counterclaimed, requesting a declaration that any reproductions made by its employees that fell within the Fair Dealing Guidelines it imposed come under the “fair dealing” exception in s. 29 of the </w:t>
            </w:r>
            <w:r w:rsidRPr="00AD420D">
              <w:rPr>
                <w:i/>
                <w:sz w:val="20"/>
              </w:rPr>
              <w:t>Copyright Act</w:t>
            </w:r>
            <w:r w:rsidRPr="00AD420D">
              <w:rPr>
                <w:sz w:val="20"/>
              </w:rPr>
              <w:t xml:space="preserve">. </w:t>
            </w:r>
          </w:p>
        </w:tc>
      </w:tr>
      <w:tr w:rsidR="007B7DA1" w:rsidRPr="00AD420D" w:rsidTr="00610FEC">
        <w:tc>
          <w:tcPr>
            <w:tcW w:w="5000" w:type="pct"/>
            <w:gridSpan w:val="4"/>
          </w:tcPr>
          <w:p w:rsidR="007B7DA1" w:rsidRPr="00AD420D" w:rsidRDefault="007B7DA1" w:rsidP="007B7DA1">
            <w:pPr>
              <w:jc w:val="both"/>
              <w:rPr>
                <w:sz w:val="20"/>
              </w:rPr>
            </w:pPr>
          </w:p>
          <w:p w:rsidR="007B7DA1" w:rsidRPr="00AD420D" w:rsidRDefault="007B7DA1" w:rsidP="007B7DA1">
            <w:pPr>
              <w:jc w:val="both"/>
              <w:rPr>
                <w:sz w:val="20"/>
              </w:rPr>
            </w:pPr>
            <w:r w:rsidRPr="00AD420D">
              <w:rPr>
                <w:sz w:val="20"/>
              </w:rPr>
              <w:t>The Federal Court granted Access Copyright a declaration that York, either directly or vicariously, from September 2011 to December 2013, reproduced and authorized the reproduction of copyright protected works and must pay royalties to Access Copyright under the interim tariff. The Court held that York’s Guidelines were not fair in either their terms or their application and it dismissed York’s counterclaim and claim for declaratory relief. The Federal Court of Appeal allowed York’s appeal, set aside the Federal Court decision and dismissed Access Copyright’s action on the basis that the interim tariff is not mandatory for users who do not opt for a licence. The Court dismissed York’s appeal of the dismissal of its counterclaim.</w:t>
            </w:r>
          </w:p>
        </w:tc>
      </w:tr>
      <w:tr w:rsidR="007B7DA1" w:rsidRPr="00AD420D" w:rsidTr="00610FEC">
        <w:tc>
          <w:tcPr>
            <w:tcW w:w="5000" w:type="pct"/>
            <w:gridSpan w:val="4"/>
          </w:tcPr>
          <w:p w:rsidR="007B7DA1" w:rsidRPr="00AD420D" w:rsidRDefault="007B7DA1" w:rsidP="007B7DA1">
            <w:pPr>
              <w:jc w:val="both"/>
              <w:rPr>
                <w:sz w:val="20"/>
              </w:rPr>
            </w:pPr>
          </w:p>
        </w:tc>
      </w:tr>
      <w:tr w:rsidR="007B7DA1" w:rsidRPr="00AD420D" w:rsidTr="00610FEC">
        <w:tc>
          <w:tcPr>
            <w:tcW w:w="2427" w:type="pct"/>
            <w:gridSpan w:val="2"/>
          </w:tcPr>
          <w:p w:rsidR="007B7DA1" w:rsidRPr="00AD420D" w:rsidRDefault="007B7DA1" w:rsidP="007B7DA1">
            <w:pPr>
              <w:jc w:val="both"/>
              <w:rPr>
                <w:sz w:val="20"/>
              </w:rPr>
            </w:pPr>
            <w:r w:rsidRPr="00AD420D">
              <w:rPr>
                <w:sz w:val="20"/>
              </w:rPr>
              <w:t>July 17, 2017</w:t>
            </w:r>
          </w:p>
          <w:p w:rsidR="007B7DA1" w:rsidRPr="00AD420D" w:rsidRDefault="007B7DA1" w:rsidP="007B7DA1">
            <w:pPr>
              <w:jc w:val="both"/>
              <w:rPr>
                <w:sz w:val="20"/>
              </w:rPr>
            </w:pPr>
            <w:r w:rsidRPr="00AD420D">
              <w:rPr>
                <w:sz w:val="20"/>
              </w:rPr>
              <w:t>Federal Court</w:t>
            </w:r>
          </w:p>
          <w:p w:rsidR="007B7DA1" w:rsidRPr="00AD420D" w:rsidRDefault="007B7DA1" w:rsidP="007B7DA1">
            <w:pPr>
              <w:jc w:val="both"/>
              <w:rPr>
                <w:sz w:val="20"/>
              </w:rPr>
            </w:pPr>
            <w:r w:rsidRPr="00AD420D">
              <w:rPr>
                <w:sz w:val="20"/>
              </w:rPr>
              <w:t>(Phelan J.)</w:t>
            </w:r>
          </w:p>
          <w:p w:rsidR="007B7DA1" w:rsidRPr="00AD420D" w:rsidRDefault="004E02BD" w:rsidP="007B7DA1">
            <w:pPr>
              <w:jc w:val="both"/>
              <w:rPr>
                <w:sz w:val="20"/>
              </w:rPr>
            </w:pPr>
            <w:hyperlink r:id="rId38" w:history="1">
              <w:r w:rsidR="007B7DA1" w:rsidRPr="00AD420D">
                <w:rPr>
                  <w:rStyle w:val="Hyperlink"/>
                  <w:sz w:val="20"/>
                </w:rPr>
                <w:t>2017 FC 669</w:t>
              </w:r>
            </w:hyperlink>
          </w:p>
          <w:p w:rsidR="007B7DA1" w:rsidRPr="00AD420D" w:rsidRDefault="007B7DA1" w:rsidP="007B7DA1">
            <w:pPr>
              <w:jc w:val="both"/>
              <w:rPr>
                <w:sz w:val="20"/>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lang w:val="en"/>
              </w:rPr>
            </w:pPr>
            <w:r w:rsidRPr="00AD420D">
              <w:rPr>
                <w:sz w:val="20"/>
                <w:lang w:val="en"/>
              </w:rPr>
              <w:t>Access Copyright’s action is allowed and York’s counterclaim is dismissed.</w:t>
            </w:r>
          </w:p>
          <w:p w:rsidR="007B7DA1" w:rsidRPr="00AD420D" w:rsidRDefault="007B7DA1" w:rsidP="007B7DA1">
            <w:pPr>
              <w:jc w:val="both"/>
              <w:rPr>
                <w:sz w:val="20"/>
                <w:lang w:val="en"/>
              </w:rPr>
            </w:pPr>
          </w:p>
        </w:tc>
      </w:tr>
      <w:tr w:rsidR="007B7DA1" w:rsidRPr="00AD420D" w:rsidTr="00610FEC">
        <w:tc>
          <w:tcPr>
            <w:tcW w:w="2427" w:type="pct"/>
            <w:gridSpan w:val="2"/>
          </w:tcPr>
          <w:p w:rsidR="007B7DA1" w:rsidRPr="00AD420D" w:rsidRDefault="007B7DA1" w:rsidP="007B7DA1">
            <w:pPr>
              <w:jc w:val="both"/>
              <w:rPr>
                <w:sz w:val="20"/>
              </w:rPr>
            </w:pPr>
            <w:r w:rsidRPr="00AD420D">
              <w:rPr>
                <w:sz w:val="20"/>
              </w:rPr>
              <w:t>April 22, 2020</w:t>
            </w:r>
          </w:p>
          <w:p w:rsidR="007B7DA1" w:rsidRPr="00AD420D" w:rsidRDefault="007B7DA1" w:rsidP="007B7DA1">
            <w:pPr>
              <w:jc w:val="both"/>
              <w:rPr>
                <w:sz w:val="20"/>
              </w:rPr>
            </w:pPr>
            <w:r w:rsidRPr="00AD420D">
              <w:rPr>
                <w:sz w:val="20"/>
              </w:rPr>
              <w:t>Federal Court of Appeal</w:t>
            </w:r>
          </w:p>
          <w:p w:rsidR="007B7DA1" w:rsidRPr="00AD420D" w:rsidRDefault="007B7DA1" w:rsidP="007B7DA1">
            <w:pPr>
              <w:jc w:val="both"/>
              <w:rPr>
                <w:sz w:val="20"/>
              </w:rPr>
            </w:pPr>
            <w:r w:rsidRPr="00AD420D">
              <w:rPr>
                <w:sz w:val="20"/>
              </w:rPr>
              <w:t>(Pelletier, de Montigny and Woods JJ.A.)</w:t>
            </w:r>
          </w:p>
          <w:p w:rsidR="007B7DA1" w:rsidRPr="00AD420D" w:rsidRDefault="004E02BD" w:rsidP="007B7DA1">
            <w:pPr>
              <w:jc w:val="both"/>
              <w:rPr>
                <w:sz w:val="20"/>
              </w:rPr>
            </w:pPr>
            <w:hyperlink r:id="rId39" w:history="1">
              <w:r w:rsidR="007B7DA1" w:rsidRPr="00AD420D">
                <w:rPr>
                  <w:rStyle w:val="Hyperlink"/>
                  <w:sz w:val="20"/>
                </w:rPr>
                <w:t>2020 FCA 77</w:t>
              </w:r>
            </w:hyperlink>
            <w:r w:rsidR="007B7DA1" w:rsidRPr="00AD420D">
              <w:rPr>
                <w:sz w:val="20"/>
              </w:rPr>
              <w:t>; A</w:t>
            </w:r>
            <w:r w:rsidR="007B7DA1" w:rsidRPr="00AD420D">
              <w:rPr>
                <w:sz w:val="20"/>
              </w:rPr>
              <w:noBreakHyphen/>
              <w:t>259</w:t>
            </w:r>
            <w:r w:rsidR="007B7DA1" w:rsidRPr="00AD420D">
              <w:rPr>
                <w:sz w:val="20"/>
              </w:rPr>
              <w:noBreakHyphen/>
              <w:t>17</w:t>
            </w: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rPr>
            </w:pPr>
            <w:r w:rsidRPr="00AD420D">
              <w:rPr>
                <w:sz w:val="20"/>
              </w:rPr>
              <w:t>York’s appeal from the Federal Court is allowed, that decision is set aside and Access Copyright’s action is dismissed; Appeal of dismissal of York’s counterclaim is dismissed.</w:t>
            </w:r>
          </w:p>
          <w:p w:rsidR="007B7DA1" w:rsidRPr="00AD420D" w:rsidRDefault="007B7DA1" w:rsidP="007B7DA1">
            <w:pPr>
              <w:jc w:val="both"/>
              <w:rPr>
                <w:sz w:val="20"/>
              </w:rPr>
            </w:pPr>
          </w:p>
        </w:tc>
      </w:tr>
      <w:tr w:rsidR="007B7DA1" w:rsidRPr="00AD420D" w:rsidTr="00610FEC">
        <w:tc>
          <w:tcPr>
            <w:tcW w:w="2427" w:type="pct"/>
            <w:gridSpan w:val="2"/>
          </w:tcPr>
          <w:p w:rsidR="007B7DA1" w:rsidRPr="00AD420D" w:rsidRDefault="007B7DA1" w:rsidP="007B7DA1">
            <w:pPr>
              <w:jc w:val="both"/>
              <w:rPr>
                <w:sz w:val="20"/>
              </w:rPr>
            </w:pPr>
            <w:r w:rsidRPr="00AD420D">
              <w:rPr>
                <w:sz w:val="20"/>
              </w:rPr>
              <w:t>June 19, 2020</w:t>
            </w:r>
          </w:p>
          <w:p w:rsidR="007B7DA1" w:rsidRPr="00AD420D" w:rsidRDefault="007B7DA1" w:rsidP="007B7DA1">
            <w:pPr>
              <w:jc w:val="both"/>
              <w:rPr>
                <w:sz w:val="20"/>
              </w:rPr>
            </w:pPr>
            <w:r w:rsidRPr="00AD420D">
              <w:rPr>
                <w:sz w:val="20"/>
              </w:rPr>
              <w:t>Supreme Court of Canada</w:t>
            </w:r>
          </w:p>
          <w:p w:rsidR="007B7DA1" w:rsidRPr="00AD420D" w:rsidRDefault="007B7DA1" w:rsidP="007B7DA1">
            <w:pPr>
              <w:jc w:val="both"/>
              <w:rPr>
                <w:sz w:val="20"/>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rPr>
            </w:pPr>
            <w:r w:rsidRPr="00AD420D">
              <w:rPr>
                <w:sz w:val="20"/>
              </w:rPr>
              <w:t>First Application for leave to appeal filed</w:t>
            </w:r>
          </w:p>
          <w:p w:rsidR="007B7DA1" w:rsidRPr="00AD420D" w:rsidRDefault="007B7DA1" w:rsidP="007B7DA1">
            <w:pPr>
              <w:jc w:val="both"/>
              <w:rPr>
                <w:sz w:val="20"/>
              </w:rPr>
            </w:pPr>
            <w:proofErr w:type="gramStart"/>
            <w:r w:rsidRPr="00AD420D">
              <w:rPr>
                <w:sz w:val="20"/>
              </w:rPr>
              <w:t>by</w:t>
            </w:r>
            <w:proofErr w:type="gramEnd"/>
            <w:r w:rsidRPr="00AD420D">
              <w:rPr>
                <w:sz w:val="20"/>
              </w:rPr>
              <w:t xml:space="preserve"> York University.</w:t>
            </w:r>
          </w:p>
          <w:p w:rsidR="007B7DA1" w:rsidRPr="00AD420D" w:rsidRDefault="007B7DA1" w:rsidP="007B7DA1">
            <w:pPr>
              <w:jc w:val="both"/>
              <w:rPr>
                <w:sz w:val="20"/>
              </w:rPr>
            </w:pPr>
          </w:p>
        </w:tc>
      </w:tr>
      <w:tr w:rsidR="007B7DA1" w:rsidRPr="00AD420D" w:rsidTr="00610FEC">
        <w:tc>
          <w:tcPr>
            <w:tcW w:w="2427" w:type="pct"/>
            <w:gridSpan w:val="2"/>
          </w:tcPr>
          <w:p w:rsidR="007B7DA1" w:rsidRPr="00AD420D" w:rsidRDefault="007B7DA1" w:rsidP="007B7DA1">
            <w:pPr>
              <w:jc w:val="both"/>
              <w:rPr>
                <w:sz w:val="20"/>
              </w:rPr>
            </w:pPr>
            <w:r w:rsidRPr="00AD420D">
              <w:rPr>
                <w:sz w:val="20"/>
              </w:rPr>
              <w:t>June 22, 2020</w:t>
            </w:r>
          </w:p>
          <w:p w:rsidR="007B7DA1" w:rsidRPr="00AD420D" w:rsidRDefault="007B7DA1" w:rsidP="007B7DA1">
            <w:pPr>
              <w:jc w:val="both"/>
              <w:rPr>
                <w:sz w:val="20"/>
              </w:rPr>
            </w:pPr>
            <w:r w:rsidRPr="00AD420D">
              <w:rPr>
                <w:sz w:val="20"/>
              </w:rPr>
              <w:t>Supreme Court of Canada</w:t>
            </w: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rPr>
            </w:pPr>
            <w:r w:rsidRPr="00AD420D">
              <w:rPr>
                <w:sz w:val="20"/>
              </w:rPr>
              <w:t>Second Application for leave to appeal filed</w:t>
            </w:r>
          </w:p>
          <w:p w:rsidR="007B7DA1" w:rsidRPr="00AD420D" w:rsidRDefault="007B7DA1" w:rsidP="007B7DA1">
            <w:pPr>
              <w:jc w:val="both"/>
              <w:rPr>
                <w:sz w:val="20"/>
              </w:rPr>
            </w:pPr>
            <w:proofErr w:type="gramStart"/>
            <w:r w:rsidRPr="00AD420D">
              <w:rPr>
                <w:sz w:val="20"/>
              </w:rPr>
              <w:t>by</w:t>
            </w:r>
            <w:proofErr w:type="gramEnd"/>
            <w:r w:rsidRPr="00AD420D">
              <w:rPr>
                <w:sz w:val="20"/>
              </w:rPr>
              <w:t xml:space="preserve"> Access Copyright.</w:t>
            </w:r>
          </w:p>
        </w:tc>
      </w:tr>
    </w:tbl>
    <w:p w:rsidR="007B7DA1" w:rsidRPr="00AD420D" w:rsidRDefault="007B7DA1" w:rsidP="007B7DA1">
      <w:pPr>
        <w:jc w:val="both"/>
        <w:rPr>
          <w:sz w:val="20"/>
        </w:rPr>
      </w:pPr>
    </w:p>
    <w:p w:rsidR="008C3373" w:rsidRPr="00AD420D" w:rsidRDefault="004E02BD" w:rsidP="007B7DA1">
      <w:pPr>
        <w:jc w:val="both"/>
        <w:rPr>
          <w:sz w:val="20"/>
        </w:rPr>
      </w:pPr>
      <w:r>
        <w:rPr>
          <w:sz w:val="20"/>
        </w:rPr>
        <w:pict>
          <v:rect id="_x0000_i1039" style="width:2in;height:1pt" o:hrpct="0" o:hralign="center" o:hrstd="t" o:hrnoshade="t" o:hr="t" fillcolor="black [3213]" stroked="f"/>
        </w:pict>
      </w:r>
    </w:p>
    <w:p w:rsidR="008C3373" w:rsidRPr="00AD420D" w:rsidRDefault="008C3373" w:rsidP="007B7DA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DA1" w:rsidRPr="004E02BD" w:rsidTr="00610FEC">
        <w:tc>
          <w:tcPr>
            <w:tcW w:w="543" w:type="pct"/>
          </w:tcPr>
          <w:p w:rsidR="007B7DA1" w:rsidRPr="00AD420D" w:rsidRDefault="007B7DA1" w:rsidP="007B7DA1">
            <w:pPr>
              <w:jc w:val="both"/>
              <w:rPr>
                <w:sz w:val="20"/>
                <w:lang w:val="fr-CA"/>
              </w:rPr>
            </w:pPr>
            <w:r w:rsidRPr="00AD420D">
              <w:rPr>
                <w:rStyle w:val="SCCFileNumberChar"/>
                <w:sz w:val="20"/>
                <w:szCs w:val="20"/>
                <w:lang w:val="fr-CA"/>
              </w:rPr>
              <w:t>39222</w:t>
            </w:r>
          </w:p>
        </w:tc>
        <w:tc>
          <w:tcPr>
            <w:tcW w:w="4457" w:type="pct"/>
            <w:gridSpan w:val="3"/>
          </w:tcPr>
          <w:p w:rsidR="007B7DA1" w:rsidRPr="00AD420D" w:rsidRDefault="007B7DA1" w:rsidP="007B7DA1">
            <w:pPr>
              <w:pStyle w:val="SCCLsocParty"/>
              <w:jc w:val="both"/>
              <w:rPr>
                <w:b/>
                <w:sz w:val="20"/>
                <w:szCs w:val="20"/>
                <w:lang w:val="en-US"/>
              </w:rPr>
            </w:pPr>
            <w:r w:rsidRPr="00AD420D">
              <w:rPr>
                <w:b/>
                <w:sz w:val="20"/>
                <w:szCs w:val="20"/>
                <w:lang w:val="en-US"/>
              </w:rPr>
              <w:t>Université York c. Canadian Copyright Licensing Agency (« Access Copyright »)</w:t>
            </w:r>
          </w:p>
          <w:p w:rsidR="007B7DA1" w:rsidRPr="00AD420D" w:rsidRDefault="007B7DA1" w:rsidP="007B7DA1">
            <w:pPr>
              <w:pStyle w:val="SCCLsocSubfileSeparator"/>
              <w:rPr>
                <w:sz w:val="20"/>
                <w:szCs w:val="20"/>
              </w:rPr>
            </w:pPr>
            <w:r w:rsidRPr="00AD420D">
              <w:rPr>
                <w:sz w:val="20"/>
                <w:szCs w:val="20"/>
              </w:rPr>
              <w:t>- et entre -</w:t>
            </w:r>
          </w:p>
          <w:p w:rsidR="007B7DA1" w:rsidRPr="008B0CD7" w:rsidRDefault="007B7DA1" w:rsidP="007B7DA1">
            <w:pPr>
              <w:pStyle w:val="SCCLsocParty"/>
              <w:jc w:val="both"/>
              <w:rPr>
                <w:b/>
                <w:sz w:val="20"/>
                <w:szCs w:val="20"/>
                <w:lang w:val="en-US"/>
              </w:rPr>
            </w:pPr>
            <w:r w:rsidRPr="008B0CD7">
              <w:rPr>
                <w:b/>
                <w:sz w:val="20"/>
                <w:szCs w:val="20"/>
                <w:lang w:val="en-US"/>
              </w:rPr>
              <w:t xml:space="preserve">Canadian Copyright Licensing Agency (« Access Copyright ») c. Université York </w:t>
            </w:r>
          </w:p>
          <w:p w:rsidR="007B7DA1" w:rsidRPr="00AD420D" w:rsidRDefault="007B7DA1" w:rsidP="007B7DA1">
            <w:pPr>
              <w:jc w:val="both"/>
              <w:rPr>
                <w:sz w:val="20"/>
                <w:lang w:val="fr-CA"/>
              </w:rPr>
            </w:pPr>
            <w:r w:rsidRPr="00AD420D">
              <w:rPr>
                <w:sz w:val="20"/>
                <w:lang w:val="fr-CA"/>
              </w:rPr>
              <w:t>(C</w:t>
            </w:r>
            <w:r w:rsidR="008C3373" w:rsidRPr="00AD420D">
              <w:rPr>
                <w:sz w:val="20"/>
                <w:lang w:val="fr-CA"/>
              </w:rPr>
              <w:t>.</w:t>
            </w:r>
            <w:r w:rsidRPr="00AD420D">
              <w:rPr>
                <w:sz w:val="20"/>
                <w:lang w:val="fr-CA"/>
              </w:rPr>
              <w:t>F</w:t>
            </w:r>
            <w:r w:rsidR="008C3373" w:rsidRPr="00AD420D">
              <w:rPr>
                <w:sz w:val="20"/>
                <w:lang w:val="fr-CA"/>
              </w:rPr>
              <w:t>.</w:t>
            </w:r>
            <w:r w:rsidRPr="00AD420D">
              <w:rPr>
                <w:sz w:val="20"/>
                <w:lang w:val="fr-CA"/>
              </w:rPr>
              <w:t>) (Civile) (Sur autorisation)</w:t>
            </w:r>
          </w:p>
        </w:tc>
      </w:tr>
      <w:tr w:rsidR="007B7DA1" w:rsidRPr="004E02BD" w:rsidTr="00610FEC">
        <w:tc>
          <w:tcPr>
            <w:tcW w:w="5000" w:type="pct"/>
            <w:gridSpan w:val="4"/>
          </w:tcPr>
          <w:p w:rsidR="007B7DA1" w:rsidRPr="00AD420D" w:rsidRDefault="007B7DA1" w:rsidP="007B7DA1">
            <w:pPr>
              <w:jc w:val="both"/>
              <w:rPr>
                <w:sz w:val="20"/>
                <w:lang w:val="fr-CA"/>
              </w:rPr>
            </w:pPr>
            <w:r w:rsidRPr="00AD420D">
              <w:rPr>
                <w:sz w:val="20"/>
                <w:lang w:val="fr-CA"/>
              </w:rPr>
              <w:t>Propriété intellectuelle — Droit d’auteur — Utilisation équitable — Législation — Interprétation — Les tarifs provisoires sont</w:t>
            </w:r>
            <w:r w:rsidRPr="00AD420D">
              <w:rPr>
                <w:sz w:val="20"/>
                <w:lang w:val="fr-CA"/>
              </w:rPr>
              <w:noBreakHyphen/>
              <w:t xml:space="preserve">ils obligatoires? — Lorsqu’il s’agit d’établir si la reproduction dans un contexte d’enseignement constitue une « utilisation équitable » (et donc pas une violation) aux termes des </w:t>
            </w:r>
            <w:proofErr w:type="gramStart"/>
            <w:r w:rsidRPr="00AD420D">
              <w:rPr>
                <w:sz w:val="20"/>
                <w:lang w:val="fr-CA"/>
              </w:rPr>
              <w:t>art</w:t>
            </w:r>
            <w:proofErr w:type="gramEnd"/>
            <w:r w:rsidRPr="00AD420D">
              <w:rPr>
                <w:sz w:val="20"/>
                <w:lang w:val="fr-CA"/>
              </w:rPr>
              <w:t xml:space="preserve">. 29, 29.1 et 29.2 de la </w:t>
            </w:r>
            <w:r w:rsidRPr="00AD420D">
              <w:rPr>
                <w:i/>
                <w:sz w:val="20"/>
                <w:lang w:val="fr-CA"/>
              </w:rPr>
              <w:t>Loi sur le droit d’auteur</w:t>
            </w:r>
            <w:r w:rsidRPr="00AD420D">
              <w:rPr>
                <w:sz w:val="20"/>
                <w:lang w:val="fr-CA"/>
              </w:rPr>
              <w:t>, L.R.C., 1985, c. C</w:t>
            </w:r>
            <w:r w:rsidRPr="00AD420D">
              <w:rPr>
                <w:sz w:val="20"/>
                <w:lang w:val="fr-CA"/>
              </w:rPr>
              <w:noBreakHyphen/>
              <w:t>42, l’analyse devrait</w:t>
            </w:r>
            <w:r w:rsidRPr="00AD420D">
              <w:rPr>
                <w:sz w:val="20"/>
                <w:lang w:val="fr-CA"/>
              </w:rPr>
              <w:noBreakHyphen/>
              <w:t xml:space="preserve">elle être effectuée selon le point de vue des derniers utilisateurs (les étudiants), ou du point de vue de l’établissement d’enseignement qu’ils fréquentent? — Lorsqu’il s’agit d’établir si la reproduction dans un contexte d’enseignement constitue une « utilisation équitable » aux termes </w:t>
            </w:r>
            <w:proofErr w:type="gramStart"/>
            <w:r w:rsidRPr="00AD420D">
              <w:rPr>
                <w:sz w:val="20"/>
                <w:lang w:val="fr-CA"/>
              </w:rPr>
              <w:t>des art</w:t>
            </w:r>
            <w:proofErr w:type="gramEnd"/>
            <w:r w:rsidRPr="00AD420D">
              <w:rPr>
                <w:sz w:val="20"/>
                <w:lang w:val="fr-CA"/>
              </w:rPr>
              <w:t xml:space="preserve">. 29, 29.1 et 29.2 de la </w:t>
            </w:r>
            <w:r w:rsidRPr="00AD420D">
              <w:rPr>
                <w:i/>
                <w:sz w:val="20"/>
                <w:lang w:val="fr-CA"/>
              </w:rPr>
              <w:t>Loi sur le droit d’auteur</w:t>
            </w:r>
            <w:r w:rsidRPr="00AD420D">
              <w:rPr>
                <w:sz w:val="20"/>
                <w:lang w:val="fr-CA"/>
              </w:rPr>
              <w:t xml:space="preserve">, il faut s’abstenir de confondre les facteurs dans le cadre de l’analyse — Pour que les lignes directrices relatives à l’utilisation équitable de l’établissement soient « équitables » pour l’application </w:t>
            </w:r>
            <w:proofErr w:type="gramStart"/>
            <w:r w:rsidRPr="00AD420D">
              <w:rPr>
                <w:sz w:val="20"/>
                <w:lang w:val="fr-CA"/>
              </w:rPr>
              <w:t>des art</w:t>
            </w:r>
            <w:proofErr w:type="gramEnd"/>
            <w:r w:rsidRPr="00AD420D">
              <w:rPr>
                <w:sz w:val="20"/>
                <w:lang w:val="fr-CA"/>
              </w:rPr>
              <w:t xml:space="preserve">. 29, 29.1 et 29.2 de la </w:t>
            </w:r>
            <w:r w:rsidRPr="00AD420D">
              <w:rPr>
                <w:i/>
                <w:sz w:val="20"/>
                <w:lang w:val="fr-CA"/>
              </w:rPr>
              <w:t>Loi sur le droit d’auteur</w:t>
            </w:r>
            <w:r w:rsidRPr="00AD420D">
              <w:rPr>
                <w:sz w:val="20"/>
                <w:lang w:val="fr-CA"/>
              </w:rPr>
              <w:t>, l’établissement d’enseignement a</w:t>
            </w:r>
            <w:r w:rsidRPr="00AD420D">
              <w:rPr>
                <w:sz w:val="20"/>
                <w:lang w:val="fr-CA"/>
              </w:rPr>
              <w:noBreakHyphen/>
              <w:t>t</w:t>
            </w:r>
            <w:r w:rsidRPr="00AD420D">
              <w:rPr>
                <w:sz w:val="20"/>
                <w:lang w:val="fr-CA"/>
              </w:rPr>
              <w:noBreakHyphen/>
              <w:t>il l’obligation de mettre en œuvre des mesures de sauvegarde afin de garantir le respect des lignes directrices elles</w:t>
            </w:r>
            <w:r w:rsidRPr="00AD420D">
              <w:rPr>
                <w:sz w:val="20"/>
                <w:lang w:val="fr-CA"/>
              </w:rPr>
              <w:noBreakHyphen/>
              <w:t xml:space="preserve">mêmes? — Les tarifs approuvés par la Commission du droit d’auteur aux termes de la partie VII de la </w:t>
            </w:r>
            <w:r w:rsidRPr="00AD420D">
              <w:rPr>
                <w:i/>
                <w:sz w:val="20"/>
                <w:lang w:val="fr-CA"/>
              </w:rPr>
              <w:t>Loi sur le droit d’auteur</w:t>
            </w:r>
            <w:r w:rsidRPr="00AD420D">
              <w:rPr>
                <w:sz w:val="20"/>
                <w:lang w:val="fr-CA"/>
              </w:rPr>
              <w:t xml:space="preserve"> sont</w:t>
            </w:r>
            <w:r w:rsidRPr="00AD420D">
              <w:rPr>
                <w:sz w:val="20"/>
                <w:lang w:val="fr-CA"/>
              </w:rPr>
              <w:noBreakHyphen/>
              <w:t>ils simplement des modalités volontaires de licence desquels les utilisateurs peuvent « se soustraire », ou une société de gestion peut</w:t>
            </w:r>
            <w:r w:rsidRPr="00AD420D">
              <w:rPr>
                <w:sz w:val="20"/>
                <w:lang w:val="fr-CA"/>
              </w:rPr>
              <w:noBreakHyphen/>
              <w:t>elle les faire exécuter à l’égard de tous les utilisateurs qui reproduisent des œuvres sans autorisation légitime?</w:t>
            </w:r>
          </w:p>
          <w:p w:rsidR="007B7DA1" w:rsidRPr="00AD420D" w:rsidRDefault="007B7DA1" w:rsidP="007B7DA1">
            <w:pPr>
              <w:pStyle w:val="SCCBanSummary"/>
              <w:rPr>
                <w:sz w:val="20"/>
                <w:szCs w:val="20"/>
                <w:lang w:val="fr-CA"/>
              </w:rPr>
            </w:pPr>
          </w:p>
          <w:p w:rsidR="007B7DA1" w:rsidRPr="00AD420D" w:rsidRDefault="007B7DA1" w:rsidP="007B7DA1">
            <w:pPr>
              <w:jc w:val="both"/>
              <w:rPr>
                <w:sz w:val="20"/>
                <w:lang w:val="fr-CA"/>
              </w:rPr>
            </w:pPr>
            <w:r w:rsidRPr="00AD420D">
              <w:rPr>
                <w:sz w:val="20"/>
                <w:lang w:val="fr-CA"/>
              </w:rPr>
              <w:t>Access Copyright a intenté une action contre l’Université York (« York ») afin de faire exécuter le tarif provisoire établi par la Commission du droit d’auteur du Canada à l’égard d’activités de reproduction exercées par les employés de York entre le 1</w:t>
            </w:r>
            <w:r w:rsidRPr="00AD420D">
              <w:rPr>
                <w:sz w:val="20"/>
                <w:vertAlign w:val="superscript"/>
                <w:lang w:val="fr-CA"/>
              </w:rPr>
              <w:t>er</w:t>
            </w:r>
            <w:r w:rsidRPr="00AD420D">
              <w:rPr>
                <w:sz w:val="20"/>
                <w:lang w:val="fr-CA"/>
              </w:rPr>
              <w:t xml:space="preserve"> septembre 2011 et le 31 décembre 2013. Les frais payables se rapportaient à la reproduction de recueils de cours pour les étudiants de York, aux copies numériques accessibles par des systèmes de gestion de l’apprentissage et à toute autre reproduction. York s’est défendue en faisant valoir que le tarif provisoire n’avait pas été approuvé et qu’il ne pouvait donc pas être exécutoire, et qu’il était seulement contraignant à l’égard de l’utilisateur </w:t>
            </w:r>
            <w:r w:rsidRPr="00AD420D">
              <w:rPr>
                <w:sz w:val="20"/>
                <w:lang w:val="fr-CA"/>
              </w:rPr>
              <w:lastRenderedPageBreak/>
              <w:t xml:space="preserve">qui y consent. York a déposé une demande reconventionnelle visant à obtenir une déclaration selon laquelle les reproductions effectuées par ses employés qui étaient visées par ses Lignes directrices sur l’utilisation équitable représentaient l’exception d’« utilisation équitable » prévue à l’art. 29 de la </w:t>
            </w:r>
            <w:r w:rsidRPr="00AD420D">
              <w:rPr>
                <w:i/>
                <w:sz w:val="20"/>
                <w:lang w:val="fr-CA"/>
              </w:rPr>
              <w:t>Loi sur le droit d’auteur</w:t>
            </w:r>
            <w:r w:rsidRPr="00AD420D">
              <w:rPr>
                <w:sz w:val="20"/>
                <w:lang w:val="fr-CA"/>
              </w:rPr>
              <w:t>.</w:t>
            </w:r>
          </w:p>
          <w:p w:rsidR="007B7DA1" w:rsidRPr="00AD420D" w:rsidRDefault="007B7DA1" w:rsidP="007B7DA1">
            <w:pPr>
              <w:jc w:val="both"/>
              <w:rPr>
                <w:sz w:val="20"/>
                <w:lang w:val="fr-CA"/>
              </w:rPr>
            </w:pPr>
          </w:p>
        </w:tc>
      </w:tr>
      <w:tr w:rsidR="007B7DA1" w:rsidRPr="004E02BD" w:rsidTr="00610FEC">
        <w:tc>
          <w:tcPr>
            <w:tcW w:w="5000" w:type="pct"/>
            <w:gridSpan w:val="4"/>
          </w:tcPr>
          <w:p w:rsidR="007B7DA1" w:rsidRPr="00AD420D" w:rsidRDefault="007B7DA1" w:rsidP="007B7DA1">
            <w:pPr>
              <w:jc w:val="both"/>
              <w:rPr>
                <w:sz w:val="20"/>
                <w:lang w:val="fr-CA"/>
              </w:rPr>
            </w:pPr>
            <w:r w:rsidRPr="00AD420D">
              <w:rPr>
                <w:sz w:val="20"/>
                <w:lang w:val="fr-CA"/>
              </w:rPr>
              <w:lastRenderedPageBreak/>
              <w:t>La Cour fédérale a rendu un jugement déclaratoire en faveur d’Access Copyright, selon lequel de septembre 2011 à décembre 2013, York a, directement ou du fait d’autrui, reproduit des œuvres protégées par droit d’auteur et en a autorisé la reproduction, et doit donc payer des redevances à Access Copyright selon le tarif provisoire. La Cour a conclu que les lignes directrices de York n’étaient pas équitables, que ce soit dans leur formulation ou dans leur application, et a rejeté la demande reconventionnelle et la demande de jugement déclaratoire de York. La Cour d’appel fédérale a accueilli l’appel de York, annulé la décision de la Cour fédérale et rejeté l’action d’Access Copyright au motif que le tarif provisoire n’est pas obligatoire pour ceux qui se soustraient à la licence. La Cour a rejeté l’appel interjeté par York contre le rejet de sa demande reconventionnelle.</w:t>
            </w:r>
          </w:p>
        </w:tc>
      </w:tr>
      <w:tr w:rsidR="007B7DA1" w:rsidRPr="004E02BD" w:rsidTr="00610FEC">
        <w:tc>
          <w:tcPr>
            <w:tcW w:w="5000" w:type="pct"/>
            <w:gridSpan w:val="4"/>
          </w:tcPr>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t>17 juillet 2017</w:t>
            </w:r>
          </w:p>
          <w:p w:rsidR="007B7DA1" w:rsidRPr="00AD420D" w:rsidRDefault="007B7DA1" w:rsidP="007B7DA1">
            <w:pPr>
              <w:jc w:val="both"/>
              <w:rPr>
                <w:sz w:val="20"/>
                <w:lang w:val="fr-CA"/>
              </w:rPr>
            </w:pPr>
            <w:r w:rsidRPr="00AD420D">
              <w:rPr>
                <w:sz w:val="20"/>
                <w:lang w:val="fr-CA"/>
              </w:rPr>
              <w:t>Cour fédérale</w:t>
            </w:r>
          </w:p>
          <w:p w:rsidR="007B7DA1" w:rsidRPr="00AD420D" w:rsidRDefault="007B7DA1" w:rsidP="007B7DA1">
            <w:pPr>
              <w:jc w:val="both"/>
              <w:rPr>
                <w:sz w:val="20"/>
                <w:lang w:val="fr-CA"/>
              </w:rPr>
            </w:pPr>
            <w:r w:rsidRPr="00AD420D">
              <w:rPr>
                <w:sz w:val="20"/>
                <w:lang w:val="fr-CA"/>
              </w:rPr>
              <w:t>(Juge Phelan)</w:t>
            </w:r>
          </w:p>
          <w:p w:rsidR="007B7DA1" w:rsidRPr="00AD420D" w:rsidRDefault="004E02BD" w:rsidP="007B7DA1">
            <w:pPr>
              <w:jc w:val="both"/>
              <w:rPr>
                <w:sz w:val="20"/>
                <w:lang w:val="fr-CA"/>
              </w:rPr>
            </w:pPr>
            <w:hyperlink r:id="rId40" w:history="1">
              <w:r w:rsidR="007B7DA1" w:rsidRPr="00AD420D">
                <w:rPr>
                  <w:rStyle w:val="Hyperlink"/>
                  <w:sz w:val="20"/>
                  <w:lang w:val="fr-CA"/>
                </w:rPr>
                <w:t>2017 CF 669</w:t>
              </w:r>
            </w:hyperlink>
          </w:p>
          <w:p w:rsidR="007B7DA1" w:rsidRPr="00AD420D" w:rsidRDefault="007B7DA1" w:rsidP="007B7DA1">
            <w:pPr>
              <w:jc w:val="both"/>
              <w:rPr>
                <w:sz w:val="20"/>
                <w:lang w:val="fr-CA"/>
              </w:rPr>
            </w:pP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lang w:val="fr-CA"/>
              </w:rPr>
            </w:pPr>
            <w:r w:rsidRPr="00AD420D">
              <w:rPr>
                <w:sz w:val="20"/>
                <w:lang w:val="fr-CA"/>
              </w:rPr>
              <w:t>Action d’Access Copyright accueillie et demande reconventionnelle de York rejetée.</w:t>
            </w:r>
          </w:p>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t>22 avril 2020</w:t>
            </w:r>
          </w:p>
          <w:p w:rsidR="007B7DA1" w:rsidRPr="00AD420D" w:rsidRDefault="007B7DA1" w:rsidP="007B7DA1">
            <w:pPr>
              <w:jc w:val="both"/>
              <w:rPr>
                <w:sz w:val="20"/>
                <w:lang w:val="fr-CA"/>
              </w:rPr>
            </w:pPr>
            <w:r w:rsidRPr="00AD420D">
              <w:rPr>
                <w:sz w:val="20"/>
                <w:lang w:val="fr-CA"/>
              </w:rPr>
              <w:t>Cour d’appel fédérale</w:t>
            </w:r>
          </w:p>
          <w:p w:rsidR="007B7DA1" w:rsidRPr="00AD420D" w:rsidRDefault="007B7DA1" w:rsidP="007B7DA1">
            <w:pPr>
              <w:jc w:val="both"/>
              <w:rPr>
                <w:sz w:val="20"/>
                <w:lang w:val="fr-CA"/>
              </w:rPr>
            </w:pPr>
            <w:r w:rsidRPr="00AD420D">
              <w:rPr>
                <w:sz w:val="20"/>
                <w:lang w:val="fr-CA"/>
              </w:rPr>
              <w:t>(Juges Pelletier, de Montigny et Woods)</w:t>
            </w:r>
          </w:p>
          <w:p w:rsidR="007B7DA1" w:rsidRPr="00AD420D" w:rsidRDefault="004E02BD" w:rsidP="007B7DA1">
            <w:pPr>
              <w:jc w:val="both"/>
              <w:rPr>
                <w:sz w:val="20"/>
                <w:lang w:val="fr-CA"/>
              </w:rPr>
            </w:pPr>
            <w:hyperlink r:id="rId41" w:history="1">
              <w:r w:rsidR="007B7DA1" w:rsidRPr="00AD420D">
                <w:rPr>
                  <w:rStyle w:val="Hyperlink"/>
                  <w:sz w:val="20"/>
                  <w:lang w:val="fr-CA"/>
                </w:rPr>
                <w:t>2020 CAF 77</w:t>
              </w:r>
            </w:hyperlink>
            <w:r w:rsidR="007B7DA1" w:rsidRPr="00AD420D">
              <w:rPr>
                <w:sz w:val="20"/>
                <w:lang w:val="fr-CA"/>
              </w:rPr>
              <w:t>; A</w:t>
            </w:r>
            <w:r w:rsidR="007B7DA1" w:rsidRPr="00AD420D">
              <w:rPr>
                <w:sz w:val="20"/>
                <w:lang w:val="fr-CA"/>
              </w:rPr>
              <w:noBreakHyphen/>
              <w:t>259</w:t>
            </w:r>
            <w:r w:rsidR="007B7DA1" w:rsidRPr="00AD420D">
              <w:rPr>
                <w:sz w:val="20"/>
                <w:lang w:val="fr-CA"/>
              </w:rPr>
              <w:noBreakHyphen/>
              <w:t>17</w:t>
            </w: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lang w:val="fr-CA"/>
              </w:rPr>
            </w:pPr>
            <w:r w:rsidRPr="00AD420D">
              <w:rPr>
                <w:sz w:val="20"/>
                <w:lang w:val="fr-CA"/>
              </w:rPr>
              <w:t>Appel interjeté par York contre la décision de la Cour fédérale accueilli, cette décision annulée et action d’Access Copyright rejetée; appel interjeté par York contre le rejet de sa demande reconventionnelle rejeté.</w:t>
            </w:r>
          </w:p>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t>19 juin 2020</w:t>
            </w:r>
          </w:p>
          <w:p w:rsidR="007B7DA1" w:rsidRPr="00AD420D" w:rsidRDefault="007B7DA1" w:rsidP="007B7DA1">
            <w:pPr>
              <w:jc w:val="both"/>
              <w:rPr>
                <w:sz w:val="20"/>
                <w:lang w:val="fr-CA"/>
              </w:rPr>
            </w:pPr>
            <w:r w:rsidRPr="00AD420D">
              <w:rPr>
                <w:sz w:val="20"/>
                <w:lang w:val="fr-CA"/>
              </w:rPr>
              <w:t>Cour suprême du Canada</w:t>
            </w:r>
          </w:p>
          <w:p w:rsidR="007B7DA1" w:rsidRPr="00AD420D" w:rsidRDefault="007B7DA1" w:rsidP="007B7DA1">
            <w:pPr>
              <w:jc w:val="both"/>
              <w:rPr>
                <w:sz w:val="20"/>
                <w:lang w:val="fr-CA"/>
              </w:rPr>
            </w:pP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lang w:val="fr-CA"/>
              </w:rPr>
            </w:pPr>
            <w:r w:rsidRPr="00AD420D">
              <w:rPr>
                <w:sz w:val="20"/>
                <w:lang w:val="fr-CA"/>
              </w:rPr>
              <w:t>Première demande d’autorisation d’appel déposée par l’Université York.</w:t>
            </w:r>
          </w:p>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t>22 juin 2020</w:t>
            </w:r>
          </w:p>
          <w:p w:rsidR="007B7DA1" w:rsidRPr="00AD420D" w:rsidRDefault="007B7DA1" w:rsidP="007B7DA1">
            <w:pPr>
              <w:jc w:val="both"/>
              <w:rPr>
                <w:sz w:val="20"/>
                <w:lang w:val="fr-CA"/>
              </w:rPr>
            </w:pPr>
            <w:r w:rsidRPr="00AD420D">
              <w:rPr>
                <w:sz w:val="20"/>
                <w:lang w:val="fr-CA"/>
              </w:rPr>
              <w:t>Cour suprême du Canada</w:t>
            </w: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lang w:val="fr-CA"/>
              </w:rPr>
            </w:pPr>
            <w:r w:rsidRPr="00AD420D">
              <w:rPr>
                <w:sz w:val="20"/>
                <w:lang w:val="fr-CA"/>
              </w:rPr>
              <w:t>Deuxième demande d’autorisation d’appel déposée par Access Copyright.</w:t>
            </w:r>
          </w:p>
        </w:tc>
      </w:tr>
    </w:tbl>
    <w:p w:rsidR="007B7DA1" w:rsidRPr="00AD420D" w:rsidRDefault="007B7DA1" w:rsidP="007B7DA1">
      <w:pPr>
        <w:jc w:val="both"/>
        <w:rPr>
          <w:sz w:val="20"/>
          <w:lang w:val="fr-CA"/>
        </w:rPr>
      </w:pPr>
    </w:p>
    <w:p w:rsidR="008C3373" w:rsidRPr="00AD420D" w:rsidRDefault="004E02BD" w:rsidP="007B7DA1">
      <w:pPr>
        <w:jc w:val="both"/>
        <w:rPr>
          <w:sz w:val="20"/>
          <w:lang w:val="fr-CA"/>
        </w:rPr>
      </w:pPr>
      <w:r>
        <w:rPr>
          <w:sz w:val="20"/>
        </w:rPr>
        <w:pict>
          <v:rect id="_x0000_i1040" style="width:2in;height:1pt" o:hrpct="0" o:hralign="center" o:hrstd="t" o:hrnoshade="t" o:hr="t" fillcolor="black [3213]" stroked="f"/>
        </w:pict>
      </w:r>
    </w:p>
    <w:p w:rsidR="00AE6180" w:rsidRPr="00AD420D" w:rsidRDefault="00AE6180" w:rsidP="007B7DA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DA1" w:rsidRPr="00AD420D" w:rsidTr="00610FEC">
        <w:tc>
          <w:tcPr>
            <w:tcW w:w="543" w:type="pct"/>
          </w:tcPr>
          <w:p w:rsidR="007B7DA1" w:rsidRPr="00AD420D" w:rsidRDefault="007B7DA1" w:rsidP="007B7DA1">
            <w:pPr>
              <w:jc w:val="both"/>
              <w:rPr>
                <w:sz w:val="20"/>
              </w:rPr>
            </w:pPr>
            <w:r w:rsidRPr="00AD420D">
              <w:rPr>
                <w:rStyle w:val="SCCFileNumberChar"/>
                <w:sz w:val="20"/>
                <w:szCs w:val="20"/>
              </w:rPr>
              <w:t>39202</w:t>
            </w:r>
          </w:p>
        </w:tc>
        <w:tc>
          <w:tcPr>
            <w:tcW w:w="4457" w:type="pct"/>
            <w:gridSpan w:val="3"/>
          </w:tcPr>
          <w:p w:rsidR="007B7DA1" w:rsidRPr="00AD420D" w:rsidRDefault="007B7DA1" w:rsidP="007B7DA1">
            <w:pPr>
              <w:pStyle w:val="SCCLsocParty"/>
              <w:jc w:val="both"/>
              <w:rPr>
                <w:b/>
                <w:sz w:val="20"/>
                <w:szCs w:val="20"/>
                <w:lang w:val="en-US"/>
              </w:rPr>
            </w:pPr>
            <w:r w:rsidRPr="00AD420D">
              <w:rPr>
                <w:b/>
                <w:sz w:val="20"/>
                <w:szCs w:val="20"/>
                <w:lang w:val="en-US"/>
              </w:rPr>
              <w:t>Democracy Watch v. Attorney General of Canada</w:t>
            </w:r>
          </w:p>
          <w:p w:rsidR="007B7DA1" w:rsidRPr="00AD420D" w:rsidRDefault="007B7DA1" w:rsidP="008C3373">
            <w:pPr>
              <w:jc w:val="both"/>
              <w:rPr>
                <w:sz w:val="20"/>
              </w:rPr>
            </w:pPr>
            <w:r w:rsidRPr="00AD420D">
              <w:rPr>
                <w:sz w:val="20"/>
              </w:rPr>
              <w:t>(F</w:t>
            </w:r>
            <w:r w:rsidR="008C3373" w:rsidRPr="00AD420D">
              <w:rPr>
                <w:sz w:val="20"/>
              </w:rPr>
              <w:t>.</w:t>
            </w:r>
            <w:r w:rsidRPr="00AD420D">
              <w:rPr>
                <w:sz w:val="20"/>
              </w:rPr>
              <w:t>C</w:t>
            </w:r>
            <w:r w:rsidR="008C3373" w:rsidRPr="00AD420D">
              <w:rPr>
                <w:sz w:val="20"/>
              </w:rPr>
              <w:t>.</w:t>
            </w:r>
            <w:r w:rsidRPr="00AD420D">
              <w:rPr>
                <w:sz w:val="20"/>
              </w:rPr>
              <w:t>) (Civil) (By Leave)</w:t>
            </w:r>
          </w:p>
        </w:tc>
      </w:tr>
      <w:tr w:rsidR="007B7DA1" w:rsidRPr="00AD420D" w:rsidTr="00610FEC">
        <w:tc>
          <w:tcPr>
            <w:tcW w:w="5000" w:type="pct"/>
            <w:gridSpan w:val="4"/>
          </w:tcPr>
          <w:p w:rsidR="007B7DA1" w:rsidRPr="00AD420D" w:rsidRDefault="007B7DA1" w:rsidP="007B7DA1">
            <w:pPr>
              <w:jc w:val="both"/>
              <w:rPr>
                <w:sz w:val="20"/>
              </w:rPr>
            </w:pPr>
            <w:r w:rsidRPr="00AD420D">
              <w:rPr>
                <w:sz w:val="20"/>
              </w:rPr>
              <w:t xml:space="preserve">Administrative law — Judicial review — Legislation — Interpretation — Is it an issue of public importance whether and how the federal Commissioner of Lobbying is required to investigate a complaint by a member of the public that a lobbyist has violated the </w:t>
            </w:r>
            <w:r w:rsidRPr="00AD420D">
              <w:rPr>
                <w:i/>
                <w:sz w:val="20"/>
                <w:lang w:val="en"/>
              </w:rPr>
              <w:t>Lobbying Act</w:t>
            </w:r>
            <w:r w:rsidRPr="00AD420D">
              <w:rPr>
                <w:sz w:val="20"/>
                <w:lang w:val="en"/>
              </w:rPr>
              <w:t>, RSC 1985, c. 44 (4th Supp) (</w:t>
            </w:r>
            <w:r w:rsidRPr="00AD420D">
              <w:rPr>
                <w:i/>
                <w:sz w:val="20"/>
                <w:lang w:val="en"/>
              </w:rPr>
              <w:t>Act</w:t>
            </w:r>
            <w:r w:rsidRPr="00AD420D">
              <w:rPr>
                <w:sz w:val="20"/>
                <w:lang w:val="en"/>
              </w:rPr>
              <w:t xml:space="preserve">) </w:t>
            </w:r>
            <w:r w:rsidRPr="00AD420D">
              <w:rPr>
                <w:sz w:val="20"/>
              </w:rPr>
              <w:t xml:space="preserve">and/or </w:t>
            </w:r>
            <w:r w:rsidRPr="00AD420D">
              <w:rPr>
                <w:sz w:val="20"/>
                <w:lang w:val="en"/>
              </w:rPr>
              <w:t>the Lobbyists’ Code of Conduct</w:t>
            </w:r>
            <w:r w:rsidRPr="00AD420D">
              <w:rPr>
                <w:i/>
                <w:sz w:val="20"/>
                <w:lang w:val="en"/>
              </w:rPr>
              <w:t>,</w:t>
            </w:r>
            <w:r w:rsidRPr="00AD420D">
              <w:rPr>
                <w:sz w:val="20"/>
                <w:lang w:val="en"/>
              </w:rPr>
              <w:t xml:space="preserve"> Ottawa: Office of the Commissioner of Lobbying, December 1, 2015 (Lobbyists’ Code)</w:t>
            </w:r>
            <w:r w:rsidRPr="00AD420D">
              <w:rPr>
                <w:sz w:val="20"/>
              </w:rPr>
              <w:t xml:space="preserve"> under s. 10.4(1) of the </w:t>
            </w:r>
            <w:r w:rsidRPr="00AD420D">
              <w:rPr>
                <w:i/>
                <w:sz w:val="20"/>
              </w:rPr>
              <w:t>Act</w:t>
            </w:r>
            <w:r w:rsidRPr="00AD420D">
              <w:rPr>
                <w:sz w:val="20"/>
              </w:rPr>
              <w:t xml:space="preserve"> — Did the Federal Court of Appeal err in law in interpreting s. 10.4(1) of the </w:t>
            </w:r>
            <w:r w:rsidRPr="00AD420D">
              <w:rPr>
                <w:i/>
                <w:sz w:val="20"/>
              </w:rPr>
              <w:t>Act</w:t>
            </w:r>
            <w:r w:rsidRPr="00AD420D">
              <w:rPr>
                <w:sz w:val="20"/>
              </w:rPr>
              <w:t xml:space="preserve"> to mean that only MPs and senators have a right to file a petition for investigation with the Commissioner, and that the public does not have a right to file such a petition.</w:t>
            </w:r>
          </w:p>
          <w:p w:rsidR="007B7DA1" w:rsidRPr="00AD420D" w:rsidRDefault="007B7DA1" w:rsidP="008C3373">
            <w:pPr>
              <w:spacing w:before="100" w:beforeAutospacing="1" w:after="100" w:afterAutospacing="1"/>
              <w:jc w:val="both"/>
              <w:rPr>
                <w:sz w:val="20"/>
                <w:lang w:val="en"/>
              </w:rPr>
            </w:pPr>
            <w:r w:rsidRPr="00AD420D">
              <w:rPr>
                <w:sz w:val="20"/>
                <w:lang w:val="en"/>
              </w:rPr>
              <w:t xml:space="preserve">A complaint was filed by a private citizen with the Office of the Commissioner of Lobbying asserting that Prince Sha Karim Al Hussaini Aga Khan (Aga Khan) was in breach of the </w:t>
            </w:r>
            <w:r w:rsidRPr="00AD420D">
              <w:rPr>
                <w:i/>
                <w:sz w:val="20"/>
                <w:lang w:val="en"/>
              </w:rPr>
              <w:t>Act</w:t>
            </w:r>
            <w:r w:rsidRPr="00AD420D">
              <w:rPr>
                <w:sz w:val="20"/>
                <w:lang w:val="en"/>
              </w:rPr>
              <w:t xml:space="preserve"> and the </w:t>
            </w:r>
            <w:r w:rsidRPr="00AD420D">
              <w:rPr>
                <w:i/>
                <w:sz w:val="20"/>
                <w:lang w:val="en"/>
              </w:rPr>
              <w:t xml:space="preserve">Lobbyists’ Code </w:t>
            </w:r>
            <w:r w:rsidRPr="00AD420D">
              <w:rPr>
                <w:sz w:val="20"/>
                <w:lang w:val="en"/>
              </w:rPr>
              <w:t xml:space="preserve">by gifting a New Year vacation on his private Caribbean island to Prime Minister Justin Trudeau and his family. The Aga Khan Foundation is a registered lobbyist under the </w:t>
            </w:r>
            <w:r w:rsidRPr="00AD420D">
              <w:rPr>
                <w:i/>
                <w:sz w:val="20"/>
                <w:lang w:val="en"/>
              </w:rPr>
              <w:t>Act</w:t>
            </w:r>
            <w:r w:rsidRPr="00AD420D">
              <w:rPr>
                <w:sz w:val="20"/>
                <w:lang w:val="en"/>
              </w:rPr>
              <w:t>. The Aga Khan sits on the Board of the Foundation in an unpaid position, as a volunteer. The Office of the Lobbying Commissioner began an internal review process, and the Director of Investigations recommended that the file be closed without further investigation on the basis that the Lobbyists’ Code</w:t>
            </w:r>
            <w:r w:rsidRPr="00AD420D">
              <w:rPr>
                <w:i/>
                <w:sz w:val="20"/>
                <w:lang w:val="en"/>
              </w:rPr>
              <w:t xml:space="preserve"> </w:t>
            </w:r>
            <w:r w:rsidRPr="00AD420D">
              <w:rPr>
                <w:sz w:val="20"/>
                <w:lang w:val="en"/>
              </w:rPr>
              <w:t>does not apply to the Aga Khan’s interactions with the Prime Minister.  There was no evidence that the Aga Khan was remunerated for his work with the Foundation or that he was engaged in registrable lobbying activity during the Prime Minister’s Christmas vacation. The interim Commissioner concluded that an investigation was not necessary to ensure compliance with the Lobbyists’ Code</w:t>
            </w:r>
            <w:r w:rsidRPr="00AD420D">
              <w:rPr>
                <w:i/>
                <w:sz w:val="20"/>
                <w:lang w:val="en"/>
              </w:rPr>
              <w:t xml:space="preserve"> </w:t>
            </w:r>
            <w:r w:rsidRPr="00AD420D">
              <w:rPr>
                <w:sz w:val="20"/>
                <w:lang w:val="en"/>
              </w:rPr>
              <w:t xml:space="preserve">or the </w:t>
            </w:r>
            <w:r w:rsidRPr="00AD420D">
              <w:rPr>
                <w:i/>
                <w:sz w:val="20"/>
                <w:lang w:val="en"/>
              </w:rPr>
              <w:t xml:space="preserve">Act </w:t>
            </w:r>
            <w:r w:rsidRPr="00AD420D">
              <w:rPr>
                <w:sz w:val="20"/>
                <w:lang w:val="en"/>
              </w:rPr>
              <w:t>and informed the complainant. The applicant, Democracy Watch, brought an application for judicial review.</w:t>
            </w:r>
          </w:p>
          <w:p w:rsidR="007B7DA1" w:rsidRPr="00AD420D" w:rsidRDefault="007B7DA1" w:rsidP="007B7DA1">
            <w:pPr>
              <w:jc w:val="both"/>
              <w:rPr>
                <w:sz w:val="20"/>
                <w:lang w:val="en"/>
              </w:rPr>
            </w:pPr>
            <w:r w:rsidRPr="00AD420D">
              <w:rPr>
                <w:sz w:val="20"/>
                <w:lang w:val="en"/>
              </w:rPr>
              <w:t xml:space="preserve">The Federal Court held that the Commissioner’s decision was subject to judicial review and was unreasonable. It granted the application for judicial review, set aside the Commissioner’s decision and returned the matter to the </w:t>
            </w:r>
            <w:r w:rsidRPr="00AD420D">
              <w:rPr>
                <w:sz w:val="20"/>
                <w:lang w:val="en"/>
              </w:rPr>
              <w:lastRenderedPageBreak/>
              <w:t xml:space="preserve">Commissioner of Lobbying for redetermination in accordance with its reasons. The Federal Court of Appeal allowed the appeal, set aside the Federal Court decision and dismissed the application for judicial review. Interpreting the </w:t>
            </w:r>
            <w:r w:rsidRPr="00AD420D">
              <w:rPr>
                <w:i/>
                <w:sz w:val="20"/>
                <w:lang w:val="en"/>
              </w:rPr>
              <w:t>Act</w:t>
            </w:r>
            <w:r w:rsidRPr="00AD420D">
              <w:rPr>
                <w:sz w:val="20"/>
                <w:lang w:val="en"/>
              </w:rPr>
              <w:t>, it held that as there was no obligation upon the Commissioner to act on a complaint by the public, her decision not to investigate the complaint in this case was not subject to judicial review.</w:t>
            </w:r>
          </w:p>
          <w:p w:rsidR="007B7DA1" w:rsidRPr="00AD420D" w:rsidRDefault="007B7DA1" w:rsidP="007B7DA1">
            <w:pPr>
              <w:jc w:val="both"/>
              <w:rPr>
                <w:sz w:val="20"/>
              </w:rPr>
            </w:pPr>
          </w:p>
        </w:tc>
      </w:tr>
      <w:tr w:rsidR="007B7DA1" w:rsidRPr="00AD420D" w:rsidTr="00610FEC">
        <w:tc>
          <w:tcPr>
            <w:tcW w:w="2427" w:type="pct"/>
            <w:gridSpan w:val="2"/>
          </w:tcPr>
          <w:p w:rsidR="007B7DA1" w:rsidRPr="00AD420D" w:rsidRDefault="007B7DA1" w:rsidP="007B7DA1">
            <w:pPr>
              <w:jc w:val="both"/>
              <w:rPr>
                <w:sz w:val="20"/>
              </w:rPr>
            </w:pPr>
            <w:r w:rsidRPr="00AD420D">
              <w:rPr>
                <w:sz w:val="20"/>
              </w:rPr>
              <w:lastRenderedPageBreak/>
              <w:t>March 29, 2019</w:t>
            </w:r>
          </w:p>
          <w:p w:rsidR="007B7DA1" w:rsidRPr="00AD420D" w:rsidRDefault="007B7DA1" w:rsidP="007B7DA1">
            <w:pPr>
              <w:jc w:val="both"/>
              <w:rPr>
                <w:sz w:val="20"/>
              </w:rPr>
            </w:pPr>
            <w:r w:rsidRPr="00AD420D">
              <w:rPr>
                <w:sz w:val="20"/>
              </w:rPr>
              <w:t>Federal Court</w:t>
            </w:r>
          </w:p>
          <w:p w:rsidR="007B7DA1" w:rsidRPr="00AD420D" w:rsidRDefault="007B7DA1" w:rsidP="007B7DA1">
            <w:pPr>
              <w:jc w:val="both"/>
              <w:rPr>
                <w:sz w:val="20"/>
              </w:rPr>
            </w:pPr>
            <w:r w:rsidRPr="00AD420D">
              <w:rPr>
                <w:sz w:val="20"/>
              </w:rPr>
              <w:t>(Gleeson J.)</w:t>
            </w:r>
          </w:p>
          <w:p w:rsidR="007B7DA1" w:rsidRPr="00AD420D" w:rsidRDefault="004E02BD" w:rsidP="007B7DA1">
            <w:pPr>
              <w:jc w:val="both"/>
              <w:rPr>
                <w:sz w:val="20"/>
              </w:rPr>
            </w:pPr>
            <w:hyperlink r:id="rId42" w:history="1">
              <w:r w:rsidR="007B7DA1" w:rsidRPr="00AD420D">
                <w:rPr>
                  <w:rStyle w:val="Hyperlink"/>
                  <w:sz w:val="20"/>
                </w:rPr>
                <w:t>2019 FC 388</w:t>
              </w:r>
            </w:hyperlink>
          </w:p>
          <w:p w:rsidR="007B7DA1" w:rsidRPr="00AD420D" w:rsidRDefault="007B7DA1" w:rsidP="007B7DA1">
            <w:pPr>
              <w:jc w:val="both"/>
              <w:rPr>
                <w:sz w:val="20"/>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rPr>
            </w:pPr>
            <w:r w:rsidRPr="00AD420D">
              <w:rPr>
                <w:sz w:val="20"/>
              </w:rPr>
              <w:t>Applicant’s a</w:t>
            </w:r>
            <w:r w:rsidRPr="00AD420D">
              <w:rPr>
                <w:sz w:val="20"/>
                <w:lang w:val="en"/>
              </w:rPr>
              <w:t>pplication for judicial review granted, Commissioner’s decision set aside and matter referred back to the Commissioner for redetermination</w:t>
            </w:r>
            <w:r w:rsidRPr="00AD420D">
              <w:rPr>
                <w:sz w:val="20"/>
              </w:rPr>
              <w:t>.</w:t>
            </w:r>
          </w:p>
          <w:p w:rsidR="007B7DA1" w:rsidRPr="00AD420D" w:rsidRDefault="007B7DA1" w:rsidP="007B7DA1">
            <w:pPr>
              <w:jc w:val="both"/>
              <w:rPr>
                <w:sz w:val="20"/>
              </w:rPr>
            </w:pPr>
          </w:p>
        </w:tc>
      </w:tr>
      <w:tr w:rsidR="007B7DA1" w:rsidRPr="00AD420D" w:rsidTr="00610FEC">
        <w:tc>
          <w:tcPr>
            <w:tcW w:w="2427" w:type="pct"/>
            <w:gridSpan w:val="2"/>
          </w:tcPr>
          <w:p w:rsidR="007B7DA1" w:rsidRPr="00AD420D" w:rsidRDefault="007B7DA1" w:rsidP="007B7DA1">
            <w:pPr>
              <w:jc w:val="both"/>
              <w:rPr>
                <w:sz w:val="20"/>
              </w:rPr>
            </w:pPr>
            <w:r w:rsidRPr="00AD420D">
              <w:rPr>
                <w:sz w:val="20"/>
              </w:rPr>
              <w:t>April 1, 2020</w:t>
            </w:r>
          </w:p>
          <w:p w:rsidR="007B7DA1" w:rsidRPr="00AD420D" w:rsidRDefault="007B7DA1" w:rsidP="007B7DA1">
            <w:pPr>
              <w:jc w:val="both"/>
              <w:rPr>
                <w:sz w:val="20"/>
              </w:rPr>
            </w:pPr>
            <w:r w:rsidRPr="00AD420D">
              <w:rPr>
                <w:sz w:val="20"/>
              </w:rPr>
              <w:t>Federal Court of Appeal</w:t>
            </w:r>
          </w:p>
          <w:p w:rsidR="007B7DA1" w:rsidRPr="00AD420D" w:rsidRDefault="007B7DA1" w:rsidP="007B7DA1">
            <w:pPr>
              <w:jc w:val="both"/>
              <w:rPr>
                <w:sz w:val="20"/>
              </w:rPr>
            </w:pPr>
            <w:r w:rsidRPr="00AD420D">
              <w:rPr>
                <w:sz w:val="20"/>
              </w:rPr>
              <w:t>(Webb, Rennie and Mactavish JJ.A.)</w:t>
            </w:r>
          </w:p>
          <w:p w:rsidR="007B7DA1" w:rsidRPr="00AD420D" w:rsidRDefault="004E02BD" w:rsidP="007B7DA1">
            <w:pPr>
              <w:jc w:val="both"/>
              <w:rPr>
                <w:rStyle w:val="Hyperlink"/>
                <w:sz w:val="20"/>
              </w:rPr>
            </w:pPr>
            <w:hyperlink r:id="rId43" w:history="1">
              <w:r w:rsidR="007B7DA1" w:rsidRPr="00AD420D">
                <w:rPr>
                  <w:rStyle w:val="Hyperlink"/>
                  <w:sz w:val="20"/>
                </w:rPr>
                <w:t>2020 FCA 69</w:t>
              </w:r>
            </w:hyperlink>
          </w:p>
          <w:p w:rsidR="007B7DA1" w:rsidRPr="00AD420D" w:rsidRDefault="007B7DA1" w:rsidP="007B7DA1">
            <w:pPr>
              <w:jc w:val="both"/>
              <w:rPr>
                <w:sz w:val="20"/>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rPr>
            </w:pPr>
            <w:r w:rsidRPr="00AD420D">
              <w:rPr>
                <w:sz w:val="20"/>
                <w:lang w:val="en"/>
              </w:rPr>
              <w:t>Appeal allowed, the Federal Court decision set aside and the application for judicial review dismissed.</w:t>
            </w:r>
          </w:p>
        </w:tc>
      </w:tr>
      <w:tr w:rsidR="007B7DA1" w:rsidRPr="00AD420D" w:rsidTr="00610FEC">
        <w:tc>
          <w:tcPr>
            <w:tcW w:w="2427" w:type="pct"/>
            <w:gridSpan w:val="2"/>
          </w:tcPr>
          <w:p w:rsidR="007B7DA1" w:rsidRPr="00AD420D" w:rsidRDefault="007B7DA1" w:rsidP="007B7DA1">
            <w:pPr>
              <w:jc w:val="both"/>
              <w:rPr>
                <w:sz w:val="20"/>
              </w:rPr>
            </w:pPr>
            <w:r w:rsidRPr="00AD420D">
              <w:rPr>
                <w:sz w:val="20"/>
              </w:rPr>
              <w:t>June 2, 2020</w:t>
            </w:r>
          </w:p>
          <w:p w:rsidR="007B7DA1" w:rsidRPr="00AD420D" w:rsidRDefault="007B7DA1" w:rsidP="007B7DA1">
            <w:pPr>
              <w:jc w:val="both"/>
              <w:rPr>
                <w:sz w:val="20"/>
              </w:rPr>
            </w:pPr>
            <w:r w:rsidRPr="00AD420D">
              <w:rPr>
                <w:sz w:val="20"/>
              </w:rPr>
              <w:t>Supreme Court of Canada</w:t>
            </w: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rPr>
            </w:pPr>
            <w:r w:rsidRPr="00AD420D">
              <w:rPr>
                <w:sz w:val="20"/>
              </w:rPr>
              <w:t>Application for leave to appeal filed</w:t>
            </w:r>
          </w:p>
          <w:p w:rsidR="007B7DA1" w:rsidRPr="00AD420D" w:rsidRDefault="007B7DA1" w:rsidP="007B7DA1">
            <w:pPr>
              <w:jc w:val="both"/>
              <w:rPr>
                <w:sz w:val="20"/>
              </w:rPr>
            </w:pPr>
          </w:p>
        </w:tc>
      </w:tr>
    </w:tbl>
    <w:p w:rsidR="007B7DA1" w:rsidRPr="00AD420D" w:rsidRDefault="007B7DA1" w:rsidP="007B7DA1">
      <w:pPr>
        <w:jc w:val="both"/>
        <w:rPr>
          <w:sz w:val="20"/>
        </w:rPr>
      </w:pPr>
    </w:p>
    <w:p w:rsidR="008C3373" w:rsidRPr="00AD420D" w:rsidRDefault="004E02BD" w:rsidP="007B7DA1">
      <w:pPr>
        <w:jc w:val="both"/>
        <w:rPr>
          <w:sz w:val="20"/>
        </w:rPr>
      </w:pPr>
      <w:r>
        <w:rPr>
          <w:sz w:val="20"/>
        </w:rPr>
        <w:pict>
          <v:rect id="_x0000_i1041" style="width:2in;height:1pt" o:hrpct="0" o:hralign="center" o:hrstd="t" o:hrnoshade="t" o:hr="t" fillcolor="black [3213]" stroked="f"/>
        </w:pict>
      </w:r>
    </w:p>
    <w:p w:rsidR="008C3373" w:rsidRPr="00AD420D" w:rsidRDefault="008C3373" w:rsidP="007B7DA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DA1" w:rsidRPr="00AD420D" w:rsidTr="00610FEC">
        <w:tc>
          <w:tcPr>
            <w:tcW w:w="543" w:type="pct"/>
          </w:tcPr>
          <w:p w:rsidR="007B7DA1" w:rsidRPr="00AD420D" w:rsidRDefault="007B7DA1" w:rsidP="007B7DA1">
            <w:pPr>
              <w:jc w:val="both"/>
              <w:rPr>
                <w:sz w:val="20"/>
                <w:lang w:val="fr-CA"/>
              </w:rPr>
            </w:pPr>
            <w:r w:rsidRPr="00AD420D">
              <w:rPr>
                <w:rStyle w:val="SCCFileNumberChar"/>
                <w:sz w:val="20"/>
                <w:szCs w:val="20"/>
                <w:lang w:val="fr-CA"/>
              </w:rPr>
              <w:t>39202</w:t>
            </w:r>
          </w:p>
        </w:tc>
        <w:tc>
          <w:tcPr>
            <w:tcW w:w="4457" w:type="pct"/>
            <w:gridSpan w:val="3"/>
          </w:tcPr>
          <w:p w:rsidR="007B7DA1" w:rsidRPr="00AD420D" w:rsidRDefault="007B7DA1" w:rsidP="007B7DA1">
            <w:pPr>
              <w:pStyle w:val="SCCLsocParty"/>
              <w:jc w:val="both"/>
              <w:rPr>
                <w:b/>
                <w:sz w:val="20"/>
                <w:szCs w:val="20"/>
              </w:rPr>
            </w:pPr>
            <w:r w:rsidRPr="00AD420D">
              <w:rPr>
                <w:b/>
                <w:sz w:val="20"/>
                <w:szCs w:val="20"/>
              </w:rPr>
              <w:t>Démocratie en surveillance c. Procureur général du Canada</w:t>
            </w:r>
          </w:p>
          <w:p w:rsidR="007B7DA1" w:rsidRPr="00AD420D" w:rsidRDefault="007B7DA1" w:rsidP="008C3373">
            <w:pPr>
              <w:jc w:val="both"/>
              <w:rPr>
                <w:sz w:val="20"/>
                <w:lang w:val="fr-CA"/>
              </w:rPr>
            </w:pPr>
            <w:r w:rsidRPr="00AD420D">
              <w:rPr>
                <w:sz w:val="20"/>
                <w:lang w:val="fr-CA"/>
              </w:rPr>
              <w:t>(C</w:t>
            </w:r>
            <w:r w:rsidR="008C3373" w:rsidRPr="00AD420D">
              <w:rPr>
                <w:sz w:val="20"/>
                <w:lang w:val="fr-CA"/>
              </w:rPr>
              <w:t>.</w:t>
            </w:r>
            <w:r w:rsidRPr="00AD420D">
              <w:rPr>
                <w:sz w:val="20"/>
                <w:lang w:val="fr-CA"/>
              </w:rPr>
              <w:t>F</w:t>
            </w:r>
            <w:r w:rsidR="008C3373" w:rsidRPr="00AD420D">
              <w:rPr>
                <w:sz w:val="20"/>
                <w:lang w:val="fr-CA"/>
              </w:rPr>
              <w:t>.</w:t>
            </w:r>
            <w:r w:rsidRPr="00AD420D">
              <w:rPr>
                <w:sz w:val="20"/>
                <w:lang w:val="fr-CA"/>
              </w:rPr>
              <w:t>) (Civile) (Autorisation)</w:t>
            </w:r>
          </w:p>
        </w:tc>
      </w:tr>
      <w:tr w:rsidR="007B7DA1" w:rsidRPr="004E02BD" w:rsidTr="00610FEC">
        <w:tc>
          <w:tcPr>
            <w:tcW w:w="5000" w:type="pct"/>
            <w:gridSpan w:val="4"/>
          </w:tcPr>
          <w:p w:rsidR="007B7DA1" w:rsidRPr="00AD420D" w:rsidRDefault="007B7DA1" w:rsidP="007B7DA1">
            <w:pPr>
              <w:jc w:val="both"/>
              <w:rPr>
                <w:sz w:val="20"/>
                <w:lang w:val="fr-CA"/>
              </w:rPr>
            </w:pPr>
            <w:r w:rsidRPr="00AD420D">
              <w:rPr>
                <w:sz w:val="20"/>
                <w:lang w:val="fr-CA"/>
              </w:rPr>
              <w:t xml:space="preserve">Droit administratif — Contrôle judiciaire — Législation — Interprétation — La question de savoir si la commissaire fédérale au lobbying est tenue d’enquêter à la suite d’une plainte d’un membre du public comme quoi un lobbyiste a violé la </w:t>
            </w:r>
            <w:r w:rsidRPr="00AD420D">
              <w:rPr>
                <w:i/>
                <w:sz w:val="20"/>
                <w:lang w:val="fr-CA"/>
              </w:rPr>
              <w:t>Loi sur le lobbying</w:t>
            </w:r>
            <w:r w:rsidRPr="00AD420D">
              <w:rPr>
                <w:sz w:val="20"/>
                <w:lang w:val="fr-CA"/>
              </w:rPr>
              <w:t>, LRC 1985, ch. 44 (4</w:t>
            </w:r>
            <w:r w:rsidRPr="00AD420D">
              <w:rPr>
                <w:sz w:val="20"/>
                <w:vertAlign w:val="superscript"/>
                <w:lang w:val="fr-CA"/>
              </w:rPr>
              <w:t>e</w:t>
            </w:r>
            <w:r w:rsidRPr="00AD420D">
              <w:rPr>
                <w:sz w:val="20"/>
                <w:lang w:val="fr-CA"/>
              </w:rPr>
              <w:t xml:space="preserve"> suppl.) (la </w:t>
            </w:r>
            <w:r w:rsidRPr="00AD420D">
              <w:rPr>
                <w:i/>
                <w:sz w:val="20"/>
                <w:lang w:val="fr-CA"/>
              </w:rPr>
              <w:t>Loi</w:t>
            </w:r>
            <w:r w:rsidRPr="00AD420D">
              <w:rPr>
                <w:sz w:val="20"/>
                <w:lang w:val="fr-CA"/>
              </w:rPr>
              <w:t>) ou le  au </w:t>
            </w:r>
            <w:r w:rsidRPr="00AD420D">
              <w:rPr>
                <w:i/>
                <w:iCs/>
                <w:sz w:val="20"/>
                <w:lang w:val="fr-CA"/>
              </w:rPr>
              <w:t>Code de déontologie des lobbyistes </w:t>
            </w:r>
            <w:r w:rsidRPr="00AD420D">
              <w:rPr>
                <w:sz w:val="20"/>
                <w:lang w:val="fr-CA"/>
              </w:rPr>
              <w:t>(Ottawa : Bureau de la commissaire au lobbying, 1</w:t>
            </w:r>
            <w:r w:rsidRPr="00AD420D">
              <w:rPr>
                <w:sz w:val="20"/>
                <w:vertAlign w:val="superscript"/>
                <w:lang w:val="fr-CA"/>
              </w:rPr>
              <w:t>er</w:t>
            </w:r>
            <w:r w:rsidRPr="00AD420D">
              <w:rPr>
                <w:sz w:val="20"/>
                <w:lang w:val="fr-CA"/>
              </w:rPr>
              <w:t xml:space="preserve"> décembre 2015) (le </w:t>
            </w:r>
            <w:r w:rsidRPr="00AD420D">
              <w:rPr>
                <w:i/>
                <w:sz w:val="20"/>
                <w:lang w:val="fr-CA"/>
              </w:rPr>
              <w:t>Code des lobbyistes</w:t>
            </w:r>
            <w:r w:rsidRPr="00AD420D">
              <w:rPr>
                <w:sz w:val="20"/>
                <w:lang w:val="fr-CA"/>
              </w:rPr>
              <w:t xml:space="preserve">) en vertu du par. 10.4(1) de la </w:t>
            </w:r>
            <w:r w:rsidRPr="00AD420D">
              <w:rPr>
                <w:i/>
                <w:sz w:val="20"/>
                <w:lang w:val="fr-CA"/>
              </w:rPr>
              <w:t>Loi</w:t>
            </w:r>
            <w:r w:rsidRPr="00AD420D">
              <w:rPr>
                <w:sz w:val="20"/>
                <w:lang w:val="fr-CA"/>
              </w:rPr>
              <w:t xml:space="preserve"> et comment elle doit le faire, le cas échéant, revêt</w:t>
            </w:r>
            <w:r w:rsidRPr="00AD420D">
              <w:rPr>
                <w:sz w:val="20"/>
                <w:lang w:val="fr-CA"/>
              </w:rPr>
              <w:noBreakHyphen/>
              <w:t>elle de l’importance pour le public? — La Cour d’appel fédérale a</w:t>
            </w:r>
            <w:r w:rsidRPr="00AD420D">
              <w:rPr>
                <w:sz w:val="20"/>
                <w:lang w:val="fr-CA"/>
              </w:rPr>
              <w:noBreakHyphen/>
              <w:t>t</w:t>
            </w:r>
            <w:r w:rsidRPr="00AD420D">
              <w:rPr>
                <w:sz w:val="20"/>
                <w:lang w:val="fr-CA"/>
              </w:rPr>
              <w:noBreakHyphen/>
              <w:t xml:space="preserve">elle commis une erreur de droit en interprétant le par. 10.4(1) de la </w:t>
            </w:r>
            <w:r w:rsidRPr="00AD420D">
              <w:rPr>
                <w:i/>
                <w:sz w:val="20"/>
                <w:lang w:val="fr-CA"/>
              </w:rPr>
              <w:t>Loi</w:t>
            </w:r>
            <w:r w:rsidRPr="00AD420D">
              <w:rPr>
                <w:sz w:val="20"/>
                <w:lang w:val="fr-CA"/>
              </w:rPr>
              <w:t xml:space="preserve"> comme voulant dire que seuls les députés fédéraux et les sénateurs ont le droit de déposer une requête à la commissaire pour faire enquête et que le public n’a pas ce droit?</w:t>
            </w:r>
          </w:p>
          <w:p w:rsidR="007B7DA1" w:rsidRPr="00AD420D" w:rsidRDefault="007B7DA1" w:rsidP="008C3373">
            <w:pPr>
              <w:spacing w:before="100" w:beforeAutospacing="1" w:after="100" w:afterAutospacing="1"/>
              <w:jc w:val="both"/>
              <w:rPr>
                <w:sz w:val="20"/>
                <w:lang w:val="fr-CA"/>
              </w:rPr>
            </w:pPr>
            <w:r w:rsidRPr="00AD420D">
              <w:rPr>
                <w:sz w:val="20"/>
                <w:lang w:val="fr-CA"/>
              </w:rPr>
              <w:t xml:space="preserve">Un simple citoyen a déposé une plainte au Bureau de la commissaire au lobbying, alléguant que le Prince Sha Karim Al Hussaini Aga Khan (l’Aga Khan) avait contrevenu à la </w:t>
            </w:r>
            <w:r w:rsidRPr="00AD420D">
              <w:rPr>
                <w:i/>
                <w:sz w:val="20"/>
                <w:lang w:val="fr-CA"/>
              </w:rPr>
              <w:t>Loi</w:t>
            </w:r>
            <w:r w:rsidRPr="00AD420D">
              <w:rPr>
                <w:sz w:val="20"/>
                <w:lang w:val="fr-CA"/>
              </w:rPr>
              <w:t xml:space="preserve"> et au </w:t>
            </w:r>
            <w:r w:rsidRPr="00AD420D">
              <w:rPr>
                <w:i/>
                <w:sz w:val="20"/>
                <w:lang w:val="fr-CA"/>
              </w:rPr>
              <w:t>Code des lobbyistes</w:t>
            </w:r>
            <w:r w:rsidRPr="00AD420D">
              <w:rPr>
                <w:i/>
                <w:iCs/>
                <w:sz w:val="20"/>
                <w:lang w:val="fr-CA"/>
              </w:rPr>
              <w:t> </w:t>
            </w:r>
            <w:r w:rsidRPr="00AD420D">
              <w:rPr>
                <w:sz w:val="20"/>
                <w:lang w:val="fr-CA"/>
              </w:rPr>
              <w:t xml:space="preserve">en offrant en cadeau au premier ministre Justin Trudeau et à sa famille des vacances du Jour de l’An dans son île privée des Caraïbes. La Fondation Aga Khan est une lobbyiste enregistrée en vertu de la </w:t>
            </w:r>
            <w:r w:rsidRPr="00AD420D">
              <w:rPr>
                <w:i/>
                <w:sz w:val="20"/>
                <w:lang w:val="fr-CA"/>
              </w:rPr>
              <w:t>Loi</w:t>
            </w:r>
            <w:r w:rsidRPr="00AD420D">
              <w:rPr>
                <w:sz w:val="20"/>
                <w:lang w:val="fr-CA"/>
              </w:rPr>
              <w:t xml:space="preserve">. L’Aga Khan siège sans rémunération au conseil d’administration de la Fondation, comme bénévole. Le Bureau de la commissaire au lobbying a entrepris un processus d’examen interne et le directeur des enquêtes a recommandé la fermeture du dossier sans autre enquête au motif que le </w:t>
            </w:r>
            <w:r w:rsidRPr="00AD420D">
              <w:rPr>
                <w:i/>
                <w:sz w:val="20"/>
                <w:lang w:val="fr-CA"/>
              </w:rPr>
              <w:t>Code des lobbyistes</w:t>
            </w:r>
            <w:r w:rsidRPr="00AD420D">
              <w:rPr>
                <w:sz w:val="20"/>
                <w:lang w:val="fr-CA"/>
              </w:rPr>
              <w:t xml:space="preserve"> ne s’applique pas aux rapports de l’Aga Khan avec le premier ministre. Il n’y avait aucune preuve que l’Aga Khan était rémunéré pour son travail au sein de la Fondation ou qu’il s’était livré à une activité de lobbying enregistrable durant les vacances de Noël du premier ministre. La commissaire intérimaire a conclu qu’il n’était pas nécessaire de tenir une enquête pour assurer la conformité au </w:t>
            </w:r>
            <w:r w:rsidRPr="00AD420D">
              <w:rPr>
                <w:i/>
                <w:sz w:val="20"/>
                <w:lang w:val="fr-CA"/>
              </w:rPr>
              <w:t>Code des lobbyistes</w:t>
            </w:r>
            <w:r w:rsidRPr="00AD420D">
              <w:rPr>
                <w:i/>
                <w:iCs/>
                <w:sz w:val="20"/>
                <w:lang w:val="fr-CA"/>
              </w:rPr>
              <w:t xml:space="preserve"> </w:t>
            </w:r>
            <w:r w:rsidRPr="00AD420D">
              <w:rPr>
                <w:sz w:val="20"/>
                <w:lang w:val="fr-CA"/>
              </w:rPr>
              <w:t xml:space="preserve">ou à la </w:t>
            </w:r>
            <w:r w:rsidRPr="00AD420D">
              <w:rPr>
                <w:i/>
                <w:sz w:val="20"/>
                <w:lang w:val="fr-CA"/>
              </w:rPr>
              <w:t>Loi</w:t>
            </w:r>
            <w:r w:rsidRPr="00AD420D">
              <w:rPr>
                <w:sz w:val="20"/>
                <w:lang w:val="fr-CA"/>
              </w:rPr>
              <w:t xml:space="preserve"> et elle en a informé le plaignant. La demanderesse, Démocratie en surveillance, a présenté une demande de contrôle judiciaire.</w:t>
            </w:r>
          </w:p>
          <w:p w:rsidR="007B7DA1" w:rsidRPr="00AD420D" w:rsidRDefault="007B7DA1" w:rsidP="007B7DA1">
            <w:pPr>
              <w:jc w:val="both"/>
              <w:rPr>
                <w:sz w:val="20"/>
                <w:lang w:val="fr-CA"/>
              </w:rPr>
            </w:pPr>
            <w:r w:rsidRPr="00AD420D">
              <w:rPr>
                <w:sz w:val="20"/>
                <w:lang w:val="fr-CA"/>
              </w:rPr>
              <w:t xml:space="preserve">La Cour fédérale a statué que la décision de la commissaire pouvait faire l’objet d’un contrôle judiciaire et qu’elle était déraisonnable. Elle a accueilli la demande de contrôle judiciaire, annulé la décision de la commissaire du lobbying et renvoyé l’affaire à cette dernière pour qu’elle rende une nouvelle décision conformément aux motifs de la cour. La Cour d’appel a accueilli l’appel, annulé le jugement de la Cour fédérale et rejeté la demande de contrôle judiciaire. En interprétant la </w:t>
            </w:r>
            <w:r w:rsidRPr="00AD420D">
              <w:rPr>
                <w:i/>
                <w:sz w:val="20"/>
                <w:lang w:val="fr-CA"/>
              </w:rPr>
              <w:t>Loi</w:t>
            </w:r>
            <w:r w:rsidRPr="00AD420D">
              <w:rPr>
                <w:sz w:val="20"/>
                <w:lang w:val="fr-CA"/>
              </w:rPr>
              <w:t>, elle a conclu que parce que la commissaire n’avait aucune obligation de donner suite à une plainte du public, sa décision de ne pas enquêter à la suite de la plainte en l’espèce n’est pas susceptible de contrôle judiciaire.</w:t>
            </w:r>
          </w:p>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t>29 mars 2019</w:t>
            </w:r>
          </w:p>
          <w:p w:rsidR="007B7DA1" w:rsidRPr="00AD420D" w:rsidRDefault="007B7DA1" w:rsidP="007B7DA1">
            <w:pPr>
              <w:jc w:val="both"/>
              <w:rPr>
                <w:sz w:val="20"/>
                <w:lang w:val="fr-CA"/>
              </w:rPr>
            </w:pPr>
            <w:r w:rsidRPr="00AD420D">
              <w:rPr>
                <w:sz w:val="20"/>
                <w:lang w:val="fr-CA"/>
              </w:rPr>
              <w:t>Cour fédérale</w:t>
            </w:r>
          </w:p>
          <w:p w:rsidR="007B7DA1" w:rsidRPr="00AD420D" w:rsidRDefault="007B7DA1" w:rsidP="007B7DA1">
            <w:pPr>
              <w:jc w:val="both"/>
              <w:rPr>
                <w:sz w:val="20"/>
                <w:lang w:val="fr-CA"/>
              </w:rPr>
            </w:pPr>
            <w:r w:rsidRPr="00AD420D">
              <w:rPr>
                <w:sz w:val="20"/>
                <w:lang w:val="fr-CA"/>
              </w:rPr>
              <w:t>(Juge Gleeson)</w:t>
            </w:r>
          </w:p>
          <w:p w:rsidR="007B7DA1" w:rsidRPr="00AD420D" w:rsidRDefault="004E02BD" w:rsidP="007B7DA1">
            <w:pPr>
              <w:jc w:val="both"/>
              <w:rPr>
                <w:sz w:val="20"/>
                <w:lang w:val="fr-CA"/>
              </w:rPr>
            </w:pPr>
            <w:hyperlink r:id="rId44" w:history="1">
              <w:r w:rsidR="007B7DA1" w:rsidRPr="00AD420D">
                <w:rPr>
                  <w:rStyle w:val="Hyperlink"/>
                  <w:sz w:val="20"/>
                  <w:lang w:val="fr-CA"/>
                </w:rPr>
                <w:t>2019 CF 388</w:t>
              </w:r>
            </w:hyperlink>
          </w:p>
          <w:p w:rsidR="007B7DA1" w:rsidRPr="00AD420D" w:rsidRDefault="007B7DA1" w:rsidP="007B7DA1">
            <w:pPr>
              <w:jc w:val="both"/>
              <w:rPr>
                <w:sz w:val="20"/>
                <w:lang w:val="fr-CA"/>
              </w:rPr>
            </w:pP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lang w:val="fr-CA"/>
              </w:rPr>
            </w:pPr>
            <w:r w:rsidRPr="00AD420D">
              <w:rPr>
                <w:sz w:val="20"/>
                <w:lang w:val="fr-CA"/>
              </w:rPr>
              <w:t xml:space="preserve">Jugement accueillant la demande de contrôle judiciaire présentée par la demanderesse, annulant la décision de la commissaire et renvoyant l’affaire à </w:t>
            </w:r>
            <w:r w:rsidRPr="00AD420D">
              <w:rPr>
                <w:sz w:val="20"/>
                <w:lang w:val="fr-CA"/>
              </w:rPr>
              <w:lastRenderedPageBreak/>
              <w:t>cette dernière pour qu’elle rende une nouvelle décision.</w:t>
            </w:r>
          </w:p>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lastRenderedPageBreak/>
              <w:t>1</w:t>
            </w:r>
            <w:r w:rsidRPr="00AD420D">
              <w:rPr>
                <w:sz w:val="20"/>
                <w:vertAlign w:val="superscript"/>
                <w:lang w:val="fr-CA"/>
              </w:rPr>
              <w:t>er</w:t>
            </w:r>
            <w:r w:rsidRPr="00AD420D">
              <w:rPr>
                <w:sz w:val="20"/>
                <w:lang w:val="fr-CA"/>
              </w:rPr>
              <w:t xml:space="preserve"> avril 2020</w:t>
            </w:r>
          </w:p>
          <w:p w:rsidR="007B7DA1" w:rsidRPr="00AD420D" w:rsidRDefault="007B7DA1" w:rsidP="007B7DA1">
            <w:pPr>
              <w:jc w:val="both"/>
              <w:rPr>
                <w:sz w:val="20"/>
                <w:lang w:val="fr-CA"/>
              </w:rPr>
            </w:pPr>
            <w:r w:rsidRPr="00AD420D">
              <w:rPr>
                <w:sz w:val="20"/>
                <w:lang w:val="fr-CA"/>
              </w:rPr>
              <w:t>Cour d’appel fédérale</w:t>
            </w:r>
          </w:p>
          <w:p w:rsidR="007B7DA1" w:rsidRPr="00AD420D" w:rsidRDefault="007B7DA1" w:rsidP="007B7DA1">
            <w:pPr>
              <w:jc w:val="both"/>
              <w:rPr>
                <w:sz w:val="20"/>
                <w:lang w:val="fr-CA"/>
              </w:rPr>
            </w:pPr>
            <w:r w:rsidRPr="00AD420D">
              <w:rPr>
                <w:sz w:val="20"/>
                <w:lang w:val="fr-CA"/>
              </w:rPr>
              <w:t>(Juges Webb, Rennie et Mactavish)</w:t>
            </w:r>
          </w:p>
          <w:p w:rsidR="007B7DA1" w:rsidRPr="00AD420D" w:rsidRDefault="004E02BD" w:rsidP="007B7DA1">
            <w:pPr>
              <w:jc w:val="both"/>
              <w:rPr>
                <w:rStyle w:val="Hyperlink"/>
                <w:sz w:val="20"/>
                <w:lang w:val="fr-CA"/>
              </w:rPr>
            </w:pPr>
            <w:hyperlink r:id="rId45" w:history="1">
              <w:r w:rsidR="007B7DA1" w:rsidRPr="00AD420D">
                <w:rPr>
                  <w:rStyle w:val="Hyperlink"/>
                  <w:sz w:val="20"/>
                  <w:lang w:val="fr-CA"/>
                </w:rPr>
                <w:t>2020 FCA 69</w:t>
              </w:r>
            </w:hyperlink>
          </w:p>
          <w:p w:rsidR="007B7DA1" w:rsidRPr="00AD420D" w:rsidRDefault="007B7DA1" w:rsidP="007B7DA1">
            <w:pPr>
              <w:jc w:val="both"/>
              <w:rPr>
                <w:sz w:val="20"/>
                <w:lang w:val="fr-CA"/>
              </w:rPr>
            </w:pP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lang w:val="fr-CA"/>
              </w:rPr>
            </w:pPr>
            <w:r w:rsidRPr="00AD420D">
              <w:rPr>
                <w:sz w:val="20"/>
                <w:lang w:val="fr-CA"/>
              </w:rPr>
              <w:t>Arrêt accueillant l’appel, annulant le jugement de la Cour fédérale et rejetant la demande de contrôle judiciaire.</w:t>
            </w: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t>2 juin 2020</w:t>
            </w:r>
          </w:p>
          <w:p w:rsidR="007B7DA1" w:rsidRPr="00AD420D" w:rsidRDefault="007B7DA1" w:rsidP="007B7DA1">
            <w:pPr>
              <w:jc w:val="both"/>
              <w:rPr>
                <w:sz w:val="20"/>
                <w:lang w:val="fr-CA"/>
              </w:rPr>
            </w:pPr>
            <w:r w:rsidRPr="00AD420D">
              <w:rPr>
                <w:sz w:val="20"/>
                <w:lang w:val="fr-CA"/>
              </w:rPr>
              <w:t>Cour suprême du Canada</w:t>
            </w: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lang w:val="fr-CA"/>
              </w:rPr>
            </w:pPr>
            <w:r w:rsidRPr="00AD420D">
              <w:rPr>
                <w:sz w:val="20"/>
                <w:lang w:val="fr-CA"/>
              </w:rPr>
              <w:t>Dépôt de la demande d’autorisation d’appel</w:t>
            </w:r>
          </w:p>
          <w:p w:rsidR="007B7DA1" w:rsidRPr="00AD420D" w:rsidRDefault="007B7DA1" w:rsidP="007B7DA1">
            <w:pPr>
              <w:jc w:val="both"/>
              <w:rPr>
                <w:sz w:val="20"/>
                <w:lang w:val="fr-CA"/>
              </w:rPr>
            </w:pPr>
          </w:p>
        </w:tc>
      </w:tr>
    </w:tbl>
    <w:p w:rsidR="007B7DA1" w:rsidRPr="00AD420D" w:rsidRDefault="007B7DA1" w:rsidP="007B7DA1">
      <w:pPr>
        <w:jc w:val="both"/>
        <w:rPr>
          <w:sz w:val="20"/>
          <w:lang w:val="fr-CA"/>
        </w:rPr>
      </w:pPr>
    </w:p>
    <w:p w:rsidR="008C3373" w:rsidRPr="00AD420D" w:rsidRDefault="004E02BD" w:rsidP="007B7DA1">
      <w:pPr>
        <w:jc w:val="both"/>
        <w:rPr>
          <w:sz w:val="20"/>
          <w:lang w:val="fr-CA"/>
        </w:rPr>
      </w:pPr>
      <w:r>
        <w:rPr>
          <w:sz w:val="20"/>
        </w:rPr>
        <w:pict>
          <v:rect id="_x0000_i1042" style="width:2in;height:1pt" o:hrpct="0" o:hralign="center" o:hrstd="t" o:hrnoshade="t" o:hr="t" fillcolor="black [3213]" stroked="f"/>
        </w:pict>
      </w:r>
    </w:p>
    <w:p w:rsidR="00AE6180" w:rsidRPr="00AD420D" w:rsidRDefault="00AE6180" w:rsidP="007B7DA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DA1" w:rsidRPr="00AD420D" w:rsidTr="00610FEC">
        <w:tc>
          <w:tcPr>
            <w:tcW w:w="543" w:type="pct"/>
          </w:tcPr>
          <w:p w:rsidR="007B7DA1" w:rsidRPr="00AD420D" w:rsidRDefault="007B7DA1" w:rsidP="007B7DA1">
            <w:pPr>
              <w:jc w:val="both"/>
              <w:rPr>
                <w:sz w:val="20"/>
              </w:rPr>
            </w:pPr>
            <w:r w:rsidRPr="00AD420D">
              <w:rPr>
                <w:rStyle w:val="SCCFileNumberChar"/>
                <w:sz w:val="20"/>
                <w:szCs w:val="20"/>
              </w:rPr>
              <w:t>39118</w:t>
            </w:r>
          </w:p>
        </w:tc>
        <w:tc>
          <w:tcPr>
            <w:tcW w:w="4457" w:type="pct"/>
            <w:gridSpan w:val="3"/>
          </w:tcPr>
          <w:p w:rsidR="007B7DA1" w:rsidRPr="00AD420D" w:rsidRDefault="007B7DA1" w:rsidP="007B7DA1">
            <w:pPr>
              <w:pStyle w:val="SCCLsocParty"/>
              <w:jc w:val="both"/>
              <w:rPr>
                <w:b/>
                <w:sz w:val="20"/>
                <w:szCs w:val="20"/>
                <w:lang w:val="en-US"/>
              </w:rPr>
            </w:pPr>
            <w:r w:rsidRPr="00AD420D">
              <w:rPr>
                <w:b/>
                <w:sz w:val="20"/>
                <w:szCs w:val="20"/>
                <w:lang w:val="en-US"/>
              </w:rPr>
              <w:t>Anton Oleynik v. Attorney General of Canada</w:t>
            </w:r>
          </w:p>
          <w:p w:rsidR="007B7DA1" w:rsidRPr="00AD420D" w:rsidRDefault="007B7DA1" w:rsidP="007B7DA1">
            <w:pPr>
              <w:jc w:val="both"/>
              <w:rPr>
                <w:sz w:val="20"/>
              </w:rPr>
            </w:pPr>
            <w:r w:rsidRPr="00AD420D">
              <w:rPr>
                <w:sz w:val="20"/>
              </w:rPr>
              <w:t>(F</w:t>
            </w:r>
            <w:r w:rsidR="008C3373" w:rsidRPr="00AD420D">
              <w:rPr>
                <w:sz w:val="20"/>
              </w:rPr>
              <w:t>.</w:t>
            </w:r>
            <w:r w:rsidRPr="00AD420D">
              <w:rPr>
                <w:sz w:val="20"/>
              </w:rPr>
              <w:t>C</w:t>
            </w:r>
            <w:r w:rsidR="008C3373" w:rsidRPr="00AD420D">
              <w:rPr>
                <w:sz w:val="20"/>
              </w:rPr>
              <w:t>.</w:t>
            </w:r>
            <w:r w:rsidRPr="00AD420D">
              <w:rPr>
                <w:sz w:val="20"/>
              </w:rPr>
              <w:t>) (Civil) (By Leave)</w:t>
            </w:r>
          </w:p>
        </w:tc>
      </w:tr>
      <w:tr w:rsidR="007B7DA1" w:rsidRPr="00AD420D" w:rsidTr="00610FEC">
        <w:tc>
          <w:tcPr>
            <w:tcW w:w="5000" w:type="pct"/>
            <w:gridSpan w:val="4"/>
          </w:tcPr>
          <w:p w:rsidR="007B7DA1" w:rsidRPr="00AD420D" w:rsidRDefault="007B7DA1" w:rsidP="007B7DA1">
            <w:pPr>
              <w:jc w:val="both"/>
              <w:rPr>
                <w:color w:val="000000"/>
                <w:sz w:val="20"/>
              </w:rPr>
            </w:pPr>
            <w:r w:rsidRPr="00AD420D">
              <w:rPr>
                <w:sz w:val="20"/>
              </w:rPr>
              <w:t xml:space="preserve">Administrative law — Natural justice — Conflict of interest — Reasonable apprehension of bias —Application </w:t>
            </w:r>
            <w:r w:rsidRPr="00AD420D">
              <w:rPr>
                <w:color w:val="000000"/>
                <w:sz w:val="20"/>
              </w:rPr>
              <w:t>to Social Sciences and Humanities Research Council of Canada for funding of research project dismissed — Adjudication and appeals committees consisting of members of university with which applicant had been involved in significant litigation — Internal appeals process manual defining what constitutes a conflict of interest — Can administrative decision-makers oust common law standards of natural justice and procedural fairness by establishing their own policies and standards? — Can courts rely upon new and additional evidence obtained, without notice to or knowledge of the parties, through their own internet research of publicly available information about the parties?</w:t>
            </w:r>
          </w:p>
        </w:tc>
      </w:tr>
      <w:tr w:rsidR="007B7DA1" w:rsidRPr="00AD420D" w:rsidTr="00610FEC">
        <w:tc>
          <w:tcPr>
            <w:tcW w:w="5000" w:type="pct"/>
            <w:gridSpan w:val="4"/>
          </w:tcPr>
          <w:p w:rsidR="007B7DA1" w:rsidRPr="00AD420D" w:rsidRDefault="007B7DA1" w:rsidP="007B7DA1">
            <w:pPr>
              <w:jc w:val="both"/>
              <w:rPr>
                <w:sz w:val="20"/>
              </w:rPr>
            </w:pPr>
          </w:p>
          <w:p w:rsidR="007B7DA1" w:rsidRPr="00AD420D" w:rsidRDefault="007B7DA1" w:rsidP="007B7DA1">
            <w:pPr>
              <w:jc w:val="both"/>
              <w:rPr>
                <w:sz w:val="20"/>
              </w:rPr>
            </w:pPr>
            <w:r w:rsidRPr="00AD420D">
              <w:rPr>
                <w:sz w:val="20"/>
              </w:rPr>
              <w:t xml:space="preserve">The applicant, Dr. Oleynik, is a tenured professor of sociology at Memorial University of Newfoundland who unsuccessfully applied to the </w:t>
            </w:r>
            <w:r w:rsidRPr="00AD420D">
              <w:rPr>
                <w:color w:val="000000"/>
                <w:sz w:val="20"/>
                <w:shd w:val="clear" w:color="auto" w:fill="FFFFFF"/>
              </w:rPr>
              <w:t xml:space="preserve">Social Sciences and Humanities Research Council of Canada </w:t>
            </w:r>
            <w:r w:rsidRPr="00AD420D">
              <w:rPr>
                <w:sz w:val="20"/>
              </w:rPr>
              <w:t>(“SSHRC”) for research funding. He appealed the SSHRC decision through its internal appeals process. His main submission on internal appeal was that t</w:t>
            </w:r>
            <w:r w:rsidRPr="00AD420D">
              <w:rPr>
                <w:color w:val="000000"/>
                <w:sz w:val="20"/>
                <w:shd w:val="clear" w:color="auto" w:fill="FFFFFF"/>
              </w:rPr>
              <w:t xml:space="preserve">he adjudication committee chair, who was part of the senior management team of a university with which he had previously been involved in extensive litigation, was in a conflict of interest that was </w:t>
            </w:r>
            <w:r w:rsidRPr="00AD420D">
              <w:rPr>
                <w:rStyle w:val="citationcar"/>
                <w:sz w:val="20"/>
              </w:rPr>
              <w:t>neither properly declared nor managed</w:t>
            </w:r>
            <w:r w:rsidRPr="00AD420D">
              <w:rPr>
                <w:color w:val="000000"/>
                <w:sz w:val="20"/>
                <w:shd w:val="clear" w:color="auto" w:fill="FFFFFF"/>
              </w:rPr>
              <w:t xml:space="preserve">. </w:t>
            </w:r>
            <w:r w:rsidRPr="00AD420D">
              <w:rPr>
                <w:sz w:val="20"/>
              </w:rPr>
              <w:t xml:space="preserve">The appeals committee upheld the scores originally assigned to Dr. Oleynik’s application, thus confirming SSHRC’s refusal to offer funding. Dr. Oleynik then alleged conflicts of interest arising also at the appeals committee stage. </w:t>
            </w:r>
            <w:r w:rsidRPr="00AD420D">
              <w:rPr>
                <w:color w:val="000000"/>
                <w:sz w:val="20"/>
                <w:shd w:val="clear" w:color="auto" w:fill="FFFFFF"/>
              </w:rPr>
              <w:t>The Federal Court dismissed Dr. Oleynik’s application for judicial review, having found that no conflict of interest was established within the meaning of SSHRC’s appeals policy. The Federal Court of Appeal dismissed Dr. Oleynik’s appeal. The court recognized the limits of SSHRC’s policies and found that the appropriate solution was to apply the common law test for reasonable apprehension of bias through the policies. However, even on application of the common law, the court still found that Dr. Oleynik had not met his burden of establishing a reasonable apprehension of bias.</w:t>
            </w:r>
          </w:p>
        </w:tc>
      </w:tr>
      <w:tr w:rsidR="007B7DA1" w:rsidRPr="00AD420D" w:rsidTr="00610FEC">
        <w:tc>
          <w:tcPr>
            <w:tcW w:w="5000" w:type="pct"/>
            <w:gridSpan w:val="4"/>
          </w:tcPr>
          <w:p w:rsidR="007B7DA1" w:rsidRPr="00AD420D" w:rsidRDefault="007B7DA1" w:rsidP="007B7DA1">
            <w:pPr>
              <w:jc w:val="both"/>
              <w:rPr>
                <w:color w:val="000000"/>
                <w:sz w:val="20"/>
                <w:shd w:val="clear" w:color="auto" w:fill="FFFFFF"/>
              </w:rPr>
            </w:pPr>
          </w:p>
        </w:tc>
      </w:tr>
      <w:tr w:rsidR="007B7DA1" w:rsidRPr="00AD420D" w:rsidTr="00610FEC">
        <w:tc>
          <w:tcPr>
            <w:tcW w:w="2427" w:type="pct"/>
            <w:gridSpan w:val="2"/>
          </w:tcPr>
          <w:p w:rsidR="007B7DA1" w:rsidRPr="00AD420D" w:rsidRDefault="007B7DA1" w:rsidP="007B7DA1">
            <w:pPr>
              <w:jc w:val="both"/>
              <w:rPr>
                <w:sz w:val="20"/>
              </w:rPr>
            </w:pPr>
            <w:r w:rsidRPr="00AD420D">
              <w:rPr>
                <w:sz w:val="20"/>
              </w:rPr>
              <w:t>October 3, 2016</w:t>
            </w:r>
          </w:p>
          <w:p w:rsidR="007B7DA1" w:rsidRPr="00AD420D" w:rsidRDefault="007B7DA1" w:rsidP="007B7DA1">
            <w:pPr>
              <w:jc w:val="both"/>
              <w:rPr>
                <w:color w:val="000000"/>
                <w:sz w:val="20"/>
                <w:shd w:val="clear" w:color="auto" w:fill="FFFFFF"/>
              </w:rPr>
            </w:pPr>
            <w:r w:rsidRPr="00AD420D">
              <w:rPr>
                <w:color w:val="000000"/>
                <w:sz w:val="20"/>
                <w:shd w:val="clear" w:color="auto" w:fill="FFFFFF"/>
              </w:rPr>
              <w:t xml:space="preserve">Internal Appeal Committee of the Social </w:t>
            </w:r>
          </w:p>
          <w:p w:rsidR="007B7DA1" w:rsidRPr="00AD420D" w:rsidRDefault="007B7DA1" w:rsidP="007B7DA1">
            <w:pPr>
              <w:jc w:val="both"/>
              <w:rPr>
                <w:color w:val="000000"/>
                <w:sz w:val="20"/>
                <w:shd w:val="clear" w:color="auto" w:fill="FFFFFF"/>
              </w:rPr>
            </w:pPr>
            <w:r w:rsidRPr="00AD420D">
              <w:rPr>
                <w:color w:val="000000"/>
                <w:sz w:val="20"/>
                <w:shd w:val="clear" w:color="auto" w:fill="FFFFFF"/>
              </w:rPr>
              <w:t xml:space="preserve">Sciences and Humanities Research Council of </w:t>
            </w:r>
          </w:p>
          <w:p w:rsidR="007B7DA1" w:rsidRPr="00AD420D" w:rsidRDefault="007B7DA1" w:rsidP="007B7DA1">
            <w:pPr>
              <w:jc w:val="both"/>
              <w:rPr>
                <w:color w:val="000000"/>
                <w:sz w:val="20"/>
                <w:shd w:val="clear" w:color="auto" w:fill="FFFFFF"/>
              </w:rPr>
            </w:pPr>
            <w:r w:rsidRPr="00AD420D">
              <w:rPr>
                <w:color w:val="000000"/>
                <w:sz w:val="20"/>
                <w:shd w:val="clear" w:color="auto" w:fill="FFFFFF"/>
              </w:rPr>
              <w:t>Canada</w:t>
            </w:r>
          </w:p>
          <w:p w:rsidR="007B7DA1" w:rsidRPr="00AD420D" w:rsidRDefault="007B7DA1" w:rsidP="007B7DA1">
            <w:pPr>
              <w:jc w:val="both"/>
              <w:rPr>
                <w:color w:val="000000"/>
                <w:sz w:val="20"/>
                <w:shd w:val="clear" w:color="auto" w:fill="FFFFFF"/>
              </w:rPr>
            </w:pPr>
            <w:r w:rsidRPr="00AD420D">
              <w:rPr>
                <w:color w:val="000000"/>
                <w:sz w:val="20"/>
                <w:shd w:val="clear" w:color="auto" w:fill="FFFFFF"/>
              </w:rPr>
              <w:t>(</w:t>
            </w:r>
            <w:r w:rsidRPr="00AD420D">
              <w:rPr>
                <w:color w:val="000000"/>
                <w:sz w:val="20"/>
              </w:rPr>
              <w:t>B. Herbert</w:t>
            </w:r>
            <w:r w:rsidRPr="00AD420D">
              <w:rPr>
                <w:color w:val="000000"/>
                <w:sz w:val="20"/>
              </w:rPr>
              <w:noBreakHyphen/>
              <w:t xml:space="preserve">Copley, </w:t>
            </w:r>
            <w:r w:rsidRPr="00AD420D">
              <w:rPr>
                <w:color w:val="000000"/>
                <w:sz w:val="20"/>
                <w:shd w:val="clear" w:color="auto" w:fill="FFFFFF"/>
              </w:rPr>
              <w:t>Executive Vice</w:t>
            </w:r>
            <w:r w:rsidRPr="00AD420D">
              <w:rPr>
                <w:color w:val="000000"/>
                <w:sz w:val="20"/>
                <w:shd w:val="clear" w:color="auto" w:fill="FFFFFF"/>
              </w:rPr>
              <w:noBreakHyphen/>
              <w:t xml:space="preserve">President, </w:t>
            </w:r>
          </w:p>
          <w:p w:rsidR="007B7DA1" w:rsidRPr="00AD420D" w:rsidRDefault="007B7DA1" w:rsidP="007B7DA1">
            <w:pPr>
              <w:jc w:val="both"/>
              <w:rPr>
                <w:color w:val="000000"/>
                <w:sz w:val="20"/>
                <w:shd w:val="clear" w:color="auto" w:fill="FFFFFF"/>
              </w:rPr>
            </w:pPr>
            <w:r w:rsidRPr="00AD420D">
              <w:rPr>
                <w:color w:val="000000"/>
                <w:sz w:val="20"/>
                <w:shd w:val="clear" w:color="auto" w:fill="FFFFFF"/>
              </w:rPr>
              <w:t>Corporate Affairs)</w:t>
            </w:r>
          </w:p>
          <w:p w:rsidR="007B7DA1" w:rsidRPr="00AD420D" w:rsidRDefault="007B7DA1" w:rsidP="007B7DA1">
            <w:pPr>
              <w:jc w:val="both"/>
              <w:rPr>
                <w:color w:val="000000"/>
                <w:sz w:val="20"/>
                <w:shd w:val="clear" w:color="auto" w:fill="FFFFFF"/>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rPr>
            </w:pPr>
            <w:r w:rsidRPr="00AD420D">
              <w:rPr>
                <w:sz w:val="20"/>
              </w:rPr>
              <w:t>Funding decision of “not offered” confirmed</w:t>
            </w:r>
          </w:p>
        </w:tc>
      </w:tr>
      <w:tr w:rsidR="007B7DA1" w:rsidRPr="00AD420D" w:rsidTr="00610FEC">
        <w:tc>
          <w:tcPr>
            <w:tcW w:w="2427" w:type="pct"/>
            <w:gridSpan w:val="2"/>
          </w:tcPr>
          <w:p w:rsidR="007B7DA1" w:rsidRPr="00AD420D" w:rsidRDefault="007B7DA1" w:rsidP="007B7DA1">
            <w:pPr>
              <w:jc w:val="both"/>
              <w:rPr>
                <w:sz w:val="20"/>
              </w:rPr>
            </w:pPr>
            <w:r w:rsidRPr="00AD420D">
              <w:rPr>
                <w:sz w:val="20"/>
              </w:rPr>
              <w:t>July 13, 2018</w:t>
            </w:r>
          </w:p>
          <w:p w:rsidR="007B7DA1" w:rsidRPr="00AD420D" w:rsidRDefault="007B7DA1" w:rsidP="007B7DA1">
            <w:pPr>
              <w:jc w:val="both"/>
              <w:rPr>
                <w:sz w:val="20"/>
              </w:rPr>
            </w:pPr>
            <w:r w:rsidRPr="00AD420D">
              <w:rPr>
                <w:sz w:val="20"/>
              </w:rPr>
              <w:t>Federal Court</w:t>
            </w:r>
          </w:p>
          <w:p w:rsidR="007B7DA1" w:rsidRPr="00AD420D" w:rsidRDefault="007B7DA1" w:rsidP="007B7DA1">
            <w:pPr>
              <w:jc w:val="both"/>
              <w:rPr>
                <w:sz w:val="20"/>
              </w:rPr>
            </w:pPr>
            <w:r w:rsidRPr="00AD420D">
              <w:rPr>
                <w:sz w:val="20"/>
              </w:rPr>
              <w:t>(</w:t>
            </w:r>
            <w:proofErr w:type="spellStart"/>
            <w:r w:rsidRPr="00AD420D">
              <w:rPr>
                <w:sz w:val="20"/>
              </w:rPr>
              <w:t>Heneghan</w:t>
            </w:r>
            <w:proofErr w:type="spellEnd"/>
            <w:r w:rsidRPr="00AD420D">
              <w:rPr>
                <w:sz w:val="20"/>
              </w:rPr>
              <w:t xml:space="preserve"> J.)</w:t>
            </w:r>
          </w:p>
          <w:p w:rsidR="007B7DA1" w:rsidRPr="00AD420D" w:rsidRDefault="004E02BD" w:rsidP="007B7DA1">
            <w:pPr>
              <w:jc w:val="both"/>
              <w:rPr>
                <w:rStyle w:val="Hyperlink"/>
                <w:sz w:val="20"/>
              </w:rPr>
            </w:pPr>
            <w:hyperlink r:id="rId46" w:history="1">
              <w:r w:rsidR="007B7DA1" w:rsidRPr="00AD420D">
                <w:rPr>
                  <w:rStyle w:val="Hyperlink"/>
                  <w:sz w:val="20"/>
                </w:rPr>
                <w:t>2018 FC 737</w:t>
              </w:r>
            </w:hyperlink>
          </w:p>
          <w:p w:rsidR="007B7DA1" w:rsidRPr="00AD420D" w:rsidRDefault="007B7DA1" w:rsidP="007B7DA1">
            <w:pPr>
              <w:jc w:val="both"/>
              <w:rPr>
                <w:sz w:val="20"/>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rPr>
            </w:pPr>
            <w:r w:rsidRPr="00AD420D">
              <w:rPr>
                <w:sz w:val="20"/>
              </w:rPr>
              <w:t>Application for judicial review dismissed</w:t>
            </w:r>
          </w:p>
          <w:p w:rsidR="007B7DA1" w:rsidRPr="00AD420D" w:rsidRDefault="007B7DA1" w:rsidP="007B7DA1">
            <w:pPr>
              <w:jc w:val="both"/>
              <w:rPr>
                <w:sz w:val="20"/>
              </w:rPr>
            </w:pPr>
          </w:p>
        </w:tc>
      </w:tr>
      <w:tr w:rsidR="007B7DA1" w:rsidRPr="00AD420D" w:rsidTr="00610FEC">
        <w:tc>
          <w:tcPr>
            <w:tcW w:w="2427" w:type="pct"/>
            <w:gridSpan w:val="2"/>
          </w:tcPr>
          <w:p w:rsidR="007B7DA1" w:rsidRPr="00AD420D" w:rsidRDefault="007B7DA1" w:rsidP="007B7DA1">
            <w:pPr>
              <w:jc w:val="both"/>
              <w:rPr>
                <w:sz w:val="20"/>
              </w:rPr>
            </w:pPr>
            <w:r w:rsidRPr="00AD420D">
              <w:rPr>
                <w:sz w:val="20"/>
              </w:rPr>
              <w:t>January 10, 2020</w:t>
            </w:r>
          </w:p>
          <w:p w:rsidR="007B7DA1" w:rsidRPr="00AD420D" w:rsidRDefault="007B7DA1" w:rsidP="007B7DA1">
            <w:pPr>
              <w:jc w:val="both"/>
              <w:rPr>
                <w:sz w:val="20"/>
              </w:rPr>
            </w:pPr>
            <w:r w:rsidRPr="00AD420D">
              <w:rPr>
                <w:sz w:val="20"/>
              </w:rPr>
              <w:t>Federal Court of Appeal</w:t>
            </w:r>
          </w:p>
          <w:p w:rsidR="007B7DA1" w:rsidRPr="00AD420D" w:rsidRDefault="007B7DA1" w:rsidP="007B7DA1">
            <w:pPr>
              <w:jc w:val="both"/>
              <w:rPr>
                <w:sz w:val="20"/>
              </w:rPr>
            </w:pPr>
            <w:r w:rsidRPr="00AD420D">
              <w:rPr>
                <w:sz w:val="20"/>
              </w:rPr>
              <w:t>(Rennie, Woods and Laskin JJ.A.)</w:t>
            </w:r>
          </w:p>
          <w:p w:rsidR="007B7DA1" w:rsidRPr="00AD420D" w:rsidRDefault="007B7DA1" w:rsidP="007B7DA1">
            <w:pPr>
              <w:jc w:val="both"/>
              <w:rPr>
                <w:sz w:val="20"/>
              </w:rPr>
            </w:pPr>
            <w:r w:rsidRPr="00AD420D">
              <w:rPr>
                <w:sz w:val="20"/>
              </w:rPr>
              <w:t>File no. A</w:t>
            </w:r>
            <w:r w:rsidRPr="00AD420D">
              <w:rPr>
                <w:sz w:val="20"/>
              </w:rPr>
              <w:noBreakHyphen/>
              <w:t>309</w:t>
            </w:r>
            <w:r w:rsidRPr="00AD420D">
              <w:rPr>
                <w:sz w:val="20"/>
              </w:rPr>
              <w:noBreakHyphen/>
              <w:t>18</w:t>
            </w:r>
          </w:p>
          <w:p w:rsidR="007B7DA1" w:rsidRPr="00AD420D" w:rsidRDefault="004E02BD" w:rsidP="007B7DA1">
            <w:pPr>
              <w:jc w:val="both"/>
              <w:rPr>
                <w:sz w:val="20"/>
              </w:rPr>
            </w:pPr>
            <w:hyperlink r:id="rId47" w:history="1">
              <w:r w:rsidR="007B7DA1" w:rsidRPr="00AD420D">
                <w:rPr>
                  <w:rStyle w:val="Hyperlink"/>
                  <w:sz w:val="20"/>
                </w:rPr>
                <w:t>2020 FCA 5</w:t>
              </w:r>
            </w:hyperlink>
            <w:r w:rsidR="007B7DA1" w:rsidRPr="00AD420D">
              <w:rPr>
                <w:sz w:val="20"/>
              </w:rPr>
              <w:t xml:space="preserve"> </w:t>
            </w:r>
          </w:p>
          <w:p w:rsidR="007B7DA1" w:rsidRPr="00AD420D" w:rsidRDefault="007B7DA1" w:rsidP="007B7DA1">
            <w:pPr>
              <w:jc w:val="both"/>
              <w:rPr>
                <w:sz w:val="20"/>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rPr>
            </w:pPr>
            <w:r w:rsidRPr="00AD420D">
              <w:rPr>
                <w:sz w:val="20"/>
              </w:rPr>
              <w:t>Appeal dismissed</w:t>
            </w:r>
          </w:p>
          <w:p w:rsidR="007B7DA1" w:rsidRPr="00AD420D" w:rsidRDefault="007B7DA1" w:rsidP="007B7DA1">
            <w:pPr>
              <w:jc w:val="both"/>
              <w:rPr>
                <w:sz w:val="20"/>
              </w:rPr>
            </w:pPr>
          </w:p>
        </w:tc>
      </w:tr>
      <w:tr w:rsidR="007B7DA1" w:rsidRPr="00AD420D" w:rsidTr="00610FEC">
        <w:tc>
          <w:tcPr>
            <w:tcW w:w="2427" w:type="pct"/>
            <w:gridSpan w:val="2"/>
          </w:tcPr>
          <w:p w:rsidR="007B7DA1" w:rsidRPr="00AD420D" w:rsidRDefault="007B7DA1" w:rsidP="007B7DA1">
            <w:pPr>
              <w:jc w:val="both"/>
              <w:rPr>
                <w:sz w:val="20"/>
              </w:rPr>
            </w:pPr>
            <w:r w:rsidRPr="00AD420D">
              <w:rPr>
                <w:sz w:val="20"/>
              </w:rPr>
              <w:lastRenderedPageBreak/>
              <w:t>March 10, 2020</w:t>
            </w:r>
          </w:p>
          <w:p w:rsidR="007B7DA1" w:rsidRPr="00AD420D" w:rsidRDefault="007B7DA1" w:rsidP="007B7DA1">
            <w:pPr>
              <w:jc w:val="both"/>
              <w:rPr>
                <w:sz w:val="20"/>
              </w:rPr>
            </w:pPr>
            <w:r w:rsidRPr="00AD420D">
              <w:rPr>
                <w:sz w:val="20"/>
              </w:rPr>
              <w:t>Supreme Court of Canada</w:t>
            </w: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rPr>
            </w:pPr>
            <w:r w:rsidRPr="00AD420D">
              <w:rPr>
                <w:sz w:val="20"/>
              </w:rPr>
              <w:t>Application for leave to appeal filed</w:t>
            </w:r>
          </w:p>
          <w:p w:rsidR="007B7DA1" w:rsidRPr="00AD420D" w:rsidRDefault="007B7DA1" w:rsidP="007B7DA1">
            <w:pPr>
              <w:jc w:val="both"/>
              <w:rPr>
                <w:sz w:val="20"/>
              </w:rPr>
            </w:pPr>
          </w:p>
        </w:tc>
      </w:tr>
    </w:tbl>
    <w:p w:rsidR="007B7DA1" w:rsidRPr="00AD420D" w:rsidRDefault="007B7DA1" w:rsidP="007B7DA1">
      <w:pPr>
        <w:jc w:val="both"/>
        <w:rPr>
          <w:sz w:val="20"/>
        </w:rPr>
      </w:pPr>
    </w:p>
    <w:p w:rsidR="008C3373" w:rsidRPr="00AD420D" w:rsidRDefault="004E02BD" w:rsidP="007B7DA1">
      <w:pPr>
        <w:jc w:val="both"/>
        <w:rPr>
          <w:sz w:val="20"/>
        </w:rPr>
      </w:pPr>
      <w:r>
        <w:rPr>
          <w:sz w:val="20"/>
        </w:rPr>
        <w:pict>
          <v:rect id="_x0000_i1043" style="width:2in;height:1pt" o:hrpct="0" o:hralign="center" o:hrstd="t" o:hrnoshade="t" o:hr="t" fillcolor="black [3213]" stroked="f"/>
        </w:pict>
      </w:r>
    </w:p>
    <w:p w:rsidR="008C3373" w:rsidRPr="00AD420D" w:rsidRDefault="008C3373" w:rsidP="007B7DA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DA1" w:rsidRPr="004E02BD" w:rsidTr="00610FEC">
        <w:tc>
          <w:tcPr>
            <w:tcW w:w="543" w:type="pct"/>
          </w:tcPr>
          <w:p w:rsidR="007B7DA1" w:rsidRPr="00AD420D" w:rsidRDefault="007B7DA1" w:rsidP="007B7DA1">
            <w:pPr>
              <w:jc w:val="both"/>
              <w:rPr>
                <w:sz w:val="20"/>
                <w:lang w:val="fr-CA"/>
              </w:rPr>
            </w:pPr>
            <w:r w:rsidRPr="00AD420D">
              <w:rPr>
                <w:rStyle w:val="SCCFileNumberChar"/>
                <w:sz w:val="20"/>
                <w:szCs w:val="20"/>
                <w:lang w:val="fr-CA"/>
              </w:rPr>
              <w:t>39118</w:t>
            </w:r>
          </w:p>
        </w:tc>
        <w:tc>
          <w:tcPr>
            <w:tcW w:w="4457" w:type="pct"/>
            <w:gridSpan w:val="3"/>
          </w:tcPr>
          <w:p w:rsidR="007B7DA1" w:rsidRPr="00AD420D" w:rsidRDefault="007B7DA1" w:rsidP="007B7DA1">
            <w:pPr>
              <w:pStyle w:val="SCCLsocParty"/>
              <w:jc w:val="both"/>
              <w:rPr>
                <w:b/>
                <w:sz w:val="20"/>
                <w:szCs w:val="20"/>
              </w:rPr>
            </w:pPr>
            <w:r w:rsidRPr="00AD420D">
              <w:rPr>
                <w:b/>
                <w:sz w:val="20"/>
                <w:szCs w:val="20"/>
              </w:rPr>
              <w:t>Anton Oleynik c. Procureur général du Canada</w:t>
            </w:r>
          </w:p>
          <w:p w:rsidR="007B7DA1" w:rsidRPr="00AD420D" w:rsidRDefault="007B7DA1" w:rsidP="007B7DA1">
            <w:pPr>
              <w:jc w:val="both"/>
              <w:rPr>
                <w:sz w:val="20"/>
                <w:lang w:val="fr-CA"/>
              </w:rPr>
            </w:pPr>
            <w:r w:rsidRPr="00AD420D">
              <w:rPr>
                <w:sz w:val="20"/>
                <w:lang w:val="fr-CA"/>
              </w:rPr>
              <w:t>(C.F.) (Civile) (Sur autorisation)</w:t>
            </w:r>
          </w:p>
        </w:tc>
      </w:tr>
      <w:tr w:rsidR="007B7DA1" w:rsidRPr="004E02BD" w:rsidTr="00610FEC">
        <w:tc>
          <w:tcPr>
            <w:tcW w:w="5000" w:type="pct"/>
            <w:gridSpan w:val="4"/>
          </w:tcPr>
          <w:p w:rsidR="007B7DA1" w:rsidRPr="00AD420D" w:rsidRDefault="007B7DA1" w:rsidP="007B7DA1">
            <w:pPr>
              <w:jc w:val="both"/>
              <w:rPr>
                <w:color w:val="000000"/>
                <w:sz w:val="20"/>
                <w:lang w:val="fr-CA"/>
              </w:rPr>
            </w:pPr>
            <w:r w:rsidRPr="00AD420D">
              <w:rPr>
                <w:sz w:val="20"/>
                <w:lang w:val="fr-CA"/>
              </w:rPr>
              <w:t>Droit administratif — Justice naturelle — Conflit d’intérêts — Crainte raisonnable de partialité — Demande de financement présentée au</w:t>
            </w:r>
            <w:r w:rsidRPr="00AD420D">
              <w:rPr>
                <w:color w:val="000000"/>
                <w:sz w:val="20"/>
                <w:lang w:val="fr-CA"/>
              </w:rPr>
              <w:t xml:space="preserve"> Conseil de recherches en sciences humaines du Canada rejetée — Comités de sélection et d’appel composés d’universitaires avec qui le demandeur a déjà eu un important litige — Guide du processus d’appel interne prévoyant une définition du conflit d’intérêts — Les décideurs administratifs peuvent</w:t>
            </w:r>
            <w:r w:rsidRPr="00AD420D">
              <w:rPr>
                <w:color w:val="000000"/>
                <w:sz w:val="20"/>
                <w:lang w:val="fr-CA"/>
              </w:rPr>
              <w:noBreakHyphen/>
              <w:t>ils écarter les normes de common law en matière de justice naturelle et d’équité procédurale en établissant leurs propres politiques et normes? — Les tribunaux peuvent</w:t>
            </w:r>
            <w:r w:rsidRPr="00AD420D">
              <w:rPr>
                <w:color w:val="000000"/>
                <w:sz w:val="20"/>
                <w:lang w:val="fr-CA"/>
              </w:rPr>
              <w:noBreakHyphen/>
              <w:t>ils se fonder sur de nouveaux éléments de preuve additionnels obtenus, à l’insu des parties ou sans qu’elles en soient avisées, au moyen de leur propre recherche sur Internet de renseignements publics au sujet des parties?</w:t>
            </w:r>
          </w:p>
        </w:tc>
      </w:tr>
      <w:tr w:rsidR="007B7DA1" w:rsidRPr="004E02BD" w:rsidTr="00610FEC">
        <w:tc>
          <w:tcPr>
            <w:tcW w:w="5000" w:type="pct"/>
            <w:gridSpan w:val="4"/>
          </w:tcPr>
          <w:p w:rsidR="007B7DA1" w:rsidRPr="00AD420D" w:rsidRDefault="007B7DA1" w:rsidP="007B7DA1">
            <w:pPr>
              <w:jc w:val="both"/>
              <w:rPr>
                <w:sz w:val="20"/>
                <w:lang w:val="fr-CA"/>
              </w:rPr>
            </w:pPr>
          </w:p>
          <w:p w:rsidR="007B7DA1" w:rsidRPr="00AD420D" w:rsidRDefault="007B7DA1" w:rsidP="008C3373">
            <w:pPr>
              <w:jc w:val="both"/>
              <w:rPr>
                <w:sz w:val="20"/>
                <w:lang w:val="fr-CA"/>
              </w:rPr>
            </w:pPr>
            <w:r w:rsidRPr="00AD420D">
              <w:rPr>
                <w:sz w:val="20"/>
                <w:lang w:val="fr-CA"/>
              </w:rPr>
              <w:t>Le demandeur, M. Oleynik, qui est professeur de sociologie ayant sa permanence à l’université Memorial de Terre</w:t>
            </w:r>
            <w:r w:rsidRPr="00AD420D">
              <w:rPr>
                <w:sz w:val="20"/>
                <w:lang w:val="fr-CA"/>
              </w:rPr>
              <w:noBreakHyphen/>
              <w:t>Neuve, a présenté sans succès une demande de financement de recherche au Conseil de recherches en sciences humaines du Canada (« CRSH »). Il a porté la décision du CRSH en appel au moyen du processus d’appel interne, faisant principalement valoir que le président du comité de sélection, qui était membre de l’équipe de haute direction d’une université avec laquelle il avait déjà eu un long litige, était en conflit d’intérêts et que ce conflit n’avait pas été déclaré ni traité correctement. Le comité d’appel a maintenu les notes qui avaient été initialement accordées à la demande de M. Oleynik, confirmant de cette façon le refus du CRSH d’accorder du financement. M. Oleynik a ensuite soutenu qu’il y avait aussi conflits d’intérêts à l’étape du comité d’appel. La Cour fédérale a rejeté la demande de contrôle judiciaire de M. Oleynik après avoir conclu qu’aucun conflit d’intérêts n’avait été établi selon la définition se trouvant dans la politique d’appel du CRSH. La Cour d’appel fédérale a rejeté l’appel de M. Oleynik. Elle a reconnu les limites des politiques du CRSH et a conclu que le redressement approprié était d’appliquer, au moyen des politiques, le critère de la crainte raisonnable de partialité en common law. Cependant, même en appliquant la common law, la Cour a conclu que M. Oleynik ne s’était pas acquitté de son fardeau d’établir une crainte raisonnable de partialité.</w:t>
            </w:r>
          </w:p>
        </w:tc>
      </w:tr>
      <w:tr w:rsidR="007B7DA1" w:rsidRPr="004E02BD" w:rsidTr="00610FEC">
        <w:tc>
          <w:tcPr>
            <w:tcW w:w="5000" w:type="pct"/>
            <w:gridSpan w:val="4"/>
          </w:tcPr>
          <w:p w:rsidR="007B7DA1" w:rsidRPr="00AD420D" w:rsidRDefault="007B7DA1" w:rsidP="007B7DA1">
            <w:pPr>
              <w:jc w:val="both"/>
              <w:rPr>
                <w:color w:val="000000"/>
                <w:sz w:val="20"/>
                <w:shd w:val="clear" w:color="auto" w:fill="FFFFFF"/>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t>3 octobre 2016</w:t>
            </w:r>
          </w:p>
          <w:p w:rsidR="007B7DA1" w:rsidRPr="00AD420D" w:rsidRDefault="007B7DA1" w:rsidP="007B7DA1">
            <w:pPr>
              <w:jc w:val="both"/>
              <w:rPr>
                <w:color w:val="000000"/>
                <w:sz w:val="20"/>
                <w:shd w:val="clear" w:color="auto" w:fill="FFFFFF"/>
                <w:lang w:val="fr-CA"/>
              </w:rPr>
            </w:pPr>
            <w:r w:rsidRPr="00AD420D">
              <w:rPr>
                <w:color w:val="000000"/>
                <w:sz w:val="20"/>
                <w:shd w:val="clear" w:color="auto" w:fill="FFFFFF"/>
                <w:lang w:val="fr-CA"/>
              </w:rPr>
              <w:t xml:space="preserve">Comité d’appel interne du Conseil </w:t>
            </w:r>
            <w:r w:rsidRPr="00AD420D">
              <w:rPr>
                <w:color w:val="000000"/>
                <w:sz w:val="20"/>
                <w:lang w:val="fr-CA"/>
              </w:rPr>
              <w:t>de recherches en sciences humaines du Canada</w:t>
            </w:r>
          </w:p>
          <w:p w:rsidR="007B7DA1" w:rsidRPr="00AD420D" w:rsidRDefault="007B7DA1" w:rsidP="007B7DA1">
            <w:pPr>
              <w:jc w:val="both"/>
              <w:rPr>
                <w:color w:val="000000"/>
                <w:sz w:val="20"/>
                <w:shd w:val="clear" w:color="auto" w:fill="FFFFFF"/>
                <w:lang w:val="fr-CA"/>
              </w:rPr>
            </w:pPr>
            <w:r w:rsidRPr="00AD420D">
              <w:rPr>
                <w:color w:val="000000"/>
                <w:sz w:val="20"/>
                <w:shd w:val="clear" w:color="auto" w:fill="FFFFFF"/>
                <w:lang w:val="fr-CA"/>
              </w:rPr>
              <w:t>(</w:t>
            </w:r>
            <w:r w:rsidRPr="00AD420D">
              <w:rPr>
                <w:color w:val="000000"/>
                <w:sz w:val="20"/>
                <w:lang w:val="fr-CA"/>
              </w:rPr>
              <w:t>B. Herbert</w:t>
            </w:r>
            <w:r w:rsidRPr="00AD420D">
              <w:rPr>
                <w:color w:val="000000"/>
                <w:sz w:val="20"/>
                <w:lang w:val="fr-CA"/>
              </w:rPr>
              <w:noBreakHyphen/>
            </w:r>
            <w:proofErr w:type="spellStart"/>
            <w:r w:rsidRPr="00AD420D">
              <w:rPr>
                <w:color w:val="000000"/>
                <w:sz w:val="20"/>
                <w:lang w:val="fr-CA"/>
              </w:rPr>
              <w:t>Copley</w:t>
            </w:r>
            <w:proofErr w:type="spellEnd"/>
            <w:r w:rsidRPr="00AD420D">
              <w:rPr>
                <w:color w:val="000000"/>
                <w:sz w:val="20"/>
                <w:lang w:val="fr-CA"/>
              </w:rPr>
              <w:t>, v</w:t>
            </w:r>
            <w:r w:rsidRPr="00AD420D">
              <w:rPr>
                <w:color w:val="000000"/>
                <w:sz w:val="20"/>
                <w:shd w:val="clear" w:color="auto" w:fill="FFFFFF"/>
                <w:lang w:val="fr-CA"/>
              </w:rPr>
              <w:t>ice</w:t>
            </w:r>
            <w:r w:rsidRPr="00AD420D">
              <w:rPr>
                <w:color w:val="000000"/>
                <w:sz w:val="20"/>
                <w:shd w:val="clear" w:color="auto" w:fill="FFFFFF"/>
                <w:lang w:val="fr-CA"/>
              </w:rPr>
              <w:noBreakHyphen/>
              <w:t>président directeur, Affaires générales)</w:t>
            </w:r>
          </w:p>
          <w:p w:rsidR="007B7DA1" w:rsidRPr="00AD420D" w:rsidRDefault="007B7DA1" w:rsidP="007B7DA1">
            <w:pPr>
              <w:jc w:val="both"/>
              <w:rPr>
                <w:color w:val="000000"/>
                <w:sz w:val="20"/>
                <w:shd w:val="clear" w:color="auto" w:fill="FFFFFF"/>
                <w:lang w:val="fr-CA"/>
              </w:rPr>
            </w:pP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lang w:val="fr-CA"/>
              </w:rPr>
            </w:pPr>
            <w:r w:rsidRPr="00AD420D">
              <w:rPr>
                <w:sz w:val="20"/>
                <w:lang w:val="fr-CA"/>
              </w:rPr>
              <w:t xml:space="preserve">Confirmation de la décision de financement « non offert » </w:t>
            </w: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t>13 juillet 2018</w:t>
            </w:r>
          </w:p>
          <w:p w:rsidR="007B7DA1" w:rsidRPr="00AD420D" w:rsidRDefault="007B7DA1" w:rsidP="007B7DA1">
            <w:pPr>
              <w:jc w:val="both"/>
              <w:rPr>
                <w:sz w:val="20"/>
                <w:lang w:val="fr-CA"/>
              </w:rPr>
            </w:pPr>
            <w:r w:rsidRPr="00AD420D">
              <w:rPr>
                <w:sz w:val="20"/>
                <w:lang w:val="fr-CA"/>
              </w:rPr>
              <w:t>Cour fédérale</w:t>
            </w:r>
          </w:p>
          <w:p w:rsidR="007B7DA1" w:rsidRPr="00AD420D" w:rsidRDefault="007B7DA1" w:rsidP="007B7DA1">
            <w:pPr>
              <w:jc w:val="both"/>
              <w:rPr>
                <w:sz w:val="20"/>
                <w:lang w:val="fr-CA"/>
              </w:rPr>
            </w:pPr>
            <w:r w:rsidRPr="00AD420D">
              <w:rPr>
                <w:sz w:val="20"/>
                <w:lang w:val="fr-CA"/>
              </w:rPr>
              <w:t xml:space="preserve">(Juge </w:t>
            </w:r>
            <w:proofErr w:type="spellStart"/>
            <w:r w:rsidRPr="00AD420D">
              <w:rPr>
                <w:sz w:val="20"/>
                <w:lang w:val="fr-CA"/>
              </w:rPr>
              <w:t>Heneghan</w:t>
            </w:r>
            <w:proofErr w:type="spellEnd"/>
            <w:r w:rsidRPr="00AD420D">
              <w:rPr>
                <w:sz w:val="20"/>
                <w:lang w:val="fr-CA"/>
              </w:rPr>
              <w:t>)</w:t>
            </w:r>
          </w:p>
          <w:p w:rsidR="007B7DA1" w:rsidRPr="00AD420D" w:rsidRDefault="004E02BD" w:rsidP="007B7DA1">
            <w:pPr>
              <w:jc w:val="both"/>
              <w:rPr>
                <w:rStyle w:val="Hyperlink"/>
                <w:sz w:val="20"/>
                <w:lang w:val="fr-CA"/>
              </w:rPr>
            </w:pPr>
            <w:hyperlink r:id="rId48" w:history="1">
              <w:r w:rsidR="007B7DA1" w:rsidRPr="00AD420D">
                <w:rPr>
                  <w:rStyle w:val="Hyperlink"/>
                  <w:sz w:val="20"/>
                  <w:lang w:val="fr-CA"/>
                </w:rPr>
                <w:t>2018 CF 737</w:t>
              </w:r>
            </w:hyperlink>
          </w:p>
          <w:p w:rsidR="007B7DA1" w:rsidRPr="00AD420D" w:rsidRDefault="007B7DA1" w:rsidP="007B7DA1">
            <w:pPr>
              <w:jc w:val="both"/>
              <w:rPr>
                <w:sz w:val="20"/>
                <w:lang w:val="fr-CA"/>
              </w:rPr>
            </w:pP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lang w:val="fr-CA"/>
              </w:rPr>
            </w:pPr>
            <w:r w:rsidRPr="00AD420D">
              <w:rPr>
                <w:sz w:val="20"/>
                <w:lang w:val="fr-CA"/>
              </w:rPr>
              <w:t>Rejet de la demande de contrôle judiciaire</w:t>
            </w:r>
          </w:p>
          <w:p w:rsidR="007B7DA1" w:rsidRPr="00AD420D" w:rsidRDefault="007B7DA1" w:rsidP="007B7DA1">
            <w:pPr>
              <w:jc w:val="both"/>
              <w:rPr>
                <w:sz w:val="20"/>
                <w:lang w:val="fr-CA"/>
              </w:rPr>
            </w:pPr>
          </w:p>
        </w:tc>
      </w:tr>
      <w:tr w:rsidR="007B7DA1" w:rsidRPr="00AD420D" w:rsidTr="00610FEC">
        <w:tc>
          <w:tcPr>
            <w:tcW w:w="2427" w:type="pct"/>
            <w:gridSpan w:val="2"/>
          </w:tcPr>
          <w:p w:rsidR="007B7DA1" w:rsidRPr="00AD420D" w:rsidRDefault="007B7DA1" w:rsidP="007B7DA1">
            <w:pPr>
              <w:jc w:val="both"/>
              <w:rPr>
                <w:sz w:val="20"/>
                <w:lang w:val="fr-CA"/>
              </w:rPr>
            </w:pPr>
            <w:r w:rsidRPr="00AD420D">
              <w:rPr>
                <w:sz w:val="20"/>
                <w:lang w:val="fr-CA"/>
              </w:rPr>
              <w:t>10 janvier 2020</w:t>
            </w:r>
          </w:p>
          <w:p w:rsidR="007B7DA1" w:rsidRPr="00AD420D" w:rsidRDefault="007B7DA1" w:rsidP="007B7DA1">
            <w:pPr>
              <w:jc w:val="both"/>
              <w:rPr>
                <w:sz w:val="20"/>
                <w:lang w:val="fr-CA"/>
              </w:rPr>
            </w:pPr>
            <w:r w:rsidRPr="00AD420D">
              <w:rPr>
                <w:sz w:val="20"/>
                <w:lang w:val="fr-CA"/>
              </w:rPr>
              <w:t>Cour d’appel fédérale</w:t>
            </w:r>
          </w:p>
          <w:p w:rsidR="007B7DA1" w:rsidRPr="00AD420D" w:rsidRDefault="007B7DA1" w:rsidP="007B7DA1">
            <w:pPr>
              <w:jc w:val="both"/>
              <w:rPr>
                <w:sz w:val="20"/>
                <w:lang w:val="fr-CA"/>
              </w:rPr>
            </w:pPr>
            <w:r w:rsidRPr="00AD420D">
              <w:rPr>
                <w:sz w:val="20"/>
                <w:lang w:val="fr-CA"/>
              </w:rPr>
              <w:t>(Juges Rennie, Woods et Laskin)</w:t>
            </w:r>
          </w:p>
          <w:p w:rsidR="007B7DA1" w:rsidRPr="00AD420D" w:rsidRDefault="007B7DA1" w:rsidP="007B7DA1">
            <w:pPr>
              <w:jc w:val="both"/>
              <w:rPr>
                <w:sz w:val="20"/>
                <w:lang w:val="fr-CA"/>
              </w:rPr>
            </w:pPr>
            <w:r w:rsidRPr="00AD420D">
              <w:rPr>
                <w:sz w:val="20"/>
                <w:lang w:val="fr-CA"/>
              </w:rPr>
              <w:t>No de dossier A</w:t>
            </w:r>
            <w:r w:rsidRPr="00AD420D">
              <w:rPr>
                <w:sz w:val="20"/>
                <w:lang w:val="fr-CA"/>
              </w:rPr>
              <w:noBreakHyphen/>
              <w:t>309</w:t>
            </w:r>
            <w:r w:rsidRPr="00AD420D">
              <w:rPr>
                <w:sz w:val="20"/>
                <w:lang w:val="fr-CA"/>
              </w:rPr>
              <w:noBreakHyphen/>
              <w:t>18</w:t>
            </w:r>
          </w:p>
          <w:p w:rsidR="007B7DA1" w:rsidRPr="00AD420D" w:rsidRDefault="004E02BD" w:rsidP="007B7DA1">
            <w:pPr>
              <w:jc w:val="both"/>
              <w:rPr>
                <w:sz w:val="20"/>
                <w:lang w:val="fr-CA"/>
              </w:rPr>
            </w:pPr>
            <w:hyperlink r:id="rId49" w:history="1">
              <w:r w:rsidR="007B7DA1" w:rsidRPr="00AD420D">
                <w:rPr>
                  <w:rStyle w:val="Hyperlink"/>
                  <w:sz w:val="20"/>
                  <w:lang w:val="fr-CA"/>
                </w:rPr>
                <w:t>2020 FCA 5</w:t>
              </w:r>
            </w:hyperlink>
            <w:r w:rsidR="007B7DA1" w:rsidRPr="00AD420D">
              <w:rPr>
                <w:sz w:val="20"/>
                <w:lang w:val="fr-CA"/>
              </w:rPr>
              <w:t xml:space="preserve"> </w:t>
            </w:r>
          </w:p>
          <w:p w:rsidR="007B7DA1" w:rsidRPr="00AD420D" w:rsidRDefault="007B7DA1" w:rsidP="007B7DA1">
            <w:pPr>
              <w:jc w:val="both"/>
              <w:rPr>
                <w:sz w:val="20"/>
                <w:lang w:val="fr-CA"/>
              </w:rPr>
            </w:pP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lang w:val="fr-CA"/>
              </w:rPr>
            </w:pPr>
            <w:r w:rsidRPr="00AD420D">
              <w:rPr>
                <w:sz w:val="20"/>
                <w:lang w:val="fr-CA"/>
              </w:rPr>
              <w:t>Rejet du pourvoi</w:t>
            </w:r>
          </w:p>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t>10 mars 2020</w:t>
            </w:r>
          </w:p>
          <w:p w:rsidR="007B7DA1" w:rsidRPr="00AD420D" w:rsidRDefault="007B7DA1" w:rsidP="007B7DA1">
            <w:pPr>
              <w:jc w:val="both"/>
              <w:rPr>
                <w:sz w:val="20"/>
                <w:lang w:val="fr-CA"/>
              </w:rPr>
            </w:pPr>
            <w:r w:rsidRPr="00AD420D">
              <w:rPr>
                <w:sz w:val="20"/>
                <w:lang w:val="fr-CA"/>
              </w:rPr>
              <w:t>Cour suprême du Canada</w:t>
            </w: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lang w:val="fr-CA"/>
              </w:rPr>
            </w:pPr>
            <w:r w:rsidRPr="00AD420D">
              <w:rPr>
                <w:sz w:val="20"/>
                <w:lang w:val="fr-CA"/>
              </w:rPr>
              <w:t xml:space="preserve">Dépôt de la demande d’autorisation d’appel </w:t>
            </w:r>
          </w:p>
          <w:p w:rsidR="007B7DA1" w:rsidRPr="00AD420D" w:rsidRDefault="007B7DA1" w:rsidP="007B7DA1">
            <w:pPr>
              <w:jc w:val="both"/>
              <w:rPr>
                <w:sz w:val="20"/>
                <w:lang w:val="fr-CA"/>
              </w:rPr>
            </w:pPr>
          </w:p>
        </w:tc>
      </w:tr>
    </w:tbl>
    <w:p w:rsidR="007B7DA1" w:rsidRPr="00AD420D" w:rsidRDefault="007B7DA1" w:rsidP="007B7DA1">
      <w:pPr>
        <w:jc w:val="both"/>
        <w:rPr>
          <w:sz w:val="20"/>
          <w:lang w:val="fr-CA"/>
        </w:rPr>
      </w:pPr>
    </w:p>
    <w:p w:rsidR="008C3373" w:rsidRPr="00AD420D" w:rsidRDefault="004E02BD" w:rsidP="007B7DA1">
      <w:pPr>
        <w:jc w:val="both"/>
        <w:rPr>
          <w:sz w:val="20"/>
          <w:lang w:val="fr-CA"/>
        </w:rPr>
      </w:pPr>
      <w:r>
        <w:rPr>
          <w:sz w:val="20"/>
        </w:rPr>
        <w:pict>
          <v:rect id="_x0000_i1044" style="width:2in;height:1pt" o:hrpct="0" o:hralign="center" o:hrstd="t" o:hrnoshade="t" o:hr="t" fillcolor="black [3213]" stroked="f"/>
        </w:pict>
      </w:r>
    </w:p>
    <w:p w:rsidR="00AE6180" w:rsidRPr="00AD420D" w:rsidRDefault="00AE6180" w:rsidP="007B7DA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DA1" w:rsidRPr="00AD420D" w:rsidTr="00610FEC">
        <w:tc>
          <w:tcPr>
            <w:tcW w:w="543" w:type="pct"/>
          </w:tcPr>
          <w:p w:rsidR="007B7DA1" w:rsidRPr="00AD420D" w:rsidRDefault="007B7DA1" w:rsidP="007B7DA1">
            <w:pPr>
              <w:jc w:val="both"/>
              <w:rPr>
                <w:sz w:val="20"/>
              </w:rPr>
            </w:pPr>
            <w:r w:rsidRPr="00AD420D">
              <w:rPr>
                <w:rStyle w:val="SCCFileNumberChar"/>
                <w:sz w:val="20"/>
                <w:szCs w:val="20"/>
              </w:rPr>
              <w:t>39218</w:t>
            </w:r>
          </w:p>
        </w:tc>
        <w:tc>
          <w:tcPr>
            <w:tcW w:w="4457" w:type="pct"/>
            <w:gridSpan w:val="3"/>
          </w:tcPr>
          <w:p w:rsidR="007B7DA1" w:rsidRPr="00AD420D" w:rsidRDefault="007B7DA1" w:rsidP="007B7DA1">
            <w:pPr>
              <w:jc w:val="both"/>
              <w:rPr>
                <w:b/>
                <w:sz w:val="20"/>
              </w:rPr>
            </w:pPr>
            <w:r w:rsidRPr="00AD420D">
              <w:rPr>
                <w:b/>
                <w:sz w:val="20"/>
              </w:rPr>
              <w:t>A</w:t>
            </w:r>
            <w:r w:rsidR="008C3373" w:rsidRPr="00AD420D">
              <w:rPr>
                <w:b/>
                <w:sz w:val="20"/>
              </w:rPr>
              <w:t>tlantic Packaging Products Ltd.</w:t>
            </w:r>
            <w:r w:rsidRPr="00AD420D">
              <w:rPr>
                <w:b/>
                <w:sz w:val="20"/>
              </w:rPr>
              <w:t xml:space="preserve"> v. Her Majesty the Queen </w:t>
            </w:r>
          </w:p>
          <w:p w:rsidR="007B7DA1" w:rsidRPr="00AD420D" w:rsidRDefault="007B7DA1" w:rsidP="008C3373">
            <w:pPr>
              <w:jc w:val="both"/>
              <w:rPr>
                <w:sz w:val="20"/>
              </w:rPr>
            </w:pPr>
            <w:r w:rsidRPr="00AD420D">
              <w:rPr>
                <w:sz w:val="20"/>
              </w:rPr>
              <w:t>(F</w:t>
            </w:r>
            <w:r w:rsidR="008C3373" w:rsidRPr="00AD420D">
              <w:rPr>
                <w:sz w:val="20"/>
              </w:rPr>
              <w:t>.</w:t>
            </w:r>
            <w:r w:rsidRPr="00AD420D">
              <w:rPr>
                <w:sz w:val="20"/>
              </w:rPr>
              <w:t>C</w:t>
            </w:r>
            <w:r w:rsidR="008C3373" w:rsidRPr="00AD420D">
              <w:rPr>
                <w:sz w:val="20"/>
              </w:rPr>
              <w:t>.</w:t>
            </w:r>
            <w:r w:rsidRPr="00AD420D">
              <w:rPr>
                <w:sz w:val="20"/>
              </w:rPr>
              <w:t>) (Civil) (By Leave)</w:t>
            </w:r>
          </w:p>
        </w:tc>
      </w:tr>
      <w:tr w:rsidR="007B7DA1" w:rsidRPr="00AD420D" w:rsidTr="00610FEC">
        <w:tc>
          <w:tcPr>
            <w:tcW w:w="5000" w:type="pct"/>
            <w:gridSpan w:val="4"/>
          </w:tcPr>
          <w:p w:rsidR="007B7DA1" w:rsidRPr="00AD420D" w:rsidRDefault="007B7DA1" w:rsidP="004E02BD">
            <w:pPr>
              <w:jc w:val="both"/>
              <w:rPr>
                <w:sz w:val="20"/>
              </w:rPr>
            </w:pPr>
            <w:r w:rsidRPr="00AD420D">
              <w:rPr>
                <w:sz w:val="20"/>
              </w:rPr>
              <w:lastRenderedPageBreak/>
              <w:t xml:space="preserve">Taxation — Income Tax — Capital property — Whether the principles in </w:t>
            </w:r>
            <w:r w:rsidRPr="00AD420D">
              <w:rPr>
                <w:i/>
                <w:sz w:val="20"/>
              </w:rPr>
              <w:t xml:space="preserve">Continental Bank </w:t>
            </w:r>
            <w:r w:rsidRPr="00AD420D">
              <w:rPr>
                <w:sz w:val="20"/>
              </w:rPr>
              <w:t xml:space="preserve">([1998] 2 S.C.R. 358) apply to </w:t>
            </w:r>
            <w:bookmarkStart w:id="0" w:name="_GoBack"/>
            <w:bookmarkEnd w:id="0"/>
            <w:r w:rsidRPr="00AD420D">
              <w:rPr>
                <w:sz w:val="20"/>
              </w:rPr>
              <w:t xml:space="preserve">a rollover and sale transaction where capital property is exchanged for shares on a rollover basis and the shares are immediately resold, such that a gain on the sale of the shares is a capital gain for the purposes of the </w:t>
            </w:r>
            <w:r w:rsidRPr="00AD420D">
              <w:rPr>
                <w:i/>
                <w:sz w:val="20"/>
              </w:rPr>
              <w:t>Income Tax Act</w:t>
            </w:r>
            <w:r w:rsidRPr="00AD420D">
              <w:rPr>
                <w:sz w:val="20"/>
              </w:rPr>
              <w:t xml:space="preserve"> (R.S.C., 1985, c. 1 (5th Supp.)) — Principles which appellate courts should apply in interpreting lower court pleadings to identify the issue that was raised in the lower court and to determine whether the issue raised on appeal is a genuinely new issue or a component of an existing issue — Whether the principles that apply in determining whether a new issue has been raised for the purposes of the “large corporation” rules in subsections 165(1.11) and 169(2.1) of the </w:t>
            </w:r>
            <w:r w:rsidRPr="00AD420D">
              <w:rPr>
                <w:i/>
                <w:sz w:val="20"/>
              </w:rPr>
              <w:t>Income Tax Act</w:t>
            </w:r>
            <w:r w:rsidRPr="00AD420D">
              <w:rPr>
                <w:sz w:val="20"/>
              </w:rPr>
              <w:t xml:space="preserve"> (R.S.C., 1985, c. 1 (5th Supp.)) also apply for the purposes of the common law rule regarding raising new issues on appeal</w:t>
            </w:r>
          </w:p>
        </w:tc>
      </w:tr>
      <w:tr w:rsidR="007B7DA1" w:rsidRPr="00AD420D" w:rsidTr="00610FEC">
        <w:tc>
          <w:tcPr>
            <w:tcW w:w="5000" w:type="pct"/>
            <w:gridSpan w:val="4"/>
          </w:tcPr>
          <w:p w:rsidR="007B7DA1" w:rsidRPr="00AD420D" w:rsidRDefault="007B7DA1" w:rsidP="007B7DA1">
            <w:pPr>
              <w:jc w:val="both"/>
              <w:rPr>
                <w:sz w:val="20"/>
              </w:rPr>
            </w:pPr>
          </w:p>
        </w:tc>
      </w:tr>
      <w:tr w:rsidR="007B7DA1" w:rsidRPr="00AD420D" w:rsidTr="00610FEC">
        <w:tc>
          <w:tcPr>
            <w:tcW w:w="5000" w:type="pct"/>
            <w:gridSpan w:val="4"/>
          </w:tcPr>
          <w:p w:rsidR="007B7DA1" w:rsidRPr="00AD420D" w:rsidRDefault="007B7DA1" w:rsidP="007B7DA1">
            <w:pPr>
              <w:jc w:val="both"/>
              <w:rPr>
                <w:sz w:val="20"/>
              </w:rPr>
            </w:pPr>
            <w:r w:rsidRPr="00AD420D">
              <w:rPr>
                <w:sz w:val="20"/>
              </w:rPr>
              <w:t xml:space="preserve">The applicant Atlantic Packaging is a paper products manufacturer. In 2009, it did a rollover of certain assets of its tissue division to 7228392 Canada Inc. in exchange for the latter’s common shares. Atlantic Packaging ultimately sold those common shares to Cascades Canada Inc. When Atlantic Packaging filed its tax return, it reported the gain on the sale of the shares as a capital gain, in reliance of s. 54.2 of the </w:t>
            </w:r>
            <w:r w:rsidRPr="00AD420D">
              <w:rPr>
                <w:i/>
                <w:sz w:val="20"/>
              </w:rPr>
              <w:t>Income Tax Act</w:t>
            </w:r>
            <w:r w:rsidRPr="00AD420D">
              <w:rPr>
                <w:sz w:val="20"/>
              </w:rPr>
              <w:t xml:space="preserve">. The Minister of National Revenue concluded that it could not rely on s. 54.2 to deem the shares to have been capital property. </w:t>
            </w:r>
          </w:p>
          <w:p w:rsidR="007B7DA1" w:rsidRPr="00AD420D" w:rsidRDefault="007B7DA1" w:rsidP="007B7DA1">
            <w:pPr>
              <w:jc w:val="both"/>
              <w:rPr>
                <w:sz w:val="20"/>
              </w:rPr>
            </w:pPr>
          </w:p>
          <w:p w:rsidR="007B7DA1" w:rsidRPr="00AD420D" w:rsidRDefault="007B7DA1" w:rsidP="007B7DA1">
            <w:pPr>
              <w:jc w:val="both"/>
              <w:rPr>
                <w:sz w:val="20"/>
              </w:rPr>
            </w:pPr>
            <w:r w:rsidRPr="00AD420D">
              <w:rPr>
                <w:sz w:val="20"/>
              </w:rPr>
              <w:t xml:space="preserve">The Tax Court dismissed Atlantic Packaging’s appeals. It concluded that since the assets transferred by Atlantic Packaging to 7228392 Canada Inc. would make up only 68% of the total assets of its tissue division, the test under s. 54.2 of the </w:t>
            </w:r>
            <w:r w:rsidRPr="00AD420D">
              <w:rPr>
                <w:i/>
                <w:sz w:val="20"/>
              </w:rPr>
              <w:t xml:space="preserve">Income Tax Act </w:t>
            </w:r>
            <w:r w:rsidRPr="00AD420D">
              <w:rPr>
                <w:sz w:val="20"/>
              </w:rPr>
              <w:t xml:space="preserve">was not met. The Federal Court of Appeal unanimously dismissed the appeals. </w:t>
            </w:r>
          </w:p>
          <w:p w:rsidR="007B7DA1" w:rsidRPr="00AD420D" w:rsidRDefault="007B7DA1" w:rsidP="007B7DA1">
            <w:pPr>
              <w:jc w:val="both"/>
              <w:rPr>
                <w:sz w:val="20"/>
              </w:rPr>
            </w:pPr>
          </w:p>
        </w:tc>
      </w:tr>
      <w:tr w:rsidR="007B7DA1" w:rsidRPr="00AD420D" w:rsidTr="00610FEC">
        <w:tc>
          <w:tcPr>
            <w:tcW w:w="2427" w:type="pct"/>
            <w:gridSpan w:val="2"/>
          </w:tcPr>
          <w:p w:rsidR="007B7DA1" w:rsidRPr="00AD420D" w:rsidRDefault="007B7DA1" w:rsidP="007B7DA1">
            <w:pPr>
              <w:jc w:val="both"/>
              <w:rPr>
                <w:sz w:val="20"/>
              </w:rPr>
            </w:pPr>
            <w:r w:rsidRPr="00AD420D">
              <w:rPr>
                <w:sz w:val="20"/>
              </w:rPr>
              <w:t>September 7, 2018</w:t>
            </w:r>
          </w:p>
          <w:p w:rsidR="007B7DA1" w:rsidRPr="00AD420D" w:rsidRDefault="007B7DA1" w:rsidP="007B7DA1">
            <w:pPr>
              <w:jc w:val="both"/>
              <w:rPr>
                <w:sz w:val="20"/>
              </w:rPr>
            </w:pPr>
            <w:r w:rsidRPr="00AD420D">
              <w:rPr>
                <w:sz w:val="20"/>
              </w:rPr>
              <w:t>Tax Court of Canada</w:t>
            </w:r>
          </w:p>
          <w:p w:rsidR="007B7DA1" w:rsidRPr="00AD420D" w:rsidRDefault="007B7DA1" w:rsidP="007B7DA1">
            <w:pPr>
              <w:jc w:val="both"/>
              <w:rPr>
                <w:sz w:val="20"/>
              </w:rPr>
            </w:pPr>
            <w:r w:rsidRPr="00AD420D">
              <w:rPr>
                <w:sz w:val="20"/>
              </w:rPr>
              <w:t>(Graham J.)</w:t>
            </w:r>
          </w:p>
          <w:p w:rsidR="007B7DA1" w:rsidRPr="00AD420D" w:rsidRDefault="004E02BD" w:rsidP="007B7DA1">
            <w:pPr>
              <w:jc w:val="both"/>
              <w:rPr>
                <w:sz w:val="20"/>
              </w:rPr>
            </w:pPr>
            <w:hyperlink r:id="rId50" w:history="1">
              <w:r w:rsidR="007B7DA1" w:rsidRPr="00AD420D">
                <w:rPr>
                  <w:rStyle w:val="Hyperlink"/>
                  <w:sz w:val="20"/>
                </w:rPr>
                <w:t>2018 TCC 183</w:t>
              </w:r>
            </w:hyperlink>
          </w:p>
          <w:p w:rsidR="007B7DA1" w:rsidRPr="00AD420D" w:rsidRDefault="007B7DA1" w:rsidP="007B7DA1">
            <w:pPr>
              <w:jc w:val="both"/>
              <w:rPr>
                <w:sz w:val="20"/>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rPr>
            </w:pPr>
            <w:r w:rsidRPr="00AD420D">
              <w:rPr>
                <w:sz w:val="20"/>
              </w:rPr>
              <w:t>Applicant’s appeals of its taxation years ending May 31, 2010, 2011 and 2012, dismissed</w:t>
            </w:r>
          </w:p>
          <w:p w:rsidR="007B7DA1" w:rsidRPr="00AD420D" w:rsidRDefault="007B7DA1" w:rsidP="007B7DA1">
            <w:pPr>
              <w:jc w:val="both"/>
              <w:rPr>
                <w:sz w:val="20"/>
              </w:rPr>
            </w:pPr>
          </w:p>
        </w:tc>
      </w:tr>
      <w:tr w:rsidR="007B7DA1" w:rsidRPr="00AD420D" w:rsidTr="00610FEC">
        <w:tc>
          <w:tcPr>
            <w:tcW w:w="2427" w:type="pct"/>
            <w:gridSpan w:val="2"/>
          </w:tcPr>
          <w:p w:rsidR="007B7DA1" w:rsidRPr="00AD420D" w:rsidRDefault="007B7DA1" w:rsidP="007B7DA1">
            <w:pPr>
              <w:jc w:val="both"/>
              <w:rPr>
                <w:sz w:val="20"/>
              </w:rPr>
            </w:pPr>
            <w:r w:rsidRPr="00AD420D">
              <w:rPr>
                <w:sz w:val="20"/>
              </w:rPr>
              <w:t>April 20, 2020</w:t>
            </w:r>
          </w:p>
          <w:p w:rsidR="007B7DA1" w:rsidRPr="00AD420D" w:rsidRDefault="007B7DA1" w:rsidP="007B7DA1">
            <w:pPr>
              <w:jc w:val="both"/>
              <w:rPr>
                <w:sz w:val="20"/>
              </w:rPr>
            </w:pPr>
            <w:r w:rsidRPr="00AD420D">
              <w:rPr>
                <w:sz w:val="20"/>
              </w:rPr>
              <w:t>Federal Court of Appeal</w:t>
            </w:r>
          </w:p>
          <w:p w:rsidR="007B7DA1" w:rsidRPr="00AD420D" w:rsidRDefault="007B7DA1" w:rsidP="007B7DA1">
            <w:pPr>
              <w:jc w:val="both"/>
              <w:rPr>
                <w:sz w:val="20"/>
              </w:rPr>
            </w:pPr>
            <w:r w:rsidRPr="00AD420D">
              <w:rPr>
                <w:sz w:val="20"/>
              </w:rPr>
              <w:t>(Webb, Near and Mactavish JJ.A.)</w:t>
            </w:r>
          </w:p>
          <w:p w:rsidR="007B7DA1" w:rsidRPr="00AD420D" w:rsidRDefault="004E02BD" w:rsidP="007B7DA1">
            <w:pPr>
              <w:jc w:val="both"/>
              <w:rPr>
                <w:sz w:val="20"/>
              </w:rPr>
            </w:pPr>
            <w:hyperlink r:id="rId51" w:history="1">
              <w:r w:rsidR="007B7DA1" w:rsidRPr="00AD420D">
                <w:rPr>
                  <w:rStyle w:val="Hyperlink"/>
                  <w:sz w:val="20"/>
                </w:rPr>
                <w:t>2020 FCA 75</w:t>
              </w:r>
            </w:hyperlink>
          </w:p>
          <w:p w:rsidR="007B7DA1" w:rsidRPr="00AD420D" w:rsidRDefault="007B7DA1" w:rsidP="007B7DA1">
            <w:pPr>
              <w:jc w:val="both"/>
              <w:rPr>
                <w:sz w:val="20"/>
              </w:rPr>
            </w:pP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rPr>
            </w:pPr>
            <w:r w:rsidRPr="00AD420D">
              <w:rPr>
                <w:sz w:val="20"/>
              </w:rPr>
              <w:t>Appeal dismissed</w:t>
            </w:r>
          </w:p>
          <w:p w:rsidR="007B7DA1" w:rsidRPr="00AD420D" w:rsidRDefault="007B7DA1" w:rsidP="007B7DA1">
            <w:pPr>
              <w:jc w:val="both"/>
              <w:rPr>
                <w:sz w:val="20"/>
              </w:rPr>
            </w:pPr>
          </w:p>
        </w:tc>
      </w:tr>
      <w:tr w:rsidR="007B7DA1" w:rsidRPr="00AD420D" w:rsidTr="00610FEC">
        <w:tc>
          <w:tcPr>
            <w:tcW w:w="2427" w:type="pct"/>
            <w:gridSpan w:val="2"/>
          </w:tcPr>
          <w:p w:rsidR="007B7DA1" w:rsidRPr="00AD420D" w:rsidRDefault="007B7DA1" w:rsidP="007B7DA1">
            <w:pPr>
              <w:jc w:val="both"/>
              <w:rPr>
                <w:sz w:val="20"/>
              </w:rPr>
            </w:pPr>
            <w:r w:rsidRPr="00AD420D">
              <w:rPr>
                <w:sz w:val="20"/>
              </w:rPr>
              <w:t>June 19, 2020</w:t>
            </w:r>
          </w:p>
          <w:p w:rsidR="007B7DA1" w:rsidRPr="00AD420D" w:rsidRDefault="007B7DA1" w:rsidP="007B7DA1">
            <w:pPr>
              <w:jc w:val="both"/>
              <w:rPr>
                <w:sz w:val="20"/>
              </w:rPr>
            </w:pPr>
            <w:r w:rsidRPr="00AD420D">
              <w:rPr>
                <w:sz w:val="20"/>
              </w:rPr>
              <w:t>Supreme Court of Canada</w:t>
            </w:r>
          </w:p>
        </w:tc>
        <w:tc>
          <w:tcPr>
            <w:tcW w:w="243" w:type="pct"/>
          </w:tcPr>
          <w:p w:rsidR="007B7DA1" w:rsidRPr="00AD420D" w:rsidRDefault="007B7DA1" w:rsidP="007B7DA1">
            <w:pPr>
              <w:jc w:val="both"/>
              <w:rPr>
                <w:sz w:val="20"/>
              </w:rPr>
            </w:pPr>
          </w:p>
        </w:tc>
        <w:tc>
          <w:tcPr>
            <w:tcW w:w="2330" w:type="pct"/>
          </w:tcPr>
          <w:p w:rsidR="007B7DA1" w:rsidRPr="00AD420D" w:rsidRDefault="007B7DA1" w:rsidP="007B7DA1">
            <w:pPr>
              <w:jc w:val="both"/>
              <w:rPr>
                <w:sz w:val="20"/>
              </w:rPr>
            </w:pPr>
            <w:r w:rsidRPr="00AD420D">
              <w:rPr>
                <w:sz w:val="20"/>
              </w:rPr>
              <w:t>Application for leave to appeal filed</w:t>
            </w:r>
          </w:p>
          <w:p w:rsidR="007B7DA1" w:rsidRPr="00AD420D" w:rsidRDefault="007B7DA1" w:rsidP="007B7DA1">
            <w:pPr>
              <w:jc w:val="both"/>
              <w:rPr>
                <w:sz w:val="20"/>
              </w:rPr>
            </w:pPr>
          </w:p>
        </w:tc>
      </w:tr>
    </w:tbl>
    <w:p w:rsidR="007B7DA1" w:rsidRPr="00AD420D" w:rsidRDefault="007B7DA1" w:rsidP="007B7DA1">
      <w:pPr>
        <w:jc w:val="both"/>
        <w:rPr>
          <w:sz w:val="20"/>
        </w:rPr>
      </w:pPr>
    </w:p>
    <w:p w:rsidR="007B7DA1" w:rsidRPr="00AD420D" w:rsidRDefault="004E02BD" w:rsidP="007B7DA1">
      <w:pPr>
        <w:jc w:val="both"/>
        <w:rPr>
          <w:sz w:val="20"/>
        </w:rPr>
      </w:pPr>
      <w:r>
        <w:rPr>
          <w:sz w:val="20"/>
        </w:rPr>
        <w:pict>
          <v:rect id="_x0000_i1045" style="width:2in;height:1pt" o:hrpct="0" o:hralign="center" o:hrstd="t" o:hrnoshade="t" o:hr="t" fillcolor="black [3213]" stroked="f"/>
        </w:pict>
      </w:r>
    </w:p>
    <w:p w:rsidR="007B7DA1" w:rsidRPr="00AD420D" w:rsidRDefault="007B7DA1" w:rsidP="007B7DA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DA1" w:rsidRPr="004E02BD" w:rsidTr="00610FEC">
        <w:tc>
          <w:tcPr>
            <w:tcW w:w="543" w:type="pct"/>
          </w:tcPr>
          <w:p w:rsidR="007B7DA1" w:rsidRPr="00AD420D" w:rsidRDefault="007B7DA1" w:rsidP="007B7DA1">
            <w:pPr>
              <w:jc w:val="both"/>
              <w:rPr>
                <w:sz w:val="20"/>
                <w:lang w:val="fr-CA"/>
              </w:rPr>
            </w:pPr>
            <w:r w:rsidRPr="00AD420D">
              <w:rPr>
                <w:rStyle w:val="SCCFileNumberChar"/>
                <w:sz w:val="20"/>
                <w:szCs w:val="20"/>
                <w:lang w:val="fr-CA"/>
              </w:rPr>
              <w:t>39218</w:t>
            </w:r>
          </w:p>
        </w:tc>
        <w:tc>
          <w:tcPr>
            <w:tcW w:w="4457" w:type="pct"/>
            <w:gridSpan w:val="3"/>
          </w:tcPr>
          <w:p w:rsidR="007B7DA1" w:rsidRPr="00AD420D" w:rsidRDefault="007B7DA1" w:rsidP="007B7DA1">
            <w:pPr>
              <w:jc w:val="both"/>
              <w:rPr>
                <w:b/>
                <w:sz w:val="20"/>
                <w:lang w:val="fr-CA"/>
              </w:rPr>
            </w:pPr>
            <w:r w:rsidRPr="00AD420D">
              <w:rPr>
                <w:b/>
                <w:sz w:val="20"/>
                <w:lang w:val="fr-CA"/>
              </w:rPr>
              <w:t>Atlantic produits d’emball</w:t>
            </w:r>
            <w:r w:rsidR="008C3373" w:rsidRPr="00AD420D">
              <w:rPr>
                <w:b/>
                <w:sz w:val="20"/>
                <w:lang w:val="fr-CA"/>
              </w:rPr>
              <w:t>age ltée c. Sa Majesté la Reine</w:t>
            </w:r>
          </w:p>
          <w:p w:rsidR="007B7DA1" w:rsidRPr="00AD420D" w:rsidRDefault="007B7DA1" w:rsidP="007B7DA1">
            <w:pPr>
              <w:jc w:val="both"/>
              <w:rPr>
                <w:sz w:val="20"/>
                <w:lang w:val="fr-CA"/>
              </w:rPr>
            </w:pPr>
            <w:r w:rsidRPr="00AD420D">
              <w:rPr>
                <w:sz w:val="20"/>
                <w:lang w:val="fr-CA"/>
              </w:rPr>
              <w:t>(</w:t>
            </w:r>
            <w:r w:rsidR="008C3373" w:rsidRPr="00AD420D">
              <w:rPr>
                <w:sz w:val="20"/>
                <w:lang w:val="fr-CA"/>
              </w:rPr>
              <w:t>C.F.) (Civile) (Sur autorisation)</w:t>
            </w:r>
          </w:p>
        </w:tc>
      </w:tr>
      <w:tr w:rsidR="007B7DA1" w:rsidRPr="004E02BD" w:rsidTr="00610FEC">
        <w:tc>
          <w:tcPr>
            <w:tcW w:w="5000" w:type="pct"/>
            <w:gridSpan w:val="4"/>
          </w:tcPr>
          <w:p w:rsidR="007B7DA1" w:rsidRPr="00AD420D" w:rsidRDefault="007B7DA1" w:rsidP="007B7DA1">
            <w:pPr>
              <w:jc w:val="both"/>
              <w:rPr>
                <w:sz w:val="20"/>
                <w:lang w:val="fr-CA"/>
              </w:rPr>
            </w:pPr>
            <w:r w:rsidRPr="00AD420D">
              <w:rPr>
                <w:sz w:val="20"/>
                <w:lang w:val="fr-CA"/>
              </w:rPr>
              <w:t xml:space="preserve">Droit fiscal — Impôt sur le revenu — Immobilisations — Les principes établis dans l’arrêt </w:t>
            </w:r>
            <w:r w:rsidRPr="00AD420D">
              <w:rPr>
                <w:i/>
                <w:sz w:val="20"/>
                <w:lang w:val="fr-CA"/>
              </w:rPr>
              <w:t>Banque continentale</w:t>
            </w:r>
            <w:r w:rsidRPr="00AD420D">
              <w:rPr>
                <w:sz w:val="20"/>
                <w:lang w:val="fr-CA"/>
              </w:rPr>
              <w:t xml:space="preserve"> ([1998] 2 R.C.S. 358) s’appliquent</w:t>
            </w:r>
            <w:r w:rsidRPr="00AD420D">
              <w:rPr>
                <w:sz w:val="20"/>
                <w:lang w:val="fr-CA"/>
              </w:rPr>
              <w:noBreakHyphen/>
              <w:t xml:space="preserve">ils à une opération de transfert et de vente où des immobilisations sont échangées contre des actions par transfert libre d’impôt et où les actions sont immédiatement revendues, de sorte qu’un gain sur la vente des actions est un gain en capital pour l’application de la </w:t>
            </w:r>
            <w:r w:rsidRPr="00AD420D">
              <w:rPr>
                <w:i/>
                <w:sz w:val="20"/>
                <w:lang w:val="fr-CA"/>
              </w:rPr>
              <w:t>Loi de l’impôt sur le revenu</w:t>
            </w:r>
            <w:r w:rsidRPr="00AD420D">
              <w:rPr>
                <w:sz w:val="20"/>
                <w:lang w:val="fr-CA"/>
              </w:rPr>
              <w:t xml:space="preserve"> (L.R.C., 1985, c. 1 (5</w:t>
            </w:r>
            <w:r w:rsidRPr="00AD420D">
              <w:rPr>
                <w:sz w:val="20"/>
                <w:vertAlign w:val="superscript"/>
                <w:lang w:val="fr-CA"/>
              </w:rPr>
              <w:t>e</w:t>
            </w:r>
            <w:r w:rsidRPr="00AD420D">
              <w:rPr>
                <w:sz w:val="20"/>
                <w:lang w:val="fr-CA"/>
              </w:rPr>
              <w:t xml:space="preserve"> suppl.))? — Principes que devraient appliquer les cours d’appel lorsqu’elles interprètent les actes de procédure devant les tribunaux d’instances inférieures pour déterminer la question qui a été soulevée devant ceux</w:t>
            </w:r>
            <w:r w:rsidRPr="00AD420D">
              <w:rPr>
                <w:sz w:val="20"/>
                <w:lang w:val="fr-CA"/>
              </w:rPr>
              <w:noBreakHyphen/>
              <w:t xml:space="preserve">ci et pour établir si la question soulevée en appel est véritablement une nouvelle question ou un élément d’une question existante — Les principes qui s’appliquent pour établir si une nouvelle question a été soulevée pour l’application des règles relatives aux « grandes sociétés » prévues aux </w:t>
            </w:r>
            <w:proofErr w:type="spellStart"/>
            <w:r w:rsidRPr="00AD420D">
              <w:rPr>
                <w:sz w:val="20"/>
                <w:lang w:val="fr-CA"/>
              </w:rPr>
              <w:t>par</w:t>
            </w:r>
            <w:proofErr w:type="spellEnd"/>
            <w:r w:rsidRPr="00AD420D">
              <w:rPr>
                <w:sz w:val="20"/>
                <w:lang w:val="fr-CA"/>
              </w:rPr>
              <w:t xml:space="preserve">. 165(1.11) et 169(2.1) de la </w:t>
            </w:r>
            <w:r w:rsidRPr="00AD420D">
              <w:rPr>
                <w:i/>
                <w:sz w:val="20"/>
                <w:lang w:val="fr-CA"/>
              </w:rPr>
              <w:t>Loi de l’impôt sur le revenu</w:t>
            </w:r>
            <w:r w:rsidRPr="00AD420D">
              <w:rPr>
                <w:sz w:val="20"/>
                <w:lang w:val="fr-CA"/>
              </w:rPr>
              <w:t xml:space="preserve"> (L.R.C., 1985, c. 1 (5</w:t>
            </w:r>
            <w:r w:rsidRPr="00AD420D">
              <w:rPr>
                <w:sz w:val="20"/>
                <w:vertAlign w:val="superscript"/>
                <w:lang w:val="fr-CA"/>
              </w:rPr>
              <w:t>e</w:t>
            </w:r>
            <w:r w:rsidRPr="00AD420D">
              <w:rPr>
                <w:sz w:val="20"/>
                <w:lang w:val="fr-CA"/>
              </w:rPr>
              <w:t xml:space="preserve"> suppl.)) s’appliquent</w:t>
            </w:r>
            <w:r w:rsidRPr="00AD420D">
              <w:rPr>
                <w:sz w:val="20"/>
                <w:lang w:val="fr-CA"/>
              </w:rPr>
              <w:noBreakHyphen/>
              <w:t>ils également pour l’application de la règle de common law concernant les nouvelles questions en appel?</w:t>
            </w:r>
          </w:p>
        </w:tc>
      </w:tr>
      <w:tr w:rsidR="007B7DA1" w:rsidRPr="004E02BD" w:rsidTr="00610FEC">
        <w:tc>
          <w:tcPr>
            <w:tcW w:w="5000" w:type="pct"/>
            <w:gridSpan w:val="4"/>
          </w:tcPr>
          <w:p w:rsidR="007B7DA1" w:rsidRPr="00AD420D" w:rsidRDefault="007B7DA1" w:rsidP="007B7DA1">
            <w:pPr>
              <w:jc w:val="both"/>
              <w:rPr>
                <w:sz w:val="20"/>
                <w:lang w:val="fr-CA"/>
              </w:rPr>
            </w:pPr>
          </w:p>
        </w:tc>
      </w:tr>
      <w:tr w:rsidR="007B7DA1" w:rsidRPr="004E02BD" w:rsidTr="00610FEC">
        <w:tc>
          <w:tcPr>
            <w:tcW w:w="5000" w:type="pct"/>
            <w:gridSpan w:val="4"/>
          </w:tcPr>
          <w:p w:rsidR="007B7DA1" w:rsidRPr="00AD420D" w:rsidRDefault="007B7DA1" w:rsidP="007B7DA1">
            <w:pPr>
              <w:jc w:val="both"/>
              <w:rPr>
                <w:sz w:val="20"/>
                <w:lang w:val="fr-CA"/>
              </w:rPr>
            </w:pPr>
            <w:r w:rsidRPr="00AD420D">
              <w:rPr>
                <w:sz w:val="20"/>
                <w:lang w:val="fr-CA"/>
              </w:rPr>
              <w:t xml:space="preserve">La demanderesse Atlantic est un fabricant de produits de papier. En 2009, elle a transféré une partie de l’actif de la division des papiers sanitaires à la société 7228392 Canada Inc. en contrepartie d’actions ordinaires de cette dernière. Atlantic a finalement vendu ces actions à Cascades Canada Inc. Lorsqu’Atlantic a produit sa déclaration de revenus, elle a déclaré un gain sur la vente des actions à titre de gain en capital, sur le fondement de l’art. 54.2 de la </w:t>
            </w:r>
            <w:r w:rsidRPr="00AD420D">
              <w:rPr>
                <w:i/>
                <w:sz w:val="20"/>
                <w:lang w:val="fr-CA"/>
              </w:rPr>
              <w:t>Loi de l’impôt sur le revenu</w:t>
            </w:r>
            <w:r w:rsidRPr="00AD420D">
              <w:rPr>
                <w:sz w:val="20"/>
                <w:lang w:val="fr-CA"/>
              </w:rPr>
              <w:t xml:space="preserve">. Le ministre du Revenu national a conclu qu’elle ne pouvait pas invoquer l’art. 54.2 pour déclarer que les actions étaient réputées être des immobilisations. </w:t>
            </w:r>
          </w:p>
          <w:p w:rsidR="007B7DA1" w:rsidRPr="00AD420D" w:rsidRDefault="007B7DA1" w:rsidP="007B7DA1">
            <w:pPr>
              <w:jc w:val="both"/>
              <w:rPr>
                <w:sz w:val="20"/>
                <w:lang w:val="fr-CA"/>
              </w:rPr>
            </w:pPr>
          </w:p>
          <w:p w:rsidR="007B7DA1" w:rsidRPr="00AD420D" w:rsidRDefault="007B7DA1" w:rsidP="007B7DA1">
            <w:pPr>
              <w:jc w:val="both"/>
              <w:rPr>
                <w:sz w:val="20"/>
                <w:lang w:val="fr-CA"/>
              </w:rPr>
            </w:pPr>
            <w:r w:rsidRPr="00AD420D">
              <w:rPr>
                <w:sz w:val="20"/>
                <w:lang w:val="fr-CA"/>
              </w:rPr>
              <w:t xml:space="preserve">La Cour canadienne de l’impôt a rejeté les appels d’Atlantic. Elle a conclu qu’étant donné que l’actif transféré par Atlantic à 7228392 Canada Inc. ne représenterait que 68 % de l’actif total de la division des papiers sanitaires, le critère de l’art. 54.2 de la </w:t>
            </w:r>
            <w:r w:rsidRPr="00AD420D">
              <w:rPr>
                <w:i/>
                <w:sz w:val="20"/>
                <w:lang w:val="fr-CA"/>
              </w:rPr>
              <w:t xml:space="preserve">Loi de l’impôt sur le revenu </w:t>
            </w:r>
            <w:r w:rsidRPr="00AD420D">
              <w:rPr>
                <w:sz w:val="20"/>
                <w:lang w:val="fr-CA"/>
              </w:rPr>
              <w:t xml:space="preserve">n’était pas respecté. La Cour d’appel fédérale a rejeté à l’unanimité les appels. </w:t>
            </w:r>
          </w:p>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lastRenderedPageBreak/>
              <w:t>7 septembre 2018</w:t>
            </w:r>
          </w:p>
          <w:p w:rsidR="007B7DA1" w:rsidRPr="00AD420D" w:rsidRDefault="007B7DA1" w:rsidP="007B7DA1">
            <w:pPr>
              <w:jc w:val="both"/>
              <w:rPr>
                <w:sz w:val="20"/>
                <w:lang w:val="fr-CA"/>
              </w:rPr>
            </w:pPr>
            <w:r w:rsidRPr="00AD420D">
              <w:rPr>
                <w:sz w:val="20"/>
                <w:lang w:val="fr-CA"/>
              </w:rPr>
              <w:t>Cour canadienne de l’impôt</w:t>
            </w:r>
          </w:p>
          <w:p w:rsidR="007B7DA1" w:rsidRPr="00AD420D" w:rsidRDefault="007B7DA1" w:rsidP="007B7DA1">
            <w:pPr>
              <w:jc w:val="both"/>
              <w:rPr>
                <w:sz w:val="20"/>
                <w:lang w:val="fr-CA"/>
              </w:rPr>
            </w:pPr>
            <w:r w:rsidRPr="00AD420D">
              <w:rPr>
                <w:sz w:val="20"/>
                <w:lang w:val="fr-CA"/>
              </w:rPr>
              <w:t>(Juge Graham)</w:t>
            </w:r>
          </w:p>
          <w:p w:rsidR="007B7DA1" w:rsidRPr="00AD420D" w:rsidRDefault="004E02BD" w:rsidP="007B7DA1">
            <w:pPr>
              <w:jc w:val="both"/>
              <w:rPr>
                <w:sz w:val="20"/>
                <w:lang w:val="fr-CA"/>
              </w:rPr>
            </w:pPr>
            <w:hyperlink r:id="rId52" w:history="1">
              <w:r w:rsidR="007B7DA1" w:rsidRPr="00AD420D">
                <w:rPr>
                  <w:rStyle w:val="Hyperlink"/>
                  <w:sz w:val="20"/>
                  <w:lang w:val="fr-CA"/>
                </w:rPr>
                <w:t>2018 CCI 183</w:t>
              </w:r>
            </w:hyperlink>
          </w:p>
          <w:p w:rsidR="007B7DA1" w:rsidRPr="00AD420D" w:rsidRDefault="007B7DA1" w:rsidP="007B7DA1">
            <w:pPr>
              <w:jc w:val="both"/>
              <w:rPr>
                <w:sz w:val="20"/>
                <w:lang w:val="fr-CA"/>
              </w:rPr>
            </w:pP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lang w:val="fr-CA"/>
              </w:rPr>
            </w:pPr>
            <w:r w:rsidRPr="00AD420D">
              <w:rPr>
                <w:sz w:val="20"/>
                <w:lang w:val="fr-CA"/>
              </w:rPr>
              <w:t xml:space="preserve">Rejet des appels de la demanderesse relatifs à ses cotisations pour les années d’imposition se terminant les 31 mai 2010, 2011 et 2012 </w:t>
            </w:r>
          </w:p>
          <w:p w:rsidR="007B7DA1" w:rsidRPr="00AD420D" w:rsidRDefault="007B7DA1" w:rsidP="007B7DA1">
            <w:pPr>
              <w:jc w:val="both"/>
              <w:rPr>
                <w:sz w:val="20"/>
                <w:lang w:val="fr-CA"/>
              </w:rPr>
            </w:pPr>
          </w:p>
        </w:tc>
      </w:tr>
      <w:tr w:rsidR="007B7DA1" w:rsidRPr="00AD420D" w:rsidTr="00610FEC">
        <w:tc>
          <w:tcPr>
            <w:tcW w:w="2427" w:type="pct"/>
            <w:gridSpan w:val="2"/>
          </w:tcPr>
          <w:p w:rsidR="007B7DA1" w:rsidRPr="00AD420D" w:rsidRDefault="007B7DA1" w:rsidP="007B7DA1">
            <w:pPr>
              <w:jc w:val="both"/>
              <w:rPr>
                <w:sz w:val="20"/>
                <w:lang w:val="fr-CA"/>
              </w:rPr>
            </w:pPr>
            <w:r w:rsidRPr="00AD420D">
              <w:rPr>
                <w:sz w:val="20"/>
                <w:lang w:val="fr-CA"/>
              </w:rPr>
              <w:t>20 avril 2020</w:t>
            </w:r>
          </w:p>
          <w:p w:rsidR="007B7DA1" w:rsidRPr="00AD420D" w:rsidRDefault="007B7DA1" w:rsidP="007B7DA1">
            <w:pPr>
              <w:jc w:val="both"/>
              <w:rPr>
                <w:sz w:val="20"/>
                <w:lang w:val="fr-CA"/>
              </w:rPr>
            </w:pPr>
            <w:r w:rsidRPr="00AD420D">
              <w:rPr>
                <w:sz w:val="20"/>
                <w:lang w:val="fr-CA"/>
              </w:rPr>
              <w:t>Cour d’appel fédérale</w:t>
            </w:r>
          </w:p>
          <w:p w:rsidR="007B7DA1" w:rsidRPr="00AD420D" w:rsidRDefault="007B7DA1" w:rsidP="007B7DA1">
            <w:pPr>
              <w:jc w:val="both"/>
              <w:rPr>
                <w:sz w:val="20"/>
                <w:lang w:val="fr-CA"/>
              </w:rPr>
            </w:pPr>
            <w:r w:rsidRPr="00AD420D">
              <w:rPr>
                <w:sz w:val="20"/>
                <w:lang w:val="fr-CA"/>
              </w:rPr>
              <w:t>(Juges Webb, Near et Mactavish)</w:t>
            </w:r>
          </w:p>
          <w:p w:rsidR="007B7DA1" w:rsidRPr="00AD420D" w:rsidRDefault="004E02BD" w:rsidP="007B7DA1">
            <w:pPr>
              <w:jc w:val="both"/>
              <w:rPr>
                <w:sz w:val="20"/>
                <w:lang w:val="fr-CA"/>
              </w:rPr>
            </w:pPr>
            <w:hyperlink r:id="rId53" w:history="1">
              <w:r w:rsidR="007B7DA1" w:rsidRPr="00AD420D">
                <w:rPr>
                  <w:rStyle w:val="Hyperlink"/>
                  <w:sz w:val="20"/>
                  <w:lang w:val="fr-CA"/>
                </w:rPr>
                <w:t>2020 CAF 75</w:t>
              </w:r>
            </w:hyperlink>
          </w:p>
          <w:p w:rsidR="007B7DA1" w:rsidRPr="00AD420D" w:rsidRDefault="007B7DA1" w:rsidP="007B7DA1">
            <w:pPr>
              <w:jc w:val="both"/>
              <w:rPr>
                <w:sz w:val="20"/>
                <w:lang w:val="fr-CA"/>
              </w:rPr>
            </w:pP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lang w:val="fr-CA"/>
              </w:rPr>
            </w:pPr>
            <w:r w:rsidRPr="00AD420D">
              <w:rPr>
                <w:sz w:val="20"/>
                <w:lang w:val="fr-CA"/>
              </w:rPr>
              <w:t xml:space="preserve">Rejet de l’appel </w:t>
            </w:r>
          </w:p>
          <w:p w:rsidR="007B7DA1" w:rsidRPr="00AD420D" w:rsidRDefault="007B7DA1" w:rsidP="007B7DA1">
            <w:pPr>
              <w:jc w:val="both"/>
              <w:rPr>
                <w:sz w:val="20"/>
                <w:lang w:val="fr-CA"/>
              </w:rPr>
            </w:pPr>
          </w:p>
        </w:tc>
      </w:tr>
      <w:tr w:rsidR="007B7DA1" w:rsidRPr="004E02BD" w:rsidTr="00610FEC">
        <w:tc>
          <w:tcPr>
            <w:tcW w:w="2427" w:type="pct"/>
            <w:gridSpan w:val="2"/>
          </w:tcPr>
          <w:p w:rsidR="007B7DA1" w:rsidRPr="00AD420D" w:rsidRDefault="007B7DA1" w:rsidP="007B7DA1">
            <w:pPr>
              <w:jc w:val="both"/>
              <w:rPr>
                <w:sz w:val="20"/>
                <w:lang w:val="fr-CA"/>
              </w:rPr>
            </w:pPr>
            <w:r w:rsidRPr="00AD420D">
              <w:rPr>
                <w:sz w:val="20"/>
                <w:lang w:val="fr-CA"/>
              </w:rPr>
              <w:t>19 juin 2020</w:t>
            </w:r>
          </w:p>
          <w:p w:rsidR="007B7DA1" w:rsidRPr="00AD420D" w:rsidRDefault="007B7DA1" w:rsidP="007B7DA1">
            <w:pPr>
              <w:jc w:val="both"/>
              <w:rPr>
                <w:sz w:val="20"/>
                <w:lang w:val="fr-CA"/>
              </w:rPr>
            </w:pPr>
            <w:r w:rsidRPr="00AD420D">
              <w:rPr>
                <w:sz w:val="20"/>
                <w:lang w:val="fr-CA"/>
              </w:rPr>
              <w:t>Cour suprême du Canada</w:t>
            </w:r>
          </w:p>
        </w:tc>
        <w:tc>
          <w:tcPr>
            <w:tcW w:w="243" w:type="pct"/>
          </w:tcPr>
          <w:p w:rsidR="007B7DA1" w:rsidRPr="00AD420D" w:rsidRDefault="007B7DA1" w:rsidP="007B7DA1">
            <w:pPr>
              <w:jc w:val="both"/>
              <w:rPr>
                <w:sz w:val="20"/>
                <w:lang w:val="fr-CA"/>
              </w:rPr>
            </w:pPr>
          </w:p>
        </w:tc>
        <w:tc>
          <w:tcPr>
            <w:tcW w:w="2330" w:type="pct"/>
          </w:tcPr>
          <w:p w:rsidR="007B7DA1" w:rsidRPr="00AD420D" w:rsidRDefault="007B7DA1" w:rsidP="007B7DA1">
            <w:pPr>
              <w:jc w:val="both"/>
              <w:rPr>
                <w:sz w:val="20"/>
                <w:lang w:val="fr-CA"/>
              </w:rPr>
            </w:pPr>
            <w:r w:rsidRPr="00AD420D">
              <w:rPr>
                <w:sz w:val="20"/>
                <w:lang w:val="fr-CA"/>
              </w:rPr>
              <w:t xml:space="preserve">Dépôt de la demande d’autorisation d’appel </w:t>
            </w:r>
          </w:p>
          <w:p w:rsidR="007B7DA1" w:rsidRPr="00AD420D" w:rsidRDefault="007B7DA1" w:rsidP="007B7DA1">
            <w:pPr>
              <w:jc w:val="both"/>
              <w:rPr>
                <w:sz w:val="20"/>
                <w:lang w:val="fr-CA"/>
              </w:rPr>
            </w:pPr>
          </w:p>
        </w:tc>
      </w:tr>
    </w:tbl>
    <w:p w:rsidR="00AE6180" w:rsidRPr="00AD420D" w:rsidRDefault="00AE6180" w:rsidP="00314899">
      <w:pPr>
        <w:widowControl w:val="0"/>
        <w:jc w:val="both"/>
        <w:rPr>
          <w:sz w:val="20"/>
          <w:lang w:val="fr-CA"/>
        </w:rPr>
      </w:pPr>
    </w:p>
    <w:p w:rsidR="00E85588" w:rsidRPr="00AD420D" w:rsidRDefault="004E02BD" w:rsidP="00E85588">
      <w:pPr>
        <w:jc w:val="both"/>
        <w:rPr>
          <w:sz w:val="20"/>
        </w:rPr>
      </w:pPr>
      <w:r>
        <w:rPr>
          <w:sz w:val="20"/>
        </w:rPr>
        <w:pict>
          <v:rect id="_x0000_i1046" style="width:2in;height:1pt" o:hrpct="0" o:hralign="center" o:hrstd="t" o:hrnoshade="t" o:hr="t" fillcolor="black [3213]" stroked="f"/>
        </w:pict>
      </w:r>
    </w:p>
    <w:p w:rsidR="00E85588" w:rsidRPr="00AD420D" w:rsidRDefault="00E85588" w:rsidP="00E85588">
      <w:pPr>
        <w:jc w:val="both"/>
        <w:rPr>
          <w:sz w:val="20"/>
        </w:rPr>
      </w:pPr>
    </w:p>
    <w:p w:rsidR="005C7161" w:rsidRPr="00AD420D" w:rsidRDefault="005C7161" w:rsidP="006A22CA">
      <w:pPr>
        <w:ind w:left="142" w:hanging="142"/>
        <w:jc w:val="both"/>
        <w:rPr>
          <w:sz w:val="20"/>
        </w:rPr>
      </w:pPr>
    </w:p>
    <w:p w:rsidR="00FD3FA0" w:rsidRPr="00AD420D" w:rsidRDefault="00FD3FA0" w:rsidP="006A22CA">
      <w:pPr>
        <w:ind w:left="142" w:hanging="142"/>
        <w:jc w:val="both"/>
        <w:rPr>
          <w:sz w:val="20"/>
        </w:rPr>
      </w:pPr>
    </w:p>
    <w:p w:rsidR="00D3344A" w:rsidRPr="00AD420D" w:rsidRDefault="00D3344A" w:rsidP="00D3344A">
      <w:pPr>
        <w:widowControl w:val="0"/>
        <w:outlineLvl w:val="0"/>
      </w:pPr>
      <w:r w:rsidRPr="00AD420D">
        <w:t xml:space="preserve">Supreme Court of Canada / Cour suprême du </w:t>
      </w:r>
      <w:proofErr w:type="gramStart"/>
      <w:r w:rsidRPr="00AD420D">
        <w:t>Canad</w:t>
      </w:r>
      <w:r w:rsidR="00EE289F" w:rsidRPr="00AD420D">
        <w:t>a</w:t>
      </w:r>
      <w:r w:rsidRPr="00AD420D">
        <w:t xml:space="preserve"> :</w:t>
      </w:r>
      <w:proofErr w:type="gramEnd"/>
    </w:p>
    <w:p w:rsidR="00D3344A" w:rsidRPr="00AD420D" w:rsidRDefault="004E02BD" w:rsidP="00D3344A">
      <w:pPr>
        <w:widowControl w:val="0"/>
        <w:outlineLvl w:val="0"/>
        <w:rPr>
          <w:u w:val="single"/>
        </w:rPr>
      </w:pPr>
      <w:hyperlink r:id="rId54" w:history="1">
        <w:r w:rsidR="009B7391" w:rsidRPr="00AD420D">
          <w:rPr>
            <w:rStyle w:val="Hyperlink"/>
          </w:rPr>
          <w:t>comments-commentaires@scc-csc.ca</w:t>
        </w:r>
      </w:hyperlink>
    </w:p>
    <w:p w:rsidR="00D3344A" w:rsidRPr="00AD420D" w:rsidRDefault="0065588C" w:rsidP="00D3344A">
      <w:pPr>
        <w:widowControl w:val="0"/>
        <w:outlineLvl w:val="0"/>
      </w:pPr>
      <w:r w:rsidRPr="00AD420D">
        <w:t>613-</w:t>
      </w:r>
      <w:r w:rsidR="00D3344A" w:rsidRPr="00AD420D">
        <w:t>995-4330</w:t>
      </w:r>
    </w:p>
    <w:p w:rsidR="00497B5E" w:rsidRPr="00AD420D" w:rsidRDefault="00497B5E" w:rsidP="00497B5E">
      <w:pPr>
        <w:widowControl w:val="0"/>
        <w:rPr>
          <w:sz w:val="20"/>
        </w:rPr>
      </w:pPr>
    </w:p>
    <w:p w:rsidR="00F6251B" w:rsidRPr="006E558B" w:rsidRDefault="003F43E6" w:rsidP="00F6251B">
      <w:pPr>
        <w:pStyle w:val="Footer"/>
        <w:jc w:val="center"/>
      </w:pPr>
      <w:r w:rsidRPr="00AD420D">
        <w:t>- 30 -</w:t>
      </w:r>
    </w:p>
    <w:sectPr w:rsidR="00F6251B" w:rsidRPr="006E558B" w:rsidSect="00E62F93">
      <w:headerReference w:type="even" r:id="rId55"/>
      <w:headerReference w:type="default" r:id="rId56"/>
      <w:footerReference w:type="even" r:id="rId57"/>
      <w:footerReference w:type="default" r:id="rId58"/>
      <w:headerReference w:type="first" r:id="rId59"/>
      <w:footerReference w:type="first" r:id="rId60"/>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EC" w:rsidRDefault="00610FEC" w:rsidP="0034178A">
      <w:r>
        <w:separator/>
      </w:r>
    </w:p>
  </w:endnote>
  <w:endnote w:type="continuationSeparator" w:id="0">
    <w:p w:rsidR="00610FEC" w:rsidRDefault="00610FEC"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EC" w:rsidRDefault="00610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EC" w:rsidRPr="009F77F0" w:rsidRDefault="00610FEC"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EC" w:rsidRDefault="00610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EC" w:rsidRDefault="00610FEC" w:rsidP="0034178A">
      <w:r>
        <w:separator/>
      </w:r>
    </w:p>
  </w:footnote>
  <w:footnote w:type="continuationSeparator" w:id="0">
    <w:p w:rsidR="00610FEC" w:rsidRDefault="00610FEC"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EC" w:rsidRDefault="00610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EC" w:rsidRDefault="00610F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EC" w:rsidRDefault="00610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921"/>
    <w:multiLevelType w:val="hybridMultilevel"/>
    <w:tmpl w:val="0060D112"/>
    <w:lvl w:ilvl="0" w:tplc="89D42A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27B34"/>
    <w:multiLevelType w:val="hybridMultilevel"/>
    <w:tmpl w:val="C7A48438"/>
    <w:lvl w:ilvl="0" w:tplc="FEE8D3E2">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83C73"/>
    <w:multiLevelType w:val="hybridMultilevel"/>
    <w:tmpl w:val="DDBE81C0"/>
    <w:lvl w:ilvl="0" w:tplc="35DCBC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F52E8"/>
    <w:multiLevelType w:val="hybridMultilevel"/>
    <w:tmpl w:val="FA58CBD4"/>
    <w:lvl w:ilvl="0" w:tplc="2CBEC1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47C7A"/>
    <w:multiLevelType w:val="hybridMultilevel"/>
    <w:tmpl w:val="21EE2C8E"/>
    <w:lvl w:ilvl="0" w:tplc="8856BA7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E620C"/>
    <w:multiLevelType w:val="hybridMultilevel"/>
    <w:tmpl w:val="14E84D58"/>
    <w:lvl w:ilvl="0" w:tplc="7B3AC22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903"/>
    <w:multiLevelType w:val="hybridMultilevel"/>
    <w:tmpl w:val="DB7A7FAA"/>
    <w:lvl w:ilvl="0" w:tplc="239A52EC">
      <w:start w:val="1"/>
      <w:numFmt w:val="decimal"/>
      <w:lvlText w:val="%1."/>
      <w:lvlJc w:val="left"/>
      <w:pPr>
        <w:ind w:left="720" w:hanging="360"/>
      </w:pPr>
      <w:rPr>
        <w:rFonts w:eastAsiaTheme="minorHAnsi" w:cstheme="minorBid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D35DD"/>
    <w:multiLevelType w:val="hybridMultilevel"/>
    <w:tmpl w:val="338AB3DC"/>
    <w:lvl w:ilvl="0" w:tplc="863E597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E3308"/>
    <w:multiLevelType w:val="hybridMultilevel"/>
    <w:tmpl w:val="10C4776C"/>
    <w:lvl w:ilvl="0" w:tplc="F5ECDF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E67B7"/>
    <w:multiLevelType w:val="hybridMultilevel"/>
    <w:tmpl w:val="31F2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94FA0"/>
    <w:multiLevelType w:val="hybridMultilevel"/>
    <w:tmpl w:val="E01A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04D3C"/>
    <w:multiLevelType w:val="hybridMultilevel"/>
    <w:tmpl w:val="FA58CBD4"/>
    <w:lvl w:ilvl="0" w:tplc="2CBEC1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E6F53"/>
    <w:multiLevelType w:val="hybridMultilevel"/>
    <w:tmpl w:val="515EF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900E6A"/>
    <w:multiLevelType w:val="hybridMultilevel"/>
    <w:tmpl w:val="05003C6C"/>
    <w:lvl w:ilvl="0" w:tplc="A46A2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1C6AFE"/>
    <w:multiLevelType w:val="hybridMultilevel"/>
    <w:tmpl w:val="0EA89BE4"/>
    <w:lvl w:ilvl="0" w:tplc="F2A8A6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A12D7"/>
    <w:multiLevelType w:val="hybridMultilevel"/>
    <w:tmpl w:val="A34C0CD4"/>
    <w:lvl w:ilvl="0" w:tplc="A0B85F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B224B6"/>
    <w:multiLevelType w:val="hybridMultilevel"/>
    <w:tmpl w:val="BCD854A0"/>
    <w:lvl w:ilvl="0" w:tplc="00065F32">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CD37C3"/>
    <w:multiLevelType w:val="hybridMultilevel"/>
    <w:tmpl w:val="006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52FF3"/>
    <w:multiLevelType w:val="hybridMultilevel"/>
    <w:tmpl w:val="50AE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5A5CD1"/>
    <w:multiLevelType w:val="hybridMultilevel"/>
    <w:tmpl w:val="00DA1D12"/>
    <w:lvl w:ilvl="0" w:tplc="6128A3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B0682"/>
    <w:multiLevelType w:val="hybridMultilevel"/>
    <w:tmpl w:val="097AF364"/>
    <w:lvl w:ilvl="0" w:tplc="C298F27E">
      <w:start w:val="1"/>
      <w:numFmt w:val="decimal"/>
      <w:lvlText w:val="%1."/>
      <w:lvlJc w:val="left"/>
      <w:pPr>
        <w:ind w:left="7165"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num>
  <w:num w:numId="10">
    <w:abstractNumId w:val="37"/>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22"/>
  </w:num>
  <w:num w:numId="15">
    <w:abstractNumId w:val="35"/>
  </w:num>
  <w:num w:numId="16">
    <w:abstractNumId w:val="21"/>
  </w:num>
  <w:num w:numId="17">
    <w:abstractNumId w:val="33"/>
  </w:num>
  <w:num w:numId="18">
    <w:abstractNumId w:val="30"/>
  </w:num>
  <w:num w:numId="19">
    <w:abstractNumId w:val="25"/>
  </w:num>
  <w:num w:numId="20">
    <w:abstractNumId w:val="18"/>
  </w:num>
  <w:num w:numId="21">
    <w:abstractNumId w:val="7"/>
  </w:num>
  <w:num w:numId="22">
    <w:abstractNumId w:val="4"/>
  </w:num>
  <w:num w:numId="23">
    <w:abstractNumId w:val="15"/>
  </w:num>
  <w:num w:numId="24">
    <w:abstractNumId w:val="8"/>
  </w:num>
  <w:num w:numId="25">
    <w:abstractNumId w:val="34"/>
  </w:num>
  <w:num w:numId="26">
    <w:abstractNumId w:val="1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6"/>
  </w:num>
  <w:num w:numId="30">
    <w:abstractNumId w:val="26"/>
  </w:num>
  <w:num w:numId="31">
    <w:abstractNumId w:val="31"/>
  </w:num>
  <w:num w:numId="32">
    <w:abstractNumId w:val="0"/>
  </w:num>
  <w:num w:numId="33">
    <w:abstractNumId w:val="3"/>
  </w:num>
  <w:num w:numId="34">
    <w:abstractNumId w:val="36"/>
  </w:num>
  <w:num w:numId="35">
    <w:abstractNumId w:val="5"/>
  </w:num>
  <w:num w:numId="36">
    <w:abstractNumId w:val="11"/>
  </w:num>
  <w:num w:numId="37">
    <w:abstractNumId w:val="2"/>
  </w:num>
  <w:num w:numId="38">
    <w:abstractNumId w:val="32"/>
  </w:num>
  <w:num w:numId="39">
    <w:abstractNumId w:val="12"/>
  </w:num>
  <w:num w:numId="40">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9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C19"/>
    <w:rsid w:val="00014E32"/>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2E94"/>
    <w:rsid w:val="000437B4"/>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5945"/>
    <w:rsid w:val="00095A2E"/>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D80"/>
    <w:rsid w:val="00295E8C"/>
    <w:rsid w:val="00296148"/>
    <w:rsid w:val="0029649C"/>
    <w:rsid w:val="00296FB8"/>
    <w:rsid w:val="0029771E"/>
    <w:rsid w:val="002A01ED"/>
    <w:rsid w:val="002A04CF"/>
    <w:rsid w:val="002A0621"/>
    <w:rsid w:val="002A07B1"/>
    <w:rsid w:val="002A0B1A"/>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54D8"/>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6BA"/>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0FEC"/>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303F"/>
    <w:rsid w:val="006830FC"/>
    <w:rsid w:val="00683770"/>
    <w:rsid w:val="00683926"/>
    <w:rsid w:val="00683B58"/>
    <w:rsid w:val="006849B0"/>
    <w:rsid w:val="006849D2"/>
    <w:rsid w:val="00685035"/>
    <w:rsid w:val="00685F7C"/>
    <w:rsid w:val="00686775"/>
    <w:rsid w:val="00686A7E"/>
    <w:rsid w:val="00686C41"/>
    <w:rsid w:val="00686CAE"/>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DA1"/>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3BE"/>
    <w:rsid w:val="008164A8"/>
    <w:rsid w:val="00816C1F"/>
    <w:rsid w:val="008174AD"/>
    <w:rsid w:val="00820876"/>
    <w:rsid w:val="0082143F"/>
    <w:rsid w:val="0082159A"/>
    <w:rsid w:val="00821718"/>
    <w:rsid w:val="00822064"/>
    <w:rsid w:val="008220AD"/>
    <w:rsid w:val="00822738"/>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7EE"/>
    <w:rsid w:val="008C1D8B"/>
    <w:rsid w:val="008C1F03"/>
    <w:rsid w:val="008C21EC"/>
    <w:rsid w:val="008C277A"/>
    <w:rsid w:val="008C2F47"/>
    <w:rsid w:val="008C3373"/>
    <w:rsid w:val="008C49A9"/>
    <w:rsid w:val="008C561D"/>
    <w:rsid w:val="008C62EC"/>
    <w:rsid w:val="008C6316"/>
    <w:rsid w:val="008C7911"/>
    <w:rsid w:val="008C7FAF"/>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5BB"/>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AE6"/>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0EAA"/>
    <w:rsid w:val="00E513DE"/>
    <w:rsid w:val="00E51879"/>
    <w:rsid w:val="00E51DDA"/>
    <w:rsid w:val="00E52A08"/>
    <w:rsid w:val="00E5361B"/>
    <w:rsid w:val="00E5366E"/>
    <w:rsid w:val="00E544E3"/>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fra.aspx?cas=39198" TargetMode="External"/><Relationship Id="rId18" Type="http://schemas.openxmlformats.org/officeDocument/2006/relationships/hyperlink" Target="https://www.canlii.org/en/on/onsc/doc/2018/2018onsc3068/2018onsc3068.html?autocompleteStr=2018%20ONSC%203068&amp;autocompletePos=1" TargetMode="External"/><Relationship Id="rId26" Type="http://schemas.openxmlformats.org/officeDocument/2006/relationships/hyperlink" Target="http://canlii.ca/t/j3w6s" TargetMode="External"/><Relationship Id="rId39" Type="http://schemas.openxmlformats.org/officeDocument/2006/relationships/hyperlink" Target="https://www.canlii.org/en/ca/fca/doc/2020/2020fca77/2020fca77.html?autocompleteStr=2020%20FCA%2077&amp;autocompletePos=1" TargetMode="External"/><Relationship Id="rId21" Type="http://schemas.openxmlformats.org/officeDocument/2006/relationships/hyperlink" Target="https://www.canlii.org/en/on/onca/doc/2019/2019onca163/2019onca163.html?autocompleteStr=2019%20ONCA%20163&amp;autocompletePos=1" TargetMode="External"/><Relationship Id="rId34" Type="http://schemas.openxmlformats.org/officeDocument/2006/relationships/hyperlink" Target="http://canlii.ca/t/j1rxd" TargetMode="External"/><Relationship Id="rId42" Type="http://schemas.openxmlformats.org/officeDocument/2006/relationships/hyperlink" Target="https://www.canlii.org/en/ca/fct/doc/2019/2019fc388/2019fc388.html" TargetMode="External"/><Relationship Id="rId47" Type="http://schemas.openxmlformats.org/officeDocument/2006/relationships/hyperlink" Target="https://www.canlii.org/en/ca/fca/doc/2020/2020fca5/2020fca5.html" TargetMode="External"/><Relationship Id="rId50" Type="http://schemas.openxmlformats.org/officeDocument/2006/relationships/hyperlink" Target="https://www.canlii.org/fr/ca/cci/doc/2018/2018cci183/2018cci183.html?autocompleteStr=2018%20TCC%20183&amp;autocompletePos=1"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39118" TargetMode="External"/><Relationship Id="rId20" Type="http://schemas.openxmlformats.org/officeDocument/2006/relationships/hyperlink" Target="https://www.canlii.org/en/on/onsc/doc/2018/2018onsc3068/2018onsc3068.html?autocompleteStr=2018%20ONSC%203068&amp;autocompletePos=1" TargetMode="External"/><Relationship Id="rId29" Type="http://schemas.openxmlformats.org/officeDocument/2006/relationships/hyperlink" Target="http://canlii.ca/t/j5nvv" TargetMode="External"/><Relationship Id="rId41" Type="http://schemas.openxmlformats.org/officeDocument/2006/relationships/hyperlink" Target="https://www.canlii.org/en/ca/fca/doc/2020/2020fca77/2020fca77.html?autocompleteStr=2020%20FCA%2077&amp;autocompletePos=1" TargetMode="External"/><Relationship Id="rId54" Type="http://schemas.openxmlformats.org/officeDocument/2006/relationships/hyperlink" Target="mailto:comments-commentaires@scc-csc.c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085" TargetMode="External"/><Relationship Id="rId24" Type="http://schemas.openxmlformats.org/officeDocument/2006/relationships/hyperlink" Target="https://www.canlii.org/en/sk/skqb/doc/2018/2018skqb154/2018skqb154.html" TargetMode="External"/><Relationship Id="rId32" Type="http://schemas.openxmlformats.org/officeDocument/2006/relationships/hyperlink" Target="http://canlii.ca/t/h4fq8" TargetMode="External"/><Relationship Id="rId37" Type="http://schemas.openxmlformats.org/officeDocument/2006/relationships/hyperlink" Target="http://canlii.ca/t/j6c31" TargetMode="External"/><Relationship Id="rId40" Type="http://schemas.openxmlformats.org/officeDocument/2006/relationships/hyperlink" Target="https://www.canlii.org/fr/ca/cfpi/doc/2017/2017cf669/2017cf669.html" TargetMode="External"/><Relationship Id="rId45" Type="http://schemas.openxmlformats.org/officeDocument/2006/relationships/hyperlink" Target="https://www.canlii.org/en/ca/fca/doc/2020/2020fca69/2020fca69.html?autocompleteStr=2020%20FCA%2069&amp;autocompletePos=1" TargetMode="External"/><Relationship Id="rId53" Type="http://schemas.openxmlformats.org/officeDocument/2006/relationships/hyperlink" Target="https://www.canlii.org/en/ca/fca/doc/2020/2020fca75/2020fca75.html"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c-csc.ca/case-dossier/info/sum-som-eng.aspx?cas=39202" TargetMode="External"/><Relationship Id="rId23" Type="http://schemas.openxmlformats.org/officeDocument/2006/relationships/hyperlink" Target="https://www.canlii.org/en/sk/skca/doc/2019/2019skca78/2019skca78.html?searchUrlHash=AAAAAQAMMjAxOSBTS0NBIDc4AAAAAAE&amp;resultIndex=2" TargetMode="External"/><Relationship Id="rId28" Type="http://schemas.openxmlformats.org/officeDocument/2006/relationships/hyperlink" Target="http://canlii.ca/t/j3w6s" TargetMode="External"/><Relationship Id="rId36" Type="http://schemas.openxmlformats.org/officeDocument/2006/relationships/hyperlink" Target="http://canlii.ca/t/j6c31" TargetMode="External"/><Relationship Id="rId49" Type="http://schemas.openxmlformats.org/officeDocument/2006/relationships/hyperlink" Target="https://www.canlii.org/en/ca/fca/doc/2020/2020fca5/2020fca5.html"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www.scc-csc.ca/case-dossier/info/sum-som-fra.aspx?cas=39138" TargetMode="External"/><Relationship Id="rId19" Type="http://schemas.openxmlformats.org/officeDocument/2006/relationships/hyperlink" Target="https://www.canlii.org/en/on/onca/doc/2019/2019onca163/2019onca163.html?autocompleteStr=2019%20ONCA%20163&amp;autocompletePos=1" TargetMode="External"/><Relationship Id="rId31" Type="http://schemas.openxmlformats.org/officeDocument/2006/relationships/hyperlink" Target="https://www.canlii.org/en/qc/qcca/doc/2020/2020qcca18/2020qcca18.html" TargetMode="External"/><Relationship Id="rId44" Type="http://schemas.openxmlformats.org/officeDocument/2006/relationships/hyperlink" Target="https://www.canlii.org/fr/ca/cfpi/doc/2019/2019cf388/2019cf388.html" TargetMode="External"/><Relationship Id="rId52" Type="http://schemas.openxmlformats.org/officeDocument/2006/relationships/hyperlink" Target="https://www.canlii.org/fr/ca/cci/doc/2018/2018cci183/2018cci183.html?autocompleteStr=2018%20TCC%20183&amp;autocompletePos=1"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8880" TargetMode="External"/><Relationship Id="rId14" Type="http://schemas.openxmlformats.org/officeDocument/2006/relationships/hyperlink" Target="https://www.scc-csc.ca/case-dossier/info/sum-som-eng.aspx?cas=39222" TargetMode="External"/><Relationship Id="rId22" Type="http://schemas.openxmlformats.org/officeDocument/2006/relationships/hyperlink" Target="https://www.canlii.org/en/sk/skqb/doc/2018/2018skqb154/2018skqb154.html" TargetMode="External"/><Relationship Id="rId27" Type="http://schemas.openxmlformats.org/officeDocument/2006/relationships/hyperlink" Target="http://canlii.ca/t/j5nvv" TargetMode="External"/><Relationship Id="rId30" Type="http://schemas.openxmlformats.org/officeDocument/2006/relationships/hyperlink" Target="https://www.canlii.org/en/qc/qccs/doc/2017/2017qccs2679/2017qccs2679.html" TargetMode="External"/><Relationship Id="rId35" Type="http://schemas.openxmlformats.org/officeDocument/2006/relationships/hyperlink" Target="https://www.canlii.org/fr/ca/cfpi/doc/2019/2019cf973/2019cf973.html" TargetMode="External"/><Relationship Id="rId43" Type="http://schemas.openxmlformats.org/officeDocument/2006/relationships/hyperlink" Target="https://www.canlii.org/en/ca/fca/doc/2020/2020fca69/2020fca69.html?autocompleteStr=2020%20FCA%2069&amp;autocompletePos=1" TargetMode="External"/><Relationship Id="rId48" Type="http://schemas.openxmlformats.org/officeDocument/2006/relationships/hyperlink" Target="https://www.canlii.org/fr/ca/cfpi/doc/2018/2018cf737/2018cf737.html" TargetMode="External"/><Relationship Id="rId56" Type="http://schemas.openxmlformats.org/officeDocument/2006/relationships/header" Target="header2.xml"/><Relationship Id="rId8" Type="http://schemas.openxmlformats.org/officeDocument/2006/relationships/hyperlink" Target="https://www.scc-csc.ca/case-dossier/info/sum-som-eng.aspx?cas=38614" TargetMode="External"/><Relationship Id="rId51" Type="http://schemas.openxmlformats.org/officeDocument/2006/relationships/hyperlink" Target="https://www.canlii.org/en/ca/fca/doc/2020/2020fca75/2020fca75.html" TargetMode="External"/><Relationship Id="rId3" Type="http://schemas.openxmlformats.org/officeDocument/2006/relationships/styles" Target="styles.xml"/><Relationship Id="rId12" Type="http://schemas.openxmlformats.org/officeDocument/2006/relationships/hyperlink" Target="https://www.scc-csc.ca/case-dossier/info/sum-som-eng.aspx?cas=39254" TargetMode="External"/><Relationship Id="rId17" Type="http://schemas.openxmlformats.org/officeDocument/2006/relationships/hyperlink" Target="https://www.scc-csc.ca/case-dossier/info/sum-som-eng.aspx?cas=39218" TargetMode="External"/><Relationship Id="rId25" Type="http://schemas.openxmlformats.org/officeDocument/2006/relationships/hyperlink" Target="https://www.canlii.org/en/sk/skca/doc/2019/2019skca78/2019skca78.html?searchUrlHash=AAAAAQAMMjAxOSBTS0NBIDc4AAAAAAE&amp;resultIndex=2" TargetMode="External"/><Relationship Id="rId33" Type="http://schemas.openxmlformats.org/officeDocument/2006/relationships/hyperlink" Target="http://canlii.ca/t/j4jb5" TargetMode="External"/><Relationship Id="rId38" Type="http://schemas.openxmlformats.org/officeDocument/2006/relationships/hyperlink" Target="https://www.canlii.org/en/ca/fct/doc/2017/2017fc669/2017fc669.html" TargetMode="External"/><Relationship Id="rId46" Type="http://schemas.openxmlformats.org/officeDocument/2006/relationships/hyperlink" Target="https://www.canlii.org/en/ca/fct/doc/2018/2018fc737/2018fc737.html"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7CACE-E905-4D2C-95F8-E34A5479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9398</Words>
  <Characters>53574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62847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2020-10-09T18:44:00Z</dcterms:modified>
</cp:coreProperties>
</file>