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1F" w:rsidRPr="00357596" w:rsidRDefault="000E391F" w:rsidP="000E391F">
      <w:pPr>
        <w:pStyle w:val="Header"/>
        <w:jc w:val="center"/>
        <w:rPr>
          <w:b/>
          <w:sz w:val="32"/>
        </w:rPr>
      </w:pPr>
      <w:r w:rsidRPr="00357596">
        <w:rPr>
          <w:b/>
          <w:sz w:val="32"/>
        </w:rPr>
        <w:t>Supreme Court of Canada / Cour suprême du Canada</w:t>
      </w:r>
    </w:p>
    <w:p w:rsidR="000E391F" w:rsidRPr="00357596" w:rsidRDefault="000E391F" w:rsidP="000E391F">
      <w:pPr>
        <w:widowControl w:val="0"/>
      </w:pPr>
    </w:p>
    <w:p w:rsidR="000E391F" w:rsidRPr="00357596" w:rsidRDefault="000E391F" w:rsidP="000E391F">
      <w:pPr>
        <w:widowControl w:val="0"/>
        <w:rPr>
          <w:i/>
        </w:rPr>
      </w:pPr>
    </w:p>
    <w:p w:rsidR="006F2579" w:rsidRPr="00357596" w:rsidRDefault="006F2579" w:rsidP="006F2579">
      <w:pPr>
        <w:widowControl w:val="0"/>
        <w:rPr>
          <w:i/>
          <w:sz w:val="20"/>
        </w:rPr>
      </w:pPr>
      <w:r w:rsidRPr="00357596">
        <w:rPr>
          <w:i/>
          <w:sz w:val="20"/>
        </w:rPr>
        <w:t>(</w:t>
      </w:r>
      <w:r w:rsidR="003240B6" w:rsidRPr="00357596">
        <w:rPr>
          <w:i/>
          <w:sz w:val="20"/>
        </w:rPr>
        <w:t>L</w:t>
      </w:r>
      <w:r w:rsidRPr="00357596">
        <w:rPr>
          <w:i/>
          <w:sz w:val="20"/>
        </w:rPr>
        <w:t>e français suit)</w:t>
      </w:r>
    </w:p>
    <w:p w:rsidR="006F2579" w:rsidRPr="00357596" w:rsidRDefault="006F2579" w:rsidP="006F2579">
      <w:pPr>
        <w:widowControl w:val="0"/>
      </w:pPr>
    </w:p>
    <w:p w:rsidR="006F2579" w:rsidRPr="00357596" w:rsidRDefault="00B07908" w:rsidP="006F2579">
      <w:pPr>
        <w:widowControl w:val="0"/>
        <w:jc w:val="center"/>
        <w:rPr>
          <w:b/>
        </w:rPr>
      </w:pPr>
      <w:r w:rsidRPr="00357596">
        <w:fldChar w:fldCharType="begin"/>
      </w:r>
      <w:r w:rsidR="006F2579" w:rsidRPr="00357596">
        <w:instrText xml:space="preserve"> SEQ CHAPTER \h \r 1</w:instrText>
      </w:r>
      <w:r w:rsidRPr="00357596">
        <w:fldChar w:fldCharType="end"/>
      </w:r>
      <w:r w:rsidR="006F2579" w:rsidRPr="00357596">
        <w:rPr>
          <w:b/>
        </w:rPr>
        <w:t>JUDGMENT</w:t>
      </w:r>
      <w:r w:rsidR="00B17AAC" w:rsidRPr="00357596">
        <w:rPr>
          <w:b/>
        </w:rPr>
        <w:t>S</w:t>
      </w:r>
      <w:r w:rsidR="006F2579" w:rsidRPr="00357596">
        <w:rPr>
          <w:b/>
        </w:rPr>
        <w:t xml:space="preserve"> TO B</w:t>
      </w:r>
      <w:r w:rsidR="00001846" w:rsidRPr="00357596">
        <w:rPr>
          <w:b/>
        </w:rPr>
        <w:t>E RENDERED IN LE</w:t>
      </w:r>
      <w:r w:rsidR="00A0288A" w:rsidRPr="00357596">
        <w:rPr>
          <w:b/>
        </w:rPr>
        <w:t>A</w:t>
      </w:r>
      <w:r w:rsidR="00001846" w:rsidRPr="00357596">
        <w:rPr>
          <w:b/>
        </w:rPr>
        <w:t>VE APPLICATION</w:t>
      </w:r>
      <w:r w:rsidR="00511288" w:rsidRPr="00357596">
        <w:rPr>
          <w:b/>
        </w:rPr>
        <w:t>S</w:t>
      </w:r>
    </w:p>
    <w:p w:rsidR="006F2579" w:rsidRPr="00357596" w:rsidRDefault="006F2579" w:rsidP="006F2579">
      <w:pPr>
        <w:widowControl w:val="0"/>
      </w:pPr>
    </w:p>
    <w:p w:rsidR="006F2579" w:rsidRPr="00357596" w:rsidRDefault="004C631D" w:rsidP="006F2579">
      <w:pPr>
        <w:widowControl w:val="0"/>
      </w:pPr>
      <w:r w:rsidRPr="00357596">
        <w:rPr>
          <w:b/>
        </w:rPr>
        <w:t>November</w:t>
      </w:r>
      <w:r w:rsidR="00A15B66" w:rsidRPr="00357596">
        <w:rPr>
          <w:b/>
        </w:rPr>
        <w:t xml:space="preserve"> </w:t>
      </w:r>
      <w:r w:rsidR="005A5176" w:rsidRPr="00357596">
        <w:rPr>
          <w:b/>
        </w:rPr>
        <w:t>9</w:t>
      </w:r>
      <w:r w:rsidR="004441C7" w:rsidRPr="00357596">
        <w:rPr>
          <w:b/>
        </w:rPr>
        <w:t>,</w:t>
      </w:r>
      <w:r w:rsidR="006F2579" w:rsidRPr="00357596">
        <w:rPr>
          <w:b/>
        </w:rPr>
        <w:t xml:space="preserve"> </w:t>
      </w:r>
      <w:r w:rsidR="0054689F" w:rsidRPr="00357596">
        <w:rPr>
          <w:b/>
        </w:rPr>
        <w:t>20</w:t>
      </w:r>
      <w:r w:rsidR="00526754" w:rsidRPr="00357596">
        <w:rPr>
          <w:b/>
        </w:rPr>
        <w:t>20</w:t>
      </w:r>
    </w:p>
    <w:p w:rsidR="006F2579" w:rsidRPr="00357596" w:rsidRDefault="00674F39" w:rsidP="006F2579">
      <w:pPr>
        <w:widowControl w:val="0"/>
        <w:rPr>
          <w:b/>
        </w:rPr>
      </w:pPr>
      <w:r w:rsidRPr="00357596">
        <w:rPr>
          <w:b/>
        </w:rPr>
        <w:t>For immediate release</w:t>
      </w:r>
    </w:p>
    <w:p w:rsidR="006F2579" w:rsidRPr="00357596" w:rsidRDefault="006F2579" w:rsidP="006F2579">
      <w:pPr>
        <w:widowControl w:val="0"/>
      </w:pPr>
    </w:p>
    <w:p w:rsidR="006F2579" w:rsidRPr="00357596" w:rsidRDefault="006F2579" w:rsidP="006F2579">
      <w:pPr>
        <w:widowControl w:val="0"/>
        <w:rPr>
          <w:lang w:val="fr-CA"/>
        </w:rPr>
      </w:pPr>
      <w:r w:rsidRPr="00357596">
        <w:rPr>
          <w:b/>
        </w:rPr>
        <w:t>OTTAWA</w:t>
      </w:r>
      <w:r w:rsidRPr="00357596">
        <w:t xml:space="preserve"> – The Supreme Court of Canad</w:t>
      </w:r>
      <w:r w:rsidR="006246E4" w:rsidRPr="00357596">
        <w:t>a</w:t>
      </w:r>
      <w:r w:rsidRPr="00357596">
        <w:t xml:space="preserve"> announced today that judgment in the following </w:t>
      </w:r>
      <w:r w:rsidR="00DB6199" w:rsidRPr="00357596">
        <w:t xml:space="preserve">leave applications </w:t>
      </w:r>
      <w:r w:rsidRPr="00357596">
        <w:t xml:space="preserve">will be delivered at 9:45 a.m. </w:t>
      </w:r>
      <w:r w:rsidR="00E05816" w:rsidRPr="00357596">
        <w:t>E</w:t>
      </w:r>
      <w:r w:rsidR="004C631D" w:rsidRPr="00357596">
        <w:t>S</w:t>
      </w:r>
      <w:r w:rsidR="00E05816" w:rsidRPr="00357596">
        <w:t>T</w:t>
      </w:r>
      <w:r w:rsidRPr="00357596">
        <w:t xml:space="preserve"> on Thursday, </w:t>
      </w:r>
      <w:r w:rsidR="004C631D" w:rsidRPr="00357596">
        <w:t>November</w:t>
      </w:r>
      <w:r w:rsidR="00455912" w:rsidRPr="00357596">
        <w:t xml:space="preserve"> </w:t>
      </w:r>
      <w:r w:rsidR="005A5176" w:rsidRPr="00357596">
        <w:t>12</w:t>
      </w:r>
      <w:r w:rsidR="007E112F" w:rsidRPr="00357596">
        <w:t>,</w:t>
      </w:r>
      <w:r w:rsidR="002F38D7" w:rsidRPr="00357596">
        <w:t xml:space="preserve"> </w:t>
      </w:r>
      <w:r w:rsidR="006648D1" w:rsidRPr="00357596">
        <w:t>20</w:t>
      </w:r>
      <w:r w:rsidR="00526754" w:rsidRPr="00357596">
        <w:t>20</w:t>
      </w:r>
      <w:r w:rsidRPr="00357596">
        <w:t xml:space="preserve">. </w:t>
      </w:r>
      <w:r w:rsidRPr="00357596">
        <w:rPr>
          <w:lang w:val="fr-CA"/>
        </w:rPr>
        <w:t>This list is subject to chang</w:t>
      </w:r>
      <w:r w:rsidR="00192F7F" w:rsidRPr="00357596">
        <w:rPr>
          <w:lang w:val="fr-CA"/>
        </w:rPr>
        <w:t>e</w:t>
      </w:r>
      <w:r w:rsidRPr="00357596">
        <w:rPr>
          <w:lang w:val="fr-CA"/>
        </w:rPr>
        <w:t>.</w:t>
      </w:r>
    </w:p>
    <w:p w:rsidR="00FF5AA4" w:rsidRPr="00357596" w:rsidRDefault="00FF5AA4" w:rsidP="006F2579">
      <w:pPr>
        <w:widowControl w:val="0"/>
        <w:rPr>
          <w:lang w:val="fr-CA"/>
        </w:rPr>
      </w:pPr>
    </w:p>
    <w:p w:rsidR="00B43418" w:rsidRPr="00357596" w:rsidRDefault="00B43418" w:rsidP="006F2579">
      <w:pPr>
        <w:widowControl w:val="0"/>
        <w:rPr>
          <w:lang w:val="fr-CA"/>
        </w:rPr>
      </w:pPr>
    </w:p>
    <w:p w:rsidR="006F2579" w:rsidRPr="00357596" w:rsidRDefault="006F2579" w:rsidP="006F2579">
      <w:pPr>
        <w:widowControl w:val="0"/>
        <w:jc w:val="center"/>
        <w:rPr>
          <w:lang w:val="fr-CA"/>
        </w:rPr>
      </w:pPr>
      <w:r w:rsidRPr="00357596">
        <w:rPr>
          <w:b/>
          <w:lang w:val="fr-CA"/>
        </w:rPr>
        <w:t>PROCHAIN</w:t>
      </w:r>
      <w:r w:rsidR="00B17AAC" w:rsidRPr="00357596">
        <w:rPr>
          <w:b/>
          <w:lang w:val="fr-CA"/>
        </w:rPr>
        <w:t>S</w:t>
      </w:r>
      <w:r w:rsidRPr="00357596">
        <w:rPr>
          <w:b/>
          <w:lang w:val="fr-CA"/>
        </w:rPr>
        <w:t xml:space="preserve"> JUGEMENT</w:t>
      </w:r>
      <w:r w:rsidR="00B17AAC" w:rsidRPr="00357596">
        <w:rPr>
          <w:b/>
          <w:lang w:val="fr-CA"/>
        </w:rPr>
        <w:t>S</w:t>
      </w:r>
      <w:r w:rsidR="00001846" w:rsidRPr="00357596">
        <w:rPr>
          <w:b/>
          <w:lang w:val="fr-CA"/>
        </w:rPr>
        <w:t xml:space="preserve"> SUR DEMANDE</w:t>
      </w:r>
      <w:r w:rsidR="00B17AAC" w:rsidRPr="00357596">
        <w:rPr>
          <w:b/>
          <w:lang w:val="fr-CA"/>
        </w:rPr>
        <w:t>S</w:t>
      </w:r>
      <w:r w:rsidRPr="00357596">
        <w:rPr>
          <w:b/>
          <w:lang w:val="fr-CA"/>
        </w:rPr>
        <w:t xml:space="preserve"> D’AUTORISATION</w:t>
      </w:r>
    </w:p>
    <w:p w:rsidR="006F2579" w:rsidRPr="00357596" w:rsidRDefault="006F2579" w:rsidP="006F2579">
      <w:pPr>
        <w:widowControl w:val="0"/>
        <w:rPr>
          <w:lang w:val="fr-CA"/>
        </w:rPr>
      </w:pPr>
    </w:p>
    <w:p w:rsidR="006F2579" w:rsidRPr="00357596" w:rsidRDefault="006F2579" w:rsidP="006F2579">
      <w:pPr>
        <w:widowControl w:val="0"/>
        <w:rPr>
          <w:lang w:val="fr-CA"/>
        </w:rPr>
      </w:pPr>
      <w:r w:rsidRPr="00357596">
        <w:rPr>
          <w:b/>
          <w:lang w:val="fr-CA"/>
        </w:rPr>
        <w:t>Le</w:t>
      </w:r>
      <w:r w:rsidR="00957A76" w:rsidRPr="00357596">
        <w:rPr>
          <w:b/>
          <w:lang w:val="fr-CA"/>
        </w:rPr>
        <w:t xml:space="preserve"> </w:t>
      </w:r>
      <w:r w:rsidR="005A5176" w:rsidRPr="00357596">
        <w:rPr>
          <w:b/>
          <w:lang w:val="fr-CA"/>
        </w:rPr>
        <w:t>9</w:t>
      </w:r>
      <w:r w:rsidR="007A72CA" w:rsidRPr="00357596">
        <w:rPr>
          <w:b/>
          <w:lang w:val="fr-CA"/>
        </w:rPr>
        <w:t xml:space="preserve"> </w:t>
      </w:r>
      <w:r w:rsidR="004C631D" w:rsidRPr="00357596">
        <w:rPr>
          <w:b/>
          <w:lang w:val="fr-CA"/>
        </w:rPr>
        <w:t>novembre</w:t>
      </w:r>
      <w:r w:rsidR="00A151D1" w:rsidRPr="00357596">
        <w:rPr>
          <w:b/>
          <w:lang w:val="fr-CA"/>
        </w:rPr>
        <w:t xml:space="preserve"> 20</w:t>
      </w:r>
      <w:r w:rsidR="00526754" w:rsidRPr="00357596">
        <w:rPr>
          <w:b/>
          <w:lang w:val="fr-CA"/>
        </w:rPr>
        <w:t>20</w:t>
      </w:r>
    </w:p>
    <w:p w:rsidR="006F2579" w:rsidRPr="00357596" w:rsidRDefault="006F2579" w:rsidP="006F2579">
      <w:pPr>
        <w:widowControl w:val="0"/>
        <w:rPr>
          <w:b/>
          <w:lang w:val="fr-CA"/>
        </w:rPr>
      </w:pPr>
      <w:r w:rsidRPr="00357596">
        <w:rPr>
          <w:b/>
          <w:lang w:val="fr-CA"/>
        </w:rPr>
        <w:t>Pour diffusion immédiate</w:t>
      </w:r>
    </w:p>
    <w:p w:rsidR="006F2579" w:rsidRPr="00357596" w:rsidRDefault="006F2579" w:rsidP="006F2579">
      <w:pPr>
        <w:widowControl w:val="0"/>
        <w:rPr>
          <w:lang w:val="fr-CA"/>
        </w:rPr>
      </w:pPr>
    </w:p>
    <w:p w:rsidR="006F2579" w:rsidRPr="00357596" w:rsidRDefault="006F2579" w:rsidP="006F2579">
      <w:pPr>
        <w:widowControl w:val="0"/>
        <w:rPr>
          <w:lang w:val="fr-CA"/>
        </w:rPr>
      </w:pPr>
      <w:r w:rsidRPr="00357596">
        <w:rPr>
          <w:b/>
          <w:lang w:val="fr-CA"/>
        </w:rPr>
        <w:t>OTTAWA</w:t>
      </w:r>
      <w:r w:rsidRPr="00357596">
        <w:rPr>
          <w:lang w:val="fr-CA"/>
        </w:rPr>
        <w:t xml:space="preserve"> – La Cour suprême du Canada annonce que jugement ser</w:t>
      </w:r>
      <w:r w:rsidR="004259F9" w:rsidRPr="00357596">
        <w:rPr>
          <w:lang w:val="fr-CA"/>
        </w:rPr>
        <w:t>a</w:t>
      </w:r>
      <w:r w:rsidRPr="00357596">
        <w:rPr>
          <w:lang w:val="fr-CA"/>
        </w:rPr>
        <w:t xml:space="preserve"> rendu dans l</w:t>
      </w:r>
      <w:r w:rsidR="008600ED" w:rsidRPr="00357596">
        <w:rPr>
          <w:lang w:val="fr-CA"/>
        </w:rPr>
        <w:t>es</w:t>
      </w:r>
      <w:r w:rsidRPr="00357596">
        <w:rPr>
          <w:lang w:val="fr-CA"/>
        </w:rPr>
        <w:t xml:space="preserve"> demande</w:t>
      </w:r>
      <w:r w:rsidR="008600ED" w:rsidRPr="00357596">
        <w:rPr>
          <w:lang w:val="fr-CA"/>
        </w:rPr>
        <w:t>s</w:t>
      </w:r>
      <w:r w:rsidRPr="00357596">
        <w:rPr>
          <w:lang w:val="fr-CA"/>
        </w:rPr>
        <w:t xml:space="preserve"> d</w:t>
      </w:r>
      <w:r w:rsidR="00001846" w:rsidRPr="00357596">
        <w:rPr>
          <w:lang w:val="fr-CA"/>
        </w:rPr>
        <w:t>’autorisation suivante</w:t>
      </w:r>
      <w:r w:rsidR="008600ED" w:rsidRPr="00357596">
        <w:rPr>
          <w:lang w:val="fr-CA"/>
        </w:rPr>
        <w:t>s</w:t>
      </w:r>
      <w:r w:rsidRPr="00357596">
        <w:rPr>
          <w:lang w:val="fr-CA"/>
        </w:rPr>
        <w:t xml:space="preserve"> le jeudi </w:t>
      </w:r>
      <w:r w:rsidR="005A5176" w:rsidRPr="00357596">
        <w:rPr>
          <w:lang w:val="fr-CA"/>
        </w:rPr>
        <w:t>12</w:t>
      </w:r>
      <w:r w:rsidR="00466302" w:rsidRPr="00357596">
        <w:rPr>
          <w:lang w:val="fr-CA"/>
        </w:rPr>
        <w:t xml:space="preserve"> </w:t>
      </w:r>
      <w:r w:rsidR="004C631D" w:rsidRPr="00357596">
        <w:rPr>
          <w:lang w:val="fr-CA"/>
        </w:rPr>
        <w:t>novembre</w:t>
      </w:r>
      <w:r w:rsidR="00694391" w:rsidRPr="00357596">
        <w:rPr>
          <w:lang w:val="fr-CA"/>
        </w:rPr>
        <w:t xml:space="preserve"> 2</w:t>
      </w:r>
      <w:r w:rsidR="006648D1" w:rsidRPr="00357596">
        <w:rPr>
          <w:lang w:val="fr-CA"/>
        </w:rPr>
        <w:t>0</w:t>
      </w:r>
      <w:r w:rsidR="00526754" w:rsidRPr="00357596">
        <w:rPr>
          <w:lang w:val="fr-CA"/>
        </w:rPr>
        <w:t>20</w:t>
      </w:r>
      <w:r w:rsidRPr="00357596">
        <w:rPr>
          <w:lang w:val="fr-CA"/>
        </w:rPr>
        <w:t xml:space="preserve">, à 9 h 45 </w:t>
      </w:r>
      <w:r w:rsidR="000627A2" w:rsidRPr="00357596">
        <w:rPr>
          <w:lang w:val="fr-CA"/>
        </w:rPr>
        <w:t>H</w:t>
      </w:r>
      <w:r w:rsidR="004C631D" w:rsidRPr="00357596">
        <w:rPr>
          <w:lang w:val="fr-CA"/>
        </w:rPr>
        <w:t>N</w:t>
      </w:r>
      <w:r w:rsidRPr="00357596">
        <w:rPr>
          <w:lang w:val="fr-CA"/>
        </w:rPr>
        <w:t>E. Cette liste est sujette à modifications.</w:t>
      </w:r>
    </w:p>
    <w:p w:rsidR="0080556B" w:rsidRPr="00357596" w:rsidRDefault="0080556B" w:rsidP="009B14F4">
      <w:pPr>
        <w:widowControl w:val="0"/>
        <w:jc w:val="both"/>
        <w:rPr>
          <w:sz w:val="20"/>
          <w:lang w:val="fr-CA"/>
        </w:rPr>
      </w:pPr>
    </w:p>
    <w:p w:rsidR="00867C61" w:rsidRPr="00357596" w:rsidRDefault="00533FD5" w:rsidP="009B14F4">
      <w:pPr>
        <w:widowControl w:val="0"/>
        <w:jc w:val="both"/>
        <w:rPr>
          <w:sz w:val="20"/>
        </w:rPr>
      </w:pPr>
      <w:r w:rsidRPr="00357596">
        <w:rPr>
          <w:sz w:val="20"/>
        </w:rPr>
        <w:pict>
          <v:rect id="_x0000_i1025" style="width:2in;height:1pt" o:hrpct="0" o:hralign="center" o:hrstd="t" o:hrnoshade="t" o:hr="t" fillcolor="black [3213]" stroked="f"/>
        </w:pict>
      </w:r>
    </w:p>
    <w:p w:rsidR="0029283C" w:rsidRPr="00357596" w:rsidRDefault="0029283C" w:rsidP="0029283C">
      <w:pPr>
        <w:rPr>
          <w:sz w:val="20"/>
        </w:rPr>
      </w:pPr>
    </w:p>
    <w:p w:rsidR="00E02894" w:rsidRPr="00357596" w:rsidRDefault="00E02894" w:rsidP="002D79DB">
      <w:pPr>
        <w:pStyle w:val="ListParagraph"/>
        <w:numPr>
          <w:ilvl w:val="0"/>
          <w:numId w:val="2"/>
        </w:numPr>
        <w:ind w:left="357" w:hanging="357"/>
        <w:rPr>
          <w:sz w:val="20"/>
        </w:rPr>
      </w:pPr>
      <w:r w:rsidRPr="00357596">
        <w:rPr>
          <w:i/>
          <w:sz w:val="20"/>
        </w:rPr>
        <w:t>Her Majesty the Queen v. Stewart Pascal</w:t>
      </w:r>
      <w:r w:rsidRPr="00357596">
        <w:rPr>
          <w:sz w:val="20"/>
        </w:rPr>
        <w:t xml:space="preserve"> (Ont.) (Criminal) (By Leave) (</w:t>
      </w:r>
      <w:hyperlink r:id="rId8" w:history="1">
        <w:r w:rsidRPr="00357596">
          <w:rPr>
            <w:rStyle w:val="Hyperlink"/>
            <w:sz w:val="20"/>
            <w:szCs w:val="20"/>
          </w:rPr>
          <w:t>392</w:t>
        </w:r>
        <w:r w:rsidR="00CE7150" w:rsidRPr="00357596">
          <w:rPr>
            <w:rStyle w:val="Hyperlink"/>
            <w:sz w:val="20"/>
            <w:szCs w:val="20"/>
          </w:rPr>
          <w:t>4</w:t>
        </w:r>
        <w:r w:rsidRPr="00357596">
          <w:rPr>
            <w:rStyle w:val="Hyperlink"/>
            <w:sz w:val="20"/>
            <w:szCs w:val="20"/>
          </w:rPr>
          <w:t>3</w:t>
        </w:r>
      </w:hyperlink>
      <w:r w:rsidRPr="00357596">
        <w:rPr>
          <w:sz w:val="20"/>
        </w:rPr>
        <w:t>)</w:t>
      </w:r>
    </w:p>
    <w:p w:rsidR="00E02894" w:rsidRPr="00357596" w:rsidRDefault="00E02894" w:rsidP="002D79DB">
      <w:pPr>
        <w:ind w:left="357" w:hanging="357"/>
        <w:rPr>
          <w:sz w:val="20"/>
        </w:rPr>
      </w:pPr>
    </w:p>
    <w:p w:rsidR="00E02894" w:rsidRPr="00357596" w:rsidRDefault="00E02894" w:rsidP="002D79DB">
      <w:pPr>
        <w:pStyle w:val="ListParagraph"/>
        <w:numPr>
          <w:ilvl w:val="0"/>
          <w:numId w:val="2"/>
        </w:numPr>
        <w:ind w:left="357" w:hanging="357"/>
        <w:rPr>
          <w:sz w:val="20"/>
          <w:lang w:val="fr-CA"/>
        </w:rPr>
      </w:pPr>
      <w:r w:rsidRPr="00357596">
        <w:rPr>
          <w:i/>
          <w:sz w:val="20"/>
          <w:lang w:val="fr-CA"/>
        </w:rPr>
        <w:t>Michel Côté c. Pierre Moreau, et al.</w:t>
      </w:r>
      <w:r w:rsidRPr="00357596">
        <w:rPr>
          <w:sz w:val="20"/>
          <w:lang w:val="fr-CA"/>
        </w:rPr>
        <w:t xml:space="preserve"> (Qc) (Civile) (Autorisation) (</w:t>
      </w:r>
      <w:hyperlink r:id="rId9" w:history="1">
        <w:r w:rsidRPr="00357596">
          <w:rPr>
            <w:rStyle w:val="Hyperlink"/>
            <w:sz w:val="20"/>
            <w:szCs w:val="20"/>
            <w:lang w:val="fr-CA"/>
          </w:rPr>
          <w:t>393</w:t>
        </w:r>
        <w:r w:rsidR="00CE7150" w:rsidRPr="00357596">
          <w:rPr>
            <w:rStyle w:val="Hyperlink"/>
            <w:sz w:val="20"/>
            <w:szCs w:val="20"/>
            <w:lang w:val="fr-CA"/>
          </w:rPr>
          <w:t>07</w:t>
        </w:r>
      </w:hyperlink>
      <w:r w:rsidRPr="00357596">
        <w:rPr>
          <w:sz w:val="20"/>
          <w:lang w:val="fr-CA"/>
        </w:rPr>
        <w:t>)</w:t>
      </w:r>
    </w:p>
    <w:p w:rsidR="00E02894" w:rsidRPr="00357596" w:rsidRDefault="00E02894" w:rsidP="002D79DB">
      <w:pPr>
        <w:ind w:left="357" w:hanging="357"/>
        <w:rPr>
          <w:sz w:val="20"/>
          <w:lang w:val="fr-CA"/>
        </w:rPr>
      </w:pPr>
    </w:p>
    <w:p w:rsidR="00E02894" w:rsidRPr="00357596" w:rsidRDefault="00E02894" w:rsidP="002D79DB">
      <w:pPr>
        <w:pStyle w:val="ListParagraph"/>
        <w:numPr>
          <w:ilvl w:val="0"/>
          <w:numId w:val="2"/>
        </w:numPr>
        <w:ind w:left="357" w:hanging="357"/>
        <w:rPr>
          <w:sz w:val="20"/>
        </w:rPr>
      </w:pPr>
      <w:r w:rsidRPr="00357596">
        <w:rPr>
          <w:i/>
          <w:sz w:val="20"/>
        </w:rPr>
        <w:t>Warren Piche v. Saskatchewan Government Insurance</w:t>
      </w:r>
      <w:r w:rsidRPr="00357596">
        <w:rPr>
          <w:sz w:val="20"/>
        </w:rPr>
        <w:t xml:space="preserve"> (Sask.) (Civil) (By Leave) (</w:t>
      </w:r>
      <w:hyperlink r:id="rId10" w:history="1">
        <w:r w:rsidRPr="00357596">
          <w:rPr>
            <w:rStyle w:val="Hyperlink"/>
            <w:sz w:val="20"/>
            <w:szCs w:val="20"/>
          </w:rPr>
          <w:t>3923</w:t>
        </w:r>
        <w:r w:rsidR="00CE7150" w:rsidRPr="00357596">
          <w:rPr>
            <w:rStyle w:val="Hyperlink"/>
            <w:sz w:val="20"/>
            <w:szCs w:val="20"/>
          </w:rPr>
          <w:t>9</w:t>
        </w:r>
      </w:hyperlink>
      <w:r w:rsidRPr="00357596">
        <w:rPr>
          <w:sz w:val="20"/>
        </w:rPr>
        <w:t>)</w:t>
      </w:r>
    </w:p>
    <w:p w:rsidR="00E02894" w:rsidRPr="00357596" w:rsidRDefault="00E02894" w:rsidP="002D79DB">
      <w:pPr>
        <w:ind w:left="357" w:hanging="357"/>
        <w:rPr>
          <w:sz w:val="20"/>
        </w:rPr>
      </w:pPr>
    </w:p>
    <w:p w:rsidR="00E02894" w:rsidRPr="00357596" w:rsidRDefault="00E02894" w:rsidP="002D79DB">
      <w:pPr>
        <w:pStyle w:val="SCCLsocSubfileSeparator"/>
        <w:numPr>
          <w:ilvl w:val="0"/>
          <w:numId w:val="2"/>
        </w:numPr>
        <w:ind w:left="357" w:hanging="357"/>
        <w:jc w:val="left"/>
        <w:rPr>
          <w:b w:val="0"/>
          <w:i/>
          <w:sz w:val="20"/>
          <w:szCs w:val="20"/>
          <w:lang w:val="en-US"/>
        </w:rPr>
      </w:pPr>
      <w:r w:rsidRPr="00357596">
        <w:rPr>
          <w:b w:val="0"/>
          <w:i/>
          <w:sz w:val="20"/>
          <w:szCs w:val="20"/>
          <w:lang w:val="en-US"/>
        </w:rPr>
        <w:t xml:space="preserve">Michael Novac, </w:t>
      </w:r>
      <w:r w:rsidR="00093575" w:rsidRPr="00357596">
        <w:rPr>
          <w:b w:val="0"/>
          <w:i/>
          <w:sz w:val="20"/>
          <w:szCs w:val="20"/>
          <w:lang w:val="en-US"/>
        </w:rPr>
        <w:t>et al.</w:t>
      </w:r>
      <w:r w:rsidRPr="00357596">
        <w:rPr>
          <w:b w:val="0"/>
          <w:i/>
          <w:sz w:val="20"/>
          <w:szCs w:val="20"/>
          <w:lang w:val="en-US"/>
        </w:rPr>
        <w:t xml:space="preserve"> v. Jennifer Ann Leitch</w:t>
      </w:r>
      <w:r w:rsidRPr="00357596">
        <w:rPr>
          <w:b w:val="0"/>
          <w:sz w:val="20"/>
          <w:szCs w:val="20"/>
          <w:lang w:val="en-US"/>
        </w:rPr>
        <w:t xml:space="preserve"> (Ont.) (Civil) (By Leave) </w:t>
      </w:r>
      <w:r w:rsidRPr="00357596">
        <w:rPr>
          <w:b w:val="0"/>
          <w:sz w:val="20"/>
          <w:lang w:val="en-US"/>
        </w:rPr>
        <w:t>(</w:t>
      </w:r>
      <w:hyperlink r:id="rId11" w:history="1">
        <w:r w:rsidRPr="00357596">
          <w:rPr>
            <w:rStyle w:val="Hyperlink"/>
            <w:b w:val="0"/>
            <w:sz w:val="20"/>
            <w:szCs w:val="20"/>
            <w:lang w:val="en-US"/>
          </w:rPr>
          <w:t>392</w:t>
        </w:r>
        <w:r w:rsidR="00093575" w:rsidRPr="00357596">
          <w:rPr>
            <w:rStyle w:val="Hyperlink"/>
            <w:b w:val="0"/>
            <w:sz w:val="20"/>
            <w:szCs w:val="20"/>
            <w:lang w:val="en-US"/>
          </w:rPr>
          <w:t>17</w:t>
        </w:r>
      </w:hyperlink>
      <w:r w:rsidRPr="00357596">
        <w:rPr>
          <w:b w:val="0"/>
          <w:sz w:val="20"/>
          <w:lang w:val="en-US"/>
        </w:rPr>
        <w:t>)</w:t>
      </w:r>
    </w:p>
    <w:p w:rsidR="00E02894" w:rsidRPr="00357596" w:rsidRDefault="00E02894" w:rsidP="002D79DB">
      <w:pPr>
        <w:ind w:left="357" w:hanging="357"/>
        <w:rPr>
          <w:sz w:val="20"/>
        </w:rPr>
      </w:pPr>
    </w:p>
    <w:p w:rsidR="00E02894" w:rsidRPr="00357596" w:rsidRDefault="00E02894" w:rsidP="002D79DB">
      <w:pPr>
        <w:pStyle w:val="ListParagraph"/>
        <w:numPr>
          <w:ilvl w:val="0"/>
          <w:numId w:val="2"/>
        </w:numPr>
        <w:ind w:left="357" w:hanging="357"/>
        <w:rPr>
          <w:sz w:val="20"/>
          <w:lang w:val="fr-CA"/>
        </w:rPr>
      </w:pPr>
      <w:r w:rsidRPr="00357596">
        <w:rPr>
          <w:i/>
          <w:sz w:val="20"/>
          <w:lang w:val="fr-CA"/>
        </w:rPr>
        <w:t xml:space="preserve">André Lavallée c. Ville de Sainte-Adèle </w:t>
      </w:r>
      <w:r w:rsidRPr="00357596">
        <w:rPr>
          <w:sz w:val="20"/>
          <w:lang w:val="fr-CA"/>
        </w:rPr>
        <w:t>(Qc) (Civile) (Autorisation) (</w:t>
      </w:r>
      <w:hyperlink r:id="rId12" w:history="1">
        <w:r w:rsidRPr="00357596">
          <w:rPr>
            <w:rStyle w:val="Hyperlink"/>
            <w:sz w:val="20"/>
            <w:szCs w:val="20"/>
            <w:lang w:val="fr-CA"/>
          </w:rPr>
          <w:t>39</w:t>
        </w:r>
        <w:r w:rsidR="00093575" w:rsidRPr="00357596">
          <w:rPr>
            <w:rStyle w:val="Hyperlink"/>
            <w:sz w:val="20"/>
            <w:lang w:val="fr-CA"/>
          </w:rPr>
          <w:t>178</w:t>
        </w:r>
      </w:hyperlink>
      <w:r w:rsidRPr="00357596">
        <w:rPr>
          <w:sz w:val="20"/>
          <w:lang w:val="fr-CA"/>
        </w:rPr>
        <w:t>)</w:t>
      </w:r>
    </w:p>
    <w:p w:rsidR="00E02894" w:rsidRPr="00357596" w:rsidRDefault="00E02894" w:rsidP="002D79DB">
      <w:pPr>
        <w:ind w:left="357" w:hanging="357"/>
        <w:rPr>
          <w:sz w:val="20"/>
          <w:lang w:val="fr-CA"/>
        </w:rPr>
      </w:pPr>
    </w:p>
    <w:p w:rsidR="00E02894" w:rsidRPr="00357596" w:rsidRDefault="00E02894" w:rsidP="002D79DB">
      <w:pPr>
        <w:pStyle w:val="SCCLsocSubfileSeparator"/>
        <w:numPr>
          <w:ilvl w:val="0"/>
          <w:numId w:val="2"/>
        </w:numPr>
        <w:ind w:left="357" w:hanging="357"/>
        <w:jc w:val="left"/>
        <w:rPr>
          <w:b w:val="0"/>
          <w:i/>
          <w:sz w:val="20"/>
          <w:szCs w:val="20"/>
        </w:rPr>
      </w:pPr>
      <w:r w:rsidRPr="00357596">
        <w:rPr>
          <w:b w:val="0"/>
          <w:i/>
          <w:sz w:val="20"/>
          <w:szCs w:val="20"/>
          <w:lang w:val="en-US"/>
        </w:rPr>
        <w:t xml:space="preserve">Dentons Canada LLP, et al. v. </w:t>
      </w:r>
      <w:r w:rsidR="00093575" w:rsidRPr="00357596">
        <w:rPr>
          <w:b w:val="0"/>
          <w:i/>
          <w:sz w:val="20"/>
          <w:szCs w:val="20"/>
          <w:lang w:val="en-US"/>
        </w:rPr>
        <w:t>HOOPP Realty Inc.</w:t>
      </w:r>
      <w:r w:rsidRPr="00357596">
        <w:rPr>
          <w:b w:val="0"/>
          <w:i/>
          <w:sz w:val="20"/>
          <w:szCs w:val="20"/>
          <w:lang w:val="en-US"/>
        </w:rPr>
        <w:t>, et al.</w:t>
      </w:r>
      <w:r w:rsidRPr="00357596">
        <w:rPr>
          <w:b w:val="0"/>
          <w:sz w:val="20"/>
          <w:szCs w:val="20"/>
          <w:lang w:val="en-US"/>
        </w:rPr>
        <w:t xml:space="preserve"> </w:t>
      </w:r>
      <w:r w:rsidRPr="00357596">
        <w:rPr>
          <w:b w:val="0"/>
          <w:sz w:val="20"/>
          <w:szCs w:val="20"/>
        </w:rPr>
        <w:t xml:space="preserve">(Alta.) (Civil) (By Leave) </w:t>
      </w:r>
      <w:r w:rsidRPr="00357596">
        <w:rPr>
          <w:b w:val="0"/>
          <w:sz w:val="20"/>
        </w:rPr>
        <w:t>(</w:t>
      </w:r>
      <w:hyperlink r:id="rId13" w:history="1">
        <w:r w:rsidRPr="00357596">
          <w:rPr>
            <w:rStyle w:val="Hyperlink"/>
            <w:b w:val="0"/>
            <w:sz w:val="20"/>
            <w:szCs w:val="20"/>
          </w:rPr>
          <w:t>3923</w:t>
        </w:r>
        <w:r w:rsidR="00093575" w:rsidRPr="00357596">
          <w:rPr>
            <w:rStyle w:val="Hyperlink"/>
            <w:b w:val="0"/>
            <w:sz w:val="20"/>
            <w:szCs w:val="20"/>
          </w:rPr>
          <w:t>3</w:t>
        </w:r>
      </w:hyperlink>
      <w:r w:rsidRPr="00357596">
        <w:rPr>
          <w:b w:val="0"/>
          <w:sz w:val="20"/>
        </w:rPr>
        <w:t>)</w:t>
      </w:r>
    </w:p>
    <w:p w:rsidR="00E02894" w:rsidRPr="00357596" w:rsidRDefault="00E02894" w:rsidP="002D79DB">
      <w:pPr>
        <w:ind w:left="357" w:hanging="357"/>
        <w:rPr>
          <w:sz w:val="20"/>
        </w:rPr>
      </w:pPr>
    </w:p>
    <w:p w:rsidR="00E02894" w:rsidRPr="00357596" w:rsidRDefault="00E02894" w:rsidP="002D79DB">
      <w:pPr>
        <w:pStyle w:val="ListParagraph"/>
        <w:numPr>
          <w:ilvl w:val="0"/>
          <w:numId w:val="2"/>
        </w:numPr>
        <w:ind w:left="357" w:hanging="357"/>
        <w:rPr>
          <w:sz w:val="20"/>
        </w:rPr>
      </w:pPr>
      <w:r w:rsidRPr="00357596">
        <w:rPr>
          <w:bCs/>
          <w:i/>
          <w:iCs/>
          <w:sz w:val="20"/>
        </w:rPr>
        <w:t>Hamid Alakozai v. Attorney General of Canada</w:t>
      </w:r>
      <w:r w:rsidRPr="00357596">
        <w:rPr>
          <w:bCs/>
          <w:sz w:val="20"/>
        </w:rPr>
        <w:t xml:space="preserve"> </w:t>
      </w:r>
      <w:r w:rsidRPr="00357596">
        <w:rPr>
          <w:sz w:val="20"/>
        </w:rPr>
        <w:t>(F.C.) (Civil) (By Leave) (</w:t>
      </w:r>
      <w:hyperlink r:id="rId14" w:history="1">
        <w:r w:rsidRPr="00357596">
          <w:rPr>
            <w:rStyle w:val="Hyperlink"/>
            <w:sz w:val="20"/>
            <w:szCs w:val="20"/>
          </w:rPr>
          <w:t>392</w:t>
        </w:r>
        <w:r w:rsidR="00C540A5" w:rsidRPr="00357596">
          <w:rPr>
            <w:rStyle w:val="Hyperlink"/>
            <w:sz w:val="20"/>
          </w:rPr>
          <w:t>51</w:t>
        </w:r>
      </w:hyperlink>
      <w:r w:rsidRPr="00357596">
        <w:rPr>
          <w:sz w:val="20"/>
        </w:rPr>
        <w:t>)</w:t>
      </w:r>
    </w:p>
    <w:p w:rsidR="005A5176" w:rsidRPr="00357596" w:rsidRDefault="005A5176" w:rsidP="002D79DB">
      <w:pPr>
        <w:ind w:left="357" w:hanging="357"/>
        <w:rPr>
          <w:sz w:val="20"/>
        </w:rPr>
      </w:pPr>
    </w:p>
    <w:p w:rsidR="00324FE0" w:rsidRPr="00357596" w:rsidRDefault="00324FE0" w:rsidP="002D79DB">
      <w:pPr>
        <w:pStyle w:val="ListParagraph"/>
        <w:numPr>
          <w:ilvl w:val="0"/>
          <w:numId w:val="2"/>
        </w:numPr>
        <w:ind w:left="357" w:hanging="357"/>
        <w:rPr>
          <w:sz w:val="20"/>
        </w:rPr>
      </w:pPr>
      <w:r w:rsidRPr="00357596">
        <w:rPr>
          <w:i/>
          <w:sz w:val="20"/>
        </w:rPr>
        <w:t>Cameron O’Lynn Parranto also known as Cameron O’Lynn Rocky Parranto, et al. v. Her Majesty the Queen</w:t>
      </w:r>
      <w:r w:rsidRPr="00357596">
        <w:rPr>
          <w:sz w:val="20"/>
        </w:rPr>
        <w:t xml:space="preserve"> (Alta.) (Criminal) (By Leave) (</w:t>
      </w:r>
      <w:hyperlink r:id="rId15" w:history="1">
        <w:r w:rsidRPr="00357596">
          <w:rPr>
            <w:rStyle w:val="Hyperlink"/>
            <w:sz w:val="20"/>
            <w:szCs w:val="20"/>
          </w:rPr>
          <w:t>392</w:t>
        </w:r>
        <w:r w:rsidR="00C540A5" w:rsidRPr="00357596">
          <w:rPr>
            <w:rStyle w:val="Hyperlink"/>
            <w:sz w:val="20"/>
          </w:rPr>
          <w:t>27</w:t>
        </w:r>
      </w:hyperlink>
      <w:r w:rsidRPr="00357596">
        <w:rPr>
          <w:sz w:val="20"/>
        </w:rPr>
        <w:t>)</w:t>
      </w:r>
    </w:p>
    <w:p w:rsidR="005A5176" w:rsidRPr="00357596" w:rsidRDefault="005A5176" w:rsidP="002D79DB">
      <w:pPr>
        <w:ind w:left="357" w:hanging="357"/>
        <w:rPr>
          <w:sz w:val="20"/>
        </w:rPr>
      </w:pPr>
    </w:p>
    <w:p w:rsidR="005A5176" w:rsidRPr="00357596" w:rsidRDefault="00E02894" w:rsidP="002D79DB">
      <w:pPr>
        <w:pStyle w:val="ListParagraph"/>
        <w:numPr>
          <w:ilvl w:val="0"/>
          <w:numId w:val="2"/>
        </w:numPr>
        <w:ind w:left="357" w:hanging="357"/>
        <w:rPr>
          <w:sz w:val="20"/>
        </w:rPr>
      </w:pPr>
      <w:r w:rsidRPr="00357596">
        <w:rPr>
          <w:i/>
          <w:sz w:val="20"/>
          <w:lang w:val="en-CA"/>
        </w:rPr>
        <w:t xml:space="preserve">James Anthony Manastersky v. RBC Dominion Securities Inc. </w:t>
      </w:r>
      <w:r w:rsidRPr="00357596">
        <w:rPr>
          <w:sz w:val="20"/>
        </w:rPr>
        <w:t>(Ont.) (Civil) (By Leave)</w:t>
      </w:r>
      <w:r w:rsidRPr="00357596">
        <w:rPr>
          <w:sz w:val="20"/>
          <w:lang w:val="en-CA"/>
        </w:rPr>
        <w:t xml:space="preserve"> </w:t>
      </w:r>
      <w:r w:rsidRPr="00357596">
        <w:rPr>
          <w:sz w:val="20"/>
        </w:rPr>
        <w:t>(</w:t>
      </w:r>
      <w:hyperlink r:id="rId16" w:history="1">
        <w:r w:rsidRPr="00357596">
          <w:rPr>
            <w:rStyle w:val="Hyperlink"/>
            <w:sz w:val="20"/>
            <w:szCs w:val="20"/>
          </w:rPr>
          <w:t>3</w:t>
        </w:r>
        <w:r w:rsidR="00F81F18" w:rsidRPr="00357596">
          <w:rPr>
            <w:rStyle w:val="Hyperlink"/>
            <w:sz w:val="20"/>
          </w:rPr>
          <w:t>8788</w:t>
        </w:r>
      </w:hyperlink>
      <w:r w:rsidRPr="00357596">
        <w:rPr>
          <w:sz w:val="20"/>
        </w:rPr>
        <w:t>)</w:t>
      </w:r>
    </w:p>
    <w:p w:rsidR="005A5176" w:rsidRPr="00357596" w:rsidRDefault="005A5176" w:rsidP="002D79DB">
      <w:pPr>
        <w:ind w:left="357" w:hanging="357"/>
        <w:rPr>
          <w:sz w:val="20"/>
        </w:rPr>
      </w:pPr>
    </w:p>
    <w:p w:rsidR="00E02894" w:rsidRPr="00357596" w:rsidRDefault="00E02894" w:rsidP="002D79DB">
      <w:pPr>
        <w:pStyle w:val="ListParagraph"/>
        <w:numPr>
          <w:ilvl w:val="0"/>
          <w:numId w:val="2"/>
        </w:numPr>
        <w:tabs>
          <w:tab w:val="left" w:pos="490"/>
        </w:tabs>
        <w:ind w:left="357" w:hanging="357"/>
        <w:rPr>
          <w:sz w:val="20"/>
        </w:rPr>
      </w:pPr>
      <w:r w:rsidRPr="00357596">
        <w:rPr>
          <w:i/>
          <w:sz w:val="20"/>
          <w:lang w:val="en-CA"/>
        </w:rPr>
        <w:t xml:space="preserve">Charles Murray Wilson v. Daniel Peter Staples, in his capacity as the Executor of the Estate of Nellie Elizabeth Adams, Deceased, </w:t>
      </w:r>
      <w:r w:rsidR="001B0800" w:rsidRPr="00357596">
        <w:rPr>
          <w:i/>
          <w:sz w:val="20"/>
          <w:lang w:val="en-CA"/>
        </w:rPr>
        <w:t>et al.</w:t>
      </w:r>
      <w:r w:rsidRPr="00357596">
        <w:rPr>
          <w:i/>
          <w:sz w:val="20"/>
        </w:rPr>
        <w:t xml:space="preserve"> </w:t>
      </w:r>
      <w:r w:rsidRPr="00357596">
        <w:rPr>
          <w:sz w:val="20"/>
          <w:lang w:val="en-CA"/>
        </w:rPr>
        <w:t xml:space="preserve">(Sask.) (Civil) (By Leave) </w:t>
      </w:r>
      <w:r w:rsidRPr="00357596">
        <w:rPr>
          <w:sz w:val="20"/>
        </w:rPr>
        <w:t>(</w:t>
      </w:r>
      <w:hyperlink r:id="rId17" w:history="1">
        <w:r w:rsidRPr="00357596">
          <w:rPr>
            <w:rStyle w:val="Hyperlink"/>
            <w:sz w:val="20"/>
            <w:szCs w:val="20"/>
          </w:rPr>
          <w:t>392</w:t>
        </w:r>
        <w:r w:rsidR="001B0800" w:rsidRPr="00357596">
          <w:rPr>
            <w:rStyle w:val="Hyperlink"/>
            <w:sz w:val="20"/>
          </w:rPr>
          <w:t>07</w:t>
        </w:r>
      </w:hyperlink>
      <w:r w:rsidRPr="00357596">
        <w:rPr>
          <w:sz w:val="20"/>
        </w:rPr>
        <w:t>)</w:t>
      </w:r>
    </w:p>
    <w:p w:rsidR="00350F1B" w:rsidRPr="00357596" w:rsidRDefault="00350F1B" w:rsidP="002D79DB">
      <w:pPr>
        <w:widowControl w:val="0"/>
        <w:ind w:left="357" w:hanging="357"/>
        <w:rPr>
          <w:sz w:val="20"/>
        </w:rPr>
      </w:pPr>
    </w:p>
    <w:p w:rsidR="001B484F" w:rsidRPr="00357596" w:rsidRDefault="001B484F" w:rsidP="002D79DB">
      <w:pPr>
        <w:pStyle w:val="ListParagraph"/>
        <w:numPr>
          <w:ilvl w:val="0"/>
          <w:numId w:val="2"/>
        </w:numPr>
        <w:tabs>
          <w:tab w:val="left" w:pos="490"/>
        </w:tabs>
        <w:ind w:left="357" w:hanging="357"/>
        <w:rPr>
          <w:sz w:val="20"/>
        </w:rPr>
      </w:pPr>
      <w:r w:rsidRPr="00357596">
        <w:rPr>
          <w:i/>
          <w:sz w:val="20"/>
          <w:szCs w:val="20"/>
        </w:rPr>
        <w:t>H.M.B. Holdings Limited v. Attorney</w:t>
      </w:r>
      <w:r w:rsidRPr="00357596">
        <w:rPr>
          <w:i/>
          <w:sz w:val="20"/>
        </w:rPr>
        <w:t xml:space="preserve"> General of Antigua and Barbuda</w:t>
      </w:r>
      <w:r w:rsidRPr="00357596">
        <w:rPr>
          <w:sz w:val="20"/>
          <w:szCs w:val="20"/>
        </w:rPr>
        <w:t xml:space="preserve"> (Ont.) (Civil) (By Leave)</w:t>
      </w:r>
      <w:r w:rsidRPr="00357596">
        <w:rPr>
          <w:sz w:val="20"/>
        </w:rPr>
        <w:t xml:space="preserve"> (</w:t>
      </w:r>
      <w:hyperlink r:id="rId18" w:history="1">
        <w:r w:rsidRPr="00357596">
          <w:rPr>
            <w:rStyle w:val="Hyperlink"/>
            <w:sz w:val="20"/>
            <w:szCs w:val="20"/>
          </w:rPr>
          <w:t>39</w:t>
        </w:r>
        <w:r w:rsidR="009A7B51" w:rsidRPr="00357596">
          <w:rPr>
            <w:rStyle w:val="Hyperlink"/>
            <w:sz w:val="20"/>
          </w:rPr>
          <w:t>1</w:t>
        </w:r>
        <w:r w:rsidRPr="00357596">
          <w:rPr>
            <w:rStyle w:val="Hyperlink"/>
            <w:sz w:val="20"/>
            <w:szCs w:val="20"/>
          </w:rPr>
          <w:t>3</w:t>
        </w:r>
        <w:r w:rsidR="009A7B51" w:rsidRPr="00357596">
          <w:rPr>
            <w:rStyle w:val="Hyperlink"/>
            <w:sz w:val="20"/>
          </w:rPr>
          <w:t>0</w:t>
        </w:r>
      </w:hyperlink>
      <w:r w:rsidRPr="00357596">
        <w:rPr>
          <w:sz w:val="20"/>
        </w:rPr>
        <w:t>)</w:t>
      </w:r>
    </w:p>
    <w:p w:rsidR="001B484F" w:rsidRPr="00357596" w:rsidRDefault="001B484F" w:rsidP="009B14F4">
      <w:pPr>
        <w:widowControl w:val="0"/>
        <w:jc w:val="both"/>
        <w:rPr>
          <w:sz w:val="20"/>
        </w:rPr>
      </w:pPr>
    </w:p>
    <w:p w:rsidR="0057402C" w:rsidRPr="00357596" w:rsidRDefault="00533FD5" w:rsidP="009B14F4">
      <w:pPr>
        <w:widowControl w:val="0"/>
        <w:jc w:val="both"/>
        <w:rPr>
          <w:sz w:val="20"/>
        </w:rPr>
      </w:pPr>
      <w:r w:rsidRPr="00357596">
        <w:rPr>
          <w:sz w:val="20"/>
        </w:rPr>
        <w:pict>
          <v:rect id="_x0000_i1026" style="width:2in;height:1pt" o:hrpct="0" o:hralign="center" o:hrstd="t" o:hrnoshade="t" o:hr="t" fillcolor="black [3213]" stroked="f"/>
        </w:pict>
      </w:r>
    </w:p>
    <w:p w:rsidR="0057402C" w:rsidRPr="00357596" w:rsidRDefault="0057402C" w:rsidP="00160284">
      <w:pPr>
        <w:widowControl w:val="0"/>
        <w:jc w:val="both"/>
        <w:rPr>
          <w:sz w:val="20"/>
        </w:rPr>
      </w:pPr>
    </w:p>
    <w:tbl>
      <w:tblPr>
        <w:tblW w:w="5000" w:type="pct"/>
        <w:tblLayout w:type="fixed"/>
        <w:tblCellMar>
          <w:left w:w="0" w:type="dxa"/>
          <w:bottom w:w="99" w:type="dxa"/>
          <w:right w:w="0" w:type="dxa"/>
        </w:tblCellMar>
        <w:tblLook w:val="04A0" w:firstRow="1" w:lastRow="0" w:firstColumn="1" w:lastColumn="0" w:noHBand="0" w:noVBand="1"/>
      </w:tblPr>
      <w:tblGrid>
        <w:gridCol w:w="1005"/>
        <w:gridCol w:w="3426"/>
        <w:gridCol w:w="500"/>
        <w:gridCol w:w="4339"/>
        <w:gridCol w:w="90"/>
      </w:tblGrid>
      <w:tr w:rsidR="00533FD5" w:rsidRPr="00357596" w:rsidTr="00533FD5">
        <w:trPr>
          <w:gridAfter w:val="1"/>
          <w:wAfter w:w="48" w:type="pct"/>
        </w:trPr>
        <w:tc>
          <w:tcPr>
            <w:tcW w:w="537" w:type="pct"/>
          </w:tcPr>
          <w:p w:rsidR="00533FD5" w:rsidRPr="00357596" w:rsidRDefault="00533FD5" w:rsidP="00160284">
            <w:pPr>
              <w:jc w:val="both"/>
              <w:rPr>
                <w:sz w:val="20"/>
              </w:rPr>
            </w:pPr>
            <w:r w:rsidRPr="00357596">
              <w:rPr>
                <w:rStyle w:val="SCCFileNumberChar"/>
                <w:sz w:val="20"/>
                <w:szCs w:val="20"/>
              </w:rPr>
              <w:t>39243</w:t>
            </w:r>
          </w:p>
        </w:tc>
        <w:tc>
          <w:tcPr>
            <w:tcW w:w="4415" w:type="pct"/>
            <w:gridSpan w:val="3"/>
          </w:tcPr>
          <w:p w:rsidR="00533FD5" w:rsidRPr="00357596" w:rsidRDefault="00533FD5" w:rsidP="00160284">
            <w:pPr>
              <w:pStyle w:val="SCCLsocParty"/>
              <w:jc w:val="both"/>
              <w:rPr>
                <w:b/>
                <w:sz w:val="20"/>
                <w:szCs w:val="20"/>
                <w:lang w:val="en-US"/>
              </w:rPr>
            </w:pPr>
            <w:r w:rsidRPr="00357596">
              <w:rPr>
                <w:b/>
                <w:sz w:val="20"/>
                <w:szCs w:val="20"/>
                <w:lang w:val="en-US"/>
              </w:rPr>
              <w:t>Her Majesty the Queen v. Stewart Pascal</w:t>
            </w:r>
          </w:p>
          <w:p w:rsidR="00533FD5" w:rsidRPr="00357596" w:rsidRDefault="00533FD5" w:rsidP="00160284">
            <w:pPr>
              <w:jc w:val="both"/>
              <w:rPr>
                <w:sz w:val="20"/>
              </w:rPr>
            </w:pPr>
            <w:r w:rsidRPr="00357596">
              <w:rPr>
                <w:sz w:val="20"/>
              </w:rPr>
              <w:t>(Ont.) (Criminal) (By Leave)</w:t>
            </w:r>
          </w:p>
        </w:tc>
      </w:tr>
      <w:tr w:rsidR="00533FD5" w:rsidRPr="00357596" w:rsidTr="00533FD5">
        <w:trPr>
          <w:gridAfter w:val="1"/>
          <w:wAfter w:w="48" w:type="pct"/>
        </w:trPr>
        <w:tc>
          <w:tcPr>
            <w:tcW w:w="4952" w:type="pct"/>
            <w:gridSpan w:val="4"/>
          </w:tcPr>
          <w:p w:rsidR="00533FD5" w:rsidRPr="00357596" w:rsidRDefault="00533FD5" w:rsidP="00160284">
            <w:pPr>
              <w:pStyle w:val="SCCBanSummary"/>
              <w:rPr>
                <w:sz w:val="20"/>
                <w:szCs w:val="20"/>
              </w:rPr>
            </w:pPr>
            <w:r w:rsidRPr="00357596">
              <w:rPr>
                <w:sz w:val="20"/>
                <w:szCs w:val="20"/>
              </w:rPr>
              <w:lastRenderedPageBreak/>
              <w:t>(Publication ban in case)</w:t>
            </w:r>
          </w:p>
          <w:p w:rsidR="00533FD5" w:rsidRPr="00357596" w:rsidRDefault="00533FD5" w:rsidP="00160284">
            <w:pPr>
              <w:jc w:val="both"/>
              <w:rPr>
                <w:sz w:val="20"/>
              </w:rPr>
            </w:pPr>
          </w:p>
          <w:p w:rsidR="00533FD5" w:rsidRPr="00357596" w:rsidRDefault="00533FD5" w:rsidP="00160284">
            <w:pPr>
              <w:jc w:val="both"/>
              <w:rPr>
                <w:sz w:val="20"/>
              </w:rPr>
            </w:pPr>
            <w:r w:rsidRPr="00357596">
              <w:rPr>
                <w:sz w:val="20"/>
              </w:rPr>
              <w:t>Criminal law — Evidence — Disclosure — Whether Crown is required to disclose without its witness’s criminal record and outstanding charges as first party disclosure — Onus on defence counsel to request disclosure — Whether an obligation to disclose is contrary to binding jurisprudence — Whether witness’s criminal record and outstanding charges could have affected verdict and fairness of the trial — Whether Court of Appeal failed to assess undisclosed information against trial record as a whole?</w:t>
            </w:r>
          </w:p>
        </w:tc>
      </w:tr>
      <w:tr w:rsidR="00533FD5" w:rsidRPr="00357596" w:rsidTr="00533FD5">
        <w:trPr>
          <w:gridAfter w:val="1"/>
          <w:wAfter w:w="48" w:type="pct"/>
        </w:trPr>
        <w:tc>
          <w:tcPr>
            <w:tcW w:w="4952" w:type="pct"/>
            <w:gridSpan w:val="4"/>
          </w:tcPr>
          <w:p w:rsidR="00533FD5" w:rsidRPr="00357596" w:rsidRDefault="00533FD5" w:rsidP="00160284">
            <w:pPr>
              <w:jc w:val="both"/>
              <w:rPr>
                <w:sz w:val="20"/>
              </w:rPr>
            </w:pPr>
          </w:p>
        </w:tc>
      </w:tr>
      <w:tr w:rsidR="00533FD5" w:rsidRPr="00357596" w:rsidTr="00533FD5">
        <w:trPr>
          <w:gridAfter w:val="1"/>
          <w:wAfter w:w="48" w:type="pct"/>
        </w:trPr>
        <w:tc>
          <w:tcPr>
            <w:tcW w:w="4952" w:type="pct"/>
            <w:gridSpan w:val="4"/>
          </w:tcPr>
          <w:p w:rsidR="00533FD5" w:rsidRPr="00357596" w:rsidRDefault="00533FD5" w:rsidP="00160284">
            <w:pPr>
              <w:jc w:val="both"/>
              <w:rPr>
                <w:sz w:val="20"/>
              </w:rPr>
            </w:pPr>
            <w:r w:rsidRPr="00357596">
              <w:rPr>
                <w:sz w:val="20"/>
              </w:rPr>
              <w:t>S.S. and B.S. alleged to police that Mr. Pascal and another man sexually assaulted them in their motel room but they stopped the assaults and the men left. Police responded to a second call to the motel that same night and S.S. described a sexual assault on a dock beside the motel by Mr. Pascal. The Crown’s case at trial relied on a witness. The witness gave a statement to police near the time of the assault. Seventeen months later, on the first day of trial, she gave police a more incriminating statement. She testified at trial consistently with her second statement. Crown counsel did not disclose that she had a criminal record and charges were outstanding against her when she testified. Mr. Pascal was convicted of sexual assault causing bodily harm. After trial, charges against the witness were withdrawn and she pled guilty to other charges. By the time of the appeal, more new charges were outstanding against her. The Court of Appeal allowed an appeal and ordered a new trial.</w:t>
            </w:r>
          </w:p>
          <w:p w:rsidR="00533FD5" w:rsidRPr="00357596" w:rsidRDefault="00533FD5" w:rsidP="00160284">
            <w:pPr>
              <w:jc w:val="both"/>
              <w:rPr>
                <w:sz w:val="20"/>
              </w:rPr>
            </w:pPr>
          </w:p>
        </w:tc>
      </w:tr>
      <w:tr w:rsidR="00533FD5" w:rsidRPr="00357596" w:rsidTr="00533FD5">
        <w:tblPrEx>
          <w:tblCellMar>
            <w:bottom w:w="0" w:type="dxa"/>
          </w:tblCellMar>
        </w:tblPrEx>
        <w:tc>
          <w:tcPr>
            <w:tcW w:w="2367" w:type="pct"/>
            <w:gridSpan w:val="2"/>
          </w:tcPr>
          <w:p w:rsidR="00533FD5" w:rsidRPr="00357596" w:rsidRDefault="00533FD5" w:rsidP="00160284">
            <w:pPr>
              <w:jc w:val="both"/>
              <w:rPr>
                <w:sz w:val="20"/>
              </w:rPr>
            </w:pPr>
            <w:r w:rsidRPr="00357596">
              <w:rPr>
                <w:sz w:val="20"/>
              </w:rPr>
              <w:t>January 8, 2009</w:t>
            </w:r>
          </w:p>
          <w:p w:rsidR="00533FD5" w:rsidRPr="00357596" w:rsidRDefault="00533FD5" w:rsidP="00160284">
            <w:pPr>
              <w:jc w:val="both"/>
              <w:rPr>
                <w:sz w:val="20"/>
              </w:rPr>
            </w:pPr>
            <w:r w:rsidRPr="00357596">
              <w:rPr>
                <w:sz w:val="20"/>
              </w:rPr>
              <w:t>Ontario Superior Court of Justice</w:t>
            </w:r>
          </w:p>
          <w:p w:rsidR="00533FD5" w:rsidRPr="00357596" w:rsidRDefault="00533FD5" w:rsidP="00160284">
            <w:pPr>
              <w:jc w:val="both"/>
              <w:rPr>
                <w:sz w:val="20"/>
              </w:rPr>
            </w:pPr>
            <w:r w:rsidRPr="00357596">
              <w:rPr>
                <w:sz w:val="20"/>
              </w:rPr>
              <w:t>(</w:t>
            </w:r>
            <w:proofErr w:type="spellStart"/>
            <w:r w:rsidRPr="00357596">
              <w:rPr>
                <w:sz w:val="20"/>
              </w:rPr>
              <w:t>Platana</w:t>
            </w:r>
            <w:proofErr w:type="spellEnd"/>
            <w:r w:rsidRPr="00357596">
              <w:rPr>
                <w:sz w:val="20"/>
              </w:rPr>
              <w:t xml:space="preserve"> J.) </w:t>
            </w:r>
          </w:p>
          <w:p w:rsidR="00533FD5" w:rsidRPr="00357596" w:rsidRDefault="00533FD5" w:rsidP="00160284">
            <w:pPr>
              <w:jc w:val="both"/>
              <w:rPr>
                <w:sz w:val="20"/>
              </w:rPr>
            </w:pPr>
            <w:hyperlink r:id="rId19" w:history="1">
              <w:r w:rsidRPr="00357596">
                <w:rPr>
                  <w:rStyle w:val="Hyperlink"/>
                  <w:sz w:val="20"/>
                </w:rPr>
                <w:t>2010 ONSC 3187</w:t>
              </w:r>
            </w:hyperlink>
          </w:p>
          <w:p w:rsidR="00533FD5" w:rsidRPr="00357596" w:rsidRDefault="00533FD5" w:rsidP="00160284">
            <w:pPr>
              <w:jc w:val="both"/>
              <w:rPr>
                <w:sz w:val="20"/>
              </w:rPr>
            </w:pPr>
          </w:p>
        </w:tc>
        <w:tc>
          <w:tcPr>
            <w:tcW w:w="267" w:type="pct"/>
          </w:tcPr>
          <w:p w:rsidR="00533FD5" w:rsidRPr="00357596" w:rsidRDefault="00533FD5" w:rsidP="00160284">
            <w:pPr>
              <w:jc w:val="both"/>
              <w:rPr>
                <w:sz w:val="20"/>
              </w:rPr>
            </w:pPr>
          </w:p>
        </w:tc>
        <w:tc>
          <w:tcPr>
            <w:tcW w:w="2366" w:type="pct"/>
            <w:gridSpan w:val="2"/>
          </w:tcPr>
          <w:p w:rsidR="00533FD5" w:rsidRPr="00357596" w:rsidRDefault="00533FD5" w:rsidP="00160284">
            <w:pPr>
              <w:jc w:val="both"/>
              <w:rPr>
                <w:sz w:val="20"/>
              </w:rPr>
            </w:pPr>
            <w:r w:rsidRPr="00357596">
              <w:rPr>
                <w:sz w:val="20"/>
              </w:rPr>
              <w:t>Conviction for sexual assault causing bodily harm</w:t>
            </w:r>
          </w:p>
          <w:p w:rsidR="00533FD5" w:rsidRPr="00357596" w:rsidRDefault="00533FD5" w:rsidP="00160284">
            <w:pPr>
              <w:jc w:val="both"/>
              <w:rPr>
                <w:sz w:val="20"/>
              </w:rPr>
            </w:pPr>
          </w:p>
        </w:tc>
      </w:tr>
      <w:tr w:rsidR="00533FD5" w:rsidRPr="00357596" w:rsidTr="00533FD5">
        <w:tblPrEx>
          <w:tblCellMar>
            <w:bottom w:w="0" w:type="dxa"/>
          </w:tblCellMar>
        </w:tblPrEx>
        <w:tc>
          <w:tcPr>
            <w:tcW w:w="2367" w:type="pct"/>
            <w:gridSpan w:val="2"/>
          </w:tcPr>
          <w:p w:rsidR="00533FD5" w:rsidRPr="00357596" w:rsidRDefault="00533FD5" w:rsidP="00160284">
            <w:pPr>
              <w:jc w:val="both"/>
              <w:rPr>
                <w:sz w:val="20"/>
              </w:rPr>
            </w:pPr>
            <w:r w:rsidRPr="00357596">
              <w:rPr>
                <w:sz w:val="20"/>
              </w:rPr>
              <w:t>May 6, 2020</w:t>
            </w:r>
          </w:p>
          <w:p w:rsidR="00533FD5" w:rsidRPr="00357596" w:rsidRDefault="00533FD5" w:rsidP="00160284">
            <w:pPr>
              <w:jc w:val="both"/>
              <w:rPr>
                <w:sz w:val="20"/>
              </w:rPr>
            </w:pPr>
            <w:r w:rsidRPr="00357596">
              <w:rPr>
                <w:sz w:val="20"/>
              </w:rPr>
              <w:t>Court of Appeal for Ontario</w:t>
            </w:r>
          </w:p>
          <w:p w:rsidR="00533FD5" w:rsidRPr="00357596" w:rsidRDefault="00533FD5" w:rsidP="00160284">
            <w:pPr>
              <w:jc w:val="both"/>
              <w:rPr>
                <w:sz w:val="20"/>
              </w:rPr>
            </w:pPr>
            <w:r w:rsidRPr="00357596">
              <w:rPr>
                <w:sz w:val="20"/>
              </w:rPr>
              <w:t>(Watt, Miller, Fairburn JJ.A.)</w:t>
            </w:r>
          </w:p>
          <w:p w:rsidR="00533FD5" w:rsidRPr="00357596" w:rsidRDefault="00533FD5" w:rsidP="00160284">
            <w:pPr>
              <w:jc w:val="both"/>
              <w:rPr>
                <w:sz w:val="20"/>
              </w:rPr>
            </w:pPr>
            <w:hyperlink r:id="rId20" w:history="1">
              <w:r w:rsidRPr="00357596">
                <w:rPr>
                  <w:rStyle w:val="Hyperlink"/>
                  <w:sz w:val="20"/>
                </w:rPr>
                <w:t>2020 ONCA 287</w:t>
              </w:r>
            </w:hyperlink>
            <w:r w:rsidRPr="00357596">
              <w:rPr>
                <w:sz w:val="20"/>
              </w:rPr>
              <w:t>; C53388</w:t>
            </w:r>
          </w:p>
          <w:p w:rsidR="00533FD5" w:rsidRPr="00357596" w:rsidRDefault="00533FD5" w:rsidP="00160284">
            <w:pPr>
              <w:jc w:val="both"/>
              <w:rPr>
                <w:sz w:val="20"/>
              </w:rPr>
            </w:pPr>
          </w:p>
        </w:tc>
        <w:tc>
          <w:tcPr>
            <w:tcW w:w="267" w:type="pct"/>
          </w:tcPr>
          <w:p w:rsidR="00533FD5" w:rsidRPr="00357596" w:rsidRDefault="00533FD5" w:rsidP="00160284">
            <w:pPr>
              <w:jc w:val="both"/>
              <w:rPr>
                <w:sz w:val="20"/>
              </w:rPr>
            </w:pPr>
          </w:p>
        </w:tc>
        <w:tc>
          <w:tcPr>
            <w:tcW w:w="2366" w:type="pct"/>
            <w:gridSpan w:val="2"/>
          </w:tcPr>
          <w:p w:rsidR="00533FD5" w:rsidRPr="00357596" w:rsidRDefault="00533FD5" w:rsidP="00160284">
            <w:pPr>
              <w:jc w:val="both"/>
              <w:rPr>
                <w:sz w:val="20"/>
              </w:rPr>
            </w:pPr>
            <w:r w:rsidRPr="00357596">
              <w:rPr>
                <w:sz w:val="20"/>
              </w:rPr>
              <w:t>Appeal from conviction allowed, new trial ordered</w:t>
            </w:r>
          </w:p>
          <w:p w:rsidR="00533FD5" w:rsidRPr="00357596" w:rsidRDefault="00533FD5" w:rsidP="00160284">
            <w:pPr>
              <w:jc w:val="both"/>
              <w:rPr>
                <w:sz w:val="20"/>
              </w:rPr>
            </w:pPr>
          </w:p>
        </w:tc>
      </w:tr>
      <w:tr w:rsidR="00533FD5" w:rsidRPr="00357596" w:rsidTr="00533FD5">
        <w:tblPrEx>
          <w:tblCellMar>
            <w:bottom w:w="0" w:type="dxa"/>
          </w:tblCellMar>
        </w:tblPrEx>
        <w:tc>
          <w:tcPr>
            <w:tcW w:w="2367" w:type="pct"/>
            <w:gridSpan w:val="2"/>
          </w:tcPr>
          <w:p w:rsidR="00533FD5" w:rsidRPr="00357596" w:rsidRDefault="00533FD5" w:rsidP="00160284">
            <w:pPr>
              <w:jc w:val="both"/>
              <w:rPr>
                <w:sz w:val="20"/>
              </w:rPr>
            </w:pPr>
            <w:r w:rsidRPr="00357596">
              <w:rPr>
                <w:sz w:val="20"/>
              </w:rPr>
              <w:t>July 3, 2020</w:t>
            </w:r>
          </w:p>
          <w:p w:rsidR="00533FD5" w:rsidRPr="00357596" w:rsidRDefault="00533FD5" w:rsidP="00C66A35">
            <w:pPr>
              <w:jc w:val="both"/>
              <w:rPr>
                <w:sz w:val="20"/>
              </w:rPr>
            </w:pPr>
            <w:r w:rsidRPr="00357596">
              <w:rPr>
                <w:sz w:val="20"/>
              </w:rPr>
              <w:t>Supreme Court of Canada</w:t>
            </w:r>
          </w:p>
        </w:tc>
        <w:tc>
          <w:tcPr>
            <w:tcW w:w="267" w:type="pct"/>
          </w:tcPr>
          <w:p w:rsidR="00533FD5" w:rsidRPr="00357596" w:rsidRDefault="00533FD5" w:rsidP="00160284">
            <w:pPr>
              <w:jc w:val="both"/>
              <w:rPr>
                <w:sz w:val="20"/>
              </w:rPr>
            </w:pPr>
          </w:p>
        </w:tc>
        <w:tc>
          <w:tcPr>
            <w:tcW w:w="2366" w:type="pct"/>
            <w:gridSpan w:val="2"/>
          </w:tcPr>
          <w:p w:rsidR="00533FD5" w:rsidRPr="00357596" w:rsidRDefault="00533FD5" w:rsidP="00160284">
            <w:pPr>
              <w:jc w:val="both"/>
              <w:rPr>
                <w:sz w:val="20"/>
              </w:rPr>
            </w:pPr>
            <w:r w:rsidRPr="00357596">
              <w:rPr>
                <w:sz w:val="20"/>
              </w:rPr>
              <w:t>Application for leave to appeal filed</w:t>
            </w:r>
          </w:p>
          <w:p w:rsidR="00533FD5" w:rsidRPr="00357596" w:rsidRDefault="00533FD5" w:rsidP="00160284">
            <w:pPr>
              <w:jc w:val="both"/>
              <w:rPr>
                <w:sz w:val="20"/>
              </w:rPr>
            </w:pPr>
          </w:p>
        </w:tc>
      </w:tr>
    </w:tbl>
    <w:p w:rsidR="00533FD5" w:rsidRPr="00357596" w:rsidRDefault="00533FD5" w:rsidP="00160284">
      <w:pPr>
        <w:jc w:val="both"/>
        <w:rPr>
          <w:sz w:val="20"/>
        </w:rPr>
      </w:pPr>
    </w:p>
    <w:p w:rsidR="00C66A35" w:rsidRPr="00357596" w:rsidRDefault="00C66A35" w:rsidP="00160284">
      <w:pPr>
        <w:jc w:val="both"/>
        <w:rPr>
          <w:sz w:val="20"/>
        </w:rPr>
      </w:pPr>
      <w:r w:rsidRPr="00357596">
        <w:rPr>
          <w:sz w:val="20"/>
        </w:rPr>
        <w:pict>
          <v:rect id="_x0000_i1029" style="width:2in;height:1pt" o:hrpct="0" o:hralign="center" o:hrstd="t" o:hrnoshade="t" o:hr="t" fillcolor="black [3213]" stroked="f"/>
        </w:pict>
      </w:r>
    </w:p>
    <w:p w:rsidR="00C66A35" w:rsidRPr="00357596" w:rsidRDefault="00C66A35" w:rsidP="00160284">
      <w:pPr>
        <w:jc w:val="both"/>
        <w:rPr>
          <w:sz w:val="20"/>
        </w:rPr>
      </w:pPr>
    </w:p>
    <w:tbl>
      <w:tblPr>
        <w:tblW w:w="5000" w:type="pct"/>
        <w:tblLayout w:type="fixed"/>
        <w:tblCellMar>
          <w:left w:w="0" w:type="dxa"/>
          <w:bottom w:w="99" w:type="dxa"/>
          <w:right w:w="0" w:type="dxa"/>
        </w:tblCellMar>
        <w:tblLook w:val="04A0" w:firstRow="1" w:lastRow="0" w:firstColumn="1" w:lastColumn="0" w:noHBand="0" w:noVBand="1"/>
      </w:tblPr>
      <w:tblGrid>
        <w:gridCol w:w="1005"/>
        <w:gridCol w:w="3426"/>
        <w:gridCol w:w="500"/>
        <w:gridCol w:w="4339"/>
        <w:gridCol w:w="90"/>
      </w:tblGrid>
      <w:tr w:rsidR="00533FD5" w:rsidRPr="00357596" w:rsidTr="00533FD5">
        <w:trPr>
          <w:gridAfter w:val="1"/>
          <w:wAfter w:w="48" w:type="pct"/>
        </w:trPr>
        <w:tc>
          <w:tcPr>
            <w:tcW w:w="537" w:type="pct"/>
          </w:tcPr>
          <w:p w:rsidR="00533FD5" w:rsidRPr="00357596" w:rsidRDefault="00533FD5" w:rsidP="00160284">
            <w:pPr>
              <w:jc w:val="both"/>
              <w:rPr>
                <w:sz w:val="20"/>
              </w:rPr>
            </w:pPr>
            <w:r w:rsidRPr="00357596">
              <w:rPr>
                <w:rStyle w:val="SCCFileNumberChar"/>
                <w:sz w:val="20"/>
                <w:szCs w:val="20"/>
              </w:rPr>
              <w:t>39243</w:t>
            </w:r>
          </w:p>
        </w:tc>
        <w:tc>
          <w:tcPr>
            <w:tcW w:w="4415" w:type="pct"/>
            <w:gridSpan w:val="3"/>
          </w:tcPr>
          <w:p w:rsidR="00533FD5" w:rsidRPr="00357596" w:rsidRDefault="00533FD5" w:rsidP="00160284">
            <w:pPr>
              <w:pStyle w:val="SCCLsocParty"/>
              <w:jc w:val="both"/>
              <w:rPr>
                <w:b/>
                <w:sz w:val="20"/>
                <w:szCs w:val="20"/>
              </w:rPr>
            </w:pPr>
            <w:r w:rsidRPr="00357596">
              <w:rPr>
                <w:b/>
                <w:sz w:val="20"/>
                <w:szCs w:val="20"/>
              </w:rPr>
              <w:t>Sa Majesté la Reine c. Stewart Pascal</w:t>
            </w:r>
          </w:p>
          <w:p w:rsidR="00533FD5" w:rsidRPr="00357596" w:rsidRDefault="00533FD5" w:rsidP="00160284">
            <w:pPr>
              <w:jc w:val="both"/>
              <w:rPr>
                <w:sz w:val="20"/>
              </w:rPr>
            </w:pPr>
            <w:r w:rsidRPr="00357596">
              <w:rPr>
                <w:sz w:val="20"/>
              </w:rPr>
              <w:t>(Ont.) (Criminelle) (Sur autorisation)</w:t>
            </w:r>
          </w:p>
        </w:tc>
      </w:tr>
      <w:tr w:rsidR="00533FD5" w:rsidRPr="00357596" w:rsidTr="00533FD5">
        <w:trPr>
          <w:gridAfter w:val="1"/>
          <w:wAfter w:w="48" w:type="pct"/>
        </w:trPr>
        <w:tc>
          <w:tcPr>
            <w:tcW w:w="4952" w:type="pct"/>
            <w:gridSpan w:val="4"/>
          </w:tcPr>
          <w:p w:rsidR="00533FD5" w:rsidRPr="00357596" w:rsidRDefault="00533FD5" w:rsidP="00160284">
            <w:pPr>
              <w:pStyle w:val="SCCBanSummary"/>
              <w:rPr>
                <w:sz w:val="20"/>
                <w:szCs w:val="20"/>
                <w:lang w:val="fr-CA"/>
              </w:rPr>
            </w:pPr>
            <w:r w:rsidRPr="00357596">
              <w:rPr>
                <w:sz w:val="20"/>
                <w:szCs w:val="20"/>
                <w:lang w:val="fr-CA"/>
              </w:rPr>
              <w:t>(Ordonnance de non</w:t>
            </w:r>
            <w:r w:rsidRPr="00357596">
              <w:rPr>
                <w:sz w:val="20"/>
                <w:szCs w:val="20"/>
                <w:lang w:val="fr-CA"/>
              </w:rPr>
              <w:noBreakHyphen/>
              <w:t>publication dans le dossier)</w:t>
            </w:r>
          </w:p>
          <w:p w:rsidR="00533FD5" w:rsidRPr="00357596" w:rsidRDefault="00533FD5" w:rsidP="00160284">
            <w:pPr>
              <w:jc w:val="both"/>
              <w:rPr>
                <w:sz w:val="20"/>
                <w:lang w:val="fr-CA"/>
              </w:rPr>
            </w:pPr>
          </w:p>
          <w:p w:rsidR="00533FD5" w:rsidRPr="00357596" w:rsidRDefault="00533FD5" w:rsidP="00160284">
            <w:pPr>
              <w:jc w:val="both"/>
              <w:rPr>
                <w:sz w:val="20"/>
                <w:lang w:val="fr-CA"/>
              </w:rPr>
            </w:pPr>
            <w:r w:rsidRPr="00357596">
              <w:rPr>
                <w:sz w:val="20"/>
                <w:lang w:val="fr-CA"/>
              </w:rPr>
              <w:t>Droit criminel — Preuve — Communication de la preuve — La Couronne a</w:t>
            </w:r>
            <w:r w:rsidRPr="00357596">
              <w:rPr>
                <w:sz w:val="20"/>
                <w:lang w:val="fr-CA"/>
              </w:rPr>
              <w:noBreakHyphen/>
              <w:t>t</w:t>
            </w:r>
            <w:r w:rsidRPr="00357596">
              <w:rPr>
                <w:sz w:val="20"/>
                <w:lang w:val="fr-CA"/>
              </w:rPr>
              <w:noBreakHyphen/>
              <w:t>elle l’obligation, à titre de partie principale, de communiquer le casier judiciaire de son témoin et les accusations en instance portées contre lui? — Fardeau de réclamer la communication de la preuve incombant à l’avocat de la défense — L’obligation de communiquer la preuve va</w:t>
            </w:r>
            <w:r w:rsidRPr="00357596">
              <w:rPr>
                <w:sz w:val="20"/>
                <w:lang w:val="fr-CA"/>
              </w:rPr>
              <w:noBreakHyphen/>
              <w:t>t</w:t>
            </w:r>
            <w:r w:rsidRPr="00357596">
              <w:rPr>
                <w:sz w:val="20"/>
                <w:lang w:val="fr-CA"/>
              </w:rPr>
              <w:noBreakHyphen/>
              <w:t>elle à l’encontre de la jurisprudence applicable? — Le casier judiciaire du témoin et les accusations en instance portées contre lui auraient</w:t>
            </w:r>
            <w:r w:rsidRPr="00357596">
              <w:rPr>
                <w:sz w:val="20"/>
                <w:lang w:val="fr-CA"/>
              </w:rPr>
              <w:noBreakHyphen/>
              <w:t>ils pu avoir une incidence sur le verdict et l’équité du procès? — La Cour d’appel a</w:t>
            </w:r>
            <w:r w:rsidRPr="00357596">
              <w:rPr>
                <w:sz w:val="20"/>
                <w:lang w:val="fr-CA"/>
              </w:rPr>
              <w:noBreakHyphen/>
              <w:t>t</w:t>
            </w:r>
            <w:r w:rsidRPr="00357596">
              <w:rPr>
                <w:sz w:val="20"/>
                <w:lang w:val="fr-CA"/>
              </w:rPr>
              <w:noBreakHyphen/>
              <w:t>elle omis d’évaluer les renseignements non communiqués par rapport au dossier d’instruction dans son ensemble?</w:t>
            </w:r>
          </w:p>
        </w:tc>
      </w:tr>
      <w:tr w:rsidR="00533FD5" w:rsidRPr="00357596" w:rsidTr="00533FD5">
        <w:trPr>
          <w:gridAfter w:val="1"/>
          <w:wAfter w:w="48" w:type="pct"/>
        </w:trPr>
        <w:tc>
          <w:tcPr>
            <w:tcW w:w="4952" w:type="pct"/>
            <w:gridSpan w:val="4"/>
          </w:tcPr>
          <w:p w:rsidR="00533FD5" w:rsidRPr="00357596" w:rsidRDefault="00533FD5" w:rsidP="00160284">
            <w:pPr>
              <w:jc w:val="both"/>
              <w:rPr>
                <w:sz w:val="20"/>
                <w:lang w:val="fr-CA"/>
              </w:rPr>
            </w:pPr>
          </w:p>
        </w:tc>
      </w:tr>
      <w:tr w:rsidR="00533FD5" w:rsidRPr="00357596" w:rsidTr="00533FD5">
        <w:trPr>
          <w:gridAfter w:val="1"/>
          <w:wAfter w:w="48" w:type="pct"/>
        </w:trPr>
        <w:tc>
          <w:tcPr>
            <w:tcW w:w="4952" w:type="pct"/>
            <w:gridSpan w:val="4"/>
          </w:tcPr>
          <w:p w:rsidR="00533FD5" w:rsidRPr="00357596" w:rsidRDefault="00533FD5" w:rsidP="00160284">
            <w:pPr>
              <w:jc w:val="both"/>
              <w:rPr>
                <w:sz w:val="20"/>
                <w:lang w:val="fr-CA"/>
              </w:rPr>
            </w:pPr>
            <w:r w:rsidRPr="00357596">
              <w:rPr>
                <w:sz w:val="20"/>
                <w:lang w:val="fr-CA"/>
              </w:rPr>
              <w:t>S.S. et B.S. ont affirmé aux policiers que M. Pascal et un autre homme les avaient agressées sexuellement dans leur chambre de motel, mais elles ont mis un terme aux agressions et les hommes sont partis. Les policiers ont répondu à un deuxième appel au motel cette nuit</w:t>
            </w:r>
            <w:r w:rsidRPr="00357596">
              <w:rPr>
                <w:sz w:val="20"/>
                <w:lang w:val="fr-CA"/>
              </w:rPr>
              <w:noBreakHyphen/>
              <w:t>là et S.S. leur a dit que M. Pascal avait commis une agression sexuelle sur un quai à côté du motel. La preuve de la Couronne reposait sur un témoin, qui a fait une déclaration à la police peu après l’agression. Dix</w:t>
            </w:r>
            <w:r w:rsidRPr="00357596">
              <w:rPr>
                <w:sz w:val="20"/>
                <w:lang w:val="fr-CA"/>
              </w:rPr>
              <w:noBreakHyphen/>
              <w:t>sept mois plus tard, le premier jour du procès, elle a fait à la police une déclaration plus incriminante. Sa déposition au procès correspondait à sa seconde déclaration. La procureure de la Couronne n’a pas révélé que le témoin avait un casier judiciaire et que des accusations en instance étaient portées contre elle quand elle a témoigné. M. Pascal a été reconnu coupable d’agression sexuelle causant des lésions corporelles. À l’issue du procès, les accusations contre le témoin ont été retirées et elle a plaidé coupable à d’autres accusations. Au moment de l’appel, de nouvelles accusations en instance étaient portées contre elle. La Cour d’appel a accueilli un appel et ordonné la tenue d’un nouveau procès.</w:t>
            </w:r>
          </w:p>
          <w:p w:rsidR="00533FD5" w:rsidRPr="00357596" w:rsidRDefault="00533FD5" w:rsidP="00160284">
            <w:pPr>
              <w:jc w:val="both"/>
              <w:rPr>
                <w:sz w:val="20"/>
                <w:lang w:val="fr-CA"/>
              </w:rPr>
            </w:pPr>
          </w:p>
        </w:tc>
      </w:tr>
      <w:tr w:rsidR="00533FD5" w:rsidRPr="00357596" w:rsidTr="00533FD5">
        <w:tblPrEx>
          <w:tblCellMar>
            <w:bottom w:w="0" w:type="dxa"/>
          </w:tblCellMar>
        </w:tblPrEx>
        <w:tc>
          <w:tcPr>
            <w:tcW w:w="2367" w:type="pct"/>
            <w:gridSpan w:val="2"/>
          </w:tcPr>
          <w:p w:rsidR="00533FD5" w:rsidRPr="00357596" w:rsidRDefault="00533FD5" w:rsidP="00160284">
            <w:pPr>
              <w:jc w:val="both"/>
              <w:rPr>
                <w:sz w:val="20"/>
                <w:lang w:val="fr-CA"/>
              </w:rPr>
            </w:pPr>
            <w:r w:rsidRPr="00357596">
              <w:rPr>
                <w:sz w:val="20"/>
                <w:lang w:val="fr-CA"/>
              </w:rPr>
              <w:lastRenderedPageBreak/>
              <w:t>8 janvier 2009</w:t>
            </w:r>
          </w:p>
          <w:p w:rsidR="00533FD5" w:rsidRPr="00357596" w:rsidRDefault="00533FD5" w:rsidP="00160284">
            <w:pPr>
              <w:jc w:val="both"/>
              <w:rPr>
                <w:sz w:val="20"/>
                <w:lang w:val="fr-CA"/>
              </w:rPr>
            </w:pPr>
            <w:r w:rsidRPr="00357596">
              <w:rPr>
                <w:sz w:val="20"/>
                <w:lang w:val="fr-CA"/>
              </w:rPr>
              <w:t xml:space="preserve">Cour supérieure de justice de l’Ontario </w:t>
            </w:r>
          </w:p>
          <w:p w:rsidR="00533FD5" w:rsidRPr="00357596" w:rsidRDefault="00533FD5" w:rsidP="00160284">
            <w:pPr>
              <w:jc w:val="both"/>
              <w:rPr>
                <w:sz w:val="20"/>
              </w:rPr>
            </w:pPr>
            <w:r w:rsidRPr="00357596">
              <w:rPr>
                <w:sz w:val="20"/>
              </w:rPr>
              <w:t xml:space="preserve">(Juge Platana) </w:t>
            </w:r>
          </w:p>
          <w:p w:rsidR="00533FD5" w:rsidRPr="00357596" w:rsidRDefault="00533FD5" w:rsidP="00160284">
            <w:pPr>
              <w:jc w:val="both"/>
              <w:rPr>
                <w:sz w:val="20"/>
              </w:rPr>
            </w:pPr>
            <w:hyperlink r:id="rId21" w:history="1">
              <w:r w:rsidRPr="00357596">
                <w:rPr>
                  <w:rStyle w:val="Hyperlink"/>
                  <w:sz w:val="20"/>
                </w:rPr>
                <w:t>2010 ONSC 3187</w:t>
              </w:r>
            </w:hyperlink>
          </w:p>
          <w:p w:rsidR="00533FD5" w:rsidRPr="00357596" w:rsidRDefault="00533FD5" w:rsidP="00160284">
            <w:pPr>
              <w:jc w:val="both"/>
              <w:rPr>
                <w:sz w:val="20"/>
              </w:rPr>
            </w:pPr>
          </w:p>
        </w:tc>
        <w:tc>
          <w:tcPr>
            <w:tcW w:w="267" w:type="pct"/>
          </w:tcPr>
          <w:p w:rsidR="00533FD5" w:rsidRPr="00357596" w:rsidRDefault="00533FD5" w:rsidP="00160284">
            <w:pPr>
              <w:jc w:val="both"/>
              <w:rPr>
                <w:sz w:val="20"/>
              </w:rPr>
            </w:pPr>
          </w:p>
        </w:tc>
        <w:tc>
          <w:tcPr>
            <w:tcW w:w="2366" w:type="pct"/>
            <w:gridSpan w:val="2"/>
          </w:tcPr>
          <w:p w:rsidR="00533FD5" w:rsidRPr="00357596" w:rsidRDefault="00533FD5" w:rsidP="00160284">
            <w:pPr>
              <w:jc w:val="both"/>
              <w:rPr>
                <w:sz w:val="20"/>
                <w:lang w:val="fr-CA"/>
              </w:rPr>
            </w:pPr>
            <w:r w:rsidRPr="00357596">
              <w:rPr>
                <w:sz w:val="20"/>
                <w:lang w:val="fr-CA"/>
              </w:rPr>
              <w:t xml:space="preserve">Déclaration de culpabilité pour agression sexuelle causant des lésions corporelles </w:t>
            </w:r>
          </w:p>
          <w:p w:rsidR="00533FD5" w:rsidRPr="00357596" w:rsidRDefault="00533FD5" w:rsidP="00160284">
            <w:pPr>
              <w:jc w:val="both"/>
              <w:rPr>
                <w:sz w:val="20"/>
                <w:lang w:val="fr-CA"/>
              </w:rPr>
            </w:pPr>
          </w:p>
        </w:tc>
      </w:tr>
      <w:tr w:rsidR="00533FD5" w:rsidRPr="00357596" w:rsidTr="00533FD5">
        <w:tblPrEx>
          <w:tblCellMar>
            <w:bottom w:w="0" w:type="dxa"/>
          </w:tblCellMar>
        </w:tblPrEx>
        <w:tc>
          <w:tcPr>
            <w:tcW w:w="2367" w:type="pct"/>
            <w:gridSpan w:val="2"/>
          </w:tcPr>
          <w:p w:rsidR="00533FD5" w:rsidRPr="00357596" w:rsidRDefault="00533FD5" w:rsidP="00160284">
            <w:pPr>
              <w:jc w:val="both"/>
              <w:rPr>
                <w:sz w:val="20"/>
                <w:lang w:val="fr-CA"/>
              </w:rPr>
            </w:pPr>
            <w:r w:rsidRPr="00357596">
              <w:rPr>
                <w:sz w:val="20"/>
                <w:lang w:val="fr-CA"/>
              </w:rPr>
              <w:t>6 mai 2020</w:t>
            </w:r>
          </w:p>
          <w:p w:rsidR="00533FD5" w:rsidRPr="00357596" w:rsidRDefault="00533FD5" w:rsidP="00160284">
            <w:pPr>
              <w:jc w:val="both"/>
              <w:rPr>
                <w:sz w:val="20"/>
                <w:lang w:val="fr-CA"/>
              </w:rPr>
            </w:pPr>
            <w:r w:rsidRPr="00357596">
              <w:rPr>
                <w:sz w:val="20"/>
                <w:lang w:val="fr-CA"/>
              </w:rPr>
              <w:t>Cour d’appel de l’Ontario</w:t>
            </w:r>
          </w:p>
          <w:p w:rsidR="00533FD5" w:rsidRPr="00357596" w:rsidRDefault="00533FD5" w:rsidP="00160284">
            <w:pPr>
              <w:jc w:val="both"/>
              <w:rPr>
                <w:sz w:val="20"/>
                <w:lang w:val="fr-CA"/>
              </w:rPr>
            </w:pPr>
            <w:r w:rsidRPr="00357596">
              <w:rPr>
                <w:sz w:val="20"/>
                <w:lang w:val="fr-CA"/>
              </w:rPr>
              <w:t>(Juges Watt, Miller et Fairburn)</w:t>
            </w:r>
          </w:p>
          <w:p w:rsidR="00533FD5" w:rsidRPr="00357596" w:rsidRDefault="00533FD5" w:rsidP="00160284">
            <w:pPr>
              <w:jc w:val="both"/>
              <w:rPr>
                <w:sz w:val="20"/>
              </w:rPr>
            </w:pPr>
            <w:hyperlink r:id="rId22" w:history="1">
              <w:r w:rsidRPr="00357596">
                <w:rPr>
                  <w:rStyle w:val="Hyperlink"/>
                  <w:sz w:val="20"/>
                </w:rPr>
                <w:t>2020 ONCA 287</w:t>
              </w:r>
            </w:hyperlink>
            <w:r w:rsidRPr="00357596">
              <w:rPr>
                <w:sz w:val="20"/>
              </w:rPr>
              <w:t>; C53388</w:t>
            </w:r>
          </w:p>
          <w:p w:rsidR="00533FD5" w:rsidRPr="00357596" w:rsidRDefault="00533FD5" w:rsidP="00160284">
            <w:pPr>
              <w:jc w:val="both"/>
              <w:rPr>
                <w:sz w:val="20"/>
              </w:rPr>
            </w:pPr>
          </w:p>
        </w:tc>
        <w:tc>
          <w:tcPr>
            <w:tcW w:w="267" w:type="pct"/>
          </w:tcPr>
          <w:p w:rsidR="00533FD5" w:rsidRPr="00357596" w:rsidRDefault="00533FD5" w:rsidP="00160284">
            <w:pPr>
              <w:jc w:val="both"/>
              <w:rPr>
                <w:sz w:val="20"/>
              </w:rPr>
            </w:pPr>
          </w:p>
        </w:tc>
        <w:tc>
          <w:tcPr>
            <w:tcW w:w="2366" w:type="pct"/>
            <w:gridSpan w:val="2"/>
          </w:tcPr>
          <w:p w:rsidR="00533FD5" w:rsidRPr="00357596" w:rsidRDefault="00533FD5" w:rsidP="00160284">
            <w:pPr>
              <w:jc w:val="both"/>
              <w:rPr>
                <w:sz w:val="20"/>
                <w:lang w:val="fr-CA"/>
              </w:rPr>
            </w:pPr>
            <w:r w:rsidRPr="00357596">
              <w:rPr>
                <w:sz w:val="20"/>
                <w:lang w:val="fr-CA"/>
              </w:rPr>
              <w:t xml:space="preserve">Appel de la déclaration de culpabilité accueilli, nouveau procès ordonné </w:t>
            </w:r>
          </w:p>
          <w:p w:rsidR="00533FD5" w:rsidRPr="00357596" w:rsidRDefault="00533FD5" w:rsidP="00160284">
            <w:pPr>
              <w:jc w:val="both"/>
              <w:rPr>
                <w:sz w:val="20"/>
                <w:lang w:val="fr-CA"/>
              </w:rPr>
            </w:pPr>
          </w:p>
        </w:tc>
      </w:tr>
      <w:tr w:rsidR="00533FD5" w:rsidRPr="00357596" w:rsidTr="00533FD5">
        <w:tblPrEx>
          <w:tblCellMar>
            <w:bottom w:w="0" w:type="dxa"/>
          </w:tblCellMar>
        </w:tblPrEx>
        <w:tc>
          <w:tcPr>
            <w:tcW w:w="2367" w:type="pct"/>
            <w:gridSpan w:val="2"/>
          </w:tcPr>
          <w:p w:rsidR="00533FD5" w:rsidRPr="00357596" w:rsidRDefault="00533FD5" w:rsidP="00160284">
            <w:pPr>
              <w:jc w:val="both"/>
              <w:rPr>
                <w:sz w:val="20"/>
              </w:rPr>
            </w:pPr>
            <w:r w:rsidRPr="00357596">
              <w:rPr>
                <w:sz w:val="20"/>
              </w:rPr>
              <w:t>3 juillet 2020</w:t>
            </w:r>
          </w:p>
          <w:p w:rsidR="00533FD5" w:rsidRPr="00357596" w:rsidRDefault="00533FD5" w:rsidP="00C66A35">
            <w:pPr>
              <w:jc w:val="both"/>
              <w:rPr>
                <w:sz w:val="20"/>
              </w:rPr>
            </w:pPr>
            <w:r w:rsidRPr="00357596">
              <w:rPr>
                <w:sz w:val="20"/>
              </w:rPr>
              <w:t>Cour suprême du Canada</w:t>
            </w:r>
          </w:p>
        </w:tc>
        <w:tc>
          <w:tcPr>
            <w:tcW w:w="267" w:type="pct"/>
          </w:tcPr>
          <w:p w:rsidR="00533FD5" w:rsidRPr="00357596" w:rsidRDefault="00533FD5" w:rsidP="00160284">
            <w:pPr>
              <w:jc w:val="both"/>
              <w:rPr>
                <w:sz w:val="20"/>
              </w:rPr>
            </w:pPr>
          </w:p>
        </w:tc>
        <w:tc>
          <w:tcPr>
            <w:tcW w:w="2366" w:type="pct"/>
            <w:gridSpan w:val="2"/>
          </w:tcPr>
          <w:p w:rsidR="00533FD5" w:rsidRPr="00357596" w:rsidRDefault="00533FD5" w:rsidP="00160284">
            <w:pPr>
              <w:jc w:val="both"/>
              <w:rPr>
                <w:sz w:val="20"/>
                <w:lang w:val="fr-CA"/>
              </w:rPr>
            </w:pPr>
            <w:r w:rsidRPr="00357596">
              <w:rPr>
                <w:sz w:val="20"/>
                <w:lang w:val="fr-CA"/>
              </w:rPr>
              <w:t xml:space="preserve">Dépôt de la demande d’autorisation d’appel </w:t>
            </w:r>
          </w:p>
          <w:p w:rsidR="00533FD5" w:rsidRPr="00357596" w:rsidRDefault="00533FD5" w:rsidP="00160284">
            <w:pPr>
              <w:jc w:val="both"/>
              <w:rPr>
                <w:sz w:val="20"/>
                <w:lang w:val="fr-CA"/>
              </w:rPr>
            </w:pPr>
          </w:p>
        </w:tc>
      </w:tr>
    </w:tbl>
    <w:p w:rsidR="00533FD5" w:rsidRPr="00357596" w:rsidRDefault="00533FD5" w:rsidP="00160284">
      <w:pPr>
        <w:jc w:val="both"/>
        <w:rPr>
          <w:sz w:val="20"/>
          <w:lang w:val="fr-CA"/>
        </w:rPr>
      </w:pPr>
    </w:p>
    <w:p w:rsidR="005A5176" w:rsidRPr="00357596" w:rsidRDefault="00C66A35" w:rsidP="00160284">
      <w:pPr>
        <w:widowControl w:val="0"/>
        <w:jc w:val="both"/>
        <w:rPr>
          <w:sz w:val="20"/>
          <w:lang w:val="fr-CA"/>
        </w:rPr>
      </w:pPr>
      <w:r w:rsidRPr="00357596">
        <w:rPr>
          <w:sz w:val="20"/>
        </w:rPr>
        <w:pict>
          <v:rect id="_x0000_i1030" style="width:2in;height:1pt" o:hrpct="0" o:hralign="center" o:hrstd="t" o:hrnoshade="t" o:hr="t" fillcolor="black [3213]" stroked="f"/>
        </w:pict>
      </w:r>
    </w:p>
    <w:p w:rsidR="001319D2" w:rsidRPr="00357596" w:rsidRDefault="001319D2"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lang w:val="en-CA"/>
              </w:rPr>
            </w:pPr>
            <w:r w:rsidRPr="00357596">
              <w:rPr>
                <w:rStyle w:val="SCCFileNumberChar"/>
                <w:sz w:val="20"/>
                <w:szCs w:val="20"/>
              </w:rPr>
              <w:t>39307</w:t>
            </w:r>
          </w:p>
        </w:tc>
        <w:tc>
          <w:tcPr>
            <w:tcW w:w="4457" w:type="pct"/>
            <w:gridSpan w:val="3"/>
          </w:tcPr>
          <w:p w:rsidR="00533FD5" w:rsidRPr="00357596" w:rsidRDefault="00533FD5" w:rsidP="00160284">
            <w:pPr>
              <w:pStyle w:val="SCCLsocParty"/>
              <w:jc w:val="both"/>
              <w:rPr>
                <w:b/>
                <w:sz w:val="20"/>
                <w:szCs w:val="20"/>
              </w:rPr>
            </w:pPr>
            <w:r w:rsidRPr="00357596">
              <w:rPr>
                <w:b/>
                <w:sz w:val="20"/>
                <w:szCs w:val="20"/>
              </w:rPr>
              <w:t>Michel Côté v. Pierre Moreau, Attorney General of Quebec, Association professionnelle des ingénieurs du gouvernement du Québec</w:t>
            </w:r>
          </w:p>
          <w:p w:rsidR="00533FD5" w:rsidRPr="00357596" w:rsidRDefault="00533FD5" w:rsidP="00C66A35">
            <w:pPr>
              <w:jc w:val="both"/>
              <w:rPr>
                <w:sz w:val="20"/>
                <w:lang w:val="en-CA"/>
              </w:rPr>
            </w:pPr>
            <w:r w:rsidRPr="00357596">
              <w:rPr>
                <w:sz w:val="20"/>
                <w:lang w:val="en-CA"/>
              </w:rPr>
              <w:t>(Que.) (Civil) (By Leave)</w:t>
            </w:r>
          </w:p>
        </w:tc>
      </w:tr>
      <w:tr w:rsidR="00533FD5" w:rsidRPr="00357596" w:rsidTr="00533FD5">
        <w:tc>
          <w:tcPr>
            <w:tcW w:w="5000" w:type="pct"/>
            <w:gridSpan w:val="4"/>
          </w:tcPr>
          <w:p w:rsidR="00533FD5" w:rsidRPr="00357596" w:rsidRDefault="00533FD5" w:rsidP="00160284">
            <w:pPr>
              <w:jc w:val="both"/>
              <w:rPr>
                <w:sz w:val="20"/>
                <w:lang w:val="en-CA"/>
              </w:rPr>
            </w:pPr>
            <w:r w:rsidRPr="00357596">
              <w:rPr>
                <w:i/>
                <w:sz w:val="20"/>
                <w:lang w:val="en-CA"/>
              </w:rPr>
              <w:t xml:space="preserve">Charter of Rights </w:t>
            </w:r>
            <w:r w:rsidRPr="00357596">
              <w:rPr>
                <w:sz w:val="20"/>
                <w:lang w:val="en-CA"/>
              </w:rPr>
              <w:t xml:space="preserve">— Employment law — Contracts — Whether, under s. 2 of Canadian Charter, unionized employee may associate with his or her employer by individual contract — Whether private individual contract between unionized employee and his or her employer may be entered into without consent of union representing employee at time of signing — Whether private individual contract between unionized employee and his or her employer is governed by art. 1458 of </w:t>
            </w:r>
            <w:r w:rsidRPr="00357596">
              <w:rPr>
                <w:i/>
                <w:sz w:val="20"/>
                <w:lang w:val="en-CA"/>
              </w:rPr>
              <w:t>Civil Code of Québec</w:t>
            </w:r>
            <w:r w:rsidRPr="00357596">
              <w:rPr>
                <w:sz w:val="20"/>
                <w:lang w:val="en-CA"/>
              </w:rPr>
              <w:t xml:space="preserve"> — Whether private individual contract between unionized employee and his or her employer may be entered into even if employer is government body — Whether litigation concerning private individual contract between unionized employee and his or her employer may be heard by ordinary Canadian civil courts — Whether litigation concerning private individual contract between unionized employee and his or her employer must be heard by ordinary Canadian civil courts.</w:t>
            </w:r>
          </w:p>
        </w:tc>
      </w:tr>
      <w:tr w:rsidR="00533FD5" w:rsidRPr="00357596" w:rsidTr="00533FD5">
        <w:tc>
          <w:tcPr>
            <w:tcW w:w="5000" w:type="pct"/>
            <w:gridSpan w:val="4"/>
          </w:tcPr>
          <w:p w:rsidR="00533FD5" w:rsidRPr="00357596" w:rsidRDefault="00533FD5" w:rsidP="00160284">
            <w:pPr>
              <w:jc w:val="both"/>
              <w:rPr>
                <w:sz w:val="20"/>
                <w:lang w:val="en-CA"/>
              </w:rPr>
            </w:pPr>
          </w:p>
          <w:p w:rsidR="00533FD5" w:rsidRPr="00357596" w:rsidRDefault="00533FD5" w:rsidP="00160284">
            <w:pPr>
              <w:jc w:val="both"/>
              <w:rPr>
                <w:sz w:val="20"/>
                <w:lang w:val="en-CA"/>
              </w:rPr>
            </w:pPr>
            <w:r w:rsidRPr="00357596">
              <w:rPr>
                <w:sz w:val="20"/>
                <w:lang w:val="en-CA"/>
              </w:rPr>
              <w:t>The applicant, Mr. Côté, brought an action in damages against the respondents Mr. Moreau and Attorney General of Quebec in connection with his dismissal in 2015. Mr. Moreau and the Attorney General applied to have the proceeding dismissed.</w:t>
            </w:r>
          </w:p>
          <w:p w:rsidR="00533FD5" w:rsidRPr="00357596" w:rsidRDefault="00533FD5" w:rsidP="00160284">
            <w:pPr>
              <w:jc w:val="both"/>
              <w:rPr>
                <w:sz w:val="20"/>
                <w:lang w:val="en-CA"/>
              </w:rPr>
            </w:pPr>
          </w:p>
          <w:p w:rsidR="00533FD5" w:rsidRPr="00357596" w:rsidRDefault="00533FD5" w:rsidP="00160284">
            <w:pPr>
              <w:jc w:val="both"/>
              <w:rPr>
                <w:sz w:val="20"/>
                <w:lang w:val="en-CA"/>
              </w:rPr>
            </w:pPr>
            <w:r w:rsidRPr="00357596">
              <w:rPr>
                <w:sz w:val="20"/>
                <w:lang w:val="en-CA"/>
              </w:rPr>
              <w:t xml:space="preserve">The Superior Court held that Mr. Côté’s action was wrong in law, and that it lacked jurisdiction to rule on the action. The application to dismiss for abuse of procedure and lack of jurisdiction brought by Mr. Moreau and the Attorney General </w:t>
            </w:r>
            <w:proofErr w:type="gramStart"/>
            <w:r w:rsidRPr="00357596">
              <w:rPr>
                <w:sz w:val="20"/>
                <w:lang w:val="en-CA"/>
              </w:rPr>
              <w:t>was accordingly granted</w:t>
            </w:r>
            <w:proofErr w:type="gramEnd"/>
            <w:r w:rsidRPr="00357596">
              <w:rPr>
                <w:sz w:val="20"/>
                <w:lang w:val="en-CA"/>
              </w:rPr>
              <w:t xml:space="preserve">. The Court of Appeal unanimously held that the application for leave to appeal raised no issue that merited </w:t>
            </w:r>
            <w:proofErr w:type="gramStart"/>
            <w:r w:rsidRPr="00357596">
              <w:rPr>
                <w:sz w:val="20"/>
                <w:lang w:val="en-CA"/>
              </w:rPr>
              <w:t>being submitted</w:t>
            </w:r>
            <w:proofErr w:type="gramEnd"/>
            <w:r w:rsidRPr="00357596">
              <w:rPr>
                <w:sz w:val="20"/>
                <w:lang w:val="en-CA"/>
              </w:rPr>
              <w:t xml:space="preserve"> to it and that there was no reviewable error in the Superior Court’s judgment. The appeal </w:t>
            </w:r>
            <w:proofErr w:type="gramStart"/>
            <w:r w:rsidRPr="00357596">
              <w:rPr>
                <w:sz w:val="20"/>
                <w:lang w:val="en-CA"/>
              </w:rPr>
              <w:t>was therefore dismissed</w:t>
            </w:r>
            <w:proofErr w:type="gramEnd"/>
            <w:r w:rsidRPr="00357596">
              <w:rPr>
                <w:sz w:val="20"/>
                <w:lang w:val="en-CA"/>
              </w:rPr>
              <w:t>.</w:t>
            </w:r>
          </w:p>
        </w:tc>
      </w:tr>
      <w:tr w:rsidR="00533FD5" w:rsidRPr="00357596" w:rsidTr="00533FD5">
        <w:tc>
          <w:tcPr>
            <w:tcW w:w="5000" w:type="pct"/>
            <w:gridSpan w:val="4"/>
          </w:tcPr>
          <w:p w:rsidR="00533FD5" w:rsidRPr="00357596" w:rsidRDefault="00533FD5" w:rsidP="00160284">
            <w:pPr>
              <w:jc w:val="both"/>
              <w:rPr>
                <w:sz w:val="20"/>
                <w:lang w:val="en-CA"/>
              </w:rPr>
            </w:pPr>
          </w:p>
        </w:tc>
      </w:tr>
      <w:tr w:rsidR="00533FD5" w:rsidRPr="00357596" w:rsidTr="00533FD5">
        <w:tc>
          <w:tcPr>
            <w:tcW w:w="2427" w:type="pct"/>
            <w:gridSpan w:val="2"/>
          </w:tcPr>
          <w:p w:rsidR="00533FD5" w:rsidRPr="00357596" w:rsidRDefault="00533FD5" w:rsidP="00160284">
            <w:pPr>
              <w:jc w:val="both"/>
              <w:rPr>
                <w:sz w:val="20"/>
                <w:lang w:val="en-CA"/>
              </w:rPr>
            </w:pPr>
            <w:r w:rsidRPr="00357596">
              <w:rPr>
                <w:sz w:val="20"/>
                <w:lang w:val="en-CA"/>
              </w:rPr>
              <w:t>January 28, 2019</w:t>
            </w:r>
          </w:p>
          <w:p w:rsidR="00533FD5" w:rsidRPr="00357596" w:rsidRDefault="00533FD5" w:rsidP="00160284">
            <w:pPr>
              <w:jc w:val="both"/>
              <w:rPr>
                <w:sz w:val="20"/>
                <w:lang w:val="en-CA"/>
              </w:rPr>
            </w:pPr>
            <w:r w:rsidRPr="00357596">
              <w:rPr>
                <w:sz w:val="20"/>
                <w:lang w:val="en-CA"/>
              </w:rPr>
              <w:t>Quebec Superior Court</w:t>
            </w:r>
          </w:p>
          <w:p w:rsidR="00533FD5" w:rsidRPr="00357596" w:rsidRDefault="00533FD5" w:rsidP="00160284">
            <w:pPr>
              <w:jc w:val="both"/>
              <w:rPr>
                <w:sz w:val="20"/>
                <w:lang w:val="en-CA"/>
              </w:rPr>
            </w:pPr>
            <w:r w:rsidRPr="00357596">
              <w:rPr>
                <w:sz w:val="20"/>
                <w:lang w:val="en-CA"/>
              </w:rPr>
              <w:t>(Soldevila J.)</w:t>
            </w:r>
          </w:p>
          <w:p w:rsidR="00533FD5" w:rsidRPr="00357596" w:rsidRDefault="00533FD5" w:rsidP="00160284">
            <w:pPr>
              <w:jc w:val="both"/>
              <w:rPr>
                <w:sz w:val="20"/>
                <w:lang w:val="en-CA"/>
              </w:rPr>
            </w:pPr>
            <w:hyperlink r:id="rId23" w:history="1">
              <w:r w:rsidRPr="00357596">
                <w:rPr>
                  <w:rStyle w:val="Hyperlink"/>
                  <w:sz w:val="20"/>
                  <w:lang w:val="en-CA"/>
                </w:rPr>
                <w:t>2019 QCCS 1413</w:t>
              </w:r>
            </w:hyperlink>
          </w:p>
          <w:p w:rsidR="00533FD5" w:rsidRPr="00357596" w:rsidRDefault="00533FD5" w:rsidP="00160284">
            <w:pPr>
              <w:jc w:val="both"/>
              <w:rPr>
                <w:sz w:val="20"/>
                <w:lang w:val="en-CA"/>
              </w:rPr>
            </w:pPr>
          </w:p>
        </w:tc>
        <w:tc>
          <w:tcPr>
            <w:tcW w:w="243" w:type="pct"/>
          </w:tcPr>
          <w:p w:rsidR="00533FD5" w:rsidRPr="00357596" w:rsidRDefault="00533FD5" w:rsidP="00160284">
            <w:pPr>
              <w:jc w:val="both"/>
              <w:rPr>
                <w:sz w:val="20"/>
                <w:lang w:val="en-CA"/>
              </w:rPr>
            </w:pPr>
          </w:p>
        </w:tc>
        <w:tc>
          <w:tcPr>
            <w:tcW w:w="2330" w:type="pct"/>
          </w:tcPr>
          <w:p w:rsidR="00533FD5" w:rsidRPr="00357596" w:rsidRDefault="00533FD5" w:rsidP="00160284">
            <w:pPr>
              <w:jc w:val="both"/>
              <w:rPr>
                <w:sz w:val="20"/>
                <w:lang w:val="en-CA"/>
              </w:rPr>
            </w:pPr>
            <w:r w:rsidRPr="00357596">
              <w:rPr>
                <w:sz w:val="20"/>
                <w:lang w:val="en-CA"/>
              </w:rPr>
              <w:t>Respondents’ application to dismiss for abuse of procedure and lack of jurisdiction granted; applicant’s originating application dismissed</w:t>
            </w:r>
          </w:p>
          <w:p w:rsidR="00533FD5" w:rsidRPr="00357596" w:rsidRDefault="00533FD5" w:rsidP="00160284">
            <w:pPr>
              <w:jc w:val="both"/>
              <w:rPr>
                <w:sz w:val="20"/>
                <w:lang w:val="en-CA"/>
              </w:rPr>
            </w:pPr>
          </w:p>
        </w:tc>
      </w:tr>
      <w:tr w:rsidR="00533FD5" w:rsidRPr="00357596" w:rsidTr="00533FD5">
        <w:tc>
          <w:tcPr>
            <w:tcW w:w="2427" w:type="pct"/>
            <w:gridSpan w:val="2"/>
          </w:tcPr>
          <w:p w:rsidR="00533FD5" w:rsidRPr="00357596" w:rsidRDefault="00533FD5" w:rsidP="00160284">
            <w:pPr>
              <w:jc w:val="both"/>
              <w:rPr>
                <w:sz w:val="20"/>
                <w:lang w:val="en-CA"/>
              </w:rPr>
            </w:pPr>
            <w:r w:rsidRPr="00357596">
              <w:rPr>
                <w:sz w:val="20"/>
                <w:lang w:val="en-CA"/>
              </w:rPr>
              <w:t>March 22, 2019</w:t>
            </w:r>
          </w:p>
          <w:p w:rsidR="00533FD5" w:rsidRPr="00357596" w:rsidRDefault="00533FD5" w:rsidP="00160284">
            <w:pPr>
              <w:jc w:val="both"/>
              <w:rPr>
                <w:sz w:val="20"/>
                <w:lang w:val="en-CA"/>
              </w:rPr>
            </w:pPr>
            <w:r w:rsidRPr="00357596">
              <w:rPr>
                <w:sz w:val="20"/>
                <w:lang w:val="en-CA"/>
              </w:rPr>
              <w:t>Quebec Court of Appeal (Québec)</w:t>
            </w:r>
          </w:p>
          <w:p w:rsidR="00533FD5" w:rsidRPr="00357596" w:rsidRDefault="00533FD5" w:rsidP="00160284">
            <w:pPr>
              <w:jc w:val="both"/>
              <w:rPr>
                <w:sz w:val="20"/>
                <w:lang w:val="en-CA"/>
              </w:rPr>
            </w:pPr>
            <w:r w:rsidRPr="00357596">
              <w:rPr>
                <w:sz w:val="20"/>
                <w:lang w:val="en-CA"/>
              </w:rPr>
              <w:t>(Gagné J.A.)</w:t>
            </w:r>
          </w:p>
          <w:p w:rsidR="00533FD5" w:rsidRPr="00357596" w:rsidRDefault="00533FD5" w:rsidP="00160284">
            <w:pPr>
              <w:jc w:val="both"/>
              <w:rPr>
                <w:sz w:val="20"/>
                <w:lang w:val="en-CA"/>
              </w:rPr>
            </w:pPr>
            <w:hyperlink r:id="rId24" w:history="1">
              <w:r w:rsidRPr="00357596">
                <w:rPr>
                  <w:rStyle w:val="Hyperlink"/>
                  <w:sz w:val="20"/>
                  <w:lang w:val="en-CA"/>
                </w:rPr>
                <w:t>2019 QCCA 482</w:t>
              </w:r>
            </w:hyperlink>
          </w:p>
          <w:p w:rsidR="00533FD5" w:rsidRPr="00357596" w:rsidRDefault="00533FD5" w:rsidP="00160284">
            <w:pPr>
              <w:jc w:val="both"/>
              <w:rPr>
                <w:sz w:val="20"/>
                <w:lang w:val="en-CA"/>
              </w:rPr>
            </w:pPr>
          </w:p>
        </w:tc>
        <w:tc>
          <w:tcPr>
            <w:tcW w:w="243" w:type="pct"/>
          </w:tcPr>
          <w:p w:rsidR="00533FD5" w:rsidRPr="00357596" w:rsidRDefault="00533FD5" w:rsidP="00160284">
            <w:pPr>
              <w:jc w:val="both"/>
              <w:rPr>
                <w:sz w:val="20"/>
                <w:lang w:val="en-CA"/>
              </w:rPr>
            </w:pPr>
          </w:p>
        </w:tc>
        <w:tc>
          <w:tcPr>
            <w:tcW w:w="2330" w:type="pct"/>
          </w:tcPr>
          <w:p w:rsidR="00533FD5" w:rsidRPr="00357596" w:rsidRDefault="00533FD5" w:rsidP="00160284">
            <w:pPr>
              <w:jc w:val="both"/>
              <w:rPr>
                <w:sz w:val="20"/>
                <w:lang w:val="en-CA"/>
              </w:rPr>
            </w:pPr>
            <w:r w:rsidRPr="00357596">
              <w:rPr>
                <w:sz w:val="20"/>
                <w:lang w:val="en-CA"/>
              </w:rPr>
              <w:t>Application for leave to appeal referred to panel that would hear respondents’ motion to dismiss appeal</w:t>
            </w:r>
          </w:p>
          <w:p w:rsidR="00533FD5" w:rsidRPr="00357596" w:rsidRDefault="00533FD5" w:rsidP="00160284">
            <w:pPr>
              <w:jc w:val="both"/>
              <w:rPr>
                <w:sz w:val="20"/>
                <w:lang w:val="en-CA"/>
              </w:rPr>
            </w:pPr>
          </w:p>
        </w:tc>
      </w:tr>
      <w:tr w:rsidR="00533FD5" w:rsidRPr="00357596" w:rsidTr="00533FD5">
        <w:tc>
          <w:tcPr>
            <w:tcW w:w="2427" w:type="pct"/>
            <w:gridSpan w:val="2"/>
          </w:tcPr>
          <w:p w:rsidR="00533FD5" w:rsidRPr="00357596" w:rsidRDefault="00533FD5" w:rsidP="00160284">
            <w:pPr>
              <w:jc w:val="both"/>
              <w:rPr>
                <w:sz w:val="20"/>
                <w:lang w:val="en-CA"/>
              </w:rPr>
            </w:pPr>
            <w:r w:rsidRPr="00357596">
              <w:rPr>
                <w:sz w:val="20"/>
                <w:lang w:val="en-CA"/>
              </w:rPr>
              <w:t>June 20, 2019</w:t>
            </w:r>
          </w:p>
          <w:p w:rsidR="00533FD5" w:rsidRPr="00357596" w:rsidRDefault="00533FD5" w:rsidP="00160284">
            <w:pPr>
              <w:jc w:val="both"/>
              <w:rPr>
                <w:sz w:val="20"/>
                <w:lang w:val="en-CA"/>
              </w:rPr>
            </w:pPr>
            <w:r w:rsidRPr="00357596">
              <w:rPr>
                <w:sz w:val="20"/>
                <w:lang w:val="en-CA"/>
              </w:rPr>
              <w:t>Quebec Court of Appeal (Québec)</w:t>
            </w:r>
          </w:p>
          <w:p w:rsidR="00533FD5" w:rsidRPr="00357596" w:rsidRDefault="00533FD5" w:rsidP="00160284">
            <w:pPr>
              <w:jc w:val="both"/>
              <w:rPr>
                <w:sz w:val="20"/>
                <w:lang w:val="en-CA"/>
              </w:rPr>
            </w:pPr>
            <w:r w:rsidRPr="00357596">
              <w:rPr>
                <w:sz w:val="20"/>
                <w:lang w:val="en-CA"/>
              </w:rPr>
              <w:t>(Gagnon, Marcotte and Ruel JJ.A.)</w:t>
            </w:r>
          </w:p>
          <w:p w:rsidR="00533FD5" w:rsidRPr="00357596" w:rsidRDefault="00533FD5" w:rsidP="00160284">
            <w:pPr>
              <w:jc w:val="both"/>
              <w:rPr>
                <w:sz w:val="20"/>
                <w:lang w:val="en-CA"/>
              </w:rPr>
            </w:pPr>
            <w:hyperlink r:id="rId25" w:history="1">
              <w:r w:rsidRPr="00357596">
                <w:rPr>
                  <w:rStyle w:val="Hyperlink"/>
                  <w:sz w:val="20"/>
                  <w:lang w:val="en-CA"/>
                </w:rPr>
                <w:t>2019 QCCA 1105</w:t>
              </w:r>
            </w:hyperlink>
          </w:p>
          <w:p w:rsidR="00533FD5" w:rsidRPr="00357596" w:rsidRDefault="00533FD5" w:rsidP="00160284">
            <w:pPr>
              <w:jc w:val="both"/>
              <w:rPr>
                <w:sz w:val="20"/>
                <w:lang w:val="en-CA"/>
              </w:rPr>
            </w:pPr>
          </w:p>
        </w:tc>
        <w:tc>
          <w:tcPr>
            <w:tcW w:w="243" w:type="pct"/>
          </w:tcPr>
          <w:p w:rsidR="00533FD5" w:rsidRPr="00357596" w:rsidRDefault="00533FD5" w:rsidP="00160284">
            <w:pPr>
              <w:jc w:val="both"/>
              <w:rPr>
                <w:sz w:val="20"/>
                <w:lang w:val="en-CA"/>
              </w:rPr>
            </w:pPr>
          </w:p>
        </w:tc>
        <w:tc>
          <w:tcPr>
            <w:tcW w:w="2330" w:type="pct"/>
          </w:tcPr>
          <w:p w:rsidR="00533FD5" w:rsidRPr="00357596" w:rsidRDefault="00533FD5" w:rsidP="00160284">
            <w:pPr>
              <w:jc w:val="both"/>
              <w:rPr>
                <w:sz w:val="20"/>
                <w:lang w:val="en-CA"/>
              </w:rPr>
            </w:pPr>
            <w:r w:rsidRPr="00357596">
              <w:rPr>
                <w:sz w:val="20"/>
                <w:lang w:val="en-CA"/>
              </w:rPr>
              <w:t>Motion for leave to appeal dismissed; motion to dismiss appeal declared to be moot</w:t>
            </w:r>
          </w:p>
          <w:p w:rsidR="00533FD5" w:rsidRPr="00357596" w:rsidRDefault="00533FD5" w:rsidP="00160284">
            <w:pPr>
              <w:jc w:val="both"/>
              <w:rPr>
                <w:sz w:val="20"/>
                <w:lang w:val="en-CA"/>
              </w:rPr>
            </w:pPr>
          </w:p>
        </w:tc>
      </w:tr>
      <w:tr w:rsidR="00533FD5" w:rsidRPr="00357596" w:rsidTr="00533FD5">
        <w:tc>
          <w:tcPr>
            <w:tcW w:w="2427" w:type="pct"/>
            <w:gridSpan w:val="2"/>
          </w:tcPr>
          <w:p w:rsidR="00533FD5" w:rsidRPr="00357596" w:rsidRDefault="00533FD5" w:rsidP="00160284">
            <w:pPr>
              <w:jc w:val="both"/>
              <w:rPr>
                <w:sz w:val="20"/>
                <w:lang w:val="en-CA"/>
              </w:rPr>
            </w:pPr>
            <w:r w:rsidRPr="00357596">
              <w:rPr>
                <w:sz w:val="20"/>
                <w:lang w:val="en-CA"/>
              </w:rPr>
              <w:t>April 24, 2020</w:t>
            </w:r>
          </w:p>
          <w:p w:rsidR="00533FD5" w:rsidRPr="00357596" w:rsidRDefault="00533FD5" w:rsidP="00C66A35">
            <w:pPr>
              <w:jc w:val="both"/>
              <w:rPr>
                <w:sz w:val="20"/>
                <w:lang w:val="en-CA"/>
              </w:rPr>
            </w:pPr>
            <w:r w:rsidRPr="00357596">
              <w:rPr>
                <w:sz w:val="20"/>
                <w:lang w:val="en-CA"/>
              </w:rPr>
              <w:t>Supreme Court of Canada</w:t>
            </w:r>
          </w:p>
        </w:tc>
        <w:tc>
          <w:tcPr>
            <w:tcW w:w="243" w:type="pct"/>
          </w:tcPr>
          <w:p w:rsidR="00533FD5" w:rsidRPr="00357596" w:rsidRDefault="00533FD5" w:rsidP="00160284">
            <w:pPr>
              <w:jc w:val="both"/>
              <w:rPr>
                <w:sz w:val="20"/>
                <w:lang w:val="en-CA"/>
              </w:rPr>
            </w:pPr>
          </w:p>
        </w:tc>
        <w:tc>
          <w:tcPr>
            <w:tcW w:w="2330" w:type="pct"/>
          </w:tcPr>
          <w:p w:rsidR="00533FD5" w:rsidRPr="00357596" w:rsidRDefault="00533FD5" w:rsidP="00160284">
            <w:pPr>
              <w:jc w:val="both"/>
              <w:rPr>
                <w:sz w:val="20"/>
                <w:lang w:val="en-CA"/>
              </w:rPr>
            </w:pPr>
            <w:r w:rsidRPr="00357596">
              <w:rPr>
                <w:sz w:val="20"/>
                <w:lang w:val="en-CA"/>
              </w:rPr>
              <w:t xml:space="preserve">Motion to extend time to serve and file application for leave to appeal and application for leave to appeal filed </w:t>
            </w:r>
          </w:p>
        </w:tc>
      </w:tr>
    </w:tbl>
    <w:p w:rsidR="00533FD5" w:rsidRPr="00357596" w:rsidRDefault="00533FD5" w:rsidP="00160284">
      <w:pPr>
        <w:jc w:val="both"/>
        <w:rPr>
          <w:sz w:val="20"/>
          <w:lang w:val="en-CA"/>
        </w:rPr>
      </w:pPr>
    </w:p>
    <w:p w:rsidR="00C66A35" w:rsidRPr="00357596" w:rsidRDefault="00C66A35" w:rsidP="00160284">
      <w:pPr>
        <w:jc w:val="both"/>
        <w:rPr>
          <w:sz w:val="20"/>
          <w:lang w:val="en-CA"/>
        </w:rPr>
      </w:pPr>
      <w:r w:rsidRPr="00357596">
        <w:rPr>
          <w:sz w:val="20"/>
        </w:rPr>
        <w:lastRenderedPageBreak/>
        <w:pict>
          <v:rect id="_x0000_i1031" style="width:2in;height:1pt" o:hrpct="0" o:hralign="center" o:hrstd="t" o:hrnoshade="t" o:hr="t" fillcolor="black [3213]" stroked="f"/>
        </w:pict>
      </w:r>
    </w:p>
    <w:p w:rsidR="00533FD5" w:rsidRPr="00357596" w:rsidRDefault="00533FD5" w:rsidP="00160284">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t>39307</w:t>
            </w:r>
          </w:p>
        </w:tc>
        <w:tc>
          <w:tcPr>
            <w:tcW w:w="4457" w:type="pct"/>
            <w:gridSpan w:val="3"/>
          </w:tcPr>
          <w:p w:rsidR="00533FD5" w:rsidRPr="00357596" w:rsidRDefault="00533FD5" w:rsidP="00160284">
            <w:pPr>
              <w:pStyle w:val="SCCLsocParty"/>
              <w:jc w:val="both"/>
              <w:rPr>
                <w:b/>
                <w:sz w:val="20"/>
                <w:szCs w:val="20"/>
              </w:rPr>
            </w:pPr>
            <w:r w:rsidRPr="00357596">
              <w:rPr>
                <w:b/>
                <w:sz w:val="20"/>
                <w:szCs w:val="20"/>
              </w:rPr>
              <w:t>Michel Côté c. Pierre Moreau, procureur général du Québec, Association professionnelle des ingénieurs du gouvernement du Québec</w:t>
            </w:r>
          </w:p>
          <w:p w:rsidR="00533FD5" w:rsidRPr="00357596" w:rsidRDefault="00533FD5" w:rsidP="00C66A35">
            <w:pPr>
              <w:jc w:val="both"/>
              <w:rPr>
                <w:sz w:val="20"/>
              </w:rPr>
            </w:pPr>
            <w:r w:rsidRPr="00357596">
              <w:rPr>
                <w:sz w:val="20"/>
              </w:rPr>
              <w:t>(Qc) (Civile) (Autorisation)</w:t>
            </w:r>
          </w:p>
        </w:tc>
      </w:tr>
      <w:tr w:rsidR="00533FD5" w:rsidRPr="00357596" w:rsidTr="00533FD5">
        <w:tc>
          <w:tcPr>
            <w:tcW w:w="5000" w:type="pct"/>
            <w:gridSpan w:val="4"/>
          </w:tcPr>
          <w:p w:rsidR="00533FD5" w:rsidRPr="00357596" w:rsidRDefault="00533FD5" w:rsidP="00160284">
            <w:pPr>
              <w:jc w:val="both"/>
              <w:rPr>
                <w:sz w:val="20"/>
                <w:lang w:val="fr-CA"/>
              </w:rPr>
            </w:pPr>
            <w:r w:rsidRPr="00357596">
              <w:rPr>
                <w:i/>
                <w:sz w:val="20"/>
                <w:lang w:val="fr-CA"/>
              </w:rPr>
              <w:t xml:space="preserve">Charte des droits </w:t>
            </w:r>
            <w:r w:rsidRPr="00357596">
              <w:rPr>
                <w:sz w:val="20"/>
                <w:lang w:val="fr-CA"/>
              </w:rPr>
              <w:t>— Droit de l’emploi — Contrats — En vertu de l’art. 2 de la Charte canadienne un employé syndiqué peut</w:t>
            </w:r>
            <w:r w:rsidRPr="00357596">
              <w:rPr>
                <w:sz w:val="20"/>
                <w:lang w:val="fr-CA"/>
              </w:rPr>
              <w:noBreakHyphen/>
              <w:t>il s’associer par un contrat individuel avec son employeur? — Un contrat individuel privé liant un syndiqué et son employeur peut</w:t>
            </w:r>
            <w:r w:rsidRPr="00357596">
              <w:rPr>
                <w:sz w:val="20"/>
                <w:lang w:val="fr-CA"/>
              </w:rPr>
              <w:noBreakHyphen/>
              <w:t>il être convenu sans le consentement du syndicat qui représente le syndiqué au moment de la signature? — Un contrat individuel privé liant un syndiqué et son employeur est</w:t>
            </w:r>
            <w:r w:rsidRPr="00357596">
              <w:rPr>
                <w:sz w:val="20"/>
                <w:lang w:val="fr-CA"/>
              </w:rPr>
              <w:noBreakHyphen/>
              <w:t>il régi par l’art. 1458 du Code civil du Québec? — Un contrat individuel privé liant un syndiqué et son employeur peut</w:t>
            </w:r>
            <w:r w:rsidRPr="00357596">
              <w:rPr>
                <w:sz w:val="20"/>
                <w:lang w:val="fr-CA"/>
              </w:rPr>
              <w:noBreakHyphen/>
              <w:t>il être convenu même si l’employeur est l’État? — Un litige à propos d’un contrat individuel privé liant un syndiqué et son employeur peut</w:t>
            </w:r>
            <w:r w:rsidRPr="00357596">
              <w:rPr>
                <w:sz w:val="20"/>
                <w:lang w:val="fr-CA"/>
              </w:rPr>
              <w:noBreakHyphen/>
              <w:t>il être entendu par les tribunaux civils de droit commun du Canada? — Un litige à propos d’un contrat individuel privé liant un syndiqué et son employeur doit</w:t>
            </w:r>
            <w:r w:rsidRPr="00357596">
              <w:rPr>
                <w:sz w:val="20"/>
                <w:lang w:val="fr-CA"/>
              </w:rPr>
              <w:noBreakHyphen/>
              <w:t>il être entendu par les tribunaux civils de droit commun du Canada?</w:t>
            </w:r>
          </w:p>
        </w:tc>
      </w:tr>
      <w:tr w:rsidR="00533FD5" w:rsidRPr="00357596" w:rsidTr="00533FD5">
        <w:tc>
          <w:tcPr>
            <w:tcW w:w="5000" w:type="pct"/>
            <w:gridSpan w:val="4"/>
          </w:tcPr>
          <w:p w:rsidR="00533FD5" w:rsidRPr="00357596" w:rsidRDefault="00533FD5" w:rsidP="00160284">
            <w:pPr>
              <w:jc w:val="both"/>
              <w:rPr>
                <w:sz w:val="20"/>
                <w:lang w:val="fr-CA"/>
              </w:rPr>
            </w:pPr>
          </w:p>
          <w:p w:rsidR="00533FD5" w:rsidRPr="00357596" w:rsidRDefault="00533FD5" w:rsidP="00160284">
            <w:pPr>
              <w:jc w:val="both"/>
              <w:rPr>
                <w:sz w:val="20"/>
                <w:lang w:val="fr-CA"/>
              </w:rPr>
            </w:pPr>
            <w:r w:rsidRPr="00357596">
              <w:rPr>
                <w:sz w:val="20"/>
                <w:lang w:val="fr-CA"/>
              </w:rPr>
              <w:t>Le demandeur M. Côté initie une poursuite visant les intimés M. Moreau et le procureur général du Québec en dommages et intérêts en lien avec son congédiement en 2015. M. Moreau et le procureur général demandent le rejet de cette procédure.</w:t>
            </w:r>
          </w:p>
          <w:p w:rsidR="00533FD5" w:rsidRPr="00357596" w:rsidRDefault="00533FD5" w:rsidP="00160284">
            <w:pPr>
              <w:jc w:val="both"/>
              <w:rPr>
                <w:sz w:val="20"/>
                <w:lang w:val="fr-CA"/>
              </w:rPr>
            </w:pPr>
          </w:p>
          <w:p w:rsidR="00533FD5" w:rsidRPr="00357596" w:rsidRDefault="00533FD5" w:rsidP="00160284">
            <w:pPr>
              <w:jc w:val="both"/>
              <w:rPr>
                <w:sz w:val="20"/>
              </w:rPr>
            </w:pPr>
            <w:r w:rsidRPr="00357596">
              <w:rPr>
                <w:sz w:val="20"/>
                <w:lang w:val="fr-CA"/>
              </w:rPr>
              <w:t xml:space="preserve">La Cour supérieure considère que le recours de M. Côté est mal fondé en droit, et qu’elle n’a pas compétence pour le trancher. La demande en rejet pour abus de procédures et absence de compétence de M. Moreau et du procureur général est ainsi accueillie. La Cour d’appel, unanime, considère que la demande d’autorisation d’appeler ne comporte aucune question dont l’enjeu mérite de lui être soumis, et que le jugement entrepris ne recèle pas d’erreur révisable. </w:t>
            </w:r>
            <w:r w:rsidRPr="00357596">
              <w:rPr>
                <w:sz w:val="20"/>
              </w:rPr>
              <w:t xml:space="preserve">La demande est </w:t>
            </w:r>
            <w:proofErr w:type="spellStart"/>
            <w:r w:rsidRPr="00357596">
              <w:rPr>
                <w:sz w:val="20"/>
              </w:rPr>
              <w:t>donc</w:t>
            </w:r>
            <w:proofErr w:type="spellEnd"/>
            <w:r w:rsidRPr="00357596">
              <w:rPr>
                <w:sz w:val="20"/>
              </w:rPr>
              <w:t xml:space="preserve"> rejetée.</w:t>
            </w:r>
          </w:p>
        </w:tc>
      </w:tr>
      <w:tr w:rsidR="00533FD5" w:rsidRPr="00357596" w:rsidTr="00533FD5">
        <w:tc>
          <w:tcPr>
            <w:tcW w:w="5000" w:type="pct"/>
            <w:gridSpan w:val="4"/>
          </w:tcPr>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Le 28 janvier 2019</w:t>
            </w:r>
          </w:p>
          <w:p w:rsidR="00533FD5" w:rsidRPr="00357596" w:rsidRDefault="00533FD5" w:rsidP="00160284">
            <w:pPr>
              <w:jc w:val="both"/>
              <w:rPr>
                <w:sz w:val="20"/>
                <w:lang w:val="fr-CA"/>
              </w:rPr>
            </w:pPr>
            <w:r w:rsidRPr="00357596">
              <w:rPr>
                <w:sz w:val="20"/>
                <w:lang w:val="fr-CA"/>
              </w:rPr>
              <w:t>Cour supérieure du Québec</w:t>
            </w:r>
          </w:p>
          <w:p w:rsidR="00533FD5" w:rsidRPr="00357596" w:rsidRDefault="00533FD5" w:rsidP="00160284">
            <w:pPr>
              <w:jc w:val="both"/>
              <w:rPr>
                <w:sz w:val="20"/>
              </w:rPr>
            </w:pPr>
            <w:r w:rsidRPr="00357596">
              <w:rPr>
                <w:sz w:val="20"/>
              </w:rPr>
              <w:t xml:space="preserve">(la juge </w:t>
            </w:r>
            <w:proofErr w:type="spellStart"/>
            <w:r w:rsidRPr="00357596">
              <w:rPr>
                <w:sz w:val="20"/>
              </w:rPr>
              <w:t>Soldevila</w:t>
            </w:r>
            <w:proofErr w:type="spellEnd"/>
            <w:r w:rsidRPr="00357596">
              <w:rPr>
                <w:sz w:val="20"/>
              </w:rPr>
              <w:t>)</w:t>
            </w:r>
          </w:p>
          <w:p w:rsidR="00533FD5" w:rsidRPr="00357596" w:rsidRDefault="00533FD5" w:rsidP="00160284">
            <w:pPr>
              <w:jc w:val="both"/>
              <w:rPr>
                <w:sz w:val="20"/>
              </w:rPr>
            </w:pPr>
            <w:hyperlink r:id="rId26" w:history="1">
              <w:r w:rsidRPr="00357596">
                <w:rPr>
                  <w:rStyle w:val="Hyperlink"/>
                  <w:sz w:val="20"/>
                </w:rPr>
                <w:t>2019 QCCS 1413</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lang w:val="fr-CA"/>
              </w:rPr>
            </w:pPr>
            <w:r w:rsidRPr="00357596">
              <w:rPr>
                <w:sz w:val="20"/>
                <w:lang w:val="fr-CA"/>
              </w:rPr>
              <w:t>Demande en rejet pour abus de procédures et absence de compétence des intimés accueillie; demande introductive d’instance du demandeur rejetée</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Le 22 mars 2019</w:t>
            </w:r>
          </w:p>
          <w:p w:rsidR="00533FD5" w:rsidRPr="00357596" w:rsidRDefault="00533FD5" w:rsidP="00160284">
            <w:pPr>
              <w:jc w:val="both"/>
              <w:rPr>
                <w:sz w:val="20"/>
                <w:lang w:val="fr-CA"/>
              </w:rPr>
            </w:pPr>
            <w:r w:rsidRPr="00357596">
              <w:rPr>
                <w:sz w:val="20"/>
                <w:lang w:val="fr-CA"/>
              </w:rPr>
              <w:t>Cour d’appel du Québec (Québec)</w:t>
            </w:r>
          </w:p>
          <w:p w:rsidR="00533FD5" w:rsidRPr="00357596" w:rsidRDefault="00533FD5" w:rsidP="00160284">
            <w:pPr>
              <w:jc w:val="both"/>
              <w:rPr>
                <w:sz w:val="20"/>
              </w:rPr>
            </w:pPr>
            <w:r w:rsidRPr="00357596">
              <w:rPr>
                <w:sz w:val="20"/>
              </w:rPr>
              <w:t>(la juge Gagné)</w:t>
            </w:r>
          </w:p>
          <w:p w:rsidR="00533FD5" w:rsidRPr="00357596" w:rsidRDefault="00533FD5" w:rsidP="00160284">
            <w:pPr>
              <w:jc w:val="both"/>
              <w:rPr>
                <w:sz w:val="20"/>
              </w:rPr>
            </w:pPr>
            <w:hyperlink r:id="rId27" w:history="1">
              <w:r w:rsidRPr="00357596">
                <w:rPr>
                  <w:rStyle w:val="Hyperlink"/>
                  <w:sz w:val="20"/>
                </w:rPr>
                <w:t>2019 QCCA 482</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lang w:val="fr-CA"/>
              </w:rPr>
            </w:pPr>
            <w:r w:rsidRPr="00357596">
              <w:rPr>
                <w:sz w:val="20"/>
                <w:lang w:val="fr-CA"/>
              </w:rPr>
              <w:t>Demande pour permission d’appeler déférée à la formation devant entendre la requête en rejet d’appel des intimés</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Le 20 juin 2019</w:t>
            </w:r>
          </w:p>
          <w:p w:rsidR="00533FD5" w:rsidRPr="00357596" w:rsidRDefault="00533FD5" w:rsidP="00160284">
            <w:pPr>
              <w:jc w:val="both"/>
              <w:rPr>
                <w:sz w:val="20"/>
                <w:lang w:val="fr-CA"/>
              </w:rPr>
            </w:pPr>
            <w:r w:rsidRPr="00357596">
              <w:rPr>
                <w:sz w:val="20"/>
                <w:lang w:val="fr-CA"/>
              </w:rPr>
              <w:t>Cour d’appel du Québec (Québec)</w:t>
            </w:r>
          </w:p>
          <w:p w:rsidR="00533FD5" w:rsidRPr="00357596" w:rsidRDefault="00533FD5" w:rsidP="00160284">
            <w:pPr>
              <w:jc w:val="both"/>
              <w:rPr>
                <w:sz w:val="20"/>
                <w:lang w:val="fr-CA"/>
              </w:rPr>
            </w:pPr>
            <w:r w:rsidRPr="00357596">
              <w:rPr>
                <w:sz w:val="20"/>
                <w:lang w:val="fr-CA"/>
              </w:rPr>
              <w:t>(les juges Gagnon, Marcotte et Ruel)</w:t>
            </w:r>
          </w:p>
          <w:p w:rsidR="00533FD5" w:rsidRPr="00357596" w:rsidRDefault="00533FD5" w:rsidP="00160284">
            <w:pPr>
              <w:jc w:val="both"/>
              <w:rPr>
                <w:sz w:val="20"/>
              </w:rPr>
            </w:pPr>
            <w:hyperlink r:id="rId28" w:history="1">
              <w:r w:rsidRPr="00357596">
                <w:rPr>
                  <w:rStyle w:val="Hyperlink"/>
                  <w:sz w:val="20"/>
                </w:rPr>
                <w:t>2019 QCCA 1105</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lang w:val="fr-CA"/>
              </w:rPr>
            </w:pPr>
            <w:r w:rsidRPr="00357596">
              <w:rPr>
                <w:sz w:val="20"/>
                <w:lang w:val="fr-CA"/>
              </w:rPr>
              <w:t xml:space="preserve">Requête pour permission d’appeler rejetée; requête en rejet d’appel </w:t>
            </w:r>
            <w:proofErr w:type="gramStart"/>
            <w:r w:rsidRPr="00357596">
              <w:rPr>
                <w:sz w:val="20"/>
                <w:lang w:val="fr-CA"/>
              </w:rPr>
              <w:t>déclarée</w:t>
            </w:r>
            <w:proofErr w:type="gramEnd"/>
            <w:r w:rsidRPr="00357596">
              <w:rPr>
                <w:sz w:val="20"/>
                <w:lang w:val="fr-CA"/>
              </w:rPr>
              <w:t xml:space="preserve"> sans objet</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Le 24 avril 2020</w:t>
            </w:r>
          </w:p>
          <w:p w:rsidR="00533FD5" w:rsidRPr="00357596" w:rsidRDefault="00533FD5" w:rsidP="00160284">
            <w:pPr>
              <w:jc w:val="both"/>
              <w:rPr>
                <w:sz w:val="20"/>
                <w:lang w:val="fr-CA"/>
              </w:rPr>
            </w:pPr>
            <w:r w:rsidRPr="00357596">
              <w:rPr>
                <w:sz w:val="20"/>
                <w:lang w:val="fr-CA"/>
              </w:rPr>
              <w:t>Cour suprême du Canada</w:t>
            </w:r>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 xml:space="preserve">Requête en prorogation du délai de signification et de dépôt de la demande d’autorisation d’appel et demande d'autorisation </w:t>
            </w:r>
            <w:proofErr w:type="gramStart"/>
            <w:r w:rsidRPr="00357596">
              <w:rPr>
                <w:sz w:val="20"/>
                <w:lang w:val="fr-CA"/>
              </w:rPr>
              <w:t>d'appel déposées</w:t>
            </w:r>
            <w:proofErr w:type="gramEnd"/>
          </w:p>
        </w:tc>
      </w:tr>
    </w:tbl>
    <w:p w:rsidR="00533FD5" w:rsidRPr="00357596" w:rsidRDefault="00533FD5" w:rsidP="00160284">
      <w:pPr>
        <w:jc w:val="both"/>
        <w:rPr>
          <w:sz w:val="20"/>
          <w:lang w:val="fr-CA"/>
        </w:rPr>
      </w:pPr>
    </w:p>
    <w:p w:rsidR="00533FD5" w:rsidRPr="00357596" w:rsidRDefault="00DA74AE" w:rsidP="00160284">
      <w:pPr>
        <w:jc w:val="both"/>
        <w:rPr>
          <w:sz w:val="20"/>
          <w:lang w:val="fr-CA"/>
        </w:rPr>
      </w:pPr>
      <w:r w:rsidRPr="00357596">
        <w:rPr>
          <w:sz w:val="20"/>
        </w:rPr>
        <w:pict>
          <v:rect id="_x0000_i1032" style="width:2in;height:1pt" o:hrpct="0" o:hralign="center" o:hrstd="t" o:hrnoshade="t" o:hr="t" fillcolor="black [3213]" stroked="f"/>
        </w:pict>
      </w:r>
    </w:p>
    <w:p w:rsidR="001319D2" w:rsidRPr="00357596" w:rsidRDefault="001319D2"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t>39239</w:t>
            </w:r>
          </w:p>
        </w:tc>
        <w:tc>
          <w:tcPr>
            <w:tcW w:w="4457" w:type="pct"/>
            <w:gridSpan w:val="3"/>
          </w:tcPr>
          <w:p w:rsidR="00533FD5" w:rsidRPr="00357596" w:rsidRDefault="00533FD5" w:rsidP="00160284">
            <w:pPr>
              <w:pStyle w:val="SCCLsocParty"/>
              <w:jc w:val="both"/>
              <w:rPr>
                <w:b/>
                <w:sz w:val="20"/>
                <w:szCs w:val="20"/>
                <w:lang w:val="en-US"/>
              </w:rPr>
            </w:pPr>
            <w:r w:rsidRPr="00357596">
              <w:rPr>
                <w:b/>
                <w:sz w:val="20"/>
                <w:szCs w:val="20"/>
                <w:lang w:val="en-US"/>
              </w:rPr>
              <w:t>Warren Piche v. Saskatchewan Government Insurance</w:t>
            </w:r>
          </w:p>
          <w:p w:rsidR="00533FD5" w:rsidRPr="00357596" w:rsidRDefault="00533FD5" w:rsidP="00160284">
            <w:pPr>
              <w:jc w:val="both"/>
              <w:rPr>
                <w:sz w:val="20"/>
              </w:rPr>
            </w:pPr>
            <w:r w:rsidRPr="00357596">
              <w:rPr>
                <w:sz w:val="20"/>
              </w:rPr>
              <w:t>(Sask.) (Civil) (By Leave)</w:t>
            </w:r>
          </w:p>
        </w:tc>
      </w:tr>
      <w:tr w:rsidR="00533FD5" w:rsidRPr="00357596" w:rsidTr="00533FD5">
        <w:tc>
          <w:tcPr>
            <w:tcW w:w="5000" w:type="pct"/>
            <w:gridSpan w:val="4"/>
          </w:tcPr>
          <w:p w:rsidR="00533FD5" w:rsidRPr="00357596" w:rsidRDefault="00533FD5" w:rsidP="00160284">
            <w:pPr>
              <w:jc w:val="both"/>
              <w:rPr>
                <w:sz w:val="20"/>
              </w:rPr>
            </w:pPr>
            <w:r w:rsidRPr="00357596">
              <w:rPr>
                <w:sz w:val="20"/>
              </w:rPr>
              <w:t xml:space="preserve">Administrative law — Boards and tribunals — Procedure — Expert evidence — Whether the threshold criteria from </w:t>
            </w:r>
            <w:r w:rsidRPr="00357596">
              <w:rPr>
                <w:i/>
                <w:sz w:val="20"/>
              </w:rPr>
              <w:t>R v Mohan</w:t>
            </w:r>
            <w:r w:rsidRPr="00357596">
              <w:rPr>
                <w:sz w:val="20"/>
              </w:rPr>
              <w:t>, [1994] 2 SCR 9, apply in the administrative law context —Whether administrative decision</w:t>
            </w:r>
            <w:r w:rsidRPr="00357596">
              <w:rPr>
                <w:sz w:val="20"/>
              </w:rPr>
              <w:noBreakHyphen/>
              <w:t>makers can admit and rely on expert evidence concerning the “ultimate issue” in the dispute — Whether administrative decision</w:t>
            </w:r>
            <w:r w:rsidRPr="00357596">
              <w:rPr>
                <w:sz w:val="20"/>
              </w:rPr>
              <w:noBreakHyphen/>
              <w:t>makers have an implicit gatekeeper function with respect to expert evidence?</w:t>
            </w:r>
          </w:p>
        </w:tc>
      </w:tr>
      <w:tr w:rsidR="00533FD5" w:rsidRPr="00357596" w:rsidTr="00533FD5">
        <w:tc>
          <w:tcPr>
            <w:tcW w:w="5000" w:type="pct"/>
            <w:gridSpan w:val="4"/>
          </w:tcPr>
          <w:p w:rsidR="00533FD5" w:rsidRPr="00357596" w:rsidRDefault="00533FD5" w:rsidP="00160284">
            <w:pPr>
              <w:jc w:val="both"/>
              <w:rPr>
                <w:sz w:val="20"/>
              </w:rPr>
            </w:pPr>
          </w:p>
          <w:p w:rsidR="00533FD5" w:rsidRPr="00357596" w:rsidRDefault="00533FD5" w:rsidP="00160284">
            <w:pPr>
              <w:jc w:val="both"/>
              <w:rPr>
                <w:sz w:val="20"/>
              </w:rPr>
            </w:pPr>
            <w:r w:rsidRPr="00357596">
              <w:rPr>
                <w:sz w:val="20"/>
              </w:rPr>
              <w:t>In 2012, Warren Piche was involved in a motor vehicle accident near Swift Current, Saskatchewan. He sustained several injuries and suffered aggravation of other pre</w:t>
            </w:r>
            <w:r w:rsidRPr="00357596">
              <w:rPr>
                <w:sz w:val="20"/>
              </w:rPr>
              <w:noBreakHyphen/>
              <w:t xml:space="preserve">existing injuries. Mr. Piche saw several doctors and made a claim for his injuries to his insurer, Saskatchewan Government Insurance (SGI). Over the following years, Mr. Piche </w:t>
            </w:r>
            <w:r w:rsidRPr="00357596">
              <w:rPr>
                <w:sz w:val="20"/>
              </w:rPr>
              <w:lastRenderedPageBreak/>
              <w:t>and SGI disagreed on which medical conditions were caused by the motor vehicle accident. On April 10, 2014, SGI issued Mr. Piche a letter terminating income replacement benefits and other benefits. Mr. Piche appealed the decision to terminate his benefits to the Automobile Injury Appeal Commission, which proceeded by consent of both parties on the issue of causation alone. The Automobile Injury Appeal Commission unanimously dismissed Mr. Piche’s appeal as did the Court of Appeal for Saskatchewan.</w:t>
            </w:r>
          </w:p>
        </w:tc>
      </w:tr>
      <w:tr w:rsidR="00533FD5" w:rsidRPr="00357596" w:rsidTr="00533FD5">
        <w:tc>
          <w:tcPr>
            <w:tcW w:w="5000" w:type="pct"/>
            <w:gridSpan w:val="4"/>
          </w:tcPr>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August 23, 2017</w:t>
            </w:r>
          </w:p>
          <w:p w:rsidR="00533FD5" w:rsidRPr="00357596" w:rsidRDefault="00533FD5" w:rsidP="00160284">
            <w:pPr>
              <w:jc w:val="both"/>
              <w:rPr>
                <w:sz w:val="20"/>
              </w:rPr>
            </w:pPr>
            <w:r w:rsidRPr="00357596">
              <w:rPr>
                <w:sz w:val="20"/>
              </w:rPr>
              <w:t>Automobile Injury Appeal Commission</w:t>
            </w:r>
          </w:p>
          <w:p w:rsidR="00533FD5" w:rsidRPr="00357596" w:rsidRDefault="00533FD5" w:rsidP="00160284">
            <w:pPr>
              <w:jc w:val="both"/>
              <w:rPr>
                <w:sz w:val="20"/>
              </w:rPr>
            </w:pPr>
            <w:r w:rsidRPr="00357596">
              <w:rPr>
                <w:sz w:val="20"/>
              </w:rPr>
              <w:t>(</w:t>
            </w:r>
            <w:proofErr w:type="spellStart"/>
            <w:r w:rsidRPr="00357596">
              <w:rPr>
                <w:sz w:val="20"/>
              </w:rPr>
              <w:t>Schonhoffer</w:t>
            </w:r>
            <w:proofErr w:type="spellEnd"/>
            <w:r w:rsidRPr="00357596">
              <w:rPr>
                <w:sz w:val="20"/>
              </w:rPr>
              <w:t>, McKillop, and Lancaster )</w:t>
            </w:r>
          </w:p>
          <w:p w:rsidR="00533FD5" w:rsidRPr="00357596" w:rsidRDefault="00533FD5" w:rsidP="00160284">
            <w:pPr>
              <w:jc w:val="both"/>
              <w:rPr>
                <w:sz w:val="20"/>
              </w:rPr>
            </w:pPr>
            <w:hyperlink r:id="rId29" w:history="1">
              <w:r w:rsidRPr="00357596">
                <w:rPr>
                  <w:rStyle w:val="Hyperlink"/>
                  <w:sz w:val="20"/>
                </w:rPr>
                <w:t>2017 SKAIA 039</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Determination that Warren Piche’s injuries were not caused by a 2012 motor vehicle accident.</w:t>
            </w:r>
          </w:p>
        </w:tc>
      </w:tr>
      <w:tr w:rsidR="00533FD5" w:rsidRPr="00357596" w:rsidTr="00533FD5">
        <w:tc>
          <w:tcPr>
            <w:tcW w:w="2427" w:type="pct"/>
            <w:gridSpan w:val="2"/>
          </w:tcPr>
          <w:p w:rsidR="00533FD5" w:rsidRPr="00357596" w:rsidRDefault="00533FD5" w:rsidP="00160284">
            <w:pPr>
              <w:jc w:val="both"/>
              <w:rPr>
                <w:sz w:val="20"/>
              </w:rPr>
            </w:pPr>
            <w:r w:rsidRPr="00357596">
              <w:rPr>
                <w:sz w:val="20"/>
              </w:rPr>
              <w:t>April 30, 2020</w:t>
            </w:r>
          </w:p>
          <w:p w:rsidR="00533FD5" w:rsidRPr="00357596" w:rsidRDefault="00533FD5" w:rsidP="00160284">
            <w:pPr>
              <w:jc w:val="both"/>
              <w:rPr>
                <w:sz w:val="20"/>
              </w:rPr>
            </w:pPr>
            <w:r w:rsidRPr="00357596">
              <w:rPr>
                <w:sz w:val="20"/>
              </w:rPr>
              <w:t>Court of Appeal for Saskatchewan</w:t>
            </w:r>
          </w:p>
          <w:p w:rsidR="00533FD5" w:rsidRPr="00357596" w:rsidRDefault="00533FD5" w:rsidP="00160284">
            <w:pPr>
              <w:jc w:val="both"/>
              <w:rPr>
                <w:sz w:val="20"/>
              </w:rPr>
            </w:pPr>
            <w:r w:rsidRPr="00357596">
              <w:rPr>
                <w:sz w:val="20"/>
              </w:rPr>
              <w:t>(Ottenbreit, Schwann, and Tholl JJ.A.)</w:t>
            </w:r>
          </w:p>
          <w:p w:rsidR="00533FD5" w:rsidRPr="00357596" w:rsidRDefault="00533FD5" w:rsidP="00160284">
            <w:pPr>
              <w:jc w:val="both"/>
              <w:rPr>
                <w:sz w:val="20"/>
              </w:rPr>
            </w:pPr>
            <w:hyperlink r:id="rId30" w:anchor="related" w:history="1">
              <w:r w:rsidRPr="00357596">
                <w:rPr>
                  <w:rStyle w:val="Hyperlink"/>
                  <w:sz w:val="20"/>
                </w:rPr>
                <w:t>2020 SKCA 53</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Appeal dismissed.</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June 29, 2020</w:t>
            </w:r>
          </w:p>
          <w:p w:rsidR="00533FD5" w:rsidRPr="00357596" w:rsidRDefault="00533FD5" w:rsidP="00160284">
            <w:pPr>
              <w:jc w:val="both"/>
              <w:rPr>
                <w:sz w:val="20"/>
              </w:rPr>
            </w:pPr>
            <w:r w:rsidRPr="00357596">
              <w:rPr>
                <w:sz w:val="20"/>
              </w:rPr>
              <w:t>Supreme Court of Canada</w:t>
            </w: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Application for leave to appeal filed</w:t>
            </w:r>
          </w:p>
          <w:p w:rsidR="00533FD5" w:rsidRPr="00357596" w:rsidRDefault="00533FD5" w:rsidP="00160284">
            <w:pPr>
              <w:jc w:val="both"/>
              <w:rPr>
                <w:sz w:val="20"/>
              </w:rPr>
            </w:pPr>
          </w:p>
        </w:tc>
      </w:tr>
    </w:tbl>
    <w:p w:rsidR="00533FD5" w:rsidRPr="00357596" w:rsidRDefault="00533FD5" w:rsidP="00160284">
      <w:pPr>
        <w:jc w:val="both"/>
        <w:rPr>
          <w:sz w:val="20"/>
        </w:rPr>
      </w:pPr>
    </w:p>
    <w:p w:rsidR="00DA74AE" w:rsidRPr="00357596" w:rsidRDefault="00DA74AE" w:rsidP="00160284">
      <w:pPr>
        <w:jc w:val="both"/>
        <w:rPr>
          <w:sz w:val="20"/>
        </w:rPr>
      </w:pPr>
      <w:r w:rsidRPr="00357596">
        <w:rPr>
          <w:sz w:val="20"/>
        </w:rPr>
        <w:pict>
          <v:rect id="_x0000_i1033" style="width:2in;height:1pt" o:hrpct="0" o:hralign="center" o:hrstd="t" o:hrnoshade="t" o:hr="t" fillcolor="black [3213]" stroked="f"/>
        </w:pict>
      </w:r>
    </w:p>
    <w:p w:rsidR="00DA74AE" w:rsidRPr="00357596" w:rsidRDefault="00DA74AE" w:rsidP="0016028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t>39239</w:t>
            </w:r>
          </w:p>
        </w:tc>
        <w:tc>
          <w:tcPr>
            <w:tcW w:w="4457" w:type="pct"/>
            <w:gridSpan w:val="3"/>
          </w:tcPr>
          <w:p w:rsidR="00533FD5" w:rsidRPr="00357596" w:rsidRDefault="00533FD5" w:rsidP="00160284">
            <w:pPr>
              <w:pStyle w:val="SCCLsocParty"/>
              <w:jc w:val="both"/>
              <w:rPr>
                <w:b/>
                <w:sz w:val="20"/>
                <w:szCs w:val="20"/>
                <w:lang w:val="en-US"/>
              </w:rPr>
            </w:pPr>
            <w:r w:rsidRPr="00357596">
              <w:rPr>
                <w:b/>
                <w:sz w:val="20"/>
                <w:szCs w:val="20"/>
                <w:lang w:val="en-US"/>
              </w:rPr>
              <w:t>Warren Piche c. Saskatchewan Government Insurance</w:t>
            </w:r>
          </w:p>
          <w:p w:rsidR="00533FD5" w:rsidRPr="00357596" w:rsidRDefault="00533FD5" w:rsidP="00160284">
            <w:pPr>
              <w:jc w:val="both"/>
              <w:rPr>
                <w:sz w:val="20"/>
              </w:rPr>
            </w:pPr>
            <w:r w:rsidRPr="00357596">
              <w:rPr>
                <w:sz w:val="20"/>
              </w:rPr>
              <w:t>(Sask.) (Civile) (Sur autorisation)</w:t>
            </w:r>
          </w:p>
        </w:tc>
      </w:tr>
      <w:tr w:rsidR="00533FD5" w:rsidRPr="00357596" w:rsidTr="00533FD5">
        <w:tc>
          <w:tcPr>
            <w:tcW w:w="5000" w:type="pct"/>
            <w:gridSpan w:val="4"/>
          </w:tcPr>
          <w:p w:rsidR="00533FD5" w:rsidRPr="00357596" w:rsidRDefault="00533FD5" w:rsidP="00160284">
            <w:pPr>
              <w:jc w:val="both"/>
              <w:rPr>
                <w:sz w:val="20"/>
                <w:lang w:val="fr-CA"/>
              </w:rPr>
            </w:pPr>
            <w:r w:rsidRPr="00357596">
              <w:rPr>
                <w:sz w:val="20"/>
                <w:lang w:val="fr-CA"/>
              </w:rPr>
              <w:t xml:space="preserve">Droit administratif — Organismes et tribunaux administratifs — Procédure — Preuve d’expert — Le critère préliminaire tiré de l’arrêt </w:t>
            </w:r>
            <w:r w:rsidRPr="00357596">
              <w:rPr>
                <w:i/>
                <w:sz w:val="20"/>
                <w:lang w:val="fr-CA"/>
              </w:rPr>
              <w:t>R. c. Mohan</w:t>
            </w:r>
            <w:r w:rsidRPr="00357596">
              <w:rPr>
                <w:sz w:val="20"/>
                <w:lang w:val="fr-CA"/>
              </w:rPr>
              <w:t>, [1994] 2 R.C.S. 9, s’applique</w:t>
            </w:r>
            <w:r w:rsidRPr="00357596">
              <w:rPr>
                <w:sz w:val="20"/>
                <w:lang w:val="fr-CA"/>
              </w:rPr>
              <w:noBreakHyphen/>
              <w:t>t</w:t>
            </w:r>
            <w:r w:rsidRPr="00357596">
              <w:rPr>
                <w:sz w:val="20"/>
                <w:lang w:val="fr-CA"/>
              </w:rPr>
              <w:noBreakHyphen/>
              <w:t>il en droit administratif? — Les décideurs administratifs peuvent</w:t>
            </w:r>
            <w:r w:rsidRPr="00357596">
              <w:rPr>
                <w:sz w:val="20"/>
                <w:lang w:val="fr-CA"/>
              </w:rPr>
              <w:noBreakHyphen/>
              <w:t>il admettre une preuve d’expert sur la « question à trancher ultimement » dans le litige? — Les décideurs administratifs exercent</w:t>
            </w:r>
            <w:r w:rsidRPr="00357596">
              <w:rPr>
                <w:sz w:val="20"/>
                <w:lang w:val="fr-CA"/>
              </w:rPr>
              <w:noBreakHyphen/>
              <w:t>ils implicitement une fonction de gardien en matière de preuve d’expert?</w:t>
            </w:r>
          </w:p>
        </w:tc>
      </w:tr>
      <w:tr w:rsidR="00533FD5" w:rsidRPr="00357596" w:rsidTr="00533FD5">
        <w:tc>
          <w:tcPr>
            <w:tcW w:w="5000" w:type="pct"/>
            <w:gridSpan w:val="4"/>
          </w:tcPr>
          <w:p w:rsidR="00533FD5" w:rsidRPr="00357596" w:rsidRDefault="00533FD5" w:rsidP="00160284">
            <w:pPr>
              <w:jc w:val="both"/>
              <w:rPr>
                <w:sz w:val="20"/>
                <w:lang w:val="fr-CA"/>
              </w:rPr>
            </w:pPr>
          </w:p>
          <w:p w:rsidR="00533FD5" w:rsidRPr="00357596" w:rsidRDefault="00533FD5" w:rsidP="00160284">
            <w:pPr>
              <w:jc w:val="both"/>
              <w:rPr>
                <w:sz w:val="20"/>
                <w:lang w:val="fr-CA"/>
              </w:rPr>
            </w:pPr>
            <w:r w:rsidRPr="00357596">
              <w:rPr>
                <w:sz w:val="20"/>
                <w:lang w:val="fr-CA"/>
              </w:rPr>
              <w:t xml:space="preserve">En 2012, Warren Piche a été impliqué dans un accident d’automobile près de Swift Current (Saskatchewan). Il a subi plusieurs blessures de même qu’une aggravation de blessures préexistantes. Monsieur Piche a consulté plusieurs médecins et présenté une réclamation à son assureur, Saskatchewan Government Insurance (SGI). Au cours des années subséquentes, M. Piche et SGI ont eu un désaccord sur les problèmes médicaux imputables à l’accident d’automobile. Le 10 avril 2014, SGI a transmis à M. Piche une lettre mettant fin au versement des prestations de remplacement du revenu et d’autres prestations. M. Piche a interjeté appel de la décision de mettre un terme à ses prestations à </w:t>
            </w:r>
            <w:proofErr w:type="gramStart"/>
            <w:r w:rsidRPr="00357596">
              <w:rPr>
                <w:sz w:val="20"/>
                <w:lang w:val="fr-CA"/>
              </w:rPr>
              <w:t>la Automobile</w:t>
            </w:r>
            <w:proofErr w:type="gramEnd"/>
            <w:r w:rsidRPr="00357596">
              <w:rPr>
                <w:sz w:val="20"/>
                <w:lang w:val="fr-CA"/>
              </w:rPr>
              <w:t xml:space="preserve"> Injury Appeal Commission, qui a procédé sur consentement des deux parties relativement à la seule question du lien de causalité. </w:t>
            </w:r>
            <w:proofErr w:type="gramStart"/>
            <w:r w:rsidRPr="00357596">
              <w:rPr>
                <w:sz w:val="20"/>
                <w:lang w:val="fr-CA"/>
              </w:rPr>
              <w:t>La Automobile</w:t>
            </w:r>
            <w:proofErr w:type="gramEnd"/>
            <w:r w:rsidRPr="00357596">
              <w:rPr>
                <w:sz w:val="20"/>
                <w:lang w:val="fr-CA"/>
              </w:rPr>
              <w:t xml:space="preserve"> Injury Appeal Commission a rejeté à l’unanimité l’appel de M. Piche, tout comme la Cour d’appel de la Saskatchewan.</w:t>
            </w:r>
          </w:p>
        </w:tc>
      </w:tr>
      <w:tr w:rsidR="00533FD5" w:rsidRPr="00357596" w:rsidTr="00533FD5">
        <w:tc>
          <w:tcPr>
            <w:tcW w:w="5000" w:type="pct"/>
            <w:gridSpan w:val="4"/>
          </w:tcPr>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23 août 2017</w:t>
            </w:r>
          </w:p>
          <w:p w:rsidR="00533FD5" w:rsidRPr="00357596" w:rsidRDefault="00533FD5" w:rsidP="00160284">
            <w:pPr>
              <w:jc w:val="both"/>
              <w:rPr>
                <w:sz w:val="20"/>
              </w:rPr>
            </w:pPr>
            <w:r w:rsidRPr="00357596">
              <w:rPr>
                <w:sz w:val="20"/>
              </w:rPr>
              <w:t>Automobile Injury Appeal Commission</w:t>
            </w:r>
          </w:p>
          <w:p w:rsidR="00533FD5" w:rsidRPr="00357596" w:rsidRDefault="00533FD5" w:rsidP="00160284">
            <w:pPr>
              <w:jc w:val="both"/>
              <w:rPr>
                <w:sz w:val="20"/>
              </w:rPr>
            </w:pPr>
            <w:r w:rsidRPr="00357596">
              <w:rPr>
                <w:sz w:val="20"/>
              </w:rPr>
              <w:t>(Schonhoffer, McKillop et Lancaster )</w:t>
            </w:r>
          </w:p>
          <w:p w:rsidR="00533FD5" w:rsidRPr="00357596" w:rsidRDefault="00533FD5" w:rsidP="00160284">
            <w:pPr>
              <w:jc w:val="both"/>
              <w:rPr>
                <w:sz w:val="20"/>
              </w:rPr>
            </w:pPr>
            <w:hyperlink r:id="rId31" w:history="1">
              <w:r w:rsidRPr="00357596">
                <w:rPr>
                  <w:rStyle w:val="Hyperlink"/>
                  <w:sz w:val="20"/>
                </w:rPr>
                <w:t>2017 SKAIA 039</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lang w:val="fr-CA"/>
              </w:rPr>
            </w:pPr>
            <w:r w:rsidRPr="00357596">
              <w:rPr>
                <w:sz w:val="20"/>
                <w:lang w:val="fr-CA"/>
              </w:rPr>
              <w:t>Décision portant que les blessures de Warren Piche n’ont pas été causées par un accident d’automobile survenu en 2012.</w:t>
            </w: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30 avril 2020</w:t>
            </w:r>
          </w:p>
          <w:p w:rsidR="00533FD5" w:rsidRPr="00357596" w:rsidRDefault="00533FD5" w:rsidP="00160284">
            <w:pPr>
              <w:jc w:val="both"/>
              <w:rPr>
                <w:sz w:val="20"/>
                <w:lang w:val="fr-CA"/>
              </w:rPr>
            </w:pPr>
            <w:r w:rsidRPr="00357596">
              <w:rPr>
                <w:sz w:val="20"/>
                <w:lang w:val="fr-CA"/>
              </w:rPr>
              <w:t>Cour d’appel de la Saskatchewan</w:t>
            </w:r>
          </w:p>
          <w:p w:rsidR="00533FD5" w:rsidRPr="00357596" w:rsidRDefault="00533FD5" w:rsidP="00160284">
            <w:pPr>
              <w:jc w:val="both"/>
              <w:rPr>
                <w:sz w:val="20"/>
              </w:rPr>
            </w:pPr>
            <w:r w:rsidRPr="00357596">
              <w:rPr>
                <w:sz w:val="20"/>
              </w:rPr>
              <w:t>(Juges Ottenbreit, Schwann et Tholl)</w:t>
            </w:r>
          </w:p>
          <w:p w:rsidR="00533FD5" w:rsidRPr="00357596" w:rsidRDefault="00533FD5" w:rsidP="00160284">
            <w:pPr>
              <w:jc w:val="both"/>
              <w:rPr>
                <w:sz w:val="20"/>
              </w:rPr>
            </w:pPr>
            <w:hyperlink r:id="rId32" w:anchor="related" w:history="1">
              <w:r w:rsidRPr="00357596">
                <w:rPr>
                  <w:rStyle w:val="Hyperlink"/>
                  <w:sz w:val="20"/>
                </w:rPr>
                <w:t>2020 SKCA 53</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Rejet de l’appel.</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29 juin 2020</w:t>
            </w:r>
          </w:p>
          <w:p w:rsidR="00533FD5" w:rsidRPr="00357596" w:rsidRDefault="00533FD5" w:rsidP="00160284">
            <w:pPr>
              <w:jc w:val="both"/>
              <w:rPr>
                <w:sz w:val="20"/>
                <w:lang w:val="fr-CA"/>
              </w:rPr>
            </w:pPr>
            <w:r w:rsidRPr="00357596">
              <w:rPr>
                <w:sz w:val="20"/>
                <w:lang w:val="fr-CA"/>
              </w:rPr>
              <w:t>Cour suprême du Canada</w:t>
            </w: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 xml:space="preserve">Dépôt de la demande d’autorisation d’appel. </w:t>
            </w:r>
          </w:p>
          <w:p w:rsidR="00533FD5" w:rsidRPr="00357596" w:rsidRDefault="00533FD5" w:rsidP="00160284">
            <w:pPr>
              <w:jc w:val="both"/>
              <w:rPr>
                <w:sz w:val="20"/>
                <w:lang w:val="fr-CA"/>
              </w:rPr>
            </w:pPr>
          </w:p>
        </w:tc>
      </w:tr>
    </w:tbl>
    <w:p w:rsidR="00533FD5" w:rsidRPr="00357596" w:rsidRDefault="00533FD5" w:rsidP="00160284">
      <w:pPr>
        <w:jc w:val="both"/>
        <w:rPr>
          <w:sz w:val="20"/>
          <w:lang w:val="fr-CA"/>
        </w:rPr>
      </w:pPr>
    </w:p>
    <w:p w:rsidR="001319D2" w:rsidRPr="00357596" w:rsidRDefault="00DA74AE" w:rsidP="00160284">
      <w:pPr>
        <w:widowControl w:val="0"/>
        <w:jc w:val="both"/>
        <w:rPr>
          <w:sz w:val="20"/>
          <w:lang w:val="fr-CA"/>
        </w:rPr>
      </w:pPr>
      <w:r w:rsidRPr="00357596">
        <w:rPr>
          <w:sz w:val="20"/>
        </w:rPr>
        <w:pict>
          <v:rect id="_x0000_i1034" style="width:2in;height:1pt" o:hrpct="0" o:hralign="center" o:hrstd="t" o:hrnoshade="t" o:hr="t" fillcolor="black [3213]" stroked="f"/>
        </w:pict>
      </w:r>
    </w:p>
    <w:p w:rsidR="001319D2" w:rsidRPr="00357596" w:rsidRDefault="001319D2"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lastRenderedPageBreak/>
              <w:t>39217</w:t>
            </w:r>
          </w:p>
        </w:tc>
        <w:tc>
          <w:tcPr>
            <w:tcW w:w="4457" w:type="pct"/>
            <w:gridSpan w:val="3"/>
          </w:tcPr>
          <w:p w:rsidR="00533FD5" w:rsidRPr="00357596" w:rsidRDefault="00533FD5" w:rsidP="00160284">
            <w:pPr>
              <w:pStyle w:val="SCCLsocParty"/>
              <w:jc w:val="both"/>
              <w:rPr>
                <w:b/>
                <w:sz w:val="20"/>
                <w:szCs w:val="20"/>
                <w:lang w:val="en-US"/>
              </w:rPr>
            </w:pPr>
            <w:r w:rsidRPr="00357596">
              <w:rPr>
                <w:b/>
                <w:sz w:val="20"/>
                <w:szCs w:val="20"/>
                <w:lang w:val="en-US"/>
              </w:rPr>
              <w:t>Michael Novac, Nelly Novac, Sonco Group Inc., The Novac 2011 Family Trust, The Novac Family Trust (2013) v. Jennifer Ann Leitch</w:t>
            </w:r>
          </w:p>
          <w:p w:rsidR="00533FD5" w:rsidRPr="00357596" w:rsidRDefault="00DA74AE" w:rsidP="00160284">
            <w:pPr>
              <w:jc w:val="both"/>
              <w:rPr>
                <w:sz w:val="20"/>
              </w:rPr>
            </w:pPr>
            <w:r w:rsidRPr="00357596">
              <w:rPr>
                <w:sz w:val="20"/>
              </w:rPr>
              <w:t>(Ont.) (Civil) (By Leave)</w:t>
            </w:r>
          </w:p>
        </w:tc>
      </w:tr>
      <w:tr w:rsidR="00533FD5" w:rsidRPr="00357596" w:rsidTr="00533FD5">
        <w:tc>
          <w:tcPr>
            <w:tcW w:w="5000" w:type="pct"/>
            <w:gridSpan w:val="4"/>
          </w:tcPr>
          <w:p w:rsidR="00533FD5" w:rsidRPr="00357596" w:rsidRDefault="00533FD5" w:rsidP="00160284">
            <w:pPr>
              <w:jc w:val="both"/>
              <w:rPr>
                <w:sz w:val="20"/>
              </w:rPr>
            </w:pPr>
            <w:r w:rsidRPr="00357596">
              <w:rPr>
                <w:sz w:val="20"/>
              </w:rPr>
              <w:t xml:space="preserve">Torts — Tort of civil conspiracy — Judgments and orders — Summary judgments — Whether it is advisable or necessary to extend the tort of civil conspiracy to applications for child and spousal support in the face of a comprehensive statutory regime that governs the relationships of, and provides all requisite remedies for claims between spouses — How a court should balance the factors laid down by this Court in </w:t>
            </w:r>
            <w:r w:rsidRPr="00357596">
              <w:rPr>
                <w:i/>
                <w:sz w:val="20"/>
              </w:rPr>
              <w:t>Hryniak</w:t>
            </w:r>
            <w:r w:rsidRPr="00357596">
              <w:rPr>
                <w:sz w:val="20"/>
              </w:rPr>
              <w:t xml:space="preserve"> </w:t>
            </w:r>
            <w:r w:rsidRPr="00357596">
              <w:rPr>
                <w:i/>
                <w:sz w:val="20"/>
              </w:rPr>
              <w:t>v. Mauldin</w:t>
            </w:r>
            <w:r w:rsidRPr="00357596">
              <w:rPr>
                <w:sz w:val="20"/>
              </w:rPr>
              <w:t>, [2014] 1 S.C.R. 87 of economical access to justice and the efficient use of judicial resources, with the possible risk of inconsistent findings, when considering summary judgment of claims as against one or more parties, which will result in a complete dismissal as against them and the continuation of the application or action against others — Whether a speculative risk of inconsistent findings be a paramount or overriding concern</w:t>
            </w:r>
          </w:p>
        </w:tc>
      </w:tr>
      <w:tr w:rsidR="00533FD5" w:rsidRPr="00357596" w:rsidTr="00533FD5">
        <w:tc>
          <w:tcPr>
            <w:tcW w:w="5000" w:type="pct"/>
            <w:gridSpan w:val="4"/>
          </w:tcPr>
          <w:p w:rsidR="00533FD5" w:rsidRPr="00357596" w:rsidRDefault="00533FD5" w:rsidP="00160284">
            <w:pPr>
              <w:jc w:val="both"/>
              <w:rPr>
                <w:sz w:val="20"/>
              </w:rPr>
            </w:pPr>
          </w:p>
          <w:p w:rsidR="00533FD5" w:rsidRPr="00357596" w:rsidRDefault="00533FD5" w:rsidP="00160284">
            <w:pPr>
              <w:jc w:val="both"/>
              <w:rPr>
                <w:sz w:val="20"/>
              </w:rPr>
            </w:pPr>
            <w:r w:rsidRPr="00357596">
              <w:rPr>
                <w:sz w:val="20"/>
              </w:rPr>
              <w:t xml:space="preserve">The applicants Michael Novac and Nelly Novac are Anthony Novac’s parents. Anthony Novac and the respondent Jennifer Leitch were married for 15 years. Michael Novac et al. brought a motion for summary judgment before the court of first instance to dismiss Ms. Leitch’s claims that they had conspired in the sheltering and/or concealing of Anthony Novac’s income and assets to deprive her and the former couple’s children of their support entitlements. The Ontario Superior Court of Justice found that this was a suitable case for summary judgment and that Ms. Leitch had failed to meet the required threshold with respect to the tort of conspiracy. The Court of Appeal unanimously disagreed with both these conclusions. </w:t>
            </w:r>
          </w:p>
        </w:tc>
      </w:tr>
      <w:tr w:rsidR="00533FD5" w:rsidRPr="00357596" w:rsidTr="00533FD5">
        <w:tc>
          <w:tcPr>
            <w:tcW w:w="5000" w:type="pct"/>
            <w:gridSpan w:val="4"/>
          </w:tcPr>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January 31, 2019</w:t>
            </w:r>
          </w:p>
          <w:p w:rsidR="00533FD5" w:rsidRPr="00357596" w:rsidRDefault="00533FD5" w:rsidP="00160284">
            <w:pPr>
              <w:jc w:val="both"/>
              <w:rPr>
                <w:sz w:val="20"/>
              </w:rPr>
            </w:pPr>
            <w:r w:rsidRPr="00357596">
              <w:rPr>
                <w:sz w:val="20"/>
              </w:rPr>
              <w:t>Ontario Superior Court of Justice</w:t>
            </w:r>
          </w:p>
          <w:p w:rsidR="00533FD5" w:rsidRPr="00357596" w:rsidRDefault="00533FD5" w:rsidP="00160284">
            <w:pPr>
              <w:jc w:val="both"/>
              <w:rPr>
                <w:sz w:val="20"/>
              </w:rPr>
            </w:pPr>
            <w:r w:rsidRPr="00357596">
              <w:rPr>
                <w:sz w:val="20"/>
              </w:rPr>
              <w:t>(Gilmore J.)</w:t>
            </w:r>
          </w:p>
          <w:p w:rsidR="00533FD5" w:rsidRPr="00357596" w:rsidRDefault="00533FD5" w:rsidP="00160284">
            <w:pPr>
              <w:jc w:val="both"/>
              <w:rPr>
                <w:sz w:val="20"/>
              </w:rPr>
            </w:pPr>
            <w:hyperlink r:id="rId33" w:history="1">
              <w:r w:rsidRPr="00357596">
                <w:rPr>
                  <w:rStyle w:val="Hyperlink"/>
                  <w:sz w:val="20"/>
                </w:rPr>
                <w:t>2019 ONSC 794</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Applicants Michael Novac, Nelly Novac and Sonco Group Inc. motion for summary judgment granted, and respondent’s claims for damages for civil conspiracy dismissed</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April 17, 2020</w:t>
            </w:r>
          </w:p>
          <w:p w:rsidR="00533FD5" w:rsidRPr="00357596" w:rsidRDefault="00533FD5" w:rsidP="00160284">
            <w:pPr>
              <w:jc w:val="both"/>
              <w:rPr>
                <w:sz w:val="20"/>
              </w:rPr>
            </w:pPr>
            <w:r w:rsidRPr="00357596">
              <w:rPr>
                <w:sz w:val="20"/>
              </w:rPr>
              <w:t>Court of Appeal for Ontario</w:t>
            </w:r>
          </w:p>
          <w:p w:rsidR="00533FD5" w:rsidRPr="00357596" w:rsidRDefault="00533FD5" w:rsidP="00160284">
            <w:pPr>
              <w:jc w:val="both"/>
              <w:rPr>
                <w:sz w:val="20"/>
              </w:rPr>
            </w:pPr>
            <w:r w:rsidRPr="00357596">
              <w:rPr>
                <w:sz w:val="20"/>
              </w:rPr>
              <w:t xml:space="preserve">(Lauwers, Hourigan and </w:t>
            </w:r>
            <w:proofErr w:type="spellStart"/>
            <w:r w:rsidRPr="00357596">
              <w:rPr>
                <w:sz w:val="20"/>
              </w:rPr>
              <w:t>Thorburn</w:t>
            </w:r>
            <w:proofErr w:type="spellEnd"/>
            <w:r w:rsidRPr="00357596">
              <w:rPr>
                <w:sz w:val="20"/>
              </w:rPr>
              <w:t xml:space="preserve"> JJ.A.)</w:t>
            </w:r>
          </w:p>
          <w:p w:rsidR="00533FD5" w:rsidRPr="00357596" w:rsidRDefault="00533FD5" w:rsidP="00160284">
            <w:pPr>
              <w:jc w:val="both"/>
              <w:rPr>
                <w:sz w:val="20"/>
              </w:rPr>
            </w:pPr>
            <w:hyperlink r:id="rId34" w:history="1">
              <w:r w:rsidRPr="00357596">
                <w:rPr>
                  <w:rStyle w:val="Hyperlink"/>
                  <w:sz w:val="20"/>
                </w:rPr>
                <w:t>2020 ONCA 257</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 xml:space="preserve">Appeal allowed and order granting summary judgment set aside </w:t>
            </w:r>
          </w:p>
        </w:tc>
      </w:tr>
      <w:tr w:rsidR="00533FD5" w:rsidRPr="00357596" w:rsidTr="00533FD5">
        <w:tc>
          <w:tcPr>
            <w:tcW w:w="2427" w:type="pct"/>
            <w:gridSpan w:val="2"/>
          </w:tcPr>
          <w:p w:rsidR="00533FD5" w:rsidRPr="00357596" w:rsidRDefault="00533FD5" w:rsidP="00160284">
            <w:pPr>
              <w:jc w:val="both"/>
              <w:rPr>
                <w:sz w:val="20"/>
              </w:rPr>
            </w:pPr>
            <w:r w:rsidRPr="00357596">
              <w:rPr>
                <w:sz w:val="20"/>
              </w:rPr>
              <w:t>June 16, 2020</w:t>
            </w:r>
          </w:p>
          <w:p w:rsidR="00533FD5" w:rsidRPr="00357596" w:rsidRDefault="00533FD5" w:rsidP="00160284">
            <w:pPr>
              <w:jc w:val="both"/>
              <w:rPr>
                <w:sz w:val="20"/>
              </w:rPr>
            </w:pPr>
            <w:r w:rsidRPr="00357596">
              <w:rPr>
                <w:sz w:val="20"/>
              </w:rPr>
              <w:t>Supreme Court of Canada</w:t>
            </w: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Application for leave to appeal filed</w:t>
            </w:r>
          </w:p>
          <w:p w:rsidR="00533FD5" w:rsidRPr="00357596" w:rsidRDefault="00533FD5" w:rsidP="00160284">
            <w:pPr>
              <w:jc w:val="both"/>
              <w:rPr>
                <w:sz w:val="20"/>
              </w:rPr>
            </w:pPr>
          </w:p>
        </w:tc>
      </w:tr>
    </w:tbl>
    <w:p w:rsidR="00533FD5" w:rsidRPr="00357596" w:rsidRDefault="00533FD5" w:rsidP="00160284">
      <w:pPr>
        <w:jc w:val="both"/>
        <w:rPr>
          <w:sz w:val="20"/>
        </w:rPr>
      </w:pPr>
    </w:p>
    <w:p w:rsidR="00533FD5" w:rsidRPr="00357596" w:rsidRDefault="00DA74AE" w:rsidP="00160284">
      <w:pPr>
        <w:jc w:val="both"/>
        <w:rPr>
          <w:sz w:val="20"/>
        </w:rPr>
      </w:pPr>
      <w:r w:rsidRPr="00357596">
        <w:rPr>
          <w:sz w:val="20"/>
        </w:rPr>
        <w:pict>
          <v:rect id="_x0000_i1035" style="width:2in;height:1pt" o:hrpct="0" o:hralign="center" o:hrstd="t" o:hrnoshade="t" o:hr="t" fillcolor="black [3213]" stroked="f"/>
        </w:pict>
      </w:r>
    </w:p>
    <w:p w:rsidR="00533FD5" w:rsidRPr="00357596" w:rsidRDefault="00533FD5" w:rsidP="0016028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lang w:val="fr-CA"/>
              </w:rPr>
            </w:pPr>
            <w:r w:rsidRPr="00357596">
              <w:rPr>
                <w:rStyle w:val="SCCFileNumberChar"/>
                <w:sz w:val="20"/>
                <w:szCs w:val="20"/>
                <w:lang w:val="fr-CA"/>
              </w:rPr>
              <w:t>39217</w:t>
            </w:r>
          </w:p>
        </w:tc>
        <w:tc>
          <w:tcPr>
            <w:tcW w:w="4457" w:type="pct"/>
            <w:gridSpan w:val="3"/>
          </w:tcPr>
          <w:p w:rsidR="00533FD5" w:rsidRPr="00357596" w:rsidRDefault="00533FD5" w:rsidP="00160284">
            <w:pPr>
              <w:pStyle w:val="SCCLsocParty"/>
              <w:jc w:val="both"/>
              <w:rPr>
                <w:b/>
                <w:sz w:val="20"/>
                <w:szCs w:val="20"/>
              </w:rPr>
            </w:pPr>
            <w:r w:rsidRPr="00357596">
              <w:rPr>
                <w:b/>
                <w:sz w:val="20"/>
                <w:szCs w:val="20"/>
              </w:rPr>
              <w:t>Michael Novac, Nelly Novac, Sonco Group Inc., fiducie familiale Novac 2011, fiducie familiale Novac (2013) c. Jennifer Ann Leitch</w:t>
            </w:r>
          </w:p>
          <w:p w:rsidR="00533FD5" w:rsidRPr="00357596" w:rsidRDefault="00533FD5" w:rsidP="00DA74AE">
            <w:pPr>
              <w:jc w:val="both"/>
              <w:rPr>
                <w:sz w:val="20"/>
                <w:lang w:val="fr-CA"/>
              </w:rPr>
            </w:pPr>
            <w:r w:rsidRPr="00357596">
              <w:rPr>
                <w:sz w:val="20"/>
                <w:lang w:val="fr-CA"/>
              </w:rPr>
              <w:t>(Ont.) (Civile) (Sur autorisation)</w:t>
            </w:r>
          </w:p>
        </w:tc>
      </w:tr>
      <w:tr w:rsidR="00533FD5" w:rsidRPr="00357596" w:rsidTr="00533FD5">
        <w:tc>
          <w:tcPr>
            <w:tcW w:w="5000" w:type="pct"/>
            <w:gridSpan w:val="4"/>
          </w:tcPr>
          <w:p w:rsidR="00533FD5" w:rsidRPr="00357596" w:rsidRDefault="00533FD5" w:rsidP="00160284">
            <w:pPr>
              <w:jc w:val="both"/>
              <w:rPr>
                <w:sz w:val="20"/>
                <w:lang w:val="fr-CA"/>
              </w:rPr>
            </w:pPr>
            <w:r w:rsidRPr="00357596">
              <w:rPr>
                <w:sz w:val="20"/>
                <w:lang w:val="fr-CA"/>
              </w:rPr>
              <w:t>Responsabilité délictuelle — Délit de complot civil — Jugements et ordonnances — Jugements sommaires — Est</w:t>
            </w:r>
            <w:r w:rsidRPr="00357596">
              <w:rPr>
                <w:sz w:val="20"/>
                <w:lang w:val="fr-CA"/>
              </w:rPr>
              <w:noBreakHyphen/>
              <w:t>il souhaitable ou nécessaire d’étendre le délit de complot civil aux demandes de prestation alimentaire au profit d’un enfant ou d’un conjoint au vu d’un régime législatif exhaustif qui régit les relations et prévoit tous les recours nécessaires liés aux réclamations entre conjoints ? — Comment les tribunaux devraient</w:t>
            </w:r>
            <w:r w:rsidRPr="00357596">
              <w:rPr>
                <w:sz w:val="20"/>
                <w:lang w:val="fr-CA"/>
              </w:rPr>
              <w:noBreakHyphen/>
              <w:t xml:space="preserve">ils soupeser les facteurs établis par la Cour dans l’arrêt </w:t>
            </w:r>
            <w:r w:rsidRPr="00357596">
              <w:rPr>
                <w:i/>
                <w:sz w:val="20"/>
                <w:lang w:val="fr-CA"/>
              </w:rPr>
              <w:t>Hryniak</w:t>
            </w:r>
            <w:r w:rsidRPr="00357596">
              <w:rPr>
                <w:sz w:val="20"/>
                <w:lang w:val="fr-CA"/>
              </w:rPr>
              <w:t xml:space="preserve"> c</w:t>
            </w:r>
            <w:r w:rsidRPr="00357596">
              <w:rPr>
                <w:i/>
                <w:sz w:val="20"/>
                <w:lang w:val="fr-CA"/>
              </w:rPr>
              <w:t>. Mauldin</w:t>
            </w:r>
            <w:r w:rsidRPr="00357596">
              <w:rPr>
                <w:sz w:val="20"/>
                <w:lang w:val="fr-CA"/>
              </w:rPr>
              <w:t>, [2014] 1 R.C.S. 87, soit l’accès économique à la justice et le recours efficace aux ressources judiciaires, et</w:t>
            </w:r>
            <w:r w:rsidRPr="00357596">
              <w:rPr>
                <w:color w:val="000000"/>
                <w:sz w:val="20"/>
                <w:lang w:val="fr-CA"/>
              </w:rPr>
              <w:t xml:space="preserve"> le </w:t>
            </w:r>
            <w:r w:rsidRPr="00357596">
              <w:rPr>
                <w:sz w:val="20"/>
                <w:lang w:val="fr-CA"/>
              </w:rPr>
              <w:t>risque de conclusions contradictoires possibles, lors de l’examen d’un jugement sommaire portant sur des réclamations contre une ou plusieurs parties, qui se solde par le rejet au complet de celles</w:t>
            </w:r>
            <w:r w:rsidRPr="00357596">
              <w:rPr>
                <w:sz w:val="20"/>
                <w:lang w:val="fr-CA"/>
              </w:rPr>
              <w:noBreakHyphen/>
              <w:t>ci, mais le maintien de l’action ou de la demande contres d’autres parties ? — Un risque conjectural de conclusions contradictoires est</w:t>
            </w:r>
            <w:r w:rsidRPr="00357596">
              <w:rPr>
                <w:sz w:val="20"/>
                <w:lang w:val="fr-CA"/>
              </w:rPr>
              <w:noBreakHyphen/>
              <w:t>il une préoccupation primordiale ou dominante ?</w:t>
            </w:r>
          </w:p>
        </w:tc>
      </w:tr>
      <w:tr w:rsidR="00533FD5" w:rsidRPr="00357596" w:rsidTr="00533FD5">
        <w:tc>
          <w:tcPr>
            <w:tcW w:w="5000" w:type="pct"/>
            <w:gridSpan w:val="4"/>
          </w:tcPr>
          <w:p w:rsidR="00533FD5" w:rsidRPr="00357596" w:rsidRDefault="00533FD5" w:rsidP="00160284">
            <w:pPr>
              <w:jc w:val="both"/>
              <w:rPr>
                <w:sz w:val="20"/>
                <w:lang w:val="fr-CA"/>
              </w:rPr>
            </w:pPr>
          </w:p>
          <w:p w:rsidR="00533FD5" w:rsidRPr="00357596" w:rsidRDefault="00533FD5" w:rsidP="00160284">
            <w:pPr>
              <w:jc w:val="both"/>
              <w:rPr>
                <w:sz w:val="20"/>
                <w:lang w:val="fr-CA"/>
              </w:rPr>
            </w:pPr>
            <w:r w:rsidRPr="00357596">
              <w:rPr>
                <w:sz w:val="20"/>
                <w:lang w:val="fr-CA"/>
              </w:rPr>
              <w:t>Les demandeurs Michael Novac et Nelly Novac sont les parents d’Anthony Novac. Anthony Novac et l’intimée, Jennifer Leitch, ont été mariés pendant 15 ans. Devant le tribunal de première instance, Michael Novac et les autres appelants ont présenté une motion en vue d’obtenir un jugement sommaire visant le rejet des réclamations de Mme Leitch, qui allègue que ces derniers ont comploté pour mettre à l’abri ou dissimuler le revenu et les actifs d’Anthony Novac afin de priver Mme Leitch et les enfants de l’ex</w:t>
            </w:r>
            <w:r w:rsidRPr="00357596">
              <w:rPr>
                <w:sz w:val="20"/>
                <w:lang w:val="fr-CA"/>
              </w:rPr>
              <w:noBreakHyphen/>
              <w:t xml:space="preserve">couple de leurs prestations alimentaires. La Cour supérieure de justice de l’Ontario a conclu que l’affaire convenait aux fins d’un jugement sommaire et que </w:t>
            </w:r>
            <w:r w:rsidRPr="00357596">
              <w:rPr>
                <w:sz w:val="20"/>
                <w:lang w:val="fr-CA"/>
              </w:rPr>
              <w:lastRenderedPageBreak/>
              <w:t xml:space="preserve">Mme Leitch n’avait pas réussi à satisfaire au seuil requis à l’égard du délit de complot. La Cour d’appel, à l’unanimité, était en désaccord à l’égard de ces deux conclusions tirées par le tribunal inférieur. </w:t>
            </w:r>
          </w:p>
        </w:tc>
      </w:tr>
      <w:tr w:rsidR="00533FD5" w:rsidRPr="00357596" w:rsidTr="00533FD5">
        <w:tc>
          <w:tcPr>
            <w:tcW w:w="5000" w:type="pct"/>
            <w:gridSpan w:val="4"/>
          </w:tcPr>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31 janvier 2019</w:t>
            </w:r>
          </w:p>
          <w:p w:rsidR="00533FD5" w:rsidRPr="00357596" w:rsidRDefault="00533FD5" w:rsidP="00160284">
            <w:pPr>
              <w:jc w:val="both"/>
              <w:rPr>
                <w:sz w:val="20"/>
                <w:lang w:val="fr-CA"/>
              </w:rPr>
            </w:pPr>
            <w:r w:rsidRPr="00357596">
              <w:rPr>
                <w:sz w:val="20"/>
                <w:lang w:val="fr-CA"/>
              </w:rPr>
              <w:t>Cour supérieure de justice de l’Ontario</w:t>
            </w:r>
          </w:p>
          <w:p w:rsidR="00533FD5" w:rsidRPr="00357596" w:rsidRDefault="00533FD5" w:rsidP="00160284">
            <w:pPr>
              <w:jc w:val="both"/>
              <w:rPr>
                <w:sz w:val="20"/>
                <w:lang w:val="fr-CA"/>
              </w:rPr>
            </w:pPr>
            <w:r w:rsidRPr="00357596">
              <w:rPr>
                <w:sz w:val="20"/>
                <w:lang w:val="fr-CA"/>
              </w:rPr>
              <w:t>(Juge Gilmore)</w:t>
            </w:r>
          </w:p>
          <w:p w:rsidR="00533FD5" w:rsidRPr="00357596" w:rsidRDefault="00533FD5" w:rsidP="00160284">
            <w:pPr>
              <w:jc w:val="both"/>
              <w:rPr>
                <w:sz w:val="20"/>
                <w:lang w:val="fr-CA"/>
              </w:rPr>
            </w:pPr>
            <w:hyperlink r:id="rId35" w:history="1">
              <w:r w:rsidRPr="00357596">
                <w:rPr>
                  <w:rStyle w:val="Hyperlink"/>
                  <w:sz w:val="20"/>
                  <w:lang w:val="fr-CA"/>
                </w:rPr>
                <w:t>2019 ONSC 794</w:t>
              </w:r>
            </w:hyperlink>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La motion en vue d’obtenir un jugement sommaire, présentée par les demandeurs, Michael Novac, Nelly Novac et Sonco Group Inc., est accueillie et les réclamations de l’intimée en dommages-intérêts pour cause de complot civil rejetées.</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17 avril 2020</w:t>
            </w:r>
          </w:p>
          <w:p w:rsidR="00533FD5" w:rsidRPr="00357596" w:rsidRDefault="00533FD5" w:rsidP="00160284">
            <w:pPr>
              <w:jc w:val="both"/>
              <w:rPr>
                <w:sz w:val="20"/>
                <w:lang w:val="fr-CA"/>
              </w:rPr>
            </w:pPr>
            <w:r w:rsidRPr="00357596">
              <w:rPr>
                <w:sz w:val="20"/>
                <w:lang w:val="fr-CA"/>
              </w:rPr>
              <w:t>Cour d’appel de l’Ontario</w:t>
            </w:r>
          </w:p>
          <w:p w:rsidR="00533FD5" w:rsidRPr="00357596" w:rsidRDefault="00533FD5" w:rsidP="00160284">
            <w:pPr>
              <w:jc w:val="both"/>
              <w:rPr>
                <w:sz w:val="20"/>
                <w:lang w:val="fr-CA"/>
              </w:rPr>
            </w:pPr>
            <w:r w:rsidRPr="00357596">
              <w:rPr>
                <w:sz w:val="20"/>
                <w:lang w:val="fr-CA"/>
              </w:rPr>
              <w:t xml:space="preserve">(Juges Lauwers, </w:t>
            </w:r>
            <w:proofErr w:type="spellStart"/>
            <w:r w:rsidRPr="00357596">
              <w:rPr>
                <w:sz w:val="20"/>
                <w:lang w:val="fr-CA"/>
              </w:rPr>
              <w:t>Hourigan</w:t>
            </w:r>
            <w:proofErr w:type="spellEnd"/>
            <w:r w:rsidRPr="00357596">
              <w:rPr>
                <w:sz w:val="20"/>
                <w:lang w:val="fr-CA"/>
              </w:rPr>
              <w:t xml:space="preserve"> et </w:t>
            </w:r>
            <w:proofErr w:type="spellStart"/>
            <w:r w:rsidRPr="00357596">
              <w:rPr>
                <w:sz w:val="20"/>
                <w:lang w:val="fr-CA"/>
              </w:rPr>
              <w:t>Thorburn</w:t>
            </w:r>
            <w:proofErr w:type="spellEnd"/>
            <w:r w:rsidRPr="00357596">
              <w:rPr>
                <w:sz w:val="20"/>
                <w:lang w:val="fr-CA"/>
              </w:rPr>
              <w:t>)</w:t>
            </w:r>
          </w:p>
          <w:p w:rsidR="00533FD5" w:rsidRPr="00357596" w:rsidRDefault="00533FD5" w:rsidP="00160284">
            <w:pPr>
              <w:jc w:val="both"/>
              <w:rPr>
                <w:sz w:val="20"/>
                <w:lang w:val="fr-CA"/>
              </w:rPr>
            </w:pPr>
            <w:hyperlink r:id="rId36" w:history="1">
              <w:r w:rsidRPr="00357596">
                <w:rPr>
                  <w:rStyle w:val="Hyperlink"/>
                  <w:sz w:val="20"/>
                  <w:lang w:val="fr-CA"/>
                </w:rPr>
                <w:t>2020 ONCA 257</w:t>
              </w:r>
            </w:hyperlink>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 xml:space="preserve">Appel accueilli et ordonnance accordant un jugement sommaire annulée. </w:t>
            </w: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16 juin 2020</w:t>
            </w:r>
          </w:p>
          <w:p w:rsidR="00533FD5" w:rsidRPr="00357596" w:rsidRDefault="00533FD5" w:rsidP="00160284">
            <w:pPr>
              <w:jc w:val="both"/>
              <w:rPr>
                <w:sz w:val="20"/>
                <w:lang w:val="fr-CA"/>
              </w:rPr>
            </w:pPr>
            <w:r w:rsidRPr="00357596">
              <w:rPr>
                <w:sz w:val="20"/>
                <w:lang w:val="fr-CA"/>
              </w:rPr>
              <w:t>Cour suprême du Canada</w:t>
            </w: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Demande d’autorisation d’appel présentée.</w:t>
            </w:r>
          </w:p>
          <w:p w:rsidR="00533FD5" w:rsidRPr="00357596" w:rsidRDefault="00533FD5" w:rsidP="00160284">
            <w:pPr>
              <w:jc w:val="both"/>
              <w:rPr>
                <w:sz w:val="20"/>
                <w:lang w:val="fr-CA"/>
              </w:rPr>
            </w:pPr>
          </w:p>
        </w:tc>
      </w:tr>
    </w:tbl>
    <w:p w:rsidR="00533FD5" w:rsidRPr="00357596" w:rsidRDefault="00533FD5" w:rsidP="00160284">
      <w:pPr>
        <w:jc w:val="both"/>
        <w:rPr>
          <w:sz w:val="20"/>
          <w:lang w:val="fr-CA"/>
        </w:rPr>
      </w:pPr>
    </w:p>
    <w:p w:rsidR="00533FD5" w:rsidRPr="00357596" w:rsidRDefault="00DA74AE" w:rsidP="00160284">
      <w:pPr>
        <w:jc w:val="both"/>
        <w:rPr>
          <w:sz w:val="20"/>
          <w:lang w:val="fr-CA"/>
        </w:rPr>
      </w:pPr>
      <w:r w:rsidRPr="00357596">
        <w:rPr>
          <w:sz w:val="20"/>
        </w:rPr>
        <w:pict>
          <v:rect id="_x0000_i1036" style="width:2in;height:1pt" o:hrpct="0" o:hralign="center" o:hrstd="t" o:hrnoshade="t" o:hr="t" fillcolor="black [3213]" stroked="f"/>
        </w:pict>
      </w:r>
    </w:p>
    <w:p w:rsidR="001319D2" w:rsidRPr="00357596" w:rsidRDefault="001319D2"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lang w:val="en-CA"/>
              </w:rPr>
            </w:pPr>
            <w:r w:rsidRPr="00357596">
              <w:rPr>
                <w:rStyle w:val="SCCFileNumberChar"/>
                <w:sz w:val="20"/>
                <w:szCs w:val="20"/>
              </w:rPr>
              <w:t>39178</w:t>
            </w:r>
          </w:p>
        </w:tc>
        <w:tc>
          <w:tcPr>
            <w:tcW w:w="4457" w:type="pct"/>
            <w:gridSpan w:val="3"/>
          </w:tcPr>
          <w:p w:rsidR="00533FD5" w:rsidRPr="00357596" w:rsidRDefault="00533FD5" w:rsidP="00160284">
            <w:pPr>
              <w:pStyle w:val="SCCLsocParty"/>
              <w:jc w:val="both"/>
              <w:rPr>
                <w:b/>
                <w:sz w:val="20"/>
                <w:szCs w:val="20"/>
              </w:rPr>
            </w:pPr>
            <w:r w:rsidRPr="00357596">
              <w:rPr>
                <w:b/>
                <w:sz w:val="20"/>
                <w:szCs w:val="20"/>
              </w:rPr>
              <w:t>André Lavallée v. Ville de Sainte-Adèle</w:t>
            </w:r>
          </w:p>
          <w:p w:rsidR="00533FD5" w:rsidRPr="00357596" w:rsidRDefault="00533FD5" w:rsidP="00160284">
            <w:pPr>
              <w:pStyle w:val="SCCLsocOtherPartySeparator"/>
              <w:rPr>
                <w:sz w:val="20"/>
                <w:szCs w:val="20"/>
                <w:lang w:val="en-CA"/>
              </w:rPr>
            </w:pPr>
            <w:r w:rsidRPr="00357596">
              <w:rPr>
                <w:sz w:val="20"/>
                <w:szCs w:val="20"/>
                <w:lang w:val="en-CA"/>
              </w:rPr>
              <w:t>- and -</w:t>
            </w:r>
          </w:p>
          <w:p w:rsidR="00533FD5" w:rsidRPr="00357596" w:rsidRDefault="00533FD5" w:rsidP="00160284">
            <w:pPr>
              <w:pStyle w:val="SCCLsocParty"/>
              <w:jc w:val="both"/>
              <w:rPr>
                <w:b/>
                <w:sz w:val="20"/>
                <w:szCs w:val="20"/>
                <w:lang w:val="en-CA"/>
              </w:rPr>
            </w:pPr>
            <w:r w:rsidRPr="00357596">
              <w:rPr>
                <w:b/>
                <w:sz w:val="20"/>
                <w:szCs w:val="20"/>
                <w:lang w:val="en-CA"/>
              </w:rPr>
              <w:t>Deveau Lawyers</w:t>
            </w:r>
          </w:p>
          <w:p w:rsidR="00533FD5" w:rsidRPr="00357596" w:rsidRDefault="00533FD5" w:rsidP="00160284">
            <w:pPr>
              <w:jc w:val="both"/>
              <w:rPr>
                <w:sz w:val="20"/>
                <w:lang w:val="en-CA"/>
              </w:rPr>
            </w:pPr>
            <w:r w:rsidRPr="00357596">
              <w:rPr>
                <w:sz w:val="20"/>
                <w:lang w:val="en-CA"/>
              </w:rPr>
              <w:t>(Que.) (Civil) (By Leave)</w:t>
            </w:r>
          </w:p>
        </w:tc>
      </w:tr>
      <w:tr w:rsidR="00533FD5" w:rsidRPr="00357596" w:rsidTr="00533FD5">
        <w:tc>
          <w:tcPr>
            <w:tcW w:w="5000" w:type="pct"/>
            <w:gridSpan w:val="4"/>
          </w:tcPr>
          <w:p w:rsidR="00533FD5" w:rsidRPr="00357596" w:rsidRDefault="00533FD5" w:rsidP="00160284">
            <w:pPr>
              <w:jc w:val="both"/>
              <w:rPr>
                <w:sz w:val="20"/>
                <w:lang w:val="en-CA"/>
              </w:rPr>
            </w:pPr>
            <w:r w:rsidRPr="00357596">
              <w:rPr>
                <w:sz w:val="20"/>
                <w:lang w:val="en-CA"/>
              </w:rPr>
              <w:t>Civil procedure — Class action — Conditions for authorization — Whether respondent municipality fulfilled its fiduciary obligation to manage and administer its moneys in best interests of its residents — Whether applicant discharged burden of proof under art. </w:t>
            </w:r>
            <w:proofErr w:type="gramStart"/>
            <w:r w:rsidRPr="00357596">
              <w:rPr>
                <w:sz w:val="20"/>
                <w:lang w:val="en-CA"/>
              </w:rPr>
              <w:t xml:space="preserve">575 of </w:t>
            </w:r>
            <w:r w:rsidRPr="00357596">
              <w:rPr>
                <w:i/>
                <w:sz w:val="20"/>
                <w:lang w:val="en-CA"/>
              </w:rPr>
              <w:t xml:space="preserve">Code of Civil Procedure </w:t>
            </w:r>
            <w:r w:rsidRPr="00357596">
              <w:rPr>
                <w:sz w:val="20"/>
                <w:lang w:val="en-CA"/>
              </w:rPr>
              <w:t xml:space="preserve">as regards sufficiency of allegations of fact in application for authorization to institute class action — Whether facts alleged in applicant’s originating application for authorization to institute class action justify authorization to institute class action in question — Whether applicant has sufficient legal interest to represent class in class action — </w:t>
            </w:r>
            <w:r w:rsidRPr="00357596">
              <w:rPr>
                <w:i/>
                <w:sz w:val="20"/>
                <w:lang w:val="en-CA"/>
              </w:rPr>
              <w:t>Code of Civil Procedure</w:t>
            </w:r>
            <w:r w:rsidRPr="00357596">
              <w:rPr>
                <w:sz w:val="20"/>
                <w:lang w:val="en-CA"/>
              </w:rPr>
              <w:t>, CQLR, c. C</w:t>
            </w:r>
            <w:r w:rsidRPr="00357596">
              <w:rPr>
                <w:sz w:val="20"/>
                <w:lang w:val="en-CA"/>
              </w:rPr>
              <w:noBreakHyphen/>
              <w:t>25.01, art. </w:t>
            </w:r>
            <w:proofErr w:type="gramEnd"/>
            <w:r w:rsidRPr="00357596">
              <w:rPr>
                <w:sz w:val="20"/>
                <w:lang w:val="en-CA"/>
              </w:rPr>
              <w:t>575.</w:t>
            </w:r>
          </w:p>
        </w:tc>
      </w:tr>
      <w:tr w:rsidR="00533FD5" w:rsidRPr="00357596" w:rsidTr="00533FD5">
        <w:tc>
          <w:tcPr>
            <w:tcW w:w="5000" w:type="pct"/>
            <w:gridSpan w:val="4"/>
          </w:tcPr>
          <w:p w:rsidR="00533FD5" w:rsidRPr="00357596" w:rsidRDefault="00533FD5" w:rsidP="00160284">
            <w:pPr>
              <w:jc w:val="both"/>
              <w:rPr>
                <w:sz w:val="20"/>
                <w:lang w:val="en-CA"/>
              </w:rPr>
            </w:pPr>
          </w:p>
          <w:p w:rsidR="00533FD5" w:rsidRPr="00357596" w:rsidRDefault="00533FD5" w:rsidP="00160284">
            <w:pPr>
              <w:jc w:val="both"/>
              <w:rPr>
                <w:sz w:val="20"/>
                <w:lang w:val="en-CA"/>
              </w:rPr>
            </w:pPr>
            <w:r w:rsidRPr="00357596">
              <w:rPr>
                <w:sz w:val="20"/>
                <w:lang w:val="en-CA"/>
              </w:rPr>
              <w:t>The applicant, André Lavallée, lives in the territory of the respondent municipality, Ville de Sainte</w:t>
            </w:r>
            <w:r w:rsidRPr="00357596">
              <w:rPr>
                <w:sz w:val="20"/>
                <w:lang w:val="en-CA"/>
              </w:rPr>
              <w:noBreakHyphen/>
              <w:t xml:space="preserve">Adèle, a legal person established in the public interest that </w:t>
            </w:r>
            <w:proofErr w:type="gramStart"/>
            <w:r w:rsidRPr="00357596">
              <w:rPr>
                <w:sz w:val="20"/>
                <w:lang w:val="en-CA"/>
              </w:rPr>
              <w:t>is governed</w:t>
            </w:r>
            <w:proofErr w:type="gramEnd"/>
            <w:r w:rsidRPr="00357596">
              <w:rPr>
                <w:sz w:val="20"/>
                <w:lang w:val="en-CA"/>
              </w:rPr>
              <w:t xml:space="preserve"> by the </w:t>
            </w:r>
            <w:r w:rsidRPr="00357596">
              <w:rPr>
                <w:i/>
                <w:sz w:val="20"/>
                <w:lang w:val="en-CA"/>
              </w:rPr>
              <w:t>Cities and Towns Act</w:t>
            </w:r>
            <w:r w:rsidRPr="00357596">
              <w:rPr>
                <w:sz w:val="20"/>
                <w:lang w:val="en-CA"/>
              </w:rPr>
              <w:t>, CQLR, c. C</w:t>
            </w:r>
            <w:r w:rsidRPr="00357596">
              <w:rPr>
                <w:sz w:val="20"/>
                <w:lang w:val="en-CA"/>
              </w:rPr>
              <w:noBreakHyphen/>
              <w:t xml:space="preserve">19. In 2018, Mr. Lavallée filed an application for authorization to institute a class action for $3 million in damages on behalf of himself and, as representative plaintiff, a class consisting of any person who was a resident or ratepayer of the municipality at any time during the period between 2005 and 2018. He asserted that this amount represented moneys disbursed by the municipality in the pursuit of interests that were incompatible with its mission and with its residents’ interests. He submitted that these public funds </w:t>
            </w:r>
            <w:proofErr w:type="gramStart"/>
            <w:r w:rsidRPr="00357596">
              <w:rPr>
                <w:sz w:val="20"/>
                <w:lang w:val="en-CA"/>
              </w:rPr>
              <w:t>had been used</w:t>
            </w:r>
            <w:proofErr w:type="gramEnd"/>
            <w:r w:rsidRPr="00357596">
              <w:rPr>
                <w:sz w:val="20"/>
                <w:lang w:val="en-CA"/>
              </w:rPr>
              <w:t xml:space="preserve"> for multiple judicial proceedings against four residents of the municipality over a 13</w:t>
            </w:r>
            <w:r w:rsidRPr="00357596">
              <w:rPr>
                <w:sz w:val="20"/>
                <w:lang w:val="en-CA"/>
              </w:rPr>
              <w:noBreakHyphen/>
              <w:t>year period. The Superior Court dismissed the application for authorization to institute a class action. The Court of Appeal granted a motion to dismiss the appeal and dismissed the appeal.</w:t>
            </w:r>
          </w:p>
        </w:tc>
      </w:tr>
      <w:tr w:rsidR="00533FD5" w:rsidRPr="00357596" w:rsidTr="00533FD5">
        <w:tc>
          <w:tcPr>
            <w:tcW w:w="5000" w:type="pct"/>
            <w:gridSpan w:val="4"/>
          </w:tcPr>
          <w:p w:rsidR="00533FD5" w:rsidRPr="00357596" w:rsidRDefault="00533FD5" w:rsidP="00160284">
            <w:pPr>
              <w:jc w:val="both"/>
              <w:rPr>
                <w:sz w:val="20"/>
                <w:lang w:val="en-CA"/>
              </w:rPr>
            </w:pPr>
          </w:p>
        </w:tc>
      </w:tr>
      <w:tr w:rsidR="00533FD5" w:rsidRPr="00357596" w:rsidTr="00533FD5">
        <w:tc>
          <w:tcPr>
            <w:tcW w:w="2427" w:type="pct"/>
            <w:gridSpan w:val="2"/>
          </w:tcPr>
          <w:p w:rsidR="00533FD5" w:rsidRPr="00357596" w:rsidRDefault="00533FD5" w:rsidP="00160284">
            <w:pPr>
              <w:jc w:val="both"/>
              <w:rPr>
                <w:sz w:val="20"/>
                <w:lang w:val="en-CA"/>
              </w:rPr>
            </w:pPr>
            <w:r w:rsidRPr="00357596">
              <w:rPr>
                <w:sz w:val="20"/>
                <w:lang w:val="en-CA"/>
              </w:rPr>
              <w:t>January 21, 2019</w:t>
            </w:r>
          </w:p>
          <w:p w:rsidR="00533FD5" w:rsidRPr="00357596" w:rsidRDefault="00533FD5" w:rsidP="00160284">
            <w:pPr>
              <w:jc w:val="both"/>
              <w:rPr>
                <w:sz w:val="20"/>
                <w:lang w:val="en-CA"/>
              </w:rPr>
            </w:pPr>
            <w:r w:rsidRPr="00357596">
              <w:rPr>
                <w:sz w:val="20"/>
                <w:lang w:val="en-CA"/>
              </w:rPr>
              <w:t>Quebec Superior Court</w:t>
            </w:r>
          </w:p>
          <w:p w:rsidR="00533FD5" w:rsidRPr="00357596" w:rsidRDefault="00533FD5" w:rsidP="00160284">
            <w:pPr>
              <w:jc w:val="both"/>
              <w:rPr>
                <w:sz w:val="20"/>
                <w:lang w:val="en-CA"/>
              </w:rPr>
            </w:pPr>
            <w:r w:rsidRPr="00357596">
              <w:rPr>
                <w:sz w:val="20"/>
                <w:lang w:val="en-CA"/>
              </w:rPr>
              <w:t>(Bisson J.)</w:t>
            </w:r>
          </w:p>
          <w:p w:rsidR="00533FD5" w:rsidRPr="00357596" w:rsidRDefault="00533FD5" w:rsidP="00160284">
            <w:pPr>
              <w:jc w:val="both"/>
              <w:rPr>
                <w:sz w:val="20"/>
                <w:lang w:val="en-CA"/>
              </w:rPr>
            </w:pPr>
            <w:hyperlink r:id="rId37" w:history="1">
              <w:r w:rsidRPr="00357596">
                <w:rPr>
                  <w:rStyle w:val="Hyperlink"/>
                  <w:sz w:val="20"/>
                  <w:lang w:val="en-CA"/>
                </w:rPr>
                <w:t>2019 QCCS 99</w:t>
              </w:r>
            </w:hyperlink>
          </w:p>
          <w:p w:rsidR="00533FD5" w:rsidRPr="00357596" w:rsidRDefault="00533FD5" w:rsidP="00160284">
            <w:pPr>
              <w:jc w:val="both"/>
              <w:rPr>
                <w:sz w:val="20"/>
                <w:lang w:val="en-CA"/>
              </w:rPr>
            </w:pPr>
          </w:p>
        </w:tc>
        <w:tc>
          <w:tcPr>
            <w:tcW w:w="243" w:type="pct"/>
          </w:tcPr>
          <w:p w:rsidR="00533FD5" w:rsidRPr="00357596" w:rsidRDefault="00533FD5" w:rsidP="00160284">
            <w:pPr>
              <w:jc w:val="both"/>
              <w:rPr>
                <w:sz w:val="20"/>
                <w:lang w:val="en-CA"/>
              </w:rPr>
            </w:pPr>
          </w:p>
        </w:tc>
        <w:tc>
          <w:tcPr>
            <w:tcW w:w="2330" w:type="pct"/>
          </w:tcPr>
          <w:p w:rsidR="00533FD5" w:rsidRPr="00357596" w:rsidRDefault="00533FD5" w:rsidP="00160284">
            <w:pPr>
              <w:jc w:val="both"/>
              <w:rPr>
                <w:sz w:val="20"/>
                <w:lang w:val="en-CA"/>
              </w:rPr>
            </w:pPr>
            <w:r w:rsidRPr="00357596">
              <w:rPr>
                <w:sz w:val="20"/>
                <w:lang w:val="en-CA"/>
              </w:rPr>
              <w:t>Application for authorization to institute class action dismissed</w:t>
            </w:r>
          </w:p>
        </w:tc>
      </w:tr>
      <w:tr w:rsidR="00533FD5" w:rsidRPr="00357596" w:rsidTr="00533FD5">
        <w:tc>
          <w:tcPr>
            <w:tcW w:w="2427" w:type="pct"/>
            <w:gridSpan w:val="2"/>
          </w:tcPr>
          <w:p w:rsidR="00533FD5" w:rsidRPr="00357596" w:rsidRDefault="00533FD5" w:rsidP="00160284">
            <w:pPr>
              <w:jc w:val="both"/>
              <w:rPr>
                <w:sz w:val="20"/>
                <w:lang w:val="en-CA"/>
              </w:rPr>
            </w:pPr>
            <w:r w:rsidRPr="00357596">
              <w:rPr>
                <w:sz w:val="20"/>
                <w:lang w:val="en-CA"/>
              </w:rPr>
              <w:t>May 27, 2019</w:t>
            </w:r>
          </w:p>
          <w:p w:rsidR="00533FD5" w:rsidRPr="00357596" w:rsidRDefault="00533FD5" w:rsidP="00160284">
            <w:pPr>
              <w:jc w:val="both"/>
              <w:rPr>
                <w:sz w:val="20"/>
                <w:lang w:val="en-CA"/>
              </w:rPr>
            </w:pPr>
            <w:r w:rsidRPr="00357596">
              <w:rPr>
                <w:sz w:val="20"/>
                <w:lang w:val="en-CA"/>
              </w:rPr>
              <w:t>Quebec Court of Appeal (Montréal)</w:t>
            </w:r>
          </w:p>
          <w:p w:rsidR="00533FD5" w:rsidRPr="00357596" w:rsidRDefault="00533FD5" w:rsidP="00160284">
            <w:pPr>
              <w:jc w:val="both"/>
              <w:rPr>
                <w:sz w:val="20"/>
                <w:lang w:val="en-CA"/>
              </w:rPr>
            </w:pPr>
            <w:r w:rsidRPr="00357596">
              <w:rPr>
                <w:sz w:val="20"/>
                <w:lang w:val="en-CA"/>
              </w:rPr>
              <w:t xml:space="preserve">(Duval Hesler C.J.Q. and </w:t>
            </w:r>
          </w:p>
          <w:p w:rsidR="00533FD5" w:rsidRPr="00357596" w:rsidRDefault="00533FD5" w:rsidP="00160284">
            <w:pPr>
              <w:jc w:val="both"/>
              <w:rPr>
                <w:sz w:val="20"/>
                <w:lang w:val="en-CA"/>
              </w:rPr>
            </w:pPr>
            <w:r w:rsidRPr="00357596">
              <w:rPr>
                <w:sz w:val="20"/>
                <w:lang w:val="en-CA"/>
              </w:rPr>
              <w:t>Dufresne and Schrager JJ.A.)</w:t>
            </w:r>
          </w:p>
          <w:p w:rsidR="00533FD5" w:rsidRPr="00357596" w:rsidRDefault="00533FD5" w:rsidP="00160284">
            <w:pPr>
              <w:jc w:val="both"/>
              <w:rPr>
                <w:sz w:val="20"/>
                <w:lang w:val="en-CA"/>
              </w:rPr>
            </w:pPr>
            <w:hyperlink r:id="rId38" w:history="1">
              <w:r w:rsidRPr="00357596">
                <w:rPr>
                  <w:rStyle w:val="Hyperlink"/>
                  <w:sz w:val="20"/>
                  <w:lang w:val="en-CA"/>
                </w:rPr>
                <w:t>2019 QCCA 938</w:t>
              </w:r>
            </w:hyperlink>
          </w:p>
          <w:p w:rsidR="00533FD5" w:rsidRPr="00357596" w:rsidRDefault="00533FD5" w:rsidP="00160284">
            <w:pPr>
              <w:jc w:val="both"/>
              <w:rPr>
                <w:sz w:val="20"/>
                <w:lang w:val="en-CA"/>
              </w:rPr>
            </w:pPr>
          </w:p>
        </w:tc>
        <w:tc>
          <w:tcPr>
            <w:tcW w:w="243" w:type="pct"/>
          </w:tcPr>
          <w:p w:rsidR="00533FD5" w:rsidRPr="00357596" w:rsidRDefault="00533FD5" w:rsidP="00160284">
            <w:pPr>
              <w:jc w:val="both"/>
              <w:rPr>
                <w:sz w:val="20"/>
                <w:lang w:val="en-CA"/>
              </w:rPr>
            </w:pPr>
          </w:p>
        </w:tc>
        <w:tc>
          <w:tcPr>
            <w:tcW w:w="2330" w:type="pct"/>
          </w:tcPr>
          <w:p w:rsidR="00533FD5" w:rsidRPr="00357596" w:rsidRDefault="00533FD5" w:rsidP="00160284">
            <w:pPr>
              <w:jc w:val="both"/>
              <w:rPr>
                <w:sz w:val="20"/>
                <w:lang w:val="en-CA"/>
              </w:rPr>
            </w:pPr>
            <w:r w:rsidRPr="00357596">
              <w:rPr>
                <w:sz w:val="20"/>
                <w:lang w:val="en-CA"/>
              </w:rPr>
              <w:t xml:space="preserve">Motion to dismiss appeal granted </w:t>
            </w:r>
          </w:p>
          <w:p w:rsidR="00533FD5" w:rsidRPr="00357596" w:rsidRDefault="00533FD5" w:rsidP="00160284">
            <w:pPr>
              <w:jc w:val="both"/>
              <w:rPr>
                <w:sz w:val="20"/>
                <w:lang w:val="en-CA"/>
              </w:rPr>
            </w:pPr>
            <w:r w:rsidRPr="00357596">
              <w:rPr>
                <w:sz w:val="20"/>
                <w:lang w:val="en-CA"/>
              </w:rPr>
              <w:t xml:space="preserve">Appeal dismissed </w:t>
            </w:r>
          </w:p>
          <w:p w:rsidR="00533FD5" w:rsidRPr="00357596" w:rsidRDefault="00533FD5" w:rsidP="00160284">
            <w:pPr>
              <w:jc w:val="both"/>
              <w:rPr>
                <w:sz w:val="20"/>
                <w:lang w:val="en-CA"/>
              </w:rPr>
            </w:pPr>
          </w:p>
        </w:tc>
      </w:tr>
      <w:tr w:rsidR="00533FD5" w:rsidRPr="00357596" w:rsidTr="00533FD5">
        <w:tc>
          <w:tcPr>
            <w:tcW w:w="2427" w:type="pct"/>
            <w:gridSpan w:val="2"/>
          </w:tcPr>
          <w:p w:rsidR="00533FD5" w:rsidRPr="00357596" w:rsidRDefault="00533FD5" w:rsidP="00160284">
            <w:pPr>
              <w:jc w:val="both"/>
              <w:rPr>
                <w:sz w:val="20"/>
                <w:lang w:val="en-CA"/>
              </w:rPr>
            </w:pPr>
            <w:r w:rsidRPr="00357596">
              <w:rPr>
                <w:sz w:val="20"/>
                <w:lang w:val="en-CA"/>
              </w:rPr>
              <w:t>July 17, 2019</w:t>
            </w:r>
          </w:p>
          <w:p w:rsidR="00533FD5" w:rsidRPr="00357596" w:rsidRDefault="00533FD5" w:rsidP="00160284">
            <w:pPr>
              <w:jc w:val="both"/>
              <w:rPr>
                <w:sz w:val="20"/>
                <w:lang w:val="en-CA"/>
              </w:rPr>
            </w:pPr>
            <w:r w:rsidRPr="00357596">
              <w:rPr>
                <w:sz w:val="20"/>
                <w:lang w:val="en-CA"/>
              </w:rPr>
              <w:t>Supreme Court of Canada</w:t>
            </w:r>
          </w:p>
        </w:tc>
        <w:tc>
          <w:tcPr>
            <w:tcW w:w="243" w:type="pct"/>
          </w:tcPr>
          <w:p w:rsidR="00533FD5" w:rsidRPr="00357596" w:rsidRDefault="00533FD5" w:rsidP="00160284">
            <w:pPr>
              <w:jc w:val="both"/>
              <w:rPr>
                <w:sz w:val="20"/>
                <w:lang w:val="en-CA"/>
              </w:rPr>
            </w:pPr>
          </w:p>
        </w:tc>
        <w:tc>
          <w:tcPr>
            <w:tcW w:w="2330" w:type="pct"/>
          </w:tcPr>
          <w:p w:rsidR="00533FD5" w:rsidRPr="00357596" w:rsidRDefault="00533FD5" w:rsidP="00160284">
            <w:pPr>
              <w:jc w:val="both"/>
              <w:rPr>
                <w:sz w:val="20"/>
                <w:lang w:val="en-CA"/>
              </w:rPr>
            </w:pPr>
            <w:r w:rsidRPr="00357596">
              <w:rPr>
                <w:sz w:val="20"/>
                <w:lang w:val="en-CA"/>
              </w:rPr>
              <w:t>Application for leave to appeal filed</w:t>
            </w:r>
          </w:p>
          <w:p w:rsidR="00533FD5" w:rsidRPr="00357596" w:rsidRDefault="00533FD5" w:rsidP="00160284">
            <w:pPr>
              <w:jc w:val="both"/>
              <w:rPr>
                <w:sz w:val="20"/>
                <w:lang w:val="en-CA"/>
              </w:rPr>
            </w:pPr>
          </w:p>
        </w:tc>
      </w:tr>
    </w:tbl>
    <w:p w:rsidR="00533FD5" w:rsidRPr="00357596" w:rsidRDefault="00533FD5" w:rsidP="00160284">
      <w:pPr>
        <w:jc w:val="both"/>
        <w:rPr>
          <w:sz w:val="20"/>
          <w:lang w:val="en-CA"/>
        </w:rPr>
      </w:pPr>
    </w:p>
    <w:p w:rsidR="00DA74AE" w:rsidRPr="00357596" w:rsidRDefault="00DA74AE" w:rsidP="00160284">
      <w:pPr>
        <w:jc w:val="both"/>
        <w:rPr>
          <w:sz w:val="20"/>
          <w:lang w:val="en-CA"/>
        </w:rPr>
      </w:pPr>
      <w:r w:rsidRPr="00357596">
        <w:rPr>
          <w:sz w:val="20"/>
        </w:rPr>
        <w:pict>
          <v:rect id="_x0000_i1037" style="width:2in;height:1pt" o:hrpct="0" o:hralign="center" o:hrstd="t" o:hrnoshade="t" o:hr="t" fillcolor="black [3213]" stroked="f"/>
        </w:pict>
      </w:r>
    </w:p>
    <w:p w:rsidR="00DA74AE" w:rsidRPr="00357596" w:rsidRDefault="00DA74AE" w:rsidP="00160284">
      <w:pPr>
        <w:jc w:val="both"/>
        <w:rPr>
          <w:sz w:val="20"/>
          <w:lang w:val="en-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t>39178</w:t>
            </w:r>
          </w:p>
        </w:tc>
        <w:tc>
          <w:tcPr>
            <w:tcW w:w="4457" w:type="pct"/>
            <w:gridSpan w:val="3"/>
          </w:tcPr>
          <w:p w:rsidR="00533FD5" w:rsidRPr="00357596" w:rsidRDefault="00533FD5" w:rsidP="00160284">
            <w:pPr>
              <w:pStyle w:val="SCCLsocParty"/>
              <w:jc w:val="both"/>
              <w:rPr>
                <w:b/>
                <w:sz w:val="20"/>
                <w:szCs w:val="20"/>
              </w:rPr>
            </w:pPr>
            <w:r w:rsidRPr="00357596">
              <w:rPr>
                <w:b/>
                <w:sz w:val="20"/>
                <w:szCs w:val="20"/>
              </w:rPr>
              <w:t>André Lavallée c. Ville de Sainte-Adèle</w:t>
            </w:r>
          </w:p>
          <w:p w:rsidR="00533FD5" w:rsidRPr="00357596" w:rsidRDefault="00533FD5" w:rsidP="00160284">
            <w:pPr>
              <w:pStyle w:val="SCCLsocOtherPartySeparator"/>
              <w:rPr>
                <w:sz w:val="20"/>
                <w:szCs w:val="20"/>
              </w:rPr>
            </w:pPr>
            <w:r w:rsidRPr="00357596">
              <w:rPr>
                <w:sz w:val="20"/>
                <w:szCs w:val="20"/>
              </w:rPr>
              <w:t>- et -</w:t>
            </w:r>
          </w:p>
          <w:p w:rsidR="00533FD5" w:rsidRPr="00357596" w:rsidRDefault="00533FD5" w:rsidP="00160284">
            <w:pPr>
              <w:pStyle w:val="SCCLsocParty"/>
              <w:jc w:val="both"/>
              <w:rPr>
                <w:b/>
                <w:sz w:val="20"/>
                <w:szCs w:val="20"/>
              </w:rPr>
            </w:pPr>
            <w:r w:rsidRPr="00357596">
              <w:rPr>
                <w:b/>
                <w:sz w:val="20"/>
                <w:szCs w:val="20"/>
              </w:rPr>
              <w:t>Deveau Avocats</w:t>
            </w:r>
          </w:p>
          <w:p w:rsidR="00533FD5" w:rsidRPr="00357596" w:rsidRDefault="00533FD5" w:rsidP="00160284">
            <w:pPr>
              <w:jc w:val="both"/>
              <w:rPr>
                <w:sz w:val="20"/>
                <w:lang w:val="fr-CA"/>
              </w:rPr>
            </w:pPr>
            <w:r w:rsidRPr="00357596">
              <w:rPr>
                <w:sz w:val="20"/>
                <w:lang w:val="fr-CA"/>
              </w:rPr>
              <w:t>(Qc) (Civile) (Autorisation)</w:t>
            </w:r>
          </w:p>
        </w:tc>
      </w:tr>
      <w:tr w:rsidR="00533FD5" w:rsidRPr="00357596" w:rsidTr="00533FD5">
        <w:tc>
          <w:tcPr>
            <w:tcW w:w="5000" w:type="pct"/>
            <w:gridSpan w:val="4"/>
          </w:tcPr>
          <w:p w:rsidR="00533FD5" w:rsidRPr="00357596" w:rsidRDefault="00533FD5" w:rsidP="00160284">
            <w:pPr>
              <w:jc w:val="both"/>
              <w:rPr>
                <w:sz w:val="20"/>
                <w:lang w:val="fr-CA"/>
              </w:rPr>
            </w:pPr>
            <w:r w:rsidRPr="00357596">
              <w:rPr>
                <w:sz w:val="20"/>
                <w:lang w:val="fr-CA"/>
              </w:rPr>
              <w:t>Procédure civile — Recours collectif — Conditions d’autorisation — La municipalité intimée a</w:t>
            </w:r>
            <w:r w:rsidRPr="00357596">
              <w:rPr>
                <w:sz w:val="20"/>
                <w:lang w:val="fr-CA"/>
              </w:rPr>
              <w:noBreakHyphen/>
              <w:t>t</w:t>
            </w:r>
            <w:r w:rsidRPr="00357596">
              <w:rPr>
                <w:sz w:val="20"/>
                <w:lang w:val="fr-CA"/>
              </w:rPr>
              <w:noBreakHyphen/>
              <w:t>elle respecté son obligation fiduciaire de gérer et d’administrer les deniers de la Ville dans le meilleur intérêt des citoyens de la municipalité? — Le demandeur a</w:t>
            </w:r>
            <w:r w:rsidRPr="00357596">
              <w:rPr>
                <w:sz w:val="20"/>
                <w:lang w:val="fr-CA"/>
              </w:rPr>
              <w:noBreakHyphen/>
              <w:t>t</w:t>
            </w:r>
            <w:r w:rsidRPr="00357596">
              <w:rPr>
                <w:sz w:val="20"/>
                <w:lang w:val="fr-CA"/>
              </w:rPr>
              <w:noBreakHyphen/>
              <w:t xml:space="preserve">il rempli le fardeau de preuve de l’art. 575 du </w:t>
            </w:r>
            <w:r w:rsidRPr="00357596">
              <w:rPr>
                <w:i/>
                <w:sz w:val="20"/>
                <w:lang w:val="fr-CA"/>
              </w:rPr>
              <w:t xml:space="preserve">Code de procédure civile </w:t>
            </w:r>
            <w:r w:rsidRPr="00357596">
              <w:rPr>
                <w:sz w:val="20"/>
                <w:lang w:val="fr-CA"/>
              </w:rPr>
              <w:t>quant à la suffisance des allégations factuelles dans la demande d’autorisation d’exercer une action collective? — Les faits allégués dans la demande introductive d’instance du demandeur pour autorisation d’exercer une action collective donnent-ils ouverture à l’autorisation d’exercer ladite action collective? — Le demandeur a</w:t>
            </w:r>
            <w:r w:rsidRPr="00357596">
              <w:rPr>
                <w:sz w:val="20"/>
                <w:lang w:val="fr-CA"/>
              </w:rPr>
              <w:noBreakHyphen/>
              <w:t>t</w:t>
            </w:r>
            <w:r w:rsidRPr="00357596">
              <w:rPr>
                <w:sz w:val="20"/>
                <w:lang w:val="fr-CA"/>
              </w:rPr>
              <w:noBreakHyphen/>
              <w:t xml:space="preserve">il l’intérêt juridique suffisant pour représenter le groupe dans le cadre de l’action collective? — </w:t>
            </w:r>
            <w:r w:rsidRPr="00357596">
              <w:rPr>
                <w:i/>
                <w:sz w:val="20"/>
                <w:lang w:val="fr-CA"/>
              </w:rPr>
              <w:t>Code de procédure civile</w:t>
            </w:r>
            <w:r w:rsidRPr="00357596">
              <w:rPr>
                <w:sz w:val="20"/>
                <w:lang w:val="fr-CA"/>
              </w:rPr>
              <w:t>, RLRQ c C</w:t>
            </w:r>
            <w:r w:rsidRPr="00357596">
              <w:rPr>
                <w:sz w:val="20"/>
                <w:lang w:val="fr-CA"/>
              </w:rPr>
              <w:noBreakHyphen/>
              <w:t>25.01, art. 575.</w:t>
            </w:r>
          </w:p>
        </w:tc>
      </w:tr>
      <w:tr w:rsidR="00533FD5" w:rsidRPr="00357596" w:rsidTr="00533FD5">
        <w:tc>
          <w:tcPr>
            <w:tcW w:w="5000" w:type="pct"/>
            <w:gridSpan w:val="4"/>
          </w:tcPr>
          <w:p w:rsidR="00533FD5" w:rsidRPr="00357596" w:rsidRDefault="00533FD5" w:rsidP="00160284">
            <w:pPr>
              <w:jc w:val="both"/>
              <w:rPr>
                <w:sz w:val="20"/>
                <w:lang w:val="fr-CA"/>
              </w:rPr>
            </w:pPr>
          </w:p>
          <w:p w:rsidR="00533FD5" w:rsidRPr="00357596" w:rsidRDefault="00533FD5" w:rsidP="00160284">
            <w:pPr>
              <w:jc w:val="both"/>
              <w:rPr>
                <w:sz w:val="20"/>
                <w:lang w:val="fr-CA"/>
              </w:rPr>
            </w:pPr>
            <w:r w:rsidRPr="00357596">
              <w:rPr>
                <w:sz w:val="20"/>
                <w:lang w:val="fr-CA"/>
              </w:rPr>
              <w:t>Le demandeur, M. André Lavallée, réside sur le territoire de l’intimée, la Ville de Sainte</w:t>
            </w:r>
            <w:r w:rsidRPr="00357596">
              <w:rPr>
                <w:sz w:val="20"/>
                <w:lang w:val="fr-CA"/>
              </w:rPr>
              <w:noBreakHyphen/>
              <w:t xml:space="preserve">Adèle, une personne morale de droit public régie par la </w:t>
            </w:r>
            <w:r w:rsidRPr="00357596">
              <w:rPr>
                <w:i/>
                <w:sz w:val="20"/>
                <w:lang w:val="fr-CA"/>
              </w:rPr>
              <w:t>Loi sur les cités et villes</w:t>
            </w:r>
            <w:r w:rsidRPr="00357596">
              <w:rPr>
                <w:sz w:val="20"/>
                <w:lang w:val="fr-CA"/>
              </w:rPr>
              <w:t>, RLRQ c. C</w:t>
            </w:r>
            <w:r w:rsidRPr="00357596">
              <w:rPr>
                <w:sz w:val="20"/>
                <w:lang w:val="fr-CA"/>
              </w:rPr>
              <w:noBreakHyphen/>
              <w:t>19. En 2018, M. Lavallée a déposé une demande d’autorisation d’exercer une action collective en dommages</w:t>
            </w:r>
            <w:r w:rsidRPr="00357596">
              <w:rPr>
                <w:sz w:val="20"/>
                <w:lang w:val="fr-CA"/>
              </w:rPr>
              <w:noBreakHyphen/>
              <w:t>intérêts s’élevant au montant de 3 millions de dollars pour lui</w:t>
            </w:r>
            <w:r w:rsidRPr="00357596">
              <w:rPr>
                <w:sz w:val="20"/>
                <w:lang w:val="fr-CA"/>
              </w:rPr>
              <w:noBreakHyphen/>
              <w:t>même et pour représenter un groupe composé de toute personne ayant été résidante ou contribuable de la Ville à un moment ou à un autre au cours de la période comprise entre 2005 et 2018. Le demandeur affirme que ce montant représente les argents dépensés par la Ville dans la poursuite d’intérêts étrangers à sa mission et aux intérêts de ses résidents. En effet, il prétend que ces fonds publics auraient été utilisés afin de multiplier les poursuites judiciaires contre quatre résidents de la Ville sur une période de treize ans. La Cour supérieure a rejeté la demande d’autorisation d’exercer une action collective. La Cour d’appel a accueilli la requête en rejet d’appel et a rejeté l’appel.</w:t>
            </w:r>
          </w:p>
        </w:tc>
      </w:tr>
      <w:tr w:rsidR="00533FD5" w:rsidRPr="00357596" w:rsidTr="00533FD5">
        <w:tc>
          <w:tcPr>
            <w:tcW w:w="5000" w:type="pct"/>
            <w:gridSpan w:val="4"/>
          </w:tcPr>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Le 21 janvier 2019</w:t>
            </w:r>
          </w:p>
          <w:p w:rsidR="00533FD5" w:rsidRPr="00357596" w:rsidRDefault="00533FD5" w:rsidP="00160284">
            <w:pPr>
              <w:jc w:val="both"/>
              <w:rPr>
                <w:sz w:val="20"/>
                <w:lang w:val="fr-CA"/>
              </w:rPr>
            </w:pPr>
            <w:r w:rsidRPr="00357596">
              <w:rPr>
                <w:sz w:val="20"/>
                <w:lang w:val="fr-CA"/>
              </w:rPr>
              <w:t>Cour supérieure du Québec</w:t>
            </w:r>
          </w:p>
          <w:p w:rsidR="00533FD5" w:rsidRPr="00357596" w:rsidRDefault="00533FD5" w:rsidP="00160284">
            <w:pPr>
              <w:jc w:val="both"/>
              <w:rPr>
                <w:sz w:val="20"/>
              </w:rPr>
            </w:pPr>
            <w:r w:rsidRPr="00357596">
              <w:rPr>
                <w:sz w:val="20"/>
              </w:rPr>
              <w:t>(Le juge Bisson)</w:t>
            </w:r>
          </w:p>
          <w:p w:rsidR="00533FD5" w:rsidRPr="00357596" w:rsidRDefault="00533FD5" w:rsidP="00160284">
            <w:pPr>
              <w:jc w:val="both"/>
              <w:rPr>
                <w:sz w:val="20"/>
              </w:rPr>
            </w:pPr>
            <w:hyperlink r:id="rId39" w:history="1">
              <w:r w:rsidRPr="00357596">
                <w:rPr>
                  <w:rStyle w:val="Hyperlink"/>
                  <w:sz w:val="20"/>
                </w:rPr>
                <w:t>2019 QCCS 99</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lang w:val="fr-CA"/>
              </w:rPr>
            </w:pPr>
            <w:r w:rsidRPr="00357596">
              <w:rPr>
                <w:sz w:val="20"/>
                <w:lang w:val="fr-CA"/>
              </w:rPr>
              <w:t>Demande d’autorisation d’exercer une action collective rejetée.</w:t>
            </w: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Le 27 mai 2019</w:t>
            </w:r>
          </w:p>
          <w:p w:rsidR="00533FD5" w:rsidRPr="00357596" w:rsidRDefault="00533FD5" w:rsidP="00160284">
            <w:pPr>
              <w:jc w:val="both"/>
              <w:rPr>
                <w:sz w:val="20"/>
                <w:lang w:val="fr-CA"/>
              </w:rPr>
            </w:pPr>
            <w:r w:rsidRPr="00357596">
              <w:rPr>
                <w:sz w:val="20"/>
                <w:lang w:val="fr-CA"/>
              </w:rPr>
              <w:t>Cour d’appel du Québec (Montréal)</w:t>
            </w:r>
          </w:p>
          <w:p w:rsidR="00533FD5" w:rsidRPr="00357596" w:rsidRDefault="00533FD5" w:rsidP="00160284">
            <w:pPr>
              <w:jc w:val="both"/>
              <w:rPr>
                <w:sz w:val="20"/>
                <w:lang w:val="fr-CA"/>
              </w:rPr>
            </w:pPr>
            <w:r w:rsidRPr="00357596">
              <w:rPr>
                <w:sz w:val="20"/>
                <w:lang w:val="fr-CA"/>
              </w:rPr>
              <w:t xml:space="preserve">(La juge en chef Duval Hesler, les juges </w:t>
            </w:r>
          </w:p>
          <w:p w:rsidR="00533FD5" w:rsidRPr="00357596" w:rsidRDefault="00533FD5" w:rsidP="00160284">
            <w:pPr>
              <w:jc w:val="both"/>
              <w:rPr>
                <w:sz w:val="20"/>
              </w:rPr>
            </w:pPr>
            <w:r w:rsidRPr="00357596">
              <w:rPr>
                <w:sz w:val="20"/>
              </w:rPr>
              <w:t>Dufresne et Schrager)</w:t>
            </w:r>
          </w:p>
          <w:p w:rsidR="00533FD5" w:rsidRPr="00357596" w:rsidRDefault="00533FD5" w:rsidP="00160284">
            <w:pPr>
              <w:jc w:val="both"/>
              <w:rPr>
                <w:sz w:val="20"/>
              </w:rPr>
            </w:pPr>
            <w:hyperlink r:id="rId40" w:history="1">
              <w:r w:rsidRPr="00357596">
                <w:rPr>
                  <w:rStyle w:val="Hyperlink"/>
                  <w:sz w:val="20"/>
                </w:rPr>
                <w:t>2019 QCCA 938</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lang w:val="fr-CA"/>
              </w:rPr>
            </w:pPr>
            <w:r w:rsidRPr="00357596">
              <w:rPr>
                <w:sz w:val="20"/>
                <w:lang w:val="fr-CA"/>
              </w:rPr>
              <w:t>Requête en rejet d’appel accueillie.</w:t>
            </w:r>
          </w:p>
          <w:p w:rsidR="00533FD5" w:rsidRPr="00357596" w:rsidRDefault="00533FD5" w:rsidP="00160284">
            <w:pPr>
              <w:jc w:val="both"/>
              <w:rPr>
                <w:sz w:val="20"/>
              </w:rPr>
            </w:pPr>
            <w:r w:rsidRPr="00357596">
              <w:rPr>
                <w:sz w:val="20"/>
              </w:rPr>
              <w:t xml:space="preserve">Appel rejeté. </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Le 17 juillet 2019</w:t>
            </w:r>
          </w:p>
          <w:p w:rsidR="00533FD5" w:rsidRPr="00357596" w:rsidRDefault="00533FD5" w:rsidP="00160284">
            <w:pPr>
              <w:jc w:val="both"/>
              <w:rPr>
                <w:sz w:val="20"/>
                <w:lang w:val="fr-CA"/>
              </w:rPr>
            </w:pPr>
            <w:r w:rsidRPr="00357596">
              <w:rPr>
                <w:sz w:val="20"/>
                <w:lang w:val="fr-CA"/>
              </w:rPr>
              <w:t>Cour suprême du Canada</w:t>
            </w: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rPr>
            </w:pPr>
            <w:r w:rsidRPr="00357596">
              <w:rPr>
                <w:sz w:val="20"/>
              </w:rPr>
              <w:t>Demande d'autorisation d'appel déposée</w:t>
            </w:r>
          </w:p>
          <w:p w:rsidR="00533FD5" w:rsidRPr="00357596" w:rsidRDefault="00533FD5" w:rsidP="00160284">
            <w:pPr>
              <w:jc w:val="both"/>
              <w:rPr>
                <w:sz w:val="20"/>
              </w:rPr>
            </w:pPr>
          </w:p>
        </w:tc>
      </w:tr>
    </w:tbl>
    <w:p w:rsidR="00533FD5" w:rsidRPr="00357596" w:rsidRDefault="00533FD5" w:rsidP="00160284">
      <w:pPr>
        <w:jc w:val="both"/>
        <w:rPr>
          <w:sz w:val="20"/>
        </w:rPr>
      </w:pPr>
    </w:p>
    <w:p w:rsidR="001319D2" w:rsidRPr="00357596" w:rsidRDefault="00DA74AE" w:rsidP="00160284">
      <w:pPr>
        <w:widowControl w:val="0"/>
        <w:jc w:val="both"/>
        <w:rPr>
          <w:sz w:val="20"/>
          <w:lang w:val="fr-CA"/>
        </w:rPr>
      </w:pPr>
      <w:r w:rsidRPr="00357596">
        <w:rPr>
          <w:sz w:val="20"/>
        </w:rPr>
        <w:pict>
          <v:rect id="_x0000_i1038" style="width:2in;height:1pt" o:hrpct="0" o:hralign="center" o:hrstd="t" o:hrnoshade="t" o:hr="t" fillcolor="black [3213]" stroked="f"/>
        </w:pict>
      </w:r>
    </w:p>
    <w:p w:rsidR="001319D2" w:rsidRPr="00357596" w:rsidRDefault="001319D2"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t>39233</w:t>
            </w:r>
          </w:p>
        </w:tc>
        <w:tc>
          <w:tcPr>
            <w:tcW w:w="4457" w:type="pct"/>
            <w:gridSpan w:val="3"/>
          </w:tcPr>
          <w:p w:rsidR="00533FD5" w:rsidRPr="00357596" w:rsidRDefault="00533FD5" w:rsidP="00160284">
            <w:pPr>
              <w:pStyle w:val="SCCLsocParty"/>
              <w:jc w:val="both"/>
              <w:rPr>
                <w:b/>
                <w:sz w:val="20"/>
                <w:szCs w:val="20"/>
                <w:lang w:val="en-US"/>
              </w:rPr>
            </w:pPr>
            <w:r w:rsidRPr="00357596">
              <w:rPr>
                <w:b/>
                <w:sz w:val="20"/>
                <w:szCs w:val="20"/>
                <w:lang w:val="en-US"/>
              </w:rPr>
              <w:t>Dentons Canada LLP, David Loader, David Loader Professional Corporation v. HOOPP Realty Inc., Emery Jamieson LLP, W. Paul Sharek, Q.C., G. Bruce Comba</w:t>
            </w:r>
          </w:p>
          <w:p w:rsidR="00533FD5" w:rsidRPr="00357596" w:rsidRDefault="00533FD5" w:rsidP="00160284">
            <w:pPr>
              <w:pStyle w:val="SCCLsocSubfileSeparator"/>
              <w:rPr>
                <w:sz w:val="20"/>
                <w:szCs w:val="20"/>
              </w:rPr>
            </w:pPr>
            <w:r w:rsidRPr="00357596">
              <w:rPr>
                <w:sz w:val="20"/>
                <w:szCs w:val="20"/>
              </w:rPr>
              <w:t>- and between -</w:t>
            </w:r>
          </w:p>
          <w:p w:rsidR="00533FD5" w:rsidRPr="00357596" w:rsidRDefault="00533FD5" w:rsidP="00160284">
            <w:pPr>
              <w:pStyle w:val="SCCLsocParty"/>
              <w:jc w:val="both"/>
              <w:rPr>
                <w:b/>
                <w:sz w:val="20"/>
                <w:szCs w:val="20"/>
                <w:lang w:val="en-US"/>
              </w:rPr>
            </w:pPr>
            <w:r w:rsidRPr="00357596">
              <w:rPr>
                <w:b/>
                <w:sz w:val="20"/>
                <w:szCs w:val="20"/>
                <w:lang w:val="en-US"/>
              </w:rPr>
              <w:t>HOOPP Realty Inc. v. Emery Jamieson LLP, W. Paul Sharek, Q.C., G. Bruce Comba</w:t>
            </w:r>
          </w:p>
          <w:p w:rsidR="00533FD5" w:rsidRPr="00357596" w:rsidRDefault="00DA74AE" w:rsidP="00160284">
            <w:pPr>
              <w:jc w:val="both"/>
              <w:rPr>
                <w:sz w:val="20"/>
              </w:rPr>
            </w:pPr>
            <w:r w:rsidRPr="00357596">
              <w:rPr>
                <w:sz w:val="20"/>
              </w:rPr>
              <w:t>(Alta.) (Civil) (By Leave)</w:t>
            </w:r>
          </w:p>
        </w:tc>
      </w:tr>
      <w:tr w:rsidR="00533FD5" w:rsidRPr="00357596" w:rsidTr="00533FD5">
        <w:tc>
          <w:tcPr>
            <w:tcW w:w="5000" w:type="pct"/>
            <w:gridSpan w:val="4"/>
          </w:tcPr>
          <w:p w:rsidR="00533FD5" w:rsidRPr="00357596" w:rsidRDefault="00533FD5" w:rsidP="00160284">
            <w:pPr>
              <w:jc w:val="both"/>
              <w:rPr>
                <w:sz w:val="20"/>
              </w:rPr>
            </w:pPr>
            <w:r w:rsidRPr="00357596">
              <w:rPr>
                <w:sz w:val="20"/>
              </w:rPr>
              <w:t>Judgments and Orders — Summary judgment — Genuine issue for trial — Limitation of Actions — Torts — Negligence — Causation — What is a triable issue that genuinely bars summary disposition — Can Courts deny summary proceedings on the basis there are triable issues when the trial judge will be in the same position in having to make the same finding on the same record — Is a client required to commence a negligence claim against its former counsel before the date on which the client suffers loss or damages as a result of such negligence — Did HOOPP suffer an injury attributable to the Emery Defendants at any time before July 15, 2013, the date the ABCA struck HOOPP’s claim against the contractor —Alternatively, did HOOPP suffer an injury warranting the bringing of a proceeding prior to that date.</w:t>
            </w:r>
          </w:p>
          <w:p w:rsidR="00533FD5" w:rsidRPr="00357596" w:rsidRDefault="00533FD5" w:rsidP="00160284">
            <w:pPr>
              <w:jc w:val="both"/>
              <w:rPr>
                <w:sz w:val="20"/>
              </w:rPr>
            </w:pPr>
          </w:p>
        </w:tc>
      </w:tr>
      <w:tr w:rsidR="00533FD5" w:rsidRPr="00357596" w:rsidTr="00533FD5">
        <w:tc>
          <w:tcPr>
            <w:tcW w:w="5000" w:type="pct"/>
            <w:gridSpan w:val="4"/>
          </w:tcPr>
          <w:p w:rsidR="00533FD5" w:rsidRPr="00357596" w:rsidRDefault="00533FD5" w:rsidP="00160284">
            <w:pPr>
              <w:jc w:val="both"/>
              <w:rPr>
                <w:sz w:val="20"/>
              </w:rPr>
            </w:pPr>
            <w:r w:rsidRPr="00357596">
              <w:rPr>
                <w:sz w:val="20"/>
              </w:rPr>
              <w:lastRenderedPageBreak/>
              <w:t>HOOPP Realty Inc. (“HOOPP”) entered into a design</w:t>
            </w:r>
            <w:r w:rsidRPr="00357596">
              <w:rPr>
                <w:sz w:val="20"/>
              </w:rPr>
              <w:noBreakHyphen/>
              <w:t>build agreement with a contractor to construct a warehouse. The floor of the warehouse was defective, leading to actions brought against HOOPP and by HOOPP and others against the contractor. The design</w:t>
            </w:r>
            <w:r w:rsidRPr="00357596">
              <w:rPr>
                <w:sz w:val="20"/>
              </w:rPr>
              <w:noBreakHyphen/>
              <w:t xml:space="preserve">build contract contained what was later held to be a mandatory arbitration clause. Although HOOPP commenced a civil action against the contractor, it did not initiate arbitration within the requisite limitation period. As a result of the decision in </w:t>
            </w:r>
            <w:r w:rsidRPr="00357596">
              <w:rPr>
                <w:i/>
                <w:sz w:val="20"/>
              </w:rPr>
              <w:t>Agrium Inc. v. Babcock</w:t>
            </w:r>
            <w:r w:rsidRPr="00357596">
              <w:rPr>
                <w:sz w:val="20"/>
              </w:rPr>
              <w:t>, 2005 ABCA 82, the claim against the contractor was ultimately dismissed on the basis that the proper forum was arbitration and the limitation period had expired.</w:t>
            </w:r>
          </w:p>
          <w:p w:rsidR="00533FD5" w:rsidRPr="00357596" w:rsidRDefault="00533FD5" w:rsidP="00160284">
            <w:pPr>
              <w:jc w:val="both"/>
              <w:rPr>
                <w:sz w:val="20"/>
              </w:rPr>
            </w:pPr>
          </w:p>
          <w:p w:rsidR="00533FD5" w:rsidRPr="00357596" w:rsidRDefault="00533FD5" w:rsidP="00160284">
            <w:pPr>
              <w:jc w:val="both"/>
              <w:rPr>
                <w:sz w:val="20"/>
              </w:rPr>
            </w:pPr>
            <w:r w:rsidRPr="00357596">
              <w:rPr>
                <w:sz w:val="20"/>
              </w:rPr>
              <w:t xml:space="preserve">HOOPP had retained the Dentons defendants for the initial action brought against HOOPP and consulted them on claims against the contractor. When a conflict of interest arose with the Dentons defendants in fall of 2000, HOOPP’s file was transferred to the Emery defendants until the conflict was resolved in 2004. October 30, 2009, the contractor advised the Dentons defendants that they would be relying on the mandatory arbitration clause to bring an application to dismiss the action. On November 12, 2009, the Dentons defendants advised HOOPP about a potential problem arising from the arbitration clause. HOOPP sued the Emery Jamieson defendants on November 9, 2011, and later brought an action against the Dentons defendants. The Emery Jamieson defendants and the Denton defendants sought summary dismissal of the claims against them. </w:t>
            </w:r>
          </w:p>
          <w:p w:rsidR="00533FD5" w:rsidRPr="00357596" w:rsidRDefault="00533FD5" w:rsidP="00160284">
            <w:pPr>
              <w:jc w:val="both"/>
              <w:rPr>
                <w:sz w:val="20"/>
              </w:rPr>
            </w:pPr>
          </w:p>
          <w:p w:rsidR="00533FD5" w:rsidRPr="00357596" w:rsidRDefault="00533FD5" w:rsidP="00DA74AE">
            <w:pPr>
              <w:jc w:val="both"/>
              <w:rPr>
                <w:sz w:val="20"/>
              </w:rPr>
            </w:pPr>
            <w:r w:rsidRPr="00357596">
              <w:rPr>
                <w:sz w:val="20"/>
              </w:rPr>
              <w:t>A master of the Alberta Court of Queen’s Bench allowed the Emery Jam</w:t>
            </w:r>
            <w:r w:rsidR="00DA74AE" w:rsidRPr="00357596">
              <w:rPr>
                <w:sz w:val="20"/>
              </w:rPr>
              <w:t>i</w:t>
            </w:r>
            <w:r w:rsidRPr="00357596">
              <w:rPr>
                <w:sz w:val="20"/>
              </w:rPr>
              <w:t>eson defendants’ application for summary dismissal. By November 4, 2009, the Dentons defendants knew of the possible claim, and their knowledge was imputed to HOOPP. Therefore HOOPP’s claim against the Emery Jamieson defendants was out of time. Appeals from that result were dismissed by a Judge of the Alberta Court of Queen’s Bench and by the Court of Appeal for Alberta. The master concluded that the claim against the Dentons defendants was multi</w:t>
            </w:r>
            <w:r w:rsidRPr="00357596">
              <w:rPr>
                <w:sz w:val="20"/>
              </w:rPr>
              <w:noBreakHyphen/>
              <w:t>faceted and required expert evidence. He therefore dismissed the Dentons defendants’ application for summary dismissal and HOOPP’s application for declaratory relief. That decision was upheld by a Judge of the Alberta Court of Queen’s Bench and by the Court of Appeal of Alberta.</w:t>
            </w:r>
          </w:p>
        </w:tc>
      </w:tr>
      <w:tr w:rsidR="00533FD5" w:rsidRPr="00357596" w:rsidTr="00533FD5">
        <w:tc>
          <w:tcPr>
            <w:tcW w:w="5000" w:type="pct"/>
            <w:gridSpan w:val="4"/>
          </w:tcPr>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April 18, 2018</w:t>
            </w:r>
          </w:p>
          <w:p w:rsidR="00533FD5" w:rsidRPr="00357596" w:rsidRDefault="00533FD5" w:rsidP="00160284">
            <w:pPr>
              <w:jc w:val="both"/>
              <w:rPr>
                <w:sz w:val="20"/>
              </w:rPr>
            </w:pPr>
            <w:r w:rsidRPr="00357596">
              <w:rPr>
                <w:sz w:val="20"/>
              </w:rPr>
              <w:t>Court of Queen’s Bench of Alberta</w:t>
            </w:r>
          </w:p>
          <w:p w:rsidR="00533FD5" w:rsidRPr="00357596" w:rsidRDefault="00533FD5" w:rsidP="00160284">
            <w:pPr>
              <w:jc w:val="both"/>
              <w:rPr>
                <w:sz w:val="20"/>
              </w:rPr>
            </w:pPr>
            <w:r w:rsidRPr="00357596">
              <w:rPr>
                <w:sz w:val="20"/>
              </w:rPr>
              <w:t>(Master Robertson)</w:t>
            </w:r>
          </w:p>
          <w:p w:rsidR="00533FD5" w:rsidRPr="00357596" w:rsidRDefault="00533FD5" w:rsidP="00160284">
            <w:pPr>
              <w:jc w:val="both"/>
              <w:rPr>
                <w:sz w:val="20"/>
              </w:rPr>
            </w:pPr>
            <w:hyperlink r:id="rId41" w:history="1">
              <w:r w:rsidRPr="00357596">
                <w:rPr>
                  <w:rStyle w:val="Hyperlink"/>
                  <w:sz w:val="20"/>
                </w:rPr>
                <w:t>2018 ABQB 276</w:t>
              </w:r>
            </w:hyperlink>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Application for summary dismissal by Emery defendants granted; Application for summary dismissal by Dentons defendants dismissed; Cross-application by HOOPP for declaratory relief dismissed.</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January 3, 2019</w:t>
            </w:r>
          </w:p>
          <w:p w:rsidR="00533FD5" w:rsidRPr="00357596" w:rsidRDefault="00533FD5" w:rsidP="00160284">
            <w:pPr>
              <w:jc w:val="both"/>
              <w:rPr>
                <w:sz w:val="20"/>
              </w:rPr>
            </w:pPr>
            <w:r w:rsidRPr="00357596">
              <w:rPr>
                <w:sz w:val="20"/>
              </w:rPr>
              <w:t>Court of Queen’s Bench of Alberta</w:t>
            </w:r>
          </w:p>
          <w:p w:rsidR="00533FD5" w:rsidRPr="00357596" w:rsidRDefault="00533FD5" w:rsidP="00160284">
            <w:pPr>
              <w:jc w:val="both"/>
              <w:rPr>
                <w:sz w:val="20"/>
              </w:rPr>
            </w:pPr>
            <w:r w:rsidRPr="00357596">
              <w:rPr>
                <w:sz w:val="20"/>
              </w:rPr>
              <w:t>(Wilson J.)</w:t>
            </w:r>
          </w:p>
          <w:p w:rsidR="00533FD5" w:rsidRPr="00357596" w:rsidRDefault="00533FD5" w:rsidP="00160284">
            <w:pPr>
              <w:jc w:val="both"/>
              <w:rPr>
                <w:sz w:val="20"/>
              </w:rPr>
            </w:pPr>
            <w:r w:rsidRPr="00357596">
              <w:rPr>
                <w:sz w:val="20"/>
              </w:rPr>
              <w:t>1101</w:t>
            </w:r>
            <w:r w:rsidRPr="00357596">
              <w:rPr>
                <w:sz w:val="20"/>
              </w:rPr>
              <w:noBreakHyphen/>
              <w:t>15259</w:t>
            </w:r>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Appeals dismissed.</w:t>
            </w:r>
          </w:p>
        </w:tc>
      </w:tr>
      <w:tr w:rsidR="00533FD5" w:rsidRPr="00357596" w:rsidTr="00533FD5">
        <w:tc>
          <w:tcPr>
            <w:tcW w:w="2427" w:type="pct"/>
            <w:gridSpan w:val="2"/>
          </w:tcPr>
          <w:p w:rsidR="00533FD5" w:rsidRPr="00357596" w:rsidRDefault="00533FD5" w:rsidP="00160284">
            <w:pPr>
              <w:jc w:val="both"/>
              <w:rPr>
                <w:sz w:val="20"/>
              </w:rPr>
            </w:pPr>
            <w:r w:rsidRPr="00357596">
              <w:rPr>
                <w:sz w:val="20"/>
              </w:rPr>
              <w:t>April 24, 2020</w:t>
            </w:r>
          </w:p>
          <w:p w:rsidR="00533FD5" w:rsidRPr="00357596" w:rsidRDefault="00533FD5" w:rsidP="00160284">
            <w:pPr>
              <w:jc w:val="both"/>
              <w:rPr>
                <w:sz w:val="20"/>
              </w:rPr>
            </w:pPr>
            <w:r w:rsidRPr="00357596">
              <w:rPr>
                <w:sz w:val="20"/>
              </w:rPr>
              <w:t>Court of Appeal of Alberta (Calgary)</w:t>
            </w:r>
          </w:p>
          <w:p w:rsidR="00533FD5" w:rsidRPr="00357596" w:rsidRDefault="00533FD5" w:rsidP="00160284">
            <w:pPr>
              <w:jc w:val="both"/>
              <w:rPr>
                <w:sz w:val="20"/>
              </w:rPr>
            </w:pPr>
            <w:r w:rsidRPr="00357596">
              <w:rPr>
                <w:sz w:val="20"/>
              </w:rPr>
              <w:t>(Veldhuis, Hughes and Antonio JJ.A.)</w:t>
            </w:r>
          </w:p>
          <w:p w:rsidR="00533FD5" w:rsidRPr="00357596" w:rsidRDefault="00533FD5" w:rsidP="00160284">
            <w:pPr>
              <w:jc w:val="both"/>
              <w:rPr>
                <w:rStyle w:val="Hyperlink"/>
                <w:sz w:val="20"/>
              </w:rPr>
            </w:pPr>
            <w:hyperlink r:id="rId42" w:history="1">
              <w:r w:rsidRPr="00357596">
                <w:rPr>
                  <w:rStyle w:val="Hyperlink"/>
                  <w:sz w:val="20"/>
                </w:rPr>
                <w:t>2020 ABCA 159</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Appeals dismissed.</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June 23, 2020</w:t>
            </w:r>
          </w:p>
          <w:p w:rsidR="00533FD5" w:rsidRPr="00357596" w:rsidRDefault="00533FD5" w:rsidP="00160284">
            <w:pPr>
              <w:jc w:val="both"/>
              <w:rPr>
                <w:sz w:val="20"/>
              </w:rPr>
            </w:pPr>
            <w:r w:rsidRPr="00357596">
              <w:rPr>
                <w:sz w:val="20"/>
              </w:rPr>
              <w:t>Supreme Court of Canada</w:t>
            </w:r>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First Application for leave to appeal filed by Dentons.</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June 23, 2020</w:t>
            </w:r>
          </w:p>
          <w:p w:rsidR="00533FD5" w:rsidRPr="00357596" w:rsidRDefault="00533FD5" w:rsidP="00DA74AE">
            <w:pPr>
              <w:jc w:val="both"/>
              <w:rPr>
                <w:sz w:val="20"/>
              </w:rPr>
            </w:pPr>
            <w:r w:rsidRPr="00357596">
              <w:rPr>
                <w:sz w:val="20"/>
              </w:rPr>
              <w:t>Supreme Court of Canada</w:t>
            </w:r>
          </w:p>
        </w:tc>
        <w:tc>
          <w:tcPr>
            <w:tcW w:w="243" w:type="pct"/>
          </w:tcPr>
          <w:p w:rsidR="00533FD5" w:rsidRPr="00357596" w:rsidRDefault="00533FD5" w:rsidP="00160284">
            <w:pPr>
              <w:jc w:val="both"/>
              <w:rPr>
                <w:sz w:val="20"/>
              </w:rPr>
            </w:pPr>
          </w:p>
        </w:tc>
        <w:tc>
          <w:tcPr>
            <w:tcW w:w="2330" w:type="pct"/>
          </w:tcPr>
          <w:p w:rsidR="00533FD5" w:rsidRPr="00357596" w:rsidRDefault="00533FD5" w:rsidP="00DA74AE">
            <w:pPr>
              <w:jc w:val="both"/>
              <w:rPr>
                <w:sz w:val="20"/>
              </w:rPr>
            </w:pPr>
            <w:r w:rsidRPr="00357596">
              <w:rPr>
                <w:sz w:val="20"/>
              </w:rPr>
              <w:t>Second Application for leave to appeal filed by HOOPP.</w:t>
            </w:r>
          </w:p>
        </w:tc>
      </w:tr>
    </w:tbl>
    <w:p w:rsidR="00533FD5" w:rsidRPr="00357596" w:rsidRDefault="00533FD5" w:rsidP="00160284">
      <w:pPr>
        <w:jc w:val="both"/>
        <w:rPr>
          <w:sz w:val="20"/>
        </w:rPr>
      </w:pPr>
    </w:p>
    <w:p w:rsidR="00DA74AE" w:rsidRPr="00357596" w:rsidRDefault="00DA74AE" w:rsidP="00160284">
      <w:pPr>
        <w:jc w:val="both"/>
        <w:rPr>
          <w:sz w:val="20"/>
        </w:rPr>
      </w:pPr>
      <w:r w:rsidRPr="00357596">
        <w:rPr>
          <w:sz w:val="20"/>
        </w:rPr>
        <w:pict>
          <v:rect id="_x0000_i1039" style="width:2in;height:1pt" o:hrpct="0" o:hralign="center" o:hrstd="t" o:hrnoshade="t" o:hr="t" fillcolor="black [3213]" stroked="f"/>
        </w:pict>
      </w:r>
    </w:p>
    <w:p w:rsidR="00DA74AE" w:rsidRPr="00357596" w:rsidRDefault="00DA74AE" w:rsidP="0016028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lang w:val="fr-CA"/>
              </w:rPr>
            </w:pPr>
            <w:r w:rsidRPr="00357596">
              <w:rPr>
                <w:rStyle w:val="SCCFileNumberChar"/>
                <w:sz w:val="20"/>
                <w:szCs w:val="20"/>
                <w:lang w:val="fr-CA"/>
              </w:rPr>
              <w:t>39233</w:t>
            </w:r>
          </w:p>
        </w:tc>
        <w:tc>
          <w:tcPr>
            <w:tcW w:w="4457" w:type="pct"/>
            <w:gridSpan w:val="3"/>
          </w:tcPr>
          <w:p w:rsidR="00533FD5" w:rsidRPr="00357596" w:rsidRDefault="00533FD5" w:rsidP="00160284">
            <w:pPr>
              <w:pStyle w:val="SCCLsocParty"/>
              <w:jc w:val="both"/>
              <w:rPr>
                <w:b/>
                <w:sz w:val="20"/>
                <w:szCs w:val="20"/>
                <w:lang w:val="en-US"/>
              </w:rPr>
            </w:pPr>
            <w:r w:rsidRPr="00357596">
              <w:rPr>
                <w:b/>
                <w:sz w:val="20"/>
                <w:szCs w:val="20"/>
                <w:lang w:val="en-US"/>
              </w:rPr>
              <w:t>Dentons Canada LLP, David Loader, David Loader Professional Corporation c. HOOPP Realty Inc., Emery Jamieson LLP, W. Paul Sharek, c.r., G. Bruce Comba</w:t>
            </w:r>
          </w:p>
          <w:p w:rsidR="00533FD5" w:rsidRPr="00357596" w:rsidRDefault="00533FD5" w:rsidP="00160284">
            <w:pPr>
              <w:pStyle w:val="SCCLsocSubfileSeparator"/>
              <w:rPr>
                <w:sz w:val="20"/>
                <w:szCs w:val="20"/>
                <w:lang w:val="en-US"/>
              </w:rPr>
            </w:pPr>
            <w:r w:rsidRPr="00357596">
              <w:rPr>
                <w:sz w:val="20"/>
                <w:szCs w:val="20"/>
                <w:lang w:val="en-US"/>
              </w:rPr>
              <w:t>- et entre -</w:t>
            </w:r>
          </w:p>
          <w:p w:rsidR="00533FD5" w:rsidRPr="00357596" w:rsidRDefault="00533FD5" w:rsidP="00160284">
            <w:pPr>
              <w:pStyle w:val="SCCLsocParty"/>
              <w:jc w:val="both"/>
              <w:rPr>
                <w:b/>
                <w:sz w:val="20"/>
                <w:szCs w:val="20"/>
                <w:lang w:val="en-US"/>
              </w:rPr>
            </w:pPr>
            <w:r w:rsidRPr="00357596">
              <w:rPr>
                <w:b/>
                <w:sz w:val="20"/>
                <w:szCs w:val="20"/>
                <w:lang w:val="en-US"/>
              </w:rPr>
              <w:t>HOOPP Realty Inc. c. Emery Jamieson LLP, W. Paul Sharek, c.r., G. Bruce Comba</w:t>
            </w:r>
          </w:p>
          <w:p w:rsidR="00533FD5" w:rsidRPr="00357596" w:rsidRDefault="00DA74AE" w:rsidP="00160284">
            <w:pPr>
              <w:jc w:val="both"/>
              <w:rPr>
                <w:sz w:val="20"/>
                <w:lang w:val="fr-CA"/>
              </w:rPr>
            </w:pPr>
            <w:r w:rsidRPr="00357596">
              <w:rPr>
                <w:sz w:val="20"/>
                <w:lang w:val="fr-CA"/>
              </w:rPr>
              <w:t>(Alb.) (Civile) (Autorisation)</w:t>
            </w:r>
          </w:p>
        </w:tc>
      </w:tr>
      <w:tr w:rsidR="00533FD5" w:rsidRPr="00357596" w:rsidTr="00533FD5">
        <w:tc>
          <w:tcPr>
            <w:tcW w:w="5000" w:type="pct"/>
            <w:gridSpan w:val="4"/>
          </w:tcPr>
          <w:p w:rsidR="00533FD5" w:rsidRPr="00357596" w:rsidRDefault="00533FD5" w:rsidP="00160284">
            <w:pPr>
              <w:jc w:val="both"/>
              <w:rPr>
                <w:sz w:val="20"/>
                <w:lang w:val="fr-CA"/>
              </w:rPr>
            </w:pPr>
            <w:r w:rsidRPr="00357596">
              <w:rPr>
                <w:sz w:val="20"/>
                <w:lang w:val="fr-CA"/>
              </w:rPr>
              <w:lastRenderedPageBreak/>
              <w:t>Jugements et ordonnances — Jugements sommaires — Véritable question litigieuse — Prescription — Responsabilité délictuelle — Négligence — Causalité — Quelle est la nature d’une question justifiant un procès qui empêche véritablement toute décision sommaire? — Les tribunaux peuvent</w:t>
            </w:r>
            <w:r w:rsidRPr="00357596">
              <w:rPr>
                <w:sz w:val="20"/>
                <w:lang w:val="fr-CA"/>
              </w:rPr>
              <w:noBreakHyphen/>
              <w:t>ils rejeter des procédures sommaires au motif qu’il existe des questions justifiant la tenue d’un procès, lorsque le juge du procès sera dans la même situation, parce qu’il devra tirer les mêmes conclusions sur le même dossier? — Un client est</w:t>
            </w:r>
            <w:r w:rsidRPr="00357596">
              <w:rPr>
                <w:sz w:val="20"/>
                <w:lang w:val="fr-CA"/>
              </w:rPr>
              <w:noBreakHyphen/>
              <w:t>il tenu d’intenter une demande en négligence contre son avocat précédent, avant la date à laquelle le client a subi des pertes ou des préjudices en raison d’une telle négligence? — HOOPP a</w:t>
            </w:r>
            <w:r w:rsidRPr="00357596">
              <w:rPr>
                <w:sz w:val="20"/>
                <w:lang w:val="fr-CA"/>
              </w:rPr>
              <w:noBreakHyphen/>
              <w:t>t</w:t>
            </w:r>
            <w:r w:rsidRPr="00357596">
              <w:rPr>
                <w:sz w:val="20"/>
                <w:lang w:val="fr-CA"/>
              </w:rPr>
              <w:noBreakHyphen/>
              <w:t>elle subi un préjudice attribuable aux défendeurs Emery à n’importe quel moment avant le 15 juillet 2013, date à laquelle la Cour d’appel de l’Alberta a radié la demande présentée par HOOPP contre l’entrepreneur — De manière subsidiaire, HOOPP a</w:t>
            </w:r>
            <w:r w:rsidRPr="00357596">
              <w:rPr>
                <w:sz w:val="20"/>
                <w:lang w:val="fr-CA"/>
              </w:rPr>
              <w:noBreakHyphen/>
              <w:t>t</w:t>
            </w:r>
            <w:r w:rsidRPr="00357596">
              <w:rPr>
                <w:sz w:val="20"/>
                <w:lang w:val="fr-CA"/>
              </w:rPr>
              <w:noBreakHyphen/>
              <w:t>elle subi un préjudice justifiant le dépôt d’une procédure avant cette date?</w:t>
            </w:r>
          </w:p>
          <w:p w:rsidR="00533FD5" w:rsidRPr="00357596" w:rsidRDefault="00533FD5" w:rsidP="00160284">
            <w:pPr>
              <w:jc w:val="both"/>
              <w:rPr>
                <w:sz w:val="20"/>
                <w:lang w:val="fr-CA"/>
              </w:rPr>
            </w:pPr>
          </w:p>
        </w:tc>
      </w:tr>
      <w:tr w:rsidR="00533FD5" w:rsidRPr="00357596" w:rsidTr="00533FD5">
        <w:tc>
          <w:tcPr>
            <w:tcW w:w="5000" w:type="pct"/>
            <w:gridSpan w:val="4"/>
          </w:tcPr>
          <w:p w:rsidR="00533FD5" w:rsidRPr="00357596" w:rsidRDefault="00533FD5" w:rsidP="00160284">
            <w:pPr>
              <w:jc w:val="both"/>
              <w:rPr>
                <w:sz w:val="20"/>
                <w:lang w:val="fr-CA"/>
              </w:rPr>
            </w:pPr>
            <w:r w:rsidRPr="00357596">
              <w:rPr>
                <w:sz w:val="20"/>
                <w:lang w:val="fr-CA"/>
              </w:rPr>
              <w:t>HOOPP Realty Inc. (HOOPP) a conclu un contrat de conception</w:t>
            </w:r>
            <w:r w:rsidRPr="00357596">
              <w:rPr>
                <w:sz w:val="20"/>
                <w:lang w:val="fr-CA"/>
              </w:rPr>
              <w:noBreakHyphen/>
              <w:t>construction avec un entrepreneur en vue de la construction d’un entrepôt. Le sol de l’entrepôt était défectueux, ce qui a mené à des actions présentées contre HOOPP et à des actions présentées par cette dernière et d’autres contre l’entrepreneur. Le contrat de conception</w:t>
            </w:r>
            <w:r w:rsidRPr="00357596">
              <w:rPr>
                <w:sz w:val="20"/>
                <w:lang w:val="fr-CA"/>
              </w:rPr>
              <w:noBreakHyphen/>
              <w:t>construction contenait ce qui a été jugé plus tard comme étant une clause d’arbitrage obligatoire. Bien que HOOPP ait intenté une action civile contre l’entrepreneur, elle n’a pas entamé le processus d’arbitrage dans le délai prévu de prescription. Conformément à la décision rendue dans</w:t>
            </w:r>
            <w:r w:rsidRPr="00357596">
              <w:rPr>
                <w:i/>
                <w:sz w:val="20"/>
                <w:lang w:val="fr-CA"/>
              </w:rPr>
              <w:t xml:space="preserve"> Agrium Inc. v. Babcock</w:t>
            </w:r>
            <w:r w:rsidRPr="00357596">
              <w:rPr>
                <w:sz w:val="20"/>
                <w:lang w:val="fr-CA"/>
              </w:rPr>
              <w:t>, 2005 ABCA 82, la demande présentée contre l’entrepreneur a été rejetée en définitive, au motif que la procédure d’arbitrage était nécessaire en l’espèce et que le délai de prescription avait expiré.</w:t>
            </w:r>
          </w:p>
          <w:p w:rsidR="00533FD5" w:rsidRPr="00357596" w:rsidRDefault="00533FD5" w:rsidP="00160284">
            <w:pPr>
              <w:jc w:val="both"/>
              <w:rPr>
                <w:sz w:val="20"/>
                <w:lang w:val="fr-CA"/>
              </w:rPr>
            </w:pPr>
          </w:p>
          <w:p w:rsidR="00533FD5" w:rsidRPr="00357596" w:rsidRDefault="00533FD5" w:rsidP="00160284">
            <w:pPr>
              <w:jc w:val="both"/>
              <w:rPr>
                <w:sz w:val="20"/>
                <w:lang w:val="fr-CA"/>
              </w:rPr>
            </w:pPr>
            <w:r w:rsidRPr="00357596">
              <w:rPr>
                <w:sz w:val="20"/>
                <w:lang w:val="fr-CA"/>
              </w:rPr>
              <w:t>HOOPP avait retenu les défendeurs Dentons pour l’action initiale présentée contre HOOPP et les avait consultés dans les demandes déposées contre l’entrepreneur. En automne 2000, lorsqu’il est apparu qu’un conflit d’intérêts existait avec les défendeurs Dentons, le dossier HOOPP a été transféré aux défendeurs Emery, jusqu’à ce que le conflit soit résolu en 2004. Le 30 octobre 2009, l’entrepreneur a avisé les défendeurs Dentons qu’il invoquerait la clause d’arbitrage obligatoire dans le dépôt d’une demande de rejet de l’action. Le 12 novembre 2009, les défendeurs Dentons ont avisé HOOPP de l’existence possible d’un problème en raison de la clause d’arbitrage. HOOPP a porté plainte contre les défendeurs Emery Jamieson le 9 novembre 2011 et a présenté plus tard une action contre les défendeurs Dentons. Les défendeurs Emery Jamieson et Dentons ont sollicité un jugement sommaire rejetant les demandes présentées contre eux.</w:t>
            </w:r>
          </w:p>
          <w:p w:rsidR="00533FD5" w:rsidRPr="00357596" w:rsidRDefault="00533FD5" w:rsidP="00160284">
            <w:pPr>
              <w:jc w:val="both"/>
              <w:rPr>
                <w:sz w:val="20"/>
                <w:lang w:val="fr-CA"/>
              </w:rPr>
            </w:pPr>
          </w:p>
          <w:p w:rsidR="00533FD5" w:rsidRPr="00357596" w:rsidRDefault="00533FD5" w:rsidP="00DA74AE">
            <w:pPr>
              <w:jc w:val="both"/>
              <w:rPr>
                <w:sz w:val="20"/>
                <w:lang w:val="fr-CA"/>
              </w:rPr>
            </w:pPr>
            <w:r w:rsidRPr="00357596">
              <w:rPr>
                <w:sz w:val="20"/>
                <w:lang w:val="fr-CA"/>
              </w:rPr>
              <w:t>Un conseiller</w:t>
            </w:r>
            <w:r w:rsidRPr="00357596">
              <w:rPr>
                <w:sz w:val="20"/>
                <w:lang w:val="fr-CA"/>
              </w:rPr>
              <w:noBreakHyphen/>
              <w:t>maître de la Cour du banc de la reine de l’Alberta a accueilli la demande de rejet du jugement sommaire présentée par les défendeurs Emery Jamieson. Le 4 novembre 2009, les défendeurs Dentons étaient au courant de la possibilité de demande, et c’est HOOPP qui les en avait informés. Par conséquent, la demande de HOOPP contre les défendeurs Emery Jamieson était prescrite. Les appels interjetés contre ce résultat ont été rejetés par un juge de la Cour du banc de la reine de l’Alberta, et, ensuite, par la Cour d’appel de l’Alberta. Le conseiller</w:t>
            </w:r>
            <w:r w:rsidRPr="00357596">
              <w:rPr>
                <w:sz w:val="20"/>
                <w:lang w:val="fr-CA"/>
              </w:rPr>
              <w:noBreakHyphen/>
              <w:t>maître a conclu que la demande présentée contre les défendeurs Dentons présentait de nombreuses facettes et nécessitait des preuves d’expert. Il a donc rejeté la demande de rejet du jugement sommaire des défendeurs Dentons et la demande de jugement déclaratoire de HOOPP. Cette décision a été maintenue par un juge de la Cour du banc de la reine de l’Alberta, et par la Cour d’appel de l’Alberta.</w:t>
            </w:r>
          </w:p>
        </w:tc>
      </w:tr>
      <w:tr w:rsidR="00533FD5" w:rsidRPr="00357596" w:rsidTr="00533FD5">
        <w:tc>
          <w:tcPr>
            <w:tcW w:w="5000" w:type="pct"/>
            <w:gridSpan w:val="4"/>
          </w:tcPr>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18 avril 2018</w:t>
            </w:r>
          </w:p>
          <w:p w:rsidR="00533FD5" w:rsidRPr="00357596" w:rsidRDefault="00533FD5" w:rsidP="00160284">
            <w:pPr>
              <w:jc w:val="both"/>
              <w:rPr>
                <w:sz w:val="20"/>
                <w:lang w:val="fr-CA"/>
              </w:rPr>
            </w:pPr>
            <w:r w:rsidRPr="00357596">
              <w:rPr>
                <w:sz w:val="20"/>
                <w:lang w:val="fr-CA"/>
              </w:rPr>
              <w:t>Cour du banc de la reine de l’Alberta</w:t>
            </w:r>
          </w:p>
          <w:p w:rsidR="00533FD5" w:rsidRPr="00357596" w:rsidRDefault="00533FD5" w:rsidP="00160284">
            <w:pPr>
              <w:jc w:val="both"/>
              <w:rPr>
                <w:sz w:val="20"/>
                <w:lang w:val="fr-CA"/>
              </w:rPr>
            </w:pPr>
            <w:r w:rsidRPr="00357596">
              <w:rPr>
                <w:sz w:val="20"/>
                <w:lang w:val="fr-CA"/>
              </w:rPr>
              <w:t>(Conseiller</w:t>
            </w:r>
            <w:r w:rsidRPr="00357596">
              <w:rPr>
                <w:sz w:val="20"/>
                <w:lang w:val="fr-CA"/>
              </w:rPr>
              <w:noBreakHyphen/>
              <w:t>maître Robertson)</w:t>
            </w:r>
          </w:p>
          <w:p w:rsidR="00533FD5" w:rsidRPr="00357596" w:rsidRDefault="00533FD5" w:rsidP="00160284">
            <w:pPr>
              <w:jc w:val="both"/>
              <w:rPr>
                <w:sz w:val="20"/>
                <w:lang w:val="fr-CA"/>
              </w:rPr>
            </w:pPr>
            <w:hyperlink r:id="rId43" w:history="1">
              <w:r w:rsidRPr="00357596">
                <w:rPr>
                  <w:rStyle w:val="Hyperlink"/>
                  <w:sz w:val="20"/>
                  <w:lang w:val="fr-CA"/>
                </w:rPr>
                <w:t>2018 ABQB 276</w:t>
              </w:r>
            </w:hyperlink>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Accueil de la demande de rejet du jugement sommaire présentée par les défendeurs Emery; rejet de la demande de rejet du jugement sommaire présentée par les défendeurs Dentons; rejet de la demande reconventionnelle présentée par HOOPP en vue d’obtenir un jugement déclaratoire.</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3 janvier 2019</w:t>
            </w:r>
          </w:p>
          <w:p w:rsidR="00533FD5" w:rsidRPr="00357596" w:rsidRDefault="00533FD5" w:rsidP="00160284">
            <w:pPr>
              <w:jc w:val="both"/>
              <w:rPr>
                <w:sz w:val="20"/>
                <w:lang w:val="fr-CA"/>
              </w:rPr>
            </w:pPr>
            <w:r w:rsidRPr="00357596">
              <w:rPr>
                <w:sz w:val="20"/>
                <w:lang w:val="fr-CA"/>
              </w:rPr>
              <w:t>Cour du banc de la reine de l’Alberta</w:t>
            </w:r>
          </w:p>
          <w:p w:rsidR="00533FD5" w:rsidRPr="00357596" w:rsidRDefault="00533FD5" w:rsidP="00160284">
            <w:pPr>
              <w:jc w:val="both"/>
              <w:rPr>
                <w:sz w:val="20"/>
                <w:lang w:val="fr-CA"/>
              </w:rPr>
            </w:pPr>
            <w:r w:rsidRPr="00357596">
              <w:rPr>
                <w:sz w:val="20"/>
                <w:lang w:val="fr-CA"/>
              </w:rPr>
              <w:t>(Juge Wilson)</w:t>
            </w:r>
          </w:p>
          <w:p w:rsidR="00533FD5" w:rsidRPr="00357596" w:rsidRDefault="00533FD5" w:rsidP="00160284">
            <w:pPr>
              <w:jc w:val="both"/>
              <w:rPr>
                <w:sz w:val="20"/>
                <w:lang w:val="fr-CA"/>
              </w:rPr>
            </w:pPr>
            <w:r w:rsidRPr="00357596">
              <w:rPr>
                <w:sz w:val="20"/>
                <w:lang w:val="fr-CA"/>
              </w:rPr>
              <w:t>1101</w:t>
            </w:r>
            <w:r w:rsidRPr="00357596">
              <w:rPr>
                <w:sz w:val="20"/>
                <w:lang w:val="fr-CA"/>
              </w:rPr>
              <w:noBreakHyphen/>
              <w:t>15259</w:t>
            </w:r>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Appels rejetés.</w:t>
            </w: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24 avril 2020</w:t>
            </w:r>
          </w:p>
          <w:p w:rsidR="00533FD5" w:rsidRPr="00357596" w:rsidRDefault="00533FD5" w:rsidP="00160284">
            <w:pPr>
              <w:jc w:val="both"/>
              <w:rPr>
                <w:sz w:val="20"/>
                <w:lang w:val="fr-CA"/>
              </w:rPr>
            </w:pPr>
            <w:r w:rsidRPr="00357596">
              <w:rPr>
                <w:sz w:val="20"/>
                <w:lang w:val="fr-CA"/>
              </w:rPr>
              <w:t>Cour d’appel de l’Alberta (Calgary)</w:t>
            </w:r>
          </w:p>
          <w:p w:rsidR="00533FD5" w:rsidRPr="00357596" w:rsidRDefault="00533FD5" w:rsidP="00160284">
            <w:pPr>
              <w:jc w:val="both"/>
              <w:rPr>
                <w:sz w:val="20"/>
                <w:lang w:val="fr-CA"/>
              </w:rPr>
            </w:pPr>
            <w:r w:rsidRPr="00357596">
              <w:rPr>
                <w:sz w:val="20"/>
                <w:lang w:val="fr-CA"/>
              </w:rPr>
              <w:t>(Juges Veldhuis, Hughes et Antonio)</w:t>
            </w:r>
          </w:p>
          <w:p w:rsidR="00533FD5" w:rsidRPr="00357596" w:rsidRDefault="00533FD5" w:rsidP="00160284">
            <w:pPr>
              <w:jc w:val="both"/>
              <w:rPr>
                <w:rStyle w:val="Hyperlink"/>
                <w:sz w:val="20"/>
                <w:lang w:val="fr-CA"/>
              </w:rPr>
            </w:pPr>
            <w:hyperlink r:id="rId44" w:history="1">
              <w:r w:rsidRPr="00357596">
                <w:rPr>
                  <w:rStyle w:val="Hyperlink"/>
                  <w:sz w:val="20"/>
                  <w:lang w:val="fr-CA"/>
                </w:rPr>
                <w:t>2020 ABCA 159</w:t>
              </w:r>
            </w:hyperlink>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Appels rejetés.</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lastRenderedPageBreak/>
              <w:t>23 juin 2020</w:t>
            </w:r>
          </w:p>
          <w:p w:rsidR="00533FD5" w:rsidRPr="00357596" w:rsidRDefault="00533FD5" w:rsidP="00160284">
            <w:pPr>
              <w:jc w:val="both"/>
              <w:rPr>
                <w:sz w:val="20"/>
                <w:lang w:val="fr-CA"/>
              </w:rPr>
            </w:pPr>
            <w:r w:rsidRPr="00357596">
              <w:rPr>
                <w:sz w:val="20"/>
                <w:lang w:val="fr-CA"/>
              </w:rPr>
              <w:t>Cour suprême du Canada</w:t>
            </w:r>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Dépôt par Dentons de la première demande d’autorisation d’appel.</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23 juin 2020</w:t>
            </w:r>
          </w:p>
          <w:p w:rsidR="00533FD5" w:rsidRPr="00357596" w:rsidRDefault="00533FD5" w:rsidP="00DA74AE">
            <w:pPr>
              <w:jc w:val="both"/>
              <w:rPr>
                <w:sz w:val="20"/>
                <w:lang w:val="fr-CA"/>
              </w:rPr>
            </w:pPr>
            <w:r w:rsidRPr="00357596">
              <w:rPr>
                <w:sz w:val="20"/>
                <w:lang w:val="fr-CA"/>
              </w:rPr>
              <w:t>Cour suprême du Canada</w:t>
            </w: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DA74AE">
            <w:pPr>
              <w:jc w:val="both"/>
              <w:rPr>
                <w:sz w:val="20"/>
                <w:lang w:val="fr-CA"/>
              </w:rPr>
            </w:pPr>
            <w:r w:rsidRPr="00357596">
              <w:rPr>
                <w:sz w:val="20"/>
                <w:lang w:val="fr-CA"/>
              </w:rPr>
              <w:t>Dépôt par HOOPP de la deuxième demande d’autorisation d’appel.</w:t>
            </w:r>
          </w:p>
        </w:tc>
      </w:tr>
    </w:tbl>
    <w:p w:rsidR="00533FD5" w:rsidRPr="00357596" w:rsidRDefault="00533FD5" w:rsidP="00160284">
      <w:pPr>
        <w:jc w:val="both"/>
        <w:rPr>
          <w:sz w:val="20"/>
          <w:lang w:val="fr-CA"/>
        </w:rPr>
      </w:pPr>
    </w:p>
    <w:p w:rsidR="001319D2" w:rsidRPr="00357596" w:rsidRDefault="00DA74AE" w:rsidP="00160284">
      <w:pPr>
        <w:widowControl w:val="0"/>
        <w:jc w:val="both"/>
        <w:rPr>
          <w:sz w:val="20"/>
          <w:lang w:val="fr-CA"/>
        </w:rPr>
      </w:pPr>
      <w:r w:rsidRPr="00357596">
        <w:rPr>
          <w:sz w:val="20"/>
        </w:rPr>
        <w:pict>
          <v:rect id="_x0000_i1040" style="width:2in;height:1pt" o:hrpct="0" o:hralign="center" o:hrstd="t" o:hrnoshade="t" o:hr="t" fillcolor="black [3213]" stroked="f"/>
        </w:pict>
      </w:r>
    </w:p>
    <w:p w:rsidR="005A5176" w:rsidRPr="00357596" w:rsidRDefault="005A5176"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t>39251</w:t>
            </w:r>
          </w:p>
        </w:tc>
        <w:tc>
          <w:tcPr>
            <w:tcW w:w="4457" w:type="pct"/>
            <w:gridSpan w:val="3"/>
          </w:tcPr>
          <w:p w:rsidR="00533FD5" w:rsidRPr="00357596" w:rsidRDefault="00533FD5" w:rsidP="00160284">
            <w:pPr>
              <w:pStyle w:val="SCCLsocParty"/>
              <w:jc w:val="both"/>
              <w:rPr>
                <w:b/>
                <w:sz w:val="20"/>
                <w:szCs w:val="20"/>
                <w:lang w:val="en-US"/>
              </w:rPr>
            </w:pPr>
            <w:r w:rsidRPr="00357596">
              <w:rPr>
                <w:b/>
                <w:sz w:val="20"/>
                <w:szCs w:val="20"/>
                <w:lang w:val="en-US"/>
              </w:rPr>
              <w:t>Hamid Alakozai v. Attorney General of Canada</w:t>
            </w:r>
          </w:p>
          <w:p w:rsidR="00533FD5" w:rsidRPr="00357596" w:rsidRDefault="00533FD5" w:rsidP="00160284">
            <w:pPr>
              <w:jc w:val="both"/>
              <w:rPr>
                <w:sz w:val="20"/>
              </w:rPr>
            </w:pPr>
            <w:r w:rsidRPr="00357596">
              <w:rPr>
                <w:sz w:val="20"/>
              </w:rPr>
              <w:t>(F</w:t>
            </w:r>
            <w:r w:rsidR="00DA74AE" w:rsidRPr="00357596">
              <w:rPr>
                <w:sz w:val="20"/>
              </w:rPr>
              <w:t>.</w:t>
            </w:r>
            <w:r w:rsidRPr="00357596">
              <w:rPr>
                <w:sz w:val="20"/>
              </w:rPr>
              <w:t>C</w:t>
            </w:r>
            <w:r w:rsidR="00DA74AE" w:rsidRPr="00357596">
              <w:rPr>
                <w:sz w:val="20"/>
              </w:rPr>
              <w:t>.</w:t>
            </w:r>
            <w:r w:rsidRPr="00357596">
              <w:rPr>
                <w:sz w:val="20"/>
              </w:rPr>
              <w:t>) (Civil) (By Leave)</w:t>
            </w:r>
          </w:p>
        </w:tc>
      </w:tr>
      <w:tr w:rsidR="00533FD5" w:rsidRPr="00357596" w:rsidTr="00533FD5">
        <w:tc>
          <w:tcPr>
            <w:tcW w:w="5000" w:type="pct"/>
            <w:gridSpan w:val="4"/>
          </w:tcPr>
          <w:p w:rsidR="00533FD5" w:rsidRPr="00357596" w:rsidRDefault="00533FD5" w:rsidP="00160284">
            <w:pPr>
              <w:jc w:val="both"/>
              <w:rPr>
                <w:sz w:val="20"/>
              </w:rPr>
            </w:pPr>
            <w:r w:rsidRPr="00357596">
              <w:rPr>
                <w:sz w:val="20"/>
              </w:rPr>
              <w:t>Administrative law — Judicial review — Standard of review — Applicant applying for security clearance as pre</w:t>
            </w:r>
            <w:r w:rsidRPr="00357596">
              <w:rPr>
                <w:sz w:val="20"/>
              </w:rPr>
              <w:noBreakHyphen/>
              <w:t>condition of employment with Royal Canadian Mounted Police (RCMP) — RCMP denying application for security clearance based on behaviours with security or reliability implications, including contact with individuals involved in criminal activities, and lack of honesty — Whether RCMP decision reasonable — Whether dual citizenship prevents applicant from becoming RCMP member — Whether RCMP found any actual evidence that applicant was actually involved in unreliable behaviours and associated with extremist individuals on social media accounts — Whether RCMP found any actual evidence that applicant lied or provided misleading information during security screening process</w:t>
            </w:r>
          </w:p>
        </w:tc>
      </w:tr>
      <w:tr w:rsidR="00533FD5" w:rsidRPr="00357596" w:rsidTr="00533FD5">
        <w:tc>
          <w:tcPr>
            <w:tcW w:w="5000" w:type="pct"/>
            <w:gridSpan w:val="4"/>
          </w:tcPr>
          <w:p w:rsidR="00533FD5" w:rsidRPr="00357596" w:rsidRDefault="00533FD5" w:rsidP="00160284">
            <w:pPr>
              <w:jc w:val="both"/>
              <w:rPr>
                <w:sz w:val="20"/>
              </w:rPr>
            </w:pPr>
          </w:p>
        </w:tc>
      </w:tr>
      <w:tr w:rsidR="00533FD5" w:rsidRPr="00357596" w:rsidTr="00533FD5">
        <w:tc>
          <w:tcPr>
            <w:tcW w:w="5000" w:type="pct"/>
            <w:gridSpan w:val="4"/>
          </w:tcPr>
          <w:p w:rsidR="00533FD5" w:rsidRPr="00357596" w:rsidRDefault="00533FD5" w:rsidP="00160284">
            <w:pPr>
              <w:jc w:val="both"/>
              <w:rPr>
                <w:sz w:val="20"/>
              </w:rPr>
            </w:pPr>
            <w:r w:rsidRPr="00357596">
              <w:rPr>
                <w:sz w:val="20"/>
              </w:rPr>
              <w:t>The applicant, Mr. Alakozai, a dual citizen of Canada and Afghanistan who has held various positions within the Canadian federal government both in Canada and abroad, applied for “Enhanced Reliability Status” security clearance, in connection with his application for membership in the RCMP. The RCMP undertook a full security screening process. It found that Mr. Alakozai was associated with problematic individuals, as revealed in some of his statements and representations on social media accounts; this suggested he held political ties to Afghanistan that could create a conflict of interest. The RCMP also found that Mr. Alakozai was untruthful throughout the screening process. Ultimately, the RCMP denied Mr. Alakozai’s application for Enhanced Reliability Status, concluding that he had been involved in behaviours with security or reliability implications — namely, association or contact with individuals involved in criminal activities; and lack of honesty, having provided misleading or false information during the screening process. Mr. Alakozai applied for judicial review of the RCMP’s decision.</w:t>
            </w:r>
          </w:p>
          <w:p w:rsidR="00533FD5" w:rsidRPr="00357596" w:rsidRDefault="00533FD5" w:rsidP="00160284">
            <w:pPr>
              <w:jc w:val="both"/>
              <w:rPr>
                <w:sz w:val="20"/>
              </w:rPr>
            </w:pPr>
          </w:p>
          <w:p w:rsidR="00533FD5" w:rsidRPr="00357596" w:rsidRDefault="00533FD5" w:rsidP="00160284">
            <w:pPr>
              <w:jc w:val="both"/>
              <w:rPr>
                <w:sz w:val="20"/>
              </w:rPr>
            </w:pPr>
            <w:r w:rsidRPr="00357596">
              <w:rPr>
                <w:sz w:val="20"/>
              </w:rPr>
              <w:t>The Federal Court dismissed Mr. Alakozai’s application for judicial review, concluding that the RCMP’s denial decision was reasonable. The Federal Court of Appeal dismissed Mr. Alakozai’s appeal, concluding that the first judge’s analysis and conclusions held no error.</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May 1, 2019</w:t>
            </w:r>
          </w:p>
          <w:p w:rsidR="00533FD5" w:rsidRPr="00357596" w:rsidRDefault="00533FD5" w:rsidP="00160284">
            <w:pPr>
              <w:jc w:val="both"/>
              <w:rPr>
                <w:sz w:val="20"/>
              </w:rPr>
            </w:pPr>
            <w:r w:rsidRPr="00357596">
              <w:rPr>
                <w:sz w:val="20"/>
              </w:rPr>
              <w:t>Federal Court</w:t>
            </w:r>
          </w:p>
          <w:p w:rsidR="00533FD5" w:rsidRPr="00357596" w:rsidRDefault="00533FD5" w:rsidP="00160284">
            <w:pPr>
              <w:jc w:val="both"/>
              <w:rPr>
                <w:sz w:val="20"/>
              </w:rPr>
            </w:pPr>
            <w:r w:rsidRPr="00357596">
              <w:rPr>
                <w:sz w:val="20"/>
              </w:rPr>
              <w:t>(Favel J.)</w:t>
            </w:r>
          </w:p>
          <w:p w:rsidR="00533FD5" w:rsidRPr="00357596" w:rsidRDefault="00533FD5" w:rsidP="00160284">
            <w:pPr>
              <w:jc w:val="both"/>
              <w:rPr>
                <w:sz w:val="20"/>
              </w:rPr>
            </w:pPr>
            <w:hyperlink r:id="rId45" w:history="1">
              <w:r w:rsidRPr="00357596">
                <w:rPr>
                  <w:rStyle w:val="Hyperlink"/>
                  <w:sz w:val="20"/>
                </w:rPr>
                <w:t>2019 FC 550</w:t>
              </w:r>
            </w:hyperlink>
            <w:r w:rsidRPr="00357596">
              <w:rPr>
                <w:sz w:val="20"/>
              </w:rPr>
              <w:t xml:space="preserve"> </w:t>
            </w:r>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Mr. Alakozai’s application for judicial review of decision to deny Enhanced Reliability Status security clearance — dismissed.</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December 18, 2019</w:t>
            </w:r>
          </w:p>
          <w:p w:rsidR="00533FD5" w:rsidRPr="00357596" w:rsidRDefault="00533FD5" w:rsidP="00160284">
            <w:pPr>
              <w:jc w:val="both"/>
              <w:rPr>
                <w:sz w:val="20"/>
              </w:rPr>
            </w:pPr>
            <w:r w:rsidRPr="00357596">
              <w:rPr>
                <w:sz w:val="20"/>
              </w:rPr>
              <w:t>Federal Court of Appeal</w:t>
            </w:r>
          </w:p>
          <w:p w:rsidR="00533FD5" w:rsidRPr="00357596" w:rsidRDefault="00533FD5" w:rsidP="00160284">
            <w:pPr>
              <w:jc w:val="both"/>
              <w:rPr>
                <w:sz w:val="20"/>
              </w:rPr>
            </w:pPr>
            <w:r w:rsidRPr="00357596">
              <w:rPr>
                <w:sz w:val="20"/>
              </w:rPr>
              <w:t>(Near, Laskin and Mactavish JJ.A.)</w:t>
            </w:r>
          </w:p>
          <w:p w:rsidR="00533FD5" w:rsidRPr="00357596" w:rsidRDefault="00533FD5" w:rsidP="00160284">
            <w:pPr>
              <w:jc w:val="both"/>
              <w:rPr>
                <w:sz w:val="20"/>
              </w:rPr>
            </w:pPr>
            <w:hyperlink r:id="rId46" w:history="1">
              <w:r w:rsidRPr="00357596">
                <w:rPr>
                  <w:rStyle w:val="Hyperlink"/>
                  <w:sz w:val="20"/>
                </w:rPr>
                <w:t>2019 FCA 316</w:t>
              </w:r>
            </w:hyperlink>
            <w:r w:rsidRPr="00357596">
              <w:rPr>
                <w:sz w:val="20"/>
              </w:rPr>
              <w:t xml:space="preserve"> </w:t>
            </w:r>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Mr. Alakozai’s appeal — dismissed.</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February 3, 2020</w:t>
            </w:r>
          </w:p>
          <w:p w:rsidR="00533FD5" w:rsidRPr="00357596" w:rsidRDefault="00533FD5" w:rsidP="00160284">
            <w:pPr>
              <w:jc w:val="both"/>
              <w:rPr>
                <w:sz w:val="20"/>
              </w:rPr>
            </w:pPr>
            <w:r w:rsidRPr="00357596">
              <w:rPr>
                <w:sz w:val="20"/>
              </w:rPr>
              <w:t>Supreme Court of Canada</w:t>
            </w: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Application for leave to appeal filed by Mr. Alakozai</w:t>
            </w:r>
          </w:p>
        </w:tc>
      </w:tr>
    </w:tbl>
    <w:p w:rsidR="00533FD5" w:rsidRPr="00357596" w:rsidRDefault="00533FD5" w:rsidP="00160284">
      <w:pPr>
        <w:jc w:val="both"/>
        <w:rPr>
          <w:sz w:val="20"/>
        </w:rPr>
      </w:pPr>
    </w:p>
    <w:p w:rsidR="00DA74AE" w:rsidRPr="00357596" w:rsidRDefault="00DA74AE" w:rsidP="00160284">
      <w:pPr>
        <w:jc w:val="both"/>
        <w:rPr>
          <w:sz w:val="20"/>
        </w:rPr>
      </w:pPr>
      <w:r w:rsidRPr="00357596">
        <w:rPr>
          <w:sz w:val="20"/>
        </w:rPr>
        <w:pict>
          <v:rect id="_x0000_i1041" style="width:2in;height:1pt" o:hrpct="0" o:hralign="center" o:hrstd="t" o:hrnoshade="t" o:hr="t" fillcolor="black [3213]" stroked="f"/>
        </w:pict>
      </w:r>
    </w:p>
    <w:p w:rsidR="00DA74AE" w:rsidRPr="00357596" w:rsidRDefault="00DA74AE" w:rsidP="0016028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t>39251</w:t>
            </w:r>
          </w:p>
        </w:tc>
        <w:tc>
          <w:tcPr>
            <w:tcW w:w="4457" w:type="pct"/>
            <w:gridSpan w:val="3"/>
          </w:tcPr>
          <w:p w:rsidR="00533FD5" w:rsidRPr="00357596" w:rsidRDefault="00533FD5" w:rsidP="00160284">
            <w:pPr>
              <w:pStyle w:val="SCCLsocParty"/>
              <w:jc w:val="both"/>
              <w:rPr>
                <w:b/>
                <w:sz w:val="20"/>
                <w:szCs w:val="20"/>
              </w:rPr>
            </w:pPr>
            <w:r w:rsidRPr="00357596">
              <w:rPr>
                <w:b/>
                <w:sz w:val="20"/>
                <w:szCs w:val="20"/>
              </w:rPr>
              <w:t>Hamid Alakozai c. Procureur général du Canada</w:t>
            </w:r>
          </w:p>
          <w:p w:rsidR="00533FD5" w:rsidRPr="00357596" w:rsidRDefault="00533FD5" w:rsidP="00160284">
            <w:pPr>
              <w:jc w:val="both"/>
              <w:rPr>
                <w:sz w:val="20"/>
                <w:lang w:val="fr-CA"/>
              </w:rPr>
            </w:pPr>
            <w:r w:rsidRPr="00357596">
              <w:rPr>
                <w:sz w:val="20"/>
                <w:lang w:val="fr-CA"/>
              </w:rPr>
              <w:t>(C</w:t>
            </w:r>
            <w:r w:rsidR="00DA74AE" w:rsidRPr="00357596">
              <w:rPr>
                <w:sz w:val="20"/>
                <w:lang w:val="fr-CA"/>
              </w:rPr>
              <w:t>.</w:t>
            </w:r>
            <w:r w:rsidRPr="00357596">
              <w:rPr>
                <w:sz w:val="20"/>
                <w:lang w:val="fr-CA"/>
              </w:rPr>
              <w:t>F</w:t>
            </w:r>
            <w:r w:rsidR="00DA74AE" w:rsidRPr="00357596">
              <w:rPr>
                <w:sz w:val="20"/>
                <w:lang w:val="fr-CA"/>
              </w:rPr>
              <w:t>.</w:t>
            </w:r>
            <w:r w:rsidRPr="00357596">
              <w:rPr>
                <w:sz w:val="20"/>
                <w:lang w:val="fr-CA"/>
              </w:rPr>
              <w:t>) (Civile) (Sur autorisation)</w:t>
            </w:r>
          </w:p>
        </w:tc>
      </w:tr>
      <w:tr w:rsidR="00533FD5" w:rsidRPr="00357596" w:rsidTr="00533FD5">
        <w:tc>
          <w:tcPr>
            <w:tcW w:w="5000" w:type="pct"/>
            <w:gridSpan w:val="4"/>
          </w:tcPr>
          <w:p w:rsidR="00533FD5" w:rsidRPr="00357596" w:rsidRDefault="00533FD5" w:rsidP="00160284">
            <w:pPr>
              <w:jc w:val="both"/>
              <w:rPr>
                <w:sz w:val="20"/>
                <w:lang w:val="fr-CA"/>
              </w:rPr>
            </w:pPr>
            <w:r w:rsidRPr="00357596">
              <w:rPr>
                <w:sz w:val="20"/>
                <w:lang w:val="fr-CA"/>
              </w:rPr>
              <w:t xml:space="preserve">Droit administratif — Contrôle judiciaire — Norme de contrôle — Cote de sécurité sollicitée par le demandeur en tant que condition préalable d’emploi à la Gendarmerie royale du Canada (GRC) — Rejet par la GRC de la demande de cote de sécurité en raison d’actes qui ont des répercussions au chapitre de la sécurité ou de la fiabilité, notamment des contacts avec des individus qui se livrent à des activités criminelles, et un manque d’honnêteté — La décision de </w:t>
            </w:r>
            <w:r w:rsidRPr="00357596">
              <w:rPr>
                <w:sz w:val="20"/>
                <w:lang w:val="fr-CA"/>
              </w:rPr>
              <w:lastRenderedPageBreak/>
              <w:t>la GRC était</w:t>
            </w:r>
            <w:r w:rsidRPr="00357596">
              <w:rPr>
                <w:sz w:val="20"/>
                <w:lang w:val="fr-CA"/>
              </w:rPr>
              <w:noBreakHyphen/>
              <w:t>elle raisonnable? — La double citoyenneté empêche</w:t>
            </w:r>
            <w:r w:rsidRPr="00357596">
              <w:rPr>
                <w:sz w:val="20"/>
                <w:lang w:val="fr-CA"/>
              </w:rPr>
              <w:noBreakHyphen/>
              <w:t>t</w:t>
            </w:r>
            <w:r w:rsidRPr="00357596">
              <w:rPr>
                <w:sz w:val="20"/>
                <w:lang w:val="fr-CA"/>
              </w:rPr>
              <w:noBreakHyphen/>
              <w:t>elle le demandeur de devenir un membre de la GRC? — La GRC a</w:t>
            </w:r>
            <w:r w:rsidRPr="00357596">
              <w:rPr>
                <w:sz w:val="20"/>
                <w:lang w:val="fr-CA"/>
              </w:rPr>
              <w:noBreakHyphen/>
              <w:t>t</w:t>
            </w:r>
            <w:r w:rsidRPr="00357596">
              <w:rPr>
                <w:sz w:val="20"/>
                <w:lang w:val="fr-CA"/>
              </w:rPr>
              <w:noBreakHyphen/>
              <w:t xml:space="preserve">elle découvert la moindre preuve démontrant que le demandeur s’était effectivement </w:t>
            </w:r>
            <w:proofErr w:type="gramStart"/>
            <w:r w:rsidRPr="00357596">
              <w:rPr>
                <w:sz w:val="20"/>
                <w:lang w:val="fr-CA"/>
              </w:rPr>
              <w:t>livré</w:t>
            </w:r>
            <w:proofErr w:type="gramEnd"/>
            <w:r w:rsidRPr="00357596">
              <w:rPr>
                <w:sz w:val="20"/>
                <w:lang w:val="fr-CA"/>
              </w:rPr>
              <w:t xml:space="preserve"> à des comportements peu fiables et entretenait des rapports avec des extrémistes sur les médias sociaux? — La GRC a</w:t>
            </w:r>
            <w:r w:rsidRPr="00357596">
              <w:rPr>
                <w:sz w:val="20"/>
                <w:lang w:val="fr-CA"/>
              </w:rPr>
              <w:noBreakHyphen/>
              <w:t>t</w:t>
            </w:r>
            <w:r w:rsidRPr="00357596">
              <w:rPr>
                <w:sz w:val="20"/>
                <w:lang w:val="fr-CA"/>
              </w:rPr>
              <w:noBreakHyphen/>
              <w:t xml:space="preserve">elle découvert la moindre preuve établissant que le demandeur avait menti ou fourni de l’information trompeuse durant l’enquête de sécurité? </w:t>
            </w:r>
          </w:p>
        </w:tc>
      </w:tr>
      <w:tr w:rsidR="00533FD5" w:rsidRPr="00357596" w:rsidTr="00533FD5">
        <w:tc>
          <w:tcPr>
            <w:tcW w:w="5000" w:type="pct"/>
            <w:gridSpan w:val="4"/>
          </w:tcPr>
          <w:p w:rsidR="00533FD5" w:rsidRPr="00357596" w:rsidRDefault="00533FD5" w:rsidP="00160284">
            <w:pPr>
              <w:jc w:val="both"/>
              <w:rPr>
                <w:sz w:val="20"/>
                <w:lang w:val="fr-CA"/>
              </w:rPr>
            </w:pPr>
          </w:p>
        </w:tc>
      </w:tr>
      <w:tr w:rsidR="00533FD5" w:rsidRPr="00357596" w:rsidTr="00533FD5">
        <w:tc>
          <w:tcPr>
            <w:tcW w:w="5000" w:type="pct"/>
            <w:gridSpan w:val="4"/>
          </w:tcPr>
          <w:p w:rsidR="00533FD5" w:rsidRPr="00357596" w:rsidRDefault="00533FD5" w:rsidP="00160284">
            <w:pPr>
              <w:jc w:val="both"/>
              <w:rPr>
                <w:sz w:val="20"/>
                <w:lang w:val="fr-CA"/>
              </w:rPr>
            </w:pPr>
            <w:r w:rsidRPr="00357596">
              <w:rPr>
                <w:sz w:val="20"/>
                <w:lang w:val="fr-CA"/>
              </w:rPr>
              <w:t>Le demandeur, M. Alakozai, possède la double citoyenneté canadienne et afghane. Il a détenu plusieurs postes au sein de l’administration publique fédérale tant au Canada qu’à l’étranger. Il a sollicité une cote de fiabilité approfondie dans le cadre de sa demande d’emploi à la GRC, qui a réalisé une enquête de sécurité complète. Elle a constaté que M. Alakozai avait des relations avec des individus qui posent problème, comme le révèlent certaines de ses déclarations et affirmations sur les médias sociaux, ce qui laisse croire qu’il a des liens politiques avec l’Afghanistan qui pourraient être à l’origine d’un conflit d’intérêts. La GRC a constaté également que M. Alakozai avait menti tout au long de l’enquête de sécurité. En fin de compte, la GRC a rejeté la demande de cote de fiabilité approfondie présentée par M. Alakozai et conclu qu’il s’était livré à des comportements qui ont des répercussions en matière de sécurité ou de fiabilité — à savoir des rapports ou contacts avec des individus qui s’adonnent à des activités criminelles; et un manque d’honnêteté en fournissant de l’information fausse ou trompeuse au cours de l’enquête de sécurité. M. Alakozai a demandé le contrôle judiciaire de la décision prise par la GRC.</w:t>
            </w:r>
          </w:p>
          <w:p w:rsidR="00533FD5" w:rsidRPr="00357596" w:rsidRDefault="00533FD5" w:rsidP="00160284">
            <w:pPr>
              <w:jc w:val="both"/>
              <w:rPr>
                <w:sz w:val="20"/>
                <w:lang w:val="fr-CA"/>
              </w:rPr>
            </w:pPr>
          </w:p>
          <w:p w:rsidR="00533FD5" w:rsidRPr="00357596" w:rsidRDefault="00533FD5" w:rsidP="00160284">
            <w:pPr>
              <w:jc w:val="both"/>
              <w:rPr>
                <w:sz w:val="20"/>
                <w:lang w:val="fr-CA"/>
              </w:rPr>
            </w:pPr>
            <w:r w:rsidRPr="00357596">
              <w:rPr>
                <w:sz w:val="20"/>
                <w:lang w:val="fr-CA"/>
              </w:rPr>
              <w:t xml:space="preserve">La Cour fédérale a rejeté la demande de contrôle judiciaire de M. Alakozai, concluant que le refus de la GRC était raisonnable. La Cour d’appel fédérale a rejeté l’appel de M. Alakozai et conclu que l’analyse ainsi que les conclusions du juge de première instance n’étaient pas entachées d’erreurs. </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1</w:t>
            </w:r>
            <w:r w:rsidRPr="00357596">
              <w:rPr>
                <w:sz w:val="20"/>
                <w:vertAlign w:val="superscript"/>
                <w:lang w:val="fr-CA"/>
              </w:rPr>
              <w:t>er</w:t>
            </w:r>
            <w:r w:rsidRPr="00357596">
              <w:rPr>
                <w:sz w:val="20"/>
                <w:lang w:val="fr-CA"/>
              </w:rPr>
              <w:t xml:space="preserve"> mai 2019</w:t>
            </w:r>
          </w:p>
          <w:p w:rsidR="00533FD5" w:rsidRPr="00357596" w:rsidRDefault="00533FD5" w:rsidP="00160284">
            <w:pPr>
              <w:jc w:val="both"/>
              <w:rPr>
                <w:sz w:val="20"/>
                <w:lang w:val="fr-CA"/>
              </w:rPr>
            </w:pPr>
            <w:r w:rsidRPr="00357596">
              <w:rPr>
                <w:sz w:val="20"/>
                <w:lang w:val="fr-CA"/>
              </w:rPr>
              <w:t>Cour fédérale</w:t>
            </w:r>
          </w:p>
          <w:p w:rsidR="00533FD5" w:rsidRPr="00357596" w:rsidRDefault="00533FD5" w:rsidP="00160284">
            <w:pPr>
              <w:jc w:val="both"/>
              <w:rPr>
                <w:sz w:val="20"/>
                <w:lang w:val="fr-CA"/>
              </w:rPr>
            </w:pPr>
            <w:r w:rsidRPr="00357596">
              <w:rPr>
                <w:sz w:val="20"/>
                <w:lang w:val="fr-CA"/>
              </w:rPr>
              <w:t>(Juge Favel)</w:t>
            </w:r>
          </w:p>
          <w:p w:rsidR="00533FD5" w:rsidRPr="00357596" w:rsidRDefault="00533FD5" w:rsidP="00160284">
            <w:pPr>
              <w:jc w:val="both"/>
              <w:rPr>
                <w:sz w:val="20"/>
              </w:rPr>
            </w:pPr>
            <w:hyperlink r:id="rId47" w:history="1">
              <w:r w:rsidRPr="00357596">
                <w:rPr>
                  <w:rStyle w:val="Hyperlink"/>
                  <w:sz w:val="20"/>
                </w:rPr>
                <w:t>2019 CF 550</w:t>
              </w:r>
            </w:hyperlink>
            <w:r w:rsidRPr="00357596">
              <w:rPr>
                <w:sz w:val="20"/>
              </w:rPr>
              <w:t xml:space="preserve"> </w:t>
            </w:r>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lang w:val="fr-CA"/>
              </w:rPr>
            </w:pPr>
            <w:r w:rsidRPr="00357596">
              <w:rPr>
                <w:sz w:val="20"/>
                <w:lang w:val="fr-CA"/>
              </w:rPr>
              <w:t xml:space="preserve">Rejet de la demande de contrôle judiciaire présentée par M. Alakozai contre la décision de lui refuser une cote de fiabilité approfondie. </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18 décembre 2019</w:t>
            </w:r>
          </w:p>
          <w:p w:rsidR="00533FD5" w:rsidRPr="00357596" w:rsidRDefault="00533FD5" w:rsidP="00160284">
            <w:pPr>
              <w:jc w:val="both"/>
              <w:rPr>
                <w:sz w:val="20"/>
                <w:lang w:val="fr-CA"/>
              </w:rPr>
            </w:pPr>
            <w:r w:rsidRPr="00357596">
              <w:rPr>
                <w:sz w:val="20"/>
                <w:lang w:val="fr-CA"/>
              </w:rPr>
              <w:t>Cour d’appel fédérale</w:t>
            </w:r>
          </w:p>
          <w:p w:rsidR="00533FD5" w:rsidRPr="00357596" w:rsidRDefault="00533FD5" w:rsidP="00160284">
            <w:pPr>
              <w:jc w:val="both"/>
              <w:rPr>
                <w:sz w:val="20"/>
                <w:lang w:val="fr-CA"/>
              </w:rPr>
            </w:pPr>
            <w:r w:rsidRPr="00357596">
              <w:rPr>
                <w:sz w:val="20"/>
                <w:lang w:val="fr-CA"/>
              </w:rPr>
              <w:t>(Juges Near, Laskin et Mactavish)</w:t>
            </w:r>
          </w:p>
          <w:p w:rsidR="00533FD5" w:rsidRPr="00357596" w:rsidRDefault="00533FD5" w:rsidP="00160284">
            <w:pPr>
              <w:jc w:val="both"/>
              <w:rPr>
                <w:sz w:val="20"/>
              </w:rPr>
            </w:pPr>
            <w:hyperlink r:id="rId48" w:history="1">
              <w:r w:rsidRPr="00357596">
                <w:rPr>
                  <w:rStyle w:val="Hyperlink"/>
                  <w:sz w:val="20"/>
                </w:rPr>
                <w:t>2019 CAF 316</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lang w:val="fr-CA"/>
              </w:rPr>
            </w:pPr>
            <w:r w:rsidRPr="00357596">
              <w:rPr>
                <w:sz w:val="20"/>
                <w:lang w:val="fr-CA"/>
              </w:rPr>
              <w:t>Rejet de l’appel de M. Alakozai.</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3 février 2020</w:t>
            </w:r>
          </w:p>
          <w:p w:rsidR="00533FD5" w:rsidRPr="00357596" w:rsidRDefault="00533FD5" w:rsidP="00160284">
            <w:pPr>
              <w:jc w:val="both"/>
              <w:rPr>
                <w:sz w:val="20"/>
                <w:lang w:val="fr-CA"/>
              </w:rPr>
            </w:pPr>
            <w:r w:rsidRPr="00357596">
              <w:rPr>
                <w:sz w:val="20"/>
                <w:lang w:val="fr-CA"/>
              </w:rPr>
              <w:t>Cour suprême du Canada</w:t>
            </w: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 xml:space="preserve">Dépôt par M. Alakozai d’une demande d’autorisation d’appel. </w:t>
            </w:r>
          </w:p>
        </w:tc>
      </w:tr>
    </w:tbl>
    <w:p w:rsidR="00533FD5" w:rsidRPr="00357596" w:rsidRDefault="00533FD5" w:rsidP="00160284">
      <w:pPr>
        <w:jc w:val="both"/>
        <w:rPr>
          <w:sz w:val="20"/>
          <w:lang w:val="fr-CA"/>
        </w:rPr>
      </w:pPr>
    </w:p>
    <w:p w:rsidR="005A5176" w:rsidRPr="00357596" w:rsidRDefault="00DA74AE" w:rsidP="00160284">
      <w:pPr>
        <w:widowControl w:val="0"/>
        <w:jc w:val="both"/>
        <w:rPr>
          <w:sz w:val="20"/>
          <w:lang w:val="fr-CA"/>
        </w:rPr>
      </w:pPr>
      <w:r w:rsidRPr="00357596">
        <w:rPr>
          <w:sz w:val="20"/>
        </w:rPr>
        <w:pict>
          <v:rect id="_x0000_i1042" style="width:2in;height:1pt" o:hrpct="0" o:hralign="center" o:hrstd="t" o:hrnoshade="t" o:hr="t" fillcolor="black [3213]" stroked="f"/>
        </w:pict>
      </w:r>
    </w:p>
    <w:p w:rsidR="00F81F18" w:rsidRPr="00357596" w:rsidRDefault="00F81F18"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t>39227</w:t>
            </w:r>
          </w:p>
        </w:tc>
        <w:tc>
          <w:tcPr>
            <w:tcW w:w="4457" w:type="pct"/>
            <w:gridSpan w:val="3"/>
          </w:tcPr>
          <w:p w:rsidR="00533FD5" w:rsidRPr="00357596" w:rsidRDefault="00533FD5" w:rsidP="00160284">
            <w:pPr>
              <w:pStyle w:val="SCCLsocParty"/>
              <w:jc w:val="both"/>
              <w:rPr>
                <w:b/>
                <w:sz w:val="20"/>
                <w:szCs w:val="20"/>
                <w:lang w:val="en-US"/>
              </w:rPr>
            </w:pPr>
            <w:r w:rsidRPr="00357596">
              <w:rPr>
                <w:b/>
                <w:sz w:val="20"/>
                <w:szCs w:val="20"/>
                <w:lang w:val="en-US"/>
              </w:rPr>
              <w:t>Cameron O’Lynn Parranto also known as Cameron O’Lynn Rocky Parranto v. Her Majesty the Queen - and between - Patrick Douglas Felix v. Her Majesty the Queen</w:t>
            </w:r>
          </w:p>
          <w:p w:rsidR="00533FD5" w:rsidRPr="00357596" w:rsidRDefault="00533FD5" w:rsidP="00160284">
            <w:pPr>
              <w:jc w:val="both"/>
              <w:rPr>
                <w:sz w:val="20"/>
              </w:rPr>
            </w:pPr>
            <w:r w:rsidRPr="00357596">
              <w:rPr>
                <w:sz w:val="20"/>
              </w:rPr>
              <w:t>(Alta.) (Criminal) (By Leave)</w:t>
            </w:r>
          </w:p>
        </w:tc>
      </w:tr>
      <w:tr w:rsidR="00533FD5" w:rsidRPr="00357596" w:rsidTr="00533FD5">
        <w:tc>
          <w:tcPr>
            <w:tcW w:w="5000" w:type="pct"/>
            <w:gridSpan w:val="4"/>
          </w:tcPr>
          <w:p w:rsidR="00533FD5" w:rsidRPr="00357596" w:rsidRDefault="00533FD5" w:rsidP="00357596">
            <w:pPr>
              <w:jc w:val="both"/>
              <w:rPr>
                <w:sz w:val="20"/>
              </w:rPr>
            </w:pPr>
            <w:r w:rsidRPr="00357596">
              <w:rPr>
                <w:sz w:val="20"/>
              </w:rPr>
              <w:t>Criminal law — Sentencing — Whether</w:t>
            </w:r>
            <w:r w:rsidRPr="00357596">
              <w:rPr>
                <w:color w:val="000000"/>
                <w:sz w:val="20"/>
              </w:rPr>
              <w:t xml:space="preserve"> Court of Appeal erred in establishing starting point sentence for wholesale trafficking in fentanyl</w:t>
            </w:r>
            <w:r w:rsidRPr="00357596">
              <w:rPr>
                <w:sz w:val="20"/>
              </w:rPr>
              <w:t xml:space="preserve"> — Whether Court of Appeal erred in intervening because sentencing judge refused to adopt starting</w:t>
            </w:r>
            <w:r w:rsidRPr="00357596">
              <w:rPr>
                <w:sz w:val="20"/>
              </w:rPr>
              <w:noBreakHyphen/>
              <w:t>point approach — Whether starting point approach to sentencing improperly emphasizes parity at expense of individualization of sentence — Whether Court of Appeal erred in substituting its own sentence?</w:t>
            </w:r>
          </w:p>
          <w:p w:rsidR="00357596" w:rsidRPr="00357596" w:rsidRDefault="00357596" w:rsidP="00357596">
            <w:pPr>
              <w:jc w:val="both"/>
              <w:rPr>
                <w:sz w:val="20"/>
              </w:rPr>
            </w:pPr>
          </w:p>
        </w:tc>
      </w:tr>
      <w:tr w:rsidR="00533FD5" w:rsidRPr="00357596" w:rsidTr="00533FD5">
        <w:tc>
          <w:tcPr>
            <w:tcW w:w="5000" w:type="pct"/>
            <w:gridSpan w:val="4"/>
          </w:tcPr>
          <w:p w:rsidR="00533FD5" w:rsidRPr="00357596" w:rsidRDefault="00533FD5" w:rsidP="00357596">
            <w:pPr>
              <w:tabs>
                <w:tab w:val="left" w:pos="720"/>
              </w:tabs>
              <w:kinsoku w:val="0"/>
              <w:overflowPunct w:val="0"/>
              <w:jc w:val="both"/>
              <w:textAlignment w:val="baseline"/>
              <w:rPr>
                <w:spacing w:val="1"/>
                <w:sz w:val="20"/>
              </w:rPr>
            </w:pPr>
            <w:r w:rsidRPr="00357596">
              <w:rPr>
                <w:sz w:val="20"/>
              </w:rPr>
              <w:t xml:space="preserve">Mr. Parranto and Mr. Felix each pleaded guilty to two counts of wholesale trafficking in fentanyl and other offences. For the </w:t>
            </w:r>
            <w:r w:rsidRPr="00357596">
              <w:rPr>
                <w:spacing w:val="-2"/>
                <w:sz w:val="20"/>
              </w:rPr>
              <w:t>fentanyl trafficking offences, Mr. Parranto received</w:t>
            </w:r>
            <w:r w:rsidRPr="00357596">
              <w:rPr>
                <w:sz w:val="20"/>
              </w:rPr>
              <w:t xml:space="preserve"> 4 year and 5 year consecutive</w:t>
            </w:r>
            <w:r w:rsidRPr="00357596">
              <w:rPr>
                <w:spacing w:val="-2"/>
                <w:sz w:val="20"/>
              </w:rPr>
              <w:t xml:space="preserve"> sentences and </w:t>
            </w:r>
            <w:r w:rsidRPr="00357596">
              <w:rPr>
                <w:sz w:val="20"/>
              </w:rPr>
              <w:t>Mr. Felix received two 7</w:t>
            </w:r>
            <w:r w:rsidRPr="00357596">
              <w:rPr>
                <w:sz w:val="20"/>
              </w:rPr>
              <w:noBreakHyphen/>
              <w:t>year concurrent sentences</w:t>
            </w:r>
            <w:r w:rsidRPr="00357596">
              <w:rPr>
                <w:spacing w:val="1"/>
                <w:sz w:val="20"/>
              </w:rPr>
              <w:t>. The Court of Appeal set a 9</w:t>
            </w:r>
            <w:r w:rsidRPr="00357596">
              <w:rPr>
                <w:spacing w:val="1"/>
                <w:sz w:val="20"/>
              </w:rPr>
              <w:noBreakHyphen/>
              <w:t>year starting point for wholesale trafficking in fentanyl. It held 13</w:t>
            </w:r>
            <w:r w:rsidRPr="00357596">
              <w:rPr>
                <w:spacing w:val="1"/>
                <w:sz w:val="20"/>
              </w:rPr>
              <w:noBreakHyphen/>
              <w:t>years concurrent was appropriate for Mr. Felix’s offences but accepted 10-year terms concurrent proposed by Crown counsel and it sentenced Mr. Parranto to two consecutive 7</w:t>
            </w:r>
            <w:r w:rsidRPr="00357596">
              <w:rPr>
                <w:spacing w:val="1"/>
                <w:sz w:val="20"/>
              </w:rPr>
              <w:noBreakHyphen/>
              <w:t>year terms.</w:t>
            </w:r>
          </w:p>
          <w:p w:rsidR="00533FD5" w:rsidRPr="00357596" w:rsidRDefault="00533FD5" w:rsidP="00160284">
            <w:pPr>
              <w:tabs>
                <w:tab w:val="left" w:pos="720"/>
              </w:tabs>
              <w:kinsoku w:val="0"/>
              <w:overflowPunct w:val="0"/>
              <w:spacing w:after="240"/>
              <w:contextualSpacing/>
              <w:jc w:val="both"/>
              <w:textAlignment w:val="baseline"/>
              <w:rPr>
                <w:spacing w:val="1"/>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October 18, 2018</w:t>
            </w:r>
          </w:p>
          <w:p w:rsidR="00533FD5" w:rsidRPr="00357596" w:rsidRDefault="00533FD5" w:rsidP="00160284">
            <w:pPr>
              <w:jc w:val="both"/>
              <w:rPr>
                <w:sz w:val="20"/>
              </w:rPr>
            </w:pPr>
            <w:r w:rsidRPr="00357596">
              <w:rPr>
                <w:sz w:val="20"/>
              </w:rPr>
              <w:t>Court of Queen’s Bench of Alberta</w:t>
            </w:r>
          </w:p>
          <w:p w:rsidR="00533FD5" w:rsidRPr="00357596" w:rsidRDefault="00533FD5" w:rsidP="00160284">
            <w:pPr>
              <w:jc w:val="both"/>
              <w:rPr>
                <w:sz w:val="20"/>
              </w:rPr>
            </w:pPr>
            <w:r w:rsidRPr="00357596">
              <w:rPr>
                <w:sz w:val="20"/>
              </w:rPr>
              <w:t>(Ouellette J.)</w:t>
            </w:r>
          </w:p>
          <w:p w:rsidR="00533FD5" w:rsidRPr="00357596" w:rsidRDefault="00533FD5" w:rsidP="00160284">
            <w:pPr>
              <w:jc w:val="both"/>
              <w:rPr>
                <w:rStyle w:val="Hyperlink"/>
                <w:sz w:val="20"/>
              </w:rPr>
            </w:pPr>
            <w:hyperlink r:id="rId49" w:history="1">
              <w:r w:rsidRPr="00357596">
                <w:rPr>
                  <w:rStyle w:val="Hyperlink"/>
                  <w:sz w:val="20"/>
                </w:rPr>
                <w:t>2018 ABQB 863</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pacing w:val="1"/>
                <w:sz w:val="20"/>
              </w:rPr>
            </w:pPr>
            <w:r w:rsidRPr="00357596">
              <w:rPr>
                <w:sz w:val="20"/>
              </w:rPr>
              <w:t xml:space="preserve">Mr. Parranto sentenced in part to 4 </w:t>
            </w:r>
            <w:r w:rsidRPr="00357596">
              <w:rPr>
                <w:spacing w:val="1"/>
                <w:sz w:val="20"/>
              </w:rPr>
              <w:t xml:space="preserve">years </w:t>
            </w:r>
            <w:r w:rsidRPr="00357596">
              <w:rPr>
                <w:sz w:val="20"/>
              </w:rPr>
              <w:t>and 5 years consecutive on two counts of t</w:t>
            </w:r>
            <w:r w:rsidRPr="00357596">
              <w:rPr>
                <w:spacing w:val="1"/>
                <w:sz w:val="20"/>
              </w:rPr>
              <w:t>rafficking in fentanyl</w:t>
            </w:r>
            <w:r w:rsidRPr="00357596">
              <w:rPr>
                <w:sz w:val="20"/>
              </w:rPr>
              <w:t xml:space="preserve"> </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lastRenderedPageBreak/>
              <w:t>March 14, 2019</w:t>
            </w:r>
          </w:p>
          <w:p w:rsidR="00533FD5" w:rsidRPr="00357596" w:rsidRDefault="00533FD5" w:rsidP="00160284">
            <w:pPr>
              <w:jc w:val="both"/>
              <w:rPr>
                <w:sz w:val="20"/>
              </w:rPr>
            </w:pPr>
            <w:r w:rsidRPr="00357596">
              <w:rPr>
                <w:sz w:val="20"/>
              </w:rPr>
              <w:t>Court of Queen’s Bench of Alberta</w:t>
            </w:r>
          </w:p>
          <w:p w:rsidR="00533FD5" w:rsidRPr="00357596" w:rsidRDefault="00533FD5" w:rsidP="00160284">
            <w:pPr>
              <w:jc w:val="both"/>
              <w:rPr>
                <w:sz w:val="20"/>
              </w:rPr>
            </w:pPr>
            <w:r w:rsidRPr="00357596">
              <w:rPr>
                <w:sz w:val="20"/>
              </w:rPr>
              <w:t>(Burrows J.)</w:t>
            </w:r>
          </w:p>
          <w:p w:rsidR="00533FD5" w:rsidRPr="00357596" w:rsidRDefault="00533FD5" w:rsidP="00160284">
            <w:pPr>
              <w:jc w:val="both"/>
              <w:rPr>
                <w:rStyle w:val="Hyperlink"/>
                <w:sz w:val="20"/>
              </w:rPr>
            </w:pPr>
            <w:hyperlink r:id="rId50" w:history="1">
              <w:r w:rsidRPr="00357596">
                <w:rPr>
                  <w:rStyle w:val="Hyperlink"/>
                  <w:sz w:val="20"/>
                </w:rPr>
                <w:t>2019 ABQB 183</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pacing w:val="1"/>
                <w:sz w:val="20"/>
              </w:rPr>
            </w:pPr>
            <w:r w:rsidRPr="00357596">
              <w:rPr>
                <w:sz w:val="20"/>
              </w:rPr>
              <w:t>Mr. Felix sentenced in part to two 7-</w:t>
            </w:r>
            <w:r w:rsidRPr="00357596">
              <w:rPr>
                <w:spacing w:val="1"/>
                <w:sz w:val="20"/>
              </w:rPr>
              <w:t>year terms concurrent on</w:t>
            </w:r>
            <w:r w:rsidRPr="00357596">
              <w:rPr>
                <w:sz w:val="20"/>
              </w:rPr>
              <w:t xml:space="preserve"> two counts of t</w:t>
            </w:r>
            <w:r w:rsidRPr="00357596">
              <w:rPr>
                <w:spacing w:val="1"/>
                <w:sz w:val="20"/>
              </w:rPr>
              <w:t>rafficking in fentanyl</w:t>
            </w:r>
            <w:r w:rsidRPr="00357596">
              <w:rPr>
                <w:sz w:val="20"/>
              </w:rPr>
              <w:t xml:space="preserve"> </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November 28, 2019</w:t>
            </w:r>
          </w:p>
          <w:p w:rsidR="00533FD5" w:rsidRPr="00357596" w:rsidRDefault="00533FD5" w:rsidP="00160284">
            <w:pPr>
              <w:jc w:val="both"/>
              <w:rPr>
                <w:sz w:val="20"/>
              </w:rPr>
            </w:pPr>
            <w:r w:rsidRPr="00357596">
              <w:rPr>
                <w:sz w:val="20"/>
              </w:rPr>
              <w:t>Court of Appeal of Alberta (Edmonton)</w:t>
            </w:r>
          </w:p>
          <w:p w:rsidR="00533FD5" w:rsidRPr="00357596" w:rsidRDefault="00533FD5" w:rsidP="00160284">
            <w:pPr>
              <w:jc w:val="both"/>
              <w:rPr>
                <w:sz w:val="20"/>
              </w:rPr>
            </w:pPr>
            <w:r w:rsidRPr="00357596">
              <w:rPr>
                <w:sz w:val="20"/>
              </w:rPr>
              <w:t>(Paperny, Watson, Slatter, Crighton, Antonio JJ.A.)</w:t>
            </w:r>
          </w:p>
          <w:p w:rsidR="00533FD5" w:rsidRPr="00357596" w:rsidRDefault="00533FD5" w:rsidP="00160284">
            <w:pPr>
              <w:jc w:val="both"/>
              <w:rPr>
                <w:sz w:val="20"/>
              </w:rPr>
            </w:pPr>
            <w:hyperlink r:id="rId51" w:history="1">
              <w:r w:rsidRPr="00357596">
                <w:rPr>
                  <w:rStyle w:val="Hyperlink"/>
                  <w:sz w:val="20"/>
                </w:rPr>
                <w:t>2019 ABCA 457</w:t>
              </w:r>
            </w:hyperlink>
            <w:r w:rsidRPr="00357596">
              <w:rPr>
                <w:sz w:val="20"/>
              </w:rPr>
              <w:t>; 1803</w:t>
            </w:r>
            <w:r w:rsidRPr="00357596">
              <w:rPr>
                <w:sz w:val="20"/>
              </w:rPr>
              <w:noBreakHyphen/>
              <w:t>0299</w:t>
            </w:r>
            <w:r w:rsidRPr="00357596">
              <w:rPr>
                <w:sz w:val="20"/>
              </w:rPr>
              <w:noBreakHyphen/>
              <w:t>A</w:t>
            </w:r>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Appeal allowed; Mr. Parranto sentenced to two 7</w:t>
            </w:r>
            <w:r w:rsidRPr="00357596">
              <w:rPr>
                <w:sz w:val="20"/>
              </w:rPr>
              <w:noBreakHyphen/>
              <w:t>year terms consecutive</w:t>
            </w:r>
            <w:r w:rsidRPr="00357596">
              <w:rPr>
                <w:color w:val="000000"/>
                <w:sz w:val="20"/>
              </w:rPr>
              <w:t xml:space="preserve"> on trafficking in fentanyl counts</w:t>
            </w:r>
          </w:p>
        </w:tc>
      </w:tr>
      <w:tr w:rsidR="00533FD5" w:rsidRPr="00357596" w:rsidTr="00533FD5">
        <w:tc>
          <w:tcPr>
            <w:tcW w:w="2427" w:type="pct"/>
            <w:gridSpan w:val="2"/>
          </w:tcPr>
          <w:p w:rsidR="00533FD5" w:rsidRPr="00357596" w:rsidRDefault="00533FD5" w:rsidP="00160284">
            <w:pPr>
              <w:jc w:val="both"/>
              <w:rPr>
                <w:sz w:val="20"/>
              </w:rPr>
            </w:pPr>
            <w:r w:rsidRPr="00357596">
              <w:rPr>
                <w:sz w:val="20"/>
              </w:rPr>
              <w:t>November 28, 2019</w:t>
            </w:r>
          </w:p>
          <w:p w:rsidR="00533FD5" w:rsidRPr="00357596" w:rsidRDefault="00533FD5" w:rsidP="00160284">
            <w:pPr>
              <w:jc w:val="both"/>
              <w:rPr>
                <w:sz w:val="20"/>
              </w:rPr>
            </w:pPr>
            <w:r w:rsidRPr="00357596">
              <w:rPr>
                <w:sz w:val="20"/>
              </w:rPr>
              <w:t>Court of Appeal of Alberta (Edmonton)</w:t>
            </w:r>
          </w:p>
          <w:p w:rsidR="00533FD5" w:rsidRPr="00357596" w:rsidRDefault="00533FD5" w:rsidP="00160284">
            <w:pPr>
              <w:jc w:val="both"/>
              <w:rPr>
                <w:sz w:val="20"/>
              </w:rPr>
            </w:pPr>
            <w:r w:rsidRPr="00357596">
              <w:rPr>
                <w:sz w:val="20"/>
              </w:rPr>
              <w:t xml:space="preserve">(Paperny, Watson, Slatter, Crighton, Antonio </w:t>
            </w:r>
          </w:p>
          <w:p w:rsidR="00533FD5" w:rsidRPr="00357596" w:rsidRDefault="00533FD5" w:rsidP="00160284">
            <w:pPr>
              <w:jc w:val="both"/>
              <w:rPr>
                <w:sz w:val="20"/>
              </w:rPr>
            </w:pPr>
            <w:r w:rsidRPr="00357596">
              <w:rPr>
                <w:sz w:val="20"/>
              </w:rPr>
              <w:t>JJ.A.)</w:t>
            </w:r>
          </w:p>
          <w:p w:rsidR="00533FD5" w:rsidRPr="00357596" w:rsidRDefault="00533FD5" w:rsidP="00160284">
            <w:pPr>
              <w:jc w:val="both"/>
              <w:rPr>
                <w:color w:val="000000"/>
                <w:sz w:val="20"/>
              </w:rPr>
            </w:pPr>
            <w:hyperlink r:id="rId52" w:history="1">
              <w:r w:rsidRPr="00357596">
                <w:rPr>
                  <w:rStyle w:val="Hyperlink"/>
                  <w:sz w:val="20"/>
                </w:rPr>
                <w:t>2019 ABCA 458</w:t>
              </w:r>
            </w:hyperlink>
            <w:r w:rsidRPr="00357596">
              <w:rPr>
                <w:sz w:val="20"/>
              </w:rPr>
              <w:t xml:space="preserve">; </w:t>
            </w:r>
            <w:r w:rsidRPr="00357596">
              <w:rPr>
                <w:color w:val="000000"/>
                <w:sz w:val="20"/>
              </w:rPr>
              <w:t>1903</w:t>
            </w:r>
            <w:r w:rsidRPr="00357596">
              <w:rPr>
                <w:color w:val="000000"/>
                <w:sz w:val="20"/>
              </w:rPr>
              <w:noBreakHyphen/>
              <w:t>0074</w:t>
            </w:r>
            <w:r w:rsidRPr="00357596">
              <w:rPr>
                <w:color w:val="000000"/>
                <w:sz w:val="20"/>
              </w:rPr>
              <w:noBreakHyphen/>
              <w:t>A</w:t>
            </w:r>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Appeal allowed; Mr. Felix sentenced to two 10</w:t>
            </w:r>
            <w:r w:rsidRPr="00357596">
              <w:rPr>
                <w:sz w:val="20"/>
              </w:rPr>
              <w:noBreakHyphen/>
              <w:t xml:space="preserve">year terms </w:t>
            </w:r>
            <w:r w:rsidRPr="00357596">
              <w:rPr>
                <w:color w:val="000000"/>
                <w:sz w:val="20"/>
              </w:rPr>
              <w:t>concurrent on trafficking in fentanyl counts</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May 29, 2020</w:t>
            </w:r>
          </w:p>
          <w:p w:rsidR="00533FD5" w:rsidRPr="00357596" w:rsidRDefault="00533FD5" w:rsidP="00160284">
            <w:pPr>
              <w:jc w:val="both"/>
              <w:rPr>
                <w:sz w:val="20"/>
              </w:rPr>
            </w:pPr>
            <w:r w:rsidRPr="00357596">
              <w:rPr>
                <w:sz w:val="20"/>
              </w:rPr>
              <w:t>Supreme Court of Canada</w:t>
            </w:r>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Motion for extension of time to serve and file application for leave to appeal and Application for leave to appeal filed by Mr. Parranto</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June 1, 2020</w:t>
            </w:r>
          </w:p>
          <w:p w:rsidR="00533FD5" w:rsidRPr="00357596" w:rsidRDefault="00533FD5" w:rsidP="00160284">
            <w:pPr>
              <w:jc w:val="both"/>
              <w:rPr>
                <w:sz w:val="20"/>
              </w:rPr>
            </w:pPr>
            <w:r w:rsidRPr="00357596">
              <w:rPr>
                <w:sz w:val="20"/>
              </w:rPr>
              <w:t>Supreme Court of Canada</w:t>
            </w: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 xml:space="preserve">Motion for extension of time to serve and file application for leave to appeal and Application for leave to appeal filed by Mr. Felix </w:t>
            </w:r>
          </w:p>
        </w:tc>
      </w:tr>
      <w:tr w:rsidR="00533FD5" w:rsidRPr="00357596" w:rsidTr="00533FD5">
        <w:tc>
          <w:tcPr>
            <w:tcW w:w="2427" w:type="pct"/>
            <w:gridSpan w:val="2"/>
          </w:tcPr>
          <w:p w:rsidR="00533FD5" w:rsidRPr="00357596" w:rsidRDefault="00533FD5" w:rsidP="00160284">
            <w:pPr>
              <w:jc w:val="both"/>
              <w:rPr>
                <w:sz w:val="20"/>
              </w:rPr>
            </w:pPr>
            <w:r w:rsidRPr="00357596">
              <w:rPr>
                <w:sz w:val="20"/>
              </w:rPr>
              <w:t>June 30, 2020</w:t>
            </w:r>
          </w:p>
          <w:p w:rsidR="00533FD5" w:rsidRPr="00357596" w:rsidRDefault="00533FD5" w:rsidP="00160284">
            <w:pPr>
              <w:jc w:val="both"/>
              <w:rPr>
                <w:sz w:val="20"/>
              </w:rPr>
            </w:pPr>
            <w:r w:rsidRPr="00357596">
              <w:rPr>
                <w:sz w:val="20"/>
              </w:rPr>
              <w:t>Supreme Court of Canada</w:t>
            </w:r>
          </w:p>
          <w:p w:rsidR="00533FD5" w:rsidRPr="00357596" w:rsidRDefault="00533FD5" w:rsidP="00160284">
            <w:pPr>
              <w:jc w:val="both"/>
              <w:rPr>
                <w:sz w:val="20"/>
              </w:rPr>
            </w:pPr>
            <w:r w:rsidRPr="00357596">
              <w:rPr>
                <w:sz w:val="20"/>
              </w:rPr>
              <w:t>(Deputy Registrar)</w:t>
            </w: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Motion to join applications for leave to appeal granted</w:t>
            </w:r>
          </w:p>
          <w:p w:rsidR="00533FD5" w:rsidRPr="00357596" w:rsidRDefault="00533FD5" w:rsidP="00160284">
            <w:pPr>
              <w:jc w:val="both"/>
              <w:rPr>
                <w:sz w:val="20"/>
              </w:rPr>
            </w:pPr>
          </w:p>
        </w:tc>
      </w:tr>
    </w:tbl>
    <w:p w:rsidR="00533FD5" w:rsidRPr="00357596" w:rsidRDefault="00533FD5" w:rsidP="00160284">
      <w:pPr>
        <w:jc w:val="both"/>
        <w:rPr>
          <w:sz w:val="20"/>
        </w:rPr>
      </w:pPr>
    </w:p>
    <w:p w:rsidR="00357596" w:rsidRPr="00357596" w:rsidRDefault="00357596" w:rsidP="00160284">
      <w:pPr>
        <w:jc w:val="both"/>
        <w:rPr>
          <w:sz w:val="20"/>
        </w:rPr>
      </w:pPr>
      <w:r w:rsidRPr="00357596">
        <w:rPr>
          <w:sz w:val="20"/>
        </w:rPr>
        <w:pict>
          <v:rect id="_x0000_i1043" style="width:2in;height:1pt" o:hrpct="0" o:hralign="center" o:hrstd="t" o:hrnoshade="t" o:hr="t" fillcolor="black [3213]" stroked="f"/>
        </w:pict>
      </w:r>
    </w:p>
    <w:p w:rsidR="00357596" w:rsidRPr="00357596" w:rsidRDefault="00357596" w:rsidP="0016028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lang w:val="fr-CA"/>
              </w:rPr>
            </w:pPr>
            <w:r w:rsidRPr="00357596">
              <w:rPr>
                <w:rStyle w:val="SCCFileNumberChar"/>
                <w:sz w:val="20"/>
                <w:szCs w:val="20"/>
                <w:lang w:val="fr-CA"/>
              </w:rPr>
              <w:t>39227</w:t>
            </w:r>
          </w:p>
        </w:tc>
        <w:tc>
          <w:tcPr>
            <w:tcW w:w="4457" w:type="pct"/>
            <w:gridSpan w:val="3"/>
          </w:tcPr>
          <w:p w:rsidR="00533FD5" w:rsidRPr="00357596" w:rsidRDefault="00533FD5" w:rsidP="00160284">
            <w:pPr>
              <w:pStyle w:val="SCCLsocParty"/>
              <w:jc w:val="both"/>
              <w:rPr>
                <w:b/>
                <w:sz w:val="20"/>
                <w:szCs w:val="20"/>
              </w:rPr>
            </w:pPr>
            <w:r w:rsidRPr="00357596">
              <w:rPr>
                <w:b/>
                <w:sz w:val="20"/>
                <w:szCs w:val="20"/>
              </w:rPr>
              <w:t>Cameron O’Lynn Parranto alias Cameron O’Lynn Rocky Parranto c. Sa Majesté la Reine - et entre - Patrick Douglas Felix c. Sa Majesté la Reine</w:t>
            </w:r>
          </w:p>
          <w:p w:rsidR="00533FD5" w:rsidRPr="00357596" w:rsidRDefault="00533FD5" w:rsidP="00160284">
            <w:pPr>
              <w:jc w:val="both"/>
              <w:rPr>
                <w:sz w:val="20"/>
                <w:lang w:val="fr-CA"/>
              </w:rPr>
            </w:pPr>
            <w:r w:rsidRPr="00357596">
              <w:rPr>
                <w:sz w:val="20"/>
                <w:lang w:val="fr-CA"/>
              </w:rPr>
              <w:t>(Alb.) (Criminelle) (Sur autorisation)</w:t>
            </w:r>
          </w:p>
        </w:tc>
      </w:tr>
      <w:tr w:rsidR="00533FD5" w:rsidRPr="00357596" w:rsidTr="00533FD5">
        <w:tc>
          <w:tcPr>
            <w:tcW w:w="5000" w:type="pct"/>
            <w:gridSpan w:val="4"/>
          </w:tcPr>
          <w:p w:rsidR="00533FD5" w:rsidRPr="00357596" w:rsidRDefault="00533FD5" w:rsidP="00357596">
            <w:pPr>
              <w:jc w:val="both"/>
              <w:rPr>
                <w:sz w:val="20"/>
                <w:lang w:val="fr-CA"/>
              </w:rPr>
            </w:pPr>
            <w:r w:rsidRPr="00357596">
              <w:rPr>
                <w:sz w:val="20"/>
                <w:lang w:val="fr-CA"/>
              </w:rPr>
              <w:t>Droit criminel — Détermination de la peine — La Cour d’appel a</w:t>
            </w:r>
            <w:r w:rsidRPr="00357596">
              <w:rPr>
                <w:sz w:val="20"/>
                <w:lang w:val="fr-CA"/>
              </w:rPr>
              <w:noBreakHyphen/>
              <w:t>t</w:t>
            </w:r>
            <w:r w:rsidRPr="00357596">
              <w:rPr>
                <w:sz w:val="20"/>
                <w:lang w:val="fr-CA"/>
              </w:rPr>
              <w:noBreakHyphen/>
              <w:t xml:space="preserve">elle commis une erreur en établissant un point de départ </w:t>
            </w:r>
            <w:r w:rsidRPr="00357596">
              <w:rPr>
                <w:color w:val="000000"/>
                <w:sz w:val="20"/>
                <w:lang w:val="fr-CA"/>
              </w:rPr>
              <w:t>sentenciel pour le trafic de fentanyl à grande échelle ?</w:t>
            </w:r>
            <w:r w:rsidRPr="00357596">
              <w:rPr>
                <w:sz w:val="20"/>
                <w:lang w:val="fr-CA"/>
              </w:rPr>
              <w:t xml:space="preserve"> — La Cour d’appel a</w:t>
            </w:r>
            <w:r w:rsidRPr="00357596">
              <w:rPr>
                <w:sz w:val="20"/>
                <w:lang w:val="fr-CA"/>
              </w:rPr>
              <w:noBreakHyphen/>
              <w:t>t</w:t>
            </w:r>
            <w:r w:rsidRPr="00357596">
              <w:rPr>
                <w:sz w:val="20"/>
                <w:lang w:val="fr-CA"/>
              </w:rPr>
              <w:noBreakHyphen/>
              <w:t>elle commis une erreur en intervenant puisque le juge chargé de la détermination de la peine a refusé d’adopter l’approche du point de départ ? — L’approche du point de départ dans le cadre de la détermination de la peine met</w:t>
            </w:r>
            <w:r w:rsidRPr="00357596">
              <w:rPr>
                <w:sz w:val="20"/>
                <w:lang w:val="fr-CA"/>
              </w:rPr>
              <w:noBreakHyphen/>
              <w:t>elle à tort l’accent sur l’harmonisation au détriment de l’individualisation des peines ? — La Cour d’appel a</w:t>
            </w:r>
            <w:r w:rsidRPr="00357596">
              <w:rPr>
                <w:sz w:val="20"/>
                <w:lang w:val="fr-CA"/>
              </w:rPr>
              <w:noBreakHyphen/>
              <w:t>t</w:t>
            </w:r>
            <w:r w:rsidRPr="00357596">
              <w:rPr>
                <w:sz w:val="20"/>
                <w:lang w:val="fr-CA"/>
              </w:rPr>
              <w:noBreakHyphen/>
              <w:t>elle commis une erreur en substituant sa peine à celle du juge ?</w:t>
            </w:r>
          </w:p>
          <w:p w:rsidR="00357596" w:rsidRPr="00357596" w:rsidRDefault="00357596" w:rsidP="00357596">
            <w:pPr>
              <w:jc w:val="both"/>
              <w:rPr>
                <w:sz w:val="20"/>
                <w:lang w:val="fr-CA"/>
              </w:rPr>
            </w:pPr>
          </w:p>
        </w:tc>
      </w:tr>
      <w:tr w:rsidR="00533FD5" w:rsidRPr="00357596" w:rsidTr="006C2C69">
        <w:tc>
          <w:tcPr>
            <w:tcW w:w="5000" w:type="pct"/>
            <w:gridSpan w:val="4"/>
          </w:tcPr>
          <w:p w:rsidR="00533FD5" w:rsidRPr="00357596" w:rsidRDefault="00533FD5" w:rsidP="00357596">
            <w:pPr>
              <w:tabs>
                <w:tab w:val="left" w:pos="720"/>
              </w:tabs>
              <w:kinsoku w:val="0"/>
              <w:overflowPunct w:val="0"/>
              <w:jc w:val="both"/>
              <w:textAlignment w:val="baseline"/>
              <w:rPr>
                <w:spacing w:val="1"/>
                <w:sz w:val="20"/>
                <w:lang w:val="fr-CA"/>
              </w:rPr>
            </w:pPr>
            <w:r w:rsidRPr="00357596">
              <w:rPr>
                <w:sz w:val="20"/>
                <w:lang w:val="fr-CA"/>
              </w:rPr>
              <w:t>M. Parranto et M. Felix ont tous les deux plaidé coupables à deux chefs d’accusation de</w:t>
            </w:r>
            <w:r w:rsidRPr="00357596">
              <w:rPr>
                <w:color w:val="000000"/>
                <w:sz w:val="20"/>
                <w:lang w:val="fr-CA"/>
              </w:rPr>
              <w:t xml:space="preserve"> trafic de fentanyl à grande échelle et à d’autres infractions</w:t>
            </w:r>
            <w:r w:rsidRPr="00357596">
              <w:rPr>
                <w:sz w:val="20"/>
                <w:lang w:val="fr-CA"/>
              </w:rPr>
              <w:t>. Par rapport aux infractions relatives au trafic de fentanyl</w:t>
            </w:r>
            <w:r w:rsidRPr="00357596">
              <w:rPr>
                <w:spacing w:val="-2"/>
                <w:sz w:val="20"/>
                <w:lang w:val="fr-CA"/>
              </w:rPr>
              <w:t xml:space="preserve">, M. Parranto a été condamné à des peines consécutives de </w:t>
            </w:r>
            <w:r w:rsidRPr="00357596">
              <w:rPr>
                <w:sz w:val="20"/>
                <w:lang w:val="fr-CA"/>
              </w:rPr>
              <w:t>4 ans et de 5 ans d’emprisonnement et</w:t>
            </w:r>
            <w:r w:rsidRPr="00357596">
              <w:rPr>
                <w:spacing w:val="-2"/>
                <w:sz w:val="20"/>
                <w:lang w:val="fr-CA"/>
              </w:rPr>
              <w:t xml:space="preserve"> </w:t>
            </w:r>
            <w:r w:rsidRPr="00357596">
              <w:rPr>
                <w:sz w:val="20"/>
                <w:lang w:val="fr-CA"/>
              </w:rPr>
              <w:t>M. Felix a été condamné à deux peines concurrentes de 7 ans d’emprisonnement</w:t>
            </w:r>
            <w:r w:rsidRPr="00357596">
              <w:rPr>
                <w:spacing w:val="1"/>
                <w:sz w:val="20"/>
                <w:lang w:val="fr-CA"/>
              </w:rPr>
              <w:t>. La Cour d’appel a fixé un point de départ de 9 ans quant au trafic de fentanyl à grande échelle. Elle a conclu que des peines concurrentes de 13 ans étaient appropriées dans le cas des infractions commises par M. Felix, mais a accepté d’imposer des peines concurrentes de 10 ans d’emprisonnement, comme l’a proposé l’avocat du ministère public, et a condamné M. Parranto à deux peines consécutives de 7 ans d’emprisonnement.</w:t>
            </w:r>
            <w:bookmarkStart w:id="0" w:name="_GoBack"/>
            <w:bookmarkEnd w:id="0"/>
          </w:p>
          <w:p w:rsidR="00533FD5" w:rsidRPr="00357596" w:rsidRDefault="00533FD5" w:rsidP="00160284">
            <w:pPr>
              <w:tabs>
                <w:tab w:val="left" w:pos="720"/>
              </w:tabs>
              <w:kinsoku w:val="0"/>
              <w:overflowPunct w:val="0"/>
              <w:spacing w:after="240"/>
              <w:contextualSpacing/>
              <w:jc w:val="both"/>
              <w:textAlignment w:val="baseline"/>
              <w:rPr>
                <w:spacing w:val="1"/>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18 octobre 2018</w:t>
            </w:r>
          </w:p>
          <w:p w:rsidR="00533FD5" w:rsidRPr="00357596" w:rsidRDefault="00533FD5" w:rsidP="00160284">
            <w:pPr>
              <w:jc w:val="both"/>
              <w:rPr>
                <w:sz w:val="20"/>
                <w:lang w:val="fr-CA"/>
              </w:rPr>
            </w:pPr>
            <w:r w:rsidRPr="00357596">
              <w:rPr>
                <w:sz w:val="20"/>
                <w:lang w:val="fr-CA"/>
              </w:rPr>
              <w:t>Cour du Banc de la Reine de l’Alberta</w:t>
            </w:r>
          </w:p>
          <w:p w:rsidR="00533FD5" w:rsidRPr="00357596" w:rsidRDefault="00533FD5" w:rsidP="00160284">
            <w:pPr>
              <w:jc w:val="both"/>
              <w:rPr>
                <w:sz w:val="20"/>
                <w:lang w:val="fr-CA"/>
              </w:rPr>
            </w:pPr>
            <w:r w:rsidRPr="00357596">
              <w:rPr>
                <w:sz w:val="20"/>
                <w:lang w:val="fr-CA"/>
              </w:rPr>
              <w:t>(Juge Ouellette)</w:t>
            </w:r>
          </w:p>
          <w:p w:rsidR="00533FD5" w:rsidRPr="00357596" w:rsidRDefault="00533FD5" w:rsidP="00160284">
            <w:pPr>
              <w:jc w:val="both"/>
              <w:rPr>
                <w:rStyle w:val="Hyperlink"/>
                <w:sz w:val="20"/>
                <w:lang w:val="fr-CA"/>
              </w:rPr>
            </w:pPr>
            <w:hyperlink r:id="rId53" w:history="1">
              <w:r w:rsidRPr="00357596">
                <w:rPr>
                  <w:rStyle w:val="Hyperlink"/>
                  <w:sz w:val="20"/>
                  <w:lang w:val="fr-CA"/>
                </w:rPr>
                <w:t>2018 ABQB 863</w:t>
              </w:r>
            </w:hyperlink>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pacing w:val="1"/>
                <w:sz w:val="20"/>
                <w:lang w:val="fr-CA"/>
              </w:rPr>
            </w:pPr>
            <w:r w:rsidRPr="00357596">
              <w:rPr>
                <w:sz w:val="20"/>
                <w:lang w:val="fr-CA"/>
              </w:rPr>
              <w:t>M. Parranto est condamné, en partie, à des peines consécutives de 4 ans et de 5 ans d’emprisonnement relativement à deux chefs d’accusation de trafic de</w:t>
            </w:r>
            <w:r w:rsidRPr="00357596">
              <w:rPr>
                <w:spacing w:val="1"/>
                <w:sz w:val="20"/>
                <w:lang w:val="fr-CA"/>
              </w:rPr>
              <w:t xml:space="preserve"> fentanyl.</w:t>
            </w:r>
            <w:r w:rsidRPr="00357596">
              <w:rPr>
                <w:sz w:val="20"/>
                <w:lang w:val="fr-CA"/>
              </w:rPr>
              <w:t xml:space="preserve"> </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lastRenderedPageBreak/>
              <w:t>14 mars 2019</w:t>
            </w:r>
          </w:p>
          <w:p w:rsidR="00533FD5" w:rsidRPr="00357596" w:rsidRDefault="00533FD5" w:rsidP="00160284">
            <w:pPr>
              <w:jc w:val="both"/>
              <w:rPr>
                <w:sz w:val="20"/>
                <w:lang w:val="fr-CA"/>
              </w:rPr>
            </w:pPr>
            <w:r w:rsidRPr="00357596">
              <w:rPr>
                <w:sz w:val="20"/>
                <w:lang w:val="fr-CA"/>
              </w:rPr>
              <w:t xml:space="preserve">Cour du Banc de la Reine de l’Alberta </w:t>
            </w:r>
          </w:p>
          <w:p w:rsidR="00533FD5" w:rsidRPr="00357596" w:rsidRDefault="00533FD5" w:rsidP="00160284">
            <w:pPr>
              <w:jc w:val="both"/>
              <w:rPr>
                <w:sz w:val="20"/>
                <w:lang w:val="fr-CA"/>
              </w:rPr>
            </w:pPr>
            <w:r w:rsidRPr="00357596">
              <w:rPr>
                <w:sz w:val="20"/>
                <w:lang w:val="fr-CA"/>
              </w:rPr>
              <w:t>(Juge Burrows)</w:t>
            </w:r>
          </w:p>
          <w:p w:rsidR="00533FD5" w:rsidRPr="00357596" w:rsidRDefault="00533FD5" w:rsidP="00160284">
            <w:pPr>
              <w:jc w:val="both"/>
              <w:rPr>
                <w:rStyle w:val="Hyperlink"/>
                <w:sz w:val="20"/>
                <w:lang w:val="fr-CA"/>
              </w:rPr>
            </w:pPr>
            <w:hyperlink r:id="rId54" w:history="1">
              <w:r w:rsidRPr="00357596">
                <w:rPr>
                  <w:rStyle w:val="Hyperlink"/>
                  <w:sz w:val="20"/>
                  <w:lang w:val="fr-CA"/>
                </w:rPr>
                <w:t>2019 ABQB 183</w:t>
              </w:r>
            </w:hyperlink>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 xml:space="preserve">M. Felix est condamné, en partie, à deux peines concurrentes de 7 ans d’emprisonnement relativement à deux chefs d’accusation de trafic de fentanyl. </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28 novembre 2019</w:t>
            </w:r>
          </w:p>
          <w:p w:rsidR="00533FD5" w:rsidRPr="00357596" w:rsidRDefault="00533FD5" w:rsidP="00160284">
            <w:pPr>
              <w:jc w:val="both"/>
              <w:rPr>
                <w:sz w:val="20"/>
                <w:lang w:val="fr-CA"/>
              </w:rPr>
            </w:pPr>
            <w:r w:rsidRPr="00357596">
              <w:rPr>
                <w:sz w:val="20"/>
                <w:lang w:val="fr-CA"/>
              </w:rPr>
              <w:t>Cour d’appel de l’Alberta (Edmonton)</w:t>
            </w:r>
          </w:p>
          <w:p w:rsidR="00533FD5" w:rsidRPr="00357596" w:rsidRDefault="00533FD5" w:rsidP="00160284">
            <w:pPr>
              <w:jc w:val="both"/>
              <w:rPr>
                <w:sz w:val="20"/>
              </w:rPr>
            </w:pPr>
            <w:r w:rsidRPr="00357596">
              <w:rPr>
                <w:sz w:val="20"/>
              </w:rPr>
              <w:t>(Juges Paperny, Watson, Slatter, Crighton, Antonio)</w:t>
            </w:r>
          </w:p>
          <w:p w:rsidR="00533FD5" w:rsidRPr="00357596" w:rsidRDefault="00533FD5" w:rsidP="00160284">
            <w:pPr>
              <w:jc w:val="both"/>
              <w:rPr>
                <w:sz w:val="20"/>
                <w:lang w:val="fr-CA"/>
              </w:rPr>
            </w:pPr>
            <w:hyperlink r:id="rId55" w:history="1">
              <w:r w:rsidRPr="00357596">
                <w:rPr>
                  <w:rStyle w:val="Hyperlink"/>
                  <w:sz w:val="20"/>
                  <w:lang w:val="fr-CA"/>
                </w:rPr>
                <w:t>2019 ABCA 457</w:t>
              </w:r>
            </w:hyperlink>
            <w:r w:rsidRPr="00357596">
              <w:rPr>
                <w:sz w:val="20"/>
                <w:lang w:val="fr-CA"/>
              </w:rPr>
              <w:t>; 1803</w:t>
            </w:r>
            <w:r w:rsidRPr="00357596">
              <w:rPr>
                <w:sz w:val="20"/>
                <w:lang w:val="fr-CA"/>
              </w:rPr>
              <w:noBreakHyphen/>
              <w:t>0299</w:t>
            </w:r>
            <w:r w:rsidRPr="00357596">
              <w:rPr>
                <w:sz w:val="20"/>
                <w:lang w:val="fr-CA"/>
              </w:rPr>
              <w:noBreakHyphen/>
              <w:t>A</w:t>
            </w:r>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 xml:space="preserve">L’appel est accueilli; M. Parranto </w:t>
            </w:r>
            <w:r w:rsidRPr="00357596">
              <w:rPr>
                <w:color w:val="000000"/>
                <w:sz w:val="20"/>
                <w:lang w:val="fr-CA"/>
              </w:rPr>
              <w:t>est condamné à deux peines consécutives de 7 ans</w:t>
            </w:r>
            <w:r w:rsidRPr="00357596">
              <w:rPr>
                <w:sz w:val="20"/>
                <w:lang w:val="fr-CA"/>
              </w:rPr>
              <w:t xml:space="preserve"> d’emprisonnement relativement</w:t>
            </w:r>
            <w:r w:rsidRPr="00357596">
              <w:rPr>
                <w:color w:val="000000"/>
                <w:sz w:val="20"/>
                <w:lang w:val="fr-CA"/>
              </w:rPr>
              <w:t xml:space="preserve"> aux chefs d’accusation de trafic de fentanyl.</w:t>
            </w: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28 novembre 2019</w:t>
            </w:r>
          </w:p>
          <w:p w:rsidR="00533FD5" w:rsidRPr="00357596" w:rsidRDefault="00533FD5" w:rsidP="00160284">
            <w:pPr>
              <w:jc w:val="both"/>
              <w:rPr>
                <w:sz w:val="20"/>
                <w:lang w:val="fr-CA"/>
              </w:rPr>
            </w:pPr>
            <w:r w:rsidRPr="00357596">
              <w:rPr>
                <w:sz w:val="20"/>
                <w:lang w:val="fr-CA"/>
              </w:rPr>
              <w:t>Cour d’appel de l’Alberta (Edmonton)</w:t>
            </w:r>
          </w:p>
          <w:p w:rsidR="00533FD5" w:rsidRPr="00357596" w:rsidRDefault="00533FD5" w:rsidP="00160284">
            <w:pPr>
              <w:jc w:val="both"/>
              <w:rPr>
                <w:sz w:val="20"/>
              </w:rPr>
            </w:pPr>
            <w:r w:rsidRPr="00357596">
              <w:rPr>
                <w:sz w:val="20"/>
              </w:rPr>
              <w:t>(Juges Paperny, Watson, Slatter, Crighton, Antonio)</w:t>
            </w:r>
          </w:p>
          <w:p w:rsidR="00533FD5" w:rsidRPr="00357596" w:rsidRDefault="00533FD5" w:rsidP="00160284">
            <w:pPr>
              <w:jc w:val="both"/>
              <w:rPr>
                <w:color w:val="000000"/>
                <w:sz w:val="20"/>
                <w:lang w:val="fr-CA"/>
              </w:rPr>
            </w:pPr>
            <w:hyperlink r:id="rId56" w:history="1">
              <w:r w:rsidRPr="00357596">
                <w:rPr>
                  <w:rStyle w:val="Hyperlink"/>
                  <w:sz w:val="20"/>
                  <w:lang w:val="fr-CA"/>
                </w:rPr>
                <w:t>2019 ABCA 458</w:t>
              </w:r>
            </w:hyperlink>
            <w:r w:rsidRPr="00357596">
              <w:rPr>
                <w:sz w:val="20"/>
                <w:lang w:val="fr-CA"/>
              </w:rPr>
              <w:t xml:space="preserve">; </w:t>
            </w:r>
            <w:r w:rsidRPr="00357596">
              <w:rPr>
                <w:color w:val="000000"/>
                <w:sz w:val="20"/>
                <w:lang w:val="fr-CA"/>
              </w:rPr>
              <w:t>1903</w:t>
            </w:r>
            <w:r w:rsidRPr="00357596">
              <w:rPr>
                <w:color w:val="000000"/>
                <w:sz w:val="20"/>
                <w:lang w:val="fr-CA"/>
              </w:rPr>
              <w:noBreakHyphen/>
              <w:t>0074</w:t>
            </w:r>
            <w:r w:rsidRPr="00357596">
              <w:rPr>
                <w:color w:val="000000"/>
                <w:sz w:val="20"/>
                <w:lang w:val="fr-CA"/>
              </w:rPr>
              <w:noBreakHyphen/>
              <w:t>A</w:t>
            </w:r>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L’appel est accueilli; M. Felix est condamné à deux peines concurrentes de 10 ans d’emprisonnement relativement aux chefs d’accusation de trafic de fentanyl.</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29 mai 2020</w:t>
            </w:r>
          </w:p>
          <w:p w:rsidR="00533FD5" w:rsidRPr="00357596" w:rsidRDefault="00533FD5" w:rsidP="00160284">
            <w:pPr>
              <w:jc w:val="both"/>
              <w:rPr>
                <w:sz w:val="20"/>
                <w:lang w:val="fr-CA"/>
              </w:rPr>
            </w:pPr>
            <w:r w:rsidRPr="00357596">
              <w:rPr>
                <w:sz w:val="20"/>
                <w:lang w:val="fr-CA"/>
              </w:rPr>
              <w:t>Cour suprême du Canada</w:t>
            </w:r>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Dépôt de la requête en prorogation du délai de signification et de dépôt de la demande d’autorisation d’appel et de la demande d’autorisation d’appel de M. Parranto.</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1</w:t>
            </w:r>
            <w:r w:rsidRPr="00357596">
              <w:rPr>
                <w:sz w:val="20"/>
                <w:vertAlign w:val="superscript"/>
                <w:lang w:val="fr-CA"/>
              </w:rPr>
              <w:t>er</w:t>
            </w:r>
            <w:r w:rsidRPr="00357596">
              <w:rPr>
                <w:sz w:val="20"/>
                <w:lang w:val="fr-CA"/>
              </w:rPr>
              <w:t xml:space="preserve"> juin 2020</w:t>
            </w:r>
          </w:p>
          <w:p w:rsidR="00533FD5" w:rsidRPr="00357596" w:rsidRDefault="00533FD5" w:rsidP="00160284">
            <w:pPr>
              <w:jc w:val="both"/>
              <w:rPr>
                <w:sz w:val="20"/>
                <w:lang w:val="fr-CA"/>
              </w:rPr>
            </w:pPr>
            <w:r w:rsidRPr="00357596">
              <w:rPr>
                <w:sz w:val="20"/>
                <w:lang w:val="fr-CA"/>
              </w:rPr>
              <w:t>Cour suprême du Canada</w:t>
            </w:r>
          </w:p>
          <w:p w:rsidR="00533FD5" w:rsidRPr="00357596" w:rsidRDefault="00533FD5" w:rsidP="00160284">
            <w:pPr>
              <w:jc w:val="both"/>
              <w:rPr>
                <w:sz w:val="20"/>
                <w:lang w:val="fr-CA"/>
              </w:rPr>
            </w:pP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 xml:space="preserve">Dépôt de la requête en prorogation du délai de signification et de dépôt de la demande d’autorisation d’appel et de la demande d’autorisation d’appel de M. Felix. </w:t>
            </w:r>
          </w:p>
          <w:p w:rsidR="00533FD5" w:rsidRPr="00357596" w:rsidRDefault="00533FD5" w:rsidP="00160284">
            <w:pPr>
              <w:jc w:val="both"/>
              <w:rPr>
                <w:sz w:val="20"/>
                <w:lang w:val="fr-CA"/>
              </w:rPr>
            </w:pPr>
          </w:p>
        </w:tc>
      </w:tr>
      <w:tr w:rsidR="00533FD5" w:rsidRPr="00357596" w:rsidTr="00533FD5">
        <w:tc>
          <w:tcPr>
            <w:tcW w:w="2427" w:type="pct"/>
            <w:gridSpan w:val="2"/>
          </w:tcPr>
          <w:p w:rsidR="00533FD5" w:rsidRPr="00357596" w:rsidRDefault="00533FD5" w:rsidP="00160284">
            <w:pPr>
              <w:jc w:val="both"/>
              <w:rPr>
                <w:sz w:val="20"/>
                <w:lang w:val="fr-CA"/>
              </w:rPr>
            </w:pPr>
            <w:r w:rsidRPr="00357596">
              <w:rPr>
                <w:sz w:val="20"/>
                <w:lang w:val="fr-CA"/>
              </w:rPr>
              <w:t>30 juin 2020</w:t>
            </w:r>
          </w:p>
          <w:p w:rsidR="00533FD5" w:rsidRPr="00357596" w:rsidRDefault="00533FD5" w:rsidP="00160284">
            <w:pPr>
              <w:jc w:val="both"/>
              <w:rPr>
                <w:sz w:val="20"/>
                <w:lang w:val="fr-CA"/>
              </w:rPr>
            </w:pPr>
            <w:r w:rsidRPr="00357596">
              <w:rPr>
                <w:sz w:val="20"/>
                <w:lang w:val="fr-CA"/>
              </w:rPr>
              <w:t>Cour suprême du Canada</w:t>
            </w:r>
          </w:p>
          <w:p w:rsidR="00533FD5" w:rsidRPr="00357596" w:rsidRDefault="00533FD5" w:rsidP="00357596">
            <w:pPr>
              <w:jc w:val="both"/>
              <w:rPr>
                <w:sz w:val="20"/>
                <w:lang w:val="fr-CA"/>
              </w:rPr>
            </w:pPr>
            <w:r w:rsidRPr="00357596">
              <w:rPr>
                <w:sz w:val="20"/>
                <w:lang w:val="fr-CA"/>
              </w:rPr>
              <w:t>(</w:t>
            </w:r>
            <w:r w:rsidR="00357596" w:rsidRPr="00357596">
              <w:rPr>
                <w:sz w:val="20"/>
                <w:lang w:val="fr-CA"/>
              </w:rPr>
              <w:t>R</w:t>
            </w:r>
            <w:r w:rsidRPr="00357596">
              <w:rPr>
                <w:sz w:val="20"/>
                <w:lang w:val="fr-CA"/>
              </w:rPr>
              <w:t>egistraire adjoint)</w:t>
            </w:r>
          </w:p>
        </w:tc>
        <w:tc>
          <w:tcPr>
            <w:tcW w:w="243" w:type="pct"/>
          </w:tcPr>
          <w:p w:rsidR="00533FD5" w:rsidRPr="00357596" w:rsidRDefault="00533FD5" w:rsidP="00160284">
            <w:pPr>
              <w:jc w:val="both"/>
              <w:rPr>
                <w:sz w:val="20"/>
                <w:lang w:val="fr-CA"/>
              </w:rPr>
            </w:pPr>
          </w:p>
        </w:tc>
        <w:tc>
          <w:tcPr>
            <w:tcW w:w="2330" w:type="pct"/>
          </w:tcPr>
          <w:p w:rsidR="00533FD5" w:rsidRPr="00357596" w:rsidRDefault="00533FD5" w:rsidP="00160284">
            <w:pPr>
              <w:jc w:val="both"/>
              <w:rPr>
                <w:sz w:val="20"/>
                <w:lang w:val="fr-CA"/>
              </w:rPr>
            </w:pPr>
            <w:r w:rsidRPr="00357596">
              <w:rPr>
                <w:sz w:val="20"/>
                <w:lang w:val="fr-CA"/>
              </w:rPr>
              <w:t>Requête pour joindre les demandes d’autorisation d’appel accordée.</w:t>
            </w:r>
          </w:p>
          <w:p w:rsidR="00533FD5" w:rsidRPr="00357596" w:rsidRDefault="00533FD5" w:rsidP="00160284">
            <w:pPr>
              <w:jc w:val="both"/>
              <w:rPr>
                <w:sz w:val="20"/>
                <w:lang w:val="fr-CA"/>
              </w:rPr>
            </w:pPr>
          </w:p>
        </w:tc>
      </w:tr>
    </w:tbl>
    <w:p w:rsidR="00533FD5" w:rsidRPr="00357596" w:rsidRDefault="00533FD5" w:rsidP="00160284">
      <w:pPr>
        <w:jc w:val="both"/>
        <w:rPr>
          <w:sz w:val="20"/>
          <w:lang w:val="fr-CA"/>
        </w:rPr>
      </w:pPr>
    </w:p>
    <w:p w:rsidR="00F81F18" w:rsidRPr="00357596" w:rsidRDefault="00357596" w:rsidP="00160284">
      <w:pPr>
        <w:widowControl w:val="0"/>
        <w:jc w:val="both"/>
        <w:rPr>
          <w:sz w:val="20"/>
          <w:lang w:val="fr-CA"/>
        </w:rPr>
      </w:pPr>
      <w:r w:rsidRPr="00357596">
        <w:rPr>
          <w:sz w:val="20"/>
        </w:rPr>
        <w:pict>
          <v:rect id="_x0000_i1044" style="width:2in;height:1pt" o:hrpct="0" o:hralign="center" o:hrstd="t" o:hrnoshade="t" o:hr="t" fillcolor="black [3213]" stroked="f"/>
        </w:pict>
      </w:r>
    </w:p>
    <w:p w:rsidR="00160284" w:rsidRPr="00357596" w:rsidRDefault="00160284"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533FD5" w:rsidRPr="00357596" w:rsidTr="00533FD5">
        <w:tc>
          <w:tcPr>
            <w:tcW w:w="543" w:type="pct"/>
          </w:tcPr>
          <w:p w:rsidR="00533FD5" w:rsidRPr="00357596" w:rsidRDefault="00533FD5" w:rsidP="00160284">
            <w:pPr>
              <w:jc w:val="both"/>
              <w:rPr>
                <w:sz w:val="20"/>
              </w:rPr>
            </w:pPr>
            <w:r w:rsidRPr="00357596">
              <w:rPr>
                <w:rStyle w:val="SCCFileNumberChar"/>
                <w:sz w:val="20"/>
                <w:szCs w:val="20"/>
              </w:rPr>
              <w:t>38788</w:t>
            </w:r>
          </w:p>
        </w:tc>
        <w:tc>
          <w:tcPr>
            <w:tcW w:w="4457" w:type="pct"/>
            <w:gridSpan w:val="3"/>
          </w:tcPr>
          <w:p w:rsidR="00533FD5" w:rsidRPr="00357596" w:rsidRDefault="00533FD5" w:rsidP="00160284">
            <w:pPr>
              <w:pStyle w:val="SCCLsocParty"/>
              <w:jc w:val="both"/>
              <w:rPr>
                <w:b/>
                <w:sz w:val="20"/>
                <w:szCs w:val="20"/>
                <w:lang w:val="en-US"/>
              </w:rPr>
            </w:pPr>
            <w:r w:rsidRPr="00357596">
              <w:rPr>
                <w:b/>
                <w:sz w:val="20"/>
                <w:szCs w:val="20"/>
                <w:lang w:val="en-US"/>
              </w:rPr>
              <w:t>James Anthony Manastersky v. RBC Dominion Securities Inc.</w:t>
            </w:r>
          </w:p>
          <w:p w:rsidR="00533FD5" w:rsidRPr="00357596" w:rsidRDefault="00533FD5" w:rsidP="00160284">
            <w:pPr>
              <w:jc w:val="both"/>
              <w:rPr>
                <w:sz w:val="20"/>
              </w:rPr>
            </w:pPr>
            <w:r w:rsidRPr="00357596">
              <w:rPr>
                <w:sz w:val="20"/>
              </w:rPr>
              <w:t>(Ont.) (Civil) (By Leave)</w:t>
            </w:r>
          </w:p>
        </w:tc>
      </w:tr>
      <w:tr w:rsidR="00533FD5" w:rsidRPr="00357596" w:rsidTr="00533FD5">
        <w:tc>
          <w:tcPr>
            <w:tcW w:w="5000" w:type="pct"/>
            <w:gridSpan w:val="4"/>
          </w:tcPr>
          <w:p w:rsidR="00533FD5" w:rsidRPr="00357596" w:rsidRDefault="00533FD5" w:rsidP="00160284">
            <w:pPr>
              <w:jc w:val="both"/>
              <w:rPr>
                <w:sz w:val="20"/>
              </w:rPr>
            </w:pPr>
            <w:r w:rsidRPr="00357596">
              <w:rPr>
                <w:sz w:val="20"/>
              </w:rPr>
              <w:t>Employment law — Unjust dismissal — Executive compensation — Standard of review —Whether compensation for wrongful dismissal includes incentive</w:t>
            </w:r>
            <w:r w:rsidRPr="00357596">
              <w:rPr>
                <w:sz w:val="20"/>
              </w:rPr>
              <w:noBreakHyphen/>
              <w:t>type plans — What the standard of review applies for trial judges’ assessment of incentive plan compensation in Canada.</w:t>
            </w:r>
          </w:p>
          <w:p w:rsidR="00533FD5" w:rsidRPr="00357596" w:rsidRDefault="00533FD5" w:rsidP="00160284">
            <w:pPr>
              <w:jc w:val="both"/>
              <w:rPr>
                <w:sz w:val="20"/>
              </w:rPr>
            </w:pPr>
          </w:p>
        </w:tc>
      </w:tr>
      <w:tr w:rsidR="00533FD5" w:rsidRPr="00357596" w:rsidTr="00533FD5">
        <w:tc>
          <w:tcPr>
            <w:tcW w:w="5000" w:type="pct"/>
            <w:gridSpan w:val="4"/>
          </w:tcPr>
          <w:p w:rsidR="00533FD5" w:rsidRPr="00357596" w:rsidRDefault="00533FD5" w:rsidP="00160284">
            <w:pPr>
              <w:jc w:val="both"/>
              <w:rPr>
                <w:sz w:val="20"/>
              </w:rPr>
            </w:pPr>
            <w:r w:rsidRPr="00357596">
              <w:rPr>
                <w:sz w:val="20"/>
              </w:rPr>
              <w:t>James Manastersky was employed by RBC Dominion Securities Inc. in its RBC Capital Partners unit (RBCDS) for 13 years. During his employment, Mr. Manastersky participated in RBCDS profit-sharing plans, also known as carried interest plans (CIP). Mr. Manastersky was terminated without cause and commenced an action against RBCDS, seeking damages for wrongful dismissal. At trial, RBCDS conceded that it terminated Mr. Manastersky’s employment without cause. However, the appropriate period of notice, Mr. Manastersky’s entitlements, and whether he mitigated damages were live issues at trial. The trial judge determined a reasonable notice period for termination was 18 months. The trial judge also found that Mr. Manastersky was entitled to damages for the lost opportunity to earn profits under the CIP. A majority of the Court of Appeal allowed the appeal, setting aside Mr. Manaster</w:t>
            </w:r>
            <w:r w:rsidR="00160284" w:rsidRPr="00357596">
              <w:rPr>
                <w:sz w:val="20"/>
              </w:rPr>
              <w:t>s</w:t>
            </w:r>
            <w:r w:rsidRPr="00357596">
              <w:rPr>
                <w:sz w:val="20"/>
              </w:rPr>
              <w:t>ky’s award of damages.</w:t>
            </w:r>
          </w:p>
        </w:tc>
      </w:tr>
      <w:tr w:rsidR="00533FD5" w:rsidRPr="00357596" w:rsidTr="00533FD5">
        <w:tc>
          <w:tcPr>
            <w:tcW w:w="5000" w:type="pct"/>
            <w:gridSpan w:val="4"/>
          </w:tcPr>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February 14, 2018</w:t>
            </w:r>
          </w:p>
          <w:p w:rsidR="00533FD5" w:rsidRPr="00357596" w:rsidRDefault="00533FD5" w:rsidP="00160284">
            <w:pPr>
              <w:jc w:val="both"/>
              <w:rPr>
                <w:sz w:val="20"/>
              </w:rPr>
            </w:pPr>
            <w:r w:rsidRPr="00357596">
              <w:rPr>
                <w:sz w:val="20"/>
              </w:rPr>
              <w:t>Ontario Superior Court of Justice</w:t>
            </w:r>
          </w:p>
          <w:p w:rsidR="00533FD5" w:rsidRPr="00357596" w:rsidRDefault="00533FD5" w:rsidP="00160284">
            <w:pPr>
              <w:jc w:val="both"/>
              <w:rPr>
                <w:sz w:val="20"/>
              </w:rPr>
            </w:pPr>
            <w:r w:rsidRPr="00357596">
              <w:rPr>
                <w:sz w:val="20"/>
              </w:rPr>
              <w:t>(Monahan J.)</w:t>
            </w:r>
          </w:p>
          <w:p w:rsidR="00533FD5" w:rsidRPr="00357596" w:rsidRDefault="00533FD5" w:rsidP="00160284">
            <w:pPr>
              <w:jc w:val="both"/>
              <w:rPr>
                <w:sz w:val="20"/>
              </w:rPr>
            </w:pPr>
            <w:hyperlink r:id="rId57" w:history="1">
              <w:r w:rsidRPr="00357596">
                <w:rPr>
                  <w:rStyle w:val="Hyperlink"/>
                  <w:sz w:val="20"/>
                </w:rPr>
                <w:t>2018 ONSC 966</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Plaintiff granted damages for dismissal based on 18 months’ notice of termination; lost opportunity to earn entitlements granted for 18 month period.</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t>July 18, 2019</w:t>
            </w:r>
          </w:p>
          <w:p w:rsidR="00533FD5" w:rsidRPr="00357596" w:rsidRDefault="00533FD5" w:rsidP="00160284">
            <w:pPr>
              <w:jc w:val="both"/>
              <w:rPr>
                <w:sz w:val="20"/>
              </w:rPr>
            </w:pPr>
            <w:r w:rsidRPr="00357596">
              <w:rPr>
                <w:sz w:val="20"/>
              </w:rPr>
              <w:t>Court of Appeal for Ontario</w:t>
            </w:r>
          </w:p>
          <w:p w:rsidR="00533FD5" w:rsidRPr="00357596" w:rsidRDefault="00533FD5" w:rsidP="00160284">
            <w:pPr>
              <w:jc w:val="both"/>
              <w:rPr>
                <w:sz w:val="20"/>
              </w:rPr>
            </w:pPr>
            <w:r w:rsidRPr="00357596">
              <w:rPr>
                <w:sz w:val="20"/>
              </w:rPr>
              <w:t>(Brown and Miller JJ.A.; Feldman J.A. dissenting)</w:t>
            </w:r>
          </w:p>
          <w:p w:rsidR="00533FD5" w:rsidRPr="00357596" w:rsidRDefault="00533FD5" w:rsidP="00160284">
            <w:pPr>
              <w:jc w:val="both"/>
              <w:rPr>
                <w:sz w:val="20"/>
              </w:rPr>
            </w:pPr>
            <w:hyperlink r:id="rId58" w:history="1">
              <w:r w:rsidRPr="00357596">
                <w:rPr>
                  <w:rStyle w:val="Hyperlink"/>
                  <w:sz w:val="20"/>
                </w:rPr>
                <w:t>2019 ONCA 609</w:t>
              </w:r>
            </w:hyperlink>
          </w:p>
          <w:p w:rsidR="00533FD5" w:rsidRPr="00357596" w:rsidRDefault="00533FD5" w:rsidP="00160284">
            <w:pPr>
              <w:jc w:val="both"/>
              <w:rPr>
                <w:sz w:val="20"/>
              </w:rPr>
            </w:pP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Appeal allowed in part; damages for lost opportunity to earn entitlements set aside.</w:t>
            </w:r>
          </w:p>
          <w:p w:rsidR="00533FD5" w:rsidRPr="00357596" w:rsidRDefault="00533FD5" w:rsidP="00160284">
            <w:pPr>
              <w:jc w:val="both"/>
              <w:rPr>
                <w:sz w:val="20"/>
              </w:rPr>
            </w:pPr>
          </w:p>
        </w:tc>
      </w:tr>
      <w:tr w:rsidR="00533FD5" w:rsidRPr="00357596" w:rsidTr="00533FD5">
        <w:tc>
          <w:tcPr>
            <w:tcW w:w="2427" w:type="pct"/>
            <w:gridSpan w:val="2"/>
          </w:tcPr>
          <w:p w:rsidR="00533FD5" w:rsidRPr="00357596" w:rsidRDefault="00533FD5" w:rsidP="00160284">
            <w:pPr>
              <w:jc w:val="both"/>
              <w:rPr>
                <w:sz w:val="20"/>
              </w:rPr>
            </w:pPr>
            <w:r w:rsidRPr="00357596">
              <w:rPr>
                <w:sz w:val="20"/>
              </w:rPr>
              <w:lastRenderedPageBreak/>
              <w:t>August 30, 2019</w:t>
            </w:r>
          </w:p>
          <w:p w:rsidR="00533FD5" w:rsidRPr="00357596" w:rsidRDefault="00533FD5" w:rsidP="00357596">
            <w:pPr>
              <w:jc w:val="both"/>
              <w:rPr>
                <w:sz w:val="20"/>
              </w:rPr>
            </w:pPr>
            <w:r w:rsidRPr="00357596">
              <w:rPr>
                <w:sz w:val="20"/>
              </w:rPr>
              <w:t>Supreme Court of Canada</w:t>
            </w:r>
          </w:p>
        </w:tc>
        <w:tc>
          <w:tcPr>
            <w:tcW w:w="243" w:type="pct"/>
          </w:tcPr>
          <w:p w:rsidR="00533FD5" w:rsidRPr="00357596" w:rsidRDefault="00533FD5" w:rsidP="00160284">
            <w:pPr>
              <w:jc w:val="both"/>
              <w:rPr>
                <w:sz w:val="20"/>
              </w:rPr>
            </w:pPr>
          </w:p>
        </w:tc>
        <w:tc>
          <w:tcPr>
            <w:tcW w:w="2330" w:type="pct"/>
          </w:tcPr>
          <w:p w:rsidR="00533FD5" w:rsidRPr="00357596" w:rsidRDefault="00533FD5" w:rsidP="00160284">
            <w:pPr>
              <w:jc w:val="both"/>
              <w:rPr>
                <w:sz w:val="20"/>
              </w:rPr>
            </w:pPr>
            <w:r w:rsidRPr="00357596">
              <w:rPr>
                <w:sz w:val="20"/>
              </w:rPr>
              <w:t>Application for leave to appeal filed</w:t>
            </w:r>
          </w:p>
          <w:p w:rsidR="00533FD5" w:rsidRPr="00357596" w:rsidRDefault="00533FD5" w:rsidP="00160284">
            <w:pPr>
              <w:jc w:val="both"/>
              <w:rPr>
                <w:sz w:val="20"/>
              </w:rPr>
            </w:pPr>
          </w:p>
        </w:tc>
      </w:tr>
    </w:tbl>
    <w:p w:rsidR="00533FD5" w:rsidRPr="00357596" w:rsidRDefault="00533FD5" w:rsidP="00160284">
      <w:pPr>
        <w:jc w:val="both"/>
        <w:rPr>
          <w:sz w:val="20"/>
        </w:rPr>
      </w:pPr>
    </w:p>
    <w:p w:rsidR="00F81F18" w:rsidRPr="00357596" w:rsidRDefault="00357596" w:rsidP="00160284">
      <w:pPr>
        <w:widowControl w:val="0"/>
        <w:jc w:val="both"/>
        <w:rPr>
          <w:sz w:val="20"/>
        </w:rPr>
      </w:pPr>
      <w:r w:rsidRPr="00357596">
        <w:rPr>
          <w:sz w:val="20"/>
        </w:rPr>
        <w:pict>
          <v:rect id="_x0000_i1045" style="width:2in;height:1pt" o:hrpct="0" o:hralign="center" o:hrstd="t" o:hrnoshade="t" o:hr="t" fillcolor="black [3213]" stroked="f"/>
        </w:pict>
      </w:r>
    </w:p>
    <w:p w:rsidR="00160284" w:rsidRPr="00357596" w:rsidRDefault="00160284"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60284" w:rsidRPr="00357596" w:rsidTr="0097273B">
        <w:tc>
          <w:tcPr>
            <w:tcW w:w="543" w:type="pct"/>
          </w:tcPr>
          <w:p w:rsidR="00160284" w:rsidRPr="00357596" w:rsidRDefault="00160284" w:rsidP="00160284">
            <w:pPr>
              <w:jc w:val="both"/>
              <w:rPr>
                <w:sz w:val="20"/>
                <w:lang w:val="fr-CA"/>
              </w:rPr>
            </w:pPr>
            <w:r w:rsidRPr="00357596">
              <w:rPr>
                <w:rStyle w:val="SCCFileNumberChar"/>
                <w:sz w:val="20"/>
                <w:szCs w:val="20"/>
                <w:lang w:val="fr-CA"/>
              </w:rPr>
              <w:t>38788</w:t>
            </w:r>
          </w:p>
        </w:tc>
        <w:tc>
          <w:tcPr>
            <w:tcW w:w="4457" w:type="pct"/>
            <w:gridSpan w:val="3"/>
          </w:tcPr>
          <w:p w:rsidR="00160284" w:rsidRPr="00357596" w:rsidRDefault="00160284" w:rsidP="00160284">
            <w:pPr>
              <w:pStyle w:val="SCCLsocParty"/>
              <w:jc w:val="both"/>
              <w:rPr>
                <w:b/>
                <w:sz w:val="20"/>
                <w:szCs w:val="20"/>
              </w:rPr>
            </w:pPr>
            <w:r w:rsidRPr="00357596">
              <w:rPr>
                <w:b/>
                <w:sz w:val="20"/>
                <w:szCs w:val="20"/>
              </w:rPr>
              <w:t>James Anthony Manastersky c. RBC Dominion Valeurs mobilières Inc.</w:t>
            </w:r>
          </w:p>
          <w:p w:rsidR="00160284" w:rsidRPr="00357596" w:rsidRDefault="00160284" w:rsidP="00160284">
            <w:pPr>
              <w:jc w:val="both"/>
              <w:rPr>
                <w:sz w:val="20"/>
                <w:lang w:val="fr-CA"/>
              </w:rPr>
            </w:pPr>
            <w:r w:rsidRPr="00357596">
              <w:rPr>
                <w:sz w:val="20"/>
                <w:lang w:val="fr-CA"/>
              </w:rPr>
              <w:t>(Ont.) (Civile) (Autorisation)</w:t>
            </w:r>
          </w:p>
        </w:tc>
      </w:tr>
      <w:tr w:rsidR="00160284" w:rsidRPr="00357596" w:rsidTr="0097273B">
        <w:tc>
          <w:tcPr>
            <w:tcW w:w="5000" w:type="pct"/>
            <w:gridSpan w:val="4"/>
          </w:tcPr>
          <w:p w:rsidR="00160284" w:rsidRPr="00357596" w:rsidRDefault="00160284" w:rsidP="00160284">
            <w:pPr>
              <w:jc w:val="both"/>
              <w:rPr>
                <w:sz w:val="20"/>
                <w:lang w:val="fr-CA"/>
              </w:rPr>
            </w:pPr>
            <w:r w:rsidRPr="00357596">
              <w:rPr>
                <w:sz w:val="20"/>
                <w:lang w:val="fr-CA"/>
              </w:rPr>
              <w:t>Droit de l’emploi — Congédiement injustifié — Rémunération des cadres — Norme de contrôle — L’indemnité pour congédiement injustifié comprend-elle les régimes qui s’apparentent aux régimes d’intéressement? — Quelle est la norme de contrôle applicable à l’évaluation par les juges de première instance de la rémunération sous forme de régime d’intéressement au Canada?</w:t>
            </w:r>
          </w:p>
          <w:p w:rsidR="00160284" w:rsidRPr="00357596" w:rsidRDefault="00160284" w:rsidP="00160284">
            <w:pPr>
              <w:jc w:val="both"/>
              <w:rPr>
                <w:sz w:val="20"/>
                <w:lang w:val="fr-CA"/>
              </w:rPr>
            </w:pPr>
          </w:p>
        </w:tc>
      </w:tr>
      <w:tr w:rsidR="00160284" w:rsidRPr="00357596" w:rsidTr="0097273B">
        <w:tc>
          <w:tcPr>
            <w:tcW w:w="5000" w:type="pct"/>
            <w:gridSpan w:val="4"/>
          </w:tcPr>
          <w:p w:rsidR="00160284" w:rsidRPr="00357596" w:rsidRDefault="00160284" w:rsidP="00160284">
            <w:pPr>
              <w:jc w:val="both"/>
              <w:rPr>
                <w:sz w:val="20"/>
                <w:lang w:val="fr-CA"/>
              </w:rPr>
            </w:pPr>
            <w:r w:rsidRPr="00357596">
              <w:rPr>
                <w:sz w:val="20"/>
                <w:lang w:val="fr-CA"/>
              </w:rPr>
              <w:t>James Manastersky a été au service de RBC Dominion Valeurs mobilières Inc. et de son unité RBC Capital Partners (RBCDVM) pendant treize ans. Au cours de son emploi, M. Manastersky a participé aux régimes de participation aux bénéfices de RBCDVM, également appelés « régimes d’intéressement aux performances » (RIP). Monsieur Manastersky a été congédié sans motif et a intenté une action contre RBCDVM, sollicitant des dommages</w:t>
            </w:r>
            <w:r w:rsidRPr="00357596">
              <w:rPr>
                <w:sz w:val="20"/>
                <w:lang w:val="fr-CA"/>
              </w:rPr>
              <w:noBreakHyphen/>
              <w:t>intérêts pour congédiement injustifié. Au procès, RBCDVM a reconnu avoir congédié M. Manastersky sans motif. Toutefois, le délai de préavis approprié, ce à quoi M. Manastersky avait droit et la question de savoir s’il avait limité le préjudice étaient des questions en litige au procès. Le juge du procès a conclu que le délai de préavis raisonnable pour le congédiement était de dix</w:t>
            </w:r>
            <w:r w:rsidRPr="00357596">
              <w:rPr>
                <w:sz w:val="20"/>
                <w:lang w:val="fr-CA"/>
              </w:rPr>
              <w:noBreakHyphen/>
              <w:t>huit mois. Le juge du procès a en outre conclu que M. Manastersky avait droit à des dommages</w:t>
            </w:r>
            <w:r w:rsidRPr="00357596">
              <w:rPr>
                <w:sz w:val="20"/>
                <w:lang w:val="fr-CA"/>
              </w:rPr>
              <w:noBreakHyphen/>
              <w:t>intérêts pour l’occasion manquée de réaliser des bénéfices en application du RIP. Les juges majoritaires ont accueilli l’appel, annulant le jugement accordant des dommages</w:t>
            </w:r>
            <w:r w:rsidRPr="00357596">
              <w:rPr>
                <w:sz w:val="20"/>
                <w:lang w:val="fr-CA"/>
              </w:rPr>
              <w:noBreakHyphen/>
              <w:t>intérêts à M. Manastersky.</w:t>
            </w:r>
          </w:p>
        </w:tc>
      </w:tr>
      <w:tr w:rsidR="00160284" w:rsidRPr="00357596" w:rsidTr="0097273B">
        <w:tc>
          <w:tcPr>
            <w:tcW w:w="5000" w:type="pct"/>
            <w:gridSpan w:val="4"/>
          </w:tcPr>
          <w:p w:rsidR="00160284" w:rsidRPr="00357596" w:rsidRDefault="00160284" w:rsidP="00160284">
            <w:pPr>
              <w:jc w:val="both"/>
              <w:rPr>
                <w:sz w:val="20"/>
                <w:lang w:val="fr-CA"/>
              </w:rPr>
            </w:pPr>
          </w:p>
        </w:tc>
      </w:tr>
      <w:tr w:rsidR="00160284" w:rsidRPr="00357596" w:rsidTr="0097273B">
        <w:tc>
          <w:tcPr>
            <w:tcW w:w="2427" w:type="pct"/>
            <w:gridSpan w:val="2"/>
          </w:tcPr>
          <w:p w:rsidR="00160284" w:rsidRPr="00357596" w:rsidRDefault="00160284" w:rsidP="00160284">
            <w:pPr>
              <w:jc w:val="both"/>
              <w:rPr>
                <w:sz w:val="20"/>
                <w:lang w:val="fr-CA"/>
              </w:rPr>
            </w:pPr>
            <w:r w:rsidRPr="00357596">
              <w:rPr>
                <w:sz w:val="20"/>
                <w:lang w:val="fr-CA"/>
              </w:rPr>
              <w:t>14 février 2018</w:t>
            </w:r>
          </w:p>
          <w:p w:rsidR="00160284" w:rsidRPr="00357596" w:rsidRDefault="00160284" w:rsidP="00160284">
            <w:pPr>
              <w:jc w:val="both"/>
              <w:rPr>
                <w:sz w:val="20"/>
                <w:lang w:val="fr-CA"/>
              </w:rPr>
            </w:pPr>
            <w:r w:rsidRPr="00357596">
              <w:rPr>
                <w:sz w:val="20"/>
                <w:lang w:val="fr-CA"/>
              </w:rPr>
              <w:t>Cour supérieure de justice de l’Ontario</w:t>
            </w:r>
          </w:p>
          <w:p w:rsidR="00160284" w:rsidRPr="00357596" w:rsidRDefault="00160284" w:rsidP="00160284">
            <w:pPr>
              <w:jc w:val="both"/>
              <w:rPr>
                <w:sz w:val="20"/>
                <w:lang w:val="fr-CA"/>
              </w:rPr>
            </w:pPr>
            <w:r w:rsidRPr="00357596">
              <w:rPr>
                <w:sz w:val="20"/>
                <w:lang w:val="fr-CA"/>
              </w:rPr>
              <w:t>(Juge Monahan)</w:t>
            </w:r>
          </w:p>
          <w:p w:rsidR="00160284" w:rsidRPr="00357596" w:rsidRDefault="00160284" w:rsidP="00160284">
            <w:pPr>
              <w:jc w:val="both"/>
              <w:rPr>
                <w:sz w:val="20"/>
                <w:lang w:val="fr-CA"/>
              </w:rPr>
            </w:pPr>
            <w:hyperlink r:id="rId59" w:history="1">
              <w:r w:rsidRPr="00357596">
                <w:rPr>
                  <w:rStyle w:val="Hyperlink"/>
                  <w:sz w:val="20"/>
                  <w:lang w:val="fr-CA"/>
                </w:rPr>
                <w:t>2018 ONSC 966</w:t>
              </w:r>
            </w:hyperlink>
          </w:p>
          <w:p w:rsidR="00160284" w:rsidRPr="00357596" w:rsidRDefault="00160284" w:rsidP="00160284">
            <w:pPr>
              <w:jc w:val="both"/>
              <w:rPr>
                <w:sz w:val="20"/>
                <w:lang w:val="fr-CA"/>
              </w:rPr>
            </w:pPr>
          </w:p>
        </w:tc>
        <w:tc>
          <w:tcPr>
            <w:tcW w:w="243" w:type="pct"/>
          </w:tcPr>
          <w:p w:rsidR="00160284" w:rsidRPr="00357596" w:rsidRDefault="00160284" w:rsidP="00160284">
            <w:pPr>
              <w:jc w:val="both"/>
              <w:rPr>
                <w:sz w:val="20"/>
                <w:lang w:val="fr-CA"/>
              </w:rPr>
            </w:pPr>
          </w:p>
        </w:tc>
        <w:tc>
          <w:tcPr>
            <w:tcW w:w="2330" w:type="pct"/>
          </w:tcPr>
          <w:p w:rsidR="00160284" w:rsidRPr="00357596" w:rsidRDefault="00160284" w:rsidP="00160284">
            <w:pPr>
              <w:jc w:val="both"/>
              <w:rPr>
                <w:sz w:val="20"/>
                <w:lang w:val="fr-CA"/>
              </w:rPr>
            </w:pPr>
            <w:r w:rsidRPr="00357596">
              <w:rPr>
                <w:sz w:val="20"/>
                <w:lang w:val="fr-CA"/>
              </w:rPr>
              <w:t>Jugement accordant au demandeur des dommages</w:t>
            </w:r>
            <w:r w:rsidRPr="00357596">
              <w:rPr>
                <w:sz w:val="20"/>
                <w:lang w:val="fr-CA"/>
              </w:rPr>
              <w:noBreakHyphen/>
              <w:t>intérêts pour congédiement établis en fonction d’un préavis de dix</w:t>
            </w:r>
            <w:r w:rsidRPr="00357596">
              <w:rPr>
                <w:sz w:val="20"/>
                <w:lang w:val="fr-CA"/>
              </w:rPr>
              <w:noBreakHyphen/>
              <w:t>huit mois et des dommages</w:t>
            </w:r>
            <w:r w:rsidRPr="00357596">
              <w:rPr>
                <w:sz w:val="20"/>
                <w:lang w:val="fr-CA"/>
              </w:rPr>
              <w:noBreakHyphen/>
              <w:t>intérêts pour occasion manquée de réaliser des bénéfices pendant dix</w:t>
            </w:r>
            <w:r w:rsidRPr="00357596">
              <w:rPr>
                <w:sz w:val="20"/>
                <w:lang w:val="fr-CA"/>
              </w:rPr>
              <w:noBreakHyphen/>
              <w:t>huit mois.</w:t>
            </w:r>
          </w:p>
          <w:p w:rsidR="00160284" w:rsidRPr="00357596" w:rsidRDefault="00160284" w:rsidP="00160284">
            <w:pPr>
              <w:jc w:val="both"/>
              <w:rPr>
                <w:sz w:val="20"/>
                <w:lang w:val="fr-CA"/>
              </w:rPr>
            </w:pPr>
          </w:p>
        </w:tc>
      </w:tr>
      <w:tr w:rsidR="00160284" w:rsidRPr="00357596" w:rsidTr="0097273B">
        <w:tc>
          <w:tcPr>
            <w:tcW w:w="2427" w:type="pct"/>
            <w:gridSpan w:val="2"/>
          </w:tcPr>
          <w:p w:rsidR="00160284" w:rsidRPr="00357596" w:rsidRDefault="00160284" w:rsidP="00160284">
            <w:pPr>
              <w:jc w:val="both"/>
              <w:rPr>
                <w:sz w:val="20"/>
                <w:lang w:val="fr-CA"/>
              </w:rPr>
            </w:pPr>
            <w:r w:rsidRPr="00357596">
              <w:rPr>
                <w:sz w:val="20"/>
                <w:lang w:val="fr-CA"/>
              </w:rPr>
              <w:t>18 juillet 2019</w:t>
            </w:r>
          </w:p>
          <w:p w:rsidR="00160284" w:rsidRPr="00357596" w:rsidRDefault="00160284" w:rsidP="00160284">
            <w:pPr>
              <w:jc w:val="both"/>
              <w:rPr>
                <w:sz w:val="20"/>
                <w:lang w:val="fr-CA"/>
              </w:rPr>
            </w:pPr>
            <w:r w:rsidRPr="00357596">
              <w:rPr>
                <w:sz w:val="20"/>
                <w:lang w:val="fr-CA"/>
              </w:rPr>
              <w:t>Cour d’appel de l’Ontario</w:t>
            </w:r>
          </w:p>
          <w:p w:rsidR="00160284" w:rsidRPr="00357596" w:rsidRDefault="00160284" w:rsidP="00160284">
            <w:pPr>
              <w:jc w:val="both"/>
              <w:rPr>
                <w:sz w:val="20"/>
                <w:lang w:val="fr-CA"/>
              </w:rPr>
            </w:pPr>
            <w:r w:rsidRPr="00357596">
              <w:rPr>
                <w:sz w:val="20"/>
                <w:lang w:val="fr-CA"/>
              </w:rPr>
              <w:t>(Juges Brown, Miller et Feldman (dissidente))</w:t>
            </w:r>
          </w:p>
          <w:p w:rsidR="00160284" w:rsidRPr="00357596" w:rsidRDefault="00160284" w:rsidP="00160284">
            <w:pPr>
              <w:jc w:val="both"/>
              <w:rPr>
                <w:sz w:val="20"/>
                <w:lang w:val="fr-CA"/>
              </w:rPr>
            </w:pPr>
            <w:hyperlink r:id="rId60" w:history="1">
              <w:r w:rsidRPr="00357596">
                <w:rPr>
                  <w:rStyle w:val="Hyperlink"/>
                  <w:sz w:val="20"/>
                  <w:lang w:val="fr-CA"/>
                </w:rPr>
                <w:t>2019 ONCA 609</w:t>
              </w:r>
            </w:hyperlink>
          </w:p>
          <w:p w:rsidR="00160284" w:rsidRPr="00357596" w:rsidRDefault="00160284" w:rsidP="00160284">
            <w:pPr>
              <w:jc w:val="both"/>
              <w:rPr>
                <w:sz w:val="20"/>
                <w:lang w:val="fr-CA"/>
              </w:rPr>
            </w:pPr>
          </w:p>
        </w:tc>
        <w:tc>
          <w:tcPr>
            <w:tcW w:w="243" w:type="pct"/>
          </w:tcPr>
          <w:p w:rsidR="00160284" w:rsidRPr="00357596" w:rsidRDefault="00160284" w:rsidP="00160284">
            <w:pPr>
              <w:jc w:val="both"/>
              <w:rPr>
                <w:sz w:val="20"/>
                <w:lang w:val="fr-CA"/>
              </w:rPr>
            </w:pPr>
          </w:p>
        </w:tc>
        <w:tc>
          <w:tcPr>
            <w:tcW w:w="2330" w:type="pct"/>
          </w:tcPr>
          <w:p w:rsidR="00160284" w:rsidRPr="00357596" w:rsidRDefault="00160284" w:rsidP="00160284">
            <w:pPr>
              <w:jc w:val="both"/>
              <w:rPr>
                <w:sz w:val="20"/>
                <w:lang w:val="fr-CA"/>
              </w:rPr>
            </w:pPr>
            <w:r w:rsidRPr="00357596">
              <w:rPr>
                <w:sz w:val="20"/>
                <w:lang w:val="fr-CA"/>
              </w:rPr>
              <w:t>Arrêt accueillant l’appel en partie, annulant les dommages</w:t>
            </w:r>
            <w:r w:rsidRPr="00357596">
              <w:rPr>
                <w:sz w:val="20"/>
                <w:lang w:val="fr-CA"/>
              </w:rPr>
              <w:noBreakHyphen/>
              <w:t>intérêts pour occasion manquée de réaliser des bénéfices.</w:t>
            </w:r>
          </w:p>
          <w:p w:rsidR="00160284" w:rsidRPr="00357596" w:rsidRDefault="00160284" w:rsidP="00160284">
            <w:pPr>
              <w:jc w:val="both"/>
              <w:rPr>
                <w:sz w:val="20"/>
                <w:lang w:val="fr-CA"/>
              </w:rPr>
            </w:pPr>
          </w:p>
        </w:tc>
      </w:tr>
      <w:tr w:rsidR="00160284" w:rsidRPr="00357596" w:rsidTr="0097273B">
        <w:tc>
          <w:tcPr>
            <w:tcW w:w="2427" w:type="pct"/>
            <w:gridSpan w:val="2"/>
          </w:tcPr>
          <w:p w:rsidR="00160284" w:rsidRPr="00357596" w:rsidRDefault="00160284" w:rsidP="00160284">
            <w:pPr>
              <w:jc w:val="both"/>
              <w:rPr>
                <w:sz w:val="20"/>
                <w:lang w:val="fr-CA"/>
              </w:rPr>
            </w:pPr>
            <w:r w:rsidRPr="00357596">
              <w:rPr>
                <w:sz w:val="20"/>
                <w:lang w:val="fr-CA"/>
              </w:rPr>
              <w:t>30 août 2019</w:t>
            </w:r>
          </w:p>
          <w:p w:rsidR="00160284" w:rsidRPr="00357596" w:rsidRDefault="00160284" w:rsidP="00357596">
            <w:pPr>
              <w:jc w:val="both"/>
              <w:rPr>
                <w:sz w:val="20"/>
                <w:lang w:val="fr-CA"/>
              </w:rPr>
            </w:pPr>
            <w:r w:rsidRPr="00357596">
              <w:rPr>
                <w:sz w:val="20"/>
                <w:lang w:val="fr-CA"/>
              </w:rPr>
              <w:t>Cour suprême du Canada</w:t>
            </w:r>
          </w:p>
        </w:tc>
        <w:tc>
          <w:tcPr>
            <w:tcW w:w="243" w:type="pct"/>
          </w:tcPr>
          <w:p w:rsidR="00160284" w:rsidRPr="00357596" w:rsidRDefault="00160284" w:rsidP="00160284">
            <w:pPr>
              <w:jc w:val="both"/>
              <w:rPr>
                <w:sz w:val="20"/>
                <w:lang w:val="fr-CA"/>
              </w:rPr>
            </w:pPr>
          </w:p>
        </w:tc>
        <w:tc>
          <w:tcPr>
            <w:tcW w:w="2330" w:type="pct"/>
          </w:tcPr>
          <w:p w:rsidR="00160284" w:rsidRPr="00357596" w:rsidRDefault="00160284" w:rsidP="00160284">
            <w:pPr>
              <w:jc w:val="both"/>
              <w:rPr>
                <w:sz w:val="20"/>
                <w:lang w:val="fr-CA"/>
              </w:rPr>
            </w:pPr>
            <w:r w:rsidRPr="00357596">
              <w:rPr>
                <w:sz w:val="20"/>
                <w:lang w:val="fr-CA"/>
              </w:rPr>
              <w:t>Dépôt de la demande d’autorisation d’appel</w:t>
            </w:r>
          </w:p>
          <w:p w:rsidR="00160284" w:rsidRPr="00357596" w:rsidRDefault="00160284" w:rsidP="00160284">
            <w:pPr>
              <w:jc w:val="both"/>
              <w:rPr>
                <w:sz w:val="20"/>
                <w:lang w:val="fr-CA"/>
              </w:rPr>
            </w:pPr>
          </w:p>
        </w:tc>
      </w:tr>
    </w:tbl>
    <w:p w:rsidR="00160284" w:rsidRPr="00357596" w:rsidRDefault="00160284" w:rsidP="00160284">
      <w:pPr>
        <w:jc w:val="both"/>
        <w:rPr>
          <w:sz w:val="20"/>
          <w:lang w:val="fr-CA"/>
        </w:rPr>
      </w:pPr>
    </w:p>
    <w:p w:rsidR="00357596" w:rsidRPr="00357596" w:rsidRDefault="00357596" w:rsidP="00160284">
      <w:pPr>
        <w:jc w:val="both"/>
        <w:rPr>
          <w:sz w:val="20"/>
          <w:lang w:val="fr-CA"/>
        </w:rPr>
      </w:pPr>
      <w:r w:rsidRPr="00357596">
        <w:rPr>
          <w:sz w:val="20"/>
        </w:rPr>
        <w:pict>
          <v:rect id="_x0000_i1046" style="width:2in;height:1pt" o:hrpct="0" o:hralign="center" o:hrstd="t" o:hrnoshade="t" o:hr="t" fillcolor="black [3213]" stroked="f"/>
        </w:pict>
      </w:r>
    </w:p>
    <w:p w:rsidR="00F81F18" w:rsidRPr="00357596" w:rsidRDefault="00F81F18"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60284" w:rsidRPr="00357596" w:rsidTr="00E95A6A">
        <w:tc>
          <w:tcPr>
            <w:tcW w:w="543" w:type="pct"/>
          </w:tcPr>
          <w:p w:rsidR="00160284" w:rsidRPr="00357596" w:rsidRDefault="00160284" w:rsidP="00160284">
            <w:pPr>
              <w:jc w:val="both"/>
              <w:rPr>
                <w:sz w:val="20"/>
              </w:rPr>
            </w:pPr>
            <w:r w:rsidRPr="00357596">
              <w:rPr>
                <w:rStyle w:val="SCCFileNumberChar"/>
                <w:sz w:val="20"/>
                <w:szCs w:val="20"/>
              </w:rPr>
              <w:t>39207</w:t>
            </w:r>
          </w:p>
        </w:tc>
        <w:tc>
          <w:tcPr>
            <w:tcW w:w="4457" w:type="pct"/>
            <w:gridSpan w:val="3"/>
          </w:tcPr>
          <w:p w:rsidR="00160284" w:rsidRPr="00357596" w:rsidRDefault="00160284" w:rsidP="00160284">
            <w:pPr>
              <w:pStyle w:val="SCCLsocParty"/>
              <w:jc w:val="both"/>
              <w:rPr>
                <w:b/>
                <w:sz w:val="20"/>
                <w:szCs w:val="20"/>
                <w:lang w:val="en-US"/>
              </w:rPr>
            </w:pPr>
            <w:r w:rsidRPr="00357596">
              <w:rPr>
                <w:b/>
                <w:sz w:val="20"/>
                <w:szCs w:val="20"/>
                <w:lang w:val="en-US"/>
              </w:rPr>
              <w:t>Charles Murray Wilson v. Daniel Peter Staples, in his capacity as the Executor of the Estate of Nellie Elizabeth Adams, Deceased, and The Salvation Army</w:t>
            </w:r>
          </w:p>
          <w:p w:rsidR="00160284" w:rsidRPr="00357596" w:rsidRDefault="00160284" w:rsidP="00160284">
            <w:pPr>
              <w:jc w:val="both"/>
              <w:rPr>
                <w:sz w:val="20"/>
              </w:rPr>
            </w:pPr>
            <w:r w:rsidRPr="00357596">
              <w:rPr>
                <w:sz w:val="20"/>
              </w:rPr>
              <w:t>(Sask.) (Civil) (By Leave)</w:t>
            </w:r>
          </w:p>
        </w:tc>
      </w:tr>
      <w:tr w:rsidR="00160284" w:rsidRPr="00357596" w:rsidTr="00E95A6A">
        <w:tc>
          <w:tcPr>
            <w:tcW w:w="5000" w:type="pct"/>
            <w:gridSpan w:val="4"/>
          </w:tcPr>
          <w:p w:rsidR="00160284" w:rsidRPr="00357596" w:rsidRDefault="00160284" w:rsidP="00160284">
            <w:pPr>
              <w:jc w:val="both"/>
              <w:rPr>
                <w:sz w:val="20"/>
              </w:rPr>
            </w:pPr>
            <w:r w:rsidRPr="00357596">
              <w:rPr>
                <w:sz w:val="20"/>
              </w:rPr>
              <w:t>Wills and estates — Wills — Proof of will in solemn form — Standing — Whether an applicant must gain legally or financially if the will is declared invalid in order to have standing to seek proof of a will in solemn form — If so, whether this Court should create a more flexible test for standing in this context — Whether the court has an overriding duty to order a trial if there are serious issues to be tried when it exercises its probate jurisdiction in an application seeking proof of a will in solemn form.</w:t>
            </w:r>
          </w:p>
        </w:tc>
      </w:tr>
      <w:tr w:rsidR="00160284" w:rsidRPr="00357596" w:rsidTr="00E95A6A">
        <w:tc>
          <w:tcPr>
            <w:tcW w:w="5000" w:type="pct"/>
            <w:gridSpan w:val="4"/>
          </w:tcPr>
          <w:p w:rsidR="00160284" w:rsidRPr="00357596" w:rsidRDefault="00160284" w:rsidP="00160284">
            <w:pPr>
              <w:jc w:val="both"/>
              <w:rPr>
                <w:sz w:val="20"/>
              </w:rPr>
            </w:pPr>
          </w:p>
        </w:tc>
      </w:tr>
      <w:tr w:rsidR="00160284" w:rsidRPr="00357596" w:rsidTr="00E95A6A">
        <w:tc>
          <w:tcPr>
            <w:tcW w:w="5000" w:type="pct"/>
            <w:gridSpan w:val="4"/>
          </w:tcPr>
          <w:p w:rsidR="00160284" w:rsidRPr="00357596" w:rsidRDefault="00160284" w:rsidP="00160284">
            <w:pPr>
              <w:jc w:val="both"/>
              <w:rPr>
                <w:sz w:val="20"/>
              </w:rPr>
            </w:pPr>
            <w:r w:rsidRPr="00357596">
              <w:rPr>
                <w:sz w:val="20"/>
              </w:rPr>
              <w:t xml:space="preserve">Ms. Adams, 93, died in 2016. She had never married, had no children, and it was not clear whether she had living relatives. She ran a substantial cattle ranching operation and, at the time of her death, owned a significant amount of property in her name or in the name of her corporation, Adams Acres Ltd. From 1975 until her death, Mr. Wilson worked for her. He alleged that they had agreed that she would pay him $1,000 monthly to help cover expenses such </w:t>
            </w:r>
            <w:r w:rsidRPr="00357596">
              <w:rPr>
                <w:sz w:val="20"/>
              </w:rPr>
              <w:lastRenderedPageBreak/>
              <w:t>as gas and the use of his truck and tools, and he would inherit her ranching operation, land, cattle and equipment when she died. He alleged that she had told him that their agreement had been committed to writing, but no such document was found. Her will, dated 2011, appointed Mr. Staples as her executor and stated that she wanted much of her estate distributed to charitable causes, including the Salvation Army. It gave Mr. Staples wide discretion to distribute part of her estate to persons who had been “trustworthy and loyal and helpful” to her in her lifetime. It also said that he knew who was and who was not to get a share of the estate. Mr. Wilson was not a named beneficiary of the estate. Shortly after letters probate were granted, Mr. Wilson filed a Statement of Claim against Mr. Staples, personally and as executor, and Adams Acres Ltd. to enforce his alleged agreement with Ms. Adams. Alternately, he claimed that the assets of the ranching operation were subject to a constructive trust in his favour. He filed certificates of pending litigation against her land. Mr. Staples sought an order vacating some of the certificates of pending litigation and permitting him to deal with estate assets. Mr. Wilson then applied to have the will declared invalid and the grant of letters probate revoked. In the alternative, he sought to have the will proved in solemn form with respect to whether Ms. Adams had the capacity to make the will. The chambers judge found that Mr. Wilson had standing as someone who might be considered “trustworthy and loyal and helpful” to Ms. Adams during her lifetime, and that the evidence required a trial. Both Mr. Staples and the Salvation Army appealed. The Court of Appeal held that, to establish standing, a person must establish a legal or financial interest. As Mr. Wilson had the same possibility of receiving a gift under clause 4(d) as if it was proved in solemn or in common form, he had no such interest. The appeals were allowed and Mr. Wilson’s cross</w:t>
            </w:r>
            <w:r w:rsidRPr="00357596">
              <w:rPr>
                <w:sz w:val="20"/>
              </w:rPr>
              <w:noBreakHyphen/>
              <w:t>appeal was dismissed. The preservation order was set aside as the executorship was no longer challenged.</w:t>
            </w:r>
          </w:p>
          <w:p w:rsidR="00160284" w:rsidRPr="00357596" w:rsidRDefault="00160284" w:rsidP="00160284">
            <w:pPr>
              <w:jc w:val="both"/>
              <w:rPr>
                <w:sz w:val="20"/>
              </w:rPr>
            </w:pPr>
          </w:p>
        </w:tc>
      </w:tr>
      <w:tr w:rsidR="00160284" w:rsidRPr="00357596" w:rsidTr="00E95A6A">
        <w:tc>
          <w:tcPr>
            <w:tcW w:w="2427" w:type="pct"/>
            <w:gridSpan w:val="2"/>
          </w:tcPr>
          <w:p w:rsidR="00160284" w:rsidRPr="00357596" w:rsidRDefault="00160284" w:rsidP="00160284">
            <w:pPr>
              <w:jc w:val="both"/>
              <w:rPr>
                <w:sz w:val="20"/>
              </w:rPr>
            </w:pPr>
            <w:r w:rsidRPr="00357596">
              <w:rPr>
                <w:sz w:val="20"/>
              </w:rPr>
              <w:lastRenderedPageBreak/>
              <w:t>September 12, 2018</w:t>
            </w:r>
          </w:p>
          <w:p w:rsidR="00160284" w:rsidRPr="00357596" w:rsidRDefault="00160284" w:rsidP="00160284">
            <w:pPr>
              <w:jc w:val="both"/>
              <w:rPr>
                <w:sz w:val="20"/>
              </w:rPr>
            </w:pPr>
            <w:r w:rsidRPr="00357596">
              <w:rPr>
                <w:sz w:val="20"/>
              </w:rPr>
              <w:t>Court of Queen’s Bench of Saskatchewan</w:t>
            </w:r>
          </w:p>
          <w:p w:rsidR="00160284" w:rsidRPr="00357596" w:rsidRDefault="00160284" w:rsidP="00160284">
            <w:pPr>
              <w:jc w:val="both"/>
              <w:rPr>
                <w:sz w:val="20"/>
              </w:rPr>
            </w:pPr>
            <w:r w:rsidRPr="00357596">
              <w:rPr>
                <w:sz w:val="20"/>
              </w:rPr>
              <w:t>(Kalmakoff J.)</w:t>
            </w:r>
          </w:p>
          <w:p w:rsidR="00160284" w:rsidRPr="00357596" w:rsidRDefault="00160284" w:rsidP="00160284">
            <w:pPr>
              <w:jc w:val="both"/>
              <w:rPr>
                <w:sz w:val="20"/>
              </w:rPr>
            </w:pPr>
            <w:hyperlink r:id="rId61" w:anchor="related" w:history="1">
              <w:r w:rsidRPr="00357596">
                <w:rPr>
                  <w:rStyle w:val="Hyperlink"/>
                  <w:sz w:val="20"/>
                </w:rPr>
                <w:t>2018 SKQB 245</w:t>
              </w:r>
            </w:hyperlink>
          </w:p>
          <w:p w:rsidR="00160284" w:rsidRPr="00357596" w:rsidRDefault="00160284" w:rsidP="00160284">
            <w:pPr>
              <w:jc w:val="both"/>
              <w:rPr>
                <w:sz w:val="20"/>
              </w:rPr>
            </w:pPr>
          </w:p>
        </w:tc>
        <w:tc>
          <w:tcPr>
            <w:tcW w:w="243" w:type="pct"/>
          </w:tcPr>
          <w:p w:rsidR="00160284" w:rsidRPr="00357596" w:rsidRDefault="00160284" w:rsidP="00160284">
            <w:pPr>
              <w:jc w:val="both"/>
              <w:rPr>
                <w:sz w:val="20"/>
              </w:rPr>
            </w:pPr>
          </w:p>
        </w:tc>
        <w:tc>
          <w:tcPr>
            <w:tcW w:w="2330" w:type="pct"/>
          </w:tcPr>
          <w:p w:rsidR="00160284" w:rsidRPr="00357596" w:rsidRDefault="00160284" w:rsidP="00160284">
            <w:pPr>
              <w:jc w:val="both"/>
              <w:rPr>
                <w:sz w:val="20"/>
              </w:rPr>
            </w:pPr>
            <w:r w:rsidRPr="00357596">
              <w:rPr>
                <w:sz w:val="20"/>
              </w:rPr>
              <w:t>Order that the will of Nellie Elizabeth Adams be proved in solemn form and that a trial be held for that purpose</w:t>
            </w:r>
          </w:p>
          <w:p w:rsidR="00160284" w:rsidRPr="00357596" w:rsidRDefault="00160284" w:rsidP="00160284">
            <w:pPr>
              <w:jc w:val="both"/>
              <w:rPr>
                <w:sz w:val="20"/>
              </w:rPr>
            </w:pPr>
          </w:p>
        </w:tc>
      </w:tr>
      <w:tr w:rsidR="00160284" w:rsidRPr="00357596" w:rsidTr="00E95A6A">
        <w:tc>
          <w:tcPr>
            <w:tcW w:w="2427" w:type="pct"/>
            <w:gridSpan w:val="2"/>
          </w:tcPr>
          <w:p w:rsidR="00160284" w:rsidRPr="00357596" w:rsidRDefault="00160284" w:rsidP="00160284">
            <w:pPr>
              <w:jc w:val="both"/>
              <w:rPr>
                <w:sz w:val="20"/>
              </w:rPr>
            </w:pPr>
            <w:r w:rsidRPr="00357596">
              <w:rPr>
                <w:sz w:val="20"/>
              </w:rPr>
              <w:t>March 31, 2020</w:t>
            </w:r>
          </w:p>
          <w:p w:rsidR="00160284" w:rsidRPr="00357596" w:rsidRDefault="00160284" w:rsidP="00160284">
            <w:pPr>
              <w:jc w:val="both"/>
              <w:rPr>
                <w:sz w:val="20"/>
              </w:rPr>
            </w:pPr>
            <w:r w:rsidRPr="00357596">
              <w:rPr>
                <w:sz w:val="20"/>
              </w:rPr>
              <w:t>Court of Appeal for Saskatchewan</w:t>
            </w:r>
          </w:p>
          <w:p w:rsidR="00160284" w:rsidRPr="00357596" w:rsidRDefault="00160284" w:rsidP="00160284">
            <w:pPr>
              <w:jc w:val="both"/>
              <w:rPr>
                <w:sz w:val="20"/>
              </w:rPr>
            </w:pPr>
            <w:r w:rsidRPr="00357596">
              <w:rPr>
                <w:sz w:val="20"/>
              </w:rPr>
              <w:t>(Ottenbreit, Schwann, Tholl JJ.A.)</w:t>
            </w:r>
          </w:p>
          <w:p w:rsidR="00160284" w:rsidRPr="00357596" w:rsidRDefault="00160284" w:rsidP="00160284">
            <w:pPr>
              <w:jc w:val="both"/>
              <w:rPr>
                <w:sz w:val="20"/>
              </w:rPr>
            </w:pPr>
            <w:hyperlink r:id="rId62" w:history="1">
              <w:r w:rsidRPr="00357596">
                <w:rPr>
                  <w:rStyle w:val="Hyperlink"/>
                  <w:sz w:val="20"/>
                </w:rPr>
                <w:t>2020 SKCA 38</w:t>
              </w:r>
            </w:hyperlink>
          </w:p>
          <w:p w:rsidR="00160284" w:rsidRPr="00357596" w:rsidRDefault="00160284" w:rsidP="00160284">
            <w:pPr>
              <w:jc w:val="both"/>
              <w:rPr>
                <w:sz w:val="20"/>
              </w:rPr>
            </w:pPr>
          </w:p>
        </w:tc>
        <w:tc>
          <w:tcPr>
            <w:tcW w:w="243" w:type="pct"/>
          </w:tcPr>
          <w:p w:rsidR="00160284" w:rsidRPr="00357596" w:rsidRDefault="00160284" w:rsidP="00160284">
            <w:pPr>
              <w:jc w:val="both"/>
              <w:rPr>
                <w:sz w:val="20"/>
              </w:rPr>
            </w:pPr>
          </w:p>
        </w:tc>
        <w:tc>
          <w:tcPr>
            <w:tcW w:w="2330" w:type="pct"/>
          </w:tcPr>
          <w:p w:rsidR="00160284" w:rsidRPr="00357596" w:rsidRDefault="00160284" w:rsidP="00160284">
            <w:pPr>
              <w:jc w:val="both"/>
              <w:rPr>
                <w:sz w:val="20"/>
              </w:rPr>
            </w:pPr>
            <w:r w:rsidRPr="00357596">
              <w:rPr>
                <w:sz w:val="20"/>
              </w:rPr>
              <w:t>Appeal of Daniel Staples, in his capacity as executor, and the Salvation Army granted; cross</w:t>
            </w:r>
            <w:r w:rsidRPr="00357596">
              <w:rPr>
                <w:sz w:val="20"/>
              </w:rPr>
              <w:noBreakHyphen/>
              <w:t>appeal of Charles Wilson dismissed</w:t>
            </w:r>
          </w:p>
          <w:p w:rsidR="00160284" w:rsidRPr="00357596" w:rsidRDefault="00160284" w:rsidP="00160284">
            <w:pPr>
              <w:jc w:val="both"/>
              <w:rPr>
                <w:sz w:val="20"/>
              </w:rPr>
            </w:pPr>
          </w:p>
        </w:tc>
      </w:tr>
      <w:tr w:rsidR="00160284" w:rsidRPr="00357596" w:rsidTr="00E95A6A">
        <w:tc>
          <w:tcPr>
            <w:tcW w:w="2427" w:type="pct"/>
            <w:gridSpan w:val="2"/>
          </w:tcPr>
          <w:p w:rsidR="00160284" w:rsidRPr="00357596" w:rsidRDefault="00160284" w:rsidP="00160284">
            <w:pPr>
              <w:jc w:val="both"/>
              <w:rPr>
                <w:sz w:val="20"/>
              </w:rPr>
            </w:pPr>
            <w:r w:rsidRPr="00357596">
              <w:rPr>
                <w:sz w:val="20"/>
              </w:rPr>
              <w:t>June 9, 2020</w:t>
            </w:r>
          </w:p>
          <w:p w:rsidR="00160284" w:rsidRPr="00357596" w:rsidRDefault="00160284" w:rsidP="00160284">
            <w:pPr>
              <w:jc w:val="both"/>
              <w:rPr>
                <w:sz w:val="20"/>
              </w:rPr>
            </w:pPr>
            <w:r w:rsidRPr="00357596">
              <w:rPr>
                <w:sz w:val="20"/>
              </w:rPr>
              <w:t>Supreme Court of Canada</w:t>
            </w:r>
          </w:p>
        </w:tc>
        <w:tc>
          <w:tcPr>
            <w:tcW w:w="243" w:type="pct"/>
          </w:tcPr>
          <w:p w:rsidR="00160284" w:rsidRPr="00357596" w:rsidRDefault="00160284" w:rsidP="00160284">
            <w:pPr>
              <w:jc w:val="both"/>
              <w:rPr>
                <w:sz w:val="20"/>
              </w:rPr>
            </w:pPr>
          </w:p>
        </w:tc>
        <w:tc>
          <w:tcPr>
            <w:tcW w:w="2330" w:type="pct"/>
          </w:tcPr>
          <w:p w:rsidR="00160284" w:rsidRPr="00357596" w:rsidRDefault="00160284" w:rsidP="00160284">
            <w:pPr>
              <w:jc w:val="both"/>
              <w:rPr>
                <w:sz w:val="20"/>
              </w:rPr>
            </w:pPr>
            <w:r w:rsidRPr="00357596">
              <w:rPr>
                <w:sz w:val="20"/>
              </w:rPr>
              <w:t>Motion to extend time and application for leave to appeal filed</w:t>
            </w:r>
          </w:p>
        </w:tc>
      </w:tr>
    </w:tbl>
    <w:p w:rsidR="00160284" w:rsidRPr="00357596" w:rsidRDefault="00160284" w:rsidP="00160284">
      <w:pPr>
        <w:jc w:val="both"/>
        <w:rPr>
          <w:sz w:val="20"/>
        </w:rPr>
      </w:pPr>
    </w:p>
    <w:p w:rsidR="00357596" w:rsidRPr="00357596" w:rsidRDefault="00357596" w:rsidP="00160284">
      <w:pPr>
        <w:jc w:val="both"/>
        <w:rPr>
          <w:sz w:val="20"/>
        </w:rPr>
      </w:pPr>
      <w:r w:rsidRPr="00357596">
        <w:rPr>
          <w:sz w:val="20"/>
        </w:rPr>
        <w:pict>
          <v:rect id="_x0000_i1047" style="width:2in;height:1pt" o:hrpct="0" o:hralign="center" o:hrstd="t" o:hrnoshade="t" o:hr="t" fillcolor="black [3213]" stroked="f"/>
        </w:pict>
      </w:r>
    </w:p>
    <w:p w:rsidR="00357596" w:rsidRPr="00357596" w:rsidRDefault="00357596" w:rsidP="0016028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60284" w:rsidRPr="00357596" w:rsidTr="00E95A6A">
        <w:tc>
          <w:tcPr>
            <w:tcW w:w="543" w:type="pct"/>
          </w:tcPr>
          <w:p w:rsidR="00160284" w:rsidRPr="00357596" w:rsidRDefault="00160284" w:rsidP="00160284">
            <w:pPr>
              <w:jc w:val="both"/>
              <w:rPr>
                <w:sz w:val="20"/>
                <w:lang w:val="fr-CA"/>
              </w:rPr>
            </w:pPr>
            <w:r w:rsidRPr="00357596">
              <w:rPr>
                <w:rStyle w:val="SCCFileNumberChar"/>
                <w:sz w:val="20"/>
                <w:szCs w:val="20"/>
                <w:lang w:val="fr-CA"/>
              </w:rPr>
              <w:t>39207</w:t>
            </w:r>
          </w:p>
        </w:tc>
        <w:tc>
          <w:tcPr>
            <w:tcW w:w="4457" w:type="pct"/>
            <w:gridSpan w:val="3"/>
          </w:tcPr>
          <w:p w:rsidR="00160284" w:rsidRPr="00357596" w:rsidRDefault="00160284" w:rsidP="00160284">
            <w:pPr>
              <w:pStyle w:val="SCCLsocParty"/>
              <w:jc w:val="both"/>
              <w:rPr>
                <w:b/>
                <w:sz w:val="20"/>
                <w:szCs w:val="20"/>
              </w:rPr>
            </w:pPr>
            <w:r w:rsidRPr="00357596">
              <w:rPr>
                <w:b/>
                <w:sz w:val="20"/>
                <w:szCs w:val="20"/>
              </w:rPr>
              <w:t xml:space="preserve">Charles Murray Wilson c. Daniel Peter Staples, en sa qualité d’exécuteur de la succession de </w:t>
            </w:r>
            <w:proofErr w:type="spellStart"/>
            <w:r w:rsidRPr="00357596">
              <w:rPr>
                <w:b/>
                <w:sz w:val="20"/>
                <w:szCs w:val="20"/>
              </w:rPr>
              <w:t>Nellie</w:t>
            </w:r>
            <w:proofErr w:type="spellEnd"/>
            <w:r w:rsidRPr="00357596">
              <w:rPr>
                <w:b/>
                <w:sz w:val="20"/>
                <w:szCs w:val="20"/>
              </w:rPr>
              <w:t xml:space="preserve"> Elizabeth Adams, décédée, et l’Armée du Salut</w:t>
            </w:r>
          </w:p>
          <w:p w:rsidR="00160284" w:rsidRPr="00357596" w:rsidRDefault="00160284" w:rsidP="00160284">
            <w:pPr>
              <w:jc w:val="both"/>
              <w:rPr>
                <w:sz w:val="20"/>
                <w:lang w:val="fr-CA"/>
              </w:rPr>
            </w:pPr>
            <w:r w:rsidRPr="00357596">
              <w:rPr>
                <w:sz w:val="20"/>
                <w:lang w:val="fr-CA"/>
              </w:rPr>
              <w:t>(Sask.) (Civile) (Sur autorisation)</w:t>
            </w:r>
          </w:p>
        </w:tc>
      </w:tr>
      <w:tr w:rsidR="00160284" w:rsidRPr="00357596" w:rsidTr="00E95A6A">
        <w:tc>
          <w:tcPr>
            <w:tcW w:w="5000" w:type="pct"/>
            <w:gridSpan w:val="4"/>
          </w:tcPr>
          <w:p w:rsidR="00160284" w:rsidRPr="00357596" w:rsidRDefault="00160284" w:rsidP="00160284">
            <w:pPr>
              <w:jc w:val="both"/>
              <w:rPr>
                <w:sz w:val="20"/>
                <w:lang w:val="fr-CA"/>
              </w:rPr>
            </w:pPr>
            <w:r w:rsidRPr="00357596">
              <w:rPr>
                <w:sz w:val="20"/>
                <w:lang w:val="fr-CA"/>
              </w:rPr>
              <w:t>Successions — Testaments — Preuve de testament en forme solennelle — Qualité pour agir — Un demandeur doit-il tirer un avantage juridique ou financier par suite de la déclaration d’invalidité d’un testament pour pouvoir obtenir qualité pour agir afin de demander qu’un testament soit établi en la forme solennelle ? — Dans l’affirmative, la Cour devrait</w:t>
            </w:r>
            <w:r w:rsidRPr="00357596">
              <w:rPr>
                <w:sz w:val="20"/>
                <w:lang w:val="fr-CA"/>
              </w:rPr>
              <w:noBreakHyphen/>
              <w:t>elle établir un critère plus souple pour statuer sur la qualité pour agir dans un tel contexte ? — Le tribunal a</w:t>
            </w:r>
            <w:r w:rsidRPr="00357596">
              <w:rPr>
                <w:sz w:val="20"/>
                <w:lang w:val="fr-CA"/>
              </w:rPr>
              <w:noBreakHyphen/>
              <w:t>t</w:t>
            </w:r>
            <w:r w:rsidRPr="00357596">
              <w:rPr>
                <w:sz w:val="20"/>
                <w:lang w:val="fr-CA"/>
              </w:rPr>
              <w:noBreakHyphen/>
              <w:t>il une obligation primordiale d’ordonner la tenue d’un procès s’il y a des questions sérieuses à trancher lorsqu’il exerce sa compétence en matière d’homologation dans le cadre d’une demande cherchant à établir la preuve en la forme solennelle d’un testament ?</w:t>
            </w:r>
          </w:p>
        </w:tc>
      </w:tr>
      <w:tr w:rsidR="00160284" w:rsidRPr="00357596" w:rsidTr="00E95A6A">
        <w:tc>
          <w:tcPr>
            <w:tcW w:w="5000" w:type="pct"/>
            <w:gridSpan w:val="4"/>
          </w:tcPr>
          <w:p w:rsidR="00160284" w:rsidRPr="00357596" w:rsidRDefault="00160284" w:rsidP="00160284">
            <w:pPr>
              <w:jc w:val="both"/>
              <w:rPr>
                <w:sz w:val="20"/>
                <w:lang w:val="fr-CA"/>
              </w:rPr>
            </w:pPr>
          </w:p>
        </w:tc>
      </w:tr>
      <w:tr w:rsidR="00160284" w:rsidRPr="00357596" w:rsidTr="00E95A6A">
        <w:tc>
          <w:tcPr>
            <w:tcW w:w="5000" w:type="pct"/>
            <w:gridSpan w:val="4"/>
          </w:tcPr>
          <w:p w:rsidR="00160284" w:rsidRPr="00357596" w:rsidRDefault="00160284" w:rsidP="00160284">
            <w:pPr>
              <w:jc w:val="both"/>
              <w:rPr>
                <w:sz w:val="20"/>
                <w:lang w:val="fr-CA"/>
              </w:rPr>
            </w:pPr>
            <w:r w:rsidRPr="00357596">
              <w:rPr>
                <w:sz w:val="20"/>
                <w:lang w:val="fr-CA"/>
              </w:rPr>
              <w:t xml:space="preserve">Mme Adams est décédée en 2016 à l’âge de 93 ans. Elle ne s’était jamais mariée et n’avait pas d’enfants, et il n’était pas clair si elle avait des parents toujours vivants. Elle exploitait une importante entreprise d’élevage de bovins et, au moment de son décès, elle possédait un grand nombre de parcelles de terrain en son nom et au nom de son entreprise, Adams Acres Ltd. À compter de 1975 et jusqu’à son décès, M. Wilson a travaillé pour le compte de Mme Adams. Il soutenait qu’ils s’étaient entendus pour qu’elle lui paie 1 000 $ par mois pour aider à débourser des dépenses telles que l’essence et l’utilisation de sa voiture et ses outils, et qu’il hériterait de son entreprise d’élevage de bovins, son terrain, ses bovins et son équipement à son décès. Il prétend qu’elle lui avait dit que leur entente avait été couchée par écrit, mais aucun document de la sorte n’a été trouvé. Son testament, en date de 2011, nommait M. Staples à titre d’exécuteur et énonçait qu’elle voulait que sa succession soit distribuée, en grande partie, à des œuvres de bienfaisance, notamment l’Armée du Salut. Il accordait une large discrétion à M. Staples quant à la </w:t>
            </w:r>
            <w:r w:rsidRPr="00357596">
              <w:rPr>
                <w:sz w:val="20"/>
                <w:lang w:val="fr-CA"/>
              </w:rPr>
              <w:lastRenderedPageBreak/>
              <w:t xml:space="preserve">distribution d’une partie de sa succession à des personnes qui avaient été </w:t>
            </w:r>
            <w:r w:rsidRPr="00357596">
              <w:rPr>
                <w:smallCaps/>
                <w:sz w:val="20"/>
                <w:lang w:val="fr-CA"/>
              </w:rPr>
              <w:t>[traduction</w:t>
            </w:r>
            <w:r w:rsidRPr="00357596">
              <w:rPr>
                <w:sz w:val="20"/>
                <w:lang w:val="fr-CA"/>
              </w:rPr>
              <w:t xml:space="preserve">] « dignes de confiance, loyales et serviables » à son égard, de son vivant. Le testament affirmait aussi qu’il savait qui aurait droit à une partie de sa succession et qui n’y aurait pas droit. M. Wilson n’était pas nommé comme bénéficiaire désigné de la succession. Peu de temps après que les lettres d’homologation ont été délivrées, M. Wilson a déposé une demande introductive d’instance contre M. Staples, en sa qualité personnelle et à titre d’exécuteur, et Adams Acres Ltd. afin de faire exécuter l’entente alléguée entre lui et Mme Adams. À titre subsidiaire, il a fait valoir que les biens liés à l’entreprise d’élevage faisaient l’objet d’une fiducie par interprétation en sa faveur. </w:t>
            </w:r>
            <w:r w:rsidRPr="00357596">
              <w:rPr>
                <w:spacing w:val="-3"/>
                <w:sz w:val="20"/>
                <w:lang w:val="fr-CA"/>
              </w:rPr>
              <w:t>Il a déposé des certificats d’affaire en instance à l’égard du terrain</w:t>
            </w:r>
            <w:r w:rsidRPr="00357596">
              <w:rPr>
                <w:sz w:val="20"/>
                <w:lang w:val="fr-CA"/>
              </w:rPr>
              <w:t xml:space="preserve">. M. Staples a demandé une ordonnance annulant certains des certificats </w:t>
            </w:r>
            <w:r w:rsidRPr="00357596">
              <w:rPr>
                <w:spacing w:val="-3"/>
                <w:sz w:val="20"/>
                <w:lang w:val="fr-CA"/>
              </w:rPr>
              <w:t>d’affaire en instance et lui permettant de gérer les biens de la succession</w:t>
            </w:r>
            <w:r w:rsidRPr="00357596">
              <w:rPr>
                <w:sz w:val="20"/>
                <w:lang w:val="fr-CA"/>
              </w:rPr>
              <w:t>. M. Wilson a ensuite demandé que le testament soit déclaré invalide et que la délivrance des lettres d’homologation soit annulée. À titre subsidiaire, il a demandé que le testament soit établi en la forme solennelle pour déterminer si Mme Adams avait la capacité de disposer par testament. Le juge en cabinet a conclu que M. Wilson avait qualité pour agir à titre de personne qui pourrait être considérée comme étant « digne de confiance, loyale et serviable » à l’égard de Mme Adams de son vivant, et que, d’après la preuve, il fallait ordonner la tenue d’un procès. M. Staples et l’Armée du Salut ont tous les deux porté la décision en appel. La Cour d’appel a statué que pour obtenir qualité pour agir, une personne doit établir qu’elle a un intérêt juridique ou financier. Comme M. Wilson avait la même possibilité de recevoir un don aux termes de la clause 4(d) qu’il aurait si le testament était établi en sa forme solennelle ou forme courante, il n’avait pas de tel intérêt. Les appels ont été accueillis et l’appel incident de M. Wilson a été rejeté. L’ordonnance de conservation a été annulée puisque le mandat d’exécuteur testamentaire n’était plus contesté.</w:t>
            </w:r>
          </w:p>
          <w:p w:rsidR="00160284" w:rsidRPr="00357596" w:rsidRDefault="00160284" w:rsidP="00160284">
            <w:pPr>
              <w:jc w:val="both"/>
              <w:rPr>
                <w:sz w:val="20"/>
                <w:lang w:val="fr-CA"/>
              </w:rPr>
            </w:pPr>
          </w:p>
        </w:tc>
      </w:tr>
      <w:tr w:rsidR="00160284" w:rsidRPr="00357596" w:rsidTr="00E95A6A">
        <w:tc>
          <w:tcPr>
            <w:tcW w:w="2427" w:type="pct"/>
            <w:gridSpan w:val="2"/>
          </w:tcPr>
          <w:p w:rsidR="00160284" w:rsidRPr="00357596" w:rsidRDefault="00160284" w:rsidP="00160284">
            <w:pPr>
              <w:jc w:val="both"/>
              <w:rPr>
                <w:sz w:val="20"/>
                <w:lang w:val="fr-CA"/>
              </w:rPr>
            </w:pPr>
            <w:r w:rsidRPr="00357596">
              <w:rPr>
                <w:sz w:val="20"/>
                <w:lang w:val="fr-CA"/>
              </w:rPr>
              <w:lastRenderedPageBreak/>
              <w:t>12 septembre 2018</w:t>
            </w:r>
          </w:p>
          <w:p w:rsidR="00160284" w:rsidRPr="00357596" w:rsidRDefault="00160284" w:rsidP="00160284">
            <w:pPr>
              <w:jc w:val="both"/>
              <w:rPr>
                <w:sz w:val="20"/>
                <w:lang w:val="fr-CA"/>
              </w:rPr>
            </w:pPr>
            <w:r w:rsidRPr="00357596">
              <w:rPr>
                <w:sz w:val="20"/>
                <w:lang w:val="fr-CA"/>
              </w:rPr>
              <w:t>Cour du Banc de la Reine de la Saskatchewan</w:t>
            </w:r>
          </w:p>
          <w:p w:rsidR="00160284" w:rsidRPr="00357596" w:rsidRDefault="00160284" w:rsidP="00160284">
            <w:pPr>
              <w:jc w:val="both"/>
              <w:rPr>
                <w:sz w:val="20"/>
                <w:lang w:val="fr-CA"/>
              </w:rPr>
            </w:pPr>
            <w:r w:rsidRPr="00357596">
              <w:rPr>
                <w:sz w:val="20"/>
                <w:lang w:val="fr-CA"/>
              </w:rPr>
              <w:t xml:space="preserve">(Juge </w:t>
            </w:r>
            <w:proofErr w:type="spellStart"/>
            <w:proofErr w:type="gramStart"/>
            <w:r w:rsidRPr="00357596">
              <w:rPr>
                <w:sz w:val="20"/>
                <w:lang w:val="fr-CA"/>
              </w:rPr>
              <w:t>Kalmakoff</w:t>
            </w:r>
            <w:proofErr w:type="spellEnd"/>
            <w:r w:rsidRPr="00357596">
              <w:rPr>
                <w:sz w:val="20"/>
                <w:lang w:val="fr-CA"/>
              </w:rPr>
              <w:t xml:space="preserve"> )</w:t>
            </w:r>
            <w:proofErr w:type="gramEnd"/>
          </w:p>
          <w:p w:rsidR="00160284" w:rsidRPr="00357596" w:rsidRDefault="00160284" w:rsidP="00160284">
            <w:pPr>
              <w:jc w:val="both"/>
              <w:rPr>
                <w:sz w:val="20"/>
                <w:lang w:val="fr-CA"/>
              </w:rPr>
            </w:pPr>
            <w:hyperlink r:id="rId63" w:anchor="related" w:history="1">
              <w:r w:rsidRPr="00357596">
                <w:rPr>
                  <w:rStyle w:val="Hyperlink"/>
                  <w:sz w:val="20"/>
                  <w:lang w:val="fr-CA"/>
                </w:rPr>
                <w:t>2018 SKQB 245</w:t>
              </w:r>
            </w:hyperlink>
          </w:p>
          <w:p w:rsidR="00160284" w:rsidRPr="00357596" w:rsidRDefault="00160284" w:rsidP="00160284">
            <w:pPr>
              <w:jc w:val="both"/>
              <w:rPr>
                <w:sz w:val="20"/>
                <w:lang w:val="fr-CA"/>
              </w:rPr>
            </w:pPr>
          </w:p>
        </w:tc>
        <w:tc>
          <w:tcPr>
            <w:tcW w:w="243" w:type="pct"/>
          </w:tcPr>
          <w:p w:rsidR="00160284" w:rsidRPr="00357596" w:rsidRDefault="00160284" w:rsidP="00160284">
            <w:pPr>
              <w:jc w:val="both"/>
              <w:rPr>
                <w:sz w:val="20"/>
                <w:lang w:val="fr-CA"/>
              </w:rPr>
            </w:pPr>
          </w:p>
        </w:tc>
        <w:tc>
          <w:tcPr>
            <w:tcW w:w="2330" w:type="pct"/>
          </w:tcPr>
          <w:p w:rsidR="00160284" w:rsidRPr="00357596" w:rsidRDefault="00160284" w:rsidP="00160284">
            <w:pPr>
              <w:jc w:val="both"/>
              <w:rPr>
                <w:sz w:val="20"/>
                <w:lang w:val="fr-CA"/>
              </w:rPr>
            </w:pPr>
            <w:r w:rsidRPr="00357596">
              <w:rPr>
                <w:sz w:val="20"/>
                <w:lang w:val="fr-CA"/>
              </w:rPr>
              <w:t xml:space="preserve">Ordonnance afin que le testament de </w:t>
            </w:r>
            <w:proofErr w:type="spellStart"/>
            <w:r w:rsidRPr="00357596">
              <w:rPr>
                <w:sz w:val="20"/>
                <w:lang w:val="fr-CA"/>
              </w:rPr>
              <w:t>Nellie</w:t>
            </w:r>
            <w:proofErr w:type="spellEnd"/>
            <w:r w:rsidRPr="00357596">
              <w:rPr>
                <w:sz w:val="20"/>
                <w:lang w:val="fr-CA"/>
              </w:rPr>
              <w:t xml:space="preserve"> Elizabeth Adams soit établi en la forme solennelle, et qu’un procès soit tenu à cette fin.</w:t>
            </w:r>
          </w:p>
          <w:p w:rsidR="00160284" w:rsidRPr="00357596" w:rsidRDefault="00160284" w:rsidP="00160284">
            <w:pPr>
              <w:jc w:val="both"/>
              <w:rPr>
                <w:sz w:val="20"/>
                <w:lang w:val="fr-CA"/>
              </w:rPr>
            </w:pPr>
          </w:p>
        </w:tc>
      </w:tr>
      <w:tr w:rsidR="00160284" w:rsidRPr="00357596" w:rsidTr="00E95A6A">
        <w:tc>
          <w:tcPr>
            <w:tcW w:w="2427" w:type="pct"/>
            <w:gridSpan w:val="2"/>
          </w:tcPr>
          <w:p w:rsidR="00160284" w:rsidRPr="00357596" w:rsidRDefault="00160284" w:rsidP="00160284">
            <w:pPr>
              <w:jc w:val="both"/>
              <w:rPr>
                <w:sz w:val="20"/>
                <w:lang w:val="fr-CA"/>
              </w:rPr>
            </w:pPr>
            <w:r w:rsidRPr="00357596">
              <w:rPr>
                <w:sz w:val="20"/>
                <w:lang w:val="fr-CA"/>
              </w:rPr>
              <w:t>31 mars 2020</w:t>
            </w:r>
          </w:p>
          <w:p w:rsidR="00160284" w:rsidRPr="00357596" w:rsidRDefault="00160284" w:rsidP="00160284">
            <w:pPr>
              <w:jc w:val="both"/>
              <w:rPr>
                <w:sz w:val="20"/>
                <w:lang w:val="fr-CA"/>
              </w:rPr>
            </w:pPr>
            <w:r w:rsidRPr="00357596">
              <w:rPr>
                <w:sz w:val="20"/>
                <w:lang w:val="fr-CA"/>
              </w:rPr>
              <w:t>Cour d’appel de la Saskatchewan</w:t>
            </w:r>
          </w:p>
          <w:p w:rsidR="00160284" w:rsidRPr="00357596" w:rsidRDefault="00160284" w:rsidP="00160284">
            <w:pPr>
              <w:jc w:val="both"/>
              <w:rPr>
                <w:sz w:val="20"/>
              </w:rPr>
            </w:pPr>
            <w:r w:rsidRPr="00357596">
              <w:rPr>
                <w:sz w:val="20"/>
              </w:rPr>
              <w:t>(Juges Ottenbreit, Schwann, Tholl)</w:t>
            </w:r>
          </w:p>
          <w:p w:rsidR="00160284" w:rsidRPr="00357596" w:rsidRDefault="00160284" w:rsidP="00160284">
            <w:pPr>
              <w:jc w:val="both"/>
              <w:rPr>
                <w:sz w:val="20"/>
              </w:rPr>
            </w:pPr>
            <w:hyperlink r:id="rId64" w:history="1">
              <w:r w:rsidRPr="00357596">
                <w:rPr>
                  <w:rStyle w:val="Hyperlink"/>
                  <w:sz w:val="20"/>
                </w:rPr>
                <w:t>2020 SKCA 38</w:t>
              </w:r>
            </w:hyperlink>
          </w:p>
          <w:p w:rsidR="00160284" w:rsidRPr="00357596" w:rsidRDefault="00160284" w:rsidP="00160284">
            <w:pPr>
              <w:jc w:val="both"/>
              <w:rPr>
                <w:sz w:val="20"/>
              </w:rPr>
            </w:pPr>
          </w:p>
        </w:tc>
        <w:tc>
          <w:tcPr>
            <w:tcW w:w="243" w:type="pct"/>
          </w:tcPr>
          <w:p w:rsidR="00160284" w:rsidRPr="00357596" w:rsidRDefault="00160284" w:rsidP="00160284">
            <w:pPr>
              <w:jc w:val="both"/>
              <w:rPr>
                <w:sz w:val="20"/>
              </w:rPr>
            </w:pPr>
          </w:p>
        </w:tc>
        <w:tc>
          <w:tcPr>
            <w:tcW w:w="2330" w:type="pct"/>
          </w:tcPr>
          <w:p w:rsidR="00160284" w:rsidRPr="00357596" w:rsidRDefault="00160284" w:rsidP="00160284">
            <w:pPr>
              <w:jc w:val="both"/>
              <w:rPr>
                <w:sz w:val="20"/>
                <w:lang w:val="fr-CA"/>
              </w:rPr>
            </w:pPr>
            <w:r w:rsidRPr="00357596">
              <w:rPr>
                <w:sz w:val="20"/>
                <w:lang w:val="fr-CA"/>
              </w:rPr>
              <w:t>Appel de Daniel Staples, en sa qualité d’exécuteur, et de l’Armée du Salut accueilli; appel incident de Charles Wilson rejeté.</w:t>
            </w:r>
          </w:p>
          <w:p w:rsidR="00160284" w:rsidRPr="00357596" w:rsidRDefault="00160284" w:rsidP="00160284">
            <w:pPr>
              <w:jc w:val="both"/>
              <w:rPr>
                <w:sz w:val="20"/>
                <w:lang w:val="fr-CA"/>
              </w:rPr>
            </w:pPr>
          </w:p>
        </w:tc>
      </w:tr>
      <w:tr w:rsidR="00160284" w:rsidRPr="00357596" w:rsidTr="00E95A6A">
        <w:tc>
          <w:tcPr>
            <w:tcW w:w="2427" w:type="pct"/>
            <w:gridSpan w:val="2"/>
          </w:tcPr>
          <w:p w:rsidR="00160284" w:rsidRPr="00357596" w:rsidRDefault="00160284" w:rsidP="00160284">
            <w:pPr>
              <w:jc w:val="both"/>
              <w:rPr>
                <w:sz w:val="20"/>
                <w:lang w:val="fr-CA"/>
              </w:rPr>
            </w:pPr>
            <w:r w:rsidRPr="00357596">
              <w:rPr>
                <w:sz w:val="20"/>
                <w:lang w:val="fr-CA"/>
              </w:rPr>
              <w:t>9 juin 2020</w:t>
            </w:r>
          </w:p>
          <w:p w:rsidR="00160284" w:rsidRPr="00357596" w:rsidRDefault="00160284" w:rsidP="00160284">
            <w:pPr>
              <w:jc w:val="both"/>
              <w:rPr>
                <w:sz w:val="20"/>
                <w:lang w:val="fr-CA"/>
              </w:rPr>
            </w:pPr>
            <w:r w:rsidRPr="00357596">
              <w:rPr>
                <w:sz w:val="20"/>
                <w:lang w:val="fr-CA"/>
              </w:rPr>
              <w:t>Cour suprême du Canada</w:t>
            </w:r>
          </w:p>
        </w:tc>
        <w:tc>
          <w:tcPr>
            <w:tcW w:w="243" w:type="pct"/>
          </w:tcPr>
          <w:p w:rsidR="00160284" w:rsidRPr="00357596" w:rsidRDefault="00160284" w:rsidP="00160284">
            <w:pPr>
              <w:jc w:val="both"/>
              <w:rPr>
                <w:sz w:val="20"/>
                <w:lang w:val="fr-CA"/>
              </w:rPr>
            </w:pPr>
          </w:p>
        </w:tc>
        <w:tc>
          <w:tcPr>
            <w:tcW w:w="2330" w:type="pct"/>
          </w:tcPr>
          <w:p w:rsidR="00160284" w:rsidRPr="00357596" w:rsidRDefault="00160284" w:rsidP="00160284">
            <w:pPr>
              <w:jc w:val="both"/>
              <w:rPr>
                <w:sz w:val="20"/>
                <w:lang w:val="fr-CA"/>
              </w:rPr>
            </w:pPr>
            <w:r w:rsidRPr="00357596">
              <w:rPr>
                <w:sz w:val="20"/>
                <w:lang w:val="fr-CA"/>
              </w:rPr>
              <w:t xml:space="preserve">Requête en prorogation de délai et demande d’autorisation </w:t>
            </w:r>
            <w:proofErr w:type="gramStart"/>
            <w:r w:rsidRPr="00357596">
              <w:rPr>
                <w:sz w:val="20"/>
                <w:lang w:val="fr-CA"/>
              </w:rPr>
              <w:t>d’appel déposées</w:t>
            </w:r>
            <w:proofErr w:type="gramEnd"/>
            <w:r w:rsidRPr="00357596">
              <w:rPr>
                <w:sz w:val="20"/>
                <w:lang w:val="fr-CA"/>
              </w:rPr>
              <w:t>.</w:t>
            </w:r>
          </w:p>
        </w:tc>
      </w:tr>
    </w:tbl>
    <w:p w:rsidR="00160284" w:rsidRPr="00357596" w:rsidRDefault="00160284" w:rsidP="00160284">
      <w:pPr>
        <w:jc w:val="both"/>
        <w:rPr>
          <w:sz w:val="20"/>
          <w:lang w:val="fr-CA"/>
        </w:rPr>
      </w:pPr>
    </w:p>
    <w:p w:rsidR="00357596" w:rsidRPr="00357596" w:rsidRDefault="00357596" w:rsidP="00160284">
      <w:pPr>
        <w:jc w:val="both"/>
        <w:rPr>
          <w:sz w:val="20"/>
          <w:lang w:val="fr-CA"/>
        </w:rPr>
      </w:pPr>
      <w:r w:rsidRPr="00357596">
        <w:rPr>
          <w:sz w:val="20"/>
        </w:rPr>
        <w:pict>
          <v:rect id="_x0000_i1048" style="width:2in;height:1pt" o:hrpct="0" o:hralign="center" o:hrstd="t" o:hrnoshade="t" o:hr="t" fillcolor="black [3213]" stroked="f"/>
        </w:pict>
      </w:r>
    </w:p>
    <w:p w:rsidR="00F81F18" w:rsidRPr="00357596" w:rsidRDefault="00F81F18" w:rsidP="00160284">
      <w:pPr>
        <w:widowControl w:val="0"/>
        <w:jc w:val="both"/>
        <w:rPr>
          <w:sz w:val="20"/>
          <w:lang w:val="fr-CA"/>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60284" w:rsidRPr="00357596" w:rsidTr="00E95A6A">
        <w:tc>
          <w:tcPr>
            <w:tcW w:w="543" w:type="pct"/>
          </w:tcPr>
          <w:p w:rsidR="00160284" w:rsidRPr="00357596" w:rsidRDefault="00160284" w:rsidP="00160284">
            <w:pPr>
              <w:jc w:val="both"/>
              <w:rPr>
                <w:sz w:val="20"/>
              </w:rPr>
            </w:pPr>
            <w:r w:rsidRPr="00357596">
              <w:rPr>
                <w:rStyle w:val="SCCFileNumberChar"/>
                <w:sz w:val="20"/>
                <w:szCs w:val="20"/>
              </w:rPr>
              <w:t>39130</w:t>
            </w:r>
          </w:p>
        </w:tc>
        <w:tc>
          <w:tcPr>
            <w:tcW w:w="4457" w:type="pct"/>
            <w:gridSpan w:val="3"/>
          </w:tcPr>
          <w:p w:rsidR="00160284" w:rsidRPr="00357596" w:rsidRDefault="00160284" w:rsidP="00160284">
            <w:pPr>
              <w:pStyle w:val="SCCLsocParty"/>
              <w:jc w:val="both"/>
              <w:rPr>
                <w:b/>
                <w:sz w:val="20"/>
                <w:szCs w:val="20"/>
                <w:lang w:val="en-US"/>
              </w:rPr>
            </w:pPr>
            <w:r w:rsidRPr="00357596">
              <w:rPr>
                <w:b/>
                <w:sz w:val="20"/>
                <w:szCs w:val="20"/>
                <w:lang w:val="en-US"/>
              </w:rPr>
              <w:t>H.M.B. Holdings Limited v. Attorney General of Antigua and Barbuda</w:t>
            </w:r>
          </w:p>
          <w:p w:rsidR="00160284" w:rsidRPr="00357596" w:rsidRDefault="00160284" w:rsidP="00160284">
            <w:pPr>
              <w:jc w:val="both"/>
              <w:rPr>
                <w:sz w:val="20"/>
              </w:rPr>
            </w:pPr>
            <w:r w:rsidRPr="00357596">
              <w:rPr>
                <w:sz w:val="20"/>
              </w:rPr>
              <w:t>(Ont.) (Civil) (By Leave)</w:t>
            </w:r>
          </w:p>
        </w:tc>
      </w:tr>
      <w:tr w:rsidR="00160284" w:rsidRPr="00357596" w:rsidTr="00E95A6A">
        <w:tc>
          <w:tcPr>
            <w:tcW w:w="5000" w:type="pct"/>
            <w:gridSpan w:val="4"/>
          </w:tcPr>
          <w:p w:rsidR="00160284" w:rsidRPr="00357596" w:rsidRDefault="00160284" w:rsidP="00160284">
            <w:pPr>
              <w:jc w:val="both"/>
              <w:rPr>
                <w:sz w:val="20"/>
              </w:rPr>
            </w:pPr>
            <w:r w:rsidRPr="00357596">
              <w:rPr>
                <w:sz w:val="20"/>
              </w:rPr>
              <w:t xml:space="preserve">Private international law — Foreign judgments — Recognition — Enforcement — What is the standard for “carrying on business” in enforcement cases under provincial enforcement legislation in Canada, and does this standard change when the debtor is a sovereign — What is the proper interpretation of “original judgment” in the </w:t>
            </w:r>
            <w:r w:rsidRPr="00357596">
              <w:rPr>
                <w:i/>
                <w:sz w:val="20"/>
              </w:rPr>
              <w:t>Reciprocal Enforcement of Judgments Act</w:t>
            </w:r>
            <w:r w:rsidRPr="00357596">
              <w:rPr>
                <w:sz w:val="20"/>
              </w:rPr>
              <w:t>, RSO 1990, c. R.5, and in what circumstances, if any, does this Act apply to judgments which themselves enforce or register a judgment?</w:t>
            </w:r>
          </w:p>
        </w:tc>
      </w:tr>
      <w:tr w:rsidR="00160284" w:rsidRPr="00357596" w:rsidTr="00E95A6A">
        <w:tc>
          <w:tcPr>
            <w:tcW w:w="5000" w:type="pct"/>
            <w:gridSpan w:val="4"/>
          </w:tcPr>
          <w:p w:rsidR="00160284" w:rsidRPr="00357596" w:rsidRDefault="00160284" w:rsidP="00160284">
            <w:pPr>
              <w:jc w:val="both"/>
              <w:rPr>
                <w:sz w:val="20"/>
              </w:rPr>
            </w:pPr>
          </w:p>
        </w:tc>
      </w:tr>
      <w:tr w:rsidR="00160284" w:rsidRPr="00357596" w:rsidTr="00E95A6A">
        <w:tc>
          <w:tcPr>
            <w:tcW w:w="5000" w:type="pct"/>
            <w:gridSpan w:val="4"/>
          </w:tcPr>
          <w:p w:rsidR="00160284" w:rsidRPr="00357596" w:rsidRDefault="00160284" w:rsidP="00160284">
            <w:pPr>
              <w:jc w:val="both"/>
              <w:rPr>
                <w:sz w:val="20"/>
                <w:lang w:val="en"/>
              </w:rPr>
            </w:pPr>
            <w:r w:rsidRPr="00357596">
              <w:rPr>
                <w:sz w:val="20"/>
                <w:lang w:val="en"/>
              </w:rPr>
              <w:t xml:space="preserve">In 2007, Antigua and Barbuda (Antigua), a country comprised of several islands in the Caribbean, expropriated property owned by H.M.B. Holdings Limited (HMB). The Judicial Committee of the Privy Council ordered Antigua to compensate HMB for the expropriation (Privy Council judgment) in 2014. In 2016, HMB brought an action in British Columbia to enforce the Privy Council judgment. Antigua did not defend this action and the British Columbia Supreme Court granted default judgment. HMB then brought an application in Ontario under the </w:t>
            </w:r>
            <w:r w:rsidRPr="00357596">
              <w:rPr>
                <w:i/>
                <w:sz w:val="20"/>
              </w:rPr>
              <w:t>Reciprocal Enforcement of Judgments Act</w:t>
            </w:r>
            <w:r w:rsidRPr="00357596">
              <w:rPr>
                <w:sz w:val="20"/>
              </w:rPr>
              <w:t xml:space="preserve">, RSO 1990, c. R.5, </w:t>
            </w:r>
            <w:r w:rsidRPr="00357596">
              <w:rPr>
                <w:sz w:val="20"/>
                <w:lang w:val="en"/>
              </w:rPr>
              <w:t>to recognize the BC judgment which Antigua opposed. The Ontario Superior Court of Justice dismissed the application and a subsequent appeal was also dismissed.</w:t>
            </w:r>
          </w:p>
          <w:p w:rsidR="00160284" w:rsidRPr="00357596" w:rsidRDefault="00160284" w:rsidP="00160284">
            <w:pPr>
              <w:jc w:val="both"/>
              <w:rPr>
                <w:sz w:val="20"/>
              </w:rPr>
            </w:pPr>
          </w:p>
        </w:tc>
      </w:tr>
      <w:tr w:rsidR="00160284" w:rsidRPr="00357596" w:rsidTr="00E95A6A">
        <w:tc>
          <w:tcPr>
            <w:tcW w:w="2427" w:type="pct"/>
            <w:gridSpan w:val="2"/>
          </w:tcPr>
          <w:p w:rsidR="00160284" w:rsidRPr="00357596" w:rsidRDefault="00160284" w:rsidP="00160284">
            <w:pPr>
              <w:jc w:val="both"/>
              <w:rPr>
                <w:sz w:val="20"/>
              </w:rPr>
            </w:pPr>
            <w:r w:rsidRPr="00357596">
              <w:rPr>
                <w:sz w:val="20"/>
              </w:rPr>
              <w:t>March 4, 2019</w:t>
            </w:r>
          </w:p>
          <w:p w:rsidR="00160284" w:rsidRPr="00357596" w:rsidRDefault="00160284" w:rsidP="00160284">
            <w:pPr>
              <w:jc w:val="both"/>
              <w:rPr>
                <w:sz w:val="20"/>
              </w:rPr>
            </w:pPr>
            <w:r w:rsidRPr="00357596">
              <w:rPr>
                <w:sz w:val="20"/>
              </w:rPr>
              <w:t>Ontario Superior Court of Justice</w:t>
            </w:r>
          </w:p>
          <w:p w:rsidR="00160284" w:rsidRPr="00357596" w:rsidRDefault="00160284" w:rsidP="00160284">
            <w:pPr>
              <w:jc w:val="both"/>
              <w:rPr>
                <w:sz w:val="20"/>
              </w:rPr>
            </w:pPr>
            <w:r w:rsidRPr="00357596">
              <w:rPr>
                <w:sz w:val="20"/>
              </w:rPr>
              <w:t>(</w:t>
            </w:r>
            <w:proofErr w:type="spellStart"/>
            <w:r w:rsidRPr="00357596">
              <w:rPr>
                <w:sz w:val="20"/>
              </w:rPr>
              <w:t>Perell</w:t>
            </w:r>
            <w:proofErr w:type="spellEnd"/>
            <w:r w:rsidRPr="00357596">
              <w:rPr>
                <w:sz w:val="20"/>
              </w:rPr>
              <w:t xml:space="preserve"> J.)</w:t>
            </w:r>
          </w:p>
          <w:p w:rsidR="00160284" w:rsidRPr="00357596" w:rsidRDefault="00160284" w:rsidP="00160284">
            <w:pPr>
              <w:jc w:val="both"/>
              <w:rPr>
                <w:sz w:val="20"/>
              </w:rPr>
            </w:pPr>
            <w:hyperlink r:id="rId65" w:history="1">
              <w:r w:rsidRPr="00357596">
                <w:rPr>
                  <w:rStyle w:val="Hyperlink"/>
                  <w:sz w:val="20"/>
                </w:rPr>
                <w:t>2019 ONSC 1445</w:t>
              </w:r>
            </w:hyperlink>
            <w:r w:rsidRPr="00357596">
              <w:rPr>
                <w:sz w:val="20"/>
              </w:rPr>
              <w:t xml:space="preserve"> </w:t>
            </w:r>
          </w:p>
          <w:p w:rsidR="00160284" w:rsidRPr="00357596" w:rsidRDefault="00160284" w:rsidP="00160284">
            <w:pPr>
              <w:jc w:val="both"/>
              <w:rPr>
                <w:sz w:val="20"/>
              </w:rPr>
            </w:pPr>
          </w:p>
        </w:tc>
        <w:tc>
          <w:tcPr>
            <w:tcW w:w="243" w:type="pct"/>
          </w:tcPr>
          <w:p w:rsidR="00160284" w:rsidRPr="00357596" w:rsidRDefault="00160284" w:rsidP="00160284">
            <w:pPr>
              <w:jc w:val="both"/>
              <w:rPr>
                <w:sz w:val="20"/>
              </w:rPr>
            </w:pPr>
          </w:p>
        </w:tc>
        <w:tc>
          <w:tcPr>
            <w:tcW w:w="2330" w:type="pct"/>
          </w:tcPr>
          <w:p w:rsidR="00160284" w:rsidRPr="00357596" w:rsidRDefault="00160284" w:rsidP="00160284">
            <w:pPr>
              <w:jc w:val="both"/>
              <w:rPr>
                <w:sz w:val="20"/>
              </w:rPr>
            </w:pPr>
            <w:r w:rsidRPr="00357596">
              <w:rPr>
                <w:sz w:val="20"/>
              </w:rPr>
              <w:t>Application to recognize and enforce foreign judgment in Ontario dismissed.</w:t>
            </w:r>
          </w:p>
          <w:p w:rsidR="00160284" w:rsidRPr="00357596" w:rsidRDefault="00160284" w:rsidP="00160284">
            <w:pPr>
              <w:jc w:val="both"/>
              <w:rPr>
                <w:sz w:val="20"/>
              </w:rPr>
            </w:pPr>
          </w:p>
        </w:tc>
      </w:tr>
      <w:tr w:rsidR="00160284" w:rsidRPr="00357596" w:rsidTr="00E95A6A">
        <w:tc>
          <w:tcPr>
            <w:tcW w:w="2427" w:type="pct"/>
            <w:gridSpan w:val="2"/>
          </w:tcPr>
          <w:p w:rsidR="00160284" w:rsidRPr="00357596" w:rsidRDefault="00160284" w:rsidP="00160284">
            <w:pPr>
              <w:jc w:val="both"/>
              <w:rPr>
                <w:sz w:val="20"/>
              </w:rPr>
            </w:pPr>
            <w:r w:rsidRPr="00357596">
              <w:rPr>
                <w:sz w:val="20"/>
              </w:rPr>
              <w:lastRenderedPageBreak/>
              <w:t>January 9, 2020</w:t>
            </w:r>
          </w:p>
          <w:p w:rsidR="00160284" w:rsidRPr="00357596" w:rsidRDefault="00160284" w:rsidP="00160284">
            <w:pPr>
              <w:jc w:val="both"/>
              <w:rPr>
                <w:sz w:val="20"/>
              </w:rPr>
            </w:pPr>
            <w:r w:rsidRPr="00357596">
              <w:rPr>
                <w:sz w:val="20"/>
              </w:rPr>
              <w:t>Court of Appeal for Ontario</w:t>
            </w:r>
          </w:p>
          <w:p w:rsidR="00160284" w:rsidRPr="00357596" w:rsidRDefault="00160284" w:rsidP="00160284">
            <w:pPr>
              <w:jc w:val="both"/>
              <w:rPr>
                <w:sz w:val="20"/>
                <w:lang w:val="fr-CA"/>
              </w:rPr>
            </w:pPr>
            <w:r w:rsidRPr="00357596">
              <w:rPr>
                <w:sz w:val="20"/>
                <w:lang w:val="fr-CA"/>
              </w:rPr>
              <w:t>(Simmons and Pardu JJ.A.; Nordheimer J.A. dissenting)</w:t>
            </w:r>
          </w:p>
          <w:p w:rsidR="00160284" w:rsidRPr="00357596" w:rsidRDefault="00160284" w:rsidP="00160284">
            <w:pPr>
              <w:jc w:val="both"/>
              <w:rPr>
                <w:sz w:val="20"/>
              </w:rPr>
            </w:pPr>
            <w:hyperlink r:id="rId66" w:anchor="document" w:history="1">
              <w:r w:rsidRPr="00357596">
                <w:rPr>
                  <w:rStyle w:val="Hyperlink"/>
                  <w:sz w:val="20"/>
                </w:rPr>
                <w:t>2020 ONCA 12</w:t>
              </w:r>
            </w:hyperlink>
          </w:p>
          <w:p w:rsidR="00160284" w:rsidRPr="00357596" w:rsidRDefault="00160284" w:rsidP="00160284">
            <w:pPr>
              <w:jc w:val="both"/>
              <w:rPr>
                <w:sz w:val="20"/>
                <w:lang w:val="fr-CA"/>
              </w:rPr>
            </w:pPr>
          </w:p>
        </w:tc>
        <w:tc>
          <w:tcPr>
            <w:tcW w:w="243" w:type="pct"/>
          </w:tcPr>
          <w:p w:rsidR="00160284" w:rsidRPr="00357596" w:rsidRDefault="00160284" w:rsidP="00160284">
            <w:pPr>
              <w:jc w:val="both"/>
              <w:rPr>
                <w:sz w:val="20"/>
                <w:lang w:val="fr-CA"/>
              </w:rPr>
            </w:pPr>
          </w:p>
        </w:tc>
        <w:tc>
          <w:tcPr>
            <w:tcW w:w="2330" w:type="pct"/>
          </w:tcPr>
          <w:p w:rsidR="00160284" w:rsidRPr="00357596" w:rsidRDefault="00160284" w:rsidP="00160284">
            <w:pPr>
              <w:jc w:val="both"/>
              <w:rPr>
                <w:sz w:val="20"/>
              </w:rPr>
            </w:pPr>
            <w:r w:rsidRPr="00357596">
              <w:rPr>
                <w:sz w:val="20"/>
              </w:rPr>
              <w:t>Appeal dismissed.</w:t>
            </w:r>
          </w:p>
          <w:p w:rsidR="00160284" w:rsidRPr="00357596" w:rsidRDefault="00160284" w:rsidP="00160284">
            <w:pPr>
              <w:jc w:val="both"/>
              <w:rPr>
                <w:sz w:val="20"/>
              </w:rPr>
            </w:pPr>
          </w:p>
        </w:tc>
      </w:tr>
      <w:tr w:rsidR="00160284" w:rsidRPr="00357596" w:rsidTr="00E95A6A">
        <w:tc>
          <w:tcPr>
            <w:tcW w:w="2427" w:type="pct"/>
            <w:gridSpan w:val="2"/>
          </w:tcPr>
          <w:p w:rsidR="00160284" w:rsidRPr="00357596" w:rsidRDefault="00160284" w:rsidP="00160284">
            <w:pPr>
              <w:jc w:val="both"/>
              <w:rPr>
                <w:sz w:val="20"/>
              </w:rPr>
            </w:pPr>
            <w:r w:rsidRPr="00357596">
              <w:rPr>
                <w:sz w:val="20"/>
              </w:rPr>
              <w:t>March 9, 2020</w:t>
            </w:r>
          </w:p>
          <w:p w:rsidR="00160284" w:rsidRPr="00357596" w:rsidRDefault="00160284" w:rsidP="00357596">
            <w:pPr>
              <w:jc w:val="both"/>
              <w:rPr>
                <w:sz w:val="20"/>
              </w:rPr>
            </w:pPr>
            <w:r w:rsidRPr="00357596">
              <w:rPr>
                <w:sz w:val="20"/>
              </w:rPr>
              <w:t>Supreme Court of Canada</w:t>
            </w:r>
          </w:p>
        </w:tc>
        <w:tc>
          <w:tcPr>
            <w:tcW w:w="243" w:type="pct"/>
          </w:tcPr>
          <w:p w:rsidR="00160284" w:rsidRPr="00357596" w:rsidRDefault="00160284" w:rsidP="00160284">
            <w:pPr>
              <w:jc w:val="both"/>
              <w:rPr>
                <w:sz w:val="20"/>
              </w:rPr>
            </w:pPr>
          </w:p>
        </w:tc>
        <w:tc>
          <w:tcPr>
            <w:tcW w:w="2330" w:type="pct"/>
          </w:tcPr>
          <w:p w:rsidR="00160284" w:rsidRPr="00357596" w:rsidRDefault="00160284" w:rsidP="00160284">
            <w:pPr>
              <w:jc w:val="both"/>
              <w:rPr>
                <w:sz w:val="20"/>
              </w:rPr>
            </w:pPr>
            <w:r w:rsidRPr="00357596">
              <w:rPr>
                <w:sz w:val="20"/>
              </w:rPr>
              <w:t>Application for leave to appeal filed</w:t>
            </w:r>
          </w:p>
          <w:p w:rsidR="00160284" w:rsidRPr="00357596" w:rsidRDefault="00160284" w:rsidP="00160284">
            <w:pPr>
              <w:jc w:val="both"/>
              <w:rPr>
                <w:sz w:val="20"/>
              </w:rPr>
            </w:pPr>
          </w:p>
        </w:tc>
      </w:tr>
    </w:tbl>
    <w:p w:rsidR="00160284" w:rsidRPr="00357596" w:rsidRDefault="00160284" w:rsidP="00160284">
      <w:pPr>
        <w:jc w:val="both"/>
        <w:rPr>
          <w:sz w:val="20"/>
        </w:rPr>
      </w:pPr>
    </w:p>
    <w:p w:rsidR="00357596" w:rsidRPr="00357596" w:rsidRDefault="00357596" w:rsidP="00160284">
      <w:pPr>
        <w:jc w:val="both"/>
        <w:rPr>
          <w:sz w:val="20"/>
        </w:rPr>
      </w:pPr>
      <w:r w:rsidRPr="00357596">
        <w:rPr>
          <w:sz w:val="20"/>
        </w:rPr>
        <w:pict>
          <v:rect id="_x0000_i1049" style="width:2in;height:1pt" o:hrpct="0" o:hralign="center" o:hrstd="t" o:hrnoshade="t" o:hr="t" fillcolor="black [3213]" stroked="f"/>
        </w:pict>
      </w:r>
    </w:p>
    <w:p w:rsidR="00357596" w:rsidRPr="00357596" w:rsidRDefault="00357596" w:rsidP="00160284">
      <w:pPr>
        <w:jc w:val="both"/>
        <w:rPr>
          <w:sz w:val="20"/>
        </w:rPr>
      </w:pPr>
    </w:p>
    <w:tbl>
      <w:tblPr>
        <w:tblW w:w="4952" w:type="pct"/>
        <w:tblLayout w:type="fixed"/>
        <w:tblCellMar>
          <w:left w:w="0" w:type="dxa"/>
          <w:bottom w:w="99" w:type="dxa"/>
          <w:right w:w="0" w:type="dxa"/>
        </w:tblCellMar>
        <w:tblLook w:val="04A0" w:firstRow="1" w:lastRow="0" w:firstColumn="1" w:lastColumn="0" w:noHBand="0" w:noVBand="1"/>
      </w:tblPr>
      <w:tblGrid>
        <w:gridCol w:w="1006"/>
        <w:gridCol w:w="3493"/>
        <w:gridCol w:w="451"/>
        <w:gridCol w:w="4320"/>
      </w:tblGrid>
      <w:tr w:rsidR="00160284" w:rsidRPr="00357596" w:rsidTr="00E95A6A">
        <w:tc>
          <w:tcPr>
            <w:tcW w:w="543" w:type="pct"/>
          </w:tcPr>
          <w:p w:rsidR="00160284" w:rsidRPr="00357596" w:rsidRDefault="00160284" w:rsidP="00160284">
            <w:pPr>
              <w:jc w:val="both"/>
              <w:rPr>
                <w:sz w:val="20"/>
                <w:lang w:val="fr-CA"/>
              </w:rPr>
            </w:pPr>
            <w:r w:rsidRPr="00357596">
              <w:rPr>
                <w:rStyle w:val="SCCFileNumberChar"/>
                <w:sz w:val="20"/>
                <w:szCs w:val="20"/>
                <w:lang w:val="fr-CA"/>
              </w:rPr>
              <w:t>39130</w:t>
            </w:r>
          </w:p>
        </w:tc>
        <w:tc>
          <w:tcPr>
            <w:tcW w:w="4457" w:type="pct"/>
            <w:gridSpan w:val="3"/>
          </w:tcPr>
          <w:p w:rsidR="00160284" w:rsidRPr="00357596" w:rsidRDefault="00160284" w:rsidP="00160284">
            <w:pPr>
              <w:pStyle w:val="SCCLsocParty"/>
              <w:jc w:val="both"/>
              <w:rPr>
                <w:b/>
                <w:sz w:val="20"/>
                <w:szCs w:val="20"/>
                <w:lang w:val="en-US"/>
              </w:rPr>
            </w:pPr>
            <w:r w:rsidRPr="00357596">
              <w:rPr>
                <w:b/>
                <w:sz w:val="20"/>
                <w:szCs w:val="20"/>
                <w:lang w:val="en-US"/>
              </w:rPr>
              <w:t>H.M.B. Holdings Limited c. Attorney General of Antigua and Barbuda</w:t>
            </w:r>
          </w:p>
          <w:p w:rsidR="00160284" w:rsidRPr="00357596" w:rsidRDefault="00160284" w:rsidP="00160284">
            <w:pPr>
              <w:jc w:val="both"/>
              <w:rPr>
                <w:sz w:val="20"/>
                <w:lang w:val="fr-CA"/>
              </w:rPr>
            </w:pPr>
            <w:r w:rsidRPr="00357596">
              <w:rPr>
                <w:sz w:val="20"/>
                <w:lang w:val="fr-CA"/>
              </w:rPr>
              <w:t>(Ont.) (Civile) (Autorisation)</w:t>
            </w:r>
          </w:p>
        </w:tc>
      </w:tr>
      <w:tr w:rsidR="00160284" w:rsidRPr="00357596" w:rsidTr="00E95A6A">
        <w:tc>
          <w:tcPr>
            <w:tcW w:w="5000" w:type="pct"/>
            <w:gridSpan w:val="4"/>
          </w:tcPr>
          <w:p w:rsidR="00160284" w:rsidRPr="00357596" w:rsidRDefault="00160284" w:rsidP="00160284">
            <w:pPr>
              <w:jc w:val="both"/>
              <w:rPr>
                <w:sz w:val="20"/>
                <w:lang w:val="fr-CA"/>
              </w:rPr>
            </w:pPr>
            <w:r w:rsidRPr="00357596">
              <w:rPr>
                <w:sz w:val="20"/>
                <w:lang w:val="fr-CA"/>
              </w:rPr>
              <w:t>Droit international privé — Jugements étrangers — Reconnaissance — Exécution — Quelle est la norme relative à l’« exerce des activités » dans les affaires d’exécution en application des lois provinciales d’exécution au Canada, et cette norme change</w:t>
            </w:r>
            <w:r w:rsidRPr="00357596">
              <w:rPr>
                <w:sz w:val="20"/>
                <w:lang w:val="fr-CA"/>
              </w:rPr>
              <w:noBreakHyphen/>
              <w:t>t</w:t>
            </w:r>
            <w:r w:rsidRPr="00357596">
              <w:rPr>
                <w:sz w:val="20"/>
                <w:lang w:val="fr-CA"/>
              </w:rPr>
              <w:noBreakHyphen/>
              <w:t>elle lorsque le débiteur est un État souverain? — Comment convient</w:t>
            </w:r>
            <w:r w:rsidRPr="00357596">
              <w:rPr>
                <w:sz w:val="20"/>
                <w:lang w:val="fr-CA"/>
              </w:rPr>
              <w:noBreakHyphen/>
              <w:t xml:space="preserve">il d’interpréter l’expression « jugement initial » dans la </w:t>
            </w:r>
            <w:r w:rsidRPr="00357596">
              <w:rPr>
                <w:i/>
                <w:sz w:val="20"/>
                <w:lang w:val="fr-CA"/>
              </w:rPr>
              <w:t>Loi sur l’exécution réciproque de jugements</w:t>
            </w:r>
            <w:r w:rsidRPr="00357596">
              <w:rPr>
                <w:sz w:val="20"/>
                <w:lang w:val="fr-CA"/>
              </w:rPr>
              <w:t>, LRO 1990, ch. R.5, et dans quelles circonstances, s’il en est, cette loi s’applique</w:t>
            </w:r>
            <w:r w:rsidRPr="00357596">
              <w:rPr>
                <w:sz w:val="20"/>
                <w:lang w:val="fr-CA"/>
              </w:rPr>
              <w:noBreakHyphen/>
              <w:t>t</w:t>
            </w:r>
            <w:r w:rsidRPr="00357596">
              <w:rPr>
                <w:sz w:val="20"/>
                <w:lang w:val="fr-CA"/>
              </w:rPr>
              <w:noBreakHyphen/>
              <w:t>elle aux jugements qui exécutent ou enregistrent eux</w:t>
            </w:r>
            <w:r w:rsidRPr="00357596">
              <w:rPr>
                <w:sz w:val="20"/>
                <w:lang w:val="fr-CA"/>
              </w:rPr>
              <w:noBreakHyphen/>
              <w:t>mêmes un jugement?</w:t>
            </w:r>
          </w:p>
        </w:tc>
      </w:tr>
      <w:tr w:rsidR="00160284" w:rsidRPr="00357596" w:rsidTr="00E95A6A">
        <w:tc>
          <w:tcPr>
            <w:tcW w:w="5000" w:type="pct"/>
            <w:gridSpan w:val="4"/>
          </w:tcPr>
          <w:p w:rsidR="00160284" w:rsidRPr="00357596" w:rsidRDefault="00160284" w:rsidP="00160284">
            <w:pPr>
              <w:jc w:val="both"/>
              <w:rPr>
                <w:sz w:val="20"/>
                <w:lang w:val="fr-CA"/>
              </w:rPr>
            </w:pPr>
          </w:p>
        </w:tc>
      </w:tr>
      <w:tr w:rsidR="00160284" w:rsidRPr="00357596" w:rsidTr="00E95A6A">
        <w:tc>
          <w:tcPr>
            <w:tcW w:w="5000" w:type="pct"/>
            <w:gridSpan w:val="4"/>
          </w:tcPr>
          <w:p w:rsidR="00160284" w:rsidRPr="00357596" w:rsidRDefault="00160284" w:rsidP="00160284">
            <w:pPr>
              <w:jc w:val="both"/>
              <w:rPr>
                <w:sz w:val="20"/>
                <w:lang w:val="fr-CA"/>
              </w:rPr>
            </w:pPr>
            <w:r w:rsidRPr="00357596">
              <w:rPr>
                <w:sz w:val="20"/>
                <w:lang w:val="fr-CA"/>
              </w:rPr>
              <w:t>En 2007, Antigua</w:t>
            </w:r>
            <w:r w:rsidRPr="00357596">
              <w:rPr>
                <w:sz w:val="20"/>
                <w:lang w:val="fr-CA"/>
              </w:rPr>
              <w:noBreakHyphen/>
              <w:t>et</w:t>
            </w:r>
            <w:r w:rsidRPr="00357596">
              <w:rPr>
                <w:sz w:val="20"/>
                <w:lang w:val="fr-CA"/>
              </w:rPr>
              <w:noBreakHyphen/>
              <w:t>Barbuda (Antigua), un pays constitué de plusieurs îles dans les Caraïbes, a exproprié H.M.B. Holdings Limited (HMB). Le Comité judiciaire du Conseil privé a ordonné à Antigua de dédommager HMB au titre de l’expropriation (arrêt du Conseil privé) en 2014. En 2016, HMB a intenté une action en Colombie</w:t>
            </w:r>
            <w:r w:rsidRPr="00357596">
              <w:rPr>
                <w:sz w:val="20"/>
                <w:lang w:val="fr-CA"/>
              </w:rPr>
              <w:noBreakHyphen/>
              <w:t>Britannique pour exécuter l’arrêt du Conseil privé. Antigua n’a pas opposé de défense à cette action et la Cour suprême de la Colombie</w:t>
            </w:r>
            <w:r w:rsidRPr="00357596">
              <w:rPr>
                <w:sz w:val="20"/>
                <w:lang w:val="fr-CA"/>
              </w:rPr>
              <w:noBreakHyphen/>
              <w:t xml:space="preserve">Britannique a rendu jugement par défaut.  HMB a ensuite présenté une demande en Ontario en application de la </w:t>
            </w:r>
            <w:r w:rsidRPr="00357596">
              <w:rPr>
                <w:i/>
                <w:sz w:val="20"/>
                <w:lang w:val="fr-CA"/>
              </w:rPr>
              <w:t>Loi sur l’exécution réciproque de jugements</w:t>
            </w:r>
            <w:r w:rsidRPr="00357596">
              <w:rPr>
                <w:sz w:val="20"/>
                <w:lang w:val="fr-CA"/>
              </w:rPr>
              <w:t>, LRO 1990, ch. R.5, pour reconnaître le jugement de la Colombie</w:t>
            </w:r>
            <w:r w:rsidRPr="00357596">
              <w:rPr>
                <w:sz w:val="20"/>
                <w:lang w:val="fr-CA"/>
              </w:rPr>
              <w:noBreakHyphen/>
              <w:t>Britannique, demande à laquelle Antigua s’est opposée. La Cour supérieure de justice de l’Ontario a rejeté la demande et l’appel subséquent a lui aussi été rejeté.</w:t>
            </w:r>
          </w:p>
          <w:p w:rsidR="00160284" w:rsidRPr="00357596" w:rsidRDefault="00160284" w:rsidP="00160284">
            <w:pPr>
              <w:jc w:val="both"/>
              <w:rPr>
                <w:sz w:val="20"/>
                <w:lang w:val="fr-CA"/>
              </w:rPr>
            </w:pPr>
          </w:p>
        </w:tc>
      </w:tr>
      <w:tr w:rsidR="00160284" w:rsidRPr="00357596" w:rsidTr="00E95A6A">
        <w:tc>
          <w:tcPr>
            <w:tcW w:w="2427" w:type="pct"/>
            <w:gridSpan w:val="2"/>
          </w:tcPr>
          <w:p w:rsidR="00160284" w:rsidRPr="00357596" w:rsidRDefault="00160284" w:rsidP="00160284">
            <w:pPr>
              <w:jc w:val="both"/>
              <w:rPr>
                <w:sz w:val="20"/>
                <w:lang w:val="fr-CA"/>
              </w:rPr>
            </w:pPr>
            <w:r w:rsidRPr="00357596">
              <w:rPr>
                <w:sz w:val="20"/>
                <w:lang w:val="fr-CA"/>
              </w:rPr>
              <w:t>4 mars 2019</w:t>
            </w:r>
          </w:p>
          <w:p w:rsidR="00160284" w:rsidRPr="00357596" w:rsidRDefault="00160284" w:rsidP="00160284">
            <w:pPr>
              <w:jc w:val="both"/>
              <w:rPr>
                <w:sz w:val="20"/>
                <w:lang w:val="fr-CA"/>
              </w:rPr>
            </w:pPr>
            <w:r w:rsidRPr="00357596">
              <w:rPr>
                <w:sz w:val="20"/>
                <w:lang w:val="fr-CA"/>
              </w:rPr>
              <w:t>Cour supérieure de justice de l’Ontario</w:t>
            </w:r>
          </w:p>
          <w:p w:rsidR="00160284" w:rsidRPr="00357596" w:rsidRDefault="00160284" w:rsidP="00160284">
            <w:pPr>
              <w:jc w:val="both"/>
              <w:rPr>
                <w:sz w:val="20"/>
                <w:lang w:val="fr-CA"/>
              </w:rPr>
            </w:pPr>
            <w:r w:rsidRPr="00357596">
              <w:rPr>
                <w:sz w:val="20"/>
                <w:lang w:val="fr-CA"/>
              </w:rPr>
              <w:t>(Juge Perell)</w:t>
            </w:r>
          </w:p>
          <w:p w:rsidR="00160284" w:rsidRPr="00357596" w:rsidRDefault="00160284" w:rsidP="00160284">
            <w:pPr>
              <w:jc w:val="both"/>
              <w:rPr>
                <w:sz w:val="20"/>
                <w:lang w:val="fr-CA"/>
              </w:rPr>
            </w:pPr>
            <w:hyperlink r:id="rId67" w:history="1">
              <w:r w:rsidRPr="00357596">
                <w:rPr>
                  <w:rStyle w:val="Hyperlink"/>
                  <w:sz w:val="20"/>
                  <w:lang w:val="fr-CA"/>
                </w:rPr>
                <w:t>2019 ONSC 1445</w:t>
              </w:r>
            </w:hyperlink>
            <w:r w:rsidRPr="00357596">
              <w:rPr>
                <w:sz w:val="20"/>
                <w:lang w:val="fr-CA"/>
              </w:rPr>
              <w:t xml:space="preserve"> </w:t>
            </w:r>
          </w:p>
          <w:p w:rsidR="00160284" w:rsidRPr="00357596" w:rsidRDefault="00160284" w:rsidP="00160284">
            <w:pPr>
              <w:jc w:val="both"/>
              <w:rPr>
                <w:sz w:val="20"/>
                <w:lang w:val="fr-CA"/>
              </w:rPr>
            </w:pPr>
          </w:p>
        </w:tc>
        <w:tc>
          <w:tcPr>
            <w:tcW w:w="243" w:type="pct"/>
          </w:tcPr>
          <w:p w:rsidR="00160284" w:rsidRPr="00357596" w:rsidRDefault="00160284" w:rsidP="00160284">
            <w:pPr>
              <w:jc w:val="both"/>
              <w:rPr>
                <w:sz w:val="20"/>
                <w:lang w:val="fr-CA"/>
              </w:rPr>
            </w:pPr>
          </w:p>
        </w:tc>
        <w:tc>
          <w:tcPr>
            <w:tcW w:w="2330" w:type="pct"/>
          </w:tcPr>
          <w:p w:rsidR="00160284" w:rsidRPr="00357596" w:rsidRDefault="00160284" w:rsidP="00160284">
            <w:pPr>
              <w:jc w:val="both"/>
              <w:rPr>
                <w:sz w:val="20"/>
                <w:lang w:val="fr-CA"/>
              </w:rPr>
            </w:pPr>
            <w:r w:rsidRPr="00357596">
              <w:rPr>
                <w:sz w:val="20"/>
                <w:lang w:val="fr-CA"/>
              </w:rPr>
              <w:t>Rejet de la demande de reconnaissance et d’exécution d’un jugement étranger en Ontario.</w:t>
            </w:r>
          </w:p>
          <w:p w:rsidR="00160284" w:rsidRPr="00357596" w:rsidRDefault="00160284" w:rsidP="00160284">
            <w:pPr>
              <w:jc w:val="both"/>
              <w:rPr>
                <w:sz w:val="20"/>
                <w:lang w:val="fr-CA"/>
              </w:rPr>
            </w:pPr>
          </w:p>
        </w:tc>
      </w:tr>
      <w:tr w:rsidR="00160284" w:rsidRPr="00357596" w:rsidTr="00E95A6A">
        <w:tc>
          <w:tcPr>
            <w:tcW w:w="2427" w:type="pct"/>
            <w:gridSpan w:val="2"/>
          </w:tcPr>
          <w:p w:rsidR="00160284" w:rsidRPr="00357596" w:rsidRDefault="00160284" w:rsidP="00160284">
            <w:pPr>
              <w:jc w:val="both"/>
              <w:rPr>
                <w:sz w:val="20"/>
                <w:lang w:val="fr-CA"/>
              </w:rPr>
            </w:pPr>
            <w:r w:rsidRPr="00357596">
              <w:rPr>
                <w:sz w:val="20"/>
                <w:lang w:val="fr-CA"/>
              </w:rPr>
              <w:t>9 janvier 2020</w:t>
            </w:r>
          </w:p>
          <w:p w:rsidR="00160284" w:rsidRPr="00357596" w:rsidRDefault="00160284" w:rsidP="00160284">
            <w:pPr>
              <w:jc w:val="both"/>
              <w:rPr>
                <w:sz w:val="20"/>
                <w:lang w:val="fr-CA"/>
              </w:rPr>
            </w:pPr>
            <w:r w:rsidRPr="00357596">
              <w:rPr>
                <w:sz w:val="20"/>
                <w:lang w:val="fr-CA"/>
              </w:rPr>
              <w:t>Cour d’appel de l’Ontario</w:t>
            </w:r>
          </w:p>
          <w:p w:rsidR="00160284" w:rsidRPr="00357596" w:rsidRDefault="00160284" w:rsidP="00160284">
            <w:pPr>
              <w:jc w:val="both"/>
              <w:rPr>
                <w:sz w:val="20"/>
                <w:lang w:val="fr-CA"/>
              </w:rPr>
            </w:pPr>
            <w:r w:rsidRPr="00357596">
              <w:rPr>
                <w:sz w:val="20"/>
                <w:lang w:val="fr-CA"/>
              </w:rPr>
              <w:t>(Juges Simmons, Pardu et Nordheimer (dissident)</w:t>
            </w:r>
          </w:p>
          <w:p w:rsidR="00160284" w:rsidRPr="00357596" w:rsidRDefault="00160284" w:rsidP="00160284">
            <w:pPr>
              <w:jc w:val="both"/>
              <w:rPr>
                <w:sz w:val="20"/>
                <w:lang w:val="fr-CA"/>
              </w:rPr>
            </w:pPr>
            <w:hyperlink r:id="rId68" w:anchor="document" w:history="1">
              <w:r w:rsidRPr="00357596">
                <w:rPr>
                  <w:rStyle w:val="Hyperlink"/>
                  <w:sz w:val="20"/>
                  <w:lang w:val="fr-CA"/>
                </w:rPr>
                <w:t>2020 ONCA 12</w:t>
              </w:r>
            </w:hyperlink>
          </w:p>
          <w:p w:rsidR="00160284" w:rsidRPr="00357596" w:rsidRDefault="00160284" w:rsidP="00160284">
            <w:pPr>
              <w:jc w:val="both"/>
              <w:rPr>
                <w:sz w:val="20"/>
                <w:lang w:val="fr-CA"/>
              </w:rPr>
            </w:pPr>
          </w:p>
        </w:tc>
        <w:tc>
          <w:tcPr>
            <w:tcW w:w="243" w:type="pct"/>
          </w:tcPr>
          <w:p w:rsidR="00160284" w:rsidRPr="00357596" w:rsidRDefault="00160284" w:rsidP="00160284">
            <w:pPr>
              <w:jc w:val="both"/>
              <w:rPr>
                <w:sz w:val="20"/>
                <w:lang w:val="fr-CA"/>
              </w:rPr>
            </w:pPr>
          </w:p>
        </w:tc>
        <w:tc>
          <w:tcPr>
            <w:tcW w:w="2330" w:type="pct"/>
          </w:tcPr>
          <w:p w:rsidR="00160284" w:rsidRPr="00357596" w:rsidRDefault="00160284" w:rsidP="00160284">
            <w:pPr>
              <w:jc w:val="both"/>
              <w:rPr>
                <w:sz w:val="20"/>
                <w:lang w:val="fr-CA"/>
              </w:rPr>
            </w:pPr>
            <w:r w:rsidRPr="00357596">
              <w:rPr>
                <w:sz w:val="20"/>
                <w:lang w:val="fr-CA"/>
              </w:rPr>
              <w:t>Rejet de l’appel.</w:t>
            </w:r>
          </w:p>
          <w:p w:rsidR="00160284" w:rsidRPr="00357596" w:rsidRDefault="00160284" w:rsidP="00160284">
            <w:pPr>
              <w:jc w:val="both"/>
              <w:rPr>
                <w:sz w:val="20"/>
                <w:lang w:val="fr-CA"/>
              </w:rPr>
            </w:pPr>
          </w:p>
        </w:tc>
      </w:tr>
      <w:tr w:rsidR="00160284" w:rsidRPr="00357596" w:rsidTr="00E95A6A">
        <w:tc>
          <w:tcPr>
            <w:tcW w:w="2427" w:type="pct"/>
            <w:gridSpan w:val="2"/>
          </w:tcPr>
          <w:p w:rsidR="00160284" w:rsidRPr="00357596" w:rsidRDefault="00160284" w:rsidP="00160284">
            <w:pPr>
              <w:jc w:val="both"/>
              <w:rPr>
                <w:sz w:val="20"/>
                <w:lang w:val="fr-CA"/>
              </w:rPr>
            </w:pPr>
            <w:r w:rsidRPr="00357596">
              <w:rPr>
                <w:sz w:val="20"/>
                <w:lang w:val="fr-CA"/>
              </w:rPr>
              <w:t>9 mars 2020</w:t>
            </w:r>
          </w:p>
          <w:p w:rsidR="00160284" w:rsidRPr="00357596" w:rsidRDefault="00160284" w:rsidP="00357596">
            <w:pPr>
              <w:jc w:val="both"/>
              <w:rPr>
                <w:sz w:val="20"/>
                <w:lang w:val="fr-CA"/>
              </w:rPr>
            </w:pPr>
            <w:r w:rsidRPr="00357596">
              <w:rPr>
                <w:sz w:val="20"/>
                <w:lang w:val="fr-CA"/>
              </w:rPr>
              <w:t>Cour suprême du Canada</w:t>
            </w:r>
          </w:p>
        </w:tc>
        <w:tc>
          <w:tcPr>
            <w:tcW w:w="243" w:type="pct"/>
          </w:tcPr>
          <w:p w:rsidR="00160284" w:rsidRPr="00357596" w:rsidRDefault="00160284" w:rsidP="00160284">
            <w:pPr>
              <w:jc w:val="both"/>
              <w:rPr>
                <w:sz w:val="20"/>
                <w:lang w:val="fr-CA"/>
              </w:rPr>
            </w:pPr>
          </w:p>
        </w:tc>
        <w:tc>
          <w:tcPr>
            <w:tcW w:w="2330" w:type="pct"/>
          </w:tcPr>
          <w:p w:rsidR="00160284" w:rsidRPr="00357596" w:rsidRDefault="00160284" w:rsidP="00160284">
            <w:pPr>
              <w:jc w:val="both"/>
              <w:rPr>
                <w:sz w:val="20"/>
                <w:lang w:val="fr-CA"/>
              </w:rPr>
            </w:pPr>
            <w:r w:rsidRPr="00357596">
              <w:rPr>
                <w:sz w:val="20"/>
                <w:lang w:val="fr-CA"/>
              </w:rPr>
              <w:t>Dépôt de la demande d’autorisation d’appel</w:t>
            </w:r>
          </w:p>
          <w:p w:rsidR="00160284" w:rsidRPr="00357596" w:rsidRDefault="00160284" w:rsidP="00160284">
            <w:pPr>
              <w:jc w:val="both"/>
              <w:rPr>
                <w:sz w:val="20"/>
                <w:lang w:val="fr-CA"/>
              </w:rPr>
            </w:pPr>
          </w:p>
        </w:tc>
      </w:tr>
    </w:tbl>
    <w:p w:rsidR="005A5176" w:rsidRPr="00357596" w:rsidRDefault="005A5176" w:rsidP="007B7DA1">
      <w:pPr>
        <w:widowControl w:val="0"/>
        <w:jc w:val="both"/>
        <w:rPr>
          <w:sz w:val="20"/>
          <w:lang w:val="fr-CA"/>
        </w:rPr>
      </w:pPr>
    </w:p>
    <w:p w:rsidR="00E85588" w:rsidRPr="00357596" w:rsidRDefault="00533FD5" w:rsidP="00E85588">
      <w:pPr>
        <w:jc w:val="both"/>
        <w:rPr>
          <w:sz w:val="20"/>
        </w:rPr>
      </w:pPr>
      <w:r w:rsidRPr="00357596">
        <w:rPr>
          <w:sz w:val="20"/>
        </w:rPr>
        <w:pict>
          <v:rect id="_x0000_i1027" style="width:2in;height:1pt" o:hrpct="0" o:hralign="center" o:hrstd="t" o:hrnoshade="t" o:hr="t" fillcolor="black [3213]" stroked="f"/>
        </w:pict>
      </w:r>
    </w:p>
    <w:p w:rsidR="00E85588" w:rsidRPr="00357596" w:rsidRDefault="00E85588" w:rsidP="00E85588">
      <w:pPr>
        <w:jc w:val="both"/>
        <w:rPr>
          <w:sz w:val="20"/>
        </w:rPr>
      </w:pPr>
    </w:p>
    <w:p w:rsidR="005C7161" w:rsidRPr="00357596" w:rsidRDefault="005C7161" w:rsidP="006A22CA">
      <w:pPr>
        <w:ind w:left="142" w:hanging="142"/>
        <w:jc w:val="both"/>
        <w:rPr>
          <w:sz w:val="20"/>
        </w:rPr>
      </w:pPr>
    </w:p>
    <w:p w:rsidR="00FD3FA0" w:rsidRPr="00357596" w:rsidRDefault="00FD3FA0" w:rsidP="006A22CA">
      <w:pPr>
        <w:ind w:left="142" w:hanging="142"/>
        <w:jc w:val="both"/>
        <w:rPr>
          <w:sz w:val="20"/>
        </w:rPr>
      </w:pPr>
    </w:p>
    <w:p w:rsidR="00D3344A" w:rsidRPr="00357596" w:rsidRDefault="00D3344A" w:rsidP="00D3344A">
      <w:pPr>
        <w:widowControl w:val="0"/>
        <w:outlineLvl w:val="0"/>
      </w:pPr>
      <w:r w:rsidRPr="00357596">
        <w:t xml:space="preserve">Supreme Court of Canada / Cour suprême du </w:t>
      </w:r>
      <w:proofErr w:type="gramStart"/>
      <w:r w:rsidRPr="00357596">
        <w:t>Canad</w:t>
      </w:r>
      <w:r w:rsidR="00EE289F" w:rsidRPr="00357596">
        <w:t>a</w:t>
      </w:r>
      <w:r w:rsidRPr="00357596">
        <w:t xml:space="preserve"> :</w:t>
      </w:r>
      <w:proofErr w:type="gramEnd"/>
    </w:p>
    <w:p w:rsidR="00D3344A" w:rsidRPr="00357596" w:rsidRDefault="00533FD5" w:rsidP="00D3344A">
      <w:pPr>
        <w:widowControl w:val="0"/>
        <w:outlineLvl w:val="0"/>
        <w:rPr>
          <w:u w:val="single"/>
        </w:rPr>
      </w:pPr>
      <w:hyperlink r:id="rId69" w:history="1">
        <w:r w:rsidR="009B7391" w:rsidRPr="00357596">
          <w:rPr>
            <w:rStyle w:val="Hyperlink"/>
          </w:rPr>
          <w:t>comments-commentaires@scc-csc.ca</w:t>
        </w:r>
      </w:hyperlink>
    </w:p>
    <w:p w:rsidR="00D3344A" w:rsidRPr="00357596" w:rsidRDefault="0065588C" w:rsidP="00D3344A">
      <w:pPr>
        <w:widowControl w:val="0"/>
        <w:outlineLvl w:val="0"/>
      </w:pPr>
      <w:r w:rsidRPr="00357596">
        <w:t>613-</w:t>
      </w:r>
      <w:r w:rsidR="00D3344A" w:rsidRPr="00357596">
        <w:t>995-4330</w:t>
      </w:r>
    </w:p>
    <w:p w:rsidR="00497B5E" w:rsidRPr="00357596" w:rsidRDefault="00497B5E" w:rsidP="00497B5E">
      <w:pPr>
        <w:widowControl w:val="0"/>
        <w:rPr>
          <w:sz w:val="20"/>
        </w:rPr>
      </w:pPr>
    </w:p>
    <w:p w:rsidR="00F6251B" w:rsidRPr="006E558B" w:rsidRDefault="003F43E6" w:rsidP="00F6251B">
      <w:pPr>
        <w:pStyle w:val="Footer"/>
        <w:jc w:val="center"/>
      </w:pPr>
      <w:r w:rsidRPr="00357596">
        <w:t>- 30 -</w:t>
      </w:r>
    </w:p>
    <w:sectPr w:rsidR="00F6251B" w:rsidRPr="006E558B" w:rsidSect="00E62F93">
      <w:headerReference w:type="even" r:id="rId70"/>
      <w:headerReference w:type="default" r:id="rId71"/>
      <w:footerReference w:type="even" r:id="rId72"/>
      <w:footerReference w:type="default" r:id="rId73"/>
      <w:headerReference w:type="first" r:id="rId74"/>
      <w:footerReference w:type="first" r:id="rId75"/>
      <w:pgSz w:w="12240" w:h="15840"/>
      <w:pgMar w:top="851" w:right="1440" w:bottom="1134" w:left="1440" w:header="578" w:footer="71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FD5" w:rsidRDefault="00533FD5" w:rsidP="0034178A">
      <w:r>
        <w:separator/>
      </w:r>
    </w:p>
  </w:endnote>
  <w:endnote w:type="continuationSeparator" w:id="0">
    <w:p w:rsidR="00533FD5" w:rsidRDefault="00533FD5" w:rsidP="00341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D5" w:rsidRDefault="00533F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D5" w:rsidRPr="009F77F0" w:rsidRDefault="00533FD5" w:rsidP="00EF33BF">
    <w:pPr>
      <w:pStyle w:val="Footer"/>
      <w:rPr>
        <w:lang w:val="fr-C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D5" w:rsidRDefault="00533F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FD5" w:rsidRDefault="00533FD5" w:rsidP="0034178A">
      <w:r>
        <w:separator/>
      </w:r>
    </w:p>
  </w:footnote>
  <w:footnote w:type="continuationSeparator" w:id="0">
    <w:p w:rsidR="00533FD5" w:rsidRDefault="00533FD5" w:rsidP="00341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D5" w:rsidRDefault="00533F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D5" w:rsidRDefault="00533FD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3FD5" w:rsidRDefault="00533F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C305FB"/>
    <w:multiLevelType w:val="hybridMultilevel"/>
    <w:tmpl w:val="A6EAF2B0"/>
    <w:lvl w:ilvl="0" w:tplc="1324CB94">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80F59"/>
    <w:multiLevelType w:val="hybridMultilevel"/>
    <w:tmpl w:val="EF5A10DE"/>
    <w:lvl w:ilvl="0" w:tplc="716E2C6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removePersonalInformation/>
  <w:removeDateAndTime/>
  <w:activeWritingStyle w:appName="MSWord" w:lang="en-CA" w:vendorID="64" w:dllVersion="131078" w:nlCheck="1" w:checkStyle="0"/>
  <w:activeWritingStyle w:appName="MSWord" w:lang="en-US" w:vendorID="64" w:dllVersion="131078" w:nlCheck="1" w:checkStyle="1"/>
  <w:activeWritingStyle w:appName="MSWord" w:lang="fr-CA" w:vendorID="64" w:dllVersion="131078" w:nlCheck="1" w:checkStyle="1"/>
  <w:activeWritingStyle w:appName="MSWord" w:lang="fr-FR" w:vendorID="64" w:dllVersion="131078" w:nlCheck="1" w:checkStyle="1"/>
  <w:activeWritingStyle w:appName="MSWord" w:lang="en-GB" w:vendorID="64" w:dllVersion="131078" w:nlCheck="1" w:checkStyle="1"/>
  <w:proofState w:spelling="clean" w:grammar="clean"/>
  <w:defaultTabStop w:val="720"/>
  <w:drawingGridHorizontalSpacing w:val="120"/>
  <w:displayHorizontalDrawingGridEvery w:val="2"/>
  <w:characterSpacingControl w:val="doNotCompress"/>
  <w:hdrShapeDefaults>
    <o:shapedefaults v:ext="edit" spidmax="131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C41"/>
    <w:rsid w:val="00000733"/>
    <w:rsid w:val="00001309"/>
    <w:rsid w:val="00001846"/>
    <w:rsid w:val="000018E3"/>
    <w:rsid w:val="000023A0"/>
    <w:rsid w:val="000026D6"/>
    <w:rsid w:val="00003072"/>
    <w:rsid w:val="00003A2D"/>
    <w:rsid w:val="00003D1C"/>
    <w:rsid w:val="00003FFB"/>
    <w:rsid w:val="000043C3"/>
    <w:rsid w:val="00006057"/>
    <w:rsid w:val="00006648"/>
    <w:rsid w:val="00006868"/>
    <w:rsid w:val="0000743E"/>
    <w:rsid w:val="000076E7"/>
    <w:rsid w:val="00010A38"/>
    <w:rsid w:val="000128A2"/>
    <w:rsid w:val="00012FFC"/>
    <w:rsid w:val="00013258"/>
    <w:rsid w:val="000136CC"/>
    <w:rsid w:val="0001374A"/>
    <w:rsid w:val="000147B1"/>
    <w:rsid w:val="00014C19"/>
    <w:rsid w:val="00014CA5"/>
    <w:rsid w:val="00014E32"/>
    <w:rsid w:val="00015958"/>
    <w:rsid w:val="000164DB"/>
    <w:rsid w:val="00016932"/>
    <w:rsid w:val="00016D65"/>
    <w:rsid w:val="00016D95"/>
    <w:rsid w:val="0001736B"/>
    <w:rsid w:val="000176FB"/>
    <w:rsid w:val="00017D08"/>
    <w:rsid w:val="00020797"/>
    <w:rsid w:val="00020816"/>
    <w:rsid w:val="00020A11"/>
    <w:rsid w:val="00020DAE"/>
    <w:rsid w:val="00021515"/>
    <w:rsid w:val="0002267C"/>
    <w:rsid w:val="00022EFE"/>
    <w:rsid w:val="000238E0"/>
    <w:rsid w:val="00024962"/>
    <w:rsid w:val="00024D1A"/>
    <w:rsid w:val="000250B7"/>
    <w:rsid w:val="00025F42"/>
    <w:rsid w:val="00026D5C"/>
    <w:rsid w:val="00027443"/>
    <w:rsid w:val="000276EE"/>
    <w:rsid w:val="00027781"/>
    <w:rsid w:val="000277E1"/>
    <w:rsid w:val="00030233"/>
    <w:rsid w:val="00030382"/>
    <w:rsid w:val="00030D15"/>
    <w:rsid w:val="00032189"/>
    <w:rsid w:val="00032732"/>
    <w:rsid w:val="00032BD3"/>
    <w:rsid w:val="00032CDB"/>
    <w:rsid w:val="00032E02"/>
    <w:rsid w:val="00033257"/>
    <w:rsid w:val="00033935"/>
    <w:rsid w:val="00033D1E"/>
    <w:rsid w:val="00033D28"/>
    <w:rsid w:val="00034387"/>
    <w:rsid w:val="000343B3"/>
    <w:rsid w:val="0003496D"/>
    <w:rsid w:val="00034A7F"/>
    <w:rsid w:val="000352F8"/>
    <w:rsid w:val="00035790"/>
    <w:rsid w:val="000368C3"/>
    <w:rsid w:val="00036DC6"/>
    <w:rsid w:val="0003725B"/>
    <w:rsid w:val="000374DA"/>
    <w:rsid w:val="00040247"/>
    <w:rsid w:val="00040C48"/>
    <w:rsid w:val="00040DBB"/>
    <w:rsid w:val="00041302"/>
    <w:rsid w:val="000414EB"/>
    <w:rsid w:val="0004159F"/>
    <w:rsid w:val="00041650"/>
    <w:rsid w:val="00041B58"/>
    <w:rsid w:val="00042069"/>
    <w:rsid w:val="00042390"/>
    <w:rsid w:val="00042618"/>
    <w:rsid w:val="0004298B"/>
    <w:rsid w:val="00042E94"/>
    <w:rsid w:val="000437B4"/>
    <w:rsid w:val="00043D20"/>
    <w:rsid w:val="00043FDE"/>
    <w:rsid w:val="000464AC"/>
    <w:rsid w:val="000467DE"/>
    <w:rsid w:val="00046CB2"/>
    <w:rsid w:val="00046DF1"/>
    <w:rsid w:val="00047188"/>
    <w:rsid w:val="0004769C"/>
    <w:rsid w:val="00047941"/>
    <w:rsid w:val="00047CD6"/>
    <w:rsid w:val="00051DE6"/>
    <w:rsid w:val="00052C3A"/>
    <w:rsid w:val="00053B2B"/>
    <w:rsid w:val="00053BAF"/>
    <w:rsid w:val="00054353"/>
    <w:rsid w:val="0005486A"/>
    <w:rsid w:val="00054A01"/>
    <w:rsid w:val="00054F8E"/>
    <w:rsid w:val="00055DB2"/>
    <w:rsid w:val="0005719F"/>
    <w:rsid w:val="000577D9"/>
    <w:rsid w:val="000579A0"/>
    <w:rsid w:val="00060753"/>
    <w:rsid w:val="00060981"/>
    <w:rsid w:val="00060B62"/>
    <w:rsid w:val="00061283"/>
    <w:rsid w:val="00062012"/>
    <w:rsid w:val="0006231F"/>
    <w:rsid w:val="000627A2"/>
    <w:rsid w:val="000629D7"/>
    <w:rsid w:val="0006325B"/>
    <w:rsid w:val="00063516"/>
    <w:rsid w:val="00063A81"/>
    <w:rsid w:val="0006417A"/>
    <w:rsid w:val="000645F4"/>
    <w:rsid w:val="00064D3D"/>
    <w:rsid w:val="000657E8"/>
    <w:rsid w:val="00065F8F"/>
    <w:rsid w:val="00066404"/>
    <w:rsid w:val="0006649C"/>
    <w:rsid w:val="0006663B"/>
    <w:rsid w:val="00066B80"/>
    <w:rsid w:val="00067F50"/>
    <w:rsid w:val="00070830"/>
    <w:rsid w:val="00070B2E"/>
    <w:rsid w:val="00073B1F"/>
    <w:rsid w:val="0007424A"/>
    <w:rsid w:val="00074E6D"/>
    <w:rsid w:val="00074EB7"/>
    <w:rsid w:val="000757E6"/>
    <w:rsid w:val="000770D5"/>
    <w:rsid w:val="00077C71"/>
    <w:rsid w:val="00077CCC"/>
    <w:rsid w:val="00077CF7"/>
    <w:rsid w:val="00077E16"/>
    <w:rsid w:val="00080523"/>
    <w:rsid w:val="00080675"/>
    <w:rsid w:val="000809B3"/>
    <w:rsid w:val="000809F1"/>
    <w:rsid w:val="00080EAB"/>
    <w:rsid w:val="00081348"/>
    <w:rsid w:val="00081C6A"/>
    <w:rsid w:val="00082444"/>
    <w:rsid w:val="000825A5"/>
    <w:rsid w:val="00082885"/>
    <w:rsid w:val="00082D8D"/>
    <w:rsid w:val="00082E05"/>
    <w:rsid w:val="00083162"/>
    <w:rsid w:val="000831D6"/>
    <w:rsid w:val="0008327A"/>
    <w:rsid w:val="00083C1B"/>
    <w:rsid w:val="000841F9"/>
    <w:rsid w:val="000843DB"/>
    <w:rsid w:val="000845AF"/>
    <w:rsid w:val="00084C8D"/>
    <w:rsid w:val="00085BE8"/>
    <w:rsid w:val="00085D13"/>
    <w:rsid w:val="00086629"/>
    <w:rsid w:val="00087808"/>
    <w:rsid w:val="000879BA"/>
    <w:rsid w:val="00090151"/>
    <w:rsid w:val="0009046F"/>
    <w:rsid w:val="00090A95"/>
    <w:rsid w:val="00090D30"/>
    <w:rsid w:val="00091FFC"/>
    <w:rsid w:val="00093575"/>
    <w:rsid w:val="00093693"/>
    <w:rsid w:val="00093B7C"/>
    <w:rsid w:val="00093DFA"/>
    <w:rsid w:val="00093FF5"/>
    <w:rsid w:val="00094C56"/>
    <w:rsid w:val="00095627"/>
    <w:rsid w:val="00095945"/>
    <w:rsid w:val="00095A2E"/>
    <w:rsid w:val="0009681E"/>
    <w:rsid w:val="00096BDC"/>
    <w:rsid w:val="00096F2F"/>
    <w:rsid w:val="000975EC"/>
    <w:rsid w:val="00097C55"/>
    <w:rsid w:val="000A0444"/>
    <w:rsid w:val="000A0472"/>
    <w:rsid w:val="000A0F64"/>
    <w:rsid w:val="000A152E"/>
    <w:rsid w:val="000A1691"/>
    <w:rsid w:val="000A1891"/>
    <w:rsid w:val="000A1E61"/>
    <w:rsid w:val="000A20B0"/>
    <w:rsid w:val="000A245A"/>
    <w:rsid w:val="000A2C8D"/>
    <w:rsid w:val="000A397A"/>
    <w:rsid w:val="000A4311"/>
    <w:rsid w:val="000A43F5"/>
    <w:rsid w:val="000A4D7E"/>
    <w:rsid w:val="000A50F9"/>
    <w:rsid w:val="000A53E5"/>
    <w:rsid w:val="000A6C60"/>
    <w:rsid w:val="000A6F64"/>
    <w:rsid w:val="000A76D7"/>
    <w:rsid w:val="000A7798"/>
    <w:rsid w:val="000A78FC"/>
    <w:rsid w:val="000A7978"/>
    <w:rsid w:val="000A7C00"/>
    <w:rsid w:val="000A7E1F"/>
    <w:rsid w:val="000B02A2"/>
    <w:rsid w:val="000B07FB"/>
    <w:rsid w:val="000B10DF"/>
    <w:rsid w:val="000B1297"/>
    <w:rsid w:val="000B163F"/>
    <w:rsid w:val="000B29B7"/>
    <w:rsid w:val="000B2CB2"/>
    <w:rsid w:val="000B38C9"/>
    <w:rsid w:val="000B46A2"/>
    <w:rsid w:val="000B47C0"/>
    <w:rsid w:val="000B503B"/>
    <w:rsid w:val="000B5E52"/>
    <w:rsid w:val="000B6193"/>
    <w:rsid w:val="000B6AB3"/>
    <w:rsid w:val="000B7258"/>
    <w:rsid w:val="000B754A"/>
    <w:rsid w:val="000B7552"/>
    <w:rsid w:val="000B76DB"/>
    <w:rsid w:val="000B7CBE"/>
    <w:rsid w:val="000B7E41"/>
    <w:rsid w:val="000B7EF2"/>
    <w:rsid w:val="000C0262"/>
    <w:rsid w:val="000C02C5"/>
    <w:rsid w:val="000C0E20"/>
    <w:rsid w:val="000C10EA"/>
    <w:rsid w:val="000C164B"/>
    <w:rsid w:val="000C182C"/>
    <w:rsid w:val="000C18B8"/>
    <w:rsid w:val="000C236F"/>
    <w:rsid w:val="000C2ADE"/>
    <w:rsid w:val="000C2CA7"/>
    <w:rsid w:val="000C321D"/>
    <w:rsid w:val="000C3667"/>
    <w:rsid w:val="000C41A6"/>
    <w:rsid w:val="000C41C9"/>
    <w:rsid w:val="000C467B"/>
    <w:rsid w:val="000C4781"/>
    <w:rsid w:val="000C4D58"/>
    <w:rsid w:val="000C53A3"/>
    <w:rsid w:val="000C572E"/>
    <w:rsid w:val="000C61C7"/>
    <w:rsid w:val="000C6AA2"/>
    <w:rsid w:val="000C6C97"/>
    <w:rsid w:val="000C7179"/>
    <w:rsid w:val="000C7BD5"/>
    <w:rsid w:val="000D002C"/>
    <w:rsid w:val="000D070B"/>
    <w:rsid w:val="000D1DDF"/>
    <w:rsid w:val="000D2200"/>
    <w:rsid w:val="000D262B"/>
    <w:rsid w:val="000D2F5C"/>
    <w:rsid w:val="000D2F8A"/>
    <w:rsid w:val="000D3129"/>
    <w:rsid w:val="000D3C7E"/>
    <w:rsid w:val="000D4BBF"/>
    <w:rsid w:val="000D556A"/>
    <w:rsid w:val="000D6416"/>
    <w:rsid w:val="000D66BD"/>
    <w:rsid w:val="000D6FB8"/>
    <w:rsid w:val="000D793B"/>
    <w:rsid w:val="000E0D38"/>
    <w:rsid w:val="000E1AEC"/>
    <w:rsid w:val="000E1B37"/>
    <w:rsid w:val="000E1FB7"/>
    <w:rsid w:val="000E3195"/>
    <w:rsid w:val="000E35CD"/>
    <w:rsid w:val="000E391F"/>
    <w:rsid w:val="000E3CC1"/>
    <w:rsid w:val="000E4801"/>
    <w:rsid w:val="000E4F1E"/>
    <w:rsid w:val="000E50F2"/>
    <w:rsid w:val="000E514D"/>
    <w:rsid w:val="000E51E9"/>
    <w:rsid w:val="000E5407"/>
    <w:rsid w:val="000E5979"/>
    <w:rsid w:val="000E5CCD"/>
    <w:rsid w:val="000E6310"/>
    <w:rsid w:val="000E68D3"/>
    <w:rsid w:val="000E6E56"/>
    <w:rsid w:val="000F03FB"/>
    <w:rsid w:val="000F0595"/>
    <w:rsid w:val="000F12B8"/>
    <w:rsid w:val="000F12C9"/>
    <w:rsid w:val="000F1BDC"/>
    <w:rsid w:val="000F233F"/>
    <w:rsid w:val="000F2CAD"/>
    <w:rsid w:val="000F3118"/>
    <w:rsid w:val="000F3522"/>
    <w:rsid w:val="000F3662"/>
    <w:rsid w:val="000F4B29"/>
    <w:rsid w:val="000F4C35"/>
    <w:rsid w:val="000F525E"/>
    <w:rsid w:val="000F5511"/>
    <w:rsid w:val="000F62C7"/>
    <w:rsid w:val="000F6CBD"/>
    <w:rsid w:val="0010013D"/>
    <w:rsid w:val="00100C1C"/>
    <w:rsid w:val="00100CEE"/>
    <w:rsid w:val="001017D1"/>
    <w:rsid w:val="00101E4B"/>
    <w:rsid w:val="001029D6"/>
    <w:rsid w:val="00102F8F"/>
    <w:rsid w:val="001033B2"/>
    <w:rsid w:val="001043C6"/>
    <w:rsid w:val="00105612"/>
    <w:rsid w:val="00105EA6"/>
    <w:rsid w:val="0010618E"/>
    <w:rsid w:val="001068F5"/>
    <w:rsid w:val="00106D48"/>
    <w:rsid w:val="00107219"/>
    <w:rsid w:val="00107693"/>
    <w:rsid w:val="00107A49"/>
    <w:rsid w:val="00107DAF"/>
    <w:rsid w:val="001101BB"/>
    <w:rsid w:val="00110FE1"/>
    <w:rsid w:val="001120A0"/>
    <w:rsid w:val="0011219D"/>
    <w:rsid w:val="00113F0C"/>
    <w:rsid w:val="0011442D"/>
    <w:rsid w:val="001147A4"/>
    <w:rsid w:val="00114929"/>
    <w:rsid w:val="00115653"/>
    <w:rsid w:val="00115CF1"/>
    <w:rsid w:val="001170C6"/>
    <w:rsid w:val="00117137"/>
    <w:rsid w:val="00117AF3"/>
    <w:rsid w:val="00117C0F"/>
    <w:rsid w:val="00117C68"/>
    <w:rsid w:val="0012000C"/>
    <w:rsid w:val="001200D6"/>
    <w:rsid w:val="00120360"/>
    <w:rsid w:val="0012068C"/>
    <w:rsid w:val="001207F9"/>
    <w:rsid w:val="00120BC7"/>
    <w:rsid w:val="00120C2F"/>
    <w:rsid w:val="00120CA0"/>
    <w:rsid w:val="00121008"/>
    <w:rsid w:val="0012101A"/>
    <w:rsid w:val="001215D6"/>
    <w:rsid w:val="0012202C"/>
    <w:rsid w:val="00122CE1"/>
    <w:rsid w:val="00122E2B"/>
    <w:rsid w:val="00123976"/>
    <w:rsid w:val="00124629"/>
    <w:rsid w:val="00124DEC"/>
    <w:rsid w:val="00124EFD"/>
    <w:rsid w:val="0012577E"/>
    <w:rsid w:val="0012596E"/>
    <w:rsid w:val="00125F7D"/>
    <w:rsid w:val="001260C8"/>
    <w:rsid w:val="001262EF"/>
    <w:rsid w:val="0012655D"/>
    <w:rsid w:val="00126583"/>
    <w:rsid w:val="00126B65"/>
    <w:rsid w:val="0012732F"/>
    <w:rsid w:val="00130339"/>
    <w:rsid w:val="001307C5"/>
    <w:rsid w:val="001311F8"/>
    <w:rsid w:val="00131433"/>
    <w:rsid w:val="0013159F"/>
    <w:rsid w:val="001319D2"/>
    <w:rsid w:val="00131EB1"/>
    <w:rsid w:val="00132635"/>
    <w:rsid w:val="0013283A"/>
    <w:rsid w:val="00134190"/>
    <w:rsid w:val="00134A11"/>
    <w:rsid w:val="00134F05"/>
    <w:rsid w:val="001354E7"/>
    <w:rsid w:val="00135A54"/>
    <w:rsid w:val="00136710"/>
    <w:rsid w:val="0013672B"/>
    <w:rsid w:val="00137CFA"/>
    <w:rsid w:val="00137F05"/>
    <w:rsid w:val="001400A0"/>
    <w:rsid w:val="00140982"/>
    <w:rsid w:val="00140CFB"/>
    <w:rsid w:val="00141200"/>
    <w:rsid w:val="00141591"/>
    <w:rsid w:val="0014172A"/>
    <w:rsid w:val="0014187A"/>
    <w:rsid w:val="00141FBC"/>
    <w:rsid w:val="001422C9"/>
    <w:rsid w:val="0014243F"/>
    <w:rsid w:val="0014294E"/>
    <w:rsid w:val="00142C72"/>
    <w:rsid w:val="001432CD"/>
    <w:rsid w:val="001432DF"/>
    <w:rsid w:val="00143447"/>
    <w:rsid w:val="00143519"/>
    <w:rsid w:val="001437C9"/>
    <w:rsid w:val="00143B74"/>
    <w:rsid w:val="00143E7A"/>
    <w:rsid w:val="00144111"/>
    <w:rsid w:val="00144A29"/>
    <w:rsid w:val="00147BE4"/>
    <w:rsid w:val="00147CDB"/>
    <w:rsid w:val="00147DDC"/>
    <w:rsid w:val="00147DE3"/>
    <w:rsid w:val="00150453"/>
    <w:rsid w:val="00150A0F"/>
    <w:rsid w:val="00150C10"/>
    <w:rsid w:val="00150D1B"/>
    <w:rsid w:val="00151336"/>
    <w:rsid w:val="00152366"/>
    <w:rsid w:val="00152EC0"/>
    <w:rsid w:val="00153B2D"/>
    <w:rsid w:val="00153B85"/>
    <w:rsid w:val="001553A8"/>
    <w:rsid w:val="001554CE"/>
    <w:rsid w:val="00155FD8"/>
    <w:rsid w:val="0015605D"/>
    <w:rsid w:val="001560EC"/>
    <w:rsid w:val="001561DC"/>
    <w:rsid w:val="00156508"/>
    <w:rsid w:val="0015754D"/>
    <w:rsid w:val="00157B04"/>
    <w:rsid w:val="00157BD4"/>
    <w:rsid w:val="00160284"/>
    <w:rsid w:val="0016057A"/>
    <w:rsid w:val="00160866"/>
    <w:rsid w:val="0016091C"/>
    <w:rsid w:val="00160E97"/>
    <w:rsid w:val="00161774"/>
    <w:rsid w:val="00161E40"/>
    <w:rsid w:val="00161F83"/>
    <w:rsid w:val="0016346F"/>
    <w:rsid w:val="00163837"/>
    <w:rsid w:val="00163A54"/>
    <w:rsid w:val="00164559"/>
    <w:rsid w:val="00164791"/>
    <w:rsid w:val="00165EAA"/>
    <w:rsid w:val="001665EA"/>
    <w:rsid w:val="00166949"/>
    <w:rsid w:val="00167721"/>
    <w:rsid w:val="00170788"/>
    <w:rsid w:val="001708BE"/>
    <w:rsid w:val="0017098A"/>
    <w:rsid w:val="00170C21"/>
    <w:rsid w:val="001716F7"/>
    <w:rsid w:val="00171A6F"/>
    <w:rsid w:val="00172993"/>
    <w:rsid w:val="00173064"/>
    <w:rsid w:val="001732B2"/>
    <w:rsid w:val="001739C2"/>
    <w:rsid w:val="00173B3A"/>
    <w:rsid w:val="00173FCF"/>
    <w:rsid w:val="00174655"/>
    <w:rsid w:val="00174D90"/>
    <w:rsid w:val="00175977"/>
    <w:rsid w:val="0017605B"/>
    <w:rsid w:val="001761EF"/>
    <w:rsid w:val="0017656E"/>
    <w:rsid w:val="00176790"/>
    <w:rsid w:val="00176D8B"/>
    <w:rsid w:val="0017751F"/>
    <w:rsid w:val="00180435"/>
    <w:rsid w:val="001809E0"/>
    <w:rsid w:val="00181375"/>
    <w:rsid w:val="001813C3"/>
    <w:rsid w:val="00181855"/>
    <w:rsid w:val="001819DA"/>
    <w:rsid w:val="00181FCF"/>
    <w:rsid w:val="00182693"/>
    <w:rsid w:val="001826A0"/>
    <w:rsid w:val="00182705"/>
    <w:rsid w:val="00182DFB"/>
    <w:rsid w:val="00182E38"/>
    <w:rsid w:val="001838E0"/>
    <w:rsid w:val="00183A15"/>
    <w:rsid w:val="00183F61"/>
    <w:rsid w:val="001845F7"/>
    <w:rsid w:val="001852AE"/>
    <w:rsid w:val="00185355"/>
    <w:rsid w:val="00185483"/>
    <w:rsid w:val="00185D52"/>
    <w:rsid w:val="0018601D"/>
    <w:rsid w:val="0018628A"/>
    <w:rsid w:val="001866BF"/>
    <w:rsid w:val="00186884"/>
    <w:rsid w:val="00187102"/>
    <w:rsid w:val="00187119"/>
    <w:rsid w:val="001878EB"/>
    <w:rsid w:val="0019000C"/>
    <w:rsid w:val="0019030D"/>
    <w:rsid w:val="0019076F"/>
    <w:rsid w:val="0019092C"/>
    <w:rsid w:val="00190C7A"/>
    <w:rsid w:val="00190E9E"/>
    <w:rsid w:val="00190F7F"/>
    <w:rsid w:val="0019269B"/>
    <w:rsid w:val="001929EF"/>
    <w:rsid w:val="00192AB3"/>
    <w:rsid w:val="00192F7F"/>
    <w:rsid w:val="001939CB"/>
    <w:rsid w:val="00193F5B"/>
    <w:rsid w:val="00194559"/>
    <w:rsid w:val="001947C1"/>
    <w:rsid w:val="001948EC"/>
    <w:rsid w:val="00194F2A"/>
    <w:rsid w:val="0019508F"/>
    <w:rsid w:val="001953F2"/>
    <w:rsid w:val="0019547E"/>
    <w:rsid w:val="00195688"/>
    <w:rsid w:val="00196BE4"/>
    <w:rsid w:val="0019734C"/>
    <w:rsid w:val="0019776A"/>
    <w:rsid w:val="001A0137"/>
    <w:rsid w:val="001A06DE"/>
    <w:rsid w:val="001A08FF"/>
    <w:rsid w:val="001A17B1"/>
    <w:rsid w:val="001A1AE7"/>
    <w:rsid w:val="001A2314"/>
    <w:rsid w:val="001A3100"/>
    <w:rsid w:val="001A3A22"/>
    <w:rsid w:val="001A3AA1"/>
    <w:rsid w:val="001A3CBF"/>
    <w:rsid w:val="001A3F98"/>
    <w:rsid w:val="001A4109"/>
    <w:rsid w:val="001A4547"/>
    <w:rsid w:val="001A48FB"/>
    <w:rsid w:val="001A4C89"/>
    <w:rsid w:val="001A562F"/>
    <w:rsid w:val="001A646C"/>
    <w:rsid w:val="001A66AF"/>
    <w:rsid w:val="001B0800"/>
    <w:rsid w:val="001B09DF"/>
    <w:rsid w:val="001B100D"/>
    <w:rsid w:val="001B1019"/>
    <w:rsid w:val="001B1B0D"/>
    <w:rsid w:val="001B2704"/>
    <w:rsid w:val="001B2C82"/>
    <w:rsid w:val="001B2F6B"/>
    <w:rsid w:val="001B354E"/>
    <w:rsid w:val="001B3657"/>
    <w:rsid w:val="001B3EDD"/>
    <w:rsid w:val="001B3EE2"/>
    <w:rsid w:val="001B43FF"/>
    <w:rsid w:val="001B4478"/>
    <w:rsid w:val="001B4569"/>
    <w:rsid w:val="001B484F"/>
    <w:rsid w:val="001B4B99"/>
    <w:rsid w:val="001B5B2D"/>
    <w:rsid w:val="001B5EB4"/>
    <w:rsid w:val="001B6030"/>
    <w:rsid w:val="001B68D3"/>
    <w:rsid w:val="001B6F65"/>
    <w:rsid w:val="001B72AE"/>
    <w:rsid w:val="001B76EB"/>
    <w:rsid w:val="001B776A"/>
    <w:rsid w:val="001B7B29"/>
    <w:rsid w:val="001C0B1F"/>
    <w:rsid w:val="001C0C39"/>
    <w:rsid w:val="001C0E0C"/>
    <w:rsid w:val="001C1A1F"/>
    <w:rsid w:val="001C1B4B"/>
    <w:rsid w:val="001C2BA0"/>
    <w:rsid w:val="001C2F21"/>
    <w:rsid w:val="001C321B"/>
    <w:rsid w:val="001C3C19"/>
    <w:rsid w:val="001C3E96"/>
    <w:rsid w:val="001C3ED4"/>
    <w:rsid w:val="001C4E12"/>
    <w:rsid w:val="001C567B"/>
    <w:rsid w:val="001C5E6C"/>
    <w:rsid w:val="001C6815"/>
    <w:rsid w:val="001C6B3A"/>
    <w:rsid w:val="001C7591"/>
    <w:rsid w:val="001D006E"/>
    <w:rsid w:val="001D0423"/>
    <w:rsid w:val="001D073F"/>
    <w:rsid w:val="001D0DE3"/>
    <w:rsid w:val="001D1020"/>
    <w:rsid w:val="001D15CF"/>
    <w:rsid w:val="001D1E16"/>
    <w:rsid w:val="001D235D"/>
    <w:rsid w:val="001D2555"/>
    <w:rsid w:val="001D337C"/>
    <w:rsid w:val="001D380D"/>
    <w:rsid w:val="001D41F0"/>
    <w:rsid w:val="001D65C6"/>
    <w:rsid w:val="001D6CED"/>
    <w:rsid w:val="001E04E8"/>
    <w:rsid w:val="001E184B"/>
    <w:rsid w:val="001E1EE3"/>
    <w:rsid w:val="001E1F20"/>
    <w:rsid w:val="001E26B5"/>
    <w:rsid w:val="001E2AA6"/>
    <w:rsid w:val="001E386F"/>
    <w:rsid w:val="001E394B"/>
    <w:rsid w:val="001E3BCD"/>
    <w:rsid w:val="001E4E84"/>
    <w:rsid w:val="001E4EBC"/>
    <w:rsid w:val="001E5107"/>
    <w:rsid w:val="001E55D4"/>
    <w:rsid w:val="001E6376"/>
    <w:rsid w:val="001E71B5"/>
    <w:rsid w:val="001E7B18"/>
    <w:rsid w:val="001F0D95"/>
    <w:rsid w:val="001F15CD"/>
    <w:rsid w:val="001F1A6D"/>
    <w:rsid w:val="001F1F3F"/>
    <w:rsid w:val="001F27B1"/>
    <w:rsid w:val="001F2F00"/>
    <w:rsid w:val="001F348D"/>
    <w:rsid w:val="001F3AE7"/>
    <w:rsid w:val="001F47D0"/>
    <w:rsid w:val="001F5B11"/>
    <w:rsid w:val="001F6550"/>
    <w:rsid w:val="001F69E8"/>
    <w:rsid w:val="001F7038"/>
    <w:rsid w:val="001F7320"/>
    <w:rsid w:val="00200F31"/>
    <w:rsid w:val="002012D7"/>
    <w:rsid w:val="00201B26"/>
    <w:rsid w:val="0020221F"/>
    <w:rsid w:val="00202E67"/>
    <w:rsid w:val="00203AEA"/>
    <w:rsid w:val="00203D33"/>
    <w:rsid w:val="00204D0F"/>
    <w:rsid w:val="00205051"/>
    <w:rsid w:val="0020794A"/>
    <w:rsid w:val="00207A23"/>
    <w:rsid w:val="00207C7F"/>
    <w:rsid w:val="00210B48"/>
    <w:rsid w:val="00211174"/>
    <w:rsid w:val="0021175A"/>
    <w:rsid w:val="00211B9D"/>
    <w:rsid w:val="002120BD"/>
    <w:rsid w:val="00212962"/>
    <w:rsid w:val="00213196"/>
    <w:rsid w:val="00214731"/>
    <w:rsid w:val="00214F01"/>
    <w:rsid w:val="0021540E"/>
    <w:rsid w:val="00215C9A"/>
    <w:rsid w:val="0021615A"/>
    <w:rsid w:val="002169FE"/>
    <w:rsid w:val="00216F58"/>
    <w:rsid w:val="00217135"/>
    <w:rsid w:val="0022132D"/>
    <w:rsid w:val="00221D16"/>
    <w:rsid w:val="00221D27"/>
    <w:rsid w:val="00222064"/>
    <w:rsid w:val="00222CAE"/>
    <w:rsid w:val="00223622"/>
    <w:rsid w:val="002237D8"/>
    <w:rsid w:val="0022382C"/>
    <w:rsid w:val="00223B83"/>
    <w:rsid w:val="00223DAB"/>
    <w:rsid w:val="00224D56"/>
    <w:rsid w:val="0022536E"/>
    <w:rsid w:val="002258F4"/>
    <w:rsid w:val="00225A53"/>
    <w:rsid w:val="00225C88"/>
    <w:rsid w:val="002262C4"/>
    <w:rsid w:val="002264F4"/>
    <w:rsid w:val="00227A81"/>
    <w:rsid w:val="00230A52"/>
    <w:rsid w:val="00231427"/>
    <w:rsid w:val="00231B27"/>
    <w:rsid w:val="00231FE3"/>
    <w:rsid w:val="002326CA"/>
    <w:rsid w:val="00232934"/>
    <w:rsid w:val="00232BAB"/>
    <w:rsid w:val="00233057"/>
    <w:rsid w:val="002331EC"/>
    <w:rsid w:val="00233ABC"/>
    <w:rsid w:val="00234906"/>
    <w:rsid w:val="00234A3D"/>
    <w:rsid w:val="00235ACB"/>
    <w:rsid w:val="00235DEC"/>
    <w:rsid w:val="00236B10"/>
    <w:rsid w:val="00236EEA"/>
    <w:rsid w:val="002372B2"/>
    <w:rsid w:val="0023785A"/>
    <w:rsid w:val="00237DD0"/>
    <w:rsid w:val="002401C8"/>
    <w:rsid w:val="002407C6"/>
    <w:rsid w:val="00240AF3"/>
    <w:rsid w:val="00240DEB"/>
    <w:rsid w:val="0024142D"/>
    <w:rsid w:val="00241714"/>
    <w:rsid w:val="00241F1E"/>
    <w:rsid w:val="0024354E"/>
    <w:rsid w:val="00243D06"/>
    <w:rsid w:val="002442D3"/>
    <w:rsid w:val="002449C0"/>
    <w:rsid w:val="00244CDD"/>
    <w:rsid w:val="00245302"/>
    <w:rsid w:val="0024568B"/>
    <w:rsid w:val="00245D73"/>
    <w:rsid w:val="002460F2"/>
    <w:rsid w:val="00246374"/>
    <w:rsid w:val="002472FE"/>
    <w:rsid w:val="002477B4"/>
    <w:rsid w:val="0025030E"/>
    <w:rsid w:val="002503B8"/>
    <w:rsid w:val="00250F72"/>
    <w:rsid w:val="002514CA"/>
    <w:rsid w:val="00252675"/>
    <w:rsid w:val="00252803"/>
    <w:rsid w:val="00252FDB"/>
    <w:rsid w:val="0025369C"/>
    <w:rsid w:val="00254AAA"/>
    <w:rsid w:val="0025559A"/>
    <w:rsid w:val="00255E07"/>
    <w:rsid w:val="002567CD"/>
    <w:rsid w:val="00257287"/>
    <w:rsid w:val="00257322"/>
    <w:rsid w:val="002574ED"/>
    <w:rsid w:val="002576B5"/>
    <w:rsid w:val="0025785E"/>
    <w:rsid w:val="00260B9A"/>
    <w:rsid w:val="002612BE"/>
    <w:rsid w:val="002613AC"/>
    <w:rsid w:val="0026148A"/>
    <w:rsid w:val="002614AF"/>
    <w:rsid w:val="00261D3C"/>
    <w:rsid w:val="00262C42"/>
    <w:rsid w:val="0026349D"/>
    <w:rsid w:val="00263AF2"/>
    <w:rsid w:val="00264405"/>
    <w:rsid w:val="00265174"/>
    <w:rsid w:val="00266503"/>
    <w:rsid w:val="00266E0E"/>
    <w:rsid w:val="00266FD4"/>
    <w:rsid w:val="002671CC"/>
    <w:rsid w:val="00267241"/>
    <w:rsid w:val="002676FA"/>
    <w:rsid w:val="002677C2"/>
    <w:rsid w:val="00267CA4"/>
    <w:rsid w:val="00267F57"/>
    <w:rsid w:val="00270135"/>
    <w:rsid w:val="0027099E"/>
    <w:rsid w:val="002709E7"/>
    <w:rsid w:val="00271222"/>
    <w:rsid w:val="00271B2A"/>
    <w:rsid w:val="00272101"/>
    <w:rsid w:val="002728FA"/>
    <w:rsid w:val="0027369C"/>
    <w:rsid w:val="00273706"/>
    <w:rsid w:val="00273FF3"/>
    <w:rsid w:val="00274A18"/>
    <w:rsid w:val="00274B8F"/>
    <w:rsid w:val="00274D9D"/>
    <w:rsid w:val="002769B7"/>
    <w:rsid w:val="00276C42"/>
    <w:rsid w:val="002775A0"/>
    <w:rsid w:val="0027764C"/>
    <w:rsid w:val="00280C4C"/>
    <w:rsid w:val="00280E55"/>
    <w:rsid w:val="0028141B"/>
    <w:rsid w:val="00281E59"/>
    <w:rsid w:val="00282FEC"/>
    <w:rsid w:val="00282FF3"/>
    <w:rsid w:val="0028364E"/>
    <w:rsid w:val="00284655"/>
    <w:rsid w:val="002848CB"/>
    <w:rsid w:val="00284D72"/>
    <w:rsid w:val="00285776"/>
    <w:rsid w:val="002858BA"/>
    <w:rsid w:val="0028661B"/>
    <w:rsid w:val="002866B6"/>
    <w:rsid w:val="002866D9"/>
    <w:rsid w:val="0028686B"/>
    <w:rsid w:val="002912A0"/>
    <w:rsid w:val="0029184C"/>
    <w:rsid w:val="0029235D"/>
    <w:rsid w:val="00292574"/>
    <w:rsid w:val="002926A4"/>
    <w:rsid w:val="0029283C"/>
    <w:rsid w:val="00292EA2"/>
    <w:rsid w:val="00292F35"/>
    <w:rsid w:val="00292F9A"/>
    <w:rsid w:val="0029396A"/>
    <w:rsid w:val="00293DE2"/>
    <w:rsid w:val="00294D80"/>
    <w:rsid w:val="00295E8C"/>
    <w:rsid w:val="00296148"/>
    <w:rsid w:val="0029649C"/>
    <w:rsid w:val="00296FB8"/>
    <w:rsid w:val="0029771E"/>
    <w:rsid w:val="002A01ED"/>
    <w:rsid w:val="002A04CF"/>
    <w:rsid w:val="002A0621"/>
    <w:rsid w:val="002A07B1"/>
    <w:rsid w:val="002A0B1A"/>
    <w:rsid w:val="002A17E0"/>
    <w:rsid w:val="002A21C3"/>
    <w:rsid w:val="002A44EF"/>
    <w:rsid w:val="002A4823"/>
    <w:rsid w:val="002A50D2"/>
    <w:rsid w:val="002A5245"/>
    <w:rsid w:val="002A55D1"/>
    <w:rsid w:val="002A5C41"/>
    <w:rsid w:val="002A5CF5"/>
    <w:rsid w:val="002A60FB"/>
    <w:rsid w:val="002A63B1"/>
    <w:rsid w:val="002A6D5F"/>
    <w:rsid w:val="002A6EA4"/>
    <w:rsid w:val="002A7839"/>
    <w:rsid w:val="002A7B04"/>
    <w:rsid w:val="002A7E9D"/>
    <w:rsid w:val="002B0D7E"/>
    <w:rsid w:val="002B0E75"/>
    <w:rsid w:val="002B0F51"/>
    <w:rsid w:val="002B15AC"/>
    <w:rsid w:val="002B193B"/>
    <w:rsid w:val="002B19FB"/>
    <w:rsid w:val="002B36C3"/>
    <w:rsid w:val="002B3812"/>
    <w:rsid w:val="002B383A"/>
    <w:rsid w:val="002B532E"/>
    <w:rsid w:val="002B543A"/>
    <w:rsid w:val="002B5525"/>
    <w:rsid w:val="002B5A2E"/>
    <w:rsid w:val="002B5A4B"/>
    <w:rsid w:val="002B5AA3"/>
    <w:rsid w:val="002B61A8"/>
    <w:rsid w:val="002B678E"/>
    <w:rsid w:val="002B68FE"/>
    <w:rsid w:val="002B7AFC"/>
    <w:rsid w:val="002C0717"/>
    <w:rsid w:val="002C0BC3"/>
    <w:rsid w:val="002C0D00"/>
    <w:rsid w:val="002C10D1"/>
    <w:rsid w:val="002C1CFA"/>
    <w:rsid w:val="002C239C"/>
    <w:rsid w:val="002C2F4E"/>
    <w:rsid w:val="002C30B8"/>
    <w:rsid w:val="002C356F"/>
    <w:rsid w:val="002C3A5F"/>
    <w:rsid w:val="002C3CEB"/>
    <w:rsid w:val="002C433A"/>
    <w:rsid w:val="002C43CD"/>
    <w:rsid w:val="002C4406"/>
    <w:rsid w:val="002C4DD7"/>
    <w:rsid w:val="002C4E55"/>
    <w:rsid w:val="002C5754"/>
    <w:rsid w:val="002C6BF5"/>
    <w:rsid w:val="002C6D79"/>
    <w:rsid w:val="002C765A"/>
    <w:rsid w:val="002C7B4C"/>
    <w:rsid w:val="002D0C49"/>
    <w:rsid w:val="002D0F70"/>
    <w:rsid w:val="002D1469"/>
    <w:rsid w:val="002D2333"/>
    <w:rsid w:val="002D2553"/>
    <w:rsid w:val="002D43A1"/>
    <w:rsid w:val="002D48D1"/>
    <w:rsid w:val="002D54D8"/>
    <w:rsid w:val="002D6310"/>
    <w:rsid w:val="002D63D6"/>
    <w:rsid w:val="002D667F"/>
    <w:rsid w:val="002D6680"/>
    <w:rsid w:val="002D6EFA"/>
    <w:rsid w:val="002D79DB"/>
    <w:rsid w:val="002D7F1A"/>
    <w:rsid w:val="002E00CC"/>
    <w:rsid w:val="002E0473"/>
    <w:rsid w:val="002E0BB8"/>
    <w:rsid w:val="002E1197"/>
    <w:rsid w:val="002E1312"/>
    <w:rsid w:val="002E1AB7"/>
    <w:rsid w:val="002E1AF1"/>
    <w:rsid w:val="002E1F29"/>
    <w:rsid w:val="002E24D4"/>
    <w:rsid w:val="002E293D"/>
    <w:rsid w:val="002E2A27"/>
    <w:rsid w:val="002E3911"/>
    <w:rsid w:val="002E3E8A"/>
    <w:rsid w:val="002E527B"/>
    <w:rsid w:val="002E56B2"/>
    <w:rsid w:val="002E5ACF"/>
    <w:rsid w:val="002E604B"/>
    <w:rsid w:val="002E6084"/>
    <w:rsid w:val="002E710B"/>
    <w:rsid w:val="002E7C69"/>
    <w:rsid w:val="002F06D0"/>
    <w:rsid w:val="002F15AD"/>
    <w:rsid w:val="002F2CF2"/>
    <w:rsid w:val="002F369F"/>
    <w:rsid w:val="002F3830"/>
    <w:rsid w:val="002F38D7"/>
    <w:rsid w:val="002F3EFA"/>
    <w:rsid w:val="002F42D9"/>
    <w:rsid w:val="002F4929"/>
    <w:rsid w:val="002F5989"/>
    <w:rsid w:val="002F694D"/>
    <w:rsid w:val="002F73F4"/>
    <w:rsid w:val="002F7DD0"/>
    <w:rsid w:val="002F7DDE"/>
    <w:rsid w:val="002F7E97"/>
    <w:rsid w:val="003000FF"/>
    <w:rsid w:val="003006A1"/>
    <w:rsid w:val="003012A2"/>
    <w:rsid w:val="00301499"/>
    <w:rsid w:val="003018B7"/>
    <w:rsid w:val="0030204B"/>
    <w:rsid w:val="003020C6"/>
    <w:rsid w:val="0030280A"/>
    <w:rsid w:val="00302C8C"/>
    <w:rsid w:val="00303EF4"/>
    <w:rsid w:val="00304ACA"/>
    <w:rsid w:val="00304F2A"/>
    <w:rsid w:val="00305A1B"/>
    <w:rsid w:val="003062D8"/>
    <w:rsid w:val="0030704A"/>
    <w:rsid w:val="003070B7"/>
    <w:rsid w:val="00307309"/>
    <w:rsid w:val="003075BC"/>
    <w:rsid w:val="00307E7E"/>
    <w:rsid w:val="003101EC"/>
    <w:rsid w:val="003104EE"/>
    <w:rsid w:val="003106DE"/>
    <w:rsid w:val="00311663"/>
    <w:rsid w:val="00311B59"/>
    <w:rsid w:val="0031227B"/>
    <w:rsid w:val="003127F4"/>
    <w:rsid w:val="00312A20"/>
    <w:rsid w:val="003133C7"/>
    <w:rsid w:val="00313652"/>
    <w:rsid w:val="0031376D"/>
    <w:rsid w:val="00313D36"/>
    <w:rsid w:val="00314899"/>
    <w:rsid w:val="003151B5"/>
    <w:rsid w:val="00315AF8"/>
    <w:rsid w:val="00315C91"/>
    <w:rsid w:val="003168A7"/>
    <w:rsid w:val="003175F3"/>
    <w:rsid w:val="00317835"/>
    <w:rsid w:val="00317A71"/>
    <w:rsid w:val="00317C72"/>
    <w:rsid w:val="00320ED9"/>
    <w:rsid w:val="00321DAA"/>
    <w:rsid w:val="003225D9"/>
    <w:rsid w:val="00322AF3"/>
    <w:rsid w:val="0032306C"/>
    <w:rsid w:val="00323146"/>
    <w:rsid w:val="003235CC"/>
    <w:rsid w:val="003240B6"/>
    <w:rsid w:val="00324EC4"/>
    <w:rsid w:val="00324FE0"/>
    <w:rsid w:val="00325427"/>
    <w:rsid w:val="00325668"/>
    <w:rsid w:val="00325823"/>
    <w:rsid w:val="00325E60"/>
    <w:rsid w:val="0032752E"/>
    <w:rsid w:val="00327705"/>
    <w:rsid w:val="00330014"/>
    <w:rsid w:val="0033097A"/>
    <w:rsid w:val="00330C51"/>
    <w:rsid w:val="00330DCC"/>
    <w:rsid w:val="003310D4"/>
    <w:rsid w:val="0033199D"/>
    <w:rsid w:val="00331CFC"/>
    <w:rsid w:val="0033241A"/>
    <w:rsid w:val="00332627"/>
    <w:rsid w:val="00332A87"/>
    <w:rsid w:val="00332E97"/>
    <w:rsid w:val="00332F1F"/>
    <w:rsid w:val="00333196"/>
    <w:rsid w:val="0033432E"/>
    <w:rsid w:val="00334EB2"/>
    <w:rsid w:val="003351CE"/>
    <w:rsid w:val="0033535C"/>
    <w:rsid w:val="00335589"/>
    <w:rsid w:val="0033559C"/>
    <w:rsid w:val="0033625F"/>
    <w:rsid w:val="003362C9"/>
    <w:rsid w:val="003379DC"/>
    <w:rsid w:val="00337C8D"/>
    <w:rsid w:val="00340D7B"/>
    <w:rsid w:val="00341556"/>
    <w:rsid w:val="0034178A"/>
    <w:rsid w:val="003429E0"/>
    <w:rsid w:val="003436C7"/>
    <w:rsid w:val="00343A3B"/>
    <w:rsid w:val="00343B7B"/>
    <w:rsid w:val="00343C1E"/>
    <w:rsid w:val="003441F0"/>
    <w:rsid w:val="00346021"/>
    <w:rsid w:val="00346127"/>
    <w:rsid w:val="00346B36"/>
    <w:rsid w:val="0034796D"/>
    <w:rsid w:val="00347CC0"/>
    <w:rsid w:val="0035093A"/>
    <w:rsid w:val="003509E6"/>
    <w:rsid w:val="00350F1B"/>
    <w:rsid w:val="00351016"/>
    <w:rsid w:val="00351237"/>
    <w:rsid w:val="00351946"/>
    <w:rsid w:val="00351B53"/>
    <w:rsid w:val="00351FF0"/>
    <w:rsid w:val="0035210E"/>
    <w:rsid w:val="003521FD"/>
    <w:rsid w:val="00352802"/>
    <w:rsid w:val="00352C0E"/>
    <w:rsid w:val="00353085"/>
    <w:rsid w:val="003535EF"/>
    <w:rsid w:val="003538EF"/>
    <w:rsid w:val="00354D5C"/>
    <w:rsid w:val="0035515E"/>
    <w:rsid w:val="0035543B"/>
    <w:rsid w:val="00355868"/>
    <w:rsid w:val="00355E2C"/>
    <w:rsid w:val="00355EAC"/>
    <w:rsid w:val="00357596"/>
    <w:rsid w:val="003575B9"/>
    <w:rsid w:val="00357828"/>
    <w:rsid w:val="00357895"/>
    <w:rsid w:val="00357916"/>
    <w:rsid w:val="00357B15"/>
    <w:rsid w:val="0036025D"/>
    <w:rsid w:val="00360937"/>
    <w:rsid w:val="00360957"/>
    <w:rsid w:val="00360B19"/>
    <w:rsid w:val="00360FCE"/>
    <w:rsid w:val="0036193E"/>
    <w:rsid w:val="003626D8"/>
    <w:rsid w:val="00362D25"/>
    <w:rsid w:val="00362DF3"/>
    <w:rsid w:val="00362E82"/>
    <w:rsid w:val="00363384"/>
    <w:rsid w:val="00364001"/>
    <w:rsid w:val="003658BD"/>
    <w:rsid w:val="00365B5F"/>
    <w:rsid w:val="00365DC3"/>
    <w:rsid w:val="0036633C"/>
    <w:rsid w:val="00366CA4"/>
    <w:rsid w:val="00366CC9"/>
    <w:rsid w:val="0036763E"/>
    <w:rsid w:val="00367773"/>
    <w:rsid w:val="00367C14"/>
    <w:rsid w:val="00367E02"/>
    <w:rsid w:val="0037013D"/>
    <w:rsid w:val="0037078A"/>
    <w:rsid w:val="00370DA4"/>
    <w:rsid w:val="003710CD"/>
    <w:rsid w:val="00371CE1"/>
    <w:rsid w:val="00372673"/>
    <w:rsid w:val="00372E91"/>
    <w:rsid w:val="00372FAD"/>
    <w:rsid w:val="00372FD5"/>
    <w:rsid w:val="003731FD"/>
    <w:rsid w:val="00373321"/>
    <w:rsid w:val="003739D8"/>
    <w:rsid w:val="00375433"/>
    <w:rsid w:val="0037552F"/>
    <w:rsid w:val="0037573C"/>
    <w:rsid w:val="003758C3"/>
    <w:rsid w:val="0037633B"/>
    <w:rsid w:val="00376958"/>
    <w:rsid w:val="00376B25"/>
    <w:rsid w:val="00376C1A"/>
    <w:rsid w:val="00376DE7"/>
    <w:rsid w:val="0037769F"/>
    <w:rsid w:val="0037792A"/>
    <w:rsid w:val="00377C17"/>
    <w:rsid w:val="00377C46"/>
    <w:rsid w:val="003817A9"/>
    <w:rsid w:val="00382BFE"/>
    <w:rsid w:val="00383057"/>
    <w:rsid w:val="00383AFB"/>
    <w:rsid w:val="00383B9B"/>
    <w:rsid w:val="0038431A"/>
    <w:rsid w:val="0038547C"/>
    <w:rsid w:val="003857D3"/>
    <w:rsid w:val="00385A88"/>
    <w:rsid w:val="00385BA5"/>
    <w:rsid w:val="00386E93"/>
    <w:rsid w:val="00387900"/>
    <w:rsid w:val="00387AF8"/>
    <w:rsid w:val="00387BE8"/>
    <w:rsid w:val="00390065"/>
    <w:rsid w:val="00390A1E"/>
    <w:rsid w:val="0039120F"/>
    <w:rsid w:val="00393383"/>
    <w:rsid w:val="00393660"/>
    <w:rsid w:val="00393F9F"/>
    <w:rsid w:val="003940A4"/>
    <w:rsid w:val="00394A88"/>
    <w:rsid w:val="003957B6"/>
    <w:rsid w:val="003958AE"/>
    <w:rsid w:val="00395D43"/>
    <w:rsid w:val="00396076"/>
    <w:rsid w:val="0039618A"/>
    <w:rsid w:val="0039624A"/>
    <w:rsid w:val="0039709D"/>
    <w:rsid w:val="00397213"/>
    <w:rsid w:val="003A00C9"/>
    <w:rsid w:val="003A0258"/>
    <w:rsid w:val="003A08CE"/>
    <w:rsid w:val="003A11C4"/>
    <w:rsid w:val="003A1F69"/>
    <w:rsid w:val="003A47E8"/>
    <w:rsid w:val="003A4AB7"/>
    <w:rsid w:val="003A5083"/>
    <w:rsid w:val="003A58BA"/>
    <w:rsid w:val="003A67C6"/>
    <w:rsid w:val="003A7124"/>
    <w:rsid w:val="003B00B8"/>
    <w:rsid w:val="003B02EC"/>
    <w:rsid w:val="003B0718"/>
    <w:rsid w:val="003B1455"/>
    <w:rsid w:val="003B1639"/>
    <w:rsid w:val="003B196D"/>
    <w:rsid w:val="003B216A"/>
    <w:rsid w:val="003B23AF"/>
    <w:rsid w:val="003B2AC6"/>
    <w:rsid w:val="003B2F30"/>
    <w:rsid w:val="003B3019"/>
    <w:rsid w:val="003B34C2"/>
    <w:rsid w:val="003B39D7"/>
    <w:rsid w:val="003B3BF0"/>
    <w:rsid w:val="003B4B2E"/>
    <w:rsid w:val="003B4B41"/>
    <w:rsid w:val="003B51EE"/>
    <w:rsid w:val="003B61F0"/>
    <w:rsid w:val="003B62DF"/>
    <w:rsid w:val="003B6357"/>
    <w:rsid w:val="003B64B3"/>
    <w:rsid w:val="003B693A"/>
    <w:rsid w:val="003B6AB8"/>
    <w:rsid w:val="003B6DBC"/>
    <w:rsid w:val="003B6E18"/>
    <w:rsid w:val="003B7053"/>
    <w:rsid w:val="003B7102"/>
    <w:rsid w:val="003B774F"/>
    <w:rsid w:val="003B7778"/>
    <w:rsid w:val="003B7D49"/>
    <w:rsid w:val="003B7E00"/>
    <w:rsid w:val="003B7EA2"/>
    <w:rsid w:val="003C02CC"/>
    <w:rsid w:val="003C0862"/>
    <w:rsid w:val="003C0C25"/>
    <w:rsid w:val="003C160A"/>
    <w:rsid w:val="003C19D0"/>
    <w:rsid w:val="003C2377"/>
    <w:rsid w:val="003C2BBD"/>
    <w:rsid w:val="003C2CE7"/>
    <w:rsid w:val="003C2D62"/>
    <w:rsid w:val="003C3097"/>
    <w:rsid w:val="003C3816"/>
    <w:rsid w:val="003C4234"/>
    <w:rsid w:val="003C4C8B"/>
    <w:rsid w:val="003C54B4"/>
    <w:rsid w:val="003C5F5E"/>
    <w:rsid w:val="003C5FC2"/>
    <w:rsid w:val="003C656D"/>
    <w:rsid w:val="003C6612"/>
    <w:rsid w:val="003C6A1E"/>
    <w:rsid w:val="003C6BB7"/>
    <w:rsid w:val="003C7603"/>
    <w:rsid w:val="003D0A88"/>
    <w:rsid w:val="003D0DC8"/>
    <w:rsid w:val="003D12C2"/>
    <w:rsid w:val="003D19A0"/>
    <w:rsid w:val="003D265F"/>
    <w:rsid w:val="003D27BD"/>
    <w:rsid w:val="003D3202"/>
    <w:rsid w:val="003D353C"/>
    <w:rsid w:val="003D63C8"/>
    <w:rsid w:val="003D6472"/>
    <w:rsid w:val="003D6A4E"/>
    <w:rsid w:val="003D7756"/>
    <w:rsid w:val="003E059A"/>
    <w:rsid w:val="003E08FA"/>
    <w:rsid w:val="003E0A78"/>
    <w:rsid w:val="003E19E7"/>
    <w:rsid w:val="003E29B3"/>
    <w:rsid w:val="003E36C0"/>
    <w:rsid w:val="003E3724"/>
    <w:rsid w:val="003E3957"/>
    <w:rsid w:val="003E398D"/>
    <w:rsid w:val="003E4289"/>
    <w:rsid w:val="003E4800"/>
    <w:rsid w:val="003E487B"/>
    <w:rsid w:val="003E4957"/>
    <w:rsid w:val="003E4981"/>
    <w:rsid w:val="003E55E5"/>
    <w:rsid w:val="003E57F9"/>
    <w:rsid w:val="003E5DFE"/>
    <w:rsid w:val="003E5F4F"/>
    <w:rsid w:val="003E6144"/>
    <w:rsid w:val="003E6395"/>
    <w:rsid w:val="003E6A80"/>
    <w:rsid w:val="003E6EF7"/>
    <w:rsid w:val="003E7F59"/>
    <w:rsid w:val="003F0D8B"/>
    <w:rsid w:val="003F1BF6"/>
    <w:rsid w:val="003F1E6F"/>
    <w:rsid w:val="003F1F9E"/>
    <w:rsid w:val="003F27BF"/>
    <w:rsid w:val="003F2A93"/>
    <w:rsid w:val="003F3604"/>
    <w:rsid w:val="003F3BC1"/>
    <w:rsid w:val="003F3D76"/>
    <w:rsid w:val="003F43E6"/>
    <w:rsid w:val="003F4894"/>
    <w:rsid w:val="003F490D"/>
    <w:rsid w:val="003F4DDB"/>
    <w:rsid w:val="003F5542"/>
    <w:rsid w:val="003F5842"/>
    <w:rsid w:val="003F6190"/>
    <w:rsid w:val="003F61E1"/>
    <w:rsid w:val="003F704D"/>
    <w:rsid w:val="003F755C"/>
    <w:rsid w:val="003F77FC"/>
    <w:rsid w:val="003F7E56"/>
    <w:rsid w:val="004000BE"/>
    <w:rsid w:val="00400122"/>
    <w:rsid w:val="004015C7"/>
    <w:rsid w:val="00401D3D"/>
    <w:rsid w:val="004020AB"/>
    <w:rsid w:val="004024ED"/>
    <w:rsid w:val="004026BA"/>
    <w:rsid w:val="00403038"/>
    <w:rsid w:val="004030D5"/>
    <w:rsid w:val="0040388F"/>
    <w:rsid w:val="00404249"/>
    <w:rsid w:val="004042BA"/>
    <w:rsid w:val="004050B4"/>
    <w:rsid w:val="00405746"/>
    <w:rsid w:val="004062EC"/>
    <w:rsid w:val="00406755"/>
    <w:rsid w:val="004067DB"/>
    <w:rsid w:val="004069C5"/>
    <w:rsid w:val="00406D6A"/>
    <w:rsid w:val="0040709C"/>
    <w:rsid w:val="00407F30"/>
    <w:rsid w:val="00410ECC"/>
    <w:rsid w:val="004116DA"/>
    <w:rsid w:val="004117D6"/>
    <w:rsid w:val="00411834"/>
    <w:rsid w:val="00411963"/>
    <w:rsid w:val="00411B1C"/>
    <w:rsid w:val="00411C7A"/>
    <w:rsid w:val="00412A23"/>
    <w:rsid w:val="004149DA"/>
    <w:rsid w:val="00414A2E"/>
    <w:rsid w:val="00415755"/>
    <w:rsid w:val="00415B3D"/>
    <w:rsid w:val="004161DE"/>
    <w:rsid w:val="00416211"/>
    <w:rsid w:val="004162D1"/>
    <w:rsid w:val="004167B1"/>
    <w:rsid w:val="0042035D"/>
    <w:rsid w:val="00420604"/>
    <w:rsid w:val="00420841"/>
    <w:rsid w:val="00421E00"/>
    <w:rsid w:val="004226AA"/>
    <w:rsid w:val="00422793"/>
    <w:rsid w:val="00423732"/>
    <w:rsid w:val="0042396F"/>
    <w:rsid w:val="00423FCE"/>
    <w:rsid w:val="004249C4"/>
    <w:rsid w:val="00424F24"/>
    <w:rsid w:val="004259F9"/>
    <w:rsid w:val="00425B31"/>
    <w:rsid w:val="00425BAA"/>
    <w:rsid w:val="0042648D"/>
    <w:rsid w:val="00426957"/>
    <w:rsid w:val="00426976"/>
    <w:rsid w:val="00426BBE"/>
    <w:rsid w:val="00426D02"/>
    <w:rsid w:val="00427722"/>
    <w:rsid w:val="00427A13"/>
    <w:rsid w:val="00427C25"/>
    <w:rsid w:val="00427F4F"/>
    <w:rsid w:val="00430027"/>
    <w:rsid w:val="00430E76"/>
    <w:rsid w:val="00430ED0"/>
    <w:rsid w:val="00431731"/>
    <w:rsid w:val="00431779"/>
    <w:rsid w:val="00431A2A"/>
    <w:rsid w:val="00431CE6"/>
    <w:rsid w:val="00431F2E"/>
    <w:rsid w:val="0043240F"/>
    <w:rsid w:val="00433C39"/>
    <w:rsid w:val="00433C3E"/>
    <w:rsid w:val="00433DA2"/>
    <w:rsid w:val="004343BC"/>
    <w:rsid w:val="00434AC5"/>
    <w:rsid w:val="00435A31"/>
    <w:rsid w:val="0043648F"/>
    <w:rsid w:val="004365F0"/>
    <w:rsid w:val="00436DA8"/>
    <w:rsid w:val="00437108"/>
    <w:rsid w:val="00437D2F"/>
    <w:rsid w:val="00440246"/>
    <w:rsid w:val="00440912"/>
    <w:rsid w:val="00441588"/>
    <w:rsid w:val="00441CF2"/>
    <w:rsid w:val="00441EE6"/>
    <w:rsid w:val="00442540"/>
    <w:rsid w:val="0044307B"/>
    <w:rsid w:val="004431F9"/>
    <w:rsid w:val="00443484"/>
    <w:rsid w:val="00443B1B"/>
    <w:rsid w:val="00444072"/>
    <w:rsid w:val="004440D4"/>
    <w:rsid w:val="004441C7"/>
    <w:rsid w:val="00444204"/>
    <w:rsid w:val="004446E5"/>
    <w:rsid w:val="00446A46"/>
    <w:rsid w:val="00446BAE"/>
    <w:rsid w:val="004473E9"/>
    <w:rsid w:val="0045044A"/>
    <w:rsid w:val="004504BB"/>
    <w:rsid w:val="00450B23"/>
    <w:rsid w:val="004511AB"/>
    <w:rsid w:val="004511FA"/>
    <w:rsid w:val="004514DB"/>
    <w:rsid w:val="0045234D"/>
    <w:rsid w:val="0045235F"/>
    <w:rsid w:val="004533F1"/>
    <w:rsid w:val="00453797"/>
    <w:rsid w:val="00453ABE"/>
    <w:rsid w:val="004542A8"/>
    <w:rsid w:val="004546CE"/>
    <w:rsid w:val="00455912"/>
    <w:rsid w:val="004560D2"/>
    <w:rsid w:val="004576E8"/>
    <w:rsid w:val="00457CEE"/>
    <w:rsid w:val="00460794"/>
    <w:rsid w:val="00461DF1"/>
    <w:rsid w:val="00462B10"/>
    <w:rsid w:val="00462BA8"/>
    <w:rsid w:val="00462C0D"/>
    <w:rsid w:val="00462E57"/>
    <w:rsid w:val="00463731"/>
    <w:rsid w:val="00463A9F"/>
    <w:rsid w:val="00463CEF"/>
    <w:rsid w:val="00463DEF"/>
    <w:rsid w:val="004648AA"/>
    <w:rsid w:val="00464FEE"/>
    <w:rsid w:val="00466302"/>
    <w:rsid w:val="004672B7"/>
    <w:rsid w:val="00467391"/>
    <w:rsid w:val="004706A0"/>
    <w:rsid w:val="0047103A"/>
    <w:rsid w:val="00471318"/>
    <w:rsid w:val="004715A8"/>
    <w:rsid w:val="00471789"/>
    <w:rsid w:val="00471907"/>
    <w:rsid w:val="00472190"/>
    <w:rsid w:val="004724BF"/>
    <w:rsid w:val="00472695"/>
    <w:rsid w:val="004729E0"/>
    <w:rsid w:val="00473164"/>
    <w:rsid w:val="00473E9C"/>
    <w:rsid w:val="004744D7"/>
    <w:rsid w:val="00474823"/>
    <w:rsid w:val="00474AAA"/>
    <w:rsid w:val="00474BF7"/>
    <w:rsid w:val="00474D9B"/>
    <w:rsid w:val="00474E5C"/>
    <w:rsid w:val="00474F62"/>
    <w:rsid w:val="00475824"/>
    <w:rsid w:val="00475E1A"/>
    <w:rsid w:val="00476230"/>
    <w:rsid w:val="004762ED"/>
    <w:rsid w:val="004763E6"/>
    <w:rsid w:val="00476F6F"/>
    <w:rsid w:val="00477469"/>
    <w:rsid w:val="004774B6"/>
    <w:rsid w:val="004775E8"/>
    <w:rsid w:val="00477A87"/>
    <w:rsid w:val="00477C56"/>
    <w:rsid w:val="00477EAF"/>
    <w:rsid w:val="00480487"/>
    <w:rsid w:val="0048052E"/>
    <w:rsid w:val="00481888"/>
    <w:rsid w:val="004827FE"/>
    <w:rsid w:val="00482BE4"/>
    <w:rsid w:val="004831E5"/>
    <w:rsid w:val="0048370B"/>
    <w:rsid w:val="00483C2E"/>
    <w:rsid w:val="00483E9A"/>
    <w:rsid w:val="004848D1"/>
    <w:rsid w:val="0048491E"/>
    <w:rsid w:val="00486750"/>
    <w:rsid w:val="00487EBC"/>
    <w:rsid w:val="00490DDC"/>
    <w:rsid w:val="00490E33"/>
    <w:rsid w:val="00491D56"/>
    <w:rsid w:val="00491D60"/>
    <w:rsid w:val="004930DF"/>
    <w:rsid w:val="004947D5"/>
    <w:rsid w:val="0049492A"/>
    <w:rsid w:val="00494CD1"/>
    <w:rsid w:val="00494CDA"/>
    <w:rsid w:val="00495713"/>
    <w:rsid w:val="004957BA"/>
    <w:rsid w:val="0049590A"/>
    <w:rsid w:val="00495CE9"/>
    <w:rsid w:val="004962C7"/>
    <w:rsid w:val="004963CC"/>
    <w:rsid w:val="004970C9"/>
    <w:rsid w:val="00497428"/>
    <w:rsid w:val="00497574"/>
    <w:rsid w:val="004977CF"/>
    <w:rsid w:val="004978DC"/>
    <w:rsid w:val="00497B5E"/>
    <w:rsid w:val="004A0C7E"/>
    <w:rsid w:val="004A1416"/>
    <w:rsid w:val="004A224A"/>
    <w:rsid w:val="004A275E"/>
    <w:rsid w:val="004A28DD"/>
    <w:rsid w:val="004A2F02"/>
    <w:rsid w:val="004A3074"/>
    <w:rsid w:val="004A32DD"/>
    <w:rsid w:val="004A41C2"/>
    <w:rsid w:val="004A570E"/>
    <w:rsid w:val="004A59B2"/>
    <w:rsid w:val="004A60ED"/>
    <w:rsid w:val="004A74F3"/>
    <w:rsid w:val="004A79D9"/>
    <w:rsid w:val="004A7CEC"/>
    <w:rsid w:val="004B00A4"/>
    <w:rsid w:val="004B06E1"/>
    <w:rsid w:val="004B129A"/>
    <w:rsid w:val="004B24A3"/>
    <w:rsid w:val="004B24F7"/>
    <w:rsid w:val="004B26C7"/>
    <w:rsid w:val="004B28AF"/>
    <w:rsid w:val="004B2A91"/>
    <w:rsid w:val="004B2F98"/>
    <w:rsid w:val="004B31C7"/>
    <w:rsid w:val="004B4BDC"/>
    <w:rsid w:val="004B4D42"/>
    <w:rsid w:val="004B4E10"/>
    <w:rsid w:val="004B60AB"/>
    <w:rsid w:val="004B612C"/>
    <w:rsid w:val="004B618B"/>
    <w:rsid w:val="004B62A5"/>
    <w:rsid w:val="004B6816"/>
    <w:rsid w:val="004B6BC5"/>
    <w:rsid w:val="004B702E"/>
    <w:rsid w:val="004B7E3E"/>
    <w:rsid w:val="004C0165"/>
    <w:rsid w:val="004C0544"/>
    <w:rsid w:val="004C07ED"/>
    <w:rsid w:val="004C1AF9"/>
    <w:rsid w:val="004C1C4F"/>
    <w:rsid w:val="004C1C62"/>
    <w:rsid w:val="004C228F"/>
    <w:rsid w:val="004C2469"/>
    <w:rsid w:val="004C2585"/>
    <w:rsid w:val="004C279B"/>
    <w:rsid w:val="004C281D"/>
    <w:rsid w:val="004C2E9D"/>
    <w:rsid w:val="004C3128"/>
    <w:rsid w:val="004C3294"/>
    <w:rsid w:val="004C4513"/>
    <w:rsid w:val="004C4BEC"/>
    <w:rsid w:val="004C5A9B"/>
    <w:rsid w:val="004C60DC"/>
    <w:rsid w:val="004C631D"/>
    <w:rsid w:val="004C7022"/>
    <w:rsid w:val="004C7663"/>
    <w:rsid w:val="004C7FC6"/>
    <w:rsid w:val="004D055D"/>
    <w:rsid w:val="004D08E0"/>
    <w:rsid w:val="004D129E"/>
    <w:rsid w:val="004D25B5"/>
    <w:rsid w:val="004D31BD"/>
    <w:rsid w:val="004D31CA"/>
    <w:rsid w:val="004D47B9"/>
    <w:rsid w:val="004D489C"/>
    <w:rsid w:val="004D49C8"/>
    <w:rsid w:val="004D4B5F"/>
    <w:rsid w:val="004D5428"/>
    <w:rsid w:val="004D5D5C"/>
    <w:rsid w:val="004D5FBA"/>
    <w:rsid w:val="004D6E67"/>
    <w:rsid w:val="004D752E"/>
    <w:rsid w:val="004E00B4"/>
    <w:rsid w:val="004E02BD"/>
    <w:rsid w:val="004E0745"/>
    <w:rsid w:val="004E0963"/>
    <w:rsid w:val="004E0B2F"/>
    <w:rsid w:val="004E0CCF"/>
    <w:rsid w:val="004E1B3F"/>
    <w:rsid w:val="004E21ED"/>
    <w:rsid w:val="004E2A8E"/>
    <w:rsid w:val="004E4559"/>
    <w:rsid w:val="004E458C"/>
    <w:rsid w:val="004E70F1"/>
    <w:rsid w:val="004E714B"/>
    <w:rsid w:val="004E7930"/>
    <w:rsid w:val="004F000D"/>
    <w:rsid w:val="004F0EC9"/>
    <w:rsid w:val="004F0F77"/>
    <w:rsid w:val="004F224B"/>
    <w:rsid w:val="004F27DD"/>
    <w:rsid w:val="004F40AB"/>
    <w:rsid w:val="004F47F7"/>
    <w:rsid w:val="004F4C76"/>
    <w:rsid w:val="004F5AD4"/>
    <w:rsid w:val="004F5E74"/>
    <w:rsid w:val="004F5ED2"/>
    <w:rsid w:val="004F7CCB"/>
    <w:rsid w:val="0050050B"/>
    <w:rsid w:val="00500DC6"/>
    <w:rsid w:val="0050132A"/>
    <w:rsid w:val="00502F3E"/>
    <w:rsid w:val="00503196"/>
    <w:rsid w:val="005035E4"/>
    <w:rsid w:val="00503672"/>
    <w:rsid w:val="00503967"/>
    <w:rsid w:val="00503ADE"/>
    <w:rsid w:val="00504302"/>
    <w:rsid w:val="005044E0"/>
    <w:rsid w:val="0050467F"/>
    <w:rsid w:val="00504706"/>
    <w:rsid w:val="00504E60"/>
    <w:rsid w:val="0050553B"/>
    <w:rsid w:val="00505D13"/>
    <w:rsid w:val="005066F9"/>
    <w:rsid w:val="0050674F"/>
    <w:rsid w:val="00506767"/>
    <w:rsid w:val="00506A2E"/>
    <w:rsid w:val="00510478"/>
    <w:rsid w:val="00510BE0"/>
    <w:rsid w:val="00510C5C"/>
    <w:rsid w:val="00511288"/>
    <w:rsid w:val="00511A73"/>
    <w:rsid w:val="00511E62"/>
    <w:rsid w:val="00513492"/>
    <w:rsid w:val="00513696"/>
    <w:rsid w:val="005139F7"/>
    <w:rsid w:val="005148F6"/>
    <w:rsid w:val="00515EAB"/>
    <w:rsid w:val="00517065"/>
    <w:rsid w:val="005178CD"/>
    <w:rsid w:val="005207B3"/>
    <w:rsid w:val="005208AC"/>
    <w:rsid w:val="00520B14"/>
    <w:rsid w:val="00520BF3"/>
    <w:rsid w:val="005219BF"/>
    <w:rsid w:val="00521DC2"/>
    <w:rsid w:val="00521EFA"/>
    <w:rsid w:val="005221C4"/>
    <w:rsid w:val="0052230A"/>
    <w:rsid w:val="0052266F"/>
    <w:rsid w:val="00522B6D"/>
    <w:rsid w:val="00522BED"/>
    <w:rsid w:val="00522CEC"/>
    <w:rsid w:val="00522D01"/>
    <w:rsid w:val="00523237"/>
    <w:rsid w:val="00523A16"/>
    <w:rsid w:val="00523D2D"/>
    <w:rsid w:val="00524432"/>
    <w:rsid w:val="00524822"/>
    <w:rsid w:val="005256BB"/>
    <w:rsid w:val="005256DB"/>
    <w:rsid w:val="00525AC4"/>
    <w:rsid w:val="00525B79"/>
    <w:rsid w:val="005264A5"/>
    <w:rsid w:val="00526754"/>
    <w:rsid w:val="00526A8A"/>
    <w:rsid w:val="00526D01"/>
    <w:rsid w:val="00526D9F"/>
    <w:rsid w:val="00530860"/>
    <w:rsid w:val="00531932"/>
    <w:rsid w:val="00531C3D"/>
    <w:rsid w:val="005326BA"/>
    <w:rsid w:val="0053277C"/>
    <w:rsid w:val="00532EB0"/>
    <w:rsid w:val="005335BC"/>
    <w:rsid w:val="005336CE"/>
    <w:rsid w:val="00533CD5"/>
    <w:rsid w:val="00533FD5"/>
    <w:rsid w:val="00534621"/>
    <w:rsid w:val="00534871"/>
    <w:rsid w:val="00534F33"/>
    <w:rsid w:val="00535069"/>
    <w:rsid w:val="00535A60"/>
    <w:rsid w:val="005368AB"/>
    <w:rsid w:val="005372AF"/>
    <w:rsid w:val="00537F74"/>
    <w:rsid w:val="00540D5C"/>
    <w:rsid w:val="00540EBB"/>
    <w:rsid w:val="005414C4"/>
    <w:rsid w:val="00541971"/>
    <w:rsid w:val="00541FF9"/>
    <w:rsid w:val="00544481"/>
    <w:rsid w:val="005444FD"/>
    <w:rsid w:val="00544A27"/>
    <w:rsid w:val="00544C2E"/>
    <w:rsid w:val="0054689F"/>
    <w:rsid w:val="00546DAD"/>
    <w:rsid w:val="0054701C"/>
    <w:rsid w:val="0055024A"/>
    <w:rsid w:val="0055040D"/>
    <w:rsid w:val="00550D90"/>
    <w:rsid w:val="0055248D"/>
    <w:rsid w:val="00552EC6"/>
    <w:rsid w:val="00553590"/>
    <w:rsid w:val="005538CF"/>
    <w:rsid w:val="005542A1"/>
    <w:rsid w:val="005549AB"/>
    <w:rsid w:val="005557FE"/>
    <w:rsid w:val="00555A0C"/>
    <w:rsid w:val="00555A17"/>
    <w:rsid w:val="00555EC7"/>
    <w:rsid w:val="005570AD"/>
    <w:rsid w:val="00557DCC"/>
    <w:rsid w:val="0056092A"/>
    <w:rsid w:val="00561169"/>
    <w:rsid w:val="005615B9"/>
    <w:rsid w:val="005617DA"/>
    <w:rsid w:val="00561AAC"/>
    <w:rsid w:val="00561B18"/>
    <w:rsid w:val="00561C21"/>
    <w:rsid w:val="00561F0C"/>
    <w:rsid w:val="005623E3"/>
    <w:rsid w:val="005624E0"/>
    <w:rsid w:val="005629EE"/>
    <w:rsid w:val="0056329F"/>
    <w:rsid w:val="0056339B"/>
    <w:rsid w:val="00563DF3"/>
    <w:rsid w:val="00564EBB"/>
    <w:rsid w:val="00565022"/>
    <w:rsid w:val="0056580C"/>
    <w:rsid w:val="00565B20"/>
    <w:rsid w:val="00566C79"/>
    <w:rsid w:val="00567966"/>
    <w:rsid w:val="00570169"/>
    <w:rsid w:val="00571DC3"/>
    <w:rsid w:val="00571DD3"/>
    <w:rsid w:val="00571FF4"/>
    <w:rsid w:val="005720B2"/>
    <w:rsid w:val="005721C8"/>
    <w:rsid w:val="00572D19"/>
    <w:rsid w:val="00573C76"/>
    <w:rsid w:val="0057402C"/>
    <w:rsid w:val="005748A1"/>
    <w:rsid w:val="00575001"/>
    <w:rsid w:val="005757C3"/>
    <w:rsid w:val="00575C32"/>
    <w:rsid w:val="0057720B"/>
    <w:rsid w:val="00577800"/>
    <w:rsid w:val="00577D2F"/>
    <w:rsid w:val="00580185"/>
    <w:rsid w:val="005809B5"/>
    <w:rsid w:val="005812EF"/>
    <w:rsid w:val="00582010"/>
    <w:rsid w:val="0058254B"/>
    <w:rsid w:val="0058351E"/>
    <w:rsid w:val="00584064"/>
    <w:rsid w:val="00584584"/>
    <w:rsid w:val="00584922"/>
    <w:rsid w:val="005854E3"/>
    <w:rsid w:val="005858C5"/>
    <w:rsid w:val="00585EF3"/>
    <w:rsid w:val="00587914"/>
    <w:rsid w:val="005900F4"/>
    <w:rsid w:val="0059181C"/>
    <w:rsid w:val="005921B3"/>
    <w:rsid w:val="005925EC"/>
    <w:rsid w:val="00592ACB"/>
    <w:rsid w:val="00593ADA"/>
    <w:rsid w:val="00593E4F"/>
    <w:rsid w:val="00594F57"/>
    <w:rsid w:val="00595265"/>
    <w:rsid w:val="005958A0"/>
    <w:rsid w:val="0059611F"/>
    <w:rsid w:val="005964F5"/>
    <w:rsid w:val="00597224"/>
    <w:rsid w:val="005A0727"/>
    <w:rsid w:val="005A0F0D"/>
    <w:rsid w:val="005A1B7D"/>
    <w:rsid w:val="005A1FB5"/>
    <w:rsid w:val="005A21F0"/>
    <w:rsid w:val="005A2B32"/>
    <w:rsid w:val="005A3592"/>
    <w:rsid w:val="005A3696"/>
    <w:rsid w:val="005A4082"/>
    <w:rsid w:val="005A46DD"/>
    <w:rsid w:val="005A5176"/>
    <w:rsid w:val="005A64FE"/>
    <w:rsid w:val="005A6C46"/>
    <w:rsid w:val="005A71E5"/>
    <w:rsid w:val="005B0AAB"/>
    <w:rsid w:val="005B2FBF"/>
    <w:rsid w:val="005B3AF7"/>
    <w:rsid w:val="005B3F91"/>
    <w:rsid w:val="005B409A"/>
    <w:rsid w:val="005B40F1"/>
    <w:rsid w:val="005B4285"/>
    <w:rsid w:val="005B48B5"/>
    <w:rsid w:val="005B4EB8"/>
    <w:rsid w:val="005B5497"/>
    <w:rsid w:val="005B5790"/>
    <w:rsid w:val="005B5E9D"/>
    <w:rsid w:val="005B5FA3"/>
    <w:rsid w:val="005B5FD3"/>
    <w:rsid w:val="005B633B"/>
    <w:rsid w:val="005B66C5"/>
    <w:rsid w:val="005B6C43"/>
    <w:rsid w:val="005B6F1B"/>
    <w:rsid w:val="005B711B"/>
    <w:rsid w:val="005B72C0"/>
    <w:rsid w:val="005C0DB2"/>
    <w:rsid w:val="005C1453"/>
    <w:rsid w:val="005C196C"/>
    <w:rsid w:val="005C1C71"/>
    <w:rsid w:val="005C205B"/>
    <w:rsid w:val="005C2CA2"/>
    <w:rsid w:val="005C3064"/>
    <w:rsid w:val="005C3121"/>
    <w:rsid w:val="005C3191"/>
    <w:rsid w:val="005C3464"/>
    <w:rsid w:val="005C3C86"/>
    <w:rsid w:val="005C42DE"/>
    <w:rsid w:val="005C4651"/>
    <w:rsid w:val="005C5C1C"/>
    <w:rsid w:val="005C7161"/>
    <w:rsid w:val="005C725E"/>
    <w:rsid w:val="005C7653"/>
    <w:rsid w:val="005C7BBF"/>
    <w:rsid w:val="005D0057"/>
    <w:rsid w:val="005D019B"/>
    <w:rsid w:val="005D15AC"/>
    <w:rsid w:val="005D22E9"/>
    <w:rsid w:val="005D3069"/>
    <w:rsid w:val="005D31CB"/>
    <w:rsid w:val="005D370F"/>
    <w:rsid w:val="005D3730"/>
    <w:rsid w:val="005D3BD1"/>
    <w:rsid w:val="005D40A5"/>
    <w:rsid w:val="005D4675"/>
    <w:rsid w:val="005D57F3"/>
    <w:rsid w:val="005D5940"/>
    <w:rsid w:val="005D5A15"/>
    <w:rsid w:val="005D5D26"/>
    <w:rsid w:val="005D5EBA"/>
    <w:rsid w:val="005D60AE"/>
    <w:rsid w:val="005D7907"/>
    <w:rsid w:val="005E00F5"/>
    <w:rsid w:val="005E0B86"/>
    <w:rsid w:val="005E0FA3"/>
    <w:rsid w:val="005E2F89"/>
    <w:rsid w:val="005E362C"/>
    <w:rsid w:val="005E374E"/>
    <w:rsid w:val="005E41CC"/>
    <w:rsid w:val="005E42AA"/>
    <w:rsid w:val="005E4545"/>
    <w:rsid w:val="005E4A75"/>
    <w:rsid w:val="005E4E13"/>
    <w:rsid w:val="005E5020"/>
    <w:rsid w:val="005E5138"/>
    <w:rsid w:val="005E5616"/>
    <w:rsid w:val="005E5730"/>
    <w:rsid w:val="005E5F5C"/>
    <w:rsid w:val="005E62CE"/>
    <w:rsid w:val="005E73A1"/>
    <w:rsid w:val="005E7458"/>
    <w:rsid w:val="005E76FD"/>
    <w:rsid w:val="005F013F"/>
    <w:rsid w:val="005F0547"/>
    <w:rsid w:val="005F06EC"/>
    <w:rsid w:val="005F19C6"/>
    <w:rsid w:val="005F1C17"/>
    <w:rsid w:val="005F3F86"/>
    <w:rsid w:val="005F4197"/>
    <w:rsid w:val="005F45D3"/>
    <w:rsid w:val="005F4B38"/>
    <w:rsid w:val="005F4C67"/>
    <w:rsid w:val="005F4F12"/>
    <w:rsid w:val="005F5163"/>
    <w:rsid w:val="005F52C6"/>
    <w:rsid w:val="005F541C"/>
    <w:rsid w:val="005F5A77"/>
    <w:rsid w:val="005F6596"/>
    <w:rsid w:val="005F6751"/>
    <w:rsid w:val="005F73CC"/>
    <w:rsid w:val="005F7601"/>
    <w:rsid w:val="005F7D76"/>
    <w:rsid w:val="00600709"/>
    <w:rsid w:val="00601491"/>
    <w:rsid w:val="00601639"/>
    <w:rsid w:val="006024F3"/>
    <w:rsid w:val="006028B7"/>
    <w:rsid w:val="00603543"/>
    <w:rsid w:val="00603572"/>
    <w:rsid w:val="00603665"/>
    <w:rsid w:val="00604ACB"/>
    <w:rsid w:val="006055FE"/>
    <w:rsid w:val="00605FE7"/>
    <w:rsid w:val="006067DB"/>
    <w:rsid w:val="006073F9"/>
    <w:rsid w:val="00607F86"/>
    <w:rsid w:val="0061009A"/>
    <w:rsid w:val="006104F9"/>
    <w:rsid w:val="00610669"/>
    <w:rsid w:val="00610BC0"/>
    <w:rsid w:val="00610FEC"/>
    <w:rsid w:val="00611335"/>
    <w:rsid w:val="006114ED"/>
    <w:rsid w:val="0061157C"/>
    <w:rsid w:val="0061278F"/>
    <w:rsid w:val="0061282A"/>
    <w:rsid w:val="00612C9E"/>
    <w:rsid w:val="006131E5"/>
    <w:rsid w:val="006132AE"/>
    <w:rsid w:val="00615427"/>
    <w:rsid w:val="00615E96"/>
    <w:rsid w:val="006167B8"/>
    <w:rsid w:val="00617C22"/>
    <w:rsid w:val="00620A9C"/>
    <w:rsid w:val="00620D7C"/>
    <w:rsid w:val="00621047"/>
    <w:rsid w:val="00621A6D"/>
    <w:rsid w:val="00621DB3"/>
    <w:rsid w:val="00621F03"/>
    <w:rsid w:val="00621FED"/>
    <w:rsid w:val="0062265E"/>
    <w:rsid w:val="00622F11"/>
    <w:rsid w:val="00623213"/>
    <w:rsid w:val="006246E4"/>
    <w:rsid w:val="00624BC2"/>
    <w:rsid w:val="006251DE"/>
    <w:rsid w:val="006254EE"/>
    <w:rsid w:val="00625B63"/>
    <w:rsid w:val="00626190"/>
    <w:rsid w:val="00627517"/>
    <w:rsid w:val="00630B1A"/>
    <w:rsid w:val="006311F7"/>
    <w:rsid w:val="006313B9"/>
    <w:rsid w:val="00632281"/>
    <w:rsid w:val="00632364"/>
    <w:rsid w:val="006324C1"/>
    <w:rsid w:val="006327BE"/>
    <w:rsid w:val="00632A4A"/>
    <w:rsid w:val="00634573"/>
    <w:rsid w:val="006348CC"/>
    <w:rsid w:val="00635A24"/>
    <w:rsid w:val="00635DDF"/>
    <w:rsid w:val="006366BE"/>
    <w:rsid w:val="00636818"/>
    <w:rsid w:val="00636ADD"/>
    <w:rsid w:val="00636C79"/>
    <w:rsid w:val="006373D4"/>
    <w:rsid w:val="00640221"/>
    <w:rsid w:val="006406E5"/>
    <w:rsid w:val="00640B24"/>
    <w:rsid w:val="0064110A"/>
    <w:rsid w:val="006417BC"/>
    <w:rsid w:val="0064185B"/>
    <w:rsid w:val="00641C9C"/>
    <w:rsid w:val="00641EE6"/>
    <w:rsid w:val="00641F0C"/>
    <w:rsid w:val="006422EA"/>
    <w:rsid w:val="00642EB3"/>
    <w:rsid w:val="006441AD"/>
    <w:rsid w:val="006442C8"/>
    <w:rsid w:val="0064464F"/>
    <w:rsid w:val="006446B7"/>
    <w:rsid w:val="0064476C"/>
    <w:rsid w:val="00644B90"/>
    <w:rsid w:val="00646E32"/>
    <w:rsid w:val="00646E56"/>
    <w:rsid w:val="00647687"/>
    <w:rsid w:val="00647768"/>
    <w:rsid w:val="006505E5"/>
    <w:rsid w:val="006509AD"/>
    <w:rsid w:val="00651AD8"/>
    <w:rsid w:val="0065230F"/>
    <w:rsid w:val="0065353F"/>
    <w:rsid w:val="00653CF8"/>
    <w:rsid w:val="00653F72"/>
    <w:rsid w:val="006546B9"/>
    <w:rsid w:val="00654B60"/>
    <w:rsid w:val="00655090"/>
    <w:rsid w:val="0065588C"/>
    <w:rsid w:val="00655E6B"/>
    <w:rsid w:val="00656911"/>
    <w:rsid w:val="00656F58"/>
    <w:rsid w:val="00657727"/>
    <w:rsid w:val="00660969"/>
    <w:rsid w:val="00660B48"/>
    <w:rsid w:val="00662650"/>
    <w:rsid w:val="006634BC"/>
    <w:rsid w:val="0066366C"/>
    <w:rsid w:val="006648D1"/>
    <w:rsid w:val="00664D37"/>
    <w:rsid w:val="00664E1D"/>
    <w:rsid w:val="00666BA1"/>
    <w:rsid w:val="0066772B"/>
    <w:rsid w:val="00667D20"/>
    <w:rsid w:val="006700CB"/>
    <w:rsid w:val="0067011A"/>
    <w:rsid w:val="00670428"/>
    <w:rsid w:val="00670786"/>
    <w:rsid w:val="006708BC"/>
    <w:rsid w:val="00670BF6"/>
    <w:rsid w:val="00671FD0"/>
    <w:rsid w:val="006721DF"/>
    <w:rsid w:val="006727A0"/>
    <w:rsid w:val="00672956"/>
    <w:rsid w:val="00672A20"/>
    <w:rsid w:val="0067345B"/>
    <w:rsid w:val="006734ED"/>
    <w:rsid w:val="006738C1"/>
    <w:rsid w:val="00673D00"/>
    <w:rsid w:val="00674329"/>
    <w:rsid w:val="00674808"/>
    <w:rsid w:val="00674CE6"/>
    <w:rsid w:val="00674F39"/>
    <w:rsid w:val="00674FC2"/>
    <w:rsid w:val="006758EF"/>
    <w:rsid w:val="00675D53"/>
    <w:rsid w:val="006767DB"/>
    <w:rsid w:val="00676BB6"/>
    <w:rsid w:val="00676FCA"/>
    <w:rsid w:val="00677279"/>
    <w:rsid w:val="00677979"/>
    <w:rsid w:val="0067798B"/>
    <w:rsid w:val="00680232"/>
    <w:rsid w:val="00680316"/>
    <w:rsid w:val="006803A0"/>
    <w:rsid w:val="00680AC2"/>
    <w:rsid w:val="0068141A"/>
    <w:rsid w:val="0068146E"/>
    <w:rsid w:val="00681809"/>
    <w:rsid w:val="00681B55"/>
    <w:rsid w:val="00682088"/>
    <w:rsid w:val="0068273E"/>
    <w:rsid w:val="0068303F"/>
    <w:rsid w:val="006830FC"/>
    <w:rsid w:val="00683770"/>
    <w:rsid w:val="00683926"/>
    <w:rsid w:val="00683B58"/>
    <w:rsid w:val="006849B0"/>
    <w:rsid w:val="006849D2"/>
    <w:rsid w:val="00685035"/>
    <w:rsid w:val="00685F7C"/>
    <w:rsid w:val="00686775"/>
    <w:rsid w:val="00686A7E"/>
    <w:rsid w:val="00686C41"/>
    <w:rsid w:val="00686CAE"/>
    <w:rsid w:val="006903A2"/>
    <w:rsid w:val="00690509"/>
    <w:rsid w:val="00690963"/>
    <w:rsid w:val="00690B95"/>
    <w:rsid w:val="00690EA6"/>
    <w:rsid w:val="00691156"/>
    <w:rsid w:val="00691601"/>
    <w:rsid w:val="00691998"/>
    <w:rsid w:val="00691CDA"/>
    <w:rsid w:val="00691FAB"/>
    <w:rsid w:val="0069205B"/>
    <w:rsid w:val="0069283C"/>
    <w:rsid w:val="00693751"/>
    <w:rsid w:val="00693795"/>
    <w:rsid w:val="006937ED"/>
    <w:rsid w:val="00693CE6"/>
    <w:rsid w:val="006940D6"/>
    <w:rsid w:val="0069414F"/>
    <w:rsid w:val="00694391"/>
    <w:rsid w:val="00695005"/>
    <w:rsid w:val="0069571C"/>
    <w:rsid w:val="00695E3A"/>
    <w:rsid w:val="00695E56"/>
    <w:rsid w:val="00695FA3"/>
    <w:rsid w:val="00696375"/>
    <w:rsid w:val="006965DF"/>
    <w:rsid w:val="00696CA3"/>
    <w:rsid w:val="00697BFC"/>
    <w:rsid w:val="006A0169"/>
    <w:rsid w:val="006A0433"/>
    <w:rsid w:val="006A09A4"/>
    <w:rsid w:val="006A134B"/>
    <w:rsid w:val="006A1957"/>
    <w:rsid w:val="006A21CC"/>
    <w:rsid w:val="006A22CA"/>
    <w:rsid w:val="006A291A"/>
    <w:rsid w:val="006A3856"/>
    <w:rsid w:val="006A438F"/>
    <w:rsid w:val="006A503A"/>
    <w:rsid w:val="006A65A6"/>
    <w:rsid w:val="006A66BF"/>
    <w:rsid w:val="006A6750"/>
    <w:rsid w:val="006A7601"/>
    <w:rsid w:val="006A7D6E"/>
    <w:rsid w:val="006A7FA7"/>
    <w:rsid w:val="006B0417"/>
    <w:rsid w:val="006B0634"/>
    <w:rsid w:val="006B0F9B"/>
    <w:rsid w:val="006B1837"/>
    <w:rsid w:val="006B1C34"/>
    <w:rsid w:val="006B1FDC"/>
    <w:rsid w:val="006B1FF1"/>
    <w:rsid w:val="006B293F"/>
    <w:rsid w:val="006B34DE"/>
    <w:rsid w:val="006B35F3"/>
    <w:rsid w:val="006B40C1"/>
    <w:rsid w:val="006B5F49"/>
    <w:rsid w:val="006B60A2"/>
    <w:rsid w:val="006B6490"/>
    <w:rsid w:val="006B6A20"/>
    <w:rsid w:val="006C078D"/>
    <w:rsid w:val="006C0D6F"/>
    <w:rsid w:val="006C164E"/>
    <w:rsid w:val="006C1EDD"/>
    <w:rsid w:val="006C2188"/>
    <w:rsid w:val="006C22E4"/>
    <w:rsid w:val="006C25AD"/>
    <w:rsid w:val="006C2C69"/>
    <w:rsid w:val="006C2F5C"/>
    <w:rsid w:val="006C319D"/>
    <w:rsid w:val="006C3573"/>
    <w:rsid w:val="006C3593"/>
    <w:rsid w:val="006C4010"/>
    <w:rsid w:val="006C41FC"/>
    <w:rsid w:val="006C477E"/>
    <w:rsid w:val="006C4EC2"/>
    <w:rsid w:val="006C50D1"/>
    <w:rsid w:val="006C5AD3"/>
    <w:rsid w:val="006C6599"/>
    <w:rsid w:val="006C6D7A"/>
    <w:rsid w:val="006C7F0A"/>
    <w:rsid w:val="006D0350"/>
    <w:rsid w:val="006D037E"/>
    <w:rsid w:val="006D0C02"/>
    <w:rsid w:val="006D0F19"/>
    <w:rsid w:val="006D1BE0"/>
    <w:rsid w:val="006D24F7"/>
    <w:rsid w:val="006D2B2B"/>
    <w:rsid w:val="006D2DE9"/>
    <w:rsid w:val="006D35F8"/>
    <w:rsid w:val="006D36C1"/>
    <w:rsid w:val="006D3949"/>
    <w:rsid w:val="006D39A5"/>
    <w:rsid w:val="006D3E8B"/>
    <w:rsid w:val="006D3FB0"/>
    <w:rsid w:val="006D443D"/>
    <w:rsid w:val="006D4512"/>
    <w:rsid w:val="006D46C7"/>
    <w:rsid w:val="006D4C04"/>
    <w:rsid w:val="006D4E80"/>
    <w:rsid w:val="006D5DCC"/>
    <w:rsid w:val="006D5E38"/>
    <w:rsid w:val="006D614A"/>
    <w:rsid w:val="006D61AF"/>
    <w:rsid w:val="006D65EC"/>
    <w:rsid w:val="006D6B5E"/>
    <w:rsid w:val="006D6CA1"/>
    <w:rsid w:val="006D712E"/>
    <w:rsid w:val="006D7DA7"/>
    <w:rsid w:val="006E08F5"/>
    <w:rsid w:val="006E09B5"/>
    <w:rsid w:val="006E0EE2"/>
    <w:rsid w:val="006E0FAD"/>
    <w:rsid w:val="006E1E87"/>
    <w:rsid w:val="006E2057"/>
    <w:rsid w:val="006E2715"/>
    <w:rsid w:val="006E27D1"/>
    <w:rsid w:val="006E2953"/>
    <w:rsid w:val="006E2ADA"/>
    <w:rsid w:val="006E2CD8"/>
    <w:rsid w:val="006E3E4E"/>
    <w:rsid w:val="006E4019"/>
    <w:rsid w:val="006E43D2"/>
    <w:rsid w:val="006E4462"/>
    <w:rsid w:val="006E465C"/>
    <w:rsid w:val="006E48B7"/>
    <w:rsid w:val="006E4B08"/>
    <w:rsid w:val="006E4EB7"/>
    <w:rsid w:val="006E558B"/>
    <w:rsid w:val="006E753A"/>
    <w:rsid w:val="006E7A5E"/>
    <w:rsid w:val="006E7C6D"/>
    <w:rsid w:val="006E7D59"/>
    <w:rsid w:val="006E7F4D"/>
    <w:rsid w:val="006E7F81"/>
    <w:rsid w:val="006F12A6"/>
    <w:rsid w:val="006F1443"/>
    <w:rsid w:val="006F17D6"/>
    <w:rsid w:val="006F17DA"/>
    <w:rsid w:val="006F1C69"/>
    <w:rsid w:val="006F22F8"/>
    <w:rsid w:val="006F2579"/>
    <w:rsid w:val="006F2855"/>
    <w:rsid w:val="006F2887"/>
    <w:rsid w:val="006F2958"/>
    <w:rsid w:val="006F2DD6"/>
    <w:rsid w:val="006F5439"/>
    <w:rsid w:val="006F69AA"/>
    <w:rsid w:val="006F713E"/>
    <w:rsid w:val="006F7400"/>
    <w:rsid w:val="006F750C"/>
    <w:rsid w:val="006F7BB3"/>
    <w:rsid w:val="006F7EB1"/>
    <w:rsid w:val="00700A36"/>
    <w:rsid w:val="00700AD5"/>
    <w:rsid w:val="00701834"/>
    <w:rsid w:val="0070199E"/>
    <w:rsid w:val="007019C6"/>
    <w:rsid w:val="00701B71"/>
    <w:rsid w:val="00701BDD"/>
    <w:rsid w:val="00701E8E"/>
    <w:rsid w:val="00702171"/>
    <w:rsid w:val="00702B93"/>
    <w:rsid w:val="00702D4F"/>
    <w:rsid w:val="00703943"/>
    <w:rsid w:val="00703D5F"/>
    <w:rsid w:val="007045FC"/>
    <w:rsid w:val="0070488F"/>
    <w:rsid w:val="00704CDE"/>
    <w:rsid w:val="00704CF9"/>
    <w:rsid w:val="00704ECD"/>
    <w:rsid w:val="00705075"/>
    <w:rsid w:val="00705199"/>
    <w:rsid w:val="00705711"/>
    <w:rsid w:val="0070582E"/>
    <w:rsid w:val="0070596D"/>
    <w:rsid w:val="00706AAB"/>
    <w:rsid w:val="00707178"/>
    <w:rsid w:val="007073E2"/>
    <w:rsid w:val="0070772C"/>
    <w:rsid w:val="00707EED"/>
    <w:rsid w:val="00710713"/>
    <w:rsid w:val="00710A96"/>
    <w:rsid w:val="00711B38"/>
    <w:rsid w:val="00711F83"/>
    <w:rsid w:val="007122C3"/>
    <w:rsid w:val="007123C3"/>
    <w:rsid w:val="0071266E"/>
    <w:rsid w:val="00712C38"/>
    <w:rsid w:val="00712E25"/>
    <w:rsid w:val="00712E70"/>
    <w:rsid w:val="007130F7"/>
    <w:rsid w:val="00714183"/>
    <w:rsid w:val="00714B95"/>
    <w:rsid w:val="00715CA4"/>
    <w:rsid w:val="00715E75"/>
    <w:rsid w:val="0071643E"/>
    <w:rsid w:val="0071691D"/>
    <w:rsid w:val="0071695A"/>
    <w:rsid w:val="007172B6"/>
    <w:rsid w:val="0071779F"/>
    <w:rsid w:val="00717CD9"/>
    <w:rsid w:val="00720C6C"/>
    <w:rsid w:val="00720D93"/>
    <w:rsid w:val="007218A2"/>
    <w:rsid w:val="00721EC2"/>
    <w:rsid w:val="007225C9"/>
    <w:rsid w:val="00722634"/>
    <w:rsid w:val="007226F3"/>
    <w:rsid w:val="00722D51"/>
    <w:rsid w:val="0072328D"/>
    <w:rsid w:val="0072344E"/>
    <w:rsid w:val="007237EE"/>
    <w:rsid w:val="007240C3"/>
    <w:rsid w:val="007243CC"/>
    <w:rsid w:val="0072530B"/>
    <w:rsid w:val="007263B7"/>
    <w:rsid w:val="0072677C"/>
    <w:rsid w:val="00727471"/>
    <w:rsid w:val="00727632"/>
    <w:rsid w:val="007301CB"/>
    <w:rsid w:val="0073087D"/>
    <w:rsid w:val="00731957"/>
    <w:rsid w:val="007323E0"/>
    <w:rsid w:val="00732744"/>
    <w:rsid w:val="0073288D"/>
    <w:rsid w:val="00732974"/>
    <w:rsid w:val="00732BB6"/>
    <w:rsid w:val="00733697"/>
    <w:rsid w:val="00733C12"/>
    <w:rsid w:val="00733C2F"/>
    <w:rsid w:val="00733EF3"/>
    <w:rsid w:val="007344A7"/>
    <w:rsid w:val="007356BB"/>
    <w:rsid w:val="00735B0B"/>
    <w:rsid w:val="00735BED"/>
    <w:rsid w:val="0073666D"/>
    <w:rsid w:val="0073669E"/>
    <w:rsid w:val="00736799"/>
    <w:rsid w:val="0073707B"/>
    <w:rsid w:val="00737C67"/>
    <w:rsid w:val="00737D1D"/>
    <w:rsid w:val="00737F76"/>
    <w:rsid w:val="007404A0"/>
    <w:rsid w:val="007406D2"/>
    <w:rsid w:val="00740FC0"/>
    <w:rsid w:val="00741002"/>
    <w:rsid w:val="00741637"/>
    <w:rsid w:val="007418D4"/>
    <w:rsid w:val="00741E81"/>
    <w:rsid w:val="00742121"/>
    <w:rsid w:val="00742CE6"/>
    <w:rsid w:val="00743353"/>
    <w:rsid w:val="00743655"/>
    <w:rsid w:val="00743FDA"/>
    <w:rsid w:val="0074467F"/>
    <w:rsid w:val="00744F24"/>
    <w:rsid w:val="0074501E"/>
    <w:rsid w:val="00745868"/>
    <w:rsid w:val="00746472"/>
    <w:rsid w:val="00746CD0"/>
    <w:rsid w:val="00746F76"/>
    <w:rsid w:val="007471B6"/>
    <w:rsid w:val="00747C5A"/>
    <w:rsid w:val="00747CD0"/>
    <w:rsid w:val="007500B9"/>
    <w:rsid w:val="007502B5"/>
    <w:rsid w:val="00750846"/>
    <w:rsid w:val="007516D1"/>
    <w:rsid w:val="00751ADF"/>
    <w:rsid w:val="00751DE7"/>
    <w:rsid w:val="00752CE8"/>
    <w:rsid w:val="00753790"/>
    <w:rsid w:val="0075428A"/>
    <w:rsid w:val="0075561B"/>
    <w:rsid w:val="00755E24"/>
    <w:rsid w:val="00756E8B"/>
    <w:rsid w:val="007575BC"/>
    <w:rsid w:val="007603BD"/>
    <w:rsid w:val="00760A78"/>
    <w:rsid w:val="007618B2"/>
    <w:rsid w:val="007620C8"/>
    <w:rsid w:val="00763C94"/>
    <w:rsid w:val="0076468E"/>
    <w:rsid w:val="00764725"/>
    <w:rsid w:val="0076472C"/>
    <w:rsid w:val="007649D6"/>
    <w:rsid w:val="00764B6B"/>
    <w:rsid w:val="00764F0C"/>
    <w:rsid w:val="007659EF"/>
    <w:rsid w:val="00765B31"/>
    <w:rsid w:val="00766029"/>
    <w:rsid w:val="00766432"/>
    <w:rsid w:val="00766983"/>
    <w:rsid w:val="00767A28"/>
    <w:rsid w:val="00767D99"/>
    <w:rsid w:val="00770893"/>
    <w:rsid w:val="007712C3"/>
    <w:rsid w:val="00771D33"/>
    <w:rsid w:val="00771F1C"/>
    <w:rsid w:val="00771F3F"/>
    <w:rsid w:val="007724C4"/>
    <w:rsid w:val="007725DF"/>
    <w:rsid w:val="00772E14"/>
    <w:rsid w:val="00772E1A"/>
    <w:rsid w:val="007736D0"/>
    <w:rsid w:val="00773A11"/>
    <w:rsid w:val="00773D01"/>
    <w:rsid w:val="0077411F"/>
    <w:rsid w:val="00774C10"/>
    <w:rsid w:val="007754D1"/>
    <w:rsid w:val="007758B8"/>
    <w:rsid w:val="007758CF"/>
    <w:rsid w:val="00775FEC"/>
    <w:rsid w:val="00776317"/>
    <w:rsid w:val="00776B10"/>
    <w:rsid w:val="00776D06"/>
    <w:rsid w:val="00780317"/>
    <w:rsid w:val="00780E1B"/>
    <w:rsid w:val="007810BC"/>
    <w:rsid w:val="00781EB4"/>
    <w:rsid w:val="007823D7"/>
    <w:rsid w:val="00782941"/>
    <w:rsid w:val="00782E96"/>
    <w:rsid w:val="007844DE"/>
    <w:rsid w:val="007848DA"/>
    <w:rsid w:val="00784A3D"/>
    <w:rsid w:val="00785A39"/>
    <w:rsid w:val="00785E47"/>
    <w:rsid w:val="007861AA"/>
    <w:rsid w:val="0078659F"/>
    <w:rsid w:val="00787447"/>
    <w:rsid w:val="0078776F"/>
    <w:rsid w:val="007900EA"/>
    <w:rsid w:val="00790BDA"/>
    <w:rsid w:val="00790CD2"/>
    <w:rsid w:val="0079103F"/>
    <w:rsid w:val="007918A1"/>
    <w:rsid w:val="00792169"/>
    <w:rsid w:val="00793091"/>
    <w:rsid w:val="00793F12"/>
    <w:rsid w:val="00794320"/>
    <w:rsid w:val="007943A8"/>
    <w:rsid w:val="007947F4"/>
    <w:rsid w:val="00795DC8"/>
    <w:rsid w:val="00795FC0"/>
    <w:rsid w:val="007963D7"/>
    <w:rsid w:val="00796527"/>
    <w:rsid w:val="007966D8"/>
    <w:rsid w:val="007975AC"/>
    <w:rsid w:val="00797CF6"/>
    <w:rsid w:val="007A0F7C"/>
    <w:rsid w:val="007A10D6"/>
    <w:rsid w:val="007A1167"/>
    <w:rsid w:val="007A12A7"/>
    <w:rsid w:val="007A14FC"/>
    <w:rsid w:val="007A1803"/>
    <w:rsid w:val="007A20A0"/>
    <w:rsid w:val="007A289D"/>
    <w:rsid w:val="007A2AD1"/>
    <w:rsid w:val="007A2B71"/>
    <w:rsid w:val="007A2BE6"/>
    <w:rsid w:val="007A2C5D"/>
    <w:rsid w:val="007A340C"/>
    <w:rsid w:val="007A367F"/>
    <w:rsid w:val="007A36E5"/>
    <w:rsid w:val="007A38B8"/>
    <w:rsid w:val="007A4A3D"/>
    <w:rsid w:val="007A4E3F"/>
    <w:rsid w:val="007A5090"/>
    <w:rsid w:val="007A5A11"/>
    <w:rsid w:val="007A5AB8"/>
    <w:rsid w:val="007A6F16"/>
    <w:rsid w:val="007A72CA"/>
    <w:rsid w:val="007A7512"/>
    <w:rsid w:val="007A752A"/>
    <w:rsid w:val="007A7B6E"/>
    <w:rsid w:val="007A7E3D"/>
    <w:rsid w:val="007A7F7F"/>
    <w:rsid w:val="007A7FD6"/>
    <w:rsid w:val="007B028F"/>
    <w:rsid w:val="007B09DF"/>
    <w:rsid w:val="007B0CC3"/>
    <w:rsid w:val="007B16A1"/>
    <w:rsid w:val="007B217C"/>
    <w:rsid w:val="007B2DB6"/>
    <w:rsid w:val="007B300E"/>
    <w:rsid w:val="007B30CA"/>
    <w:rsid w:val="007B3A11"/>
    <w:rsid w:val="007B3AFD"/>
    <w:rsid w:val="007B4DDD"/>
    <w:rsid w:val="007B530F"/>
    <w:rsid w:val="007B567F"/>
    <w:rsid w:val="007B57E8"/>
    <w:rsid w:val="007B58BF"/>
    <w:rsid w:val="007B5D4F"/>
    <w:rsid w:val="007B65D4"/>
    <w:rsid w:val="007B67FE"/>
    <w:rsid w:val="007B7B2B"/>
    <w:rsid w:val="007B7B34"/>
    <w:rsid w:val="007B7DA1"/>
    <w:rsid w:val="007B7F68"/>
    <w:rsid w:val="007C0BE9"/>
    <w:rsid w:val="007C10C6"/>
    <w:rsid w:val="007C1B02"/>
    <w:rsid w:val="007C1D91"/>
    <w:rsid w:val="007C200D"/>
    <w:rsid w:val="007C204B"/>
    <w:rsid w:val="007C398B"/>
    <w:rsid w:val="007C4C4F"/>
    <w:rsid w:val="007C5323"/>
    <w:rsid w:val="007C6187"/>
    <w:rsid w:val="007C63B8"/>
    <w:rsid w:val="007C67EE"/>
    <w:rsid w:val="007C7A8C"/>
    <w:rsid w:val="007D05C7"/>
    <w:rsid w:val="007D07F8"/>
    <w:rsid w:val="007D0EE9"/>
    <w:rsid w:val="007D1707"/>
    <w:rsid w:val="007D1B89"/>
    <w:rsid w:val="007D1BEA"/>
    <w:rsid w:val="007D24AB"/>
    <w:rsid w:val="007D2C5E"/>
    <w:rsid w:val="007D3405"/>
    <w:rsid w:val="007D3D41"/>
    <w:rsid w:val="007D41C2"/>
    <w:rsid w:val="007D42D5"/>
    <w:rsid w:val="007D467D"/>
    <w:rsid w:val="007D4BFC"/>
    <w:rsid w:val="007D5080"/>
    <w:rsid w:val="007D6193"/>
    <w:rsid w:val="007D6B1C"/>
    <w:rsid w:val="007D78EE"/>
    <w:rsid w:val="007D7A92"/>
    <w:rsid w:val="007D7BFE"/>
    <w:rsid w:val="007E01C5"/>
    <w:rsid w:val="007E0750"/>
    <w:rsid w:val="007E0A49"/>
    <w:rsid w:val="007E0B1E"/>
    <w:rsid w:val="007E0F2C"/>
    <w:rsid w:val="007E0FAF"/>
    <w:rsid w:val="007E112F"/>
    <w:rsid w:val="007E1356"/>
    <w:rsid w:val="007E1C60"/>
    <w:rsid w:val="007E3301"/>
    <w:rsid w:val="007E3CC5"/>
    <w:rsid w:val="007E441D"/>
    <w:rsid w:val="007E450C"/>
    <w:rsid w:val="007E4A09"/>
    <w:rsid w:val="007E4C9C"/>
    <w:rsid w:val="007E5486"/>
    <w:rsid w:val="007E5B1C"/>
    <w:rsid w:val="007E5F2E"/>
    <w:rsid w:val="007E5FB5"/>
    <w:rsid w:val="007E6196"/>
    <w:rsid w:val="007E6656"/>
    <w:rsid w:val="007E6E12"/>
    <w:rsid w:val="007E70BF"/>
    <w:rsid w:val="007E717D"/>
    <w:rsid w:val="007E724E"/>
    <w:rsid w:val="007E735A"/>
    <w:rsid w:val="007E7432"/>
    <w:rsid w:val="007E7F06"/>
    <w:rsid w:val="007F0085"/>
    <w:rsid w:val="007F080F"/>
    <w:rsid w:val="007F0F01"/>
    <w:rsid w:val="007F155F"/>
    <w:rsid w:val="007F1A99"/>
    <w:rsid w:val="007F1C4A"/>
    <w:rsid w:val="007F22A7"/>
    <w:rsid w:val="007F22ED"/>
    <w:rsid w:val="007F24DA"/>
    <w:rsid w:val="007F2ED8"/>
    <w:rsid w:val="007F3253"/>
    <w:rsid w:val="007F4457"/>
    <w:rsid w:val="007F4DE5"/>
    <w:rsid w:val="007F4F42"/>
    <w:rsid w:val="007F536B"/>
    <w:rsid w:val="007F59CD"/>
    <w:rsid w:val="007F5E48"/>
    <w:rsid w:val="007F67DD"/>
    <w:rsid w:val="007F67F0"/>
    <w:rsid w:val="007F6BC7"/>
    <w:rsid w:val="007F7F32"/>
    <w:rsid w:val="00800A70"/>
    <w:rsid w:val="00800DF8"/>
    <w:rsid w:val="008017C2"/>
    <w:rsid w:val="00801DBA"/>
    <w:rsid w:val="00801E32"/>
    <w:rsid w:val="00801FB7"/>
    <w:rsid w:val="008021FD"/>
    <w:rsid w:val="00802554"/>
    <w:rsid w:val="008026FA"/>
    <w:rsid w:val="00802B21"/>
    <w:rsid w:val="00802DB4"/>
    <w:rsid w:val="008036BE"/>
    <w:rsid w:val="00803B18"/>
    <w:rsid w:val="00803B2E"/>
    <w:rsid w:val="00804501"/>
    <w:rsid w:val="0080493A"/>
    <w:rsid w:val="00804BA2"/>
    <w:rsid w:val="00804FE6"/>
    <w:rsid w:val="008050F8"/>
    <w:rsid w:val="00805224"/>
    <w:rsid w:val="0080556B"/>
    <w:rsid w:val="00805FD6"/>
    <w:rsid w:val="00806809"/>
    <w:rsid w:val="00806ABD"/>
    <w:rsid w:val="00807D00"/>
    <w:rsid w:val="00807EA4"/>
    <w:rsid w:val="00807EB6"/>
    <w:rsid w:val="008106E3"/>
    <w:rsid w:val="00810F07"/>
    <w:rsid w:val="008115B8"/>
    <w:rsid w:val="008115CF"/>
    <w:rsid w:val="00811E77"/>
    <w:rsid w:val="00812315"/>
    <w:rsid w:val="00813018"/>
    <w:rsid w:val="008143C7"/>
    <w:rsid w:val="00814DCA"/>
    <w:rsid w:val="008150BE"/>
    <w:rsid w:val="0081539C"/>
    <w:rsid w:val="008154EA"/>
    <w:rsid w:val="008157B3"/>
    <w:rsid w:val="00815822"/>
    <w:rsid w:val="00815D1B"/>
    <w:rsid w:val="008163BE"/>
    <w:rsid w:val="008164A8"/>
    <w:rsid w:val="00816C1F"/>
    <w:rsid w:val="008174AD"/>
    <w:rsid w:val="00820876"/>
    <w:rsid w:val="0082143F"/>
    <w:rsid w:val="0082159A"/>
    <w:rsid w:val="00821718"/>
    <w:rsid w:val="00822064"/>
    <w:rsid w:val="008220AD"/>
    <w:rsid w:val="00822738"/>
    <w:rsid w:val="00822969"/>
    <w:rsid w:val="00823196"/>
    <w:rsid w:val="00823610"/>
    <w:rsid w:val="008237DE"/>
    <w:rsid w:val="00824ABF"/>
    <w:rsid w:val="00824E32"/>
    <w:rsid w:val="00825B9C"/>
    <w:rsid w:val="00827EFF"/>
    <w:rsid w:val="008301C6"/>
    <w:rsid w:val="0083049A"/>
    <w:rsid w:val="00830846"/>
    <w:rsid w:val="008319DA"/>
    <w:rsid w:val="00831D1D"/>
    <w:rsid w:val="008321A6"/>
    <w:rsid w:val="00833393"/>
    <w:rsid w:val="0083380F"/>
    <w:rsid w:val="00833A60"/>
    <w:rsid w:val="00833C3B"/>
    <w:rsid w:val="00833D2C"/>
    <w:rsid w:val="00835CF4"/>
    <w:rsid w:val="00835FCE"/>
    <w:rsid w:val="008368DE"/>
    <w:rsid w:val="0083696A"/>
    <w:rsid w:val="00840BCC"/>
    <w:rsid w:val="00840E25"/>
    <w:rsid w:val="0084161A"/>
    <w:rsid w:val="00841962"/>
    <w:rsid w:val="008424BB"/>
    <w:rsid w:val="00842B3A"/>
    <w:rsid w:val="00843613"/>
    <w:rsid w:val="0084383C"/>
    <w:rsid w:val="0084456D"/>
    <w:rsid w:val="00844729"/>
    <w:rsid w:val="008461B4"/>
    <w:rsid w:val="008465CB"/>
    <w:rsid w:val="00846695"/>
    <w:rsid w:val="00846A62"/>
    <w:rsid w:val="0085127E"/>
    <w:rsid w:val="008515CC"/>
    <w:rsid w:val="008517C6"/>
    <w:rsid w:val="00852898"/>
    <w:rsid w:val="00852F4F"/>
    <w:rsid w:val="00853308"/>
    <w:rsid w:val="008534CC"/>
    <w:rsid w:val="00853646"/>
    <w:rsid w:val="00853C98"/>
    <w:rsid w:val="00854103"/>
    <w:rsid w:val="00854773"/>
    <w:rsid w:val="008549B1"/>
    <w:rsid w:val="00854B47"/>
    <w:rsid w:val="008550BA"/>
    <w:rsid w:val="0085543E"/>
    <w:rsid w:val="00855820"/>
    <w:rsid w:val="008568B0"/>
    <w:rsid w:val="0085710E"/>
    <w:rsid w:val="008578F2"/>
    <w:rsid w:val="00857A16"/>
    <w:rsid w:val="00857DB6"/>
    <w:rsid w:val="008600ED"/>
    <w:rsid w:val="00860366"/>
    <w:rsid w:val="008614BF"/>
    <w:rsid w:val="008619B4"/>
    <w:rsid w:val="00861CAB"/>
    <w:rsid w:val="008623CA"/>
    <w:rsid w:val="008627A8"/>
    <w:rsid w:val="00862B21"/>
    <w:rsid w:val="00863523"/>
    <w:rsid w:val="008636D6"/>
    <w:rsid w:val="00863E02"/>
    <w:rsid w:val="0086489A"/>
    <w:rsid w:val="00865274"/>
    <w:rsid w:val="00865301"/>
    <w:rsid w:val="00865940"/>
    <w:rsid w:val="00865A0D"/>
    <w:rsid w:val="00865EEC"/>
    <w:rsid w:val="00866416"/>
    <w:rsid w:val="00866A27"/>
    <w:rsid w:val="00866C88"/>
    <w:rsid w:val="00867C61"/>
    <w:rsid w:val="008701DC"/>
    <w:rsid w:val="00870234"/>
    <w:rsid w:val="0087051A"/>
    <w:rsid w:val="0087081B"/>
    <w:rsid w:val="008714CD"/>
    <w:rsid w:val="00872A6E"/>
    <w:rsid w:val="008739F1"/>
    <w:rsid w:val="00873F33"/>
    <w:rsid w:val="00874197"/>
    <w:rsid w:val="00874308"/>
    <w:rsid w:val="00874882"/>
    <w:rsid w:val="00875375"/>
    <w:rsid w:val="008753E4"/>
    <w:rsid w:val="00875827"/>
    <w:rsid w:val="008764DF"/>
    <w:rsid w:val="00876C7F"/>
    <w:rsid w:val="00876DA9"/>
    <w:rsid w:val="00877B13"/>
    <w:rsid w:val="00880AB5"/>
    <w:rsid w:val="00880AD5"/>
    <w:rsid w:val="00880C01"/>
    <w:rsid w:val="00881095"/>
    <w:rsid w:val="00881457"/>
    <w:rsid w:val="00881918"/>
    <w:rsid w:val="00881E91"/>
    <w:rsid w:val="00882802"/>
    <w:rsid w:val="00882B0F"/>
    <w:rsid w:val="008836A7"/>
    <w:rsid w:val="00883749"/>
    <w:rsid w:val="008837DA"/>
    <w:rsid w:val="00884467"/>
    <w:rsid w:val="0088452E"/>
    <w:rsid w:val="00884AB6"/>
    <w:rsid w:val="0088559A"/>
    <w:rsid w:val="00885D99"/>
    <w:rsid w:val="00886448"/>
    <w:rsid w:val="0088656B"/>
    <w:rsid w:val="00887031"/>
    <w:rsid w:val="008872D7"/>
    <w:rsid w:val="00887E8C"/>
    <w:rsid w:val="00887F03"/>
    <w:rsid w:val="0089055E"/>
    <w:rsid w:val="00891448"/>
    <w:rsid w:val="008914A2"/>
    <w:rsid w:val="00891D38"/>
    <w:rsid w:val="00891D7B"/>
    <w:rsid w:val="008923EA"/>
    <w:rsid w:val="00893B95"/>
    <w:rsid w:val="008941B2"/>
    <w:rsid w:val="0089486E"/>
    <w:rsid w:val="00894DEA"/>
    <w:rsid w:val="00895941"/>
    <w:rsid w:val="00896875"/>
    <w:rsid w:val="008A0D44"/>
    <w:rsid w:val="008A1084"/>
    <w:rsid w:val="008A1C2F"/>
    <w:rsid w:val="008A1DA7"/>
    <w:rsid w:val="008A29BC"/>
    <w:rsid w:val="008A3884"/>
    <w:rsid w:val="008A3A4B"/>
    <w:rsid w:val="008A41DE"/>
    <w:rsid w:val="008A49EA"/>
    <w:rsid w:val="008A4ABF"/>
    <w:rsid w:val="008A5519"/>
    <w:rsid w:val="008A6614"/>
    <w:rsid w:val="008A739F"/>
    <w:rsid w:val="008A7517"/>
    <w:rsid w:val="008A790C"/>
    <w:rsid w:val="008B0108"/>
    <w:rsid w:val="008B0CD7"/>
    <w:rsid w:val="008B1123"/>
    <w:rsid w:val="008B18E3"/>
    <w:rsid w:val="008B3670"/>
    <w:rsid w:val="008B392A"/>
    <w:rsid w:val="008B3E82"/>
    <w:rsid w:val="008B4157"/>
    <w:rsid w:val="008B4A24"/>
    <w:rsid w:val="008B51DE"/>
    <w:rsid w:val="008B5AFF"/>
    <w:rsid w:val="008B5E0B"/>
    <w:rsid w:val="008B758A"/>
    <w:rsid w:val="008B7C72"/>
    <w:rsid w:val="008B7CD2"/>
    <w:rsid w:val="008C053C"/>
    <w:rsid w:val="008C0C4F"/>
    <w:rsid w:val="008C0F75"/>
    <w:rsid w:val="008C12F3"/>
    <w:rsid w:val="008C1433"/>
    <w:rsid w:val="008C17EE"/>
    <w:rsid w:val="008C1D8B"/>
    <w:rsid w:val="008C1F03"/>
    <w:rsid w:val="008C21EC"/>
    <w:rsid w:val="008C277A"/>
    <w:rsid w:val="008C2F47"/>
    <w:rsid w:val="008C3373"/>
    <w:rsid w:val="008C49A9"/>
    <w:rsid w:val="008C561D"/>
    <w:rsid w:val="008C62EC"/>
    <w:rsid w:val="008C6316"/>
    <w:rsid w:val="008C7911"/>
    <w:rsid w:val="008C7FAF"/>
    <w:rsid w:val="008D0BE4"/>
    <w:rsid w:val="008D0F42"/>
    <w:rsid w:val="008D1475"/>
    <w:rsid w:val="008D151E"/>
    <w:rsid w:val="008D19DB"/>
    <w:rsid w:val="008D35E2"/>
    <w:rsid w:val="008D3981"/>
    <w:rsid w:val="008D41B5"/>
    <w:rsid w:val="008D48AA"/>
    <w:rsid w:val="008D52D5"/>
    <w:rsid w:val="008D5BE0"/>
    <w:rsid w:val="008D72C3"/>
    <w:rsid w:val="008D7537"/>
    <w:rsid w:val="008D7689"/>
    <w:rsid w:val="008D7B10"/>
    <w:rsid w:val="008E041A"/>
    <w:rsid w:val="008E04F6"/>
    <w:rsid w:val="008E0FD3"/>
    <w:rsid w:val="008E154C"/>
    <w:rsid w:val="008E1B76"/>
    <w:rsid w:val="008E1DCB"/>
    <w:rsid w:val="008E2248"/>
    <w:rsid w:val="008E237A"/>
    <w:rsid w:val="008E24CD"/>
    <w:rsid w:val="008E2CD5"/>
    <w:rsid w:val="008E2DF1"/>
    <w:rsid w:val="008E3BD0"/>
    <w:rsid w:val="008E53E7"/>
    <w:rsid w:val="008E5B3B"/>
    <w:rsid w:val="008E5D69"/>
    <w:rsid w:val="008E5EE3"/>
    <w:rsid w:val="008E63EA"/>
    <w:rsid w:val="008E7537"/>
    <w:rsid w:val="008E7558"/>
    <w:rsid w:val="008E7C23"/>
    <w:rsid w:val="008E7F8D"/>
    <w:rsid w:val="008F06E9"/>
    <w:rsid w:val="008F11C4"/>
    <w:rsid w:val="008F19BB"/>
    <w:rsid w:val="008F2850"/>
    <w:rsid w:val="008F2FC2"/>
    <w:rsid w:val="008F302C"/>
    <w:rsid w:val="008F327F"/>
    <w:rsid w:val="008F3305"/>
    <w:rsid w:val="008F3A1B"/>
    <w:rsid w:val="008F3C46"/>
    <w:rsid w:val="008F3E18"/>
    <w:rsid w:val="008F4783"/>
    <w:rsid w:val="008F4C45"/>
    <w:rsid w:val="008F5481"/>
    <w:rsid w:val="008F5D1E"/>
    <w:rsid w:val="008F6FE8"/>
    <w:rsid w:val="008F7242"/>
    <w:rsid w:val="008F75F1"/>
    <w:rsid w:val="008F7D34"/>
    <w:rsid w:val="008F7FBB"/>
    <w:rsid w:val="00901457"/>
    <w:rsid w:val="00901C77"/>
    <w:rsid w:val="0090233F"/>
    <w:rsid w:val="00902698"/>
    <w:rsid w:val="009026E8"/>
    <w:rsid w:val="009030B0"/>
    <w:rsid w:val="009031E3"/>
    <w:rsid w:val="009035A2"/>
    <w:rsid w:val="0090368C"/>
    <w:rsid w:val="00903C20"/>
    <w:rsid w:val="00903E1E"/>
    <w:rsid w:val="00903EBB"/>
    <w:rsid w:val="00904067"/>
    <w:rsid w:val="00904674"/>
    <w:rsid w:val="00904BC9"/>
    <w:rsid w:val="009056C1"/>
    <w:rsid w:val="009056CA"/>
    <w:rsid w:val="009057C5"/>
    <w:rsid w:val="00905F4A"/>
    <w:rsid w:val="009062BB"/>
    <w:rsid w:val="0090688C"/>
    <w:rsid w:val="0090766E"/>
    <w:rsid w:val="0091038B"/>
    <w:rsid w:val="009119D3"/>
    <w:rsid w:val="00911F66"/>
    <w:rsid w:val="00913377"/>
    <w:rsid w:val="0091344B"/>
    <w:rsid w:val="00913491"/>
    <w:rsid w:val="009136AF"/>
    <w:rsid w:val="00913DCC"/>
    <w:rsid w:val="0091409A"/>
    <w:rsid w:val="00914378"/>
    <w:rsid w:val="00914F27"/>
    <w:rsid w:val="00916333"/>
    <w:rsid w:val="00916B50"/>
    <w:rsid w:val="00917B21"/>
    <w:rsid w:val="00921839"/>
    <w:rsid w:val="00921E03"/>
    <w:rsid w:val="00922101"/>
    <w:rsid w:val="00922A4B"/>
    <w:rsid w:val="00923492"/>
    <w:rsid w:val="009236F3"/>
    <w:rsid w:val="009241BB"/>
    <w:rsid w:val="009244F7"/>
    <w:rsid w:val="00924C0D"/>
    <w:rsid w:val="00924D94"/>
    <w:rsid w:val="0092501B"/>
    <w:rsid w:val="0092587F"/>
    <w:rsid w:val="00925AA4"/>
    <w:rsid w:val="00926BE1"/>
    <w:rsid w:val="009272CD"/>
    <w:rsid w:val="00930FA6"/>
    <w:rsid w:val="00931158"/>
    <w:rsid w:val="009313BE"/>
    <w:rsid w:val="009318B0"/>
    <w:rsid w:val="00932FE2"/>
    <w:rsid w:val="00933907"/>
    <w:rsid w:val="00933DCB"/>
    <w:rsid w:val="0093405E"/>
    <w:rsid w:val="009340AB"/>
    <w:rsid w:val="0093426D"/>
    <w:rsid w:val="00934498"/>
    <w:rsid w:val="00936192"/>
    <w:rsid w:val="00937516"/>
    <w:rsid w:val="0094066E"/>
    <w:rsid w:val="0094182D"/>
    <w:rsid w:val="00942004"/>
    <w:rsid w:val="0094245B"/>
    <w:rsid w:val="00942913"/>
    <w:rsid w:val="00942A08"/>
    <w:rsid w:val="00942CAD"/>
    <w:rsid w:val="009432E4"/>
    <w:rsid w:val="00943363"/>
    <w:rsid w:val="009434CF"/>
    <w:rsid w:val="009434EA"/>
    <w:rsid w:val="009442EB"/>
    <w:rsid w:val="00944491"/>
    <w:rsid w:val="009447D8"/>
    <w:rsid w:val="00945752"/>
    <w:rsid w:val="009461AA"/>
    <w:rsid w:val="0094624F"/>
    <w:rsid w:val="009463C5"/>
    <w:rsid w:val="009468E9"/>
    <w:rsid w:val="00946910"/>
    <w:rsid w:val="00946D18"/>
    <w:rsid w:val="00947C38"/>
    <w:rsid w:val="00947E63"/>
    <w:rsid w:val="00951718"/>
    <w:rsid w:val="00951817"/>
    <w:rsid w:val="00952CCB"/>
    <w:rsid w:val="00953322"/>
    <w:rsid w:val="00953BFE"/>
    <w:rsid w:val="009550BB"/>
    <w:rsid w:val="0095545C"/>
    <w:rsid w:val="00955935"/>
    <w:rsid w:val="00955992"/>
    <w:rsid w:val="00955AB7"/>
    <w:rsid w:val="00955B26"/>
    <w:rsid w:val="00955B99"/>
    <w:rsid w:val="00956067"/>
    <w:rsid w:val="00956115"/>
    <w:rsid w:val="00956244"/>
    <w:rsid w:val="00956304"/>
    <w:rsid w:val="009566DC"/>
    <w:rsid w:val="00957342"/>
    <w:rsid w:val="009574F2"/>
    <w:rsid w:val="00957921"/>
    <w:rsid w:val="00957A1E"/>
    <w:rsid w:val="00957A76"/>
    <w:rsid w:val="00957C00"/>
    <w:rsid w:val="00960719"/>
    <w:rsid w:val="00960F89"/>
    <w:rsid w:val="009616B6"/>
    <w:rsid w:val="009619CF"/>
    <w:rsid w:val="00962255"/>
    <w:rsid w:val="00962B2A"/>
    <w:rsid w:val="00963502"/>
    <w:rsid w:val="00963C96"/>
    <w:rsid w:val="009648EF"/>
    <w:rsid w:val="009649FF"/>
    <w:rsid w:val="00965DC9"/>
    <w:rsid w:val="00966B53"/>
    <w:rsid w:val="00967433"/>
    <w:rsid w:val="009700F8"/>
    <w:rsid w:val="00970584"/>
    <w:rsid w:val="00970F04"/>
    <w:rsid w:val="009710FB"/>
    <w:rsid w:val="0097114B"/>
    <w:rsid w:val="00971224"/>
    <w:rsid w:val="00971F36"/>
    <w:rsid w:val="009720C3"/>
    <w:rsid w:val="0097319E"/>
    <w:rsid w:val="0097358B"/>
    <w:rsid w:val="00973730"/>
    <w:rsid w:val="00973A12"/>
    <w:rsid w:val="00973AFE"/>
    <w:rsid w:val="00974614"/>
    <w:rsid w:val="009748FF"/>
    <w:rsid w:val="00975084"/>
    <w:rsid w:val="00975243"/>
    <w:rsid w:val="009754BC"/>
    <w:rsid w:val="0097588C"/>
    <w:rsid w:val="00975C3B"/>
    <w:rsid w:val="0097620F"/>
    <w:rsid w:val="00976397"/>
    <w:rsid w:val="00976588"/>
    <w:rsid w:val="00976FE8"/>
    <w:rsid w:val="009771A0"/>
    <w:rsid w:val="0097799A"/>
    <w:rsid w:val="00977C25"/>
    <w:rsid w:val="009807C9"/>
    <w:rsid w:val="0098082E"/>
    <w:rsid w:val="00980CAF"/>
    <w:rsid w:val="00980DB8"/>
    <w:rsid w:val="0098122A"/>
    <w:rsid w:val="0098137E"/>
    <w:rsid w:val="009816C8"/>
    <w:rsid w:val="0098173F"/>
    <w:rsid w:val="00981DC5"/>
    <w:rsid w:val="00981FC9"/>
    <w:rsid w:val="00982327"/>
    <w:rsid w:val="009833CB"/>
    <w:rsid w:val="009836FB"/>
    <w:rsid w:val="009837A3"/>
    <w:rsid w:val="00983F27"/>
    <w:rsid w:val="009843E2"/>
    <w:rsid w:val="0098582B"/>
    <w:rsid w:val="009858DA"/>
    <w:rsid w:val="009861EE"/>
    <w:rsid w:val="00987566"/>
    <w:rsid w:val="0098760C"/>
    <w:rsid w:val="0098795A"/>
    <w:rsid w:val="00987F32"/>
    <w:rsid w:val="0099011B"/>
    <w:rsid w:val="00990487"/>
    <w:rsid w:val="009912E2"/>
    <w:rsid w:val="00991536"/>
    <w:rsid w:val="009915AA"/>
    <w:rsid w:val="00991648"/>
    <w:rsid w:val="009918AC"/>
    <w:rsid w:val="0099255B"/>
    <w:rsid w:val="00992A8B"/>
    <w:rsid w:val="00993DAC"/>
    <w:rsid w:val="00995D5C"/>
    <w:rsid w:val="00996373"/>
    <w:rsid w:val="00996A23"/>
    <w:rsid w:val="00997046"/>
    <w:rsid w:val="009973B6"/>
    <w:rsid w:val="00997585"/>
    <w:rsid w:val="00997705"/>
    <w:rsid w:val="00997BEC"/>
    <w:rsid w:val="00997C26"/>
    <w:rsid w:val="009A06D0"/>
    <w:rsid w:val="009A0B7F"/>
    <w:rsid w:val="009A0E19"/>
    <w:rsid w:val="009A1215"/>
    <w:rsid w:val="009A1416"/>
    <w:rsid w:val="009A20E4"/>
    <w:rsid w:val="009A2440"/>
    <w:rsid w:val="009A2448"/>
    <w:rsid w:val="009A28F6"/>
    <w:rsid w:val="009A3437"/>
    <w:rsid w:val="009A3D15"/>
    <w:rsid w:val="009A3E6F"/>
    <w:rsid w:val="009A3FD3"/>
    <w:rsid w:val="009A4588"/>
    <w:rsid w:val="009A4ECB"/>
    <w:rsid w:val="009A5F3F"/>
    <w:rsid w:val="009A6007"/>
    <w:rsid w:val="009A6A00"/>
    <w:rsid w:val="009A6E33"/>
    <w:rsid w:val="009A6F9E"/>
    <w:rsid w:val="009A714A"/>
    <w:rsid w:val="009A718B"/>
    <w:rsid w:val="009A7318"/>
    <w:rsid w:val="009A7B51"/>
    <w:rsid w:val="009A7E2A"/>
    <w:rsid w:val="009B0602"/>
    <w:rsid w:val="009B0987"/>
    <w:rsid w:val="009B0CAB"/>
    <w:rsid w:val="009B121B"/>
    <w:rsid w:val="009B144A"/>
    <w:rsid w:val="009B14F4"/>
    <w:rsid w:val="009B177F"/>
    <w:rsid w:val="009B17DB"/>
    <w:rsid w:val="009B26EE"/>
    <w:rsid w:val="009B3199"/>
    <w:rsid w:val="009B38BC"/>
    <w:rsid w:val="009B4EC5"/>
    <w:rsid w:val="009B50CC"/>
    <w:rsid w:val="009B51A4"/>
    <w:rsid w:val="009B5A4A"/>
    <w:rsid w:val="009B5ACD"/>
    <w:rsid w:val="009B5E21"/>
    <w:rsid w:val="009B67B3"/>
    <w:rsid w:val="009B7146"/>
    <w:rsid w:val="009B7391"/>
    <w:rsid w:val="009B739B"/>
    <w:rsid w:val="009B7407"/>
    <w:rsid w:val="009B7BAA"/>
    <w:rsid w:val="009C067B"/>
    <w:rsid w:val="009C08E6"/>
    <w:rsid w:val="009C09D7"/>
    <w:rsid w:val="009C0D27"/>
    <w:rsid w:val="009C1B38"/>
    <w:rsid w:val="009C205F"/>
    <w:rsid w:val="009C2E0C"/>
    <w:rsid w:val="009C307F"/>
    <w:rsid w:val="009C3B2A"/>
    <w:rsid w:val="009C4249"/>
    <w:rsid w:val="009C44E4"/>
    <w:rsid w:val="009C4614"/>
    <w:rsid w:val="009C477B"/>
    <w:rsid w:val="009C4918"/>
    <w:rsid w:val="009C4C78"/>
    <w:rsid w:val="009C5124"/>
    <w:rsid w:val="009C51F7"/>
    <w:rsid w:val="009C5C5F"/>
    <w:rsid w:val="009C5F2B"/>
    <w:rsid w:val="009C5F5B"/>
    <w:rsid w:val="009C61C6"/>
    <w:rsid w:val="009C61EE"/>
    <w:rsid w:val="009C6454"/>
    <w:rsid w:val="009C6CF4"/>
    <w:rsid w:val="009C74B8"/>
    <w:rsid w:val="009C78E3"/>
    <w:rsid w:val="009C7FFB"/>
    <w:rsid w:val="009D04DD"/>
    <w:rsid w:val="009D1DCA"/>
    <w:rsid w:val="009D2018"/>
    <w:rsid w:val="009D2D62"/>
    <w:rsid w:val="009D31CD"/>
    <w:rsid w:val="009D4E10"/>
    <w:rsid w:val="009D4F53"/>
    <w:rsid w:val="009D5454"/>
    <w:rsid w:val="009D69CD"/>
    <w:rsid w:val="009D7121"/>
    <w:rsid w:val="009D7892"/>
    <w:rsid w:val="009E01B8"/>
    <w:rsid w:val="009E0843"/>
    <w:rsid w:val="009E0B3D"/>
    <w:rsid w:val="009E18D5"/>
    <w:rsid w:val="009E1B79"/>
    <w:rsid w:val="009E1BC8"/>
    <w:rsid w:val="009E1E84"/>
    <w:rsid w:val="009E3111"/>
    <w:rsid w:val="009E38AF"/>
    <w:rsid w:val="009E40B7"/>
    <w:rsid w:val="009E4205"/>
    <w:rsid w:val="009E52A8"/>
    <w:rsid w:val="009E673E"/>
    <w:rsid w:val="009E68BE"/>
    <w:rsid w:val="009E68ED"/>
    <w:rsid w:val="009E6A49"/>
    <w:rsid w:val="009E74CA"/>
    <w:rsid w:val="009E759E"/>
    <w:rsid w:val="009E7AD8"/>
    <w:rsid w:val="009F096D"/>
    <w:rsid w:val="009F0C01"/>
    <w:rsid w:val="009F0D41"/>
    <w:rsid w:val="009F161C"/>
    <w:rsid w:val="009F1BC2"/>
    <w:rsid w:val="009F1D57"/>
    <w:rsid w:val="009F28F7"/>
    <w:rsid w:val="009F29A4"/>
    <w:rsid w:val="009F2B8A"/>
    <w:rsid w:val="009F2BAF"/>
    <w:rsid w:val="009F2F18"/>
    <w:rsid w:val="009F3041"/>
    <w:rsid w:val="009F3655"/>
    <w:rsid w:val="009F38E8"/>
    <w:rsid w:val="009F39AD"/>
    <w:rsid w:val="009F4EF8"/>
    <w:rsid w:val="009F4F1B"/>
    <w:rsid w:val="009F5872"/>
    <w:rsid w:val="009F5FF4"/>
    <w:rsid w:val="009F6DB9"/>
    <w:rsid w:val="009F70AA"/>
    <w:rsid w:val="009F740D"/>
    <w:rsid w:val="009F77F0"/>
    <w:rsid w:val="009F7E73"/>
    <w:rsid w:val="00A0020E"/>
    <w:rsid w:val="00A00370"/>
    <w:rsid w:val="00A0073E"/>
    <w:rsid w:val="00A00F88"/>
    <w:rsid w:val="00A016A7"/>
    <w:rsid w:val="00A01A02"/>
    <w:rsid w:val="00A01AAA"/>
    <w:rsid w:val="00A01AED"/>
    <w:rsid w:val="00A02007"/>
    <w:rsid w:val="00A024F6"/>
    <w:rsid w:val="00A0288A"/>
    <w:rsid w:val="00A02A8B"/>
    <w:rsid w:val="00A02B6A"/>
    <w:rsid w:val="00A02F74"/>
    <w:rsid w:val="00A030F3"/>
    <w:rsid w:val="00A03652"/>
    <w:rsid w:val="00A041C7"/>
    <w:rsid w:val="00A04E7C"/>
    <w:rsid w:val="00A04F4B"/>
    <w:rsid w:val="00A06B3C"/>
    <w:rsid w:val="00A06DB6"/>
    <w:rsid w:val="00A10003"/>
    <w:rsid w:val="00A1084E"/>
    <w:rsid w:val="00A10A09"/>
    <w:rsid w:val="00A113B3"/>
    <w:rsid w:val="00A114CC"/>
    <w:rsid w:val="00A11A74"/>
    <w:rsid w:val="00A11CB9"/>
    <w:rsid w:val="00A12CC9"/>
    <w:rsid w:val="00A134B1"/>
    <w:rsid w:val="00A13648"/>
    <w:rsid w:val="00A1449A"/>
    <w:rsid w:val="00A1467F"/>
    <w:rsid w:val="00A14921"/>
    <w:rsid w:val="00A151D1"/>
    <w:rsid w:val="00A15B66"/>
    <w:rsid w:val="00A15B7F"/>
    <w:rsid w:val="00A16462"/>
    <w:rsid w:val="00A168C8"/>
    <w:rsid w:val="00A169B5"/>
    <w:rsid w:val="00A17386"/>
    <w:rsid w:val="00A20173"/>
    <w:rsid w:val="00A2060D"/>
    <w:rsid w:val="00A20B21"/>
    <w:rsid w:val="00A216B7"/>
    <w:rsid w:val="00A21708"/>
    <w:rsid w:val="00A217B1"/>
    <w:rsid w:val="00A2186A"/>
    <w:rsid w:val="00A23EF0"/>
    <w:rsid w:val="00A242AE"/>
    <w:rsid w:val="00A242EA"/>
    <w:rsid w:val="00A2504D"/>
    <w:rsid w:val="00A26BB3"/>
    <w:rsid w:val="00A271B3"/>
    <w:rsid w:val="00A272BE"/>
    <w:rsid w:val="00A273BD"/>
    <w:rsid w:val="00A27757"/>
    <w:rsid w:val="00A2797C"/>
    <w:rsid w:val="00A27C35"/>
    <w:rsid w:val="00A30231"/>
    <w:rsid w:val="00A30545"/>
    <w:rsid w:val="00A309B7"/>
    <w:rsid w:val="00A30B94"/>
    <w:rsid w:val="00A31850"/>
    <w:rsid w:val="00A318DD"/>
    <w:rsid w:val="00A31D0C"/>
    <w:rsid w:val="00A322BE"/>
    <w:rsid w:val="00A33274"/>
    <w:rsid w:val="00A33342"/>
    <w:rsid w:val="00A3344C"/>
    <w:rsid w:val="00A33719"/>
    <w:rsid w:val="00A33DF9"/>
    <w:rsid w:val="00A34383"/>
    <w:rsid w:val="00A3529A"/>
    <w:rsid w:val="00A376F0"/>
    <w:rsid w:val="00A40262"/>
    <w:rsid w:val="00A40858"/>
    <w:rsid w:val="00A40A77"/>
    <w:rsid w:val="00A4137E"/>
    <w:rsid w:val="00A41515"/>
    <w:rsid w:val="00A41B5E"/>
    <w:rsid w:val="00A41E03"/>
    <w:rsid w:val="00A41FEE"/>
    <w:rsid w:val="00A42042"/>
    <w:rsid w:val="00A422C2"/>
    <w:rsid w:val="00A42659"/>
    <w:rsid w:val="00A426D4"/>
    <w:rsid w:val="00A4281A"/>
    <w:rsid w:val="00A42CF9"/>
    <w:rsid w:val="00A42F88"/>
    <w:rsid w:val="00A43F0E"/>
    <w:rsid w:val="00A44228"/>
    <w:rsid w:val="00A44C41"/>
    <w:rsid w:val="00A44E81"/>
    <w:rsid w:val="00A45529"/>
    <w:rsid w:val="00A461E4"/>
    <w:rsid w:val="00A466AC"/>
    <w:rsid w:val="00A47031"/>
    <w:rsid w:val="00A4765E"/>
    <w:rsid w:val="00A50604"/>
    <w:rsid w:val="00A50E26"/>
    <w:rsid w:val="00A51518"/>
    <w:rsid w:val="00A51A8B"/>
    <w:rsid w:val="00A522C3"/>
    <w:rsid w:val="00A52331"/>
    <w:rsid w:val="00A524A6"/>
    <w:rsid w:val="00A543D2"/>
    <w:rsid w:val="00A54818"/>
    <w:rsid w:val="00A54C21"/>
    <w:rsid w:val="00A550AB"/>
    <w:rsid w:val="00A55DC6"/>
    <w:rsid w:val="00A55DD4"/>
    <w:rsid w:val="00A56070"/>
    <w:rsid w:val="00A56859"/>
    <w:rsid w:val="00A569E0"/>
    <w:rsid w:val="00A56D42"/>
    <w:rsid w:val="00A56D83"/>
    <w:rsid w:val="00A5707D"/>
    <w:rsid w:val="00A6008D"/>
    <w:rsid w:val="00A60997"/>
    <w:rsid w:val="00A60CA4"/>
    <w:rsid w:val="00A61446"/>
    <w:rsid w:val="00A615E0"/>
    <w:rsid w:val="00A61D87"/>
    <w:rsid w:val="00A62285"/>
    <w:rsid w:val="00A62821"/>
    <w:rsid w:val="00A6338B"/>
    <w:rsid w:val="00A6390A"/>
    <w:rsid w:val="00A64524"/>
    <w:rsid w:val="00A64A9B"/>
    <w:rsid w:val="00A65A66"/>
    <w:rsid w:val="00A65C73"/>
    <w:rsid w:val="00A66BBF"/>
    <w:rsid w:val="00A66EE4"/>
    <w:rsid w:val="00A6710E"/>
    <w:rsid w:val="00A67235"/>
    <w:rsid w:val="00A67460"/>
    <w:rsid w:val="00A675DD"/>
    <w:rsid w:val="00A70197"/>
    <w:rsid w:val="00A7047F"/>
    <w:rsid w:val="00A70571"/>
    <w:rsid w:val="00A70585"/>
    <w:rsid w:val="00A70728"/>
    <w:rsid w:val="00A70C52"/>
    <w:rsid w:val="00A715EF"/>
    <w:rsid w:val="00A71A8E"/>
    <w:rsid w:val="00A71BDB"/>
    <w:rsid w:val="00A720B7"/>
    <w:rsid w:val="00A72719"/>
    <w:rsid w:val="00A72BCC"/>
    <w:rsid w:val="00A731D2"/>
    <w:rsid w:val="00A73387"/>
    <w:rsid w:val="00A73405"/>
    <w:rsid w:val="00A74310"/>
    <w:rsid w:val="00A745D3"/>
    <w:rsid w:val="00A7462D"/>
    <w:rsid w:val="00A748DB"/>
    <w:rsid w:val="00A7498A"/>
    <w:rsid w:val="00A7549A"/>
    <w:rsid w:val="00A77966"/>
    <w:rsid w:val="00A77A0F"/>
    <w:rsid w:val="00A77E09"/>
    <w:rsid w:val="00A77F4A"/>
    <w:rsid w:val="00A8029C"/>
    <w:rsid w:val="00A8033D"/>
    <w:rsid w:val="00A80449"/>
    <w:rsid w:val="00A826A0"/>
    <w:rsid w:val="00A826B4"/>
    <w:rsid w:val="00A82E1A"/>
    <w:rsid w:val="00A8395A"/>
    <w:rsid w:val="00A83B75"/>
    <w:rsid w:val="00A83C7E"/>
    <w:rsid w:val="00A8418C"/>
    <w:rsid w:val="00A84DA1"/>
    <w:rsid w:val="00A85505"/>
    <w:rsid w:val="00A85676"/>
    <w:rsid w:val="00A856DD"/>
    <w:rsid w:val="00A85812"/>
    <w:rsid w:val="00A85DC4"/>
    <w:rsid w:val="00A864D8"/>
    <w:rsid w:val="00A866C4"/>
    <w:rsid w:val="00A869C4"/>
    <w:rsid w:val="00A8700B"/>
    <w:rsid w:val="00A871C9"/>
    <w:rsid w:val="00A87FE2"/>
    <w:rsid w:val="00A91271"/>
    <w:rsid w:val="00A9140C"/>
    <w:rsid w:val="00A915C6"/>
    <w:rsid w:val="00A917FF"/>
    <w:rsid w:val="00A91E31"/>
    <w:rsid w:val="00A9205F"/>
    <w:rsid w:val="00A92202"/>
    <w:rsid w:val="00A92AC2"/>
    <w:rsid w:val="00A93498"/>
    <w:rsid w:val="00A93C3D"/>
    <w:rsid w:val="00A93D3C"/>
    <w:rsid w:val="00A940A9"/>
    <w:rsid w:val="00A9456E"/>
    <w:rsid w:val="00A948B2"/>
    <w:rsid w:val="00A95355"/>
    <w:rsid w:val="00A95EE6"/>
    <w:rsid w:val="00A95F70"/>
    <w:rsid w:val="00A960E9"/>
    <w:rsid w:val="00A964C7"/>
    <w:rsid w:val="00A97B41"/>
    <w:rsid w:val="00A97DC4"/>
    <w:rsid w:val="00A97F0C"/>
    <w:rsid w:val="00A97F93"/>
    <w:rsid w:val="00AA0147"/>
    <w:rsid w:val="00AA0E4D"/>
    <w:rsid w:val="00AA219A"/>
    <w:rsid w:val="00AA25C5"/>
    <w:rsid w:val="00AA2964"/>
    <w:rsid w:val="00AA2B8B"/>
    <w:rsid w:val="00AA2C6E"/>
    <w:rsid w:val="00AA3E2B"/>
    <w:rsid w:val="00AA3F84"/>
    <w:rsid w:val="00AA46DD"/>
    <w:rsid w:val="00AA4886"/>
    <w:rsid w:val="00AA509E"/>
    <w:rsid w:val="00AA53A0"/>
    <w:rsid w:val="00AA53AC"/>
    <w:rsid w:val="00AA626F"/>
    <w:rsid w:val="00AA6484"/>
    <w:rsid w:val="00AA66A3"/>
    <w:rsid w:val="00AA7874"/>
    <w:rsid w:val="00AA7D0F"/>
    <w:rsid w:val="00AB0396"/>
    <w:rsid w:val="00AB0440"/>
    <w:rsid w:val="00AB0479"/>
    <w:rsid w:val="00AB05C9"/>
    <w:rsid w:val="00AB0A0C"/>
    <w:rsid w:val="00AB0BC7"/>
    <w:rsid w:val="00AB0FDF"/>
    <w:rsid w:val="00AB1831"/>
    <w:rsid w:val="00AB20AB"/>
    <w:rsid w:val="00AB27B9"/>
    <w:rsid w:val="00AB282E"/>
    <w:rsid w:val="00AB2831"/>
    <w:rsid w:val="00AB2AAE"/>
    <w:rsid w:val="00AB2C0F"/>
    <w:rsid w:val="00AB2D52"/>
    <w:rsid w:val="00AB3DD2"/>
    <w:rsid w:val="00AB40A0"/>
    <w:rsid w:val="00AB5528"/>
    <w:rsid w:val="00AB5538"/>
    <w:rsid w:val="00AB5825"/>
    <w:rsid w:val="00AB58D9"/>
    <w:rsid w:val="00AB5983"/>
    <w:rsid w:val="00AB6656"/>
    <w:rsid w:val="00AB7178"/>
    <w:rsid w:val="00AB74C3"/>
    <w:rsid w:val="00AC0E72"/>
    <w:rsid w:val="00AC1250"/>
    <w:rsid w:val="00AC21C6"/>
    <w:rsid w:val="00AC3779"/>
    <w:rsid w:val="00AC422A"/>
    <w:rsid w:val="00AC4739"/>
    <w:rsid w:val="00AC4979"/>
    <w:rsid w:val="00AC640E"/>
    <w:rsid w:val="00AC673B"/>
    <w:rsid w:val="00AC79A8"/>
    <w:rsid w:val="00AC7B7D"/>
    <w:rsid w:val="00AD0097"/>
    <w:rsid w:val="00AD020B"/>
    <w:rsid w:val="00AD07EF"/>
    <w:rsid w:val="00AD08E5"/>
    <w:rsid w:val="00AD0D5C"/>
    <w:rsid w:val="00AD0E15"/>
    <w:rsid w:val="00AD129B"/>
    <w:rsid w:val="00AD12B6"/>
    <w:rsid w:val="00AD1A96"/>
    <w:rsid w:val="00AD1E0A"/>
    <w:rsid w:val="00AD1E79"/>
    <w:rsid w:val="00AD2385"/>
    <w:rsid w:val="00AD23F3"/>
    <w:rsid w:val="00AD2A29"/>
    <w:rsid w:val="00AD2FCF"/>
    <w:rsid w:val="00AD36A2"/>
    <w:rsid w:val="00AD420D"/>
    <w:rsid w:val="00AD4728"/>
    <w:rsid w:val="00AD4CC2"/>
    <w:rsid w:val="00AD4F89"/>
    <w:rsid w:val="00AD52A6"/>
    <w:rsid w:val="00AD5AEC"/>
    <w:rsid w:val="00AD620C"/>
    <w:rsid w:val="00AD669D"/>
    <w:rsid w:val="00AD6AD0"/>
    <w:rsid w:val="00AD6D0B"/>
    <w:rsid w:val="00AD7537"/>
    <w:rsid w:val="00AD7D99"/>
    <w:rsid w:val="00AD7DC1"/>
    <w:rsid w:val="00AE07B8"/>
    <w:rsid w:val="00AE11D6"/>
    <w:rsid w:val="00AE2C85"/>
    <w:rsid w:val="00AE328A"/>
    <w:rsid w:val="00AE42F5"/>
    <w:rsid w:val="00AE4721"/>
    <w:rsid w:val="00AE4736"/>
    <w:rsid w:val="00AE4C09"/>
    <w:rsid w:val="00AE541B"/>
    <w:rsid w:val="00AE56D5"/>
    <w:rsid w:val="00AE6180"/>
    <w:rsid w:val="00AE7160"/>
    <w:rsid w:val="00AE747B"/>
    <w:rsid w:val="00AE7B1F"/>
    <w:rsid w:val="00AE7D07"/>
    <w:rsid w:val="00AE7DE5"/>
    <w:rsid w:val="00AF03C7"/>
    <w:rsid w:val="00AF03E3"/>
    <w:rsid w:val="00AF12DE"/>
    <w:rsid w:val="00AF1653"/>
    <w:rsid w:val="00AF209A"/>
    <w:rsid w:val="00AF22E3"/>
    <w:rsid w:val="00AF3BF4"/>
    <w:rsid w:val="00AF3F93"/>
    <w:rsid w:val="00AF46CB"/>
    <w:rsid w:val="00AF48C9"/>
    <w:rsid w:val="00AF4BB9"/>
    <w:rsid w:val="00AF50BF"/>
    <w:rsid w:val="00AF5369"/>
    <w:rsid w:val="00AF5612"/>
    <w:rsid w:val="00AF5C96"/>
    <w:rsid w:val="00AF63E5"/>
    <w:rsid w:val="00AF67F3"/>
    <w:rsid w:val="00AF71D2"/>
    <w:rsid w:val="00B00325"/>
    <w:rsid w:val="00B00478"/>
    <w:rsid w:val="00B01410"/>
    <w:rsid w:val="00B01BCB"/>
    <w:rsid w:val="00B01DF0"/>
    <w:rsid w:val="00B026D2"/>
    <w:rsid w:val="00B02B12"/>
    <w:rsid w:val="00B02B2E"/>
    <w:rsid w:val="00B02C5B"/>
    <w:rsid w:val="00B02DE3"/>
    <w:rsid w:val="00B037AA"/>
    <w:rsid w:val="00B03A9D"/>
    <w:rsid w:val="00B054BA"/>
    <w:rsid w:val="00B06804"/>
    <w:rsid w:val="00B0782C"/>
    <w:rsid w:val="00B07908"/>
    <w:rsid w:val="00B07ADC"/>
    <w:rsid w:val="00B1005C"/>
    <w:rsid w:val="00B11D8C"/>
    <w:rsid w:val="00B11F8A"/>
    <w:rsid w:val="00B122A0"/>
    <w:rsid w:val="00B1256E"/>
    <w:rsid w:val="00B13430"/>
    <w:rsid w:val="00B13787"/>
    <w:rsid w:val="00B14007"/>
    <w:rsid w:val="00B1445B"/>
    <w:rsid w:val="00B15801"/>
    <w:rsid w:val="00B1644E"/>
    <w:rsid w:val="00B16CE0"/>
    <w:rsid w:val="00B177F3"/>
    <w:rsid w:val="00B17AAC"/>
    <w:rsid w:val="00B20571"/>
    <w:rsid w:val="00B215D0"/>
    <w:rsid w:val="00B21F73"/>
    <w:rsid w:val="00B22176"/>
    <w:rsid w:val="00B226F3"/>
    <w:rsid w:val="00B226FA"/>
    <w:rsid w:val="00B22B7D"/>
    <w:rsid w:val="00B22D7B"/>
    <w:rsid w:val="00B2329D"/>
    <w:rsid w:val="00B2343E"/>
    <w:rsid w:val="00B2355A"/>
    <w:rsid w:val="00B23822"/>
    <w:rsid w:val="00B23A32"/>
    <w:rsid w:val="00B23A60"/>
    <w:rsid w:val="00B23D80"/>
    <w:rsid w:val="00B240C7"/>
    <w:rsid w:val="00B243A4"/>
    <w:rsid w:val="00B245B8"/>
    <w:rsid w:val="00B24ABA"/>
    <w:rsid w:val="00B255C5"/>
    <w:rsid w:val="00B25E98"/>
    <w:rsid w:val="00B25FB2"/>
    <w:rsid w:val="00B26A92"/>
    <w:rsid w:val="00B26D21"/>
    <w:rsid w:val="00B26DCD"/>
    <w:rsid w:val="00B274C7"/>
    <w:rsid w:val="00B27A36"/>
    <w:rsid w:val="00B27DB4"/>
    <w:rsid w:val="00B30276"/>
    <w:rsid w:val="00B30861"/>
    <w:rsid w:val="00B32642"/>
    <w:rsid w:val="00B328CA"/>
    <w:rsid w:val="00B33676"/>
    <w:rsid w:val="00B33FC9"/>
    <w:rsid w:val="00B343CF"/>
    <w:rsid w:val="00B34A70"/>
    <w:rsid w:val="00B34D05"/>
    <w:rsid w:val="00B34E1F"/>
    <w:rsid w:val="00B35194"/>
    <w:rsid w:val="00B352DD"/>
    <w:rsid w:val="00B3606F"/>
    <w:rsid w:val="00B36C97"/>
    <w:rsid w:val="00B37179"/>
    <w:rsid w:val="00B37AAA"/>
    <w:rsid w:val="00B37AE6"/>
    <w:rsid w:val="00B37C41"/>
    <w:rsid w:val="00B4078C"/>
    <w:rsid w:val="00B40A92"/>
    <w:rsid w:val="00B40D0C"/>
    <w:rsid w:val="00B41227"/>
    <w:rsid w:val="00B4191E"/>
    <w:rsid w:val="00B42C6D"/>
    <w:rsid w:val="00B43418"/>
    <w:rsid w:val="00B437D7"/>
    <w:rsid w:val="00B43B49"/>
    <w:rsid w:val="00B4461F"/>
    <w:rsid w:val="00B4481E"/>
    <w:rsid w:val="00B4516E"/>
    <w:rsid w:val="00B455D4"/>
    <w:rsid w:val="00B45B27"/>
    <w:rsid w:val="00B45D33"/>
    <w:rsid w:val="00B46233"/>
    <w:rsid w:val="00B467ED"/>
    <w:rsid w:val="00B46CB0"/>
    <w:rsid w:val="00B47A4F"/>
    <w:rsid w:val="00B50983"/>
    <w:rsid w:val="00B50BD3"/>
    <w:rsid w:val="00B5139A"/>
    <w:rsid w:val="00B51669"/>
    <w:rsid w:val="00B52315"/>
    <w:rsid w:val="00B5294D"/>
    <w:rsid w:val="00B52D8A"/>
    <w:rsid w:val="00B52DAB"/>
    <w:rsid w:val="00B539BE"/>
    <w:rsid w:val="00B53BAE"/>
    <w:rsid w:val="00B53CF9"/>
    <w:rsid w:val="00B54336"/>
    <w:rsid w:val="00B54F44"/>
    <w:rsid w:val="00B5549D"/>
    <w:rsid w:val="00B56011"/>
    <w:rsid w:val="00B56152"/>
    <w:rsid w:val="00B565D0"/>
    <w:rsid w:val="00B56C51"/>
    <w:rsid w:val="00B56EF5"/>
    <w:rsid w:val="00B575F4"/>
    <w:rsid w:val="00B57C19"/>
    <w:rsid w:val="00B60423"/>
    <w:rsid w:val="00B6058A"/>
    <w:rsid w:val="00B6070A"/>
    <w:rsid w:val="00B60A02"/>
    <w:rsid w:val="00B6183E"/>
    <w:rsid w:val="00B61D05"/>
    <w:rsid w:val="00B61DAB"/>
    <w:rsid w:val="00B62043"/>
    <w:rsid w:val="00B622BD"/>
    <w:rsid w:val="00B626BA"/>
    <w:rsid w:val="00B62901"/>
    <w:rsid w:val="00B633AD"/>
    <w:rsid w:val="00B63682"/>
    <w:rsid w:val="00B63C66"/>
    <w:rsid w:val="00B64183"/>
    <w:rsid w:val="00B65076"/>
    <w:rsid w:val="00B65787"/>
    <w:rsid w:val="00B6581A"/>
    <w:rsid w:val="00B6639E"/>
    <w:rsid w:val="00B670E5"/>
    <w:rsid w:val="00B70775"/>
    <w:rsid w:val="00B70807"/>
    <w:rsid w:val="00B70890"/>
    <w:rsid w:val="00B71CAF"/>
    <w:rsid w:val="00B71DB8"/>
    <w:rsid w:val="00B72ED7"/>
    <w:rsid w:val="00B7320C"/>
    <w:rsid w:val="00B73271"/>
    <w:rsid w:val="00B73752"/>
    <w:rsid w:val="00B73779"/>
    <w:rsid w:val="00B749EC"/>
    <w:rsid w:val="00B74DA0"/>
    <w:rsid w:val="00B74DFD"/>
    <w:rsid w:val="00B7733B"/>
    <w:rsid w:val="00B778F3"/>
    <w:rsid w:val="00B77E7C"/>
    <w:rsid w:val="00B809A7"/>
    <w:rsid w:val="00B80A20"/>
    <w:rsid w:val="00B80BD8"/>
    <w:rsid w:val="00B80F85"/>
    <w:rsid w:val="00B81892"/>
    <w:rsid w:val="00B81B52"/>
    <w:rsid w:val="00B81CDF"/>
    <w:rsid w:val="00B824E7"/>
    <w:rsid w:val="00B827FD"/>
    <w:rsid w:val="00B829D3"/>
    <w:rsid w:val="00B82AA3"/>
    <w:rsid w:val="00B82D29"/>
    <w:rsid w:val="00B83703"/>
    <w:rsid w:val="00B83B7C"/>
    <w:rsid w:val="00B83E7E"/>
    <w:rsid w:val="00B83EBF"/>
    <w:rsid w:val="00B84F90"/>
    <w:rsid w:val="00B85A66"/>
    <w:rsid w:val="00B86396"/>
    <w:rsid w:val="00B86CFF"/>
    <w:rsid w:val="00B86E92"/>
    <w:rsid w:val="00B879A2"/>
    <w:rsid w:val="00B87DBB"/>
    <w:rsid w:val="00B90370"/>
    <w:rsid w:val="00B907B5"/>
    <w:rsid w:val="00B90F3B"/>
    <w:rsid w:val="00B91053"/>
    <w:rsid w:val="00B91270"/>
    <w:rsid w:val="00B916F3"/>
    <w:rsid w:val="00B91DE9"/>
    <w:rsid w:val="00B92397"/>
    <w:rsid w:val="00B92EB5"/>
    <w:rsid w:val="00B92EEB"/>
    <w:rsid w:val="00B9309E"/>
    <w:rsid w:val="00B93544"/>
    <w:rsid w:val="00B946DE"/>
    <w:rsid w:val="00B94A45"/>
    <w:rsid w:val="00B955E4"/>
    <w:rsid w:val="00B957C1"/>
    <w:rsid w:val="00B95994"/>
    <w:rsid w:val="00B95A58"/>
    <w:rsid w:val="00B95A9E"/>
    <w:rsid w:val="00B9625A"/>
    <w:rsid w:val="00B96795"/>
    <w:rsid w:val="00B96958"/>
    <w:rsid w:val="00B972EB"/>
    <w:rsid w:val="00B9730B"/>
    <w:rsid w:val="00B974A4"/>
    <w:rsid w:val="00B9752D"/>
    <w:rsid w:val="00B976DB"/>
    <w:rsid w:val="00B979F7"/>
    <w:rsid w:val="00BA00D5"/>
    <w:rsid w:val="00BA01C1"/>
    <w:rsid w:val="00BA0438"/>
    <w:rsid w:val="00BA06FA"/>
    <w:rsid w:val="00BA0A23"/>
    <w:rsid w:val="00BA33A9"/>
    <w:rsid w:val="00BA3460"/>
    <w:rsid w:val="00BA39C2"/>
    <w:rsid w:val="00BA441A"/>
    <w:rsid w:val="00BA49AF"/>
    <w:rsid w:val="00BA4B61"/>
    <w:rsid w:val="00BA5BDA"/>
    <w:rsid w:val="00BA5EB3"/>
    <w:rsid w:val="00BA5F1E"/>
    <w:rsid w:val="00BA6D44"/>
    <w:rsid w:val="00BA6F31"/>
    <w:rsid w:val="00BA7240"/>
    <w:rsid w:val="00BA7782"/>
    <w:rsid w:val="00BB0472"/>
    <w:rsid w:val="00BB134D"/>
    <w:rsid w:val="00BB2A4D"/>
    <w:rsid w:val="00BB2F5F"/>
    <w:rsid w:val="00BB3A0C"/>
    <w:rsid w:val="00BB3D35"/>
    <w:rsid w:val="00BB3D7A"/>
    <w:rsid w:val="00BB3DB6"/>
    <w:rsid w:val="00BB4B53"/>
    <w:rsid w:val="00BB4D5A"/>
    <w:rsid w:val="00BB5337"/>
    <w:rsid w:val="00BB6658"/>
    <w:rsid w:val="00BB686D"/>
    <w:rsid w:val="00BC0A42"/>
    <w:rsid w:val="00BC286A"/>
    <w:rsid w:val="00BC35D9"/>
    <w:rsid w:val="00BC3C65"/>
    <w:rsid w:val="00BC45E1"/>
    <w:rsid w:val="00BC471A"/>
    <w:rsid w:val="00BC52D2"/>
    <w:rsid w:val="00BC5FEE"/>
    <w:rsid w:val="00BC6152"/>
    <w:rsid w:val="00BC62C7"/>
    <w:rsid w:val="00BC6C9D"/>
    <w:rsid w:val="00BC6F58"/>
    <w:rsid w:val="00BD00C4"/>
    <w:rsid w:val="00BD07C7"/>
    <w:rsid w:val="00BD0E15"/>
    <w:rsid w:val="00BD1371"/>
    <w:rsid w:val="00BD14CE"/>
    <w:rsid w:val="00BD194D"/>
    <w:rsid w:val="00BD2421"/>
    <w:rsid w:val="00BD2506"/>
    <w:rsid w:val="00BD28F9"/>
    <w:rsid w:val="00BD2EF0"/>
    <w:rsid w:val="00BD3541"/>
    <w:rsid w:val="00BD4652"/>
    <w:rsid w:val="00BD4A2D"/>
    <w:rsid w:val="00BD4A8F"/>
    <w:rsid w:val="00BD4DE9"/>
    <w:rsid w:val="00BD513D"/>
    <w:rsid w:val="00BD525F"/>
    <w:rsid w:val="00BD5EDD"/>
    <w:rsid w:val="00BD62A2"/>
    <w:rsid w:val="00BD6A96"/>
    <w:rsid w:val="00BD6BF0"/>
    <w:rsid w:val="00BD74B1"/>
    <w:rsid w:val="00BD76C9"/>
    <w:rsid w:val="00BE0172"/>
    <w:rsid w:val="00BE037A"/>
    <w:rsid w:val="00BE0AF2"/>
    <w:rsid w:val="00BE0F38"/>
    <w:rsid w:val="00BE112A"/>
    <w:rsid w:val="00BE1561"/>
    <w:rsid w:val="00BE17E6"/>
    <w:rsid w:val="00BE17EB"/>
    <w:rsid w:val="00BE187B"/>
    <w:rsid w:val="00BE1D6C"/>
    <w:rsid w:val="00BE27CF"/>
    <w:rsid w:val="00BE2C4B"/>
    <w:rsid w:val="00BE2D7E"/>
    <w:rsid w:val="00BE32B4"/>
    <w:rsid w:val="00BE3A56"/>
    <w:rsid w:val="00BE3EAD"/>
    <w:rsid w:val="00BE4084"/>
    <w:rsid w:val="00BE40C9"/>
    <w:rsid w:val="00BE4426"/>
    <w:rsid w:val="00BE4966"/>
    <w:rsid w:val="00BE5178"/>
    <w:rsid w:val="00BE540B"/>
    <w:rsid w:val="00BE6364"/>
    <w:rsid w:val="00BE6576"/>
    <w:rsid w:val="00BE6C1C"/>
    <w:rsid w:val="00BE7433"/>
    <w:rsid w:val="00BE7CB6"/>
    <w:rsid w:val="00BF048F"/>
    <w:rsid w:val="00BF062D"/>
    <w:rsid w:val="00BF0B8A"/>
    <w:rsid w:val="00BF0F92"/>
    <w:rsid w:val="00BF159A"/>
    <w:rsid w:val="00BF1A2A"/>
    <w:rsid w:val="00BF1A6B"/>
    <w:rsid w:val="00BF1EEF"/>
    <w:rsid w:val="00BF1FCA"/>
    <w:rsid w:val="00BF282B"/>
    <w:rsid w:val="00BF3924"/>
    <w:rsid w:val="00BF44FB"/>
    <w:rsid w:val="00BF5160"/>
    <w:rsid w:val="00BF6E43"/>
    <w:rsid w:val="00BF72CB"/>
    <w:rsid w:val="00BF7494"/>
    <w:rsid w:val="00BF7FF6"/>
    <w:rsid w:val="00C00270"/>
    <w:rsid w:val="00C00650"/>
    <w:rsid w:val="00C00E23"/>
    <w:rsid w:val="00C012C4"/>
    <w:rsid w:val="00C014C3"/>
    <w:rsid w:val="00C01507"/>
    <w:rsid w:val="00C021BB"/>
    <w:rsid w:val="00C026F9"/>
    <w:rsid w:val="00C028E5"/>
    <w:rsid w:val="00C02BBE"/>
    <w:rsid w:val="00C0331F"/>
    <w:rsid w:val="00C037A3"/>
    <w:rsid w:val="00C03932"/>
    <w:rsid w:val="00C03D86"/>
    <w:rsid w:val="00C04812"/>
    <w:rsid w:val="00C04D79"/>
    <w:rsid w:val="00C0626D"/>
    <w:rsid w:val="00C06879"/>
    <w:rsid w:val="00C06B98"/>
    <w:rsid w:val="00C06DE4"/>
    <w:rsid w:val="00C0702A"/>
    <w:rsid w:val="00C076B5"/>
    <w:rsid w:val="00C110FB"/>
    <w:rsid w:val="00C1171A"/>
    <w:rsid w:val="00C1312A"/>
    <w:rsid w:val="00C1340F"/>
    <w:rsid w:val="00C138FD"/>
    <w:rsid w:val="00C13EFE"/>
    <w:rsid w:val="00C143CD"/>
    <w:rsid w:val="00C14B68"/>
    <w:rsid w:val="00C14FA2"/>
    <w:rsid w:val="00C15480"/>
    <w:rsid w:val="00C166E5"/>
    <w:rsid w:val="00C16980"/>
    <w:rsid w:val="00C16A27"/>
    <w:rsid w:val="00C17F02"/>
    <w:rsid w:val="00C204EF"/>
    <w:rsid w:val="00C21013"/>
    <w:rsid w:val="00C21459"/>
    <w:rsid w:val="00C214B9"/>
    <w:rsid w:val="00C234F7"/>
    <w:rsid w:val="00C23824"/>
    <w:rsid w:val="00C23B84"/>
    <w:rsid w:val="00C24599"/>
    <w:rsid w:val="00C25FA6"/>
    <w:rsid w:val="00C264D9"/>
    <w:rsid w:val="00C2655A"/>
    <w:rsid w:val="00C266E4"/>
    <w:rsid w:val="00C269D6"/>
    <w:rsid w:val="00C26F6A"/>
    <w:rsid w:val="00C27E4A"/>
    <w:rsid w:val="00C30F83"/>
    <w:rsid w:val="00C31069"/>
    <w:rsid w:val="00C3126C"/>
    <w:rsid w:val="00C312F5"/>
    <w:rsid w:val="00C31354"/>
    <w:rsid w:val="00C3135E"/>
    <w:rsid w:val="00C319FB"/>
    <w:rsid w:val="00C31C5A"/>
    <w:rsid w:val="00C31EAC"/>
    <w:rsid w:val="00C325F4"/>
    <w:rsid w:val="00C3269C"/>
    <w:rsid w:val="00C335C6"/>
    <w:rsid w:val="00C342CA"/>
    <w:rsid w:val="00C34515"/>
    <w:rsid w:val="00C34A03"/>
    <w:rsid w:val="00C34D9A"/>
    <w:rsid w:val="00C34ECA"/>
    <w:rsid w:val="00C350DE"/>
    <w:rsid w:val="00C35396"/>
    <w:rsid w:val="00C3552E"/>
    <w:rsid w:val="00C35A85"/>
    <w:rsid w:val="00C35B4B"/>
    <w:rsid w:val="00C360A1"/>
    <w:rsid w:val="00C36498"/>
    <w:rsid w:val="00C36C08"/>
    <w:rsid w:val="00C36CF8"/>
    <w:rsid w:val="00C36FF2"/>
    <w:rsid w:val="00C37183"/>
    <w:rsid w:val="00C373FF"/>
    <w:rsid w:val="00C40B69"/>
    <w:rsid w:val="00C40C2A"/>
    <w:rsid w:val="00C40E5E"/>
    <w:rsid w:val="00C412AD"/>
    <w:rsid w:val="00C413B0"/>
    <w:rsid w:val="00C418F0"/>
    <w:rsid w:val="00C419F7"/>
    <w:rsid w:val="00C42040"/>
    <w:rsid w:val="00C42448"/>
    <w:rsid w:val="00C4313B"/>
    <w:rsid w:val="00C435AB"/>
    <w:rsid w:val="00C44016"/>
    <w:rsid w:val="00C4528C"/>
    <w:rsid w:val="00C45F01"/>
    <w:rsid w:val="00C4698C"/>
    <w:rsid w:val="00C46B5F"/>
    <w:rsid w:val="00C472FB"/>
    <w:rsid w:val="00C508AD"/>
    <w:rsid w:val="00C51434"/>
    <w:rsid w:val="00C516F1"/>
    <w:rsid w:val="00C51AE8"/>
    <w:rsid w:val="00C5207F"/>
    <w:rsid w:val="00C5231F"/>
    <w:rsid w:val="00C52604"/>
    <w:rsid w:val="00C52AC9"/>
    <w:rsid w:val="00C52D21"/>
    <w:rsid w:val="00C5317E"/>
    <w:rsid w:val="00C53FC7"/>
    <w:rsid w:val="00C540A5"/>
    <w:rsid w:val="00C548A9"/>
    <w:rsid w:val="00C54C93"/>
    <w:rsid w:val="00C5509F"/>
    <w:rsid w:val="00C5543B"/>
    <w:rsid w:val="00C55F27"/>
    <w:rsid w:val="00C56B88"/>
    <w:rsid w:val="00C573B1"/>
    <w:rsid w:val="00C57B64"/>
    <w:rsid w:val="00C600EE"/>
    <w:rsid w:val="00C60567"/>
    <w:rsid w:val="00C611F9"/>
    <w:rsid w:val="00C61C88"/>
    <w:rsid w:val="00C6294C"/>
    <w:rsid w:val="00C62B06"/>
    <w:rsid w:val="00C62DF8"/>
    <w:rsid w:val="00C62E03"/>
    <w:rsid w:val="00C6321D"/>
    <w:rsid w:val="00C64192"/>
    <w:rsid w:val="00C647CB"/>
    <w:rsid w:val="00C64B47"/>
    <w:rsid w:val="00C651FF"/>
    <w:rsid w:val="00C65B99"/>
    <w:rsid w:val="00C66A35"/>
    <w:rsid w:val="00C66BB7"/>
    <w:rsid w:val="00C67D33"/>
    <w:rsid w:val="00C70135"/>
    <w:rsid w:val="00C71A35"/>
    <w:rsid w:val="00C7235F"/>
    <w:rsid w:val="00C72D39"/>
    <w:rsid w:val="00C72EB7"/>
    <w:rsid w:val="00C7333C"/>
    <w:rsid w:val="00C7346F"/>
    <w:rsid w:val="00C7351D"/>
    <w:rsid w:val="00C73A25"/>
    <w:rsid w:val="00C73D60"/>
    <w:rsid w:val="00C73E33"/>
    <w:rsid w:val="00C747F2"/>
    <w:rsid w:val="00C752A5"/>
    <w:rsid w:val="00C752EB"/>
    <w:rsid w:val="00C75878"/>
    <w:rsid w:val="00C75BD1"/>
    <w:rsid w:val="00C76BBB"/>
    <w:rsid w:val="00C7713E"/>
    <w:rsid w:val="00C77212"/>
    <w:rsid w:val="00C776FE"/>
    <w:rsid w:val="00C779D4"/>
    <w:rsid w:val="00C77B57"/>
    <w:rsid w:val="00C77C0E"/>
    <w:rsid w:val="00C80094"/>
    <w:rsid w:val="00C80125"/>
    <w:rsid w:val="00C809C6"/>
    <w:rsid w:val="00C81430"/>
    <w:rsid w:val="00C823B7"/>
    <w:rsid w:val="00C83677"/>
    <w:rsid w:val="00C83899"/>
    <w:rsid w:val="00C85536"/>
    <w:rsid w:val="00C8569F"/>
    <w:rsid w:val="00C861EB"/>
    <w:rsid w:val="00C86377"/>
    <w:rsid w:val="00C86829"/>
    <w:rsid w:val="00C86A4F"/>
    <w:rsid w:val="00C86DA3"/>
    <w:rsid w:val="00C871F5"/>
    <w:rsid w:val="00C8735E"/>
    <w:rsid w:val="00C878EC"/>
    <w:rsid w:val="00C879EA"/>
    <w:rsid w:val="00C87C1A"/>
    <w:rsid w:val="00C87EBA"/>
    <w:rsid w:val="00C911A9"/>
    <w:rsid w:val="00C9135D"/>
    <w:rsid w:val="00C914F8"/>
    <w:rsid w:val="00C9209C"/>
    <w:rsid w:val="00C92A01"/>
    <w:rsid w:val="00C9319C"/>
    <w:rsid w:val="00C935F6"/>
    <w:rsid w:val="00C93DD4"/>
    <w:rsid w:val="00C93ED0"/>
    <w:rsid w:val="00C9420E"/>
    <w:rsid w:val="00C95234"/>
    <w:rsid w:val="00C971B3"/>
    <w:rsid w:val="00C97715"/>
    <w:rsid w:val="00C9788C"/>
    <w:rsid w:val="00C97C59"/>
    <w:rsid w:val="00C97FC7"/>
    <w:rsid w:val="00CA047B"/>
    <w:rsid w:val="00CA06A9"/>
    <w:rsid w:val="00CA08E3"/>
    <w:rsid w:val="00CA0C2B"/>
    <w:rsid w:val="00CA1087"/>
    <w:rsid w:val="00CA12D5"/>
    <w:rsid w:val="00CA2734"/>
    <w:rsid w:val="00CA32B5"/>
    <w:rsid w:val="00CA37CC"/>
    <w:rsid w:val="00CA418B"/>
    <w:rsid w:val="00CA42DE"/>
    <w:rsid w:val="00CA52C0"/>
    <w:rsid w:val="00CA5922"/>
    <w:rsid w:val="00CA5C69"/>
    <w:rsid w:val="00CA6C2E"/>
    <w:rsid w:val="00CA7A1E"/>
    <w:rsid w:val="00CB0884"/>
    <w:rsid w:val="00CB12E9"/>
    <w:rsid w:val="00CB16E0"/>
    <w:rsid w:val="00CB1766"/>
    <w:rsid w:val="00CB1BC5"/>
    <w:rsid w:val="00CB1E90"/>
    <w:rsid w:val="00CB1EB4"/>
    <w:rsid w:val="00CB328F"/>
    <w:rsid w:val="00CB3573"/>
    <w:rsid w:val="00CB364D"/>
    <w:rsid w:val="00CB3A38"/>
    <w:rsid w:val="00CB3B10"/>
    <w:rsid w:val="00CB425D"/>
    <w:rsid w:val="00CB46B1"/>
    <w:rsid w:val="00CB4831"/>
    <w:rsid w:val="00CB5609"/>
    <w:rsid w:val="00CB5C51"/>
    <w:rsid w:val="00CB5DBA"/>
    <w:rsid w:val="00CB5FBD"/>
    <w:rsid w:val="00CB65DC"/>
    <w:rsid w:val="00CB6DC9"/>
    <w:rsid w:val="00CB7F2D"/>
    <w:rsid w:val="00CC10A8"/>
    <w:rsid w:val="00CC16EE"/>
    <w:rsid w:val="00CC1763"/>
    <w:rsid w:val="00CC21F6"/>
    <w:rsid w:val="00CC2600"/>
    <w:rsid w:val="00CC3F69"/>
    <w:rsid w:val="00CC4526"/>
    <w:rsid w:val="00CC4B0F"/>
    <w:rsid w:val="00CC4B86"/>
    <w:rsid w:val="00CC5A1A"/>
    <w:rsid w:val="00CC5EA6"/>
    <w:rsid w:val="00CC6B67"/>
    <w:rsid w:val="00CC6CE2"/>
    <w:rsid w:val="00CC6D02"/>
    <w:rsid w:val="00CC70C2"/>
    <w:rsid w:val="00CC71C7"/>
    <w:rsid w:val="00CC759C"/>
    <w:rsid w:val="00CD0363"/>
    <w:rsid w:val="00CD11A6"/>
    <w:rsid w:val="00CD171A"/>
    <w:rsid w:val="00CD18B3"/>
    <w:rsid w:val="00CD1CCA"/>
    <w:rsid w:val="00CD2B43"/>
    <w:rsid w:val="00CD2C7C"/>
    <w:rsid w:val="00CD33A6"/>
    <w:rsid w:val="00CD3886"/>
    <w:rsid w:val="00CD3D9B"/>
    <w:rsid w:val="00CD4E01"/>
    <w:rsid w:val="00CD4F9A"/>
    <w:rsid w:val="00CD5608"/>
    <w:rsid w:val="00CD6935"/>
    <w:rsid w:val="00CD6C36"/>
    <w:rsid w:val="00CD7204"/>
    <w:rsid w:val="00CD7CC3"/>
    <w:rsid w:val="00CE0A6E"/>
    <w:rsid w:val="00CE113C"/>
    <w:rsid w:val="00CE1E9C"/>
    <w:rsid w:val="00CE1F89"/>
    <w:rsid w:val="00CE1F94"/>
    <w:rsid w:val="00CE2C20"/>
    <w:rsid w:val="00CE2CC9"/>
    <w:rsid w:val="00CE3FC9"/>
    <w:rsid w:val="00CE42F4"/>
    <w:rsid w:val="00CE47E8"/>
    <w:rsid w:val="00CE4C9B"/>
    <w:rsid w:val="00CE6109"/>
    <w:rsid w:val="00CE6260"/>
    <w:rsid w:val="00CE62A5"/>
    <w:rsid w:val="00CE633C"/>
    <w:rsid w:val="00CE6C1C"/>
    <w:rsid w:val="00CE7150"/>
    <w:rsid w:val="00CE7B3F"/>
    <w:rsid w:val="00CE7C81"/>
    <w:rsid w:val="00CF0386"/>
    <w:rsid w:val="00CF08B2"/>
    <w:rsid w:val="00CF0A1E"/>
    <w:rsid w:val="00CF0D83"/>
    <w:rsid w:val="00CF0EF2"/>
    <w:rsid w:val="00CF234B"/>
    <w:rsid w:val="00CF3400"/>
    <w:rsid w:val="00CF34B6"/>
    <w:rsid w:val="00CF3BB6"/>
    <w:rsid w:val="00CF40C5"/>
    <w:rsid w:val="00CF4357"/>
    <w:rsid w:val="00CF47E5"/>
    <w:rsid w:val="00CF5B2D"/>
    <w:rsid w:val="00CF5BB5"/>
    <w:rsid w:val="00CF6964"/>
    <w:rsid w:val="00CF6AA3"/>
    <w:rsid w:val="00CF732A"/>
    <w:rsid w:val="00D00533"/>
    <w:rsid w:val="00D00540"/>
    <w:rsid w:val="00D0083A"/>
    <w:rsid w:val="00D0094E"/>
    <w:rsid w:val="00D00AA4"/>
    <w:rsid w:val="00D00E4F"/>
    <w:rsid w:val="00D00F77"/>
    <w:rsid w:val="00D01406"/>
    <w:rsid w:val="00D015A7"/>
    <w:rsid w:val="00D015CB"/>
    <w:rsid w:val="00D01ABC"/>
    <w:rsid w:val="00D01D87"/>
    <w:rsid w:val="00D0250E"/>
    <w:rsid w:val="00D041BB"/>
    <w:rsid w:val="00D0423A"/>
    <w:rsid w:val="00D048C7"/>
    <w:rsid w:val="00D04A90"/>
    <w:rsid w:val="00D05C02"/>
    <w:rsid w:val="00D05D7C"/>
    <w:rsid w:val="00D06573"/>
    <w:rsid w:val="00D06989"/>
    <w:rsid w:val="00D06EF2"/>
    <w:rsid w:val="00D07131"/>
    <w:rsid w:val="00D07526"/>
    <w:rsid w:val="00D07E3B"/>
    <w:rsid w:val="00D10705"/>
    <w:rsid w:val="00D11276"/>
    <w:rsid w:val="00D1233D"/>
    <w:rsid w:val="00D123CF"/>
    <w:rsid w:val="00D127DF"/>
    <w:rsid w:val="00D1308F"/>
    <w:rsid w:val="00D13678"/>
    <w:rsid w:val="00D1460D"/>
    <w:rsid w:val="00D14B1E"/>
    <w:rsid w:val="00D14DCC"/>
    <w:rsid w:val="00D150F9"/>
    <w:rsid w:val="00D152F0"/>
    <w:rsid w:val="00D1550B"/>
    <w:rsid w:val="00D15858"/>
    <w:rsid w:val="00D165A5"/>
    <w:rsid w:val="00D166CC"/>
    <w:rsid w:val="00D17E05"/>
    <w:rsid w:val="00D17F23"/>
    <w:rsid w:val="00D2058A"/>
    <w:rsid w:val="00D207B2"/>
    <w:rsid w:val="00D2106D"/>
    <w:rsid w:val="00D216CF"/>
    <w:rsid w:val="00D220F4"/>
    <w:rsid w:val="00D22B49"/>
    <w:rsid w:val="00D22C80"/>
    <w:rsid w:val="00D23867"/>
    <w:rsid w:val="00D23F60"/>
    <w:rsid w:val="00D240C0"/>
    <w:rsid w:val="00D24A6C"/>
    <w:rsid w:val="00D24AC2"/>
    <w:rsid w:val="00D250F6"/>
    <w:rsid w:val="00D2514B"/>
    <w:rsid w:val="00D25A76"/>
    <w:rsid w:val="00D2692A"/>
    <w:rsid w:val="00D278F4"/>
    <w:rsid w:val="00D27C28"/>
    <w:rsid w:val="00D27E31"/>
    <w:rsid w:val="00D308D8"/>
    <w:rsid w:val="00D31186"/>
    <w:rsid w:val="00D311F7"/>
    <w:rsid w:val="00D318AF"/>
    <w:rsid w:val="00D322C3"/>
    <w:rsid w:val="00D32350"/>
    <w:rsid w:val="00D32B0E"/>
    <w:rsid w:val="00D3344A"/>
    <w:rsid w:val="00D3355A"/>
    <w:rsid w:val="00D33AB7"/>
    <w:rsid w:val="00D34CA3"/>
    <w:rsid w:val="00D35AA2"/>
    <w:rsid w:val="00D35BC0"/>
    <w:rsid w:val="00D362BE"/>
    <w:rsid w:val="00D36BE9"/>
    <w:rsid w:val="00D3722A"/>
    <w:rsid w:val="00D37579"/>
    <w:rsid w:val="00D379CE"/>
    <w:rsid w:val="00D4006F"/>
    <w:rsid w:val="00D4068D"/>
    <w:rsid w:val="00D40B0A"/>
    <w:rsid w:val="00D42ACE"/>
    <w:rsid w:val="00D43569"/>
    <w:rsid w:val="00D43F58"/>
    <w:rsid w:val="00D43FC2"/>
    <w:rsid w:val="00D4457A"/>
    <w:rsid w:val="00D44932"/>
    <w:rsid w:val="00D44AF1"/>
    <w:rsid w:val="00D45734"/>
    <w:rsid w:val="00D45F69"/>
    <w:rsid w:val="00D46162"/>
    <w:rsid w:val="00D46172"/>
    <w:rsid w:val="00D46610"/>
    <w:rsid w:val="00D46632"/>
    <w:rsid w:val="00D46D5A"/>
    <w:rsid w:val="00D46E9D"/>
    <w:rsid w:val="00D47282"/>
    <w:rsid w:val="00D4779F"/>
    <w:rsid w:val="00D47829"/>
    <w:rsid w:val="00D47B29"/>
    <w:rsid w:val="00D47E7C"/>
    <w:rsid w:val="00D47EF5"/>
    <w:rsid w:val="00D50AD1"/>
    <w:rsid w:val="00D517BD"/>
    <w:rsid w:val="00D542A9"/>
    <w:rsid w:val="00D54305"/>
    <w:rsid w:val="00D5443B"/>
    <w:rsid w:val="00D54789"/>
    <w:rsid w:val="00D54F6A"/>
    <w:rsid w:val="00D5501F"/>
    <w:rsid w:val="00D55807"/>
    <w:rsid w:val="00D56540"/>
    <w:rsid w:val="00D56BA3"/>
    <w:rsid w:val="00D56D40"/>
    <w:rsid w:val="00D56D87"/>
    <w:rsid w:val="00D57242"/>
    <w:rsid w:val="00D57F64"/>
    <w:rsid w:val="00D57FAB"/>
    <w:rsid w:val="00D57FD7"/>
    <w:rsid w:val="00D604C4"/>
    <w:rsid w:val="00D605E1"/>
    <w:rsid w:val="00D60C3B"/>
    <w:rsid w:val="00D624DF"/>
    <w:rsid w:val="00D62550"/>
    <w:rsid w:val="00D62693"/>
    <w:rsid w:val="00D635F6"/>
    <w:rsid w:val="00D63645"/>
    <w:rsid w:val="00D63929"/>
    <w:rsid w:val="00D63C1C"/>
    <w:rsid w:val="00D63E1C"/>
    <w:rsid w:val="00D6421D"/>
    <w:rsid w:val="00D645E0"/>
    <w:rsid w:val="00D65124"/>
    <w:rsid w:val="00D65231"/>
    <w:rsid w:val="00D65507"/>
    <w:rsid w:val="00D656B6"/>
    <w:rsid w:val="00D6599A"/>
    <w:rsid w:val="00D65B73"/>
    <w:rsid w:val="00D660C7"/>
    <w:rsid w:val="00D66534"/>
    <w:rsid w:val="00D66977"/>
    <w:rsid w:val="00D669A4"/>
    <w:rsid w:val="00D66E91"/>
    <w:rsid w:val="00D66EFA"/>
    <w:rsid w:val="00D675FE"/>
    <w:rsid w:val="00D679B1"/>
    <w:rsid w:val="00D67C8A"/>
    <w:rsid w:val="00D704A2"/>
    <w:rsid w:val="00D709B7"/>
    <w:rsid w:val="00D71211"/>
    <w:rsid w:val="00D7143F"/>
    <w:rsid w:val="00D72409"/>
    <w:rsid w:val="00D72A0C"/>
    <w:rsid w:val="00D72AD0"/>
    <w:rsid w:val="00D72F4D"/>
    <w:rsid w:val="00D73033"/>
    <w:rsid w:val="00D73621"/>
    <w:rsid w:val="00D73785"/>
    <w:rsid w:val="00D74162"/>
    <w:rsid w:val="00D74745"/>
    <w:rsid w:val="00D74857"/>
    <w:rsid w:val="00D7507B"/>
    <w:rsid w:val="00D7557F"/>
    <w:rsid w:val="00D75794"/>
    <w:rsid w:val="00D75BC9"/>
    <w:rsid w:val="00D75CC0"/>
    <w:rsid w:val="00D77016"/>
    <w:rsid w:val="00D77153"/>
    <w:rsid w:val="00D77953"/>
    <w:rsid w:val="00D77B31"/>
    <w:rsid w:val="00D77D62"/>
    <w:rsid w:val="00D8028D"/>
    <w:rsid w:val="00D80B5C"/>
    <w:rsid w:val="00D81BB1"/>
    <w:rsid w:val="00D83554"/>
    <w:rsid w:val="00D84D29"/>
    <w:rsid w:val="00D84F6A"/>
    <w:rsid w:val="00D8506B"/>
    <w:rsid w:val="00D855D0"/>
    <w:rsid w:val="00D85A8B"/>
    <w:rsid w:val="00D86ADC"/>
    <w:rsid w:val="00D876CD"/>
    <w:rsid w:val="00D90124"/>
    <w:rsid w:val="00D90791"/>
    <w:rsid w:val="00D90A08"/>
    <w:rsid w:val="00D90F27"/>
    <w:rsid w:val="00D90F8B"/>
    <w:rsid w:val="00D9114E"/>
    <w:rsid w:val="00D91524"/>
    <w:rsid w:val="00D91C1A"/>
    <w:rsid w:val="00D928A3"/>
    <w:rsid w:val="00D93A74"/>
    <w:rsid w:val="00D9440E"/>
    <w:rsid w:val="00D94DD6"/>
    <w:rsid w:val="00D9526D"/>
    <w:rsid w:val="00D95433"/>
    <w:rsid w:val="00D95689"/>
    <w:rsid w:val="00D956B6"/>
    <w:rsid w:val="00D95EF6"/>
    <w:rsid w:val="00D95F43"/>
    <w:rsid w:val="00D961DA"/>
    <w:rsid w:val="00D9772E"/>
    <w:rsid w:val="00DA07B1"/>
    <w:rsid w:val="00DA0DC8"/>
    <w:rsid w:val="00DA1481"/>
    <w:rsid w:val="00DA17B0"/>
    <w:rsid w:val="00DA2689"/>
    <w:rsid w:val="00DA27C6"/>
    <w:rsid w:val="00DA2C00"/>
    <w:rsid w:val="00DA33EC"/>
    <w:rsid w:val="00DA3B79"/>
    <w:rsid w:val="00DA3F09"/>
    <w:rsid w:val="00DA48B0"/>
    <w:rsid w:val="00DA5BA5"/>
    <w:rsid w:val="00DA5E1F"/>
    <w:rsid w:val="00DA65BB"/>
    <w:rsid w:val="00DA6D82"/>
    <w:rsid w:val="00DA70A5"/>
    <w:rsid w:val="00DA74AE"/>
    <w:rsid w:val="00DA77D0"/>
    <w:rsid w:val="00DA7E29"/>
    <w:rsid w:val="00DB06D2"/>
    <w:rsid w:val="00DB1330"/>
    <w:rsid w:val="00DB169C"/>
    <w:rsid w:val="00DB180E"/>
    <w:rsid w:val="00DB19FA"/>
    <w:rsid w:val="00DB21E9"/>
    <w:rsid w:val="00DB25CD"/>
    <w:rsid w:val="00DB27AF"/>
    <w:rsid w:val="00DB292F"/>
    <w:rsid w:val="00DB3608"/>
    <w:rsid w:val="00DB3966"/>
    <w:rsid w:val="00DB3F0F"/>
    <w:rsid w:val="00DB4D5B"/>
    <w:rsid w:val="00DB597B"/>
    <w:rsid w:val="00DB5A3F"/>
    <w:rsid w:val="00DB6199"/>
    <w:rsid w:val="00DB6496"/>
    <w:rsid w:val="00DB78EC"/>
    <w:rsid w:val="00DB7EAE"/>
    <w:rsid w:val="00DC0112"/>
    <w:rsid w:val="00DC01B2"/>
    <w:rsid w:val="00DC124A"/>
    <w:rsid w:val="00DC1BD9"/>
    <w:rsid w:val="00DC1FC3"/>
    <w:rsid w:val="00DC2393"/>
    <w:rsid w:val="00DC23B0"/>
    <w:rsid w:val="00DC2400"/>
    <w:rsid w:val="00DC246B"/>
    <w:rsid w:val="00DC2998"/>
    <w:rsid w:val="00DC2AD7"/>
    <w:rsid w:val="00DC2CDA"/>
    <w:rsid w:val="00DC54DF"/>
    <w:rsid w:val="00DC5A4C"/>
    <w:rsid w:val="00DC6443"/>
    <w:rsid w:val="00DC68D3"/>
    <w:rsid w:val="00DC6EBF"/>
    <w:rsid w:val="00DD0581"/>
    <w:rsid w:val="00DD085F"/>
    <w:rsid w:val="00DD1761"/>
    <w:rsid w:val="00DD19C3"/>
    <w:rsid w:val="00DD273A"/>
    <w:rsid w:val="00DD2EE7"/>
    <w:rsid w:val="00DD3483"/>
    <w:rsid w:val="00DD40A3"/>
    <w:rsid w:val="00DD4C6C"/>
    <w:rsid w:val="00DD4D17"/>
    <w:rsid w:val="00DD5846"/>
    <w:rsid w:val="00DD620A"/>
    <w:rsid w:val="00DD6AAC"/>
    <w:rsid w:val="00DD6F71"/>
    <w:rsid w:val="00DD7392"/>
    <w:rsid w:val="00DD7C97"/>
    <w:rsid w:val="00DE0462"/>
    <w:rsid w:val="00DE10A6"/>
    <w:rsid w:val="00DE11D6"/>
    <w:rsid w:val="00DE1AEE"/>
    <w:rsid w:val="00DE2212"/>
    <w:rsid w:val="00DE2457"/>
    <w:rsid w:val="00DE2796"/>
    <w:rsid w:val="00DE2C8D"/>
    <w:rsid w:val="00DE36B6"/>
    <w:rsid w:val="00DE4021"/>
    <w:rsid w:val="00DE4278"/>
    <w:rsid w:val="00DE5E69"/>
    <w:rsid w:val="00DE6107"/>
    <w:rsid w:val="00DE610C"/>
    <w:rsid w:val="00DE6776"/>
    <w:rsid w:val="00DE6C81"/>
    <w:rsid w:val="00DE7B73"/>
    <w:rsid w:val="00DE7CEB"/>
    <w:rsid w:val="00DE7F13"/>
    <w:rsid w:val="00DF0396"/>
    <w:rsid w:val="00DF06C4"/>
    <w:rsid w:val="00DF090E"/>
    <w:rsid w:val="00DF0C8E"/>
    <w:rsid w:val="00DF0E4D"/>
    <w:rsid w:val="00DF1212"/>
    <w:rsid w:val="00DF12DD"/>
    <w:rsid w:val="00DF16E3"/>
    <w:rsid w:val="00DF1A38"/>
    <w:rsid w:val="00DF1CAA"/>
    <w:rsid w:val="00DF234C"/>
    <w:rsid w:val="00DF2530"/>
    <w:rsid w:val="00DF2C09"/>
    <w:rsid w:val="00DF3A31"/>
    <w:rsid w:val="00DF3DDB"/>
    <w:rsid w:val="00DF563C"/>
    <w:rsid w:val="00DF5D6C"/>
    <w:rsid w:val="00DF631D"/>
    <w:rsid w:val="00DF6C1A"/>
    <w:rsid w:val="00DF6C2D"/>
    <w:rsid w:val="00DF6D88"/>
    <w:rsid w:val="00DF74F4"/>
    <w:rsid w:val="00DF752A"/>
    <w:rsid w:val="00E00415"/>
    <w:rsid w:val="00E010DC"/>
    <w:rsid w:val="00E0165D"/>
    <w:rsid w:val="00E01D4D"/>
    <w:rsid w:val="00E02894"/>
    <w:rsid w:val="00E028C1"/>
    <w:rsid w:val="00E02941"/>
    <w:rsid w:val="00E03081"/>
    <w:rsid w:val="00E03B96"/>
    <w:rsid w:val="00E03BA2"/>
    <w:rsid w:val="00E03FAB"/>
    <w:rsid w:val="00E04119"/>
    <w:rsid w:val="00E04231"/>
    <w:rsid w:val="00E04A8B"/>
    <w:rsid w:val="00E04B64"/>
    <w:rsid w:val="00E05816"/>
    <w:rsid w:val="00E0592D"/>
    <w:rsid w:val="00E059E0"/>
    <w:rsid w:val="00E05B90"/>
    <w:rsid w:val="00E05BF7"/>
    <w:rsid w:val="00E06224"/>
    <w:rsid w:val="00E06316"/>
    <w:rsid w:val="00E06B80"/>
    <w:rsid w:val="00E06E46"/>
    <w:rsid w:val="00E0787E"/>
    <w:rsid w:val="00E10E16"/>
    <w:rsid w:val="00E10EA2"/>
    <w:rsid w:val="00E10F8D"/>
    <w:rsid w:val="00E11171"/>
    <w:rsid w:val="00E112C9"/>
    <w:rsid w:val="00E114D9"/>
    <w:rsid w:val="00E11EF2"/>
    <w:rsid w:val="00E11FDF"/>
    <w:rsid w:val="00E12004"/>
    <w:rsid w:val="00E126BB"/>
    <w:rsid w:val="00E126F6"/>
    <w:rsid w:val="00E1305B"/>
    <w:rsid w:val="00E13069"/>
    <w:rsid w:val="00E13402"/>
    <w:rsid w:val="00E134A9"/>
    <w:rsid w:val="00E135F9"/>
    <w:rsid w:val="00E13649"/>
    <w:rsid w:val="00E136F7"/>
    <w:rsid w:val="00E13771"/>
    <w:rsid w:val="00E13D6B"/>
    <w:rsid w:val="00E140FF"/>
    <w:rsid w:val="00E14AED"/>
    <w:rsid w:val="00E14D31"/>
    <w:rsid w:val="00E150E0"/>
    <w:rsid w:val="00E155F6"/>
    <w:rsid w:val="00E167A2"/>
    <w:rsid w:val="00E16B4A"/>
    <w:rsid w:val="00E17534"/>
    <w:rsid w:val="00E17AB3"/>
    <w:rsid w:val="00E20C2E"/>
    <w:rsid w:val="00E2108D"/>
    <w:rsid w:val="00E214F0"/>
    <w:rsid w:val="00E218A3"/>
    <w:rsid w:val="00E21F9F"/>
    <w:rsid w:val="00E220EA"/>
    <w:rsid w:val="00E2262C"/>
    <w:rsid w:val="00E2294C"/>
    <w:rsid w:val="00E22E16"/>
    <w:rsid w:val="00E23054"/>
    <w:rsid w:val="00E2320D"/>
    <w:rsid w:val="00E236F6"/>
    <w:rsid w:val="00E237A8"/>
    <w:rsid w:val="00E23C73"/>
    <w:rsid w:val="00E24A7C"/>
    <w:rsid w:val="00E24D59"/>
    <w:rsid w:val="00E24F7C"/>
    <w:rsid w:val="00E25852"/>
    <w:rsid w:val="00E259D4"/>
    <w:rsid w:val="00E25B67"/>
    <w:rsid w:val="00E25F3E"/>
    <w:rsid w:val="00E25FDB"/>
    <w:rsid w:val="00E26152"/>
    <w:rsid w:val="00E267CF"/>
    <w:rsid w:val="00E26DDA"/>
    <w:rsid w:val="00E27379"/>
    <w:rsid w:val="00E30009"/>
    <w:rsid w:val="00E30A6C"/>
    <w:rsid w:val="00E30B9B"/>
    <w:rsid w:val="00E30FF3"/>
    <w:rsid w:val="00E3151F"/>
    <w:rsid w:val="00E31BA9"/>
    <w:rsid w:val="00E31C80"/>
    <w:rsid w:val="00E31DD1"/>
    <w:rsid w:val="00E31E1C"/>
    <w:rsid w:val="00E31E48"/>
    <w:rsid w:val="00E32CB6"/>
    <w:rsid w:val="00E337C4"/>
    <w:rsid w:val="00E337E8"/>
    <w:rsid w:val="00E33990"/>
    <w:rsid w:val="00E339C0"/>
    <w:rsid w:val="00E33A8F"/>
    <w:rsid w:val="00E33AE6"/>
    <w:rsid w:val="00E33EC0"/>
    <w:rsid w:val="00E34274"/>
    <w:rsid w:val="00E3485E"/>
    <w:rsid w:val="00E34AA2"/>
    <w:rsid w:val="00E34E43"/>
    <w:rsid w:val="00E353B2"/>
    <w:rsid w:val="00E35486"/>
    <w:rsid w:val="00E35A3A"/>
    <w:rsid w:val="00E36AD6"/>
    <w:rsid w:val="00E3737C"/>
    <w:rsid w:val="00E379DE"/>
    <w:rsid w:val="00E37FAF"/>
    <w:rsid w:val="00E4090B"/>
    <w:rsid w:val="00E4098C"/>
    <w:rsid w:val="00E40ABB"/>
    <w:rsid w:val="00E412A9"/>
    <w:rsid w:val="00E4166F"/>
    <w:rsid w:val="00E416FB"/>
    <w:rsid w:val="00E419BD"/>
    <w:rsid w:val="00E41F06"/>
    <w:rsid w:val="00E422DC"/>
    <w:rsid w:val="00E42314"/>
    <w:rsid w:val="00E42827"/>
    <w:rsid w:val="00E42B30"/>
    <w:rsid w:val="00E42DA2"/>
    <w:rsid w:val="00E447FE"/>
    <w:rsid w:val="00E44CAD"/>
    <w:rsid w:val="00E4596A"/>
    <w:rsid w:val="00E45E6B"/>
    <w:rsid w:val="00E465FE"/>
    <w:rsid w:val="00E46B19"/>
    <w:rsid w:val="00E476B7"/>
    <w:rsid w:val="00E47A35"/>
    <w:rsid w:val="00E47A7A"/>
    <w:rsid w:val="00E50167"/>
    <w:rsid w:val="00E5097C"/>
    <w:rsid w:val="00E50EAA"/>
    <w:rsid w:val="00E513DE"/>
    <w:rsid w:val="00E51879"/>
    <w:rsid w:val="00E51DDA"/>
    <w:rsid w:val="00E52A08"/>
    <w:rsid w:val="00E5361B"/>
    <w:rsid w:val="00E5366E"/>
    <w:rsid w:val="00E537AB"/>
    <w:rsid w:val="00E544E3"/>
    <w:rsid w:val="00E54925"/>
    <w:rsid w:val="00E5566F"/>
    <w:rsid w:val="00E57188"/>
    <w:rsid w:val="00E604A4"/>
    <w:rsid w:val="00E609FD"/>
    <w:rsid w:val="00E61C4E"/>
    <w:rsid w:val="00E62147"/>
    <w:rsid w:val="00E629E6"/>
    <w:rsid w:val="00E62F93"/>
    <w:rsid w:val="00E631DE"/>
    <w:rsid w:val="00E633BE"/>
    <w:rsid w:val="00E635C2"/>
    <w:rsid w:val="00E6371C"/>
    <w:rsid w:val="00E63872"/>
    <w:rsid w:val="00E63C6C"/>
    <w:rsid w:val="00E63F87"/>
    <w:rsid w:val="00E6527E"/>
    <w:rsid w:val="00E65A41"/>
    <w:rsid w:val="00E665CB"/>
    <w:rsid w:val="00E70C65"/>
    <w:rsid w:val="00E710C9"/>
    <w:rsid w:val="00E71666"/>
    <w:rsid w:val="00E71676"/>
    <w:rsid w:val="00E71BFF"/>
    <w:rsid w:val="00E71C69"/>
    <w:rsid w:val="00E724E4"/>
    <w:rsid w:val="00E73155"/>
    <w:rsid w:val="00E73312"/>
    <w:rsid w:val="00E735D4"/>
    <w:rsid w:val="00E73AFD"/>
    <w:rsid w:val="00E7411D"/>
    <w:rsid w:val="00E7483A"/>
    <w:rsid w:val="00E7525A"/>
    <w:rsid w:val="00E76205"/>
    <w:rsid w:val="00E7637E"/>
    <w:rsid w:val="00E76439"/>
    <w:rsid w:val="00E76936"/>
    <w:rsid w:val="00E76CBC"/>
    <w:rsid w:val="00E77415"/>
    <w:rsid w:val="00E778EC"/>
    <w:rsid w:val="00E77D98"/>
    <w:rsid w:val="00E77EE6"/>
    <w:rsid w:val="00E80317"/>
    <w:rsid w:val="00E80877"/>
    <w:rsid w:val="00E810DA"/>
    <w:rsid w:val="00E81377"/>
    <w:rsid w:val="00E81E0D"/>
    <w:rsid w:val="00E829B0"/>
    <w:rsid w:val="00E829FE"/>
    <w:rsid w:val="00E82ABB"/>
    <w:rsid w:val="00E82B29"/>
    <w:rsid w:val="00E82B62"/>
    <w:rsid w:val="00E83021"/>
    <w:rsid w:val="00E841D8"/>
    <w:rsid w:val="00E84E02"/>
    <w:rsid w:val="00E850A8"/>
    <w:rsid w:val="00E85588"/>
    <w:rsid w:val="00E858D9"/>
    <w:rsid w:val="00E85DC1"/>
    <w:rsid w:val="00E862F4"/>
    <w:rsid w:val="00E8666E"/>
    <w:rsid w:val="00E86D33"/>
    <w:rsid w:val="00E9032B"/>
    <w:rsid w:val="00E90393"/>
    <w:rsid w:val="00E90B5E"/>
    <w:rsid w:val="00E91579"/>
    <w:rsid w:val="00E91640"/>
    <w:rsid w:val="00E92BD9"/>
    <w:rsid w:val="00E92DE1"/>
    <w:rsid w:val="00E936A7"/>
    <w:rsid w:val="00E93717"/>
    <w:rsid w:val="00E94339"/>
    <w:rsid w:val="00E944FD"/>
    <w:rsid w:val="00E94CF9"/>
    <w:rsid w:val="00E94FA2"/>
    <w:rsid w:val="00E94FDF"/>
    <w:rsid w:val="00E9546A"/>
    <w:rsid w:val="00E95546"/>
    <w:rsid w:val="00E95563"/>
    <w:rsid w:val="00E96188"/>
    <w:rsid w:val="00E97CCA"/>
    <w:rsid w:val="00E97E2B"/>
    <w:rsid w:val="00EA015C"/>
    <w:rsid w:val="00EA0177"/>
    <w:rsid w:val="00EA07F0"/>
    <w:rsid w:val="00EA0D5B"/>
    <w:rsid w:val="00EA0D76"/>
    <w:rsid w:val="00EA224E"/>
    <w:rsid w:val="00EA3FF6"/>
    <w:rsid w:val="00EA5683"/>
    <w:rsid w:val="00EA6DC0"/>
    <w:rsid w:val="00EA7FBE"/>
    <w:rsid w:val="00EB0C5B"/>
    <w:rsid w:val="00EB1185"/>
    <w:rsid w:val="00EB159B"/>
    <w:rsid w:val="00EB2033"/>
    <w:rsid w:val="00EB2481"/>
    <w:rsid w:val="00EB257B"/>
    <w:rsid w:val="00EB2A1F"/>
    <w:rsid w:val="00EB2D88"/>
    <w:rsid w:val="00EB370F"/>
    <w:rsid w:val="00EB404A"/>
    <w:rsid w:val="00EB44D2"/>
    <w:rsid w:val="00EB4BE5"/>
    <w:rsid w:val="00EB5234"/>
    <w:rsid w:val="00EB52CC"/>
    <w:rsid w:val="00EB610E"/>
    <w:rsid w:val="00EB6335"/>
    <w:rsid w:val="00EB722E"/>
    <w:rsid w:val="00EB733C"/>
    <w:rsid w:val="00EC091F"/>
    <w:rsid w:val="00EC0E72"/>
    <w:rsid w:val="00EC2028"/>
    <w:rsid w:val="00EC2317"/>
    <w:rsid w:val="00EC25BA"/>
    <w:rsid w:val="00EC2990"/>
    <w:rsid w:val="00EC2A4D"/>
    <w:rsid w:val="00EC3301"/>
    <w:rsid w:val="00EC340D"/>
    <w:rsid w:val="00EC348F"/>
    <w:rsid w:val="00EC376C"/>
    <w:rsid w:val="00EC3CE7"/>
    <w:rsid w:val="00EC43F0"/>
    <w:rsid w:val="00EC4BBD"/>
    <w:rsid w:val="00EC4E0E"/>
    <w:rsid w:val="00EC4EC1"/>
    <w:rsid w:val="00EC4FBB"/>
    <w:rsid w:val="00EC6001"/>
    <w:rsid w:val="00EC61E5"/>
    <w:rsid w:val="00EC63BD"/>
    <w:rsid w:val="00EC6654"/>
    <w:rsid w:val="00EC67A3"/>
    <w:rsid w:val="00EC6FC0"/>
    <w:rsid w:val="00EC7EEF"/>
    <w:rsid w:val="00ED0D0F"/>
    <w:rsid w:val="00ED0E87"/>
    <w:rsid w:val="00ED1037"/>
    <w:rsid w:val="00ED11BA"/>
    <w:rsid w:val="00ED1575"/>
    <w:rsid w:val="00ED1764"/>
    <w:rsid w:val="00ED19B7"/>
    <w:rsid w:val="00ED200B"/>
    <w:rsid w:val="00ED2520"/>
    <w:rsid w:val="00ED2E12"/>
    <w:rsid w:val="00ED3C62"/>
    <w:rsid w:val="00ED3EDC"/>
    <w:rsid w:val="00ED4F03"/>
    <w:rsid w:val="00ED52B2"/>
    <w:rsid w:val="00ED54B4"/>
    <w:rsid w:val="00ED552A"/>
    <w:rsid w:val="00ED56DC"/>
    <w:rsid w:val="00ED6F74"/>
    <w:rsid w:val="00ED7038"/>
    <w:rsid w:val="00ED76DC"/>
    <w:rsid w:val="00ED7D19"/>
    <w:rsid w:val="00ED7F87"/>
    <w:rsid w:val="00EE094E"/>
    <w:rsid w:val="00EE0ADC"/>
    <w:rsid w:val="00EE173D"/>
    <w:rsid w:val="00EE1BE8"/>
    <w:rsid w:val="00EE231A"/>
    <w:rsid w:val="00EE24D6"/>
    <w:rsid w:val="00EE289F"/>
    <w:rsid w:val="00EE2B04"/>
    <w:rsid w:val="00EE3626"/>
    <w:rsid w:val="00EE3B13"/>
    <w:rsid w:val="00EE424C"/>
    <w:rsid w:val="00EE59C6"/>
    <w:rsid w:val="00EE69B9"/>
    <w:rsid w:val="00EE75E5"/>
    <w:rsid w:val="00EE76C8"/>
    <w:rsid w:val="00EF0066"/>
    <w:rsid w:val="00EF1864"/>
    <w:rsid w:val="00EF26B4"/>
    <w:rsid w:val="00EF2732"/>
    <w:rsid w:val="00EF2A9D"/>
    <w:rsid w:val="00EF2BB9"/>
    <w:rsid w:val="00EF3131"/>
    <w:rsid w:val="00EF33BF"/>
    <w:rsid w:val="00EF41F1"/>
    <w:rsid w:val="00EF491E"/>
    <w:rsid w:val="00EF50F3"/>
    <w:rsid w:val="00EF5D14"/>
    <w:rsid w:val="00EF6828"/>
    <w:rsid w:val="00EF6E6D"/>
    <w:rsid w:val="00EF6EAC"/>
    <w:rsid w:val="00EF775A"/>
    <w:rsid w:val="00EF7A66"/>
    <w:rsid w:val="00EF7D2B"/>
    <w:rsid w:val="00F00020"/>
    <w:rsid w:val="00F00B05"/>
    <w:rsid w:val="00F00DA4"/>
    <w:rsid w:val="00F01A7F"/>
    <w:rsid w:val="00F0227A"/>
    <w:rsid w:val="00F02E36"/>
    <w:rsid w:val="00F03426"/>
    <w:rsid w:val="00F036BA"/>
    <w:rsid w:val="00F03CE3"/>
    <w:rsid w:val="00F04655"/>
    <w:rsid w:val="00F04707"/>
    <w:rsid w:val="00F04ACD"/>
    <w:rsid w:val="00F04D5B"/>
    <w:rsid w:val="00F0536F"/>
    <w:rsid w:val="00F0539D"/>
    <w:rsid w:val="00F0571B"/>
    <w:rsid w:val="00F062AE"/>
    <w:rsid w:val="00F0635E"/>
    <w:rsid w:val="00F071CC"/>
    <w:rsid w:val="00F07867"/>
    <w:rsid w:val="00F10181"/>
    <w:rsid w:val="00F107A8"/>
    <w:rsid w:val="00F10F01"/>
    <w:rsid w:val="00F110F6"/>
    <w:rsid w:val="00F111F9"/>
    <w:rsid w:val="00F115DB"/>
    <w:rsid w:val="00F11D6E"/>
    <w:rsid w:val="00F122E7"/>
    <w:rsid w:val="00F135FA"/>
    <w:rsid w:val="00F13671"/>
    <w:rsid w:val="00F13D28"/>
    <w:rsid w:val="00F1428B"/>
    <w:rsid w:val="00F14BA7"/>
    <w:rsid w:val="00F152B2"/>
    <w:rsid w:val="00F1567A"/>
    <w:rsid w:val="00F15DE4"/>
    <w:rsid w:val="00F16949"/>
    <w:rsid w:val="00F16D8C"/>
    <w:rsid w:val="00F177AD"/>
    <w:rsid w:val="00F17C72"/>
    <w:rsid w:val="00F17D2D"/>
    <w:rsid w:val="00F201D4"/>
    <w:rsid w:val="00F20894"/>
    <w:rsid w:val="00F20D29"/>
    <w:rsid w:val="00F20D34"/>
    <w:rsid w:val="00F2115A"/>
    <w:rsid w:val="00F22383"/>
    <w:rsid w:val="00F2241D"/>
    <w:rsid w:val="00F22AEB"/>
    <w:rsid w:val="00F22AFE"/>
    <w:rsid w:val="00F22BCA"/>
    <w:rsid w:val="00F23754"/>
    <w:rsid w:val="00F237A4"/>
    <w:rsid w:val="00F23F6D"/>
    <w:rsid w:val="00F24087"/>
    <w:rsid w:val="00F24334"/>
    <w:rsid w:val="00F243AE"/>
    <w:rsid w:val="00F24A5E"/>
    <w:rsid w:val="00F250A9"/>
    <w:rsid w:val="00F265F6"/>
    <w:rsid w:val="00F26653"/>
    <w:rsid w:val="00F27291"/>
    <w:rsid w:val="00F2770C"/>
    <w:rsid w:val="00F3016B"/>
    <w:rsid w:val="00F30CB6"/>
    <w:rsid w:val="00F31113"/>
    <w:rsid w:val="00F311A3"/>
    <w:rsid w:val="00F314C0"/>
    <w:rsid w:val="00F314D3"/>
    <w:rsid w:val="00F31ABF"/>
    <w:rsid w:val="00F31D20"/>
    <w:rsid w:val="00F31E5C"/>
    <w:rsid w:val="00F31EE7"/>
    <w:rsid w:val="00F32084"/>
    <w:rsid w:val="00F32457"/>
    <w:rsid w:val="00F32541"/>
    <w:rsid w:val="00F3254D"/>
    <w:rsid w:val="00F32569"/>
    <w:rsid w:val="00F32D1C"/>
    <w:rsid w:val="00F33889"/>
    <w:rsid w:val="00F33B34"/>
    <w:rsid w:val="00F347C0"/>
    <w:rsid w:val="00F351D3"/>
    <w:rsid w:val="00F357FA"/>
    <w:rsid w:val="00F35C22"/>
    <w:rsid w:val="00F364B2"/>
    <w:rsid w:val="00F377FB"/>
    <w:rsid w:val="00F37FE3"/>
    <w:rsid w:val="00F40306"/>
    <w:rsid w:val="00F40663"/>
    <w:rsid w:val="00F41337"/>
    <w:rsid w:val="00F4140B"/>
    <w:rsid w:val="00F41940"/>
    <w:rsid w:val="00F43AF6"/>
    <w:rsid w:val="00F43E13"/>
    <w:rsid w:val="00F44405"/>
    <w:rsid w:val="00F44796"/>
    <w:rsid w:val="00F44C14"/>
    <w:rsid w:val="00F44D8E"/>
    <w:rsid w:val="00F461AD"/>
    <w:rsid w:val="00F46255"/>
    <w:rsid w:val="00F478ED"/>
    <w:rsid w:val="00F47DC5"/>
    <w:rsid w:val="00F505DA"/>
    <w:rsid w:val="00F50665"/>
    <w:rsid w:val="00F50A23"/>
    <w:rsid w:val="00F50E9F"/>
    <w:rsid w:val="00F51174"/>
    <w:rsid w:val="00F518F3"/>
    <w:rsid w:val="00F5367B"/>
    <w:rsid w:val="00F539D9"/>
    <w:rsid w:val="00F53B3B"/>
    <w:rsid w:val="00F542AC"/>
    <w:rsid w:val="00F54B12"/>
    <w:rsid w:val="00F55403"/>
    <w:rsid w:val="00F55934"/>
    <w:rsid w:val="00F5608F"/>
    <w:rsid w:val="00F560B9"/>
    <w:rsid w:val="00F579FF"/>
    <w:rsid w:val="00F6027C"/>
    <w:rsid w:val="00F60415"/>
    <w:rsid w:val="00F60DAD"/>
    <w:rsid w:val="00F60DE0"/>
    <w:rsid w:val="00F61271"/>
    <w:rsid w:val="00F617DE"/>
    <w:rsid w:val="00F61846"/>
    <w:rsid w:val="00F6194D"/>
    <w:rsid w:val="00F61F8E"/>
    <w:rsid w:val="00F61FFA"/>
    <w:rsid w:val="00F620EC"/>
    <w:rsid w:val="00F62233"/>
    <w:rsid w:val="00F6251B"/>
    <w:rsid w:val="00F626C6"/>
    <w:rsid w:val="00F62CF6"/>
    <w:rsid w:val="00F63405"/>
    <w:rsid w:val="00F63C7A"/>
    <w:rsid w:val="00F64156"/>
    <w:rsid w:val="00F6576A"/>
    <w:rsid w:val="00F65925"/>
    <w:rsid w:val="00F6658A"/>
    <w:rsid w:val="00F66924"/>
    <w:rsid w:val="00F66F13"/>
    <w:rsid w:val="00F66FA6"/>
    <w:rsid w:val="00F67BD1"/>
    <w:rsid w:val="00F67C59"/>
    <w:rsid w:val="00F70293"/>
    <w:rsid w:val="00F708A1"/>
    <w:rsid w:val="00F70C8A"/>
    <w:rsid w:val="00F71087"/>
    <w:rsid w:val="00F71242"/>
    <w:rsid w:val="00F717FF"/>
    <w:rsid w:val="00F71A3F"/>
    <w:rsid w:val="00F71C01"/>
    <w:rsid w:val="00F721AC"/>
    <w:rsid w:val="00F7246A"/>
    <w:rsid w:val="00F731E5"/>
    <w:rsid w:val="00F73A04"/>
    <w:rsid w:val="00F73ECA"/>
    <w:rsid w:val="00F743A3"/>
    <w:rsid w:val="00F74A72"/>
    <w:rsid w:val="00F74DE7"/>
    <w:rsid w:val="00F74E5A"/>
    <w:rsid w:val="00F751B6"/>
    <w:rsid w:val="00F76A83"/>
    <w:rsid w:val="00F774C8"/>
    <w:rsid w:val="00F802C8"/>
    <w:rsid w:val="00F813B4"/>
    <w:rsid w:val="00F81D96"/>
    <w:rsid w:val="00F81F18"/>
    <w:rsid w:val="00F826E7"/>
    <w:rsid w:val="00F827AA"/>
    <w:rsid w:val="00F82C6C"/>
    <w:rsid w:val="00F83978"/>
    <w:rsid w:val="00F83ED3"/>
    <w:rsid w:val="00F83F3F"/>
    <w:rsid w:val="00F83FE2"/>
    <w:rsid w:val="00F840B9"/>
    <w:rsid w:val="00F857B4"/>
    <w:rsid w:val="00F85C14"/>
    <w:rsid w:val="00F85C44"/>
    <w:rsid w:val="00F85F4D"/>
    <w:rsid w:val="00F86002"/>
    <w:rsid w:val="00F86371"/>
    <w:rsid w:val="00F86648"/>
    <w:rsid w:val="00F86C88"/>
    <w:rsid w:val="00F86D13"/>
    <w:rsid w:val="00F86DBB"/>
    <w:rsid w:val="00F87027"/>
    <w:rsid w:val="00F874B8"/>
    <w:rsid w:val="00F87535"/>
    <w:rsid w:val="00F877A0"/>
    <w:rsid w:val="00F90859"/>
    <w:rsid w:val="00F916C9"/>
    <w:rsid w:val="00F91915"/>
    <w:rsid w:val="00F91D8C"/>
    <w:rsid w:val="00F921C0"/>
    <w:rsid w:val="00F92282"/>
    <w:rsid w:val="00F931F5"/>
    <w:rsid w:val="00F932FB"/>
    <w:rsid w:val="00F9337A"/>
    <w:rsid w:val="00F9347F"/>
    <w:rsid w:val="00F944B3"/>
    <w:rsid w:val="00F94D65"/>
    <w:rsid w:val="00F9549D"/>
    <w:rsid w:val="00F95724"/>
    <w:rsid w:val="00F960B1"/>
    <w:rsid w:val="00F962B4"/>
    <w:rsid w:val="00F96CF3"/>
    <w:rsid w:val="00F972B0"/>
    <w:rsid w:val="00FA0210"/>
    <w:rsid w:val="00FA08D8"/>
    <w:rsid w:val="00FA2500"/>
    <w:rsid w:val="00FA2BF8"/>
    <w:rsid w:val="00FA32FF"/>
    <w:rsid w:val="00FA381D"/>
    <w:rsid w:val="00FA3AA3"/>
    <w:rsid w:val="00FA3D00"/>
    <w:rsid w:val="00FA4324"/>
    <w:rsid w:val="00FA4C1F"/>
    <w:rsid w:val="00FA538C"/>
    <w:rsid w:val="00FA5C2C"/>
    <w:rsid w:val="00FA5D62"/>
    <w:rsid w:val="00FA5FDE"/>
    <w:rsid w:val="00FA6040"/>
    <w:rsid w:val="00FA6293"/>
    <w:rsid w:val="00FA6373"/>
    <w:rsid w:val="00FA686A"/>
    <w:rsid w:val="00FA6C96"/>
    <w:rsid w:val="00FA7214"/>
    <w:rsid w:val="00FA7547"/>
    <w:rsid w:val="00FB00F7"/>
    <w:rsid w:val="00FB08CC"/>
    <w:rsid w:val="00FB1304"/>
    <w:rsid w:val="00FB1514"/>
    <w:rsid w:val="00FB1AF1"/>
    <w:rsid w:val="00FB333E"/>
    <w:rsid w:val="00FB3686"/>
    <w:rsid w:val="00FB3958"/>
    <w:rsid w:val="00FB3CD7"/>
    <w:rsid w:val="00FB3FD6"/>
    <w:rsid w:val="00FB4545"/>
    <w:rsid w:val="00FB478F"/>
    <w:rsid w:val="00FB4AA0"/>
    <w:rsid w:val="00FB4B89"/>
    <w:rsid w:val="00FB5045"/>
    <w:rsid w:val="00FB56BD"/>
    <w:rsid w:val="00FB578C"/>
    <w:rsid w:val="00FB58BB"/>
    <w:rsid w:val="00FB597D"/>
    <w:rsid w:val="00FB5AF9"/>
    <w:rsid w:val="00FB634D"/>
    <w:rsid w:val="00FB6695"/>
    <w:rsid w:val="00FB66D9"/>
    <w:rsid w:val="00FB74E5"/>
    <w:rsid w:val="00FC05C1"/>
    <w:rsid w:val="00FC0A0F"/>
    <w:rsid w:val="00FC0D59"/>
    <w:rsid w:val="00FC1673"/>
    <w:rsid w:val="00FC1A3D"/>
    <w:rsid w:val="00FC1A5C"/>
    <w:rsid w:val="00FC1C53"/>
    <w:rsid w:val="00FC1D2A"/>
    <w:rsid w:val="00FC2B88"/>
    <w:rsid w:val="00FC2D03"/>
    <w:rsid w:val="00FC2D4C"/>
    <w:rsid w:val="00FC39EA"/>
    <w:rsid w:val="00FC469C"/>
    <w:rsid w:val="00FC473D"/>
    <w:rsid w:val="00FC4943"/>
    <w:rsid w:val="00FC49E0"/>
    <w:rsid w:val="00FC4AA6"/>
    <w:rsid w:val="00FC559A"/>
    <w:rsid w:val="00FC56B8"/>
    <w:rsid w:val="00FC5CFE"/>
    <w:rsid w:val="00FC60B8"/>
    <w:rsid w:val="00FC6DE6"/>
    <w:rsid w:val="00FC6E48"/>
    <w:rsid w:val="00FD0A9D"/>
    <w:rsid w:val="00FD0A9E"/>
    <w:rsid w:val="00FD0F14"/>
    <w:rsid w:val="00FD15AF"/>
    <w:rsid w:val="00FD2F1A"/>
    <w:rsid w:val="00FD3053"/>
    <w:rsid w:val="00FD3715"/>
    <w:rsid w:val="00FD37D0"/>
    <w:rsid w:val="00FD3DE0"/>
    <w:rsid w:val="00FD3FA0"/>
    <w:rsid w:val="00FD440C"/>
    <w:rsid w:val="00FD4EC8"/>
    <w:rsid w:val="00FD556D"/>
    <w:rsid w:val="00FD5684"/>
    <w:rsid w:val="00FD5E81"/>
    <w:rsid w:val="00FD5FF0"/>
    <w:rsid w:val="00FD60B6"/>
    <w:rsid w:val="00FD6616"/>
    <w:rsid w:val="00FD7F01"/>
    <w:rsid w:val="00FD7F02"/>
    <w:rsid w:val="00FE0775"/>
    <w:rsid w:val="00FE0F88"/>
    <w:rsid w:val="00FE1A47"/>
    <w:rsid w:val="00FE1D5C"/>
    <w:rsid w:val="00FE2400"/>
    <w:rsid w:val="00FE2C02"/>
    <w:rsid w:val="00FE3782"/>
    <w:rsid w:val="00FE3A6A"/>
    <w:rsid w:val="00FE3AC5"/>
    <w:rsid w:val="00FE413B"/>
    <w:rsid w:val="00FE44CF"/>
    <w:rsid w:val="00FE4721"/>
    <w:rsid w:val="00FE4D2A"/>
    <w:rsid w:val="00FE4FA0"/>
    <w:rsid w:val="00FE4FD0"/>
    <w:rsid w:val="00FE5051"/>
    <w:rsid w:val="00FE53DC"/>
    <w:rsid w:val="00FE566B"/>
    <w:rsid w:val="00FE5839"/>
    <w:rsid w:val="00FE5B58"/>
    <w:rsid w:val="00FE6DE2"/>
    <w:rsid w:val="00FE6E80"/>
    <w:rsid w:val="00FF02E4"/>
    <w:rsid w:val="00FF0DA9"/>
    <w:rsid w:val="00FF10F1"/>
    <w:rsid w:val="00FF2986"/>
    <w:rsid w:val="00FF2F3F"/>
    <w:rsid w:val="00FF3A63"/>
    <w:rsid w:val="00FF4902"/>
    <w:rsid w:val="00FF524A"/>
    <w:rsid w:val="00FF524F"/>
    <w:rsid w:val="00FF58A5"/>
    <w:rsid w:val="00FF58F3"/>
    <w:rsid w:val="00FF5AA4"/>
    <w:rsid w:val="00FF6251"/>
    <w:rsid w:val="00FF6A5E"/>
    <w:rsid w:val="00FF7151"/>
    <w:rsid w:val="00FF7523"/>
    <w:rsid w:val="00FF7B13"/>
    <w:rsid w:val="00FF7C5F"/>
    <w:rsid w:val="00FF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5C41"/>
    <w:rPr>
      <w:rFonts w:ascii="Times New Roman" w:eastAsia="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5C41"/>
    <w:rPr>
      <w:color w:val="0000FF"/>
      <w:u w:val="single"/>
    </w:rPr>
  </w:style>
  <w:style w:type="paragraph" w:styleId="Header">
    <w:name w:val="header"/>
    <w:basedOn w:val="Normal"/>
    <w:link w:val="HeaderChar"/>
    <w:uiPriority w:val="99"/>
    <w:unhideWhenUsed/>
    <w:rsid w:val="0034178A"/>
    <w:pPr>
      <w:tabs>
        <w:tab w:val="center" w:pos="4680"/>
        <w:tab w:val="right" w:pos="9360"/>
      </w:tabs>
    </w:pPr>
  </w:style>
  <w:style w:type="character" w:customStyle="1" w:styleId="HeaderChar">
    <w:name w:val="Header Char"/>
    <w:basedOn w:val="DefaultParagraphFont"/>
    <w:link w:val="Header"/>
    <w:uiPriority w:val="99"/>
    <w:rsid w:val="0034178A"/>
    <w:rPr>
      <w:rFonts w:ascii="Times New Roman" w:eastAsia="Times New Roman" w:hAnsi="Times New Roman"/>
      <w:sz w:val="24"/>
    </w:rPr>
  </w:style>
  <w:style w:type="paragraph" w:styleId="Footer">
    <w:name w:val="footer"/>
    <w:basedOn w:val="Normal"/>
    <w:link w:val="FooterChar"/>
    <w:uiPriority w:val="99"/>
    <w:unhideWhenUsed/>
    <w:rsid w:val="0034178A"/>
    <w:pPr>
      <w:tabs>
        <w:tab w:val="center" w:pos="4680"/>
        <w:tab w:val="right" w:pos="9360"/>
      </w:tabs>
    </w:pPr>
  </w:style>
  <w:style w:type="character" w:customStyle="1" w:styleId="FooterChar">
    <w:name w:val="Footer Char"/>
    <w:basedOn w:val="DefaultParagraphFont"/>
    <w:link w:val="Footer"/>
    <w:uiPriority w:val="99"/>
    <w:rsid w:val="0034178A"/>
    <w:rPr>
      <w:rFonts w:ascii="Times New Roman" w:eastAsia="Times New Roman" w:hAnsi="Times New Roman"/>
      <w:sz w:val="24"/>
    </w:rPr>
  </w:style>
  <w:style w:type="paragraph" w:customStyle="1" w:styleId="SCCLsocParty">
    <w:name w:val="SCC.Lsoc.Party"/>
    <w:basedOn w:val="Normal"/>
    <w:next w:val="Normal"/>
    <w:link w:val="SCCLsocPartyChar"/>
    <w:rsid w:val="0002267C"/>
    <w:pPr>
      <w:jc w:val="center"/>
    </w:pPr>
    <w:rPr>
      <w:rFonts w:eastAsia="Calibri"/>
      <w:szCs w:val="22"/>
      <w:lang w:val="fr-CA"/>
    </w:rPr>
  </w:style>
  <w:style w:type="character" w:customStyle="1" w:styleId="SCCLsocPartyChar">
    <w:name w:val="SCC.Lsoc.Party Char"/>
    <w:basedOn w:val="DefaultParagraphFont"/>
    <w:link w:val="SCCLsocParty"/>
    <w:rsid w:val="0002267C"/>
    <w:rPr>
      <w:rFonts w:ascii="Times New Roman" w:hAnsi="Times New Roman"/>
      <w:sz w:val="24"/>
      <w:szCs w:val="22"/>
      <w:lang w:val="fr-CA"/>
    </w:rPr>
  </w:style>
  <w:style w:type="character" w:styleId="FollowedHyperlink">
    <w:name w:val="FollowedHyperlink"/>
    <w:basedOn w:val="DefaultParagraphFont"/>
    <w:uiPriority w:val="99"/>
    <w:semiHidden/>
    <w:unhideWhenUsed/>
    <w:rsid w:val="00FB578C"/>
    <w:rPr>
      <w:color w:val="800080"/>
      <w:u w:val="single"/>
    </w:rPr>
  </w:style>
  <w:style w:type="paragraph" w:styleId="ListParagraph">
    <w:name w:val="List Paragraph"/>
    <w:basedOn w:val="Normal"/>
    <w:uiPriority w:val="34"/>
    <w:qFormat/>
    <w:rsid w:val="00C342CA"/>
    <w:pPr>
      <w:widowControl w:val="0"/>
      <w:autoSpaceDE w:val="0"/>
      <w:autoSpaceDN w:val="0"/>
      <w:adjustRightInd w:val="0"/>
      <w:ind w:left="720"/>
      <w:contextualSpacing/>
    </w:pPr>
    <w:rPr>
      <w:szCs w:val="24"/>
    </w:rPr>
  </w:style>
  <w:style w:type="paragraph" w:customStyle="1" w:styleId="SCCFileNumber">
    <w:name w:val="SCC.FileNumber"/>
    <w:basedOn w:val="Normal"/>
    <w:next w:val="Normal"/>
    <w:link w:val="SCCFileNumberChar"/>
    <w:rsid w:val="00A2504D"/>
    <w:pPr>
      <w:jc w:val="both"/>
    </w:pPr>
    <w:rPr>
      <w:rFonts w:eastAsia="Calibri"/>
      <w:b/>
      <w:szCs w:val="22"/>
      <w:lang w:val="en-CA"/>
    </w:rPr>
  </w:style>
  <w:style w:type="character" w:customStyle="1" w:styleId="SCCFileNumberChar">
    <w:name w:val="SCC.FileNumber Char"/>
    <w:basedOn w:val="DefaultParagraphFont"/>
    <w:link w:val="SCCFileNumber"/>
    <w:rsid w:val="00A2504D"/>
    <w:rPr>
      <w:rFonts w:ascii="Times New Roman" w:hAnsi="Times New Roman"/>
      <w:b/>
      <w:sz w:val="24"/>
      <w:szCs w:val="22"/>
      <w:lang w:val="en-CA"/>
    </w:rPr>
  </w:style>
  <w:style w:type="paragraph" w:customStyle="1" w:styleId="SCCBanSummary">
    <w:name w:val="SCC.BanSummary"/>
    <w:basedOn w:val="Normal"/>
    <w:next w:val="Normal"/>
    <w:link w:val="SCCBanSummaryChar"/>
    <w:rsid w:val="00A2504D"/>
    <w:pPr>
      <w:jc w:val="both"/>
    </w:pPr>
    <w:rPr>
      <w:rFonts w:eastAsia="Calibri"/>
      <w:smallCaps/>
      <w:szCs w:val="22"/>
      <w:lang w:val="en-CA"/>
    </w:rPr>
  </w:style>
  <w:style w:type="character" w:customStyle="1" w:styleId="SCCBanSummaryChar">
    <w:name w:val="SCC.BanSummary Char"/>
    <w:basedOn w:val="DefaultParagraphFont"/>
    <w:link w:val="SCCBanSummary"/>
    <w:rsid w:val="00A2504D"/>
    <w:rPr>
      <w:rFonts w:ascii="Times New Roman" w:hAnsi="Times New Roman"/>
      <w:smallCaps/>
      <w:sz w:val="24"/>
      <w:szCs w:val="22"/>
      <w:lang w:val="en-CA"/>
    </w:rPr>
  </w:style>
  <w:style w:type="paragraph" w:styleId="NoSpacing">
    <w:name w:val="No Spacing"/>
    <w:uiPriority w:val="1"/>
    <w:qFormat/>
    <w:rsid w:val="007D6193"/>
    <w:pPr>
      <w:widowControl w:val="0"/>
      <w:autoSpaceDE w:val="0"/>
      <w:autoSpaceDN w:val="0"/>
      <w:adjustRightInd w:val="0"/>
    </w:pPr>
    <w:rPr>
      <w:rFonts w:ascii="Times New Roman" w:eastAsia="Times New Roman" w:hAnsi="Times New Roman"/>
      <w:sz w:val="24"/>
      <w:szCs w:val="24"/>
      <w:lang w:eastAsia="en-CA"/>
    </w:rPr>
  </w:style>
  <w:style w:type="paragraph" w:customStyle="1" w:styleId="SCCAppellantInfoAppellantInfo">
    <w:name w:val="SCC.AppellantInfo.AppellantInfo"/>
    <w:basedOn w:val="Normal"/>
    <w:next w:val="Normal"/>
    <w:link w:val="SCCAppellantInfoAppellantInfoChar"/>
    <w:rsid w:val="007226F3"/>
    <w:rPr>
      <w:rFonts w:eastAsia="Calibri"/>
      <w:szCs w:val="24"/>
      <w:lang w:val="en-CA"/>
    </w:rPr>
  </w:style>
  <w:style w:type="character" w:customStyle="1" w:styleId="SCCAppellantInfoAppellantInfoChar">
    <w:name w:val="SCC.AppellantInfo.AppellantInfo Char"/>
    <w:basedOn w:val="DefaultParagraphFont"/>
    <w:link w:val="SCCAppellantInfoAppellantInfo"/>
    <w:rsid w:val="007226F3"/>
    <w:rPr>
      <w:rFonts w:ascii="Times New Roman" w:eastAsia="Calibri" w:hAnsi="Times New Roman" w:cs="Times New Roman"/>
      <w:sz w:val="24"/>
      <w:szCs w:val="24"/>
      <w:lang w:val="en-CA"/>
    </w:rPr>
  </w:style>
  <w:style w:type="paragraph" w:styleId="DocumentMap">
    <w:name w:val="Document Map"/>
    <w:basedOn w:val="Normal"/>
    <w:link w:val="DocumentMapChar"/>
    <w:uiPriority w:val="99"/>
    <w:semiHidden/>
    <w:unhideWhenUsed/>
    <w:rsid w:val="00535069"/>
    <w:rPr>
      <w:rFonts w:ascii="Tahoma" w:hAnsi="Tahoma" w:cs="Tahoma"/>
      <w:sz w:val="16"/>
      <w:szCs w:val="16"/>
    </w:rPr>
  </w:style>
  <w:style w:type="character" w:customStyle="1" w:styleId="DocumentMapChar">
    <w:name w:val="Document Map Char"/>
    <w:basedOn w:val="DefaultParagraphFont"/>
    <w:link w:val="DocumentMap"/>
    <w:uiPriority w:val="99"/>
    <w:semiHidden/>
    <w:rsid w:val="00535069"/>
    <w:rPr>
      <w:rFonts w:ascii="Tahoma" w:eastAsia="Times New Roman" w:hAnsi="Tahoma" w:cs="Tahoma"/>
      <w:sz w:val="16"/>
      <w:szCs w:val="16"/>
    </w:rPr>
  </w:style>
  <w:style w:type="paragraph" w:customStyle="1" w:styleId="Style268435469">
    <w:name w:val="Style268435469"/>
    <w:rsid w:val="001C0E0C"/>
    <w:pPr>
      <w:autoSpaceDE w:val="0"/>
      <w:autoSpaceDN w:val="0"/>
      <w:adjustRightInd w:val="0"/>
    </w:pPr>
    <w:rPr>
      <w:rFonts w:ascii="Arial" w:hAnsi="Arial" w:cs="Arial"/>
      <w:sz w:val="24"/>
      <w:szCs w:val="24"/>
      <w:lang w:val="en-CA"/>
    </w:rPr>
  </w:style>
  <w:style w:type="paragraph" w:styleId="BalloonText">
    <w:name w:val="Balloon Text"/>
    <w:basedOn w:val="Normal"/>
    <w:link w:val="BalloonTextChar"/>
    <w:uiPriority w:val="99"/>
    <w:semiHidden/>
    <w:unhideWhenUsed/>
    <w:rsid w:val="00E76439"/>
    <w:rPr>
      <w:rFonts w:ascii="Tahoma" w:hAnsi="Tahoma" w:cs="Tahoma"/>
      <w:sz w:val="16"/>
      <w:szCs w:val="16"/>
    </w:rPr>
  </w:style>
  <w:style w:type="character" w:customStyle="1" w:styleId="BalloonTextChar">
    <w:name w:val="Balloon Text Char"/>
    <w:basedOn w:val="DefaultParagraphFont"/>
    <w:link w:val="BalloonText"/>
    <w:uiPriority w:val="99"/>
    <w:semiHidden/>
    <w:rsid w:val="00E76439"/>
    <w:rPr>
      <w:rFonts w:ascii="Tahoma" w:eastAsia="Times New Roman" w:hAnsi="Tahoma" w:cs="Tahoma"/>
      <w:sz w:val="16"/>
      <w:szCs w:val="16"/>
    </w:rPr>
  </w:style>
  <w:style w:type="paragraph" w:styleId="PlainText">
    <w:name w:val="Plain Text"/>
    <w:basedOn w:val="Normal"/>
    <w:link w:val="PlainTextChar"/>
    <w:uiPriority w:val="99"/>
    <w:semiHidden/>
    <w:unhideWhenUsed/>
    <w:rsid w:val="000627A2"/>
    <w:rPr>
      <w:rFonts w:ascii="Consolas" w:hAnsi="Consolas"/>
      <w:sz w:val="21"/>
      <w:szCs w:val="21"/>
    </w:rPr>
  </w:style>
  <w:style w:type="character" w:customStyle="1" w:styleId="PlainTextChar">
    <w:name w:val="Plain Text Char"/>
    <w:basedOn w:val="DefaultParagraphFont"/>
    <w:link w:val="PlainText"/>
    <w:uiPriority w:val="99"/>
    <w:semiHidden/>
    <w:rsid w:val="000627A2"/>
    <w:rPr>
      <w:rFonts w:ascii="Consolas" w:eastAsia="Times New Roman" w:hAnsi="Consolas"/>
      <w:sz w:val="21"/>
      <w:szCs w:val="21"/>
    </w:rPr>
  </w:style>
  <w:style w:type="character" w:styleId="CommentReference">
    <w:name w:val="annotation reference"/>
    <w:basedOn w:val="DefaultParagraphFont"/>
    <w:uiPriority w:val="99"/>
    <w:semiHidden/>
    <w:unhideWhenUsed/>
    <w:rsid w:val="001D1E16"/>
    <w:rPr>
      <w:sz w:val="16"/>
      <w:szCs w:val="16"/>
    </w:rPr>
  </w:style>
  <w:style w:type="paragraph" w:styleId="CommentText">
    <w:name w:val="annotation text"/>
    <w:basedOn w:val="Normal"/>
    <w:link w:val="CommentTextChar"/>
    <w:uiPriority w:val="99"/>
    <w:semiHidden/>
    <w:unhideWhenUsed/>
    <w:rsid w:val="001D1E16"/>
    <w:rPr>
      <w:sz w:val="20"/>
    </w:rPr>
  </w:style>
  <w:style w:type="character" w:customStyle="1" w:styleId="CommentTextChar">
    <w:name w:val="Comment Text Char"/>
    <w:basedOn w:val="DefaultParagraphFont"/>
    <w:link w:val="CommentText"/>
    <w:uiPriority w:val="99"/>
    <w:semiHidden/>
    <w:rsid w:val="001D1E16"/>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D1E16"/>
    <w:rPr>
      <w:b/>
      <w:bCs/>
    </w:rPr>
  </w:style>
  <w:style w:type="character" w:customStyle="1" w:styleId="CommentSubjectChar">
    <w:name w:val="Comment Subject Char"/>
    <w:basedOn w:val="CommentTextChar"/>
    <w:link w:val="CommentSubject"/>
    <w:uiPriority w:val="99"/>
    <w:semiHidden/>
    <w:rsid w:val="001D1E16"/>
    <w:rPr>
      <w:rFonts w:ascii="Times New Roman" w:eastAsia="Times New Roman" w:hAnsi="Times New Roman"/>
      <w:b/>
      <w:bCs/>
    </w:rPr>
  </w:style>
  <w:style w:type="table" w:styleId="TableGrid">
    <w:name w:val="Table Grid"/>
    <w:basedOn w:val="TableNormal"/>
    <w:uiPriority w:val="59"/>
    <w:rsid w:val="003240B6"/>
    <w:rPr>
      <w:rFonts w:ascii="Times New Roman" w:hAnsi="Times New Roman"/>
      <w:sz w:val="24"/>
      <w:szCs w:val="24"/>
      <w:lang w:val="en-CA" w:eastAsia="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CCLsocOtherPartySeparator">
    <w:name w:val="SCC.Lsoc.OtherPartySeparator"/>
    <w:basedOn w:val="Normal"/>
    <w:next w:val="Normal"/>
    <w:link w:val="SCCLsocOtherPartySeparatorChar"/>
    <w:rsid w:val="00537F74"/>
    <w:pPr>
      <w:jc w:val="both"/>
    </w:pPr>
    <w:rPr>
      <w:rFonts w:eastAsiaTheme="minorHAnsi" w:cstheme="minorBidi"/>
      <w:b/>
      <w:szCs w:val="22"/>
      <w:lang w:val="fr-CA"/>
    </w:rPr>
  </w:style>
  <w:style w:type="character" w:customStyle="1" w:styleId="SCCLsocOtherPartySeparatorChar">
    <w:name w:val="SCC.Lsoc.OtherPartySeparator Char"/>
    <w:basedOn w:val="DefaultParagraphFont"/>
    <w:link w:val="SCCLsocOtherPartySeparator"/>
    <w:rsid w:val="00537F74"/>
    <w:rPr>
      <w:rFonts w:ascii="Times New Roman" w:eastAsiaTheme="minorHAnsi" w:hAnsi="Times New Roman" w:cstheme="minorBidi"/>
      <w:b/>
      <w:sz w:val="24"/>
      <w:szCs w:val="22"/>
      <w:lang w:val="fr-CA"/>
    </w:rPr>
  </w:style>
  <w:style w:type="paragraph" w:customStyle="1" w:styleId="mainparagraph1">
    <w:name w:val="mainparagraph1"/>
    <w:basedOn w:val="Normal"/>
    <w:rsid w:val="00537F74"/>
    <w:pPr>
      <w:spacing w:after="240"/>
      <w:ind w:left="720" w:hanging="720"/>
      <w:jc w:val="both"/>
    </w:pPr>
    <w:rPr>
      <w:szCs w:val="24"/>
    </w:rPr>
  </w:style>
  <w:style w:type="paragraph" w:customStyle="1" w:styleId="aparanumbering1">
    <w:name w:val="aparanumbering1"/>
    <w:basedOn w:val="Normal"/>
    <w:rsid w:val="00537F74"/>
    <w:pPr>
      <w:spacing w:before="120" w:after="120"/>
      <w:jc w:val="both"/>
    </w:pPr>
    <w:rPr>
      <w:rFonts w:ascii="Arial" w:hAnsi="Arial" w:cs="Arial"/>
      <w:sz w:val="26"/>
      <w:szCs w:val="26"/>
    </w:rPr>
  </w:style>
  <w:style w:type="paragraph" w:customStyle="1" w:styleId="number1">
    <w:name w:val="number1"/>
    <w:basedOn w:val="Normal"/>
    <w:rsid w:val="00FE413B"/>
    <w:pPr>
      <w:jc w:val="both"/>
    </w:pPr>
    <w:rPr>
      <w:rFonts w:ascii="Tahoma" w:hAnsi="Tahoma" w:cs="Tahoma"/>
      <w:szCs w:val="24"/>
    </w:rPr>
  </w:style>
  <w:style w:type="character" w:customStyle="1" w:styleId="reflex3-block">
    <w:name w:val="reflex3-block"/>
    <w:basedOn w:val="DefaultParagraphFont"/>
    <w:rsid w:val="00FE413B"/>
  </w:style>
  <w:style w:type="character" w:customStyle="1" w:styleId="reflex3-alt">
    <w:name w:val="reflex3-alt"/>
    <w:basedOn w:val="DefaultParagraphFont"/>
    <w:rsid w:val="00FE413B"/>
  </w:style>
  <w:style w:type="paragraph" w:customStyle="1" w:styleId="scjnumber1">
    <w:name w:val="scjnumber1"/>
    <w:basedOn w:val="Normal"/>
    <w:rsid w:val="00CA32B5"/>
    <w:pPr>
      <w:spacing w:after="240"/>
    </w:pPr>
    <w:rPr>
      <w:rFonts w:ascii="Arial" w:hAnsi="Arial" w:cs="Arial"/>
      <w:szCs w:val="24"/>
    </w:rPr>
  </w:style>
  <w:style w:type="character" w:customStyle="1" w:styleId="reflex">
    <w:name w:val="reflex"/>
    <w:basedOn w:val="DefaultParagraphFont"/>
    <w:rsid w:val="00E85588"/>
  </w:style>
  <w:style w:type="paragraph" w:customStyle="1" w:styleId="paragraphe">
    <w:name w:val="paragraphe"/>
    <w:basedOn w:val="Normal"/>
    <w:rsid w:val="007A38B8"/>
    <w:pPr>
      <w:spacing w:before="100" w:beforeAutospacing="1" w:after="100" w:afterAutospacing="1"/>
    </w:pPr>
    <w:rPr>
      <w:szCs w:val="24"/>
    </w:rPr>
  </w:style>
  <w:style w:type="character" w:customStyle="1" w:styleId="nowrap">
    <w:name w:val="nowrap"/>
    <w:basedOn w:val="DefaultParagraphFont"/>
    <w:rsid w:val="007A38B8"/>
  </w:style>
  <w:style w:type="paragraph" w:customStyle="1" w:styleId="SCCLsocSubfileSeparator">
    <w:name w:val="SCC.Lsoc.SubfileSeparator"/>
    <w:basedOn w:val="Normal"/>
    <w:next w:val="Normal"/>
    <w:link w:val="SCCLsocSubfileSeparatorChar"/>
    <w:rsid w:val="003F6190"/>
    <w:pPr>
      <w:jc w:val="both"/>
    </w:pPr>
    <w:rPr>
      <w:rFonts w:eastAsiaTheme="minorHAnsi"/>
      <w:b/>
      <w:szCs w:val="24"/>
      <w:lang w:val="en-CA"/>
    </w:rPr>
  </w:style>
  <w:style w:type="character" w:customStyle="1" w:styleId="SCCLsocSubfileSeparatorChar">
    <w:name w:val="SCC.Lsoc.SubfileSeparator Char"/>
    <w:basedOn w:val="DefaultParagraphFont"/>
    <w:link w:val="SCCLsocSubfileSeparator"/>
    <w:rsid w:val="003F6190"/>
    <w:rPr>
      <w:rFonts w:ascii="Times New Roman" w:eastAsiaTheme="minorHAnsi" w:hAnsi="Times New Roman"/>
      <w:b/>
      <w:sz w:val="24"/>
      <w:szCs w:val="24"/>
      <w:lang w:val="en-CA"/>
    </w:rPr>
  </w:style>
  <w:style w:type="paragraph" w:customStyle="1" w:styleId="s3">
    <w:name w:val="s3"/>
    <w:basedOn w:val="Normal"/>
    <w:rsid w:val="00B328CA"/>
    <w:pPr>
      <w:spacing w:before="100" w:beforeAutospacing="1" w:after="100" w:afterAutospacing="1"/>
    </w:pPr>
    <w:rPr>
      <w:rFonts w:eastAsiaTheme="minorHAnsi"/>
      <w:szCs w:val="24"/>
    </w:rPr>
  </w:style>
  <w:style w:type="character" w:customStyle="1" w:styleId="s4">
    <w:name w:val="s4"/>
    <w:basedOn w:val="DefaultParagraphFont"/>
    <w:rsid w:val="00B328CA"/>
  </w:style>
  <w:style w:type="character" w:customStyle="1" w:styleId="s5">
    <w:name w:val="s5"/>
    <w:basedOn w:val="DefaultParagraphFont"/>
    <w:rsid w:val="00B328CA"/>
  </w:style>
  <w:style w:type="paragraph" w:customStyle="1" w:styleId="paragraphenumrot">
    <w:name w:val="paragraphenumrot"/>
    <w:basedOn w:val="Normal"/>
    <w:rsid w:val="001E2AA6"/>
    <w:pPr>
      <w:spacing w:before="100" w:beforeAutospacing="1" w:after="100" w:afterAutospacing="1"/>
    </w:pPr>
    <w:rPr>
      <w:szCs w:val="24"/>
    </w:rPr>
  </w:style>
  <w:style w:type="paragraph" w:customStyle="1" w:styleId="paragnum">
    <w:name w:val="paragnum"/>
    <w:basedOn w:val="Normal"/>
    <w:rsid w:val="0098760C"/>
    <w:pPr>
      <w:spacing w:before="100" w:beforeAutospacing="1" w:after="100" w:afterAutospacing="1"/>
    </w:pPr>
    <w:rPr>
      <w:szCs w:val="24"/>
    </w:rPr>
  </w:style>
  <w:style w:type="character" w:customStyle="1" w:styleId="sh3135415119">
    <w:name w:val="sh_3135415119"/>
    <w:basedOn w:val="DefaultParagraphFont"/>
    <w:rsid w:val="00843613"/>
  </w:style>
  <w:style w:type="character" w:styleId="Emphasis">
    <w:name w:val="Emphasis"/>
    <w:basedOn w:val="DefaultParagraphFont"/>
    <w:uiPriority w:val="20"/>
    <w:qFormat/>
    <w:rsid w:val="0039120F"/>
    <w:rPr>
      <w:i/>
      <w:iCs/>
    </w:rPr>
  </w:style>
  <w:style w:type="paragraph" w:customStyle="1" w:styleId="aparanumbering">
    <w:name w:val="aparanumbering"/>
    <w:basedOn w:val="Normal"/>
    <w:rsid w:val="002E6084"/>
    <w:pPr>
      <w:spacing w:before="100" w:beforeAutospacing="1" w:after="100" w:afterAutospacing="1"/>
    </w:pPr>
    <w:rPr>
      <w:szCs w:val="24"/>
    </w:rPr>
  </w:style>
  <w:style w:type="character" w:customStyle="1" w:styleId="citationcar">
    <w:name w:val="citationcar"/>
    <w:basedOn w:val="DefaultParagraphFont"/>
    <w:rsid w:val="00314899"/>
  </w:style>
  <w:style w:type="paragraph" w:customStyle="1" w:styleId="scjnumber">
    <w:name w:val="scjnumber"/>
    <w:basedOn w:val="Normal"/>
    <w:rsid w:val="006509AD"/>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7906">
      <w:bodyDiv w:val="1"/>
      <w:marLeft w:val="0"/>
      <w:marRight w:val="0"/>
      <w:marTop w:val="0"/>
      <w:marBottom w:val="0"/>
      <w:divBdr>
        <w:top w:val="none" w:sz="0" w:space="0" w:color="auto"/>
        <w:left w:val="none" w:sz="0" w:space="0" w:color="auto"/>
        <w:bottom w:val="none" w:sz="0" w:space="0" w:color="auto"/>
        <w:right w:val="none" w:sz="0" w:space="0" w:color="auto"/>
      </w:divBdr>
    </w:div>
    <w:div w:id="9529092">
      <w:bodyDiv w:val="1"/>
      <w:marLeft w:val="0"/>
      <w:marRight w:val="0"/>
      <w:marTop w:val="0"/>
      <w:marBottom w:val="0"/>
      <w:divBdr>
        <w:top w:val="none" w:sz="0" w:space="0" w:color="auto"/>
        <w:left w:val="none" w:sz="0" w:space="0" w:color="auto"/>
        <w:bottom w:val="none" w:sz="0" w:space="0" w:color="auto"/>
        <w:right w:val="none" w:sz="0" w:space="0" w:color="auto"/>
      </w:divBdr>
    </w:div>
    <w:div w:id="18161495">
      <w:bodyDiv w:val="1"/>
      <w:marLeft w:val="0"/>
      <w:marRight w:val="0"/>
      <w:marTop w:val="0"/>
      <w:marBottom w:val="0"/>
      <w:divBdr>
        <w:top w:val="none" w:sz="0" w:space="0" w:color="auto"/>
        <w:left w:val="none" w:sz="0" w:space="0" w:color="auto"/>
        <w:bottom w:val="none" w:sz="0" w:space="0" w:color="auto"/>
        <w:right w:val="none" w:sz="0" w:space="0" w:color="auto"/>
      </w:divBdr>
    </w:div>
    <w:div w:id="37435138">
      <w:bodyDiv w:val="1"/>
      <w:marLeft w:val="0"/>
      <w:marRight w:val="0"/>
      <w:marTop w:val="0"/>
      <w:marBottom w:val="0"/>
      <w:divBdr>
        <w:top w:val="none" w:sz="0" w:space="0" w:color="auto"/>
        <w:left w:val="none" w:sz="0" w:space="0" w:color="auto"/>
        <w:bottom w:val="none" w:sz="0" w:space="0" w:color="auto"/>
        <w:right w:val="none" w:sz="0" w:space="0" w:color="auto"/>
      </w:divBdr>
    </w:div>
    <w:div w:id="66611507">
      <w:bodyDiv w:val="1"/>
      <w:marLeft w:val="0"/>
      <w:marRight w:val="0"/>
      <w:marTop w:val="0"/>
      <w:marBottom w:val="0"/>
      <w:divBdr>
        <w:top w:val="none" w:sz="0" w:space="0" w:color="auto"/>
        <w:left w:val="none" w:sz="0" w:space="0" w:color="auto"/>
        <w:bottom w:val="none" w:sz="0" w:space="0" w:color="auto"/>
        <w:right w:val="none" w:sz="0" w:space="0" w:color="auto"/>
      </w:divBdr>
    </w:div>
    <w:div w:id="74206133">
      <w:bodyDiv w:val="1"/>
      <w:marLeft w:val="0"/>
      <w:marRight w:val="0"/>
      <w:marTop w:val="0"/>
      <w:marBottom w:val="0"/>
      <w:divBdr>
        <w:top w:val="none" w:sz="0" w:space="0" w:color="auto"/>
        <w:left w:val="none" w:sz="0" w:space="0" w:color="auto"/>
        <w:bottom w:val="none" w:sz="0" w:space="0" w:color="auto"/>
        <w:right w:val="none" w:sz="0" w:space="0" w:color="auto"/>
      </w:divBdr>
    </w:div>
    <w:div w:id="95904926">
      <w:bodyDiv w:val="1"/>
      <w:marLeft w:val="0"/>
      <w:marRight w:val="0"/>
      <w:marTop w:val="0"/>
      <w:marBottom w:val="0"/>
      <w:divBdr>
        <w:top w:val="none" w:sz="0" w:space="0" w:color="auto"/>
        <w:left w:val="none" w:sz="0" w:space="0" w:color="auto"/>
        <w:bottom w:val="none" w:sz="0" w:space="0" w:color="auto"/>
        <w:right w:val="none" w:sz="0" w:space="0" w:color="auto"/>
      </w:divBdr>
    </w:div>
    <w:div w:id="112752442">
      <w:bodyDiv w:val="1"/>
      <w:marLeft w:val="0"/>
      <w:marRight w:val="0"/>
      <w:marTop w:val="0"/>
      <w:marBottom w:val="0"/>
      <w:divBdr>
        <w:top w:val="none" w:sz="0" w:space="0" w:color="auto"/>
        <w:left w:val="none" w:sz="0" w:space="0" w:color="auto"/>
        <w:bottom w:val="none" w:sz="0" w:space="0" w:color="auto"/>
        <w:right w:val="none" w:sz="0" w:space="0" w:color="auto"/>
      </w:divBdr>
    </w:div>
    <w:div w:id="117800852">
      <w:bodyDiv w:val="1"/>
      <w:marLeft w:val="0"/>
      <w:marRight w:val="0"/>
      <w:marTop w:val="0"/>
      <w:marBottom w:val="0"/>
      <w:divBdr>
        <w:top w:val="none" w:sz="0" w:space="0" w:color="auto"/>
        <w:left w:val="none" w:sz="0" w:space="0" w:color="auto"/>
        <w:bottom w:val="none" w:sz="0" w:space="0" w:color="auto"/>
        <w:right w:val="none" w:sz="0" w:space="0" w:color="auto"/>
      </w:divBdr>
    </w:div>
    <w:div w:id="125588093">
      <w:bodyDiv w:val="1"/>
      <w:marLeft w:val="0"/>
      <w:marRight w:val="0"/>
      <w:marTop w:val="0"/>
      <w:marBottom w:val="0"/>
      <w:divBdr>
        <w:top w:val="none" w:sz="0" w:space="0" w:color="auto"/>
        <w:left w:val="none" w:sz="0" w:space="0" w:color="auto"/>
        <w:bottom w:val="none" w:sz="0" w:space="0" w:color="auto"/>
        <w:right w:val="none" w:sz="0" w:space="0" w:color="auto"/>
      </w:divBdr>
    </w:div>
    <w:div w:id="158467292">
      <w:bodyDiv w:val="1"/>
      <w:marLeft w:val="0"/>
      <w:marRight w:val="0"/>
      <w:marTop w:val="0"/>
      <w:marBottom w:val="0"/>
      <w:divBdr>
        <w:top w:val="none" w:sz="0" w:space="0" w:color="auto"/>
        <w:left w:val="none" w:sz="0" w:space="0" w:color="auto"/>
        <w:bottom w:val="none" w:sz="0" w:space="0" w:color="auto"/>
        <w:right w:val="none" w:sz="0" w:space="0" w:color="auto"/>
      </w:divBdr>
    </w:div>
    <w:div w:id="177543389">
      <w:bodyDiv w:val="1"/>
      <w:marLeft w:val="0"/>
      <w:marRight w:val="0"/>
      <w:marTop w:val="0"/>
      <w:marBottom w:val="0"/>
      <w:divBdr>
        <w:top w:val="none" w:sz="0" w:space="0" w:color="auto"/>
        <w:left w:val="none" w:sz="0" w:space="0" w:color="auto"/>
        <w:bottom w:val="none" w:sz="0" w:space="0" w:color="auto"/>
        <w:right w:val="none" w:sz="0" w:space="0" w:color="auto"/>
      </w:divBdr>
      <w:divsChild>
        <w:div w:id="1837987795">
          <w:marLeft w:val="0"/>
          <w:marRight w:val="0"/>
          <w:marTop w:val="0"/>
          <w:marBottom w:val="0"/>
          <w:divBdr>
            <w:top w:val="none" w:sz="0" w:space="0" w:color="auto"/>
            <w:left w:val="none" w:sz="0" w:space="0" w:color="auto"/>
            <w:bottom w:val="none" w:sz="0" w:space="0" w:color="auto"/>
            <w:right w:val="none" w:sz="0" w:space="0" w:color="auto"/>
          </w:divBdr>
          <w:divsChild>
            <w:div w:id="1328560028">
              <w:marLeft w:val="-225"/>
              <w:marRight w:val="-225"/>
              <w:marTop w:val="0"/>
              <w:marBottom w:val="0"/>
              <w:divBdr>
                <w:top w:val="none" w:sz="0" w:space="0" w:color="auto"/>
                <w:left w:val="none" w:sz="0" w:space="0" w:color="auto"/>
                <w:bottom w:val="none" w:sz="0" w:space="0" w:color="auto"/>
                <w:right w:val="none" w:sz="0" w:space="0" w:color="auto"/>
              </w:divBdr>
              <w:divsChild>
                <w:div w:id="981228292">
                  <w:marLeft w:val="0"/>
                  <w:marRight w:val="0"/>
                  <w:marTop w:val="0"/>
                  <w:marBottom w:val="0"/>
                  <w:divBdr>
                    <w:top w:val="none" w:sz="0" w:space="0" w:color="auto"/>
                    <w:left w:val="none" w:sz="0" w:space="0" w:color="auto"/>
                    <w:bottom w:val="none" w:sz="0" w:space="0" w:color="auto"/>
                    <w:right w:val="none" w:sz="0" w:space="0" w:color="auto"/>
                  </w:divBdr>
                  <w:divsChild>
                    <w:div w:id="2108845742">
                      <w:marLeft w:val="0"/>
                      <w:marRight w:val="0"/>
                      <w:marTop w:val="0"/>
                      <w:marBottom w:val="0"/>
                      <w:divBdr>
                        <w:top w:val="none" w:sz="0" w:space="0" w:color="auto"/>
                        <w:left w:val="none" w:sz="0" w:space="0" w:color="auto"/>
                        <w:bottom w:val="none" w:sz="0" w:space="0" w:color="auto"/>
                        <w:right w:val="none" w:sz="0" w:space="0" w:color="auto"/>
                      </w:divBdr>
                      <w:divsChild>
                        <w:div w:id="658730996">
                          <w:marLeft w:val="0"/>
                          <w:marRight w:val="0"/>
                          <w:marTop w:val="225"/>
                          <w:marBottom w:val="0"/>
                          <w:divBdr>
                            <w:top w:val="none" w:sz="0" w:space="0" w:color="auto"/>
                            <w:left w:val="none" w:sz="0" w:space="0" w:color="auto"/>
                            <w:bottom w:val="none" w:sz="0" w:space="0" w:color="auto"/>
                            <w:right w:val="none" w:sz="0" w:space="0" w:color="auto"/>
                          </w:divBdr>
                          <w:divsChild>
                            <w:div w:id="692267055">
                              <w:marLeft w:val="0"/>
                              <w:marRight w:val="0"/>
                              <w:marTop w:val="0"/>
                              <w:marBottom w:val="0"/>
                              <w:divBdr>
                                <w:top w:val="none" w:sz="0" w:space="0" w:color="auto"/>
                                <w:left w:val="none" w:sz="0" w:space="0" w:color="auto"/>
                                <w:bottom w:val="none" w:sz="0" w:space="0" w:color="auto"/>
                                <w:right w:val="none" w:sz="0" w:space="0" w:color="auto"/>
                              </w:divBdr>
                            </w:div>
                            <w:div w:id="77000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899090">
      <w:bodyDiv w:val="1"/>
      <w:marLeft w:val="0"/>
      <w:marRight w:val="0"/>
      <w:marTop w:val="0"/>
      <w:marBottom w:val="0"/>
      <w:divBdr>
        <w:top w:val="none" w:sz="0" w:space="0" w:color="auto"/>
        <w:left w:val="none" w:sz="0" w:space="0" w:color="auto"/>
        <w:bottom w:val="none" w:sz="0" w:space="0" w:color="auto"/>
        <w:right w:val="none" w:sz="0" w:space="0" w:color="auto"/>
      </w:divBdr>
    </w:div>
    <w:div w:id="180122840">
      <w:bodyDiv w:val="1"/>
      <w:marLeft w:val="0"/>
      <w:marRight w:val="0"/>
      <w:marTop w:val="0"/>
      <w:marBottom w:val="0"/>
      <w:divBdr>
        <w:top w:val="none" w:sz="0" w:space="0" w:color="auto"/>
        <w:left w:val="none" w:sz="0" w:space="0" w:color="auto"/>
        <w:bottom w:val="none" w:sz="0" w:space="0" w:color="auto"/>
        <w:right w:val="none" w:sz="0" w:space="0" w:color="auto"/>
      </w:divBdr>
    </w:div>
    <w:div w:id="210000784">
      <w:bodyDiv w:val="1"/>
      <w:marLeft w:val="0"/>
      <w:marRight w:val="0"/>
      <w:marTop w:val="0"/>
      <w:marBottom w:val="0"/>
      <w:divBdr>
        <w:top w:val="none" w:sz="0" w:space="0" w:color="auto"/>
        <w:left w:val="none" w:sz="0" w:space="0" w:color="auto"/>
        <w:bottom w:val="none" w:sz="0" w:space="0" w:color="auto"/>
        <w:right w:val="none" w:sz="0" w:space="0" w:color="auto"/>
      </w:divBdr>
    </w:div>
    <w:div w:id="214895378">
      <w:bodyDiv w:val="1"/>
      <w:marLeft w:val="0"/>
      <w:marRight w:val="0"/>
      <w:marTop w:val="0"/>
      <w:marBottom w:val="0"/>
      <w:divBdr>
        <w:top w:val="none" w:sz="0" w:space="0" w:color="auto"/>
        <w:left w:val="none" w:sz="0" w:space="0" w:color="auto"/>
        <w:bottom w:val="none" w:sz="0" w:space="0" w:color="auto"/>
        <w:right w:val="none" w:sz="0" w:space="0" w:color="auto"/>
      </w:divBdr>
    </w:div>
    <w:div w:id="227494801">
      <w:bodyDiv w:val="1"/>
      <w:marLeft w:val="0"/>
      <w:marRight w:val="0"/>
      <w:marTop w:val="0"/>
      <w:marBottom w:val="0"/>
      <w:divBdr>
        <w:top w:val="none" w:sz="0" w:space="0" w:color="auto"/>
        <w:left w:val="none" w:sz="0" w:space="0" w:color="auto"/>
        <w:bottom w:val="none" w:sz="0" w:space="0" w:color="auto"/>
        <w:right w:val="none" w:sz="0" w:space="0" w:color="auto"/>
      </w:divBdr>
    </w:div>
    <w:div w:id="259413056">
      <w:bodyDiv w:val="1"/>
      <w:marLeft w:val="0"/>
      <w:marRight w:val="0"/>
      <w:marTop w:val="0"/>
      <w:marBottom w:val="0"/>
      <w:divBdr>
        <w:top w:val="none" w:sz="0" w:space="0" w:color="auto"/>
        <w:left w:val="none" w:sz="0" w:space="0" w:color="auto"/>
        <w:bottom w:val="none" w:sz="0" w:space="0" w:color="auto"/>
        <w:right w:val="none" w:sz="0" w:space="0" w:color="auto"/>
      </w:divBdr>
    </w:div>
    <w:div w:id="269892612">
      <w:bodyDiv w:val="1"/>
      <w:marLeft w:val="0"/>
      <w:marRight w:val="0"/>
      <w:marTop w:val="0"/>
      <w:marBottom w:val="0"/>
      <w:divBdr>
        <w:top w:val="none" w:sz="0" w:space="0" w:color="auto"/>
        <w:left w:val="none" w:sz="0" w:space="0" w:color="auto"/>
        <w:bottom w:val="none" w:sz="0" w:space="0" w:color="auto"/>
        <w:right w:val="none" w:sz="0" w:space="0" w:color="auto"/>
      </w:divBdr>
    </w:div>
    <w:div w:id="327291651">
      <w:bodyDiv w:val="1"/>
      <w:marLeft w:val="0"/>
      <w:marRight w:val="0"/>
      <w:marTop w:val="0"/>
      <w:marBottom w:val="0"/>
      <w:divBdr>
        <w:top w:val="none" w:sz="0" w:space="0" w:color="auto"/>
        <w:left w:val="none" w:sz="0" w:space="0" w:color="auto"/>
        <w:bottom w:val="none" w:sz="0" w:space="0" w:color="auto"/>
        <w:right w:val="none" w:sz="0" w:space="0" w:color="auto"/>
      </w:divBdr>
    </w:div>
    <w:div w:id="375324905">
      <w:bodyDiv w:val="1"/>
      <w:marLeft w:val="0"/>
      <w:marRight w:val="0"/>
      <w:marTop w:val="0"/>
      <w:marBottom w:val="0"/>
      <w:divBdr>
        <w:top w:val="none" w:sz="0" w:space="0" w:color="auto"/>
        <w:left w:val="none" w:sz="0" w:space="0" w:color="auto"/>
        <w:bottom w:val="none" w:sz="0" w:space="0" w:color="auto"/>
        <w:right w:val="none" w:sz="0" w:space="0" w:color="auto"/>
      </w:divBdr>
    </w:div>
    <w:div w:id="396323573">
      <w:bodyDiv w:val="1"/>
      <w:marLeft w:val="0"/>
      <w:marRight w:val="0"/>
      <w:marTop w:val="0"/>
      <w:marBottom w:val="0"/>
      <w:divBdr>
        <w:top w:val="none" w:sz="0" w:space="0" w:color="auto"/>
        <w:left w:val="none" w:sz="0" w:space="0" w:color="auto"/>
        <w:bottom w:val="none" w:sz="0" w:space="0" w:color="auto"/>
        <w:right w:val="none" w:sz="0" w:space="0" w:color="auto"/>
      </w:divBdr>
    </w:div>
    <w:div w:id="441999488">
      <w:bodyDiv w:val="1"/>
      <w:marLeft w:val="0"/>
      <w:marRight w:val="0"/>
      <w:marTop w:val="0"/>
      <w:marBottom w:val="0"/>
      <w:divBdr>
        <w:top w:val="none" w:sz="0" w:space="0" w:color="auto"/>
        <w:left w:val="none" w:sz="0" w:space="0" w:color="auto"/>
        <w:bottom w:val="none" w:sz="0" w:space="0" w:color="auto"/>
        <w:right w:val="none" w:sz="0" w:space="0" w:color="auto"/>
      </w:divBdr>
    </w:div>
    <w:div w:id="464660479">
      <w:bodyDiv w:val="1"/>
      <w:marLeft w:val="0"/>
      <w:marRight w:val="0"/>
      <w:marTop w:val="0"/>
      <w:marBottom w:val="0"/>
      <w:divBdr>
        <w:top w:val="none" w:sz="0" w:space="0" w:color="auto"/>
        <w:left w:val="none" w:sz="0" w:space="0" w:color="auto"/>
        <w:bottom w:val="none" w:sz="0" w:space="0" w:color="auto"/>
        <w:right w:val="none" w:sz="0" w:space="0" w:color="auto"/>
      </w:divBdr>
    </w:div>
    <w:div w:id="490677603">
      <w:bodyDiv w:val="1"/>
      <w:marLeft w:val="0"/>
      <w:marRight w:val="0"/>
      <w:marTop w:val="0"/>
      <w:marBottom w:val="0"/>
      <w:divBdr>
        <w:top w:val="none" w:sz="0" w:space="0" w:color="auto"/>
        <w:left w:val="none" w:sz="0" w:space="0" w:color="auto"/>
        <w:bottom w:val="none" w:sz="0" w:space="0" w:color="auto"/>
        <w:right w:val="none" w:sz="0" w:space="0" w:color="auto"/>
      </w:divBdr>
    </w:div>
    <w:div w:id="493565629">
      <w:bodyDiv w:val="1"/>
      <w:marLeft w:val="0"/>
      <w:marRight w:val="0"/>
      <w:marTop w:val="0"/>
      <w:marBottom w:val="0"/>
      <w:divBdr>
        <w:top w:val="none" w:sz="0" w:space="0" w:color="auto"/>
        <w:left w:val="none" w:sz="0" w:space="0" w:color="auto"/>
        <w:bottom w:val="none" w:sz="0" w:space="0" w:color="auto"/>
        <w:right w:val="none" w:sz="0" w:space="0" w:color="auto"/>
      </w:divBdr>
    </w:div>
    <w:div w:id="498548245">
      <w:bodyDiv w:val="1"/>
      <w:marLeft w:val="0"/>
      <w:marRight w:val="0"/>
      <w:marTop w:val="0"/>
      <w:marBottom w:val="0"/>
      <w:divBdr>
        <w:top w:val="none" w:sz="0" w:space="0" w:color="auto"/>
        <w:left w:val="none" w:sz="0" w:space="0" w:color="auto"/>
        <w:bottom w:val="none" w:sz="0" w:space="0" w:color="auto"/>
        <w:right w:val="none" w:sz="0" w:space="0" w:color="auto"/>
      </w:divBdr>
    </w:div>
    <w:div w:id="512649646">
      <w:bodyDiv w:val="1"/>
      <w:marLeft w:val="0"/>
      <w:marRight w:val="0"/>
      <w:marTop w:val="0"/>
      <w:marBottom w:val="0"/>
      <w:divBdr>
        <w:top w:val="none" w:sz="0" w:space="0" w:color="auto"/>
        <w:left w:val="none" w:sz="0" w:space="0" w:color="auto"/>
        <w:bottom w:val="none" w:sz="0" w:space="0" w:color="auto"/>
        <w:right w:val="none" w:sz="0" w:space="0" w:color="auto"/>
      </w:divBdr>
    </w:div>
    <w:div w:id="567806713">
      <w:bodyDiv w:val="1"/>
      <w:marLeft w:val="0"/>
      <w:marRight w:val="0"/>
      <w:marTop w:val="0"/>
      <w:marBottom w:val="0"/>
      <w:divBdr>
        <w:top w:val="none" w:sz="0" w:space="0" w:color="auto"/>
        <w:left w:val="none" w:sz="0" w:space="0" w:color="auto"/>
        <w:bottom w:val="none" w:sz="0" w:space="0" w:color="auto"/>
        <w:right w:val="none" w:sz="0" w:space="0" w:color="auto"/>
      </w:divBdr>
    </w:div>
    <w:div w:id="584610887">
      <w:bodyDiv w:val="1"/>
      <w:marLeft w:val="0"/>
      <w:marRight w:val="0"/>
      <w:marTop w:val="0"/>
      <w:marBottom w:val="0"/>
      <w:divBdr>
        <w:top w:val="none" w:sz="0" w:space="0" w:color="auto"/>
        <w:left w:val="none" w:sz="0" w:space="0" w:color="auto"/>
        <w:bottom w:val="none" w:sz="0" w:space="0" w:color="auto"/>
        <w:right w:val="none" w:sz="0" w:space="0" w:color="auto"/>
      </w:divBdr>
    </w:div>
    <w:div w:id="605966456">
      <w:bodyDiv w:val="1"/>
      <w:marLeft w:val="0"/>
      <w:marRight w:val="0"/>
      <w:marTop w:val="0"/>
      <w:marBottom w:val="0"/>
      <w:divBdr>
        <w:top w:val="none" w:sz="0" w:space="0" w:color="auto"/>
        <w:left w:val="none" w:sz="0" w:space="0" w:color="auto"/>
        <w:bottom w:val="none" w:sz="0" w:space="0" w:color="auto"/>
        <w:right w:val="none" w:sz="0" w:space="0" w:color="auto"/>
      </w:divBdr>
    </w:div>
    <w:div w:id="694116326">
      <w:bodyDiv w:val="1"/>
      <w:marLeft w:val="0"/>
      <w:marRight w:val="0"/>
      <w:marTop w:val="0"/>
      <w:marBottom w:val="0"/>
      <w:divBdr>
        <w:top w:val="none" w:sz="0" w:space="0" w:color="auto"/>
        <w:left w:val="none" w:sz="0" w:space="0" w:color="auto"/>
        <w:bottom w:val="none" w:sz="0" w:space="0" w:color="auto"/>
        <w:right w:val="none" w:sz="0" w:space="0" w:color="auto"/>
      </w:divBdr>
    </w:div>
    <w:div w:id="732242612">
      <w:bodyDiv w:val="1"/>
      <w:marLeft w:val="0"/>
      <w:marRight w:val="0"/>
      <w:marTop w:val="0"/>
      <w:marBottom w:val="0"/>
      <w:divBdr>
        <w:top w:val="none" w:sz="0" w:space="0" w:color="auto"/>
        <w:left w:val="none" w:sz="0" w:space="0" w:color="auto"/>
        <w:bottom w:val="none" w:sz="0" w:space="0" w:color="auto"/>
        <w:right w:val="none" w:sz="0" w:space="0" w:color="auto"/>
      </w:divBdr>
    </w:div>
    <w:div w:id="781534562">
      <w:bodyDiv w:val="1"/>
      <w:marLeft w:val="0"/>
      <w:marRight w:val="0"/>
      <w:marTop w:val="0"/>
      <w:marBottom w:val="0"/>
      <w:divBdr>
        <w:top w:val="none" w:sz="0" w:space="0" w:color="auto"/>
        <w:left w:val="none" w:sz="0" w:space="0" w:color="auto"/>
        <w:bottom w:val="none" w:sz="0" w:space="0" w:color="auto"/>
        <w:right w:val="none" w:sz="0" w:space="0" w:color="auto"/>
      </w:divBdr>
    </w:div>
    <w:div w:id="794174191">
      <w:bodyDiv w:val="1"/>
      <w:marLeft w:val="0"/>
      <w:marRight w:val="0"/>
      <w:marTop w:val="0"/>
      <w:marBottom w:val="0"/>
      <w:divBdr>
        <w:top w:val="none" w:sz="0" w:space="0" w:color="auto"/>
        <w:left w:val="none" w:sz="0" w:space="0" w:color="auto"/>
        <w:bottom w:val="none" w:sz="0" w:space="0" w:color="auto"/>
        <w:right w:val="none" w:sz="0" w:space="0" w:color="auto"/>
      </w:divBdr>
    </w:div>
    <w:div w:id="841316524">
      <w:bodyDiv w:val="1"/>
      <w:marLeft w:val="0"/>
      <w:marRight w:val="0"/>
      <w:marTop w:val="0"/>
      <w:marBottom w:val="0"/>
      <w:divBdr>
        <w:top w:val="none" w:sz="0" w:space="0" w:color="auto"/>
        <w:left w:val="none" w:sz="0" w:space="0" w:color="auto"/>
        <w:bottom w:val="none" w:sz="0" w:space="0" w:color="auto"/>
        <w:right w:val="none" w:sz="0" w:space="0" w:color="auto"/>
      </w:divBdr>
    </w:div>
    <w:div w:id="854156564">
      <w:bodyDiv w:val="1"/>
      <w:marLeft w:val="0"/>
      <w:marRight w:val="0"/>
      <w:marTop w:val="0"/>
      <w:marBottom w:val="0"/>
      <w:divBdr>
        <w:top w:val="none" w:sz="0" w:space="0" w:color="auto"/>
        <w:left w:val="none" w:sz="0" w:space="0" w:color="auto"/>
        <w:bottom w:val="none" w:sz="0" w:space="0" w:color="auto"/>
        <w:right w:val="none" w:sz="0" w:space="0" w:color="auto"/>
      </w:divBdr>
    </w:div>
    <w:div w:id="858854321">
      <w:bodyDiv w:val="1"/>
      <w:marLeft w:val="0"/>
      <w:marRight w:val="0"/>
      <w:marTop w:val="0"/>
      <w:marBottom w:val="0"/>
      <w:divBdr>
        <w:top w:val="none" w:sz="0" w:space="0" w:color="auto"/>
        <w:left w:val="none" w:sz="0" w:space="0" w:color="auto"/>
        <w:bottom w:val="none" w:sz="0" w:space="0" w:color="auto"/>
        <w:right w:val="none" w:sz="0" w:space="0" w:color="auto"/>
      </w:divBdr>
    </w:div>
    <w:div w:id="874344606">
      <w:bodyDiv w:val="1"/>
      <w:marLeft w:val="0"/>
      <w:marRight w:val="0"/>
      <w:marTop w:val="0"/>
      <w:marBottom w:val="0"/>
      <w:divBdr>
        <w:top w:val="none" w:sz="0" w:space="0" w:color="auto"/>
        <w:left w:val="none" w:sz="0" w:space="0" w:color="auto"/>
        <w:bottom w:val="none" w:sz="0" w:space="0" w:color="auto"/>
        <w:right w:val="none" w:sz="0" w:space="0" w:color="auto"/>
      </w:divBdr>
    </w:div>
    <w:div w:id="899562612">
      <w:bodyDiv w:val="1"/>
      <w:marLeft w:val="0"/>
      <w:marRight w:val="0"/>
      <w:marTop w:val="0"/>
      <w:marBottom w:val="0"/>
      <w:divBdr>
        <w:top w:val="none" w:sz="0" w:space="0" w:color="auto"/>
        <w:left w:val="none" w:sz="0" w:space="0" w:color="auto"/>
        <w:bottom w:val="none" w:sz="0" w:space="0" w:color="auto"/>
        <w:right w:val="none" w:sz="0" w:space="0" w:color="auto"/>
      </w:divBdr>
    </w:div>
    <w:div w:id="908536618">
      <w:bodyDiv w:val="1"/>
      <w:marLeft w:val="0"/>
      <w:marRight w:val="0"/>
      <w:marTop w:val="0"/>
      <w:marBottom w:val="0"/>
      <w:divBdr>
        <w:top w:val="none" w:sz="0" w:space="0" w:color="auto"/>
        <w:left w:val="none" w:sz="0" w:space="0" w:color="auto"/>
        <w:bottom w:val="none" w:sz="0" w:space="0" w:color="auto"/>
        <w:right w:val="none" w:sz="0" w:space="0" w:color="auto"/>
      </w:divBdr>
    </w:div>
    <w:div w:id="912279638">
      <w:bodyDiv w:val="1"/>
      <w:marLeft w:val="0"/>
      <w:marRight w:val="0"/>
      <w:marTop w:val="0"/>
      <w:marBottom w:val="0"/>
      <w:divBdr>
        <w:top w:val="none" w:sz="0" w:space="0" w:color="auto"/>
        <w:left w:val="none" w:sz="0" w:space="0" w:color="auto"/>
        <w:bottom w:val="none" w:sz="0" w:space="0" w:color="auto"/>
        <w:right w:val="none" w:sz="0" w:space="0" w:color="auto"/>
      </w:divBdr>
    </w:div>
    <w:div w:id="953173637">
      <w:bodyDiv w:val="1"/>
      <w:marLeft w:val="0"/>
      <w:marRight w:val="0"/>
      <w:marTop w:val="0"/>
      <w:marBottom w:val="0"/>
      <w:divBdr>
        <w:top w:val="none" w:sz="0" w:space="0" w:color="auto"/>
        <w:left w:val="none" w:sz="0" w:space="0" w:color="auto"/>
        <w:bottom w:val="none" w:sz="0" w:space="0" w:color="auto"/>
        <w:right w:val="none" w:sz="0" w:space="0" w:color="auto"/>
      </w:divBdr>
    </w:div>
    <w:div w:id="1052073396">
      <w:bodyDiv w:val="1"/>
      <w:marLeft w:val="0"/>
      <w:marRight w:val="0"/>
      <w:marTop w:val="0"/>
      <w:marBottom w:val="0"/>
      <w:divBdr>
        <w:top w:val="none" w:sz="0" w:space="0" w:color="auto"/>
        <w:left w:val="none" w:sz="0" w:space="0" w:color="auto"/>
        <w:bottom w:val="none" w:sz="0" w:space="0" w:color="auto"/>
        <w:right w:val="none" w:sz="0" w:space="0" w:color="auto"/>
      </w:divBdr>
    </w:div>
    <w:div w:id="1093890777">
      <w:bodyDiv w:val="1"/>
      <w:marLeft w:val="0"/>
      <w:marRight w:val="0"/>
      <w:marTop w:val="0"/>
      <w:marBottom w:val="0"/>
      <w:divBdr>
        <w:top w:val="none" w:sz="0" w:space="0" w:color="auto"/>
        <w:left w:val="none" w:sz="0" w:space="0" w:color="auto"/>
        <w:bottom w:val="none" w:sz="0" w:space="0" w:color="auto"/>
        <w:right w:val="none" w:sz="0" w:space="0" w:color="auto"/>
      </w:divBdr>
    </w:div>
    <w:div w:id="1107042722">
      <w:bodyDiv w:val="1"/>
      <w:marLeft w:val="0"/>
      <w:marRight w:val="0"/>
      <w:marTop w:val="0"/>
      <w:marBottom w:val="0"/>
      <w:divBdr>
        <w:top w:val="none" w:sz="0" w:space="0" w:color="auto"/>
        <w:left w:val="none" w:sz="0" w:space="0" w:color="auto"/>
        <w:bottom w:val="none" w:sz="0" w:space="0" w:color="auto"/>
        <w:right w:val="none" w:sz="0" w:space="0" w:color="auto"/>
      </w:divBdr>
    </w:div>
    <w:div w:id="1121651338">
      <w:bodyDiv w:val="1"/>
      <w:marLeft w:val="0"/>
      <w:marRight w:val="0"/>
      <w:marTop w:val="0"/>
      <w:marBottom w:val="0"/>
      <w:divBdr>
        <w:top w:val="none" w:sz="0" w:space="0" w:color="auto"/>
        <w:left w:val="none" w:sz="0" w:space="0" w:color="auto"/>
        <w:bottom w:val="none" w:sz="0" w:space="0" w:color="auto"/>
        <w:right w:val="none" w:sz="0" w:space="0" w:color="auto"/>
      </w:divBdr>
    </w:div>
    <w:div w:id="1220479654">
      <w:bodyDiv w:val="1"/>
      <w:marLeft w:val="0"/>
      <w:marRight w:val="0"/>
      <w:marTop w:val="0"/>
      <w:marBottom w:val="0"/>
      <w:divBdr>
        <w:top w:val="none" w:sz="0" w:space="0" w:color="auto"/>
        <w:left w:val="none" w:sz="0" w:space="0" w:color="auto"/>
        <w:bottom w:val="none" w:sz="0" w:space="0" w:color="auto"/>
        <w:right w:val="none" w:sz="0" w:space="0" w:color="auto"/>
      </w:divBdr>
    </w:div>
    <w:div w:id="1226532263">
      <w:bodyDiv w:val="1"/>
      <w:marLeft w:val="0"/>
      <w:marRight w:val="0"/>
      <w:marTop w:val="0"/>
      <w:marBottom w:val="0"/>
      <w:divBdr>
        <w:top w:val="none" w:sz="0" w:space="0" w:color="auto"/>
        <w:left w:val="none" w:sz="0" w:space="0" w:color="auto"/>
        <w:bottom w:val="none" w:sz="0" w:space="0" w:color="auto"/>
        <w:right w:val="none" w:sz="0" w:space="0" w:color="auto"/>
      </w:divBdr>
    </w:div>
    <w:div w:id="1228763134">
      <w:bodyDiv w:val="1"/>
      <w:marLeft w:val="0"/>
      <w:marRight w:val="0"/>
      <w:marTop w:val="0"/>
      <w:marBottom w:val="0"/>
      <w:divBdr>
        <w:top w:val="none" w:sz="0" w:space="0" w:color="auto"/>
        <w:left w:val="none" w:sz="0" w:space="0" w:color="auto"/>
        <w:bottom w:val="none" w:sz="0" w:space="0" w:color="auto"/>
        <w:right w:val="none" w:sz="0" w:space="0" w:color="auto"/>
      </w:divBdr>
    </w:div>
    <w:div w:id="1231765835">
      <w:bodyDiv w:val="1"/>
      <w:marLeft w:val="0"/>
      <w:marRight w:val="0"/>
      <w:marTop w:val="0"/>
      <w:marBottom w:val="0"/>
      <w:divBdr>
        <w:top w:val="none" w:sz="0" w:space="0" w:color="auto"/>
        <w:left w:val="none" w:sz="0" w:space="0" w:color="auto"/>
        <w:bottom w:val="none" w:sz="0" w:space="0" w:color="auto"/>
        <w:right w:val="none" w:sz="0" w:space="0" w:color="auto"/>
      </w:divBdr>
    </w:div>
    <w:div w:id="1238591797">
      <w:bodyDiv w:val="1"/>
      <w:marLeft w:val="0"/>
      <w:marRight w:val="0"/>
      <w:marTop w:val="0"/>
      <w:marBottom w:val="0"/>
      <w:divBdr>
        <w:top w:val="none" w:sz="0" w:space="0" w:color="auto"/>
        <w:left w:val="none" w:sz="0" w:space="0" w:color="auto"/>
        <w:bottom w:val="none" w:sz="0" w:space="0" w:color="auto"/>
        <w:right w:val="none" w:sz="0" w:space="0" w:color="auto"/>
      </w:divBdr>
    </w:div>
    <w:div w:id="1249122291">
      <w:bodyDiv w:val="1"/>
      <w:marLeft w:val="0"/>
      <w:marRight w:val="0"/>
      <w:marTop w:val="0"/>
      <w:marBottom w:val="0"/>
      <w:divBdr>
        <w:top w:val="none" w:sz="0" w:space="0" w:color="auto"/>
        <w:left w:val="none" w:sz="0" w:space="0" w:color="auto"/>
        <w:bottom w:val="none" w:sz="0" w:space="0" w:color="auto"/>
        <w:right w:val="none" w:sz="0" w:space="0" w:color="auto"/>
      </w:divBdr>
    </w:div>
    <w:div w:id="1267150737">
      <w:bodyDiv w:val="1"/>
      <w:marLeft w:val="0"/>
      <w:marRight w:val="0"/>
      <w:marTop w:val="0"/>
      <w:marBottom w:val="0"/>
      <w:divBdr>
        <w:top w:val="none" w:sz="0" w:space="0" w:color="auto"/>
        <w:left w:val="none" w:sz="0" w:space="0" w:color="auto"/>
        <w:bottom w:val="none" w:sz="0" w:space="0" w:color="auto"/>
        <w:right w:val="none" w:sz="0" w:space="0" w:color="auto"/>
      </w:divBdr>
    </w:div>
    <w:div w:id="1272279229">
      <w:bodyDiv w:val="1"/>
      <w:marLeft w:val="0"/>
      <w:marRight w:val="0"/>
      <w:marTop w:val="0"/>
      <w:marBottom w:val="0"/>
      <w:divBdr>
        <w:top w:val="none" w:sz="0" w:space="0" w:color="auto"/>
        <w:left w:val="none" w:sz="0" w:space="0" w:color="auto"/>
        <w:bottom w:val="none" w:sz="0" w:space="0" w:color="auto"/>
        <w:right w:val="none" w:sz="0" w:space="0" w:color="auto"/>
      </w:divBdr>
    </w:div>
    <w:div w:id="1290279073">
      <w:bodyDiv w:val="1"/>
      <w:marLeft w:val="0"/>
      <w:marRight w:val="0"/>
      <w:marTop w:val="0"/>
      <w:marBottom w:val="0"/>
      <w:divBdr>
        <w:top w:val="none" w:sz="0" w:space="0" w:color="auto"/>
        <w:left w:val="none" w:sz="0" w:space="0" w:color="auto"/>
        <w:bottom w:val="none" w:sz="0" w:space="0" w:color="auto"/>
        <w:right w:val="none" w:sz="0" w:space="0" w:color="auto"/>
      </w:divBdr>
    </w:div>
    <w:div w:id="1299265813">
      <w:bodyDiv w:val="1"/>
      <w:marLeft w:val="0"/>
      <w:marRight w:val="0"/>
      <w:marTop w:val="0"/>
      <w:marBottom w:val="0"/>
      <w:divBdr>
        <w:top w:val="none" w:sz="0" w:space="0" w:color="auto"/>
        <w:left w:val="none" w:sz="0" w:space="0" w:color="auto"/>
        <w:bottom w:val="none" w:sz="0" w:space="0" w:color="auto"/>
        <w:right w:val="none" w:sz="0" w:space="0" w:color="auto"/>
      </w:divBdr>
    </w:div>
    <w:div w:id="1303924793">
      <w:bodyDiv w:val="1"/>
      <w:marLeft w:val="0"/>
      <w:marRight w:val="0"/>
      <w:marTop w:val="0"/>
      <w:marBottom w:val="0"/>
      <w:divBdr>
        <w:top w:val="none" w:sz="0" w:space="0" w:color="auto"/>
        <w:left w:val="none" w:sz="0" w:space="0" w:color="auto"/>
        <w:bottom w:val="none" w:sz="0" w:space="0" w:color="auto"/>
        <w:right w:val="none" w:sz="0" w:space="0" w:color="auto"/>
      </w:divBdr>
    </w:div>
    <w:div w:id="1325166857">
      <w:bodyDiv w:val="1"/>
      <w:marLeft w:val="0"/>
      <w:marRight w:val="0"/>
      <w:marTop w:val="0"/>
      <w:marBottom w:val="0"/>
      <w:divBdr>
        <w:top w:val="none" w:sz="0" w:space="0" w:color="auto"/>
        <w:left w:val="none" w:sz="0" w:space="0" w:color="auto"/>
        <w:bottom w:val="none" w:sz="0" w:space="0" w:color="auto"/>
        <w:right w:val="none" w:sz="0" w:space="0" w:color="auto"/>
      </w:divBdr>
    </w:div>
    <w:div w:id="1328243772">
      <w:bodyDiv w:val="1"/>
      <w:marLeft w:val="0"/>
      <w:marRight w:val="0"/>
      <w:marTop w:val="0"/>
      <w:marBottom w:val="0"/>
      <w:divBdr>
        <w:top w:val="none" w:sz="0" w:space="0" w:color="auto"/>
        <w:left w:val="none" w:sz="0" w:space="0" w:color="auto"/>
        <w:bottom w:val="none" w:sz="0" w:space="0" w:color="auto"/>
        <w:right w:val="none" w:sz="0" w:space="0" w:color="auto"/>
      </w:divBdr>
    </w:div>
    <w:div w:id="1344236024">
      <w:bodyDiv w:val="1"/>
      <w:marLeft w:val="0"/>
      <w:marRight w:val="0"/>
      <w:marTop w:val="0"/>
      <w:marBottom w:val="0"/>
      <w:divBdr>
        <w:top w:val="none" w:sz="0" w:space="0" w:color="auto"/>
        <w:left w:val="none" w:sz="0" w:space="0" w:color="auto"/>
        <w:bottom w:val="none" w:sz="0" w:space="0" w:color="auto"/>
        <w:right w:val="none" w:sz="0" w:space="0" w:color="auto"/>
      </w:divBdr>
    </w:div>
    <w:div w:id="1360937437">
      <w:bodyDiv w:val="1"/>
      <w:marLeft w:val="0"/>
      <w:marRight w:val="0"/>
      <w:marTop w:val="0"/>
      <w:marBottom w:val="0"/>
      <w:divBdr>
        <w:top w:val="none" w:sz="0" w:space="0" w:color="auto"/>
        <w:left w:val="none" w:sz="0" w:space="0" w:color="auto"/>
        <w:bottom w:val="none" w:sz="0" w:space="0" w:color="auto"/>
        <w:right w:val="none" w:sz="0" w:space="0" w:color="auto"/>
      </w:divBdr>
    </w:div>
    <w:div w:id="1362701270">
      <w:bodyDiv w:val="1"/>
      <w:marLeft w:val="0"/>
      <w:marRight w:val="0"/>
      <w:marTop w:val="0"/>
      <w:marBottom w:val="0"/>
      <w:divBdr>
        <w:top w:val="none" w:sz="0" w:space="0" w:color="auto"/>
        <w:left w:val="none" w:sz="0" w:space="0" w:color="auto"/>
        <w:bottom w:val="none" w:sz="0" w:space="0" w:color="auto"/>
        <w:right w:val="none" w:sz="0" w:space="0" w:color="auto"/>
      </w:divBdr>
    </w:div>
    <w:div w:id="1365909297">
      <w:bodyDiv w:val="1"/>
      <w:marLeft w:val="0"/>
      <w:marRight w:val="0"/>
      <w:marTop w:val="0"/>
      <w:marBottom w:val="0"/>
      <w:divBdr>
        <w:top w:val="none" w:sz="0" w:space="0" w:color="auto"/>
        <w:left w:val="none" w:sz="0" w:space="0" w:color="auto"/>
        <w:bottom w:val="none" w:sz="0" w:space="0" w:color="auto"/>
        <w:right w:val="none" w:sz="0" w:space="0" w:color="auto"/>
      </w:divBdr>
    </w:div>
    <w:div w:id="1441873817">
      <w:bodyDiv w:val="1"/>
      <w:marLeft w:val="0"/>
      <w:marRight w:val="0"/>
      <w:marTop w:val="0"/>
      <w:marBottom w:val="0"/>
      <w:divBdr>
        <w:top w:val="none" w:sz="0" w:space="0" w:color="auto"/>
        <w:left w:val="none" w:sz="0" w:space="0" w:color="auto"/>
        <w:bottom w:val="none" w:sz="0" w:space="0" w:color="auto"/>
        <w:right w:val="none" w:sz="0" w:space="0" w:color="auto"/>
      </w:divBdr>
    </w:div>
    <w:div w:id="1467579258">
      <w:bodyDiv w:val="1"/>
      <w:marLeft w:val="0"/>
      <w:marRight w:val="0"/>
      <w:marTop w:val="0"/>
      <w:marBottom w:val="0"/>
      <w:divBdr>
        <w:top w:val="none" w:sz="0" w:space="0" w:color="auto"/>
        <w:left w:val="none" w:sz="0" w:space="0" w:color="auto"/>
        <w:bottom w:val="none" w:sz="0" w:space="0" w:color="auto"/>
        <w:right w:val="none" w:sz="0" w:space="0" w:color="auto"/>
      </w:divBdr>
    </w:div>
    <w:div w:id="1474909894">
      <w:bodyDiv w:val="1"/>
      <w:marLeft w:val="0"/>
      <w:marRight w:val="0"/>
      <w:marTop w:val="0"/>
      <w:marBottom w:val="0"/>
      <w:divBdr>
        <w:top w:val="none" w:sz="0" w:space="0" w:color="auto"/>
        <w:left w:val="none" w:sz="0" w:space="0" w:color="auto"/>
        <w:bottom w:val="none" w:sz="0" w:space="0" w:color="auto"/>
        <w:right w:val="none" w:sz="0" w:space="0" w:color="auto"/>
      </w:divBdr>
    </w:div>
    <w:div w:id="1487436763">
      <w:bodyDiv w:val="1"/>
      <w:marLeft w:val="0"/>
      <w:marRight w:val="0"/>
      <w:marTop w:val="0"/>
      <w:marBottom w:val="0"/>
      <w:divBdr>
        <w:top w:val="none" w:sz="0" w:space="0" w:color="auto"/>
        <w:left w:val="none" w:sz="0" w:space="0" w:color="auto"/>
        <w:bottom w:val="none" w:sz="0" w:space="0" w:color="auto"/>
        <w:right w:val="none" w:sz="0" w:space="0" w:color="auto"/>
      </w:divBdr>
    </w:div>
    <w:div w:id="1488475584">
      <w:bodyDiv w:val="1"/>
      <w:marLeft w:val="0"/>
      <w:marRight w:val="0"/>
      <w:marTop w:val="0"/>
      <w:marBottom w:val="0"/>
      <w:divBdr>
        <w:top w:val="none" w:sz="0" w:space="0" w:color="auto"/>
        <w:left w:val="none" w:sz="0" w:space="0" w:color="auto"/>
        <w:bottom w:val="none" w:sz="0" w:space="0" w:color="auto"/>
        <w:right w:val="none" w:sz="0" w:space="0" w:color="auto"/>
      </w:divBdr>
    </w:div>
    <w:div w:id="1516841784">
      <w:bodyDiv w:val="1"/>
      <w:marLeft w:val="0"/>
      <w:marRight w:val="0"/>
      <w:marTop w:val="0"/>
      <w:marBottom w:val="0"/>
      <w:divBdr>
        <w:top w:val="none" w:sz="0" w:space="0" w:color="auto"/>
        <w:left w:val="none" w:sz="0" w:space="0" w:color="auto"/>
        <w:bottom w:val="none" w:sz="0" w:space="0" w:color="auto"/>
        <w:right w:val="none" w:sz="0" w:space="0" w:color="auto"/>
      </w:divBdr>
    </w:div>
    <w:div w:id="1528175819">
      <w:bodyDiv w:val="1"/>
      <w:marLeft w:val="0"/>
      <w:marRight w:val="0"/>
      <w:marTop w:val="0"/>
      <w:marBottom w:val="0"/>
      <w:divBdr>
        <w:top w:val="none" w:sz="0" w:space="0" w:color="auto"/>
        <w:left w:val="none" w:sz="0" w:space="0" w:color="auto"/>
        <w:bottom w:val="none" w:sz="0" w:space="0" w:color="auto"/>
        <w:right w:val="none" w:sz="0" w:space="0" w:color="auto"/>
      </w:divBdr>
    </w:div>
    <w:div w:id="1555501231">
      <w:bodyDiv w:val="1"/>
      <w:marLeft w:val="0"/>
      <w:marRight w:val="0"/>
      <w:marTop w:val="0"/>
      <w:marBottom w:val="0"/>
      <w:divBdr>
        <w:top w:val="none" w:sz="0" w:space="0" w:color="auto"/>
        <w:left w:val="none" w:sz="0" w:space="0" w:color="auto"/>
        <w:bottom w:val="none" w:sz="0" w:space="0" w:color="auto"/>
        <w:right w:val="none" w:sz="0" w:space="0" w:color="auto"/>
      </w:divBdr>
    </w:div>
    <w:div w:id="1556625017">
      <w:bodyDiv w:val="1"/>
      <w:marLeft w:val="0"/>
      <w:marRight w:val="0"/>
      <w:marTop w:val="0"/>
      <w:marBottom w:val="0"/>
      <w:divBdr>
        <w:top w:val="none" w:sz="0" w:space="0" w:color="auto"/>
        <w:left w:val="none" w:sz="0" w:space="0" w:color="auto"/>
        <w:bottom w:val="none" w:sz="0" w:space="0" w:color="auto"/>
        <w:right w:val="none" w:sz="0" w:space="0" w:color="auto"/>
      </w:divBdr>
    </w:div>
    <w:div w:id="1574851304">
      <w:bodyDiv w:val="1"/>
      <w:marLeft w:val="0"/>
      <w:marRight w:val="0"/>
      <w:marTop w:val="0"/>
      <w:marBottom w:val="0"/>
      <w:divBdr>
        <w:top w:val="none" w:sz="0" w:space="0" w:color="auto"/>
        <w:left w:val="none" w:sz="0" w:space="0" w:color="auto"/>
        <w:bottom w:val="none" w:sz="0" w:space="0" w:color="auto"/>
        <w:right w:val="none" w:sz="0" w:space="0" w:color="auto"/>
      </w:divBdr>
    </w:div>
    <w:div w:id="1612198747">
      <w:bodyDiv w:val="1"/>
      <w:marLeft w:val="0"/>
      <w:marRight w:val="0"/>
      <w:marTop w:val="0"/>
      <w:marBottom w:val="0"/>
      <w:divBdr>
        <w:top w:val="none" w:sz="0" w:space="0" w:color="auto"/>
        <w:left w:val="none" w:sz="0" w:space="0" w:color="auto"/>
        <w:bottom w:val="none" w:sz="0" w:space="0" w:color="auto"/>
        <w:right w:val="none" w:sz="0" w:space="0" w:color="auto"/>
      </w:divBdr>
    </w:div>
    <w:div w:id="1621064657">
      <w:bodyDiv w:val="1"/>
      <w:marLeft w:val="0"/>
      <w:marRight w:val="0"/>
      <w:marTop w:val="0"/>
      <w:marBottom w:val="0"/>
      <w:divBdr>
        <w:top w:val="none" w:sz="0" w:space="0" w:color="auto"/>
        <w:left w:val="none" w:sz="0" w:space="0" w:color="auto"/>
        <w:bottom w:val="none" w:sz="0" w:space="0" w:color="auto"/>
        <w:right w:val="none" w:sz="0" w:space="0" w:color="auto"/>
      </w:divBdr>
    </w:div>
    <w:div w:id="1635789143">
      <w:bodyDiv w:val="1"/>
      <w:marLeft w:val="0"/>
      <w:marRight w:val="0"/>
      <w:marTop w:val="0"/>
      <w:marBottom w:val="0"/>
      <w:divBdr>
        <w:top w:val="none" w:sz="0" w:space="0" w:color="auto"/>
        <w:left w:val="none" w:sz="0" w:space="0" w:color="auto"/>
        <w:bottom w:val="none" w:sz="0" w:space="0" w:color="auto"/>
        <w:right w:val="none" w:sz="0" w:space="0" w:color="auto"/>
      </w:divBdr>
    </w:div>
    <w:div w:id="1677880677">
      <w:bodyDiv w:val="1"/>
      <w:marLeft w:val="0"/>
      <w:marRight w:val="0"/>
      <w:marTop w:val="0"/>
      <w:marBottom w:val="0"/>
      <w:divBdr>
        <w:top w:val="none" w:sz="0" w:space="0" w:color="auto"/>
        <w:left w:val="none" w:sz="0" w:space="0" w:color="auto"/>
        <w:bottom w:val="none" w:sz="0" w:space="0" w:color="auto"/>
        <w:right w:val="none" w:sz="0" w:space="0" w:color="auto"/>
      </w:divBdr>
    </w:div>
    <w:div w:id="1703941297">
      <w:bodyDiv w:val="1"/>
      <w:marLeft w:val="0"/>
      <w:marRight w:val="0"/>
      <w:marTop w:val="0"/>
      <w:marBottom w:val="0"/>
      <w:divBdr>
        <w:top w:val="none" w:sz="0" w:space="0" w:color="auto"/>
        <w:left w:val="none" w:sz="0" w:space="0" w:color="auto"/>
        <w:bottom w:val="none" w:sz="0" w:space="0" w:color="auto"/>
        <w:right w:val="none" w:sz="0" w:space="0" w:color="auto"/>
      </w:divBdr>
    </w:div>
    <w:div w:id="1759591717">
      <w:bodyDiv w:val="1"/>
      <w:marLeft w:val="0"/>
      <w:marRight w:val="0"/>
      <w:marTop w:val="0"/>
      <w:marBottom w:val="0"/>
      <w:divBdr>
        <w:top w:val="none" w:sz="0" w:space="0" w:color="auto"/>
        <w:left w:val="none" w:sz="0" w:space="0" w:color="auto"/>
        <w:bottom w:val="none" w:sz="0" w:space="0" w:color="auto"/>
        <w:right w:val="none" w:sz="0" w:space="0" w:color="auto"/>
      </w:divBdr>
    </w:div>
    <w:div w:id="1766918350">
      <w:bodyDiv w:val="1"/>
      <w:marLeft w:val="0"/>
      <w:marRight w:val="0"/>
      <w:marTop w:val="0"/>
      <w:marBottom w:val="0"/>
      <w:divBdr>
        <w:top w:val="none" w:sz="0" w:space="0" w:color="auto"/>
        <w:left w:val="none" w:sz="0" w:space="0" w:color="auto"/>
        <w:bottom w:val="none" w:sz="0" w:space="0" w:color="auto"/>
        <w:right w:val="none" w:sz="0" w:space="0" w:color="auto"/>
      </w:divBdr>
    </w:div>
    <w:div w:id="1770782759">
      <w:bodyDiv w:val="1"/>
      <w:marLeft w:val="0"/>
      <w:marRight w:val="0"/>
      <w:marTop w:val="0"/>
      <w:marBottom w:val="0"/>
      <w:divBdr>
        <w:top w:val="none" w:sz="0" w:space="0" w:color="auto"/>
        <w:left w:val="none" w:sz="0" w:space="0" w:color="auto"/>
        <w:bottom w:val="none" w:sz="0" w:space="0" w:color="auto"/>
        <w:right w:val="none" w:sz="0" w:space="0" w:color="auto"/>
      </w:divBdr>
    </w:div>
    <w:div w:id="1774785672">
      <w:bodyDiv w:val="1"/>
      <w:marLeft w:val="0"/>
      <w:marRight w:val="0"/>
      <w:marTop w:val="0"/>
      <w:marBottom w:val="0"/>
      <w:divBdr>
        <w:top w:val="none" w:sz="0" w:space="0" w:color="auto"/>
        <w:left w:val="none" w:sz="0" w:space="0" w:color="auto"/>
        <w:bottom w:val="none" w:sz="0" w:space="0" w:color="auto"/>
        <w:right w:val="none" w:sz="0" w:space="0" w:color="auto"/>
      </w:divBdr>
    </w:div>
    <w:div w:id="1778058972">
      <w:bodyDiv w:val="1"/>
      <w:marLeft w:val="0"/>
      <w:marRight w:val="0"/>
      <w:marTop w:val="0"/>
      <w:marBottom w:val="0"/>
      <w:divBdr>
        <w:top w:val="none" w:sz="0" w:space="0" w:color="auto"/>
        <w:left w:val="none" w:sz="0" w:space="0" w:color="auto"/>
        <w:bottom w:val="none" w:sz="0" w:space="0" w:color="auto"/>
        <w:right w:val="none" w:sz="0" w:space="0" w:color="auto"/>
      </w:divBdr>
    </w:div>
    <w:div w:id="1791319787">
      <w:bodyDiv w:val="1"/>
      <w:marLeft w:val="0"/>
      <w:marRight w:val="0"/>
      <w:marTop w:val="0"/>
      <w:marBottom w:val="0"/>
      <w:divBdr>
        <w:top w:val="none" w:sz="0" w:space="0" w:color="auto"/>
        <w:left w:val="none" w:sz="0" w:space="0" w:color="auto"/>
        <w:bottom w:val="none" w:sz="0" w:space="0" w:color="auto"/>
        <w:right w:val="none" w:sz="0" w:space="0" w:color="auto"/>
      </w:divBdr>
    </w:div>
    <w:div w:id="1802306798">
      <w:bodyDiv w:val="1"/>
      <w:marLeft w:val="0"/>
      <w:marRight w:val="0"/>
      <w:marTop w:val="0"/>
      <w:marBottom w:val="0"/>
      <w:divBdr>
        <w:top w:val="none" w:sz="0" w:space="0" w:color="auto"/>
        <w:left w:val="none" w:sz="0" w:space="0" w:color="auto"/>
        <w:bottom w:val="none" w:sz="0" w:space="0" w:color="auto"/>
        <w:right w:val="none" w:sz="0" w:space="0" w:color="auto"/>
      </w:divBdr>
    </w:div>
    <w:div w:id="1805924555">
      <w:bodyDiv w:val="1"/>
      <w:marLeft w:val="0"/>
      <w:marRight w:val="0"/>
      <w:marTop w:val="0"/>
      <w:marBottom w:val="0"/>
      <w:divBdr>
        <w:top w:val="none" w:sz="0" w:space="0" w:color="auto"/>
        <w:left w:val="none" w:sz="0" w:space="0" w:color="auto"/>
        <w:bottom w:val="none" w:sz="0" w:space="0" w:color="auto"/>
        <w:right w:val="none" w:sz="0" w:space="0" w:color="auto"/>
      </w:divBdr>
    </w:div>
    <w:div w:id="1815369194">
      <w:bodyDiv w:val="1"/>
      <w:marLeft w:val="0"/>
      <w:marRight w:val="0"/>
      <w:marTop w:val="0"/>
      <w:marBottom w:val="0"/>
      <w:divBdr>
        <w:top w:val="none" w:sz="0" w:space="0" w:color="auto"/>
        <w:left w:val="none" w:sz="0" w:space="0" w:color="auto"/>
        <w:bottom w:val="none" w:sz="0" w:space="0" w:color="auto"/>
        <w:right w:val="none" w:sz="0" w:space="0" w:color="auto"/>
      </w:divBdr>
    </w:div>
    <w:div w:id="1825662139">
      <w:bodyDiv w:val="1"/>
      <w:marLeft w:val="0"/>
      <w:marRight w:val="0"/>
      <w:marTop w:val="0"/>
      <w:marBottom w:val="0"/>
      <w:divBdr>
        <w:top w:val="none" w:sz="0" w:space="0" w:color="auto"/>
        <w:left w:val="none" w:sz="0" w:space="0" w:color="auto"/>
        <w:bottom w:val="none" w:sz="0" w:space="0" w:color="auto"/>
        <w:right w:val="none" w:sz="0" w:space="0" w:color="auto"/>
      </w:divBdr>
    </w:div>
    <w:div w:id="1854494205">
      <w:bodyDiv w:val="1"/>
      <w:marLeft w:val="0"/>
      <w:marRight w:val="0"/>
      <w:marTop w:val="0"/>
      <w:marBottom w:val="0"/>
      <w:divBdr>
        <w:top w:val="none" w:sz="0" w:space="0" w:color="auto"/>
        <w:left w:val="none" w:sz="0" w:space="0" w:color="auto"/>
        <w:bottom w:val="none" w:sz="0" w:space="0" w:color="auto"/>
        <w:right w:val="none" w:sz="0" w:space="0" w:color="auto"/>
      </w:divBdr>
    </w:div>
    <w:div w:id="1858542319">
      <w:bodyDiv w:val="1"/>
      <w:marLeft w:val="0"/>
      <w:marRight w:val="0"/>
      <w:marTop w:val="0"/>
      <w:marBottom w:val="0"/>
      <w:divBdr>
        <w:top w:val="none" w:sz="0" w:space="0" w:color="auto"/>
        <w:left w:val="none" w:sz="0" w:space="0" w:color="auto"/>
        <w:bottom w:val="none" w:sz="0" w:space="0" w:color="auto"/>
        <w:right w:val="none" w:sz="0" w:space="0" w:color="auto"/>
      </w:divBdr>
    </w:div>
    <w:div w:id="1904565714">
      <w:bodyDiv w:val="1"/>
      <w:marLeft w:val="0"/>
      <w:marRight w:val="0"/>
      <w:marTop w:val="0"/>
      <w:marBottom w:val="0"/>
      <w:divBdr>
        <w:top w:val="none" w:sz="0" w:space="0" w:color="auto"/>
        <w:left w:val="none" w:sz="0" w:space="0" w:color="auto"/>
        <w:bottom w:val="none" w:sz="0" w:space="0" w:color="auto"/>
        <w:right w:val="none" w:sz="0" w:space="0" w:color="auto"/>
      </w:divBdr>
    </w:div>
    <w:div w:id="1912695097">
      <w:bodyDiv w:val="1"/>
      <w:marLeft w:val="0"/>
      <w:marRight w:val="0"/>
      <w:marTop w:val="0"/>
      <w:marBottom w:val="0"/>
      <w:divBdr>
        <w:top w:val="none" w:sz="0" w:space="0" w:color="auto"/>
        <w:left w:val="none" w:sz="0" w:space="0" w:color="auto"/>
        <w:bottom w:val="none" w:sz="0" w:space="0" w:color="auto"/>
        <w:right w:val="none" w:sz="0" w:space="0" w:color="auto"/>
      </w:divBdr>
    </w:div>
    <w:div w:id="1931237626">
      <w:bodyDiv w:val="1"/>
      <w:marLeft w:val="0"/>
      <w:marRight w:val="0"/>
      <w:marTop w:val="0"/>
      <w:marBottom w:val="0"/>
      <w:divBdr>
        <w:top w:val="none" w:sz="0" w:space="0" w:color="auto"/>
        <w:left w:val="none" w:sz="0" w:space="0" w:color="auto"/>
        <w:bottom w:val="none" w:sz="0" w:space="0" w:color="auto"/>
        <w:right w:val="none" w:sz="0" w:space="0" w:color="auto"/>
      </w:divBdr>
    </w:div>
    <w:div w:id="1971475026">
      <w:bodyDiv w:val="1"/>
      <w:marLeft w:val="0"/>
      <w:marRight w:val="0"/>
      <w:marTop w:val="0"/>
      <w:marBottom w:val="0"/>
      <w:divBdr>
        <w:top w:val="none" w:sz="0" w:space="0" w:color="auto"/>
        <w:left w:val="none" w:sz="0" w:space="0" w:color="auto"/>
        <w:bottom w:val="none" w:sz="0" w:space="0" w:color="auto"/>
        <w:right w:val="none" w:sz="0" w:space="0" w:color="auto"/>
      </w:divBdr>
    </w:div>
    <w:div w:id="1979450139">
      <w:bodyDiv w:val="1"/>
      <w:marLeft w:val="0"/>
      <w:marRight w:val="0"/>
      <w:marTop w:val="0"/>
      <w:marBottom w:val="0"/>
      <w:divBdr>
        <w:top w:val="none" w:sz="0" w:space="0" w:color="auto"/>
        <w:left w:val="none" w:sz="0" w:space="0" w:color="auto"/>
        <w:bottom w:val="none" w:sz="0" w:space="0" w:color="auto"/>
        <w:right w:val="none" w:sz="0" w:space="0" w:color="auto"/>
      </w:divBdr>
    </w:div>
    <w:div w:id="1986542580">
      <w:bodyDiv w:val="1"/>
      <w:marLeft w:val="0"/>
      <w:marRight w:val="0"/>
      <w:marTop w:val="0"/>
      <w:marBottom w:val="0"/>
      <w:divBdr>
        <w:top w:val="none" w:sz="0" w:space="0" w:color="auto"/>
        <w:left w:val="none" w:sz="0" w:space="0" w:color="auto"/>
        <w:bottom w:val="none" w:sz="0" w:space="0" w:color="auto"/>
        <w:right w:val="none" w:sz="0" w:space="0" w:color="auto"/>
      </w:divBdr>
    </w:div>
    <w:div w:id="2011180425">
      <w:bodyDiv w:val="1"/>
      <w:marLeft w:val="0"/>
      <w:marRight w:val="0"/>
      <w:marTop w:val="0"/>
      <w:marBottom w:val="0"/>
      <w:divBdr>
        <w:top w:val="none" w:sz="0" w:space="0" w:color="auto"/>
        <w:left w:val="none" w:sz="0" w:space="0" w:color="auto"/>
        <w:bottom w:val="none" w:sz="0" w:space="0" w:color="auto"/>
        <w:right w:val="none" w:sz="0" w:space="0" w:color="auto"/>
      </w:divBdr>
    </w:div>
    <w:div w:id="2021471672">
      <w:bodyDiv w:val="1"/>
      <w:marLeft w:val="0"/>
      <w:marRight w:val="0"/>
      <w:marTop w:val="0"/>
      <w:marBottom w:val="0"/>
      <w:divBdr>
        <w:top w:val="none" w:sz="0" w:space="0" w:color="auto"/>
        <w:left w:val="none" w:sz="0" w:space="0" w:color="auto"/>
        <w:bottom w:val="none" w:sz="0" w:space="0" w:color="auto"/>
        <w:right w:val="none" w:sz="0" w:space="0" w:color="auto"/>
      </w:divBdr>
    </w:div>
    <w:div w:id="2034837469">
      <w:bodyDiv w:val="1"/>
      <w:marLeft w:val="0"/>
      <w:marRight w:val="0"/>
      <w:marTop w:val="0"/>
      <w:marBottom w:val="0"/>
      <w:divBdr>
        <w:top w:val="none" w:sz="0" w:space="0" w:color="auto"/>
        <w:left w:val="none" w:sz="0" w:space="0" w:color="auto"/>
        <w:bottom w:val="none" w:sz="0" w:space="0" w:color="auto"/>
        <w:right w:val="none" w:sz="0" w:space="0" w:color="auto"/>
      </w:divBdr>
    </w:div>
    <w:div w:id="2042894611">
      <w:bodyDiv w:val="1"/>
      <w:marLeft w:val="0"/>
      <w:marRight w:val="0"/>
      <w:marTop w:val="0"/>
      <w:marBottom w:val="0"/>
      <w:divBdr>
        <w:top w:val="none" w:sz="0" w:space="0" w:color="auto"/>
        <w:left w:val="none" w:sz="0" w:space="0" w:color="auto"/>
        <w:bottom w:val="none" w:sz="0" w:space="0" w:color="auto"/>
        <w:right w:val="none" w:sz="0" w:space="0" w:color="auto"/>
      </w:divBdr>
    </w:div>
    <w:div w:id="2070104349">
      <w:bodyDiv w:val="1"/>
      <w:marLeft w:val="0"/>
      <w:marRight w:val="0"/>
      <w:marTop w:val="0"/>
      <w:marBottom w:val="0"/>
      <w:divBdr>
        <w:top w:val="none" w:sz="0" w:space="0" w:color="auto"/>
        <w:left w:val="none" w:sz="0" w:space="0" w:color="auto"/>
        <w:bottom w:val="none" w:sz="0" w:space="0" w:color="auto"/>
        <w:right w:val="none" w:sz="0" w:space="0" w:color="auto"/>
      </w:divBdr>
    </w:div>
    <w:div w:id="2111778548">
      <w:bodyDiv w:val="1"/>
      <w:marLeft w:val="0"/>
      <w:marRight w:val="0"/>
      <w:marTop w:val="0"/>
      <w:marBottom w:val="0"/>
      <w:divBdr>
        <w:top w:val="none" w:sz="0" w:space="0" w:color="auto"/>
        <w:left w:val="none" w:sz="0" w:space="0" w:color="auto"/>
        <w:bottom w:val="none" w:sz="0" w:space="0" w:color="auto"/>
        <w:right w:val="none" w:sz="0" w:space="0" w:color="auto"/>
      </w:divBdr>
    </w:div>
    <w:div w:id="213621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c-csc.ca/case-dossier/info/sum-som-eng.aspx?cas=39233" TargetMode="External"/><Relationship Id="rId18" Type="http://schemas.openxmlformats.org/officeDocument/2006/relationships/hyperlink" Target="https://www.scc-csc.ca/case-dossier/info/sum-som-eng.aspx?cas=39130" TargetMode="External"/><Relationship Id="rId26" Type="http://schemas.openxmlformats.org/officeDocument/2006/relationships/hyperlink" Target="https://www.canlii.org/fr/qc/qccs/doc/2019/2019qccs1413/2019qccs1413.html" TargetMode="External"/><Relationship Id="rId39" Type="http://schemas.openxmlformats.org/officeDocument/2006/relationships/hyperlink" Target="https://www.canlii.org/fr/qc/qccs/doc/2019/2019qccs99/2019qccs99.pdf" TargetMode="External"/><Relationship Id="rId21" Type="http://schemas.openxmlformats.org/officeDocument/2006/relationships/hyperlink" Target="https://www.canlii.org/en/on/onsc/doc/2010/2010onsc3187/2010onsc3187.html?resultIndex=1" TargetMode="External"/><Relationship Id="rId34" Type="http://schemas.openxmlformats.org/officeDocument/2006/relationships/hyperlink" Target="https://www.canlii.org/en/on/onca/doc/2020/2020onca257/2020onca257.html?autocompleteStr=2020%20ONCA%20257&amp;autocompletePos=1" TargetMode="External"/><Relationship Id="rId42" Type="http://schemas.openxmlformats.org/officeDocument/2006/relationships/hyperlink" Target="https://www.canlii.org/en/ab/abca/doc/2020/2020abca159/2020abca159.html?autocompleteStr=2020%20ABCA%20159&amp;autocompletePos=1" TargetMode="External"/><Relationship Id="rId47" Type="http://schemas.openxmlformats.org/officeDocument/2006/relationships/hyperlink" Target="https://www.canlii.org/en/ca/fct/doc/2019/2019fc550/2019fc550.html?autocompleteStr=2019%20FC%20550&amp;autocompletePos=1" TargetMode="External"/><Relationship Id="rId50" Type="http://schemas.openxmlformats.org/officeDocument/2006/relationships/hyperlink" Target="https://www.canlii.org/en/ab/abqb/doc/2019/2019abqb183/2019abqb183.html?resultIndex=1" TargetMode="External"/><Relationship Id="rId55" Type="http://schemas.openxmlformats.org/officeDocument/2006/relationships/hyperlink" Target="https://www.canlii.org/en/ab/abca/doc/2019/2019abca457/2019abca457.html?resultIndex=1" TargetMode="External"/><Relationship Id="rId63" Type="http://schemas.openxmlformats.org/officeDocument/2006/relationships/hyperlink" Target="https://www.canlii.org/en/sk/skqb/doc/2018/2018skqb245/2018skqb245.html?resultIndex=1" TargetMode="External"/><Relationship Id="rId68" Type="http://schemas.openxmlformats.org/officeDocument/2006/relationships/hyperlink" Target="https://www.canlii.org/en/on/onca/doc/2020/2020onca12/2020onca12.html?autocompleteStr=2020%20onca%2012&amp;autocompletePos=1"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scc-csc.ca/case-dossier/info/sum-som-eng.aspx?cas=38788" TargetMode="External"/><Relationship Id="rId29" Type="http://schemas.openxmlformats.org/officeDocument/2006/relationships/hyperlink" Target="https://www.canlii.org/en/sk/skaia/doc/2017/2017skaia39/2017skaia39.html" TargetMode="External"/><Relationship Id="rId11" Type="http://schemas.openxmlformats.org/officeDocument/2006/relationships/hyperlink" Target="https://www.scc-csc.ca/case-dossier/info/sum-som-eng.aspx?cas=39217" TargetMode="External"/><Relationship Id="rId24" Type="http://schemas.openxmlformats.org/officeDocument/2006/relationships/hyperlink" Target="https://www.canlii.org/fr/qc/qcca/doc/2019/2019qcca482/2019qcca482.html" TargetMode="External"/><Relationship Id="rId32" Type="http://schemas.openxmlformats.org/officeDocument/2006/relationships/hyperlink" Target="https://www.canlii.org/en/sk/skca/doc/2020/2020skca53/2020skca53.html?autocompleteStr=2020%20SKCA%2053&amp;autocompletePos=1" TargetMode="External"/><Relationship Id="rId37" Type="http://schemas.openxmlformats.org/officeDocument/2006/relationships/hyperlink" Target="https://www.canlii.org/fr/qc/qccs/doc/2019/2019qccs99/2019qccs99.pdf" TargetMode="External"/><Relationship Id="rId40" Type="http://schemas.openxmlformats.org/officeDocument/2006/relationships/hyperlink" Target="https://www.canlii.org/fr/qc/qcca/doc/2019/2019qcca938/2019qcca938.pdf" TargetMode="External"/><Relationship Id="rId45" Type="http://schemas.openxmlformats.org/officeDocument/2006/relationships/hyperlink" Target="https://www.canlii.org/en/ca/fct/doc/2019/2019fc550/2019fc550.html?autocompleteStr=2019%20FC%20550&amp;autocompletePos=1" TargetMode="External"/><Relationship Id="rId53" Type="http://schemas.openxmlformats.org/officeDocument/2006/relationships/hyperlink" Target="https://www.canlii.org/en/ab/abqb/doc/2018/2018abqb863/2018abqb863.html?resultIndex=1" TargetMode="External"/><Relationship Id="rId58" Type="http://schemas.openxmlformats.org/officeDocument/2006/relationships/hyperlink" Target="https://www.canlii.org/en/on/onca/doc/2019/2019onca609/2019onca609.html?autocompleteStr=2019%20ONCA%20609&amp;autocompletePos=1" TargetMode="External"/><Relationship Id="rId66" Type="http://schemas.openxmlformats.org/officeDocument/2006/relationships/hyperlink" Target="https://www.canlii.org/en/on/onca/doc/2020/2020onca12/2020onca12.html?autocompleteStr=2020%20onca%2012&amp;autocompletePos=1" TargetMode="External"/><Relationship Id="rId7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c-csc.ca/case-dossier/info/sum-som-eng.aspx?cas=39227" TargetMode="External"/><Relationship Id="rId23" Type="http://schemas.openxmlformats.org/officeDocument/2006/relationships/hyperlink" Target="https://www.canlii.org/fr/qc/qccs/doc/2019/2019qccs1413/2019qccs1413.html" TargetMode="External"/><Relationship Id="rId28" Type="http://schemas.openxmlformats.org/officeDocument/2006/relationships/hyperlink" Target="https://www.canlii.org/fr/qc/qcca/doc/2019/2019qcca1105/2019qcca1105.html" TargetMode="External"/><Relationship Id="rId36" Type="http://schemas.openxmlformats.org/officeDocument/2006/relationships/hyperlink" Target="https://www.canlii.org/en/on/onca/doc/2020/2020onca257/2020onca257.html?autocompleteStr=2020%20ONCA%20257&amp;autocompletePos=1" TargetMode="External"/><Relationship Id="rId49" Type="http://schemas.openxmlformats.org/officeDocument/2006/relationships/hyperlink" Target="https://www.canlii.org/en/ab/abqb/doc/2018/2018abqb863/2018abqb863.html?resultIndex=1" TargetMode="External"/><Relationship Id="rId57" Type="http://schemas.openxmlformats.org/officeDocument/2006/relationships/hyperlink" Target="https://www.canlii.org/en/on/onsc/doc/2018/2018onsc966/2018onsc966.html?autocompleteStr=2018%20ONSC%20966&amp;autocompletePos=1" TargetMode="External"/><Relationship Id="rId61" Type="http://schemas.openxmlformats.org/officeDocument/2006/relationships/hyperlink" Target="https://www.canlii.org/en/sk/skqb/doc/2018/2018skqb245/2018skqb245.html?resultIndex=1" TargetMode="External"/><Relationship Id="rId10" Type="http://schemas.openxmlformats.org/officeDocument/2006/relationships/hyperlink" Target="https://www.scc-csc.ca/case-dossier/info/sum-som-eng.aspx?cas=39239" TargetMode="External"/><Relationship Id="rId19" Type="http://schemas.openxmlformats.org/officeDocument/2006/relationships/hyperlink" Target="https://www.canlii.org/en/on/onsc/doc/2010/2010onsc3187/2010onsc3187.html?resultIndex=1" TargetMode="External"/><Relationship Id="rId31" Type="http://schemas.openxmlformats.org/officeDocument/2006/relationships/hyperlink" Target="https://www.canlii.org/en/sk/skaia/doc/2017/2017skaia39/2017skaia39.html" TargetMode="External"/><Relationship Id="rId44" Type="http://schemas.openxmlformats.org/officeDocument/2006/relationships/hyperlink" Target="https://www.canlii.org/en/ab/abca/doc/2020/2020abca159/2020abca159.html?autocompleteStr=2020%20ABCA%20159&amp;autocompletePos=1" TargetMode="External"/><Relationship Id="rId52" Type="http://schemas.openxmlformats.org/officeDocument/2006/relationships/hyperlink" Target="https://www.canlii.org/en/ab/abca/doc/2019/2019abca458/2019abca458.html?resultIndex=1" TargetMode="External"/><Relationship Id="rId60" Type="http://schemas.openxmlformats.org/officeDocument/2006/relationships/hyperlink" Target="https://www.canlii.org/en/on/onca/doc/2019/2019onca609/2019onca609.html?autocompleteStr=2019%20ONCA%20609&amp;autocompletePos=1" TargetMode="External"/><Relationship Id="rId65" Type="http://schemas.openxmlformats.org/officeDocument/2006/relationships/hyperlink" Target="https://www.canlii.org/en/on/onsc/doc/2019/2019onsc1445/2019onsc1445.html" TargetMode="External"/><Relationship Id="rId73"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cc-csc.ca/case-dossier/info/sum-som-fra.aspx?cas=39307" TargetMode="External"/><Relationship Id="rId14" Type="http://schemas.openxmlformats.org/officeDocument/2006/relationships/hyperlink" Target="https://www.scc-csc.ca/case-dossier/info/sum-som-eng.aspx?cas=39251" TargetMode="External"/><Relationship Id="rId22" Type="http://schemas.openxmlformats.org/officeDocument/2006/relationships/hyperlink" Target="https://www.canlii.org/en/on/onca/doc/2020/2020onca287/2020onca287.html?resultIndex=1" TargetMode="External"/><Relationship Id="rId27" Type="http://schemas.openxmlformats.org/officeDocument/2006/relationships/hyperlink" Target="https://www.canlii.org/fr/qc/qcca/doc/2019/2019qcca482/2019qcca482.html" TargetMode="External"/><Relationship Id="rId30" Type="http://schemas.openxmlformats.org/officeDocument/2006/relationships/hyperlink" Target="https://www.canlii.org/en/sk/skca/doc/2020/2020skca53/2020skca53.html?autocompleteStr=2020%20SKCA%2053&amp;autocompletePos=1" TargetMode="External"/><Relationship Id="rId35" Type="http://schemas.openxmlformats.org/officeDocument/2006/relationships/hyperlink" Target="https://www.canlii.org/en/on/onsc/doc/2019/2019onsc794/2019onsc794.html?autocompleteStr=2019%20ONSC%20794&amp;autocompletePos=1" TargetMode="External"/><Relationship Id="rId43" Type="http://schemas.openxmlformats.org/officeDocument/2006/relationships/hyperlink" Target="https://www.canlii.org/en/ab/abqb/doc/2018/2018abqb276/2018abqb276.html" TargetMode="External"/><Relationship Id="rId48" Type="http://schemas.openxmlformats.org/officeDocument/2006/relationships/hyperlink" Target="https://www.canlii.org/en/ca/fca/doc/2019/2019fca316/2019fca316.html" TargetMode="External"/><Relationship Id="rId56" Type="http://schemas.openxmlformats.org/officeDocument/2006/relationships/hyperlink" Target="https://www.canlii.org/en/ab/abca/doc/2019/2019abca458/2019abca458.html?resultIndex=1" TargetMode="External"/><Relationship Id="rId64" Type="http://schemas.openxmlformats.org/officeDocument/2006/relationships/hyperlink" Target="https://www.canlii.org/en/sk/skca/doc/2020/2020skca38/2020skca38.html" TargetMode="External"/><Relationship Id="rId69" Type="http://schemas.openxmlformats.org/officeDocument/2006/relationships/hyperlink" Target="mailto:comments-commentaires@scc-csc.ca" TargetMode="External"/><Relationship Id="rId77" Type="http://schemas.openxmlformats.org/officeDocument/2006/relationships/theme" Target="theme/theme1.xml"/><Relationship Id="rId8" Type="http://schemas.openxmlformats.org/officeDocument/2006/relationships/hyperlink" Target="https://www.scc-csc.ca/case-dossier/info/sum-som-eng.aspx?cas=39243" TargetMode="External"/><Relationship Id="rId51" Type="http://schemas.openxmlformats.org/officeDocument/2006/relationships/hyperlink" Target="https://www.canlii.org/en/ab/abca/doc/2019/2019abca457/2019abca457.html?resultIndex=1"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scc-csc.ca/case-dossier/info/sum-som-fra.aspx?cas=39178" TargetMode="External"/><Relationship Id="rId17" Type="http://schemas.openxmlformats.org/officeDocument/2006/relationships/hyperlink" Target="https://www.scc-csc.ca/case-dossier/info/sum-som-eng.aspx?cas=39207" TargetMode="External"/><Relationship Id="rId25" Type="http://schemas.openxmlformats.org/officeDocument/2006/relationships/hyperlink" Target="https://www.canlii.org/fr/qc/qcca/doc/2019/2019qcca1105/2019qcca1105.html" TargetMode="External"/><Relationship Id="rId33" Type="http://schemas.openxmlformats.org/officeDocument/2006/relationships/hyperlink" Target="https://www.canlii.org/en/on/onsc/doc/2019/2019onsc794/2019onsc794.html?autocompleteStr=2019%20ONSC%20794&amp;autocompletePos=1" TargetMode="External"/><Relationship Id="rId38" Type="http://schemas.openxmlformats.org/officeDocument/2006/relationships/hyperlink" Target="https://www.canlii.org/fr/qc/qcca/doc/2019/2019qcca938/2019qcca938.pdf" TargetMode="External"/><Relationship Id="rId46" Type="http://schemas.openxmlformats.org/officeDocument/2006/relationships/hyperlink" Target="https://www.canlii.org/en/ca/fca/doc/2019/2019fca316/2019fca316.html" TargetMode="External"/><Relationship Id="rId59" Type="http://schemas.openxmlformats.org/officeDocument/2006/relationships/hyperlink" Target="https://www.canlii.org/en/on/onsc/doc/2018/2018onsc966/2018onsc966.html?autocompleteStr=2018%20ONSC%20966&amp;autocompletePos=1" TargetMode="External"/><Relationship Id="rId67" Type="http://schemas.openxmlformats.org/officeDocument/2006/relationships/hyperlink" Target="https://www.canlii.org/en/on/onsc/doc/2019/2019onsc1445/2019onsc1445.html" TargetMode="External"/><Relationship Id="rId20" Type="http://schemas.openxmlformats.org/officeDocument/2006/relationships/hyperlink" Target="https://www.canlii.org/en/on/onca/doc/2020/2020onca287/2020onca287.html?resultIndex=1" TargetMode="External"/><Relationship Id="rId41" Type="http://schemas.openxmlformats.org/officeDocument/2006/relationships/hyperlink" Target="https://www.canlii.org/en/ab/abqb/doc/2018/2018abqb276/2018abqb276.html" TargetMode="External"/><Relationship Id="rId54" Type="http://schemas.openxmlformats.org/officeDocument/2006/relationships/hyperlink" Target="https://www.canlii.org/en/ab/abqb/doc/2019/2019abqb183/2019abqb183.html?resultIndex=1" TargetMode="External"/><Relationship Id="rId62" Type="http://schemas.openxmlformats.org/officeDocument/2006/relationships/hyperlink" Target="https://www.canlii.org/en/sk/skca/doc/2020/2020skca38/2020skca38.html" TargetMode="External"/><Relationship Id="rId70" Type="http://schemas.openxmlformats.org/officeDocument/2006/relationships/header" Target="header1.xml"/><Relationship Id="rId75"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649B25-57B1-4CDA-8F64-B09188A86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10115</Words>
  <Characters>57660</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67640</CharactersWithSpaces>
  <SharedDoc>false</SharedDoc>
  <HLinks>
    <vt:vector size="96" baseType="variant">
      <vt:variant>
        <vt:i4>524364</vt:i4>
      </vt:variant>
      <vt:variant>
        <vt:i4>47</vt:i4>
      </vt:variant>
      <vt:variant>
        <vt:i4>0</vt:i4>
      </vt:variant>
      <vt:variant>
        <vt:i4>5</vt:i4>
      </vt:variant>
      <vt:variant>
        <vt:lpwstr>http://www.scc-csc.gc.ca/news-nouv/rel-com/subs-abon-fra.aspx</vt:lpwstr>
      </vt:variant>
      <vt:variant>
        <vt:lpwstr/>
      </vt:variant>
      <vt:variant>
        <vt:i4>852048</vt:i4>
      </vt:variant>
      <vt:variant>
        <vt:i4>44</vt:i4>
      </vt:variant>
      <vt:variant>
        <vt:i4>0</vt:i4>
      </vt:variant>
      <vt:variant>
        <vt:i4>5</vt:i4>
      </vt:variant>
      <vt:variant>
        <vt:lpwstr>http://www.scc-csc.gc.ca/news-nouv/rel-com/subs-abon-eng.aspx</vt:lpwstr>
      </vt:variant>
      <vt:variant>
        <vt:lpwstr/>
      </vt:variant>
      <vt:variant>
        <vt:i4>3080213</vt:i4>
      </vt:variant>
      <vt:variant>
        <vt:i4>41</vt:i4>
      </vt:variant>
      <vt:variant>
        <vt:i4>0</vt:i4>
      </vt:variant>
      <vt:variant>
        <vt:i4>5</vt:i4>
      </vt:variant>
      <vt:variant>
        <vt:lpwstr>mailto:comments-commentaires@scc-csc.ca</vt:lpwstr>
      </vt:variant>
      <vt:variant>
        <vt:lpwstr/>
      </vt:variant>
      <vt:variant>
        <vt:i4>983045</vt:i4>
      </vt:variant>
      <vt:variant>
        <vt:i4>38</vt:i4>
      </vt:variant>
      <vt:variant>
        <vt:i4>0</vt:i4>
      </vt:variant>
      <vt:variant>
        <vt:i4>5</vt:i4>
      </vt:variant>
      <vt:variant>
        <vt:lpwstr>http://www.scc-csc.gc.ca/case-dossier/info/sum-som-eng.aspx?cas=36302</vt:lpwstr>
      </vt:variant>
      <vt:variant>
        <vt:lpwstr/>
      </vt:variant>
      <vt:variant>
        <vt:i4>917509</vt:i4>
      </vt:variant>
      <vt:variant>
        <vt:i4>35</vt:i4>
      </vt:variant>
      <vt:variant>
        <vt:i4>0</vt:i4>
      </vt:variant>
      <vt:variant>
        <vt:i4>5</vt:i4>
      </vt:variant>
      <vt:variant>
        <vt:lpwstr>http://www.scc-csc.gc.ca/case-dossier/info/sum-som-eng.aspx?cas=36316</vt:lpwstr>
      </vt:variant>
      <vt:variant>
        <vt:lpwstr/>
      </vt:variant>
      <vt:variant>
        <vt:i4>655364</vt:i4>
      </vt:variant>
      <vt:variant>
        <vt:i4>32</vt:i4>
      </vt:variant>
      <vt:variant>
        <vt:i4>0</vt:i4>
      </vt:variant>
      <vt:variant>
        <vt:i4>5</vt:i4>
      </vt:variant>
      <vt:variant>
        <vt:lpwstr>http://www.scc-csc.gc.ca/case-dossier/info/sum-som-eng.aspx?cas=36258</vt:lpwstr>
      </vt:variant>
      <vt:variant>
        <vt:lpwstr/>
      </vt:variant>
      <vt:variant>
        <vt:i4>851973</vt:i4>
      </vt:variant>
      <vt:variant>
        <vt:i4>29</vt:i4>
      </vt:variant>
      <vt:variant>
        <vt:i4>0</vt:i4>
      </vt:variant>
      <vt:variant>
        <vt:i4>5</vt:i4>
      </vt:variant>
      <vt:variant>
        <vt:lpwstr>http://www.scc-csc.gc.ca/case-dossier/info/sum-som-eng.aspx?cas=36324</vt:lpwstr>
      </vt:variant>
      <vt:variant>
        <vt:lpwstr/>
      </vt:variant>
      <vt:variant>
        <vt:i4>720901</vt:i4>
      </vt:variant>
      <vt:variant>
        <vt:i4>26</vt:i4>
      </vt:variant>
      <vt:variant>
        <vt:i4>0</vt:i4>
      </vt:variant>
      <vt:variant>
        <vt:i4>5</vt:i4>
      </vt:variant>
      <vt:variant>
        <vt:lpwstr>http://www.scc-csc.gc.ca/case-dossier/info/sum-som-eng.aspx?cas=36346</vt:lpwstr>
      </vt:variant>
      <vt:variant>
        <vt:lpwstr/>
      </vt:variant>
      <vt:variant>
        <vt:i4>524295</vt:i4>
      </vt:variant>
      <vt:variant>
        <vt:i4>23</vt:i4>
      </vt:variant>
      <vt:variant>
        <vt:i4>0</vt:i4>
      </vt:variant>
      <vt:variant>
        <vt:i4>5</vt:i4>
      </vt:variant>
      <vt:variant>
        <vt:lpwstr>http://www.scc-csc.gc.ca/case-dossier/info/sum-som-eng.aspx?cas=36174</vt:lpwstr>
      </vt:variant>
      <vt:variant>
        <vt:lpwstr/>
      </vt:variant>
      <vt:variant>
        <vt:i4>851992</vt:i4>
      </vt:variant>
      <vt:variant>
        <vt:i4>20</vt:i4>
      </vt:variant>
      <vt:variant>
        <vt:i4>0</vt:i4>
      </vt:variant>
      <vt:variant>
        <vt:i4>5</vt:i4>
      </vt:variant>
      <vt:variant>
        <vt:lpwstr>http://www.scc-csc.gc.ca/case-dossier/info/sum-som-fra.aspx?cas=36275</vt:lpwstr>
      </vt:variant>
      <vt:variant>
        <vt:lpwstr/>
      </vt:variant>
      <vt:variant>
        <vt:i4>786456</vt:i4>
      </vt:variant>
      <vt:variant>
        <vt:i4>17</vt:i4>
      </vt:variant>
      <vt:variant>
        <vt:i4>0</vt:i4>
      </vt:variant>
      <vt:variant>
        <vt:i4>5</vt:i4>
      </vt:variant>
      <vt:variant>
        <vt:lpwstr>http://www.scc-csc.gc.ca/case-dossier/info/sum-som-fra.aspx?cas=36261</vt:lpwstr>
      </vt:variant>
      <vt:variant>
        <vt:lpwstr/>
      </vt:variant>
      <vt:variant>
        <vt:i4>917509</vt:i4>
      </vt:variant>
      <vt:variant>
        <vt:i4>14</vt:i4>
      </vt:variant>
      <vt:variant>
        <vt:i4>0</vt:i4>
      </vt:variant>
      <vt:variant>
        <vt:i4>5</vt:i4>
      </vt:variant>
      <vt:variant>
        <vt:lpwstr>http://www.scc-csc.gc.ca/case-dossier/info/sum-som-eng.aspx?cas=36313</vt:lpwstr>
      </vt:variant>
      <vt:variant>
        <vt:lpwstr/>
      </vt:variant>
      <vt:variant>
        <vt:i4>720901</vt:i4>
      </vt:variant>
      <vt:variant>
        <vt:i4>11</vt:i4>
      </vt:variant>
      <vt:variant>
        <vt:i4>0</vt:i4>
      </vt:variant>
      <vt:variant>
        <vt:i4>5</vt:i4>
      </vt:variant>
      <vt:variant>
        <vt:lpwstr>http://www.scc-csc.gc.ca/case-dossier/info/sum-som-eng.aspx?cas=36349</vt:lpwstr>
      </vt:variant>
      <vt:variant>
        <vt:lpwstr/>
      </vt:variant>
      <vt:variant>
        <vt:i4>917528</vt:i4>
      </vt:variant>
      <vt:variant>
        <vt:i4>8</vt:i4>
      </vt:variant>
      <vt:variant>
        <vt:i4>0</vt:i4>
      </vt:variant>
      <vt:variant>
        <vt:i4>5</vt:i4>
      </vt:variant>
      <vt:variant>
        <vt:lpwstr>http://www.scc-csc.gc.ca/case-dossier/info/sum-som-fra.aspx?cas=36244</vt:lpwstr>
      </vt:variant>
      <vt:variant>
        <vt:lpwstr/>
      </vt:variant>
      <vt:variant>
        <vt:i4>2293820</vt:i4>
      </vt:variant>
      <vt:variant>
        <vt:i4>5</vt:i4>
      </vt:variant>
      <vt:variant>
        <vt:i4>0</vt:i4>
      </vt:variant>
      <vt:variant>
        <vt:i4>5</vt:i4>
      </vt:variant>
      <vt:variant>
        <vt:lpwstr>http://scc-csc.lexum.com/scc-csc/news/fr/item/4920/index.do</vt:lpwstr>
      </vt:variant>
      <vt:variant>
        <vt:lpwstr/>
      </vt:variant>
      <vt:variant>
        <vt:i4>4128831</vt:i4>
      </vt:variant>
      <vt:variant>
        <vt:i4>2</vt:i4>
      </vt:variant>
      <vt:variant>
        <vt:i4>0</vt:i4>
      </vt:variant>
      <vt:variant>
        <vt:i4>5</vt:i4>
      </vt:variant>
      <vt:variant>
        <vt:lpwstr>http://scc-csc.lexum.com/scc-csc/news/en/item/4920/index.do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2019-12-17T19:10:00Z</dcterms:created>
  <dcterms:modified xsi:type="dcterms:W3CDTF">2020-11-06T18:55:00Z</dcterms:modified>
</cp:coreProperties>
</file>