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81272" w:rsidRDefault="003F43E6" w:rsidP="00CC5785">
      <w:pPr>
        <w:pStyle w:val="Header"/>
        <w:jc w:val="center"/>
        <w:rPr>
          <w:b/>
          <w:sz w:val="32"/>
        </w:rPr>
      </w:pPr>
      <w:r w:rsidRPr="00181272">
        <w:rPr>
          <w:b/>
          <w:sz w:val="32"/>
        </w:rPr>
        <w:t>Supreme Court of Canada / Cour suprême du Canada</w:t>
      </w:r>
    </w:p>
    <w:p w:rsidR="003F43E6" w:rsidRPr="00181272" w:rsidRDefault="003F43E6" w:rsidP="00CC5785">
      <w:pPr>
        <w:widowControl w:val="0"/>
        <w:rPr>
          <w:i/>
        </w:rPr>
      </w:pPr>
    </w:p>
    <w:p w:rsidR="003F43E6" w:rsidRPr="00181272" w:rsidRDefault="003F43E6" w:rsidP="00CC5785">
      <w:pPr>
        <w:widowControl w:val="0"/>
        <w:rPr>
          <w:i/>
        </w:rPr>
      </w:pPr>
    </w:p>
    <w:p w:rsidR="006F2579" w:rsidRPr="00181272" w:rsidRDefault="006F2579" w:rsidP="00CC5785">
      <w:pPr>
        <w:widowControl w:val="0"/>
        <w:rPr>
          <w:i/>
          <w:sz w:val="20"/>
          <w:lang w:val="fr-CA"/>
        </w:rPr>
      </w:pPr>
      <w:r w:rsidRPr="00181272">
        <w:rPr>
          <w:i/>
          <w:sz w:val="20"/>
          <w:lang w:val="fr-CA"/>
        </w:rPr>
        <w:t>(</w:t>
      </w:r>
      <w:r w:rsidR="008F3C5D" w:rsidRPr="00181272">
        <w:rPr>
          <w:i/>
          <w:sz w:val="20"/>
          <w:lang w:val="fr-CA"/>
        </w:rPr>
        <w:t>L</w:t>
      </w:r>
      <w:r w:rsidRPr="00181272">
        <w:rPr>
          <w:i/>
          <w:sz w:val="20"/>
          <w:lang w:val="fr-CA"/>
        </w:rPr>
        <w:t>e français suit)</w:t>
      </w:r>
    </w:p>
    <w:p w:rsidR="006F2579" w:rsidRPr="00181272" w:rsidRDefault="006F2579" w:rsidP="00CC5785">
      <w:pPr>
        <w:widowControl w:val="0"/>
        <w:rPr>
          <w:lang w:val="fr-CA"/>
        </w:rPr>
      </w:pPr>
    </w:p>
    <w:p w:rsidR="006F2579" w:rsidRPr="00181272" w:rsidRDefault="00C007C3" w:rsidP="00CC5785">
      <w:pPr>
        <w:widowControl w:val="0"/>
        <w:jc w:val="center"/>
        <w:rPr>
          <w:b/>
          <w:lang w:val="fr-CA"/>
        </w:rPr>
      </w:pPr>
      <w:r w:rsidRPr="00181272">
        <w:fldChar w:fldCharType="begin"/>
      </w:r>
      <w:r w:rsidR="006F2579" w:rsidRPr="00181272">
        <w:rPr>
          <w:lang w:val="fr-CA"/>
        </w:rPr>
        <w:instrText xml:space="preserve"> SEQ CHAPTER \h \r 1</w:instrText>
      </w:r>
      <w:r w:rsidRPr="00181272">
        <w:fldChar w:fldCharType="end"/>
      </w:r>
      <w:r w:rsidR="002767DF" w:rsidRPr="00181272">
        <w:rPr>
          <w:b/>
          <w:lang w:val="fr-CA"/>
        </w:rPr>
        <w:t xml:space="preserve">JUDGMENTS </w:t>
      </w:r>
      <w:r w:rsidR="004C4C26" w:rsidRPr="00181272">
        <w:rPr>
          <w:b/>
          <w:lang w:val="fr-CA"/>
        </w:rPr>
        <w:t>IN LEAVE APPLICATION</w:t>
      </w:r>
      <w:r w:rsidR="002375D8" w:rsidRPr="00181272">
        <w:rPr>
          <w:b/>
          <w:lang w:val="fr-CA"/>
        </w:rPr>
        <w:t>S</w:t>
      </w:r>
    </w:p>
    <w:p w:rsidR="006F2579" w:rsidRPr="00181272" w:rsidRDefault="006F2579" w:rsidP="00CC5785">
      <w:pPr>
        <w:widowControl w:val="0"/>
        <w:rPr>
          <w:lang w:val="fr-CA"/>
        </w:rPr>
      </w:pPr>
    </w:p>
    <w:p w:rsidR="006F2579" w:rsidRPr="00181272" w:rsidRDefault="005A4DC5" w:rsidP="00CC5785">
      <w:pPr>
        <w:widowControl w:val="0"/>
      </w:pPr>
      <w:r w:rsidRPr="00181272">
        <w:rPr>
          <w:b/>
        </w:rPr>
        <w:t>November</w:t>
      </w:r>
      <w:r w:rsidR="00221A4C" w:rsidRPr="00181272">
        <w:rPr>
          <w:b/>
        </w:rPr>
        <w:t xml:space="preserve"> </w:t>
      </w:r>
      <w:r w:rsidRPr="00181272">
        <w:rPr>
          <w:b/>
        </w:rPr>
        <w:t>1</w:t>
      </w:r>
      <w:r w:rsidR="002A1B17" w:rsidRPr="00181272">
        <w:rPr>
          <w:b/>
        </w:rPr>
        <w:t>2</w:t>
      </w:r>
      <w:r w:rsidR="00435430" w:rsidRPr="00181272">
        <w:rPr>
          <w:b/>
        </w:rPr>
        <w:t>,</w:t>
      </w:r>
      <w:r w:rsidR="008825DB" w:rsidRPr="00181272">
        <w:rPr>
          <w:b/>
        </w:rPr>
        <w:t xml:space="preserve"> 20</w:t>
      </w:r>
      <w:r w:rsidR="002902CC" w:rsidRPr="00181272">
        <w:rPr>
          <w:b/>
        </w:rPr>
        <w:t>20</w:t>
      </w:r>
      <w:bookmarkStart w:id="0" w:name="_GoBack"/>
      <w:bookmarkEnd w:id="0"/>
    </w:p>
    <w:p w:rsidR="006F2579" w:rsidRPr="00181272" w:rsidRDefault="006F2579" w:rsidP="00CC5785">
      <w:pPr>
        <w:widowControl w:val="0"/>
        <w:rPr>
          <w:b/>
        </w:rPr>
      </w:pPr>
      <w:r w:rsidRPr="00181272">
        <w:rPr>
          <w:b/>
        </w:rPr>
        <w:t>For immediate release</w:t>
      </w:r>
    </w:p>
    <w:p w:rsidR="006F2579" w:rsidRPr="00181272" w:rsidRDefault="006F2579" w:rsidP="00CC5785">
      <w:pPr>
        <w:widowControl w:val="0"/>
      </w:pPr>
    </w:p>
    <w:p w:rsidR="002767DF" w:rsidRPr="00181272" w:rsidRDefault="002767DF" w:rsidP="00CC5785">
      <w:pPr>
        <w:widowControl w:val="0"/>
      </w:pPr>
      <w:r w:rsidRPr="00181272">
        <w:rPr>
          <w:b/>
        </w:rPr>
        <w:t>OTTAWA</w:t>
      </w:r>
      <w:r w:rsidRPr="00181272">
        <w:t xml:space="preserve"> – The Suprem</w:t>
      </w:r>
      <w:r w:rsidR="00580213" w:rsidRPr="00181272">
        <w:t>e</w:t>
      </w:r>
      <w:r w:rsidRPr="00181272">
        <w:t xml:space="preserve"> Court of Canada has today deposited with the Registrar judgment</w:t>
      </w:r>
      <w:r w:rsidR="004D3B41" w:rsidRPr="00181272">
        <w:t>s</w:t>
      </w:r>
      <w:r w:rsidRPr="00181272">
        <w:t xml:space="preserve"> in the following </w:t>
      </w:r>
      <w:r w:rsidR="00063949" w:rsidRPr="00181272">
        <w:t xml:space="preserve">leave </w:t>
      </w:r>
      <w:r w:rsidRPr="00181272">
        <w:t>application</w:t>
      </w:r>
      <w:r w:rsidR="00CC044F" w:rsidRPr="00181272">
        <w:t>s</w:t>
      </w:r>
      <w:r w:rsidRPr="00181272">
        <w:t>.</w:t>
      </w:r>
    </w:p>
    <w:p w:rsidR="006F2579" w:rsidRPr="00181272" w:rsidRDefault="006F2579" w:rsidP="00CC5785">
      <w:pPr>
        <w:widowControl w:val="0"/>
      </w:pPr>
    </w:p>
    <w:p w:rsidR="006F2579" w:rsidRPr="00181272" w:rsidRDefault="006F2579" w:rsidP="00CC5785">
      <w:pPr>
        <w:widowControl w:val="0"/>
      </w:pPr>
    </w:p>
    <w:p w:rsidR="002767DF" w:rsidRPr="00181272" w:rsidRDefault="002767DF" w:rsidP="00CC5785">
      <w:pPr>
        <w:widowControl w:val="0"/>
        <w:jc w:val="center"/>
        <w:rPr>
          <w:lang w:val="fr-CA"/>
        </w:rPr>
      </w:pPr>
      <w:r w:rsidRPr="00181272">
        <w:rPr>
          <w:b/>
          <w:lang w:val="fr-CA"/>
        </w:rPr>
        <w:t>JUGEMENT</w:t>
      </w:r>
      <w:r w:rsidR="004C4C26" w:rsidRPr="00181272">
        <w:rPr>
          <w:b/>
          <w:lang w:val="fr-CA"/>
        </w:rPr>
        <w:t>S SUR DEMANDE</w:t>
      </w:r>
      <w:r w:rsidR="00CC044F" w:rsidRPr="00181272">
        <w:rPr>
          <w:b/>
          <w:lang w:val="fr-CA"/>
        </w:rPr>
        <w:t>S</w:t>
      </w:r>
      <w:r w:rsidRPr="00181272">
        <w:rPr>
          <w:b/>
          <w:lang w:val="fr-CA"/>
        </w:rPr>
        <w:t xml:space="preserve"> D’AUTORISATION</w:t>
      </w:r>
    </w:p>
    <w:p w:rsidR="006F2579" w:rsidRPr="00181272" w:rsidRDefault="006F2579" w:rsidP="00CC5785">
      <w:pPr>
        <w:widowControl w:val="0"/>
        <w:rPr>
          <w:lang w:val="fr-CA"/>
        </w:rPr>
      </w:pPr>
    </w:p>
    <w:p w:rsidR="006F2579" w:rsidRPr="00181272" w:rsidRDefault="006F2579" w:rsidP="00CC5785">
      <w:pPr>
        <w:widowControl w:val="0"/>
        <w:rPr>
          <w:lang w:val="fr-CA"/>
        </w:rPr>
      </w:pPr>
      <w:r w:rsidRPr="00181272">
        <w:rPr>
          <w:b/>
          <w:lang w:val="fr-CA"/>
        </w:rPr>
        <w:t>Le</w:t>
      </w:r>
      <w:r w:rsidR="008825DB" w:rsidRPr="00181272">
        <w:rPr>
          <w:b/>
          <w:lang w:val="fr-CA"/>
        </w:rPr>
        <w:t xml:space="preserve"> </w:t>
      </w:r>
      <w:r w:rsidR="005A4DC5" w:rsidRPr="00181272">
        <w:rPr>
          <w:b/>
          <w:lang w:val="fr-CA"/>
        </w:rPr>
        <w:t>1</w:t>
      </w:r>
      <w:r w:rsidR="002A1B17" w:rsidRPr="00181272">
        <w:rPr>
          <w:b/>
          <w:lang w:val="fr-CA"/>
        </w:rPr>
        <w:t>2</w:t>
      </w:r>
      <w:r w:rsidR="00CC0432" w:rsidRPr="00181272">
        <w:rPr>
          <w:b/>
          <w:lang w:val="fr-CA"/>
        </w:rPr>
        <w:t xml:space="preserve"> </w:t>
      </w:r>
      <w:r w:rsidR="005A4DC5" w:rsidRPr="00181272">
        <w:rPr>
          <w:b/>
          <w:lang w:val="fr-CA"/>
        </w:rPr>
        <w:t>novembre</w:t>
      </w:r>
      <w:r w:rsidR="004E4B02" w:rsidRPr="00181272">
        <w:rPr>
          <w:b/>
          <w:lang w:val="fr-CA"/>
        </w:rPr>
        <w:t xml:space="preserve"> </w:t>
      </w:r>
      <w:r w:rsidR="008825DB" w:rsidRPr="00181272">
        <w:rPr>
          <w:b/>
          <w:lang w:val="fr-CA"/>
        </w:rPr>
        <w:t>20</w:t>
      </w:r>
      <w:r w:rsidR="002902CC" w:rsidRPr="00181272">
        <w:rPr>
          <w:b/>
          <w:lang w:val="fr-CA"/>
        </w:rPr>
        <w:t>20</w:t>
      </w:r>
    </w:p>
    <w:p w:rsidR="006F2579" w:rsidRPr="00181272" w:rsidRDefault="006F2579" w:rsidP="00CC5785">
      <w:pPr>
        <w:widowControl w:val="0"/>
        <w:rPr>
          <w:b/>
          <w:lang w:val="fr-CA"/>
        </w:rPr>
      </w:pPr>
      <w:r w:rsidRPr="00181272">
        <w:rPr>
          <w:b/>
          <w:lang w:val="fr-CA"/>
        </w:rPr>
        <w:t>Pour diffusion immédiate</w:t>
      </w:r>
    </w:p>
    <w:p w:rsidR="006F2579" w:rsidRPr="00181272" w:rsidRDefault="006F2579" w:rsidP="00CC5785">
      <w:pPr>
        <w:widowControl w:val="0"/>
        <w:rPr>
          <w:lang w:val="fr-CA"/>
        </w:rPr>
      </w:pPr>
    </w:p>
    <w:p w:rsidR="002767DF" w:rsidRPr="00181272" w:rsidRDefault="002767DF" w:rsidP="00CC5785">
      <w:pPr>
        <w:widowControl w:val="0"/>
        <w:rPr>
          <w:lang w:val="fr-CA"/>
        </w:rPr>
      </w:pPr>
      <w:r w:rsidRPr="00181272">
        <w:rPr>
          <w:b/>
          <w:lang w:val="fr-CA"/>
        </w:rPr>
        <w:t>OTTAWA</w:t>
      </w:r>
      <w:r w:rsidRPr="00181272">
        <w:rPr>
          <w:lang w:val="fr-CA"/>
        </w:rPr>
        <w:t xml:space="preserve"> – La Cour suprême du Canada a déposé aujourd’hui auprès du registraire les jugements dans </w:t>
      </w:r>
      <w:r w:rsidR="00CC044F" w:rsidRPr="00181272">
        <w:rPr>
          <w:lang w:val="fr-CA"/>
        </w:rPr>
        <w:t>les</w:t>
      </w:r>
      <w:r w:rsidR="008C7CD9" w:rsidRPr="00181272">
        <w:rPr>
          <w:lang w:val="fr-CA"/>
        </w:rPr>
        <w:t xml:space="preserve"> </w:t>
      </w:r>
      <w:r w:rsidR="004C4C26" w:rsidRPr="00181272">
        <w:rPr>
          <w:lang w:val="fr-CA"/>
        </w:rPr>
        <w:t>demande</w:t>
      </w:r>
      <w:r w:rsidR="0088435A" w:rsidRPr="00181272">
        <w:rPr>
          <w:lang w:val="fr-CA"/>
        </w:rPr>
        <w:t>s</w:t>
      </w:r>
      <w:r w:rsidRPr="00181272">
        <w:rPr>
          <w:lang w:val="fr-CA"/>
        </w:rPr>
        <w:t xml:space="preserve"> d’au</w:t>
      </w:r>
      <w:r w:rsidR="00F24EF2" w:rsidRPr="00181272">
        <w:rPr>
          <w:lang w:val="fr-CA"/>
        </w:rPr>
        <w:t xml:space="preserve">torisation </w:t>
      </w:r>
      <w:r w:rsidR="007F2922" w:rsidRPr="00181272">
        <w:rPr>
          <w:lang w:val="fr-CA"/>
        </w:rPr>
        <w:t>sui</w:t>
      </w:r>
      <w:r w:rsidR="00F24EF2" w:rsidRPr="00181272">
        <w:rPr>
          <w:lang w:val="fr-CA"/>
        </w:rPr>
        <w:t>v</w:t>
      </w:r>
      <w:r w:rsidR="007F2922" w:rsidRPr="00181272">
        <w:rPr>
          <w:lang w:val="fr-CA"/>
        </w:rPr>
        <w:t>a</w:t>
      </w:r>
      <w:r w:rsidR="00F24EF2" w:rsidRPr="00181272">
        <w:rPr>
          <w:lang w:val="fr-CA"/>
        </w:rPr>
        <w:t>nt</w:t>
      </w:r>
      <w:r w:rsidR="00C56657" w:rsidRPr="00181272">
        <w:rPr>
          <w:lang w:val="fr-CA"/>
        </w:rPr>
        <w:t>s</w:t>
      </w:r>
      <w:r w:rsidR="00F24EF2" w:rsidRPr="00181272">
        <w:rPr>
          <w:lang w:val="fr-CA"/>
        </w:rPr>
        <w:t>.</w:t>
      </w:r>
    </w:p>
    <w:p w:rsidR="00694BDA" w:rsidRPr="00181272" w:rsidRDefault="00694BDA" w:rsidP="00CC5785">
      <w:pPr>
        <w:jc w:val="both"/>
        <w:rPr>
          <w:sz w:val="20"/>
          <w:lang w:val="fr-CA"/>
        </w:rPr>
      </w:pPr>
    </w:p>
    <w:p w:rsidR="00DA0759" w:rsidRPr="00181272" w:rsidRDefault="00CC5785" w:rsidP="00CC5785">
      <w:pPr>
        <w:jc w:val="both"/>
        <w:rPr>
          <w:sz w:val="20"/>
          <w:lang w:val="fr-CA"/>
        </w:rPr>
      </w:pPr>
      <w:r>
        <w:rPr>
          <w:sz w:val="20"/>
        </w:rPr>
        <w:pict>
          <v:rect id="_x0000_i1025" style="width:2in;height:1pt" o:hrpct="0" o:hralign="center" o:hrstd="t" o:hrnoshade="t" o:hr="t" fillcolor="black [3213]" stroked="f"/>
        </w:pict>
      </w:r>
    </w:p>
    <w:p w:rsidR="008620ED" w:rsidRPr="00181272" w:rsidRDefault="008620ED" w:rsidP="00CC5785">
      <w:pPr>
        <w:jc w:val="both"/>
        <w:rPr>
          <w:sz w:val="20"/>
        </w:rPr>
      </w:pPr>
    </w:p>
    <w:p w:rsidR="00A25AB0" w:rsidRPr="00181272" w:rsidRDefault="00A25AB0" w:rsidP="00CC5785">
      <w:pPr>
        <w:jc w:val="both"/>
        <w:rPr>
          <w:b/>
          <w:sz w:val="22"/>
          <w:szCs w:val="22"/>
        </w:rPr>
      </w:pPr>
      <w:r w:rsidRPr="00181272">
        <w:rPr>
          <w:b/>
          <w:sz w:val="22"/>
          <w:szCs w:val="22"/>
        </w:rPr>
        <w:t>GRANTED / ACCORDÉES</w:t>
      </w:r>
    </w:p>
    <w:p w:rsidR="00A25AB0" w:rsidRPr="00181272" w:rsidRDefault="00A25AB0" w:rsidP="00CC5785">
      <w:pPr>
        <w:jc w:val="both"/>
        <w:rPr>
          <w:sz w:val="20"/>
        </w:rPr>
      </w:pPr>
    </w:p>
    <w:p w:rsidR="003F2D03" w:rsidRPr="00181272" w:rsidRDefault="003F2D03" w:rsidP="00CC5785">
      <w:pPr>
        <w:rPr>
          <w:sz w:val="22"/>
          <w:szCs w:val="22"/>
        </w:rPr>
      </w:pPr>
      <w:r w:rsidRPr="00181272">
        <w:rPr>
          <w:i/>
          <w:sz w:val="22"/>
          <w:szCs w:val="22"/>
        </w:rPr>
        <w:t>Cameron O’Lynn Parranto also known as Cameron O’Lynn Rocky Parranto v. Her Majesty the Queen – and between - Patrick Douglas Felix v. Her Majesty the Queen</w:t>
      </w:r>
      <w:r w:rsidRPr="00181272">
        <w:rPr>
          <w:sz w:val="22"/>
          <w:szCs w:val="22"/>
        </w:rPr>
        <w:t xml:space="preserve"> (Alta.) (Criminal) (By Leave) (</w:t>
      </w:r>
      <w:hyperlink r:id="rId8" w:history="1">
        <w:r w:rsidRPr="00181272">
          <w:rPr>
            <w:rStyle w:val="Hyperlink"/>
            <w:sz w:val="22"/>
            <w:szCs w:val="22"/>
          </w:rPr>
          <w:t>39227</w:t>
        </w:r>
      </w:hyperlink>
      <w:r w:rsidRPr="00181272">
        <w:rPr>
          <w:sz w:val="22"/>
          <w:szCs w:val="22"/>
        </w:rPr>
        <w:t>)</w:t>
      </w:r>
    </w:p>
    <w:p w:rsidR="005A4DC5" w:rsidRPr="00181272" w:rsidRDefault="005A4DC5" w:rsidP="00CC5785">
      <w:pPr>
        <w:jc w:val="both"/>
        <w:rPr>
          <w:sz w:val="20"/>
        </w:rPr>
      </w:pPr>
    </w:p>
    <w:p w:rsidR="00181272" w:rsidRPr="00181272" w:rsidRDefault="00181272" w:rsidP="00CC5785">
      <w:pPr>
        <w:jc w:val="both"/>
        <w:rPr>
          <w:sz w:val="20"/>
        </w:rPr>
      </w:pPr>
      <w:r w:rsidRPr="00181272">
        <w:rPr>
          <w:sz w:val="20"/>
        </w:rPr>
        <w:t xml:space="preserve">The motions extensions of time to serve and file the applications for leave to appeal are granted. The applications for leave to appeal from the judgments of the Court of Appeal of Alberta (Edmonton), Number 1803-0299-A, </w:t>
      </w:r>
      <w:proofErr w:type="gramStart"/>
      <w:r w:rsidRPr="00181272">
        <w:rPr>
          <w:sz w:val="20"/>
        </w:rPr>
        <w:t>2019</w:t>
      </w:r>
      <w:proofErr w:type="gramEnd"/>
      <w:r w:rsidRPr="00181272">
        <w:rPr>
          <w:sz w:val="20"/>
        </w:rPr>
        <w:t xml:space="preserve"> ABCA 457, and Number 1903-0074-A, 2019 ABCA 458, dated November 28, 2019, are granted.</w:t>
      </w:r>
    </w:p>
    <w:p w:rsidR="00A25AB0" w:rsidRPr="00181272" w:rsidRDefault="00A25AB0" w:rsidP="00CC5785">
      <w:pPr>
        <w:jc w:val="both"/>
        <w:rPr>
          <w:sz w:val="20"/>
        </w:rPr>
      </w:pPr>
    </w:p>
    <w:p w:rsidR="003F2D03" w:rsidRPr="00181272" w:rsidRDefault="00181272" w:rsidP="00CC5785">
      <w:pPr>
        <w:jc w:val="both"/>
        <w:rPr>
          <w:sz w:val="20"/>
          <w:lang w:val="fr-CA"/>
        </w:rPr>
      </w:pPr>
      <w:r w:rsidRPr="00181272">
        <w:rPr>
          <w:sz w:val="20"/>
          <w:lang w:val="fr-CA"/>
        </w:rPr>
        <w:t>Les requêtes en prorogation des délais de signification et de dépôt des demandes d’autorisation d’appel sont accueillies. Les demandes d’autorisation d’appel des arrêts de la Cour d’appel de l’Alberta (Edmonton), numéro 1803-0299-A, 2019 ABCA 457, et numéro 1903-0074-A, 2019 ABCA 458, datés du 28 novembre 2019, sont accueillies.</w:t>
      </w:r>
    </w:p>
    <w:p w:rsidR="005A4DC5" w:rsidRPr="00181272" w:rsidRDefault="005A4DC5" w:rsidP="00CC5785">
      <w:pPr>
        <w:jc w:val="both"/>
        <w:rPr>
          <w:sz w:val="20"/>
          <w:lang w:val="fr-CA"/>
        </w:rPr>
      </w:pPr>
    </w:p>
    <w:p w:rsidR="00A25AB0" w:rsidRPr="00181272" w:rsidRDefault="00CC5785" w:rsidP="00CC5785">
      <w:pPr>
        <w:jc w:val="both"/>
        <w:rPr>
          <w:sz w:val="20"/>
        </w:rPr>
      </w:pPr>
      <w:r>
        <w:rPr>
          <w:sz w:val="20"/>
        </w:rPr>
        <w:pict>
          <v:rect id="_x0000_i1026" style="width:2in;height:1pt" o:hrpct="0" o:hralign="center" o:hrstd="t" o:hrnoshade="t" o:hr="t" fillcolor="black [3213]" stroked="f"/>
        </w:pict>
      </w:r>
    </w:p>
    <w:p w:rsidR="00A25AB0" w:rsidRPr="00181272" w:rsidRDefault="00A25AB0" w:rsidP="00CC5785">
      <w:pPr>
        <w:jc w:val="both"/>
        <w:rPr>
          <w:sz w:val="20"/>
        </w:rPr>
      </w:pPr>
    </w:p>
    <w:p w:rsidR="00E61BAD" w:rsidRPr="00181272" w:rsidRDefault="00E61BAD" w:rsidP="00CC5785">
      <w:pPr>
        <w:tabs>
          <w:tab w:val="left" w:pos="490"/>
        </w:tabs>
        <w:rPr>
          <w:sz w:val="22"/>
          <w:szCs w:val="22"/>
        </w:rPr>
      </w:pPr>
      <w:r w:rsidRPr="00181272">
        <w:rPr>
          <w:i/>
          <w:sz w:val="22"/>
          <w:szCs w:val="22"/>
        </w:rPr>
        <w:t>H.M.B. Holdings Limited v. Attorney General of Antigua and Barbuda</w:t>
      </w:r>
      <w:r w:rsidRPr="00181272">
        <w:rPr>
          <w:sz w:val="22"/>
          <w:szCs w:val="22"/>
        </w:rPr>
        <w:t xml:space="preserve"> (Ont.) (Civil) (By Leave) (</w:t>
      </w:r>
      <w:hyperlink r:id="rId9" w:history="1">
        <w:r w:rsidRPr="00181272">
          <w:rPr>
            <w:rStyle w:val="Hyperlink"/>
            <w:sz w:val="22"/>
            <w:szCs w:val="22"/>
          </w:rPr>
          <w:t>39130</w:t>
        </w:r>
      </w:hyperlink>
      <w:r w:rsidRPr="00181272">
        <w:rPr>
          <w:sz w:val="22"/>
          <w:szCs w:val="22"/>
        </w:rPr>
        <w:t>)</w:t>
      </w:r>
    </w:p>
    <w:p w:rsidR="00E61BAD" w:rsidRPr="00181272" w:rsidRDefault="00E61BAD" w:rsidP="00CC5785">
      <w:pPr>
        <w:jc w:val="both"/>
        <w:rPr>
          <w:sz w:val="20"/>
        </w:rPr>
      </w:pPr>
    </w:p>
    <w:p w:rsidR="00E61BAD" w:rsidRPr="00181272" w:rsidRDefault="00181272" w:rsidP="00CC5785">
      <w:pPr>
        <w:jc w:val="both"/>
        <w:rPr>
          <w:sz w:val="20"/>
        </w:rPr>
      </w:pPr>
      <w:r w:rsidRPr="00181272">
        <w:rPr>
          <w:sz w:val="20"/>
        </w:rPr>
        <w:t>The application for leave to appeal from the judgment of the Court of Appeal for Ontario, Number C66765, 2020 ONCA 12, dated January 9, 2020, is granted with costs in the cause.</w:t>
      </w:r>
    </w:p>
    <w:p w:rsidR="00E61BAD" w:rsidRPr="00181272" w:rsidRDefault="00E61BAD" w:rsidP="00CC5785">
      <w:pPr>
        <w:jc w:val="both"/>
        <w:rPr>
          <w:sz w:val="20"/>
        </w:rPr>
      </w:pPr>
    </w:p>
    <w:p w:rsidR="00E61BAD" w:rsidRPr="00181272" w:rsidRDefault="00181272" w:rsidP="00CC5785">
      <w:pPr>
        <w:jc w:val="both"/>
        <w:rPr>
          <w:sz w:val="20"/>
          <w:lang w:val="fr-CA"/>
        </w:rPr>
      </w:pPr>
      <w:r w:rsidRPr="00181272">
        <w:rPr>
          <w:sz w:val="20"/>
          <w:lang w:val="fr-CA"/>
        </w:rPr>
        <w:t>La demande d’autorisation d’appel de l’arrêt de la Cour d’appel de l’Ontario, numéro C66765, 2020 ONCA 12, daté du 9 janvier 2020, est accueillie avec dépens suivant l’issue de la cause.</w:t>
      </w:r>
    </w:p>
    <w:p w:rsidR="00E61BAD" w:rsidRPr="00181272" w:rsidRDefault="00E61BAD" w:rsidP="00CC5785">
      <w:pPr>
        <w:jc w:val="both"/>
        <w:rPr>
          <w:sz w:val="20"/>
          <w:lang w:val="fr-CA"/>
        </w:rPr>
      </w:pPr>
    </w:p>
    <w:p w:rsidR="00E61BAD" w:rsidRPr="00181272" w:rsidRDefault="00CC5785" w:rsidP="00CC5785">
      <w:pPr>
        <w:jc w:val="both"/>
        <w:rPr>
          <w:sz w:val="20"/>
        </w:rPr>
      </w:pPr>
      <w:r>
        <w:rPr>
          <w:sz w:val="20"/>
        </w:rPr>
        <w:pict>
          <v:rect id="_x0000_i1027" style="width:2in;height:1pt" o:hrpct="0" o:hralign="center" o:hrstd="t" o:hrnoshade="t" o:hr="t" fillcolor="black [3213]" stroked="f"/>
        </w:pict>
      </w:r>
    </w:p>
    <w:p w:rsidR="00E61BAD" w:rsidRPr="00181272" w:rsidRDefault="00E61BAD" w:rsidP="00CC5785">
      <w:pPr>
        <w:jc w:val="both"/>
        <w:rPr>
          <w:sz w:val="20"/>
        </w:rPr>
      </w:pPr>
    </w:p>
    <w:p w:rsidR="00431DE2" w:rsidRPr="00181272" w:rsidRDefault="00431DE2" w:rsidP="00CC5785">
      <w:pPr>
        <w:jc w:val="both"/>
        <w:rPr>
          <w:b/>
          <w:sz w:val="22"/>
          <w:szCs w:val="22"/>
        </w:rPr>
      </w:pPr>
      <w:r w:rsidRPr="00181272">
        <w:rPr>
          <w:b/>
          <w:sz w:val="22"/>
          <w:szCs w:val="22"/>
        </w:rPr>
        <w:t>DISMISSED / REJETÉE</w:t>
      </w:r>
      <w:r w:rsidR="001B1618" w:rsidRPr="00181272">
        <w:rPr>
          <w:b/>
          <w:sz w:val="22"/>
          <w:szCs w:val="22"/>
        </w:rPr>
        <w:t>S</w:t>
      </w:r>
    </w:p>
    <w:p w:rsidR="00431DE2" w:rsidRPr="00181272" w:rsidRDefault="00431DE2" w:rsidP="00CC5785">
      <w:pPr>
        <w:jc w:val="both"/>
        <w:rPr>
          <w:sz w:val="20"/>
        </w:rPr>
      </w:pPr>
    </w:p>
    <w:p w:rsidR="008B5E4C" w:rsidRPr="00181272" w:rsidRDefault="008B5E4C" w:rsidP="00CC5785">
      <w:pPr>
        <w:rPr>
          <w:sz w:val="22"/>
          <w:szCs w:val="22"/>
        </w:rPr>
      </w:pPr>
      <w:r w:rsidRPr="00181272">
        <w:rPr>
          <w:i/>
          <w:sz w:val="22"/>
          <w:szCs w:val="22"/>
        </w:rPr>
        <w:t>Her Majesty the Queen v. Stewart Pascal</w:t>
      </w:r>
      <w:r w:rsidRPr="00181272">
        <w:rPr>
          <w:sz w:val="22"/>
          <w:szCs w:val="22"/>
        </w:rPr>
        <w:t xml:space="preserve"> (Ont.) (Criminal) (By Leave) (</w:t>
      </w:r>
      <w:hyperlink r:id="rId10" w:history="1">
        <w:r w:rsidRPr="00181272">
          <w:rPr>
            <w:rStyle w:val="Hyperlink"/>
            <w:sz w:val="22"/>
            <w:szCs w:val="22"/>
          </w:rPr>
          <w:t>39243</w:t>
        </w:r>
      </w:hyperlink>
      <w:r w:rsidRPr="00181272">
        <w:rPr>
          <w:sz w:val="22"/>
          <w:szCs w:val="22"/>
        </w:rPr>
        <w:t>)</w:t>
      </w:r>
    </w:p>
    <w:p w:rsidR="00A04D13" w:rsidRPr="00181272" w:rsidRDefault="00A04D13" w:rsidP="00CC5785">
      <w:pPr>
        <w:widowControl w:val="0"/>
        <w:rPr>
          <w:sz w:val="20"/>
        </w:rPr>
      </w:pPr>
    </w:p>
    <w:p w:rsidR="008B5E4C" w:rsidRPr="00181272" w:rsidRDefault="008B5E4C" w:rsidP="00CC5785">
      <w:pPr>
        <w:jc w:val="both"/>
        <w:rPr>
          <w:sz w:val="20"/>
        </w:rPr>
      </w:pPr>
      <w:r w:rsidRPr="00181272">
        <w:rPr>
          <w:sz w:val="20"/>
        </w:rPr>
        <w:lastRenderedPageBreak/>
        <w:t>The application for leave to appeal from the judgment of the</w:t>
      </w:r>
      <w:bookmarkStart w:id="1" w:name="BM_1_"/>
      <w:bookmarkEnd w:id="1"/>
      <w:r w:rsidRPr="00181272">
        <w:rPr>
          <w:sz w:val="20"/>
        </w:rPr>
        <w:t xml:space="preserve"> Court of Appeal for Ontario, Number C53388, 2020 ONCA 287, dated May 6, 2020, is dismissed.</w:t>
      </w:r>
    </w:p>
    <w:p w:rsidR="008B5E4C" w:rsidRPr="00181272" w:rsidRDefault="008B5E4C" w:rsidP="00CC5785">
      <w:pPr>
        <w:jc w:val="both"/>
        <w:rPr>
          <w:sz w:val="20"/>
        </w:rPr>
      </w:pPr>
    </w:p>
    <w:p w:rsidR="008B5E4C" w:rsidRPr="00181272" w:rsidRDefault="008B5E4C" w:rsidP="00CC5785">
      <w:pPr>
        <w:rPr>
          <w:sz w:val="20"/>
          <w:lang w:val="fr-CA"/>
        </w:rPr>
      </w:pPr>
      <w:r w:rsidRPr="00181272">
        <w:rPr>
          <w:sz w:val="20"/>
          <w:lang w:val="fr-CA"/>
        </w:rPr>
        <w:t>La demande d’autorisation d’appel de l’arrêt de la Cour d’appel de l’Ontario, numéro C53388, 2020 ONCA 287, daté du 6 mai 2020, est rejetée.</w:t>
      </w:r>
    </w:p>
    <w:p w:rsidR="009C3D5E" w:rsidRPr="00181272" w:rsidRDefault="009C3D5E" w:rsidP="00CC5785">
      <w:pPr>
        <w:jc w:val="both"/>
        <w:rPr>
          <w:sz w:val="20"/>
          <w:lang w:val="fr-CA"/>
        </w:rPr>
      </w:pPr>
    </w:p>
    <w:p w:rsidR="00A04D13" w:rsidRPr="00181272" w:rsidRDefault="00CC5785" w:rsidP="00CC5785">
      <w:pPr>
        <w:widowControl w:val="0"/>
        <w:rPr>
          <w:sz w:val="20"/>
        </w:rPr>
      </w:pPr>
      <w:r>
        <w:rPr>
          <w:sz w:val="20"/>
        </w:rPr>
        <w:pict>
          <v:rect id="_x0000_i1028" style="width:2in;height:1pt" o:hrpct="0" o:hralign="center" o:hrstd="t" o:hrnoshade="t" o:hr="t" fillcolor="black [3213]" stroked="f"/>
        </w:pict>
      </w:r>
    </w:p>
    <w:p w:rsidR="00A04D13" w:rsidRPr="00181272" w:rsidRDefault="00A04D13" w:rsidP="00CC5785">
      <w:pPr>
        <w:widowControl w:val="0"/>
        <w:rPr>
          <w:sz w:val="20"/>
        </w:rPr>
      </w:pPr>
    </w:p>
    <w:p w:rsidR="008B5E4C" w:rsidRPr="00181272" w:rsidRDefault="008B5E4C" w:rsidP="00CC5785">
      <w:pPr>
        <w:rPr>
          <w:sz w:val="22"/>
          <w:szCs w:val="22"/>
          <w:lang w:val="fr-CA"/>
        </w:rPr>
      </w:pPr>
      <w:r w:rsidRPr="00181272">
        <w:rPr>
          <w:i/>
          <w:sz w:val="22"/>
          <w:szCs w:val="22"/>
          <w:lang w:val="fr-CA"/>
        </w:rPr>
        <w:t>Michel Côté c. Pierre Moreau, procureur général du Québec et Association professionnelle des ingénieurs du gouvernement du Québec</w:t>
      </w:r>
      <w:r w:rsidRPr="00181272">
        <w:rPr>
          <w:sz w:val="22"/>
          <w:szCs w:val="22"/>
          <w:lang w:val="fr-CA"/>
        </w:rPr>
        <w:t xml:space="preserve"> (Qc) (Civile) (Autorisation) (</w:t>
      </w:r>
      <w:hyperlink r:id="rId11" w:history="1">
        <w:r w:rsidRPr="00181272">
          <w:rPr>
            <w:rStyle w:val="Hyperlink"/>
            <w:sz w:val="22"/>
            <w:szCs w:val="22"/>
            <w:lang w:val="fr-CA"/>
          </w:rPr>
          <w:t>39307</w:t>
        </w:r>
      </w:hyperlink>
      <w:r w:rsidRPr="00181272">
        <w:rPr>
          <w:sz w:val="22"/>
          <w:szCs w:val="22"/>
          <w:lang w:val="fr-CA"/>
        </w:rPr>
        <w:t>)</w:t>
      </w:r>
    </w:p>
    <w:p w:rsidR="00A25AB0" w:rsidRPr="00181272" w:rsidRDefault="00A25AB0" w:rsidP="00CC5785">
      <w:pPr>
        <w:widowControl w:val="0"/>
        <w:rPr>
          <w:sz w:val="20"/>
          <w:lang w:val="fr-CA"/>
        </w:rPr>
      </w:pPr>
    </w:p>
    <w:p w:rsidR="008B5E4C" w:rsidRPr="00181272" w:rsidRDefault="008B5E4C" w:rsidP="00CC5785">
      <w:pPr>
        <w:jc w:val="both"/>
        <w:rPr>
          <w:sz w:val="20"/>
          <w:lang w:val="fr-CA"/>
        </w:rPr>
      </w:pPr>
      <w:r w:rsidRPr="00181272">
        <w:rPr>
          <w:sz w:val="20"/>
          <w:lang w:val="fr-CA"/>
        </w:rPr>
        <w:t>La requête en prorogation du délai de signification et de dépôt de la demande d’autorisation d’appel est accueillie. La demande d’autorisation d’appel de l’arrêt de la Cour d’appel du Québec (Québec), numéro 200-09-009955-193, 2019 QCCA 1105, daté du 20 juin 2019, est rejetée.</w:t>
      </w:r>
    </w:p>
    <w:p w:rsidR="008B5E4C" w:rsidRPr="00181272" w:rsidRDefault="008B5E4C" w:rsidP="00CC5785">
      <w:pPr>
        <w:jc w:val="both"/>
        <w:rPr>
          <w:sz w:val="20"/>
          <w:lang w:val="fr-CA"/>
        </w:rPr>
      </w:pPr>
    </w:p>
    <w:p w:rsidR="008B5E4C" w:rsidRPr="00181272" w:rsidRDefault="008B5E4C" w:rsidP="00CC5785">
      <w:pPr>
        <w:jc w:val="both"/>
        <w:rPr>
          <w:sz w:val="20"/>
          <w:lang w:val="fr-CA"/>
        </w:rPr>
      </w:pPr>
      <w:r w:rsidRPr="00181272">
        <w:rPr>
          <w:sz w:val="20"/>
          <w:lang w:val="fr-CA"/>
        </w:rPr>
        <w:t>La juge Côté n’a pas participé au jugement.</w:t>
      </w:r>
    </w:p>
    <w:p w:rsidR="005A4DC5" w:rsidRPr="00181272" w:rsidRDefault="005A4DC5" w:rsidP="00CC5785">
      <w:pPr>
        <w:widowControl w:val="0"/>
        <w:rPr>
          <w:sz w:val="20"/>
          <w:lang w:val="fr-CA"/>
        </w:rPr>
      </w:pPr>
    </w:p>
    <w:p w:rsidR="008B5E4C" w:rsidRPr="00181272" w:rsidRDefault="008B5E4C" w:rsidP="00CC5785">
      <w:pPr>
        <w:jc w:val="both"/>
        <w:rPr>
          <w:sz w:val="20"/>
          <w:lang w:val="en-CA"/>
        </w:rPr>
      </w:pPr>
      <w:r w:rsidRPr="00181272">
        <w:rPr>
          <w:sz w:val="20"/>
          <w:lang w:val="en-CA"/>
        </w:rPr>
        <w:t xml:space="preserve">The motion for an extension of time to serve and file the application for leave to appeal is granted. The application for leave to appeal from the judgment of the </w:t>
      </w:r>
      <w:r w:rsidRPr="00181272">
        <w:rPr>
          <w:sz w:val="20"/>
        </w:rPr>
        <w:t>Court of Appeal of Quebec (Québec)</w:t>
      </w:r>
      <w:r w:rsidRPr="00181272">
        <w:rPr>
          <w:sz w:val="20"/>
          <w:lang w:val="en-CA"/>
        </w:rPr>
        <w:t xml:space="preserve">, Number </w:t>
      </w:r>
      <w:r w:rsidRPr="00181272">
        <w:rPr>
          <w:sz w:val="20"/>
        </w:rPr>
        <w:t>200-09-009955-193, 2019 QCCA 1105</w:t>
      </w:r>
      <w:r w:rsidRPr="00181272">
        <w:rPr>
          <w:sz w:val="20"/>
          <w:lang w:val="en-CA"/>
        </w:rPr>
        <w:t xml:space="preserve">, dated </w:t>
      </w:r>
      <w:r w:rsidRPr="00181272">
        <w:rPr>
          <w:sz w:val="20"/>
        </w:rPr>
        <w:t>June 20, 2019,</w:t>
      </w:r>
      <w:r w:rsidRPr="00181272">
        <w:rPr>
          <w:sz w:val="20"/>
          <w:lang w:val="en-CA"/>
        </w:rPr>
        <w:t xml:space="preserve"> is dismissed. </w:t>
      </w:r>
    </w:p>
    <w:p w:rsidR="008B5E4C" w:rsidRPr="00181272" w:rsidRDefault="008B5E4C" w:rsidP="00CC5785">
      <w:pPr>
        <w:jc w:val="both"/>
        <w:rPr>
          <w:sz w:val="20"/>
          <w:lang w:val="en-CA"/>
        </w:rPr>
      </w:pPr>
    </w:p>
    <w:p w:rsidR="008B5E4C" w:rsidRPr="00181272" w:rsidRDefault="008B5E4C" w:rsidP="00CC5785">
      <w:pPr>
        <w:jc w:val="both"/>
        <w:rPr>
          <w:sz w:val="20"/>
        </w:rPr>
      </w:pPr>
      <w:r w:rsidRPr="00181272">
        <w:rPr>
          <w:sz w:val="20"/>
        </w:rPr>
        <w:t>Côté J. took no part in the judgment.</w:t>
      </w:r>
    </w:p>
    <w:p w:rsidR="005A4DC5" w:rsidRPr="00181272" w:rsidRDefault="005A4DC5" w:rsidP="00CC5785">
      <w:pPr>
        <w:widowControl w:val="0"/>
        <w:rPr>
          <w:sz w:val="20"/>
        </w:rPr>
      </w:pPr>
    </w:p>
    <w:p w:rsidR="003A69ED" w:rsidRPr="00181272" w:rsidRDefault="00CC5785" w:rsidP="00CC5785">
      <w:pPr>
        <w:widowControl w:val="0"/>
        <w:rPr>
          <w:sz w:val="20"/>
        </w:rPr>
      </w:pPr>
      <w:r>
        <w:rPr>
          <w:sz w:val="20"/>
        </w:rPr>
        <w:pict>
          <v:rect id="_x0000_i1029" style="width:2in;height:1pt" o:hrpct="0" o:hralign="center" o:hrstd="t" o:hrnoshade="t" o:hr="t" fillcolor="black [3213]" stroked="f"/>
        </w:pict>
      </w:r>
    </w:p>
    <w:p w:rsidR="003A69ED" w:rsidRPr="00181272" w:rsidRDefault="003A69ED" w:rsidP="00CC5785">
      <w:pPr>
        <w:widowControl w:val="0"/>
        <w:rPr>
          <w:sz w:val="20"/>
        </w:rPr>
      </w:pPr>
    </w:p>
    <w:p w:rsidR="000301A0" w:rsidRPr="00181272" w:rsidRDefault="000301A0" w:rsidP="00CC5785">
      <w:pPr>
        <w:rPr>
          <w:sz w:val="22"/>
          <w:szCs w:val="22"/>
        </w:rPr>
      </w:pPr>
      <w:r w:rsidRPr="00181272">
        <w:rPr>
          <w:i/>
          <w:sz w:val="22"/>
          <w:szCs w:val="22"/>
        </w:rPr>
        <w:t>Warren Piche v. Saskatchewan Government Insurance</w:t>
      </w:r>
      <w:r w:rsidRPr="00181272">
        <w:rPr>
          <w:sz w:val="22"/>
          <w:szCs w:val="22"/>
        </w:rPr>
        <w:t xml:space="preserve"> (Sask.) (Civil) (By Leave) (</w:t>
      </w:r>
      <w:hyperlink r:id="rId12" w:history="1">
        <w:r w:rsidRPr="00181272">
          <w:rPr>
            <w:rStyle w:val="Hyperlink"/>
            <w:sz w:val="22"/>
            <w:szCs w:val="22"/>
          </w:rPr>
          <w:t>39239</w:t>
        </w:r>
      </w:hyperlink>
      <w:r w:rsidRPr="00181272">
        <w:rPr>
          <w:sz w:val="22"/>
          <w:szCs w:val="22"/>
        </w:rPr>
        <w:t>)</w:t>
      </w:r>
    </w:p>
    <w:p w:rsidR="00A25AB0" w:rsidRPr="00181272" w:rsidRDefault="00A25AB0" w:rsidP="00CC5785">
      <w:pPr>
        <w:widowControl w:val="0"/>
        <w:rPr>
          <w:sz w:val="20"/>
        </w:rPr>
      </w:pPr>
    </w:p>
    <w:p w:rsidR="000301A0" w:rsidRPr="00181272" w:rsidRDefault="000301A0" w:rsidP="00CC5785">
      <w:pPr>
        <w:jc w:val="both"/>
        <w:rPr>
          <w:sz w:val="20"/>
        </w:rPr>
      </w:pPr>
      <w:r w:rsidRPr="00181272">
        <w:rPr>
          <w:sz w:val="20"/>
        </w:rPr>
        <w:t>The application for leave to appeal from the judgment of the Court of Appeal for Saskatchewan, Number CACV3130,   2020 SKCA 53, dated April 30, 2020, is dismissed with costs.</w:t>
      </w:r>
    </w:p>
    <w:p w:rsidR="000301A0" w:rsidRPr="00181272" w:rsidRDefault="000301A0" w:rsidP="00CC5785">
      <w:pPr>
        <w:jc w:val="both"/>
        <w:rPr>
          <w:sz w:val="20"/>
        </w:rPr>
      </w:pPr>
    </w:p>
    <w:p w:rsidR="000301A0" w:rsidRPr="00181272" w:rsidRDefault="000301A0" w:rsidP="00CC5785">
      <w:pPr>
        <w:rPr>
          <w:sz w:val="20"/>
          <w:lang w:val="fr-CA"/>
        </w:rPr>
      </w:pPr>
      <w:r w:rsidRPr="00181272">
        <w:rPr>
          <w:sz w:val="20"/>
          <w:lang w:val="fr-CA"/>
        </w:rPr>
        <w:t>La demande d’autorisation d’appel de l’arrêt de la Cour d’appel de la Saskatchewan, numéro CACV3130, 2020 SKCA 53, daté du 30 avril 2020, est rejetée avec dépens.</w:t>
      </w:r>
    </w:p>
    <w:p w:rsidR="005A4DC5" w:rsidRPr="00181272" w:rsidRDefault="005A4DC5" w:rsidP="00CC5785">
      <w:pPr>
        <w:widowControl w:val="0"/>
        <w:rPr>
          <w:sz w:val="20"/>
          <w:lang w:val="fr-CA"/>
        </w:rPr>
      </w:pPr>
    </w:p>
    <w:p w:rsidR="00A25AB0" w:rsidRPr="00181272" w:rsidRDefault="00CC5785" w:rsidP="00CC5785">
      <w:pPr>
        <w:widowControl w:val="0"/>
        <w:rPr>
          <w:sz w:val="20"/>
        </w:rPr>
      </w:pPr>
      <w:r>
        <w:rPr>
          <w:sz w:val="20"/>
        </w:rPr>
        <w:pict>
          <v:rect id="_x0000_i1030" style="width:2in;height:1pt" o:hrpct="0" o:hralign="center" o:hrstd="t" o:hrnoshade="t" o:hr="t" fillcolor="black [3213]" stroked="f"/>
        </w:pict>
      </w:r>
    </w:p>
    <w:p w:rsidR="00A25AB0" w:rsidRPr="00181272" w:rsidRDefault="00A25AB0" w:rsidP="00CC5785">
      <w:pPr>
        <w:widowControl w:val="0"/>
        <w:rPr>
          <w:sz w:val="20"/>
        </w:rPr>
      </w:pPr>
    </w:p>
    <w:p w:rsidR="000301A0" w:rsidRPr="00181272" w:rsidRDefault="000301A0" w:rsidP="00CC5785">
      <w:pPr>
        <w:pStyle w:val="SCCLsocSubfileSeparator"/>
        <w:jc w:val="left"/>
        <w:rPr>
          <w:b w:val="0"/>
          <w:i/>
          <w:sz w:val="22"/>
          <w:szCs w:val="22"/>
          <w:lang w:val="en-US"/>
        </w:rPr>
      </w:pPr>
      <w:r w:rsidRPr="00181272">
        <w:rPr>
          <w:b w:val="0"/>
          <w:i/>
          <w:sz w:val="22"/>
          <w:szCs w:val="22"/>
          <w:lang w:val="en-US"/>
        </w:rPr>
        <w:t>Michael Novac, Nelly Novac, Sonco Group Inc., Novac 2011 Family Trust and Novac Family Trust (2013) v. Jennifer Ann Leitch</w:t>
      </w:r>
      <w:r w:rsidRPr="00181272">
        <w:rPr>
          <w:b w:val="0"/>
          <w:sz w:val="22"/>
          <w:szCs w:val="22"/>
          <w:lang w:val="en-US"/>
        </w:rPr>
        <w:t xml:space="preserve"> (Ont.) (Civil) (By Leave) (</w:t>
      </w:r>
      <w:hyperlink r:id="rId13" w:history="1">
        <w:r w:rsidRPr="00181272">
          <w:rPr>
            <w:rStyle w:val="Hyperlink"/>
            <w:b w:val="0"/>
            <w:sz w:val="22"/>
            <w:szCs w:val="22"/>
            <w:lang w:val="en-US"/>
          </w:rPr>
          <w:t>39217</w:t>
        </w:r>
      </w:hyperlink>
      <w:r w:rsidRPr="00181272">
        <w:rPr>
          <w:b w:val="0"/>
          <w:sz w:val="22"/>
          <w:szCs w:val="22"/>
          <w:lang w:val="en-US"/>
        </w:rPr>
        <w:t>)</w:t>
      </w:r>
    </w:p>
    <w:p w:rsidR="00A25AB0" w:rsidRPr="00181272" w:rsidRDefault="00A25AB0" w:rsidP="00CC5785">
      <w:pPr>
        <w:widowControl w:val="0"/>
        <w:rPr>
          <w:sz w:val="20"/>
        </w:rPr>
      </w:pPr>
    </w:p>
    <w:p w:rsidR="000301A0" w:rsidRPr="00181272" w:rsidRDefault="000301A0" w:rsidP="00CC5785">
      <w:pPr>
        <w:jc w:val="both"/>
        <w:rPr>
          <w:sz w:val="20"/>
        </w:rPr>
      </w:pPr>
      <w:r w:rsidRPr="00181272">
        <w:rPr>
          <w:sz w:val="20"/>
        </w:rPr>
        <w:t>The application for leave to appeal from the judgment of the Court of Appeal for Ontario, Number C66681, 2020 ONCA 257, dated April 17, 2020, is dismissed with costs.</w:t>
      </w:r>
    </w:p>
    <w:p w:rsidR="000301A0" w:rsidRPr="00181272" w:rsidRDefault="000301A0" w:rsidP="00CC5785">
      <w:pPr>
        <w:jc w:val="both"/>
        <w:rPr>
          <w:sz w:val="20"/>
        </w:rPr>
      </w:pPr>
    </w:p>
    <w:p w:rsidR="000301A0" w:rsidRPr="00181272" w:rsidRDefault="000301A0" w:rsidP="00CC5785">
      <w:pPr>
        <w:rPr>
          <w:sz w:val="20"/>
          <w:lang w:val="fr-CA"/>
        </w:rPr>
      </w:pPr>
      <w:r w:rsidRPr="00181272">
        <w:rPr>
          <w:sz w:val="20"/>
          <w:lang w:val="fr-CA"/>
        </w:rPr>
        <w:t>La demande d’autorisation d’appel de l’arrêt de la Cour d’appel de l’Ontario, numéro C66681, 2020 ONCA 257, daté du 17 avril 2020, est rejetée avec dépens.</w:t>
      </w:r>
    </w:p>
    <w:p w:rsidR="005A4DC5" w:rsidRPr="00181272" w:rsidRDefault="005A4DC5" w:rsidP="00CC5785">
      <w:pPr>
        <w:widowControl w:val="0"/>
        <w:rPr>
          <w:sz w:val="20"/>
          <w:lang w:val="fr-CA"/>
        </w:rPr>
      </w:pPr>
    </w:p>
    <w:p w:rsidR="00A25AB0" w:rsidRPr="00181272" w:rsidRDefault="00CC5785" w:rsidP="00CC5785">
      <w:pPr>
        <w:widowControl w:val="0"/>
        <w:rPr>
          <w:sz w:val="20"/>
        </w:rPr>
      </w:pPr>
      <w:r>
        <w:rPr>
          <w:sz w:val="20"/>
        </w:rPr>
        <w:pict>
          <v:rect id="_x0000_i1031" style="width:2in;height:1pt" o:hrpct="0" o:hralign="center" o:hrstd="t" o:hrnoshade="t" o:hr="t" fillcolor="black [3213]" stroked="f"/>
        </w:pict>
      </w:r>
    </w:p>
    <w:p w:rsidR="00A25AB0" w:rsidRPr="00181272" w:rsidRDefault="00A25AB0" w:rsidP="00CC5785">
      <w:pPr>
        <w:widowControl w:val="0"/>
        <w:rPr>
          <w:sz w:val="20"/>
        </w:rPr>
      </w:pPr>
    </w:p>
    <w:p w:rsidR="000D05B0" w:rsidRPr="00181272" w:rsidRDefault="000D05B0" w:rsidP="00CC5785">
      <w:pPr>
        <w:rPr>
          <w:sz w:val="22"/>
          <w:szCs w:val="22"/>
          <w:lang w:val="fr-CA"/>
        </w:rPr>
      </w:pPr>
      <w:r w:rsidRPr="00181272">
        <w:rPr>
          <w:i/>
          <w:sz w:val="22"/>
          <w:szCs w:val="22"/>
          <w:lang w:val="fr-CA"/>
        </w:rPr>
        <w:t xml:space="preserve">André Lavallée c. Ville de Sainte-Adèle - et - Deveau Avocats </w:t>
      </w:r>
      <w:r w:rsidRPr="00181272">
        <w:rPr>
          <w:sz w:val="22"/>
          <w:szCs w:val="22"/>
          <w:lang w:val="fr-CA"/>
        </w:rPr>
        <w:t>(Qc) (Civile) (Autorisation) (</w:t>
      </w:r>
      <w:hyperlink r:id="rId14" w:history="1">
        <w:r w:rsidRPr="00181272">
          <w:rPr>
            <w:rStyle w:val="Hyperlink"/>
            <w:sz w:val="22"/>
            <w:szCs w:val="22"/>
            <w:lang w:val="fr-CA"/>
          </w:rPr>
          <w:t>39178</w:t>
        </w:r>
      </w:hyperlink>
      <w:r w:rsidRPr="00181272">
        <w:rPr>
          <w:sz w:val="22"/>
          <w:szCs w:val="22"/>
          <w:lang w:val="fr-CA"/>
        </w:rPr>
        <w:t>)</w:t>
      </w:r>
    </w:p>
    <w:p w:rsidR="00A25AB0" w:rsidRPr="00181272" w:rsidRDefault="00A25AB0" w:rsidP="00CC5785">
      <w:pPr>
        <w:widowControl w:val="0"/>
        <w:rPr>
          <w:sz w:val="20"/>
          <w:lang w:val="fr-CA"/>
        </w:rPr>
      </w:pPr>
    </w:p>
    <w:p w:rsidR="000D05B0" w:rsidRPr="00181272" w:rsidRDefault="000D05B0" w:rsidP="00CC5785">
      <w:pPr>
        <w:jc w:val="both"/>
        <w:rPr>
          <w:sz w:val="20"/>
          <w:lang w:val="fr-CA"/>
        </w:rPr>
      </w:pPr>
      <w:r w:rsidRPr="00181272">
        <w:rPr>
          <w:sz w:val="20"/>
          <w:lang w:val="fr-CA"/>
        </w:rPr>
        <w:t>La demande d’autorisation d’appel de l’arrêt de la Cour d’appel du Québec (Montréal), numéro 500-09-028146-199, 2019 QCCA 938, daté du 27 mai 2019, est rejetée avec dépens en faveur de l’intimée Ville de Sainte-Adèle.</w:t>
      </w:r>
    </w:p>
    <w:p w:rsidR="000D05B0" w:rsidRPr="00181272" w:rsidRDefault="000D05B0" w:rsidP="00CC5785">
      <w:pPr>
        <w:jc w:val="both"/>
        <w:rPr>
          <w:sz w:val="20"/>
          <w:lang w:val="fr-CA"/>
        </w:rPr>
      </w:pPr>
    </w:p>
    <w:p w:rsidR="000D05B0" w:rsidRPr="00181272" w:rsidRDefault="000D05B0" w:rsidP="00CC5785">
      <w:pPr>
        <w:rPr>
          <w:sz w:val="20"/>
        </w:rPr>
      </w:pPr>
      <w:r w:rsidRPr="00181272">
        <w:rPr>
          <w:sz w:val="20"/>
          <w:lang w:val="en-CA"/>
        </w:rPr>
        <w:t xml:space="preserve">The application for leave to appeal from the judgment of the </w:t>
      </w:r>
      <w:r w:rsidRPr="00181272">
        <w:rPr>
          <w:sz w:val="20"/>
        </w:rPr>
        <w:t>Court of Appeal of Quebec (Montréal)</w:t>
      </w:r>
      <w:r w:rsidRPr="00181272">
        <w:rPr>
          <w:sz w:val="20"/>
          <w:lang w:val="en-CA"/>
        </w:rPr>
        <w:t xml:space="preserve">, Number </w:t>
      </w:r>
      <w:r w:rsidRPr="00181272">
        <w:rPr>
          <w:sz w:val="20"/>
        </w:rPr>
        <w:t xml:space="preserve">500-09-028146-199, 2019 QCCA 938, </w:t>
      </w:r>
      <w:r w:rsidRPr="00181272">
        <w:rPr>
          <w:sz w:val="20"/>
          <w:lang w:val="en-CA"/>
        </w:rPr>
        <w:t xml:space="preserve">dated </w:t>
      </w:r>
      <w:r w:rsidRPr="00181272">
        <w:rPr>
          <w:sz w:val="20"/>
        </w:rPr>
        <w:t>May 27, 2019,</w:t>
      </w:r>
      <w:r w:rsidRPr="00181272">
        <w:rPr>
          <w:sz w:val="20"/>
          <w:lang w:val="en-CA"/>
        </w:rPr>
        <w:t xml:space="preserve"> is dismissed with costs to the respondent </w:t>
      </w:r>
      <w:r w:rsidRPr="00181272">
        <w:rPr>
          <w:sz w:val="20"/>
        </w:rPr>
        <w:t>Ville de Sainte-Adèle</w:t>
      </w:r>
      <w:r w:rsidRPr="00181272">
        <w:rPr>
          <w:sz w:val="20"/>
          <w:lang w:val="en-CA"/>
        </w:rPr>
        <w:t>.</w:t>
      </w:r>
    </w:p>
    <w:p w:rsidR="005A4DC5" w:rsidRPr="00181272" w:rsidRDefault="005A4DC5" w:rsidP="00CC5785">
      <w:pPr>
        <w:widowControl w:val="0"/>
        <w:rPr>
          <w:sz w:val="20"/>
        </w:rPr>
      </w:pPr>
    </w:p>
    <w:p w:rsidR="00A25AB0" w:rsidRPr="00181272" w:rsidRDefault="00CC5785" w:rsidP="00CC5785">
      <w:pPr>
        <w:widowControl w:val="0"/>
        <w:rPr>
          <w:sz w:val="20"/>
        </w:rPr>
      </w:pPr>
      <w:r>
        <w:rPr>
          <w:sz w:val="20"/>
        </w:rPr>
        <w:pict>
          <v:rect id="_x0000_i1032" style="width:2in;height:1pt" o:hrpct="0" o:hralign="center" o:hrstd="t" o:hrnoshade="t" o:hr="t" fillcolor="black [3213]" stroked="f"/>
        </w:pict>
      </w:r>
    </w:p>
    <w:p w:rsidR="00A25AB0" w:rsidRPr="00181272" w:rsidRDefault="00A25AB0" w:rsidP="00CC5785">
      <w:pPr>
        <w:widowControl w:val="0"/>
        <w:rPr>
          <w:sz w:val="20"/>
        </w:rPr>
      </w:pPr>
    </w:p>
    <w:p w:rsidR="00B9276A" w:rsidRPr="00181272" w:rsidRDefault="00B9276A" w:rsidP="00CC5785">
      <w:pPr>
        <w:pStyle w:val="SCCLsocSubfileSeparator"/>
        <w:jc w:val="left"/>
        <w:rPr>
          <w:b w:val="0"/>
          <w:i/>
          <w:sz w:val="22"/>
          <w:szCs w:val="22"/>
        </w:rPr>
      </w:pPr>
      <w:r w:rsidRPr="00181272">
        <w:rPr>
          <w:b w:val="0"/>
          <w:i/>
          <w:sz w:val="22"/>
          <w:szCs w:val="22"/>
          <w:lang w:val="en-US"/>
        </w:rPr>
        <w:lastRenderedPageBreak/>
        <w:t>Dentons Canada LLP, David Loader and David Loader Professional Corporation v. HOOPP Realty Inc., Emery Jamieson LLP, W. Paul Sharek, Q.C. and G. Bruce Comba - and between - HOOPP Realty Inc. v. Emery Jamieson LLP, W. Paul Sharek, Q.C. and G. Bruce Comba</w:t>
      </w:r>
      <w:r w:rsidRPr="00181272">
        <w:rPr>
          <w:b w:val="0"/>
          <w:sz w:val="22"/>
          <w:szCs w:val="22"/>
          <w:lang w:val="en-US"/>
        </w:rPr>
        <w:t xml:space="preserve"> </w:t>
      </w:r>
      <w:r w:rsidRPr="00181272">
        <w:rPr>
          <w:b w:val="0"/>
          <w:sz w:val="22"/>
          <w:szCs w:val="22"/>
        </w:rPr>
        <w:t>(Alta.) (Civil) (By Leave) (</w:t>
      </w:r>
      <w:hyperlink r:id="rId15" w:history="1">
        <w:r w:rsidRPr="00181272">
          <w:rPr>
            <w:rStyle w:val="Hyperlink"/>
            <w:b w:val="0"/>
            <w:sz w:val="22"/>
            <w:szCs w:val="22"/>
          </w:rPr>
          <w:t>39233</w:t>
        </w:r>
      </w:hyperlink>
      <w:r w:rsidRPr="00181272">
        <w:rPr>
          <w:b w:val="0"/>
          <w:sz w:val="22"/>
          <w:szCs w:val="22"/>
        </w:rPr>
        <w:t>)</w:t>
      </w:r>
    </w:p>
    <w:p w:rsidR="00A25AB0" w:rsidRPr="00181272" w:rsidRDefault="00A25AB0" w:rsidP="00CC5785">
      <w:pPr>
        <w:widowControl w:val="0"/>
        <w:rPr>
          <w:sz w:val="20"/>
        </w:rPr>
      </w:pPr>
    </w:p>
    <w:p w:rsidR="00B9276A" w:rsidRPr="00181272" w:rsidRDefault="00B9276A" w:rsidP="00CC5785">
      <w:pPr>
        <w:jc w:val="both"/>
        <w:rPr>
          <w:sz w:val="20"/>
        </w:rPr>
      </w:pPr>
      <w:r w:rsidRPr="00181272">
        <w:rPr>
          <w:sz w:val="20"/>
        </w:rPr>
        <w:t>The applications for leave to appeal from the judgment of the Court of Appeal of Alberta (Calgary), Numbers 1901-0032-AC and 1901-0035-AC, 2020 ABCA 159, dated April 24, 2020, are dismissed with costs.</w:t>
      </w:r>
    </w:p>
    <w:p w:rsidR="00B9276A" w:rsidRPr="00181272" w:rsidRDefault="00B9276A" w:rsidP="00CC5785">
      <w:pPr>
        <w:jc w:val="both"/>
        <w:rPr>
          <w:sz w:val="20"/>
        </w:rPr>
      </w:pPr>
    </w:p>
    <w:p w:rsidR="005A4DC5" w:rsidRPr="00181272" w:rsidRDefault="00B9276A" w:rsidP="00CC5785">
      <w:pPr>
        <w:widowControl w:val="0"/>
        <w:rPr>
          <w:sz w:val="20"/>
          <w:lang w:val="fr-CA"/>
        </w:rPr>
      </w:pPr>
      <w:r w:rsidRPr="00181272">
        <w:rPr>
          <w:sz w:val="20"/>
          <w:lang w:val="fr-CA"/>
        </w:rPr>
        <w:t>Les demandes d’autorisation d’appel de l’arrêt de la Cour d’appel de l’Alberta (Calgary), numéros 1901-0032-AC et 1901-0035-AC, 2020 ABCA 159, daté du 24 avril 2020, sont rejetées avec dépens.</w:t>
      </w:r>
    </w:p>
    <w:p w:rsidR="005A4DC5" w:rsidRPr="00181272" w:rsidRDefault="005A4DC5" w:rsidP="00CC5785">
      <w:pPr>
        <w:widowControl w:val="0"/>
        <w:rPr>
          <w:sz w:val="20"/>
          <w:lang w:val="fr-CA"/>
        </w:rPr>
      </w:pPr>
    </w:p>
    <w:p w:rsidR="00A25AB0" w:rsidRPr="00181272" w:rsidRDefault="00CC5785" w:rsidP="00CC5785">
      <w:pPr>
        <w:widowControl w:val="0"/>
        <w:rPr>
          <w:sz w:val="20"/>
        </w:rPr>
      </w:pPr>
      <w:r>
        <w:rPr>
          <w:sz w:val="20"/>
        </w:rPr>
        <w:pict>
          <v:rect id="_x0000_i1033" style="width:2in;height:1pt" o:hrpct="0" o:hralign="center" o:hrstd="t" o:hrnoshade="t" o:hr="t" fillcolor="black [3213]" stroked="f"/>
        </w:pict>
      </w:r>
    </w:p>
    <w:p w:rsidR="00A25AB0" w:rsidRPr="00181272" w:rsidRDefault="00A25AB0" w:rsidP="00CC5785">
      <w:pPr>
        <w:widowControl w:val="0"/>
        <w:rPr>
          <w:sz w:val="20"/>
        </w:rPr>
      </w:pPr>
    </w:p>
    <w:p w:rsidR="00FA6403" w:rsidRPr="00181272" w:rsidRDefault="00FA6403" w:rsidP="00CC5785">
      <w:pPr>
        <w:rPr>
          <w:sz w:val="22"/>
          <w:szCs w:val="22"/>
        </w:rPr>
      </w:pPr>
      <w:r w:rsidRPr="00181272">
        <w:rPr>
          <w:bCs/>
          <w:i/>
          <w:iCs/>
          <w:sz w:val="22"/>
          <w:szCs w:val="22"/>
        </w:rPr>
        <w:t>Hamid Alakozai v. Attorney General of Canada</w:t>
      </w:r>
      <w:r w:rsidRPr="00181272">
        <w:rPr>
          <w:bCs/>
          <w:sz w:val="22"/>
          <w:szCs w:val="22"/>
        </w:rPr>
        <w:t xml:space="preserve"> </w:t>
      </w:r>
      <w:r w:rsidRPr="00181272">
        <w:rPr>
          <w:sz w:val="22"/>
          <w:szCs w:val="22"/>
        </w:rPr>
        <w:t>(F.C.) (Civil) (By Leave) (</w:t>
      </w:r>
      <w:hyperlink r:id="rId16" w:history="1">
        <w:r w:rsidRPr="00181272">
          <w:rPr>
            <w:rStyle w:val="Hyperlink"/>
            <w:sz w:val="22"/>
            <w:szCs w:val="22"/>
          </w:rPr>
          <w:t>39251</w:t>
        </w:r>
      </w:hyperlink>
      <w:r w:rsidRPr="00181272">
        <w:rPr>
          <w:sz w:val="22"/>
          <w:szCs w:val="22"/>
        </w:rPr>
        <w:t>)</w:t>
      </w:r>
    </w:p>
    <w:p w:rsidR="00A25AB0" w:rsidRPr="00181272" w:rsidRDefault="00A25AB0" w:rsidP="00CC5785">
      <w:pPr>
        <w:widowControl w:val="0"/>
        <w:rPr>
          <w:sz w:val="20"/>
        </w:rPr>
      </w:pPr>
    </w:p>
    <w:p w:rsidR="00FA6403" w:rsidRPr="00181272" w:rsidRDefault="00FA6403" w:rsidP="00CC5785">
      <w:pPr>
        <w:jc w:val="both"/>
        <w:rPr>
          <w:sz w:val="20"/>
        </w:rPr>
      </w:pPr>
      <w:r w:rsidRPr="00181272">
        <w:rPr>
          <w:sz w:val="20"/>
        </w:rPr>
        <w:t>The application for leave to appeal from the judgment of the Federal Court of Appeal, Number A-174-19, 2019 FCA 316, dated December 18, 2019, is dismissed with costs.</w:t>
      </w:r>
    </w:p>
    <w:p w:rsidR="00FA6403" w:rsidRPr="00181272" w:rsidRDefault="00FA6403" w:rsidP="00CC5785">
      <w:pPr>
        <w:jc w:val="both"/>
        <w:rPr>
          <w:sz w:val="20"/>
        </w:rPr>
      </w:pPr>
    </w:p>
    <w:p w:rsidR="00FA6403" w:rsidRPr="00181272" w:rsidRDefault="00FA6403" w:rsidP="00CC5785">
      <w:pPr>
        <w:rPr>
          <w:sz w:val="20"/>
          <w:lang w:val="fr-CA"/>
        </w:rPr>
      </w:pPr>
      <w:r w:rsidRPr="00181272">
        <w:rPr>
          <w:sz w:val="20"/>
          <w:lang w:val="fr-CA"/>
        </w:rPr>
        <w:t>La demande d’autorisation d’appel de l’arrêt de la Cour d’appel fédérale, numéro A-174-19, 2019 CAF 316, daté du 18 décembre 2019, est rejetée avec dépens.</w:t>
      </w:r>
    </w:p>
    <w:p w:rsidR="005A4DC5" w:rsidRPr="00181272" w:rsidRDefault="005A4DC5" w:rsidP="00CC5785">
      <w:pPr>
        <w:widowControl w:val="0"/>
        <w:rPr>
          <w:sz w:val="20"/>
          <w:lang w:val="fr-CA"/>
        </w:rPr>
      </w:pPr>
    </w:p>
    <w:p w:rsidR="00A25AB0" w:rsidRPr="00181272" w:rsidRDefault="00CC5785" w:rsidP="00CC5785">
      <w:pPr>
        <w:widowControl w:val="0"/>
        <w:rPr>
          <w:sz w:val="20"/>
        </w:rPr>
      </w:pPr>
      <w:r>
        <w:rPr>
          <w:sz w:val="20"/>
        </w:rPr>
        <w:pict>
          <v:rect id="_x0000_i1034" style="width:2in;height:1pt" o:hrpct="0" o:hralign="center" o:hrstd="t" o:hrnoshade="t" o:hr="t" fillcolor="black [3213]" stroked="f"/>
        </w:pict>
      </w:r>
    </w:p>
    <w:p w:rsidR="00A25AB0" w:rsidRPr="00181272" w:rsidRDefault="00A25AB0" w:rsidP="00CC5785">
      <w:pPr>
        <w:widowControl w:val="0"/>
        <w:rPr>
          <w:sz w:val="20"/>
        </w:rPr>
      </w:pPr>
    </w:p>
    <w:p w:rsidR="000B06BC" w:rsidRPr="00181272" w:rsidRDefault="000B06BC" w:rsidP="00CC5785">
      <w:pPr>
        <w:tabs>
          <w:tab w:val="left" w:pos="490"/>
        </w:tabs>
        <w:rPr>
          <w:sz w:val="22"/>
          <w:szCs w:val="22"/>
        </w:rPr>
      </w:pPr>
      <w:r w:rsidRPr="00181272">
        <w:rPr>
          <w:i/>
          <w:sz w:val="22"/>
          <w:szCs w:val="22"/>
          <w:lang w:val="en-CA"/>
        </w:rPr>
        <w:t>Charles Murray Wilson v. Daniel Peter Staples, in his capacity as the Executor of the Estate of Nellie Elizabeth Adams, Deceased, and Salvation Army</w:t>
      </w:r>
      <w:r w:rsidRPr="00181272">
        <w:rPr>
          <w:i/>
          <w:sz w:val="22"/>
          <w:szCs w:val="22"/>
        </w:rPr>
        <w:t xml:space="preserve"> </w:t>
      </w:r>
      <w:r w:rsidRPr="00181272">
        <w:rPr>
          <w:sz w:val="22"/>
          <w:szCs w:val="22"/>
          <w:lang w:val="en-CA"/>
        </w:rPr>
        <w:t xml:space="preserve">(Sask.) (Civil) (By Leave) </w:t>
      </w:r>
      <w:r w:rsidRPr="00181272">
        <w:rPr>
          <w:sz w:val="22"/>
          <w:szCs w:val="22"/>
        </w:rPr>
        <w:t>(</w:t>
      </w:r>
      <w:hyperlink r:id="rId17" w:history="1">
        <w:r w:rsidRPr="00181272">
          <w:rPr>
            <w:rStyle w:val="Hyperlink"/>
            <w:sz w:val="22"/>
            <w:szCs w:val="22"/>
          </w:rPr>
          <w:t>39207</w:t>
        </w:r>
      </w:hyperlink>
      <w:r w:rsidRPr="00181272">
        <w:rPr>
          <w:sz w:val="22"/>
          <w:szCs w:val="22"/>
        </w:rPr>
        <w:t>)</w:t>
      </w:r>
    </w:p>
    <w:p w:rsidR="00A25AB0" w:rsidRPr="00181272" w:rsidRDefault="00A25AB0" w:rsidP="00CC5785">
      <w:pPr>
        <w:widowControl w:val="0"/>
        <w:rPr>
          <w:sz w:val="20"/>
        </w:rPr>
      </w:pPr>
    </w:p>
    <w:p w:rsidR="000B06BC" w:rsidRPr="00181272" w:rsidRDefault="000B06BC" w:rsidP="00CC5785">
      <w:pPr>
        <w:jc w:val="both"/>
        <w:rPr>
          <w:sz w:val="20"/>
        </w:rPr>
      </w:pPr>
      <w:r w:rsidRPr="00181272">
        <w:rPr>
          <w:sz w:val="20"/>
        </w:rPr>
        <w:t>The application for leave to appeal from the judgment of the Court of Appeal for Saskatchewan, Number CACV3309, 2020 SKCA 38, dated March 31, 2020, is dismissed with costs.</w:t>
      </w:r>
    </w:p>
    <w:p w:rsidR="000B06BC" w:rsidRPr="00181272" w:rsidRDefault="000B06BC" w:rsidP="00CC5785">
      <w:pPr>
        <w:jc w:val="both"/>
        <w:rPr>
          <w:sz w:val="20"/>
        </w:rPr>
      </w:pPr>
    </w:p>
    <w:p w:rsidR="000B06BC" w:rsidRPr="00181272" w:rsidRDefault="000B06BC" w:rsidP="00CC5785">
      <w:pPr>
        <w:rPr>
          <w:sz w:val="20"/>
          <w:lang w:val="fr-CA"/>
        </w:rPr>
      </w:pPr>
      <w:r w:rsidRPr="00181272">
        <w:rPr>
          <w:sz w:val="20"/>
          <w:lang w:val="fr-CA"/>
        </w:rPr>
        <w:t>La demande d’autorisation d’appel de l’arrêt de la Cour d’appel de la Saskatchewan, numéro CACV3309, 2020 SKCA 38, daté du 31 mars 2020, est rejetée avec dépens.</w:t>
      </w:r>
    </w:p>
    <w:p w:rsidR="005A4DC5" w:rsidRPr="00181272" w:rsidRDefault="005A4DC5" w:rsidP="00CC5785">
      <w:pPr>
        <w:widowControl w:val="0"/>
        <w:rPr>
          <w:sz w:val="20"/>
          <w:lang w:val="fr-CA"/>
        </w:rPr>
      </w:pPr>
    </w:p>
    <w:p w:rsidR="00A25AB0" w:rsidRPr="00181272" w:rsidRDefault="00CC5785" w:rsidP="00CC5785">
      <w:pPr>
        <w:widowControl w:val="0"/>
        <w:rPr>
          <w:sz w:val="20"/>
        </w:rPr>
      </w:pPr>
      <w:r>
        <w:rPr>
          <w:sz w:val="20"/>
        </w:rPr>
        <w:pict>
          <v:rect id="_x0000_i1035" style="width:2in;height:1pt" o:hrpct="0" o:hralign="center" o:hrstd="t" o:hrnoshade="t" o:hr="t" fillcolor="black [3213]" stroked="f"/>
        </w:pict>
      </w:r>
    </w:p>
    <w:p w:rsidR="00A25AB0" w:rsidRPr="00181272" w:rsidRDefault="00A25AB0" w:rsidP="00CC5785">
      <w:pPr>
        <w:widowControl w:val="0"/>
        <w:rPr>
          <w:sz w:val="20"/>
        </w:rPr>
      </w:pPr>
    </w:p>
    <w:p w:rsidR="003F2D03" w:rsidRPr="00181272" w:rsidRDefault="003F2D03" w:rsidP="00CC5785">
      <w:pPr>
        <w:jc w:val="both"/>
        <w:rPr>
          <w:b/>
          <w:sz w:val="22"/>
          <w:szCs w:val="22"/>
        </w:rPr>
      </w:pPr>
      <w:r w:rsidRPr="00181272">
        <w:rPr>
          <w:b/>
          <w:sz w:val="22"/>
          <w:szCs w:val="22"/>
        </w:rPr>
        <w:t>REMANDED / RENVOYÉE</w:t>
      </w:r>
    </w:p>
    <w:p w:rsidR="00A25AB0" w:rsidRPr="00181272" w:rsidRDefault="00A25AB0" w:rsidP="00CC5785">
      <w:pPr>
        <w:widowControl w:val="0"/>
        <w:rPr>
          <w:sz w:val="20"/>
        </w:rPr>
      </w:pPr>
    </w:p>
    <w:p w:rsidR="000A5BFF" w:rsidRPr="00181272" w:rsidRDefault="000A5BFF" w:rsidP="00CC5785">
      <w:pPr>
        <w:rPr>
          <w:sz w:val="22"/>
          <w:szCs w:val="22"/>
        </w:rPr>
      </w:pPr>
      <w:r w:rsidRPr="00181272">
        <w:rPr>
          <w:i/>
          <w:sz w:val="22"/>
          <w:szCs w:val="22"/>
          <w:lang w:val="en-CA"/>
        </w:rPr>
        <w:t xml:space="preserve">James Anthony Manastersky v. RBC Dominion Securities Inc. </w:t>
      </w:r>
      <w:r w:rsidRPr="00181272">
        <w:rPr>
          <w:sz w:val="22"/>
          <w:szCs w:val="22"/>
        </w:rPr>
        <w:t>(Ont.) (Civil) (By Leave)</w:t>
      </w:r>
      <w:r w:rsidRPr="00181272">
        <w:rPr>
          <w:sz w:val="22"/>
          <w:szCs w:val="22"/>
          <w:lang w:val="en-CA"/>
        </w:rPr>
        <w:t xml:space="preserve"> </w:t>
      </w:r>
      <w:r w:rsidRPr="00181272">
        <w:rPr>
          <w:sz w:val="22"/>
          <w:szCs w:val="22"/>
        </w:rPr>
        <w:t>(</w:t>
      </w:r>
      <w:hyperlink r:id="rId18" w:history="1">
        <w:r w:rsidRPr="00181272">
          <w:rPr>
            <w:rStyle w:val="Hyperlink"/>
            <w:sz w:val="22"/>
            <w:szCs w:val="22"/>
          </w:rPr>
          <w:t>38788</w:t>
        </w:r>
      </w:hyperlink>
      <w:r w:rsidRPr="00181272">
        <w:rPr>
          <w:sz w:val="22"/>
          <w:szCs w:val="22"/>
        </w:rPr>
        <w:t>)</w:t>
      </w:r>
    </w:p>
    <w:p w:rsidR="003F2D03" w:rsidRPr="00181272" w:rsidRDefault="003F2D03" w:rsidP="00CC5785">
      <w:pPr>
        <w:widowControl w:val="0"/>
        <w:rPr>
          <w:sz w:val="20"/>
        </w:rPr>
      </w:pPr>
    </w:p>
    <w:p w:rsidR="000A5BFF" w:rsidRPr="00181272" w:rsidRDefault="000A5BFF" w:rsidP="00CC5785">
      <w:pPr>
        <w:jc w:val="both"/>
        <w:rPr>
          <w:sz w:val="20"/>
        </w:rPr>
      </w:pPr>
      <w:r w:rsidRPr="00181272">
        <w:rPr>
          <w:sz w:val="20"/>
        </w:rPr>
        <w:t xml:space="preserve">Pursuant to subsection 43(1.1) of the </w:t>
      </w:r>
      <w:r w:rsidRPr="00181272">
        <w:rPr>
          <w:i/>
          <w:sz w:val="20"/>
        </w:rPr>
        <w:t>Supreme Court Act</w:t>
      </w:r>
      <w:r w:rsidRPr="00181272">
        <w:rPr>
          <w:sz w:val="20"/>
        </w:rPr>
        <w:t xml:space="preserve">, the case forming the basis of the application for leave to appeal from the judgment of the Court of Appeal for Ontario, Number C65121, 2019 ONCA 609, dated July 18, 2019, is remanded to the Court of Appeal for Ontario for disposition in accordance with </w:t>
      </w:r>
      <w:r w:rsidRPr="00181272">
        <w:rPr>
          <w:i/>
          <w:color w:val="000000"/>
          <w:sz w:val="20"/>
        </w:rPr>
        <w:t>Matthews </w:t>
      </w:r>
      <w:r w:rsidRPr="00181272">
        <w:rPr>
          <w:i/>
          <w:iCs/>
          <w:color w:val="000000"/>
          <w:sz w:val="20"/>
        </w:rPr>
        <w:t>v.</w:t>
      </w:r>
      <w:r w:rsidRPr="00181272">
        <w:rPr>
          <w:i/>
          <w:color w:val="000000"/>
          <w:sz w:val="20"/>
        </w:rPr>
        <w:t> Ocean Nutrition Canada Ltd., 2020 SCC 26.</w:t>
      </w:r>
    </w:p>
    <w:p w:rsidR="003F2D03" w:rsidRPr="00181272" w:rsidRDefault="003F2D03" w:rsidP="00CC5785">
      <w:pPr>
        <w:widowControl w:val="0"/>
        <w:rPr>
          <w:sz w:val="20"/>
        </w:rPr>
      </w:pPr>
    </w:p>
    <w:p w:rsidR="003F2D03" w:rsidRPr="00181272" w:rsidRDefault="000A5BFF" w:rsidP="00CC5785">
      <w:pPr>
        <w:widowControl w:val="0"/>
        <w:rPr>
          <w:sz w:val="20"/>
          <w:lang w:val="fr-CA"/>
        </w:rPr>
      </w:pPr>
      <w:r w:rsidRPr="00181272">
        <w:rPr>
          <w:sz w:val="20"/>
          <w:lang w:val="fr-CA"/>
        </w:rPr>
        <w:t xml:space="preserve">Conformément au paragraphe 43(1.1) de la </w:t>
      </w:r>
      <w:r w:rsidRPr="00181272">
        <w:rPr>
          <w:i/>
          <w:sz w:val="20"/>
          <w:lang w:val="fr-CA"/>
        </w:rPr>
        <w:t>Loi sur la Cour suprême du Canada</w:t>
      </w:r>
      <w:r w:rsidRPr="00181272">
        <w:rPr>
          <w:sz w:val="20"/>
          <w:lang w:val="fr-CA"/>
        </w:rPr>
        <w:t xml:space="preserve">, l’affaire à l’origine de la demande d’autorisation d’appel de l’arrêt de la Cour d’appel de l’Ontario, numéro C65121, 2019 ONCA 609, daté du 18 juillet 2019, est </w:t>
      </w:r>
      <w:r w:rsidRPr="00181272">
        <w:rPr>
          <w:color w:val="000000"/>
          <w:sz w:val="20"/>
          <w:lang w:val="fr-CA"/>
        </w:rPr>
        <w:t xml:space="preserve">renvoyée à la Cour d’appel de l’Ontario pour qu’elle statue en conformité avec </w:t>
      </w:r>
      <w:r w:rsidRPr="00181272">
        <w:rPr>
          <w:i/>
          <w:color w:val="000000"/>
          <w:sz w:val="20"/>
          <w:lang w:val="fr-CA"/>
        </w:rPr>
        <w:t>Matthews </w:t>
      </w:r>
      <w:r w:rsidRPr="00181272">
        <w:rPr>
          <w:i/>
          <w:iCs/>
          <w:color w:val="000000"/>
          <w:sz w:val="20"/>
          <w:lang w:val="fr-CA"/>
        </w:rPr>
        <w:t>c.</w:t>
      </w:r>
      <w:r w:rsidRPr="00181272">
        <w:rPr>
          <w:i/>
          <w:color w:val="000000"/>
          <w:sz w:val="20"/>
          <w:lang w:val="fr-CA"/>
        </w:rPr>
        <w:t> Ocean Nutrition Canada Ltd., 2020 CSC 26.</w:t>
      </w:r>
    </w:p>
    <w:p w:rsidR="00491CDD" w:rsidRPr="00181272" w:rsidRDefault="00491CDD" w:rsidP="00CC5785">
      <w:pPr>
        <w:widowControl w:val="0"/>
        <w:rPr>
          <w:sz w:val="20"/>
          <w:lang w:val="fr-CA"/>
        </w:rPr>
      </w:pPr>
    </w:p>
    <w:p w:rsidR="00491CDD" w:rsidRPr="00181272" w:rsidRDefault="00CC5785" w:rsidP="00CC5785">
      <w:pPr>
        <w:widowControl w:val="0"/>
        <w:rPr>
          <w:sz w:val="20"/>
        </w:rPr>
      </w:pPr>
      <w:r>
        <w:rPr>
          <w:sz w:val="20"/>
        </w:rPr>
        <w:pict>
          <v:rect id="_x0000_i1036" style="width:2in;height:1pt" o:hrpct="0" o:hralign="center" o:hrstd="t" o:hrnoshade="t" o:hr="t" fillcolor="black [3213]" stroked="f"/>
        </w:pict>
      </w:r>
    </w:p>
    <w:p w:rsidR="00491CDD" w:rsidRPr="00181272" w:rsidRDefault="00491CDD" w:rsidP="00CC5785">
      <w:pPr>
        <w:widowControl w:val="0"/>
        <w:rPr>
          <w:sz w:val="20"/>
        </w:rPr>
      </w:pPr>
    </w:p>
    <w:p w:rsidR="00A25AB0" w:rsidRPr="00181272" w:rsidRDefault="00A25AB0" w:rsidP="00CC5785">
      <w:pPr>
        <w:ind w:left="357" w:hanging="357"/>
        <w:rPr>
          <w:sz w:val="20"/>
        </w:rPr>
      </w:pPr>
    </w:p>
    <w:p w:rsidR="00927F71" w:rsidRPr="00181272" w:rsidRDefault="00927F71" w:rsidP="00CC5785">
      <w:pPr>
        <w:widowControl w:val="0"/>
        <w:autoSpaceDE w:val="0"/>
        <w:autoSpaceDN w:val="0"/>
        <w:adjustRightInd w:val="0"/>
        <w:ind w:left="357" w:hanging="357"/>
        <w:rPr>
          <w:sz w:val="20"/>
        </w:rPr>
      </w:pPr>
    </w:p>
    <w:p w:rsidR="00D3344A" w:rsidRPr="00181272" w:rsidRDefault="00D3344A" w:rsidP="00CC5785">
      <w:pPr>
        <w:widowControl w:val="0"/>
        <w:outlineLvl w:val="0"/>
      </w:pPr>
      <w:r w:rsidRPr="00181272">
        <w:t xml:space="preserve">Supreme Court of Canada / Cour suprême du </w:t>
      </w:r>
      <w:proofErr w:type="gramStart"/>
      <w:r w:rsidRPr="00181272">
        <w:t>Canada :</w:t>
      </w:r>
      <w:proofErr w:type="gramEnd"/>
      <w:r w:rsidRPr="00181272">
        <w:t xml:space="preserve"> </w:t>
      </w:r>
    </w:p>
    <w:p w:rsidR="00D3344A" w:rsidRPr="00181272" w:rsidRDefault="00CC5785" w:rsidP="00CC5785">
      <w:pPr>
        <w:widowControl w:val="0"/>
        <w:outlineLvl w:val="0"/>
        <w:rPr>
          <w:color w:val="0000FF"/>
          <w:u w:val="single"/>
        </w:rPr>
      </w:pPr>
      <w:hyperlink r:id="rId19" w:history="1">
        <w:r w:rsidR="00D3344A" w:rsidRPr="00181272">
          <w:rPr>
            <w:rStyle w:val="Hyperlink"/>
          </w:rPr>
          <w:t>comments-commentaires@scc-csc.ca</w:t>
        </w:r>
      </w:hyperlink>
    </w:p>
    <w:p w:rsidR="00D3344A" w:rsidRPr="00181272" w:rsidRDefault="00D3344A" w:rsidP="00CC5785">
      <w:pPr>
        <w:widowControl w:val="0"/>
        <w:outlineLvl w:val="0"/>
      </w:pPr>
      <w:r w:rsidRPr="00181272">
        <w:t>(613) 995-4330</w:t>
      </w:r>
    </w:p>
    <w:p w:rsidR="00497B5E" w:rsidRPr="00181272" w:rsidRDefault="00497B5E" w:rsidP="00CC5785">
      <w:pPr>
        <w:widowControl w:val="0"/>
        <w:rPr>
          <w:sz w:val="20"/>
        </w:rPr>
      </w:pPr>
    </w:p>
    <w:p w:rsidR="003F43E6" w:rsidRPr="00181272" w:rsidRDefault="003F43E6" w:rsidP="00CC5785">
      <w:pPr>
        <w:widowControl w:val="0"/>
        <w:rPr>
          <w:sz w:val="20"/>
        </w:rPr>
      </w:pPr>
    </w:p>
    <w:p w:rsidR="00224F26" w:rsidRPr="00910AEC" w:rsidRDefault="003F43E6" w:rsidP="00CC5785">
      <w:pPr>
        <w:pStyle w:val="Footer"/>
        <w:jc w:val="center"/>
      </w:pPr>
      <w:r w:rsidRPr="00181272">
        <w:t>- 30</w:t>
      </w:r>
      <w:r w:rsidR="00312438" w:rsidRPr="00181272">
        <w:t xml:space="preserve"> -</w:t>
      </w:r>
    </w:p>
    <w:p w:rsidR="00C711D9" w:rsidRPr="00910AEC" w:rsidRDefault="00C711D9" w:rsidP="00CC5785">
      <w:pPr>
        <w:pStyle w:val="Footer"/>
        <w:jc w:val="center"/>
      </w:pPr>
    </w:p>
    <w:sectPr w:rsidR="00C711D9" w:rsidRPr="00910AEC" w:rsidSect="007C3E99">
      <w:headerReference w:type="even" r:id="rId20"/>
      <w:headerReference w:type="default" r:id="rId21"/>
      <w:footerReference w:type="even" r:id="rId22"/>
      <w:footerReference w:type="default" r:id="rId23"/>
      <w:headerReference w:type="first" r:id="rId24"/>
      <w:footerReference w:type="first" r:id="rId2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8"/>
  </w:num>
  <w:num w:numId="4">
    <w:abstractNumId w:val="33"/>
  </w:num>
  <w:num w:numId="5">
    <w:abstractNumId w:val="29"/>
  </w:num>
  <w:num w:numId="6">
    <w:abstractNumId w:val="16"/>
  </w:num>
  <w:num w:numId="7">
    <w:abstractNumId w:val="23"/>
  </w:num>
  <w:num w:numId="8">
    <w:abstractNumId w:val="22"/>
  </w:num>
  <w:num w:numId="9">
    <w:abstractNumId w:val="2"/>
  </w:num>
  <w:num w:numId="10">
    <w:abstractNumId w:val="19"/>
  </w:num>
  <w:num w:numId="11">
    <w:abstractNumId w:val="32"/>
  </w:num>
  <w:num w:numId="12">
    <w:abstractNumId w:val="21"/>
  </w:num>
  <w:num w:numId="13">
    <w:abstractNumId w:val="14"/>
  </w:num>
  <w:num w:numId="14">
    <w:abstractNumId w:val="17"/>
  </w:num>
  <w:num w:numId="15">
    <w:abstractNumId w:val="0"/>
  </w:num>
  <w:num w:numId="16">
    <w:abstractNumId w:val="10"/>
  </w:num>
  <w:num w:numId="17">
    <w:abstractNumId w:val="24"/>
  </w:num>
  <w:num w:numId="18">
    <w:abstractNumId w:val="12"/>
  </w:num>
  <w:num w:numId="19">
    <w:abstractNumId w:val="13"/>
  </w:num>
  <w:num w:numId="20">
    <w:abstractNumId w:val="1"/>
  </w:num>
  <w:num w:numId="21">
    <w:abstractNumId w:val="34"/>
  </w:num>
  <w:num w:numId="22">
    <w:abstractNumId w:val="30"/>
  </w:num>
  <w:num w:numId="23">
    <w:abstractNumId w:val="11"/>
  </w:num>
  <w:num w:numId="24">
    <w:abstractNumId w:val="5"/>
  </w:num>
  <w:num w:numId="25">
    <w:abstractNumId w:val="7"/>
  </w:num>
  <w:num w:numId="26">
    <w:abstractNumId w:val="4"/>
  </w:num>
  <w:num w:numId="27">
    <w:abstractNumId w:val="26"/>
  </w:num>
  <w:num w:numId="28">
    <w:abstractNumId w:val="3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15"/>
  </w:num>
  <w:num w:numId="33">
    <w:abstractNumId w:val="37"/>
  </w:num>
  <w:num w:numId="34">
    <w:abstractNumId w:val="35"/>
  </w:num>
  <w:num w:numId="35">
    <w:abstractNumId w:val="25"/>
  </w:num>
  <w:num w:numId="36">
    <w:abstractNumId w:val="28"/>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0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CA5"/>
    <w:rsid w:val="000D0DA3"/>
    <w:rsid w:val="000D1CFF"/>
    <w:rsid w:val="000D2F9A"/>
    <w:rsid w:val="000D3129"/>
    <w:rsid w:val="000D4149"/>
    <w:rsid w:val="000D57BA"/>
    <w:rsid w:val="000D6566"/>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6465"/>
    <w:rsid w:val="003164B1"/>
    <w:rsid w:val="00316DFA"/>
    <w:rsid w:val="00316F29"/>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E71"/>
    <w:rsid w:val="00D151DB"/>
    <w:rsid w:val="00D151FA"/>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482B"/>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27" TargetMode="External"/><Relationship Id="rId13" Type="http://schemas.openxmlformats.org/officeDocument/2006/relationships/hyperlink" Target="https://www.scc-csc.ca/case-dossier/info/sum-som-eng.aspx?cas=39217" TargetMode="External"/><Relationship Id="rId18" Type="http://schemas.openxmlformats.org/officeDocument/2006/relationships/hyperlink" Target="https://www.scc-csc.ca/case-dossier/info/sum-som-eng.aspx?cas=387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39239" TargetMode="External"/><Relationship Id="rId17" Type="http://schemas.openxmlformats.org/officeDocument/2006/relationships/hyperlink" Target="https://www.scc-csc.ca/case-dossier/info/sum-som-eng.aspx?cas=3920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392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30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9233" TargetMode="External"/><Relationship Id="rId23" Type="http://schemas.openxmlformats.org/officeDocument/2006/relationships/footer" Target="footer2.xml"/><Relationship Id="rId10" Type="http://schemas.openxmlformats.org/officeDocument/2006/relationships/hyperlink" Target="https://www.scc-csc.ca/case-dossier/info/sum-som-eng.aspx?cas=39243"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eng.aspx?cas=39130" TargetMode="External"/><Relationship Id="rId14" Type="http://schemas.openxmlformats.org/officeDocument/2006/relationships/hyperlink" Target="https://www.scc-csc.ca/case-dossier/info/sum-som-fra.aspx?cas=39178"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2C3C-0DA1-40D3-9603-0A868E54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2020-11-10T18:54:00Z</dcterms:modified>
</cp:coreProperties>
</file>