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130E2" w:rsidRDefault="000E391F" w:rsidP="000E391F">
      <w:pPr>
        <w:pStyle w:val="Header"/>
        <w:jc w:val="center"/>
        <w:rPr>
          <w:b/>
          <w:sz w:val="32"/>
        </w:rPr>
      </w:pPr>
      <w:r w:rsidRPr="00D130E2">
        <w:rPr>
          <w:b/>
          <w:sz w:val="32"/>
        </w:rPr>
        <w:t>Supreme Court of Canada / Cour suprême du Canada</w:t>
      </w:r>
    </w:p>
    <w:p w:rsidR="000E391F" w:rsidRPr="00D130E2" w:rsidRDefault="000E391F" w:rsidP="000E391F">
      <w:pPr>
        <w:widowControl w:val="0"/>
      </w:pPr>
    </w:p>
    <w:p w:rsidR="000E391F" w:rsidRPr="00D130E2" w:rsidRDefault="000E391F" w:rsidP="000E391F">
      <w:pPr>
        <w:widowControl w:val="0"/>
        <w:rPr>
          <w:i/>
        </w:rPr>
      </w:pPr>
    </w:p>
    <w:p w:rsidR="006F2579" w:rsidRPr="00D130E2" w:rsidRDefault="006F2579" w:rsidP="006F2579">
      <w:pPr>
        <w:widowControl w:val="0"/>
        <w:rPr>
          <w:i/>
          <w:sz w:val="20"/>
        </w:rPr>
      </w:pPr>
      <w:r w:rsidRPr="00D130E2">
        <w:rPr>
          <w:i/>
          <w:sz w:val="20"/>
        </w:rPr>
        <w:t>(</w:t>
      </w:r>
      <w:r w:rsidR="003240B6" w:rsidRPr="00D130E2">
        <w:rPr>
          <w:i/>
          <w:sz w:val="20"/>
        </w:rPr>
        <w:t>L</w:t>
      </w:r>
      <w:r w:rsidRPr="00D130E2">
        <w:rPr>
          <w:i/>
          <w:sz w:val="20"/>
        </w:rPr>
        <w:t>e français suit)</w:t>
      </w:r>
    </w:p>
    <w:p w:rsidR="006F2579" w:rsidRPr="00D130E2" w:rsidRDefault="006F2579" w:rsidP="006F2579">
      <w:pPr>
        <w:widowControl w:val="0"/>
      </w:pPr>
    </w:p>
    <w:p w:rsidR="006F2579" w:rsidRPr="00D130E2" w:rsidRDefault="00B07908" w:rsidP="006F2579">
      <w:pPr>
        <w:widowControl w:val="0"/>
        <w:jc w:val="center"/>
        <w:rPr>
          <w:b/>
        </w:rPr>
      </w:pPr>
      <w:r w:rsidRPr="00D130E2">
        <w:fldChar w:fldCharType="begin"/>
      </w:r>
      <w:r w:rsidR="006F2579" w:rsidRPr="00D130E2">
        <w:instrText xml:space="preserve"> SEQ CHAPTER \h \r 1</w:instrText>
      </w:r>
      <w:r w:rsidRPr="00D130E2">
        <w:fldChar w:fldCharType="end"/>
      </w:r>
      <w:r w:rsidR="006F2579" w:rsidRPr="00D130E2">
        <w:rPr>
          <w:b/>
        </w:rPr>
        <w:t>JUDGMENT</w:t>
      </w:r>
      <w:r w:rsidR="00B17AAC" w:rsidRPr="00D130E2">
        <w:rPr>
          <w:b/>
        </w:rPr>
        <w:t>S</w:t>
      </w:r>
      <w:r w:rsidR="006F2579" w:rsidRPr="00D130E2">
        <w:rPr>
          <w:b/>
        </w:rPr>
        <w:t xml:space="preserve"> TO B</w:t>
      </w:r>
      <w:r w:rsidR="00001846" w:rsidRPr="00D130E2">
        <w:rPr>
          <w:b/>
        </w:rPr>
        <w:t>E RENDERED IN LE</w:t>
      </w:r>
      <w:r w:rsidR="00A0288A" w:rsidRPr="00D130E2">
        <w:rPr>
          <w:b/>
        </w:rPr>
        <w:t>A</w:t>
      </w:r>
      <w:r w:rsidR="00001846" w:rsidRPr="00D130E2">
        <w:rPr>
          <w:b/>
        </w:rPr>
        <w:t>VE APPLICATION</w:t>
      </w:r>
      <w:r w:rsidR="00511288" w:rsidRPr="00D130E2">
        <w:rPr>
          <w:b/>
        </w:rPr>
        <w:t>S</w:t>
      </w:r>
    </w:p>
    <w:p w:rsidR="006F2579" w:rsidRPr="00D130E2" w:rsidRDefault="006F2579" w:rsidP="006F2579">
      <w:pPr>
        <w:widowControl w:val="0"/>
      </w:pPr>
    </w:p>
    <w:p w:rsidR="006F2579" w:rsidRPr="00D130E2" w:rsidRDefault="008C3C00" w:rsidP="006F2579">
      <w:pPr>
        <w:widowControl w:val="0"/>
      </w:pPr>
      <w:r w:rsidRPr="00D130E2">
        <w:rPr>
          <w:b/>
        </w:rPr>
        <w:t>February</w:t>
      </w:r>
      <w:r w:rsidR="00A15B66" w:rsidRPr="00D130E2">
        <w:rPr>
          <w:b/>
        </w:rPr>
        <w:t xml:space="preserve"> </w:t>
      </w:r>
      <w:r w:rsidRPr="00D130E2">
        <w:rPr>
          <w:b/>
        </w:rPr>
        <w:t>1</w:t>
      </w:r>
      <w:r w:rsidR="004441C7" w:rsidRPr="00D130E2">
        <w:rPr>
          <w:b/>
        </w:rPr>
        <w:t>,</w:t>
      </w:r>
      <w:r w:rsidR="006F2579" w:rsidRPr="00D130E2">
        <w:rPr>
          <w:b/>
        </w:rPr>
        <w:t xml:space="preserve"> </w:t>
      </w:r>
      <w:r w:rsidR="0054689F" w:rsidRPr="00D130E2">
        <w:rPr>
          <w:b/>
        </w:rPr>
        <w:t>20</w:t>
      </w:r>
      <w:r w:rsidR="00526754" w:rsidRPr="00D130E2">
        <w:rPr>
          <w:b/>
        </w:rPr>
        <w:t>2</w:t>
      </w:r>
      <w:r w:rsidR="0068416C" w:rsidRPr="00D130E2">
        <w:rPr>
          <w:b/>
        </w:rPr>
        <w:t>1</w:t>
      </w:r>
    </w:p>
    <w:p w:rsidR="006F2579" w:rsidRPr="00D130E2" w:rsidRDefault="00674F39" w:rsidP="006F2579">
      <w:pPr>
        <w:widowControl w:val="0"/>
        <w:rPr>
          <w:b/>
        </w:rPr>
      </w:pPr>
      <w:r w:rsidRPr="00D130E2">
        <w:rPr>
          <w:b/>
        </w:rPr>
        <w:t>For immediate release</w:t>
      </w:r>
    </w:p>
    <w:p w:rsidR="006F2579" w:rsidRPr="00D130E2" w:rsidRDefault="006F2579" w:rsidP="006F2579">
      <w:pPr>
        <w:widowControl w:val="0"/>
      </w:pPr>
    </w:p>
    <w:p w:rsidR="006F2579" w:rsidRPr="00D130E2" w:rsidRDefault="006F2579" w:rsidP="006F2579">
      <w:pPr>
        <w:widowControl w:val="0"/>
        <w:rPr>
          <w:lang w:val="fr-CA"/>
        </w:rPr>
      </w:pPr>
      <w:r w:rsidRPr="00D130E2">
        <w:rPr>
          <w:b/>
        </w:rPr>
        <w:t>OTTAWA</w:t>
      </w:r>
      <w:r w:rsidRPr="00D130E2">
        <w:t xml:space="preserve"> – The Supreme Court of Canad</w:t>
      </w:r>
      <w:r w:rsidR="006246E4" w:rsidRPr="00D130E2">
        <w:t>a</w:t>
      </w:r>
      <w:r w:rsidRPr="00D130E2">
        <w:t xml:space="preserve"> announced today that judgment in the following </w:t>
      </w:r>
      <w:r w:rsidR="00DB6199" w:rsidRPr="00D130E2">
        <w:t xml:space="preserve">leave applications </w:t>
      </w:r>
      <w:r w:rsidRPr="00D130E2">
        <w:t xml:space="preserve">will be delivered at 9:45 a.m. </w:t>
      </w:r>
      <w:r w:rsidR="00E05816" w:rsidRPr="00D130E2">
        <w:t>E</w:t>
      </w:r>
      <w:r w:rsidR="004C631D" w:rsidRPr="00D130E2">
        <w:t>S</w:t>
      </w:r>
      <w:r w:rsidR="00E05816" w:rsidRPr="00D130E2">
        <w:t>T</w:t>
      </w:r>
      <w:r w:rsidRPr="00D130E2">
        <w:t xml:space="preserve"> on </w:t>
      </w:r>
      <w:r w:rsidR="0068416C" w:rsidRPr="00D130E2">
        <w:t>Thursday</w:t>
      </w:r>
      <w:r w:rsidRPr="00D130E2">
        <w:t xml:space="preserve">, </w:t>
      </w:r>
      <w:r w:rsidR="008C3C00" w:rsidRPr="00D130E2">
        <w:t>February</w:t>
      </w:r>
      <w:r w:rsidR="00455912" w:rsidRPr="00D130E2">
        <w:t xml:space="preserve"> </w:t>
      </w:r>
      <w:r w:rsidR="008C3C00" w:rsidRPr="00D130E2">
        <w:t>4</w:t>
      </w:r>
      <w:r w:rsidR="007E112F" w:rsidRPr="00D130E2">
        <w:t>,</w:t>
      </w:r>
      <w:r w:rsidR="002F38D7" w:rsidRPr="00D130E2">
        <w:t xml:space="preserve"> </w:t>
      </w:r>
      <w:r w:rsidR="006648D1" w:rsidRPr="00D130E2">
        <w:t>20</w:t>
      </w:r>
      <w:r w:rsidR="00526754" w:rsidRPr="00D130E2">
        <w:t>2</w:t>
      </w:r>
      <w:r w:rsidR="00DD65CF" w:rsidRPr="00D130E2">
        <w:t>1</w:t>
      </w:r>
      <w:r w:rsidRPr="00D130E2">
        <w:t xml:space="preserve">. </w:t>
      </w:r>
      <w:r w:rsidRPr="00D130E2">
        <w:rPr>
          <w:lang w:val="fr-CA"/>
        </w:rPr>
        <w:t>This list is subject to chang</w:t>
      </w:r>
      <w:r w:rsidR="00192F7F" w:rsidRPr="00D130E2">
        <w:rPr>
          <w:lang w:val="fr-CA"/>
        </w:rPr>
        <w:t>e</w:t>
      </w:r>
      <w:r w:rsidRPr="00D130E2">
        <w:rPr>
          <w:lang w:val="fr-CA"/>
        </w:rPr>
        <w:t>.</w:t>
      </w:r>
    </w:p>
    <w:p w:rsidR="00FF5AA4" w:rsidRPr="00D130E2" w:rsidRDefault="00FF5AA4" w:rsidP="006F2579">
      <w:pPr>
        <w:widowControl w:val="0"/>
        <w:rPr>
          <w:lang w:val="fr-CA"/>
        </w:rPr>
      </w:pPr>
    </w:p>
    <w:p w:rsidR="00B43418" w:rsidRPr="00D130E2" w:rsidRDefault="00B43418" w:rsidP="006F2579">
      <w:pPr>
        <w:widowControl w:val="0"/>
        <w:rPr>
          <w:lang w:val="fr-CA"/>
        </w:rPr>
      </w:pPr>
    </w:p>
    <w:p w:rsidR="006F2579" w:rsidRPr="00D130E2" w:rsidRDefault="006F2579" w:rsidP="006F2579">
      <w:pPr>
        <w:widowControl w:val="0"/>
        <w:jc w:val="center"/>
        <w:rPr>
          <w:lang w:val="fr-CA"/>
        </w:rPr>
      </w:pPr>
      <w:r w:rsidRPr="00D130E2">
        <w:rPr>
          <w:b/>
          <w:lang w:val="fr-CA"/>
        </w:rPr>
        <w:t>PROCHAIN</w:t>
      </w:r>
      <w:r w:rsidR="00B17AAC" w:rsidRPr="00D130E2">
        <w:rPr>
          <w:b/>
          <w:lang w:val="fr-CA"/>
        </w:rPr>
        <w:t>S</w:t>
      </w:r>
      <w:r w:rsidRPr="00D130E2">
        <w:rPr>
          <w:b/>
          <w:lang w:val="fr-CA"/>
        </w:rPr>
        <w:t xml:space="preserve"> JUGEMENT</w:t>
      </w:r>
      <w:r w:rsidR="00B17AAC" w:rsidRPr="00D130E2">
        <w:rPr>
          <w:b/>
          <w:lang w:val="fr-CA"/>
        </w:rPr>
        <w:t>S</w:t>
      </w:r>
      <w:r w:rsidR="00001846" w:rsidRPr="00D130E2">
        <w:rPr>
          <w:b/>
          <w:lang w:val="fr-CA"/>
        </w:rPr>
        <w:t xml:space="preserve"> SUR DEMANDE</w:t>
      </w:r>
      <w:r w:rsidR="00B17AAC" w:rsidRPr="00D130E2">
        <w:rPr>
          <w:b/>
          <w:lang w:val="fr-CA"/>
        </w:rPr>
        <w:t>S</w:t>
      </w:r>
      <w:r w:rsidRPr="00D130E2">
        <w:rPr>
          <w:b/>
          <w:lang w:val="fr-CA"/>
        </w:rPr>
        <w:t xml:space="preserve"> D’AUTORISATION</w:t>
      </w:r>
    </w:p>
    <w:p w:rsidR="006F2579" w:rsidRPr="00D130E2" w:rsidRDefault="006F2579" w:rsidP="006F2579">
      <w:pPr>
        <w:widowControl w:val="0"/>
        <w:rPr>
          <w:lang w:val="fr-CA"/>
        </w:rPr>
      </w:pPr>
    </w:p>
    <w:p w:rsidR="006F2579" w:rsidRPr="00D130E2" w:rsidRDefault="006F2579" w:rsidP="006F2579">
      <w:pPr>
        <w:widowControl w:val="0"/>
        <w:rPr>
          <w:lang w:val="fr-CA"/>
        </w:rPr>
      </w:pPr>
      <w:r w:rsidRPr="00D130E2">
        <w:rPr>
          <w:b/>
          <w:lang w:val="fr-CA"/>
        </w:rPr>
        <w:t>Le</w:t>
      </w:r>
      <w:r w:rsidR="00957A76" w:rsidRPr="00D130E2">
        <w:rPr>
          <w:b/>
          <w:lang w:val="fr-CA"/>
        </w:rPr>
        <w:t xml:space="preserve"> </w:t>
      </w:r>
      <w:r w:rsidR="008C3C00" w:rsidRPr="00D130E2">
        <w:rPr>
          <w:b/>
          <w:lang w:val="fr-CA"/>
        </w:rPr>
        <w:t>1</w:t>
      </w:r>
      <w:r w:rsidR="008C3C00" w:rsidRPr="00D130E2">
        <w:rPr>
          <w:b/>
          <w:vertAlign w:val="superscript"/>
          <w:lang w:val="fr-CA"/>
        </w:rPr>
        <w:t>er</w:t>
      </w:r>
      <w:r w:rsidR="008C3C00" w:rsidRPr="00D130E2">
        <w:rPr>
          <w:b/>
          <w:lang w:val="fr-CA"/>
        </w:rPr>
        <w:t xml:space="preserve"> févr</w:t>
      </w:r>
      <w:r w:rsidR="0068416C" w:rsidRPr="00D130E2">
        <w:rPr>
          <w:b/>
          <w:lang w:val="fr-CA"/>
        </w:rPr>
        <w:t>ier</w:t>
      </w:r>
      <w:r w:rsidR="00A151D1" w:rsidRPr="00D130E2">
        <w:rPr>
          <w:b/>
          <w:lang w:val="fr-CA"/>
        </w:rPr>
        <w:t xml:space="preserve"> 20</w:t>
      </w:r>
      <w:r w:rsidR="00526754" w:rsidRPr="00D130E2">
        <w:rPr>
          <w:b/>
          <w:lang w:val="fr-CA"/>
        </w:rPr>
        <w:t>2</w:t>
      </w:r>
      <w:r w:rsidR="0068416C" w:rsidRPr="00D130E2">
        <w:rPr>
          <w:b/>
          <w:lang w:val="fr-CA"/>
        </w:rPr>
        <w:t>1</w:t>
      </w:r>
    </w:p>
    <w:p w:rsidR="006F2579" w:rsidRPr="00D130E2" w:rsidRDefault="006F2579" w:rsidP="006F2579">
      <w:pPr>
        <w:widowControl w:val="0"/>
        <w:rPr>
          <w:b/>
          <w:lang w:val="fr-CA"/>
        </w:rPr>
      </w:pPr>
      <w:r w:rsidRPr="00D130E2">
        <w:rPr>
          <w:b/>
          <w:lang w:val="fr-CA"/>
        </w:rPr>
        <w:t>Pour diffusion immédiate</w:t>
      </w:r>
    </w:p>
    <w:p w:rsidR="006F2579" w:rsidRPr="00D130E2" w:rsidRDefault="006F2579" w:rsidP="006F2579">
      <w:pPr>
        <w:widowControl w:val="0"/>
        <w:rPr>
          <w:lang w:val="fr-CA"/>
        </w:rPr>
      </w:pPr>
    </w:p>
    <w:p w:rsidR="006F2579" w:rsidRPr="00D130E2" w:rsidRDefault="006F2579" w:rsidP="006F2579">
      <w:pPr>
        <w:widowControl w:val="0"/>
        <w:rPr>
          <w:lang w:val="fr-CA"/>
        </w:rPr>
      </w:pPr>
      <w:r w:rsidRPr="00D130E2">
        <w:rPr>
          <w:b/>
          <w:lang w:val="fr-CA"/>
        </w:rPr>
        <w:t>OTTAWA</w:t>
      </w:r>
      <w:r w:rsidRPr="00D130E2">
        <w:rPr>
          <w:lang w:val="fr-CA"/>
        </w:rPr>
        <w:t xml:space="preserve"> – La Cour suprême du Canada annonce que jugement ser</w:t>
      </w:r>
      <w:r w:rsidR="004259F9" w:rsidRPr="00D130E2">
        <w:rPr>
          <w:lang w:val="fr-CA"/>
        </w:rPr>
        <w:t>a</w:t>
      </w:r>
      <w:r w:rsidRPr="00D130E2">
        <w:rPr>
          <w:lang w:val="fr-CA"/>
        </w:rPr>
        <w:t xml:space="preserve"> rendu dans l</w:t>
      </w:r>
      <w:r w:rsidR="008600ED" w:rsidRPr="00D130E2">
        <w:rPr>
          <w:lang w:val="fr-CA"/>
        </w:rPr>
        <w:t>es</w:t>
      </w:r>
      <w:r w:rsidRPr="00D130E2">
        <w:rPr>
          <w:lang w:val="fr-CA"/>
        </w:rPr>
        <w:t xml:space="preserve"> demande</w:t>
      </w:r>
      <w:r w:rsidR="008600ED" w:rsidRPr="00D130E2">
        <w:rPr>
          <w:lang w:val="fr-CA"/>
        </w:rPr>
        <w:t>s</w:t>
      </w:r>
      <w:r w:rsidRPr="00D130E2">
        <w:rPr>
          <w:lang w:val="fr-CA"/>
        </w:rPr>
        <w:t xml:space="preserve"> d</w:t>
      </w:r>
      <w:r w:rsidR="00001846" w:rsidRPr="00D130E2">
        <w:rPr>
          <w:lang w:val="fr-CA"/>
        </w:rPr>
        <w:t>’autorisation suivante</w:t>
      </w:r>
      <w:r w:rsidR="008600ED" w:rsidRPr="00D130E2">
        <w:rPr>
          <w:lang w:val="fr-CA"/>
        </w:rPr>
        <w:t>s</w:t>
      </w:r>
      <w:r w:rsidRPr="00D130E2">
        <w:rPr>
          <w:lang w:val="fr-CA"/>
        </w:rPr>
        <w:t xml:space="preserve"> le </w:t>
      </w:r>
      <w:r w:rsidR="0068416C" w:rsidRPr="00D130E2">
        <w:rPr>
          <w:lang w:val="fr-CA"/>
        </w:rPr>
        <w:t>jeudi</w:t>
      </w:r>
      <w:r w:rsidRPr="00D130E2">
        <w:rPr>
          <w:lang w:val="fr-CA"/>
        </w:rPr>
        <w:t xml:space="preserve"> </w:t>
      </w:r>
      <w:r w:rsidR="008C3C00" w:rsidRPr="00D130E2">
        <w:rPr>
          <w:lang w:val="fr-CA"/>
        </w:rPr>
        <w:t>4</w:t>
      </w:r>
      <w:r w:rsidR="00466302" w:rsidRPr="00D130E2">
        <w:rPr>
          <w:lang w:val="fr-CA"/>
        </w:rPr>
        <w:t xml:space="preserve"> </w:t>
      </w:r>
      <w:r w:rsidR="008C3C00" w:rsidRPr="00D130E2">
        <w:rPr>
          <w:lang w:val="fr-CA"/>
        </w:rPr>
        <w:t>févr</w:t>
      </w:r>
      <w:r w:rsidR="0068416C" w:rsidRPr="00D130E2">
        <w:rPr>
          <w:lang w:val="fr-CA"/>
        </w:rPr>
        <w:t>ier</w:t>
      </w:r>
      <w:r w:rsidR="00694391" w:rsidRPr="00D130E2">
        <w:rPr>
          <w:lang w:val="fr-CA"/>
        </w:rPr>
        <w:t xml:space="preserve"> 2</w:t>
      </w:r>
      <w:r w:rsidR="006648D1" w:rsidRPr="00D130E2">
        <w:rPr>
          <w:lang w:val="fr-CA"/>
        </w:rPr>
        <w:t>0</w:t>
      </w:r>
      <w:r w:rsidR="00526754" w:rsidRPr="00D130E2">
        <w:rPr>
          <w:lang w:val="fr-CA"/>
        </w:rPr>
        <w:t>2</w:t>
      </w:r>
      <w:r w:rsidR="0068416C" w:rsidRPr="00D130E2">
        <w:rPr>
          <w:lang w:val="fr-CA"/>
        </w:rPr>
        <w:t>1</w:t>
      </w:r>
      <w:r w:rsidRPr="00D130E2">
        <w:rPr>
          <w:lang w:val="fr-CA"/>
        </w:rPr>
        <w:t xml:space="preserve">, à 9 h 45 </w:t>
      </w:r>
      <w:r w:rsidR="000627A2" w:rsidRPr="00D130E2">
        <w:rPr>
          <w:lang w:val="fr-CA"/>
        </w:rPr>
        <w:t>H</w:t>
      </w:r>
      <w:r w:rsidR="004C631D" w:rsidRPr="00D130E2">
        <w:rPr>
          <w:lang w:val="fr-CA"/>
        </w:rPr>
        <w:t>N</w:t>
      </w:r>
      <w:r w:rsidRPr="00D130E2">
        <w:rPr>
          <w:lang w:val="fr-CA"/>
        </w:rPr>
        <w:t>E. Cette liste est sujette à modifications.</w:t>
      </w:r>
    </w:p>
    <w:p w:rsidR="0080556B" w:rsidRPr="00D130E2" w:rsidRDefault="0080556B" w:rsidP="009B14F4">
      <w:pPr>
        <w:widowControl w:val="0"/>
        <w:jc w:val="both"/>
        <w:rPr>
          <w:sz w:val="20"/>
          <w:lang w:val="fr-CA"/>
        </w:rPr>
      </w:pPr>
    </w:p>
    <w:p w:rsidR="00867C61" w:rsidRPr="00D130E2" w:rsidRDefault="006A7A17" w:rsidP="009B14F4">
      <w:pPr>
        <w:widowControl w:val="0"/>
        <w:jc w:val="both"/>
        <w:rPr>
          <w:sz w:val="20"/>
        </w:rPr>
      </w:pPr>
      <w:r w:rsidRPr="00D130E2">
        <w:rPr>
          <w:sz w:val="20"/>
        </w:rPr>
        <w:pict>
          <v:rect id="_x0000_i1025" style="width:2in;height:1pt" o:hrpct="0" o:hralign="center" o:hrstd="t" o:hrnoshade="t" o:hr="t" fillcolor="black [3213]" stroked="f"/>
        </w:pict>
      </w:r>
    </w:p>
    <w:p w:rsidR="0029283C" w:rsidRPr="00D130E2" w:rsidRDefault="0029283C" w:rsidP="0029283C">
      <w:pPr>
        <w:rPr>
          <w:sz w:val="20"/>
        </w:rPr>
      </w:pPr>
    </w:p>
    <w:p w:rsidR="008C3C00" w:rsidRPr="00D130E2" w:rsidRDefault="008C3C00" w:rsidP="008C3C00">
      <w:pPr>
        <w:pStyle w:val="SCCAppellantInfoAppellantInfo"/>
        <w:numPr>
          <w:ilvl w:val="0"/>
          <w:numId w:val="34"/>
        </w:numPr>
        <w:ind w:left="357" w:hanging="357"/>
        <w:rPr>
          <w:sz w:val="20"/>
          <w:szCs w:val="20"/>
          <w:u w:val="single"/>
          <w:lang w:val="en-US"/>
        </w:rPr>
      </w:pPr>
      <w:r w:rsidRPr="00D130E2">
        <w:rPr>
          <w:i/>
          <w:sz w:val="20"/>
          <w:szCs w:val="20"/>
        </w:rPr>
        <w:t xml:space="preserve">William Goodtrack, </w:t>
      </w:r>
      <w:r w:rsidR="005417CB" w:rsidRPr="00D130E2">
        <w:rPr>
          <w:i/>
          <w:sz w:val="20"/>
          <w:szCs w:val="20"/>
        </w:rPr>
        <w:t>et al.</w:t>
      </w:r>
      <w:r w:rsidRPr="00D130E2">
        <w:rPr>
          <w:i/>
          <w:sz w:val="20"/>
          <w:szCs w:val="20"/>
        </w:rPr>
        <w:t xml:space="preserve"> v. Wood Mountain Lakota First Nation No. 160</w:t>
      </w:r>
      <w:r w:rsidRPr="00D130E2">
        <w:rPr>
          <w:sz w:val="20"/>
          <w:szCs w:val="20"/>
        </w:rPr>
        <w:t xml:space="preserve"> (Sask.) (Civil) (By Leave) </w:t>
      </w:r>
      <w:r w:rsidRPr="00D130E2">
        <w:rPr>
          <w:sz w:val="20"/>
        </w:rPr>
        <w:t>(</w:t>
      </w:r>
      <w:hyperlink r:id="rId8" w:history="1">
        <w:r w:rsidRPr="00D130E2">
          <w:rPr>
            <w:rStyle w:val="Hyperlink"/>
            <w:sz w:val="20"/>
          </w:rPr>
          <w:t>39</w:t>
        </w:r>
        <w:r w:rsidR="005417CB" w:rsidRPr="00D130E2">
          <w:rPr>
            <w:rStyle w:val="Hyperlink"/>
            <w:sz w:val="20"/>
          </w:rPr>
          <w:t>371</w:t>
        </w:r>
      </w:hyperlink>
      <w:r w:rsidRPr="00D130E2">
        <w:rPr>
          <w:sz w:val="20"/>
        </w:rPr>
        <w:t>)</w:t>
      </w:r>
    </w:p>
    <w:p w:rsidR="008C3C00" w:rsidRPr="00D130E2" w:rsidRDefault="008C3C00" w:rsidP="008C3C00">
      <w:pPr>
        <w:ind w:left="357" w:hanging="357"/>
        <w:rPr>
          <w:sz w:val="20"/>
        </w:rPr>
      </w:pPr>
    </w:p>
    <w:p w:rsidR="008C3C00" w:rsidRPr="00D130E2" w:rsidRDefault="008C3C00" w:rsidP="008C3C00">
      <w:pPr>
        <w:pStyle w:val="ListParagraph"/>
        <w:numPr>
          <w:ilvl w:val="0"/>
          <w:numId w:val="34"/>
        </w:numPr>
        <w:ind w:left="357" w:hanging="357"/>
        <w:rPr>
          <w:sz w:val="20"/>
          <w:lang w:val="fr-CA"/>
        </w:rPr>
      </w:pPr>
      <w:r w:rsidRPr="00D130E2">
        <w:rPr>
          <w:i/>
          <w:sz w:val="20"/>
          <w:lang w:val="fr-CA"/>
        </w:rPr>
        <w:t>Samir Arif c. Sa Majesté la Reine</w:t>
      </w:r>
      <w:r w:rsidRPr="00D130E2">
        <w:rPr>
          <w:i/>
          <w:iCs/>
          <w:sz w:val="20"/>
          <w:lang w:val="fr-CA"/>
        </w:rPr>
        <w:t xml:space="preserve"> </w:t>
      </w:r>
      <w:r w:rsidRPr="00D130E2">
        <w:rPr>
          <w:sz w:val="20"/>
          <w:lang w:val="fr-CA"/>
        </w:rPr>
        <w:t>(Qc) (Criminelle) (Autorisation) (</w:t>
      </w:r>
      <w:hyperlink r:id="rId9" w:history="1">
        <w:r w:rsidRPr="00D130E2">
          <w:rPr>
            <w:rStyle w:val="Hyperlink"/>
            <w:sz w:val="20"/>
            <w:lang w:val="fr-CA"/>
          </w:rPr>
          <w:t>39</w:t>
        </w:r>
        <w:r w:rsidR="005417CB" w:rsidRPr="00D130E2">
          <w:rPr>
            <w:rStyle w:val="Hyperlink"/>
            <w:sz w:val="20"/>
            <w:lang w:val="fr-CA"/>
          </w:rPr>
          <w:t>331</w:t>
        </w:r>
      </w:hyperlink>
      <w:r w:rsidRPr="00D130E2">
        <w:rPr>
          <w:sz w:val="20"/>
          <w:lang w:val="fr-CA"/>
        </w:rPr>
        <w:t>)</w:t>
      </w:r>
    </w:p>
    <w:p w:rsidR="008C3C00" w:rsidRPr="00D130E2" w:rsidRDefault="008C3C00" w:rsidP="008C3C00">
      <w:pPr>
        <w:widowControl w:val="0"/>
        <w:autoSpaceDE w:val="0"/>
        <w:autoSpaceDN w:val="0"/>
        <w:adjustRightInd w:val="0"/>
        <w:ind w:left="357" w:hanging="357"/>
        <w:contextualSpacing/>
        <w:rPr>
          <w:sz w:val="20"/>
          <w:lang w:val="fr-CA"/>
        </w:rPr>
      </w:pPr>
    </w:p>
    <w:p w:rsidR="008C3C00" w:rsidRPr="00D130E2" w:rsidRDefault="008C3C00" w:rsidP="008C3C00">
      <w:pPr>
        <w:pStyle w:val="ListParagraph"/>
        <w:numPr>
          <w:ilvl w:val="0"/>
          <w:numId w:val="34"/>
        </w:numPr>
        <w:ind w:left="357" w:hanging="357"/>
        <w:rPr>
          <w:sz w:val="20"/>
          <w:lang w:val="en-CA"/>
        </w:rPr>
      </w:pPr>
      <w:r w:rsidRPr="00D130E2">
        <w:rPr>
          <w:rFonts w:eastAsiaTheme="minorHAnsi" w:cstheme="minorBidi"/>
          <w:i/>
          <w:sz w:val="20"/>
          <w:lang w:val="en-CA"/>
        </w:rPr>
        <w:t>Nicholas Jordan Butcher v. Her Majesty the Queen</w:t>
      </w:r>
      <w:r w:rsidRPr="00D130E2">
        <w:rPr>
          <w:sz w:val="20"/>
          <w:lang w:val="en-CA"/>
        </w:rPr>
        <w:t xml:space="preserve"> (N.S.) (Criminal) (By Leave) </w:t>
      </w:r>
      <w:r w:rsidRPr="00D130E2">
        <w:rPr>
          <w:sz w:val="20"/>
        </w:rPr>
        <w:t>(</w:t>
      </w:r>
      <w:hyperlink r:id="rId10" w:history="1">
        <w:r w:rsidRPr="00D130E2">
          <w:rPr>
            <w:rStyle w:val="Hyperlink"/>
            <w:sz w:val="20"/>
          </w:rPr>
          <w:t>39</w:t>
        </w:r>
        <w:r w:rsidR="005417CB" w:rsidRPr="00D130E2">
          <w:rPr>
            <w:rStyle w:val="Hyperlink"/>
            <w:sz w:val="20"/>
          </w:rPr>
          <w:t>344</w:t>
        </w:r>
      </w:hyperlink>
      <w:r w:rsidRPr="00D130E2">
        <w:rPr>
          <w:sz w:val="20"/>
        </w:rPr>
        <w:t>)</w:t>
      </w:r>
    </w:p>
    <w:p w:rsidR="008C3C00" w:rsidRPr="00D130E2" w:rsidRDefault="008C3C00" w:rsidP="008C3C00">
      <w:pPr>
        <w:widowControl w:val="0"/>
        <w:autoSpaceDE w:val="0"/>
        <w:autoSpaceDN w:val="0"/>
        <w:adjustRightInd w:val="0"/>
        <w:ind w:left="357" w:hanging="357"/>
        <w:contextualSpacing/>
        <w:rPr>
          <w:iCs/>
          <w:sz w:val="20"/>
          <w:lang w:val="en-CA"/>
        </w:rPr>
      </w:pPr>
    </w:p>
    <w:p w:rsidR="008C3C00" w:rsidRPr="00D130E2" w:rsidRDefault="008C3C00" w:rsidP="008C3C00">
      <w:pPr>
        <w:pStyle w:val="ListParagraph"/>
        <w:numPr>
          <w:ilvl w:val="0"/>
          <w:numId w:val="34"/>
        </w:numPr>
        <w:ind w:left="357" w:hanging="357"/>
        <w:rPr>
          <w:sz w:val="20"/>
          <w:lang w:val="en-CA"/>
        </w:rPr>
      </w:pPr>
      <w:r w:rsidRPr="00D130E2">
        <w:rPr>
          <w:i/>
          <w:sz w:val="20"/>
          <w:lang w:val="en-CA"/>
        </w:rPr>
        <w:t xml:space="preserve">Darryl Quinlan, </w:t>
      </w:r>
      <w:r w:rsidR="005417CB" w:rsidRPr="00D130E2">
        <w:rPr>
          <w:i/>
          <w:sz w:val="20"/>
          <w:lang w:val="en-CA"/>
        </w:rPr>
        <w:t>et al.</w:t>
      </w:r>
      <w:r w:rsidRPr="00D130E2">
        <w:rPr>
          <w:i/>
          <w:sz w:val="20"/>
          <w:lang w:val="en-CA"/>
        </w:rPr>
        <w:t xml:space="preserve"> v. Kirby Keith Thomas</w:t>
      </w:r>
      <w:r w:rsidRPr="00D130E2">
        <w:rPr>
          <w:sz w:val="20"/>
          <w:lang w:val="en-CA"/>
        </w:rPr>
        <w:t xml:space="preserve"> (Sask.) (Civil) (By Leave) </w:t>
      </w:r>
      <w:r w:rsidRPr="00D130E2">
        <w:rPr>
          <w:sz w:val="20"/>
        </w:rPr>
        <w:t>(</w:t>
      </w:r>
      <w:hyperlink r:id="rId11" w:history="1">
        <w:r w:rsidRPr="00D130E2">
          <w:rPr>
            <w:rStyle w:val="Hyperlink"/>
            <w:sz w:val="20"/>
          </w:rPr>
          <w:t>39</w:t>
        </w:r>
        <w:r w:rsidR="005417CB" w:rsidRPr="00D130E2">
          <w:rPr>
            <w:rStyle w:val="Hyperlink"/>
            <w:sz w:val="20"/>
          </w:rPr>
          <w:t>336</w:t>
        </w:r>
      </w:hyperlink>
      <w:r w:rsidRPr="00D130E2">
        <w:rPr>
          <w:sz w:val="20"/>
        </w:rPr>
        <w:t>)</w:t>
      </w:r>
    </w:p>
    <w:p w:rsidR="008C3C00" w:rsidRPr="00D130E2" w:rsidRDefault="008C3C00" w:rsidP="008C3C00">
      <w:pPr>
        <w:widowControl w:val="0"/>
        <w:autoSpaceDE w:val="0"/>
        <w:autoSpaceDN w:val="0"/>
        <w:adjustRightInd w:val="0"/>
        <w:ind w:left="357" w:hanging="357"/>
        <w:contextualSpacing/>
        <w:rPr>
          <w:sz w:val="20"/>
          <w:lang w:val="en-CA"/>
        </w:rPr>
      </w:pPr>
    </w:p>
    <w:p w:rsidR="008C3C00" w:rsidRPr="00D130E2" w:rsidRDefault="008C3C00" w:rsidP="008C3C00">
      <w:pPr>
        <w:pStyle w:val="ListParagraph"/>
        <w:numPr>
          <w:ilvl w:val="0"/>
          <w:numId w:val="34"/>
        </w:numPr>
        <w:ind w:left="357" w:hanging="357"/>
        <w:rPr>
          <w:sz w:val="20"/>
        </w:rPr>
      </w:pPr>
      <w:r w:rsidRPr="00D130E2">
        <w:rPr>
          <w:i/>
          <w:sz w:val="20"/>
        </w:rPr>
        <w:t>Stanislaw Szopa v. Attorney General of Canada</w:t>
      </w:r>
      <w:r w:rsidRPr="00D130E2">
        <w:rPr>
          <w:sz w:val="20"/>
        </w:rPr>
        <w:t xml:space="preserve"> (B.C.) (Civil) (By Leave) (</w:t>
      </w:r>
      <w:hyperlink r:id="rId12" w:history="1">
        <w:r w:rsidRPr="00D130E2">
          <w:rPr>
            <w:rStyle w:val="Hyperlink"/>
            <w:sz w:val="20"/>
          </w:rPr>
          <w:t>39</w:t>
        </w:r>
        <w:r w:rsidR="005417CB" w:rsidRPr="00D130E2">
          <w:rPr>
            <w:rStyle w:val="Hyperlink"/>
            <w:sz w:val="20"/>
          </w:rPr>
          <w:t>36</w:t>
        </w:r>
        <w:r w:rsidRPr="00D130E2">
          <w:rPr>
            <w:rStyle w:val="Hyperlink"/>
            <w:sz w:val="20"/>
          </w:rPr>
          <w:t>7</w:t>
        </w:r>
      </w:hyperlink>
      <w:r w:rsidRPr="00D130E2">
        <w:rPr>
          <w:sz w:val="20"/>
        </w:rPr>
        <w:t>)</w:t>
      </w:r>
    </w:p>
    <w:p w:rsidR="002A4053" w:rsidRPr="00D130E2" w:rsidRDefault="002A4053" w:rsidP="002A4053">
      <w:pPr>
        <w:rPr>
          <w:sz w:val="20"/>
        </w:rPr>
      </w:pPr>
    </w:p>
    <w:p w:rsidR="0057402C" w:rsidRPr="00D130E2" w:rsidRDefault="006A7A17" w:rsidP="009B14F4">
      <w:pPr>
        <w:widowControl w:val="0"/>
        <w:jc w:val="both"/>
        <w:rPr>
          <w:sz w:val="20"/>
        </w:rPr>
      </w:pPr>
      <w:r w:rsidRPr="00D130E2">
        <w:rPr>
          <w:sz w:val="20"/>
        </w:rPr>
        <w:pict>
          <v:rect id="_x0000_i1026" style="width:2in;height:1pt" o:hrpct="0" o:hralign="center" o:hrstd="t" o:hrnoshade="t" o:hr="t" fillcolor="black [3213]" stroked="f"/>
        </w:pict>
      </w:r>
    </w:p>
    <w:p w:rsidR="0057402C" w:rsidRPr="00D130E2" w:rsidRDefault="0057402C" w:rsidP="00C13AB4">
      <w:pPr>
        <w:widowControl w:val="0"/>
        <w:jc w:val="both"/>
        <w:rPr>
          <w:sz w:val="20"/>
        </w:rPr>
      </w:pPr>
      <w:bookmarkStart w:id="0" w:name="_GoBack"/>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2A4053" w:rsidRPr="00D130E2" w:rsidTr="00E95A6A">
        <w:tc>
          <w:tcPr>
            <w:tcW w:w="543" w:type="pct"/>
          </w:tcPr>
          <w:p w:rsidR="002A4053" w:rsidRPr="00D130E2" w:rsidRDefault="002A4053" w:rsidP="002A4053">
            <w:pPr>
              <w:jc w:val="both"/>
              <w:rPr>
                <w:sz w:val="20"/>
              </w:rPr>
            </w:pPr>
            <w:r w:rsidRPr="00D130E2">
              <w:rPr>
                <w:rStyle w:val="SCCFileNumberChar"/>
                <w:sz w:val="20"/>
                <w:szCs w:val="20"/>
              </w:rPr>
              <w:t>39371</w:t>
            </w:r>
          </w:p>
        </w:tc>
        <w:tc>
          <w:tcPr>
            <w:tcW w:w="4457" w:type="pct"/>
            <w:gridSpan w:val="3"/>
          </w:tcPr>
          <w:p w:rsidR="002A4053" w:rsidRPr="00D130E2" w:rsidRDefault="002A4053" w:rsidP="002A4053">
            <w:pPr>
              <w:pStyle w:val="SCCLsocParty"/>
              <w:jc w:val="both"/>
              <w:rPr>
                <w:b/>
                <w:sz w:val="20"/>
                <w:szCs w:val="20"/>
                <w:lang w:val="en-US"/>
              </w:rPr>
            </w:pPr>
            <w:r w:rsidRPr="00D130E2">
              <w:rPr>
                <w:b/>
                <w:sz w:val="20"/>
                <w:szCs w:val="20"/>
                <w:lang w:val="en-US"/>
              </w:rPr>
              <w:t>William Goodtrack, Edith Goodtrack v. Wood Mountain Lakota First Nation No. 160</w:t>
            </w:r>
          </w:p>
          <w:p w:rsidR="002A4053" w:rsidRPr="00D130E2" w:rsidRDefault="002A4053" w:rsidP="002A4053">
            <w:pPr>
              <w:jc w:val="both"/>
              <w:rPr>
                <w:sz w:val="20"/>
              </w:rPr>
            </w:pPr>
            <w:r w:rsidRPr="00D130E2">
              <w:rPr>
                <w:sz w:val="20"/>
              </w:rPr>
              <w:t>(Sask.) (Civil) (By Leave)</w:t>
            </w:r>
          </w:p>
        </w:tc>
      </w:tr>
      <w:tr w:rsidR="002A4053" w:rsidRPr="00D130E2" w:rsidTr="00E95A6A">
        <w:tc>
          <w:tcPr>
            <w:tcW w:w="5000" w:type="pct"/>
            <w:gridSpan w:val="4"/>
          </w:tcPr>
          <w:p w:rsidR="002A4053" w:rsidRPr="00D130E2" w:rsidRDefault="002A4053" w:rsidP="002A4053">
            <w:pPr>
              <w:jc w:val="both"/>
              <w:rPr>
                <w:sz w:val="20"/>
              </w:rPr>
            </w:pPr>
            <w:r w:rsidRPr="00D130E2">
              <w:rPr>
                <w:sz w:val="20"/>
              </w:rPr>
              <w:t xml:space="preserve">Aboriginal law — Indians reserves — Civil procedure — Representation by counsel — Judgments and orders — Summary judgments — Applicants found to be liable in trespass for farming and grazing First Nations lands without a permit — Respondent awarded damages — Whether the </w:t>
            </w:r>
            <w:r w:rsidRPr="00D130E2">
              <w:rPr>
                <w:i/>
                <w:sz w:val="20"/>
              </w:rPr>
              <w:t>First Nations Land Management Act</w:t>
            </w:r>
            <w:r w:rsidRPr="00D130E2">
              <w:rPr>
                <w:sz w:val="20"/>
              </w:rPr>
              <w:t xml:space="preserve">, S.C. 1999, c. 24, which empowered respondent to introduce the land management policy, is inconsistent with the treaty rights of the Aboriginal peoples of Canada and therefore unconstitutional under 35(1) of the </w:t>
            </w:r>
            <w:r w:rsidRPr="00D130E2">
              <w:rPr>
                <w:i/>
                <w:sz w:val="20"/>
              </w:rPr>
              <w:t>Constitution Act</w:t>
            </w:r>
            <w:r w:rsidRPr="00D130E2">
              <w:rPr>
                <w:sz w:val="20"/>
              </w:rPr>
              <w:t xml:space="preserve">, </w:t>
            </w:r>
            <w:r w:rsidRPr="00D130E2">
              <w:rPr>
                <w:i/>
                <w:sz w:val="20"/>
              </w:rPr>
              <w:t xml:space="preserve">1982 </w:t>
            </w:r>
            <w:r w:rsidRPr="00D130E2">
              <w:rPr>
                <w:sz w:val="20"/>
              </w:rPr>
              <w:t>— Whether applicants were accorded procedural fairness by lower courts — Whether applicants were denied their right to a fair hearing by both courts, contrary to the principles of natural justice.</w:t>
            </w:r>
          </w:p>
        </w:tc>
      </w:tr>
      <w:tr w:rsidR="002A4053" w:rsidRPr="00D130E2" w:rsidTr="00E95A6A">
        <w:tc>
          <w:tcPr>
            <w:tcW w:w="5000" w:type="pct"/>
            <w:gridSpan w:val="4"/>
          </w:tcPr>
          <w:p w:rsidR="002A4053" w:rsidRPr="00D130E2" w:rsidRDefault="002A4053" w:rsidP="002A4053">
            <w:pPr>
              <w:jc w:val="both"/>
              <w:rPr>
                <w:sz w:val="20"/>
              </w:rPr>
            </w:pPr>
          </w:p>
        </w:tc>
      </w:tr>
      <w:tr w:rsidR="002A4053" w:rsidRPr="00D130E2" w:rsidTr="00E95A6A">
        <w:tc>
          <w:tcPr>
            <w:tcW w:w="5000" w:type="pct"/>
            <w:gridSpan w:val="4"/>
          </w:tcPr>
          <w:p w:rsidR="002A4053" w:rsidRPr="00D130E2" w:rsidRDefault="002A4053" w:rsidP="002A4053">
            <w:pPr>
              <w:pStyle w:val="body"/>
              <w:jc w:val="both"/>
              <w:rPr>
                <w:sz w:val="20"/>
                <w:szCs w:val="20"/>
                <w:lang w:val="en-CA"/>
              </w:rPr>
            </w:pPr>
            <w:proofErr w:type="gramStart"/>
            <w:r w:rsidRPr="00D130E2">
              <w:rPr>
                <w:sz w:val="20"/>
                <w:szCs w:val="20"/>
                <w:lang w:val="en-CA"/>
              </w:rPr>
              <w:t xml:space="preserve">The Wood Mountain Lakota First Nation No. 160 (“Wood Mountain”) commenced an action in January 2015 for an interim and permanent injunction, restraining Mr. and Ms. Goodtrack from using any of the Wood Mountain Reserve lands for agricultural and cattle grazing purposes without a permit issued under s. 28(2) of the </w:t>
            </w:r>
            <w:r w:rsidRPr="00D130E2">
              <w:rPr>
                <w:i/>
                <w:sz w:val="20"/>
                <w:szCs w:val="20"/>
                <w:lang w:val="en-CA"/>
              </w:rPr>
              <w:t>Indian Act</w:t>
            </w:r>
            <w:r w:rsidRPr="00D130E2">
              <w:rPr>
                <w:sz w:val="20"/>
                <w:szCs w:val="20"/>
                <w:lang w:val="en-CA"/>
              </w:rPr>
              <w:t>, R.S.C. 1985, c. I</w:t>
            </w:r>
            <w:r w:rsidRPr="00D130E2">
              <w:rPr>
                <w:sz w:val="20"/>
                <w:szCs w:val="20"/>
                <w:lang w:val="en-CA"/>
              </w:rPr>
              <w:noBreakHyphen/>
              <w:t>5, or in accordance with Wood Mountain’s land policy.</w:t>
            </w:r>
            <w:proofErr w:type="gramEnd"/>
            <w:r w:rsidRPr="00D130E2">
              <w:rPr>
                <w:sz w:val="20"/>
                <w:szCs w:val="20"/>
                <w:lang w:val="en-CA"/>
              </w:rPr>
              <w:t xml:space="preserve"> Wood Mountain also claimed damages in trespass </w:t>
            </w:r>
            <w:r w:rsidRPr="00D130E2">
              <w:rPr>
                <w:sz w:val="20"/>
                <w:szCs w:val="20"/>
                <w:lang w:val="en-CA"/>
              </w:rPr>
              <w:lastRenderedPageBreak/>
              <w:t xml:space="preserve">for loss of rent going back to </w:t>
            </w:r>
            <w:proofErr w:type="gramStart"/>
            <w:r w:rsidRPr="00D130E2">
              <w:rPr>
                <w:sz w:val="20"/>
                <w:szCs w:val="20"/>
                <w:lang w:val="en-CA"/>
              </w:rPr>
              <w:t>2013,</w:t>
            </w:r>
            <w:proofErr w:type="gramEnd"/>
            <w:r w:rsidRPr="00D130E2">
              <w:rPr>
                <w:sz w:val="20"/>
                <w:szCs w:val="20"/>
                <w:lang w:val="en-CA"/>
              </w:rPr>
              <w:t xml:space="preserve"> damages for the loss of a government grant to which it would have been entitled had the Goodtracks obtained the permit, and special and punitive damages. </w:t>
            </w:r>
          </w:p>
          <w:p w:rsidR="002A4053" w:rsidRPr="00D130E2" w:rsidRDefault="002A4053" w:rsidP="002A4053">
            <w:pPr>
              <w:jc w:val="both"/>
              <w:rPr>
                <w:sz w:val="20"/>
                <w:lang w:val="en"/>
              </w:rPr>
            </w:pPr>
            <w:r w:rsidRPr="00D130E2">
              <w:rPr>
                <w:sz w:val="20"/>
                <w:lang w:val="en"/>
              </w:rPr>
              <w:t xml:space="preserve">For many years, the Goodtracks engaged in a mixed farming operation on approximately 5.25 sections located on the Reserve. They never paid rent or fees of any kind to Wood Mountain for the use of the land. In 2012, Wood Mountain created a land management policy, requiring users to obtain a permit use the land and pay fees for doing so. In 2014, Wood Mountain also enrolled in the federal Reserve Lands and Environmental Management Program that provided funding to First Nations with regard to the management of their land. As a result, Wood Mountain was entitled to funding for all the Reserve land that it had under permit in 2013 and subsequent years. Despite extensive efforts on the part of Wood Mountain, the Goodtracks failed to apply for the permit. They denied that they were committing any trespass, claiming that they occupied the lands with the implied consent of the Band Council. There were several interim applications and other factors that caused delay in Wood Mountain’s action. The Goodtracks repeatedly asked for adjournments at court appearances and disregarded court imposed deadlines to file the documents required. Wood Mountain then filed an application for summary judgment.  The Chambers judge found the Goodtracks to be trespassers on the land and granted a permanent injunction against them covering all agricultural land on the Reserve. In addition, he awarded judgment for $212,925 for rent that should have been paid, plus $20,000 in punitive damages. On appeal, Wood Mountain was awarded a further $6,509.20 in special damages and $155,552.62 for the loss of government funding. The applicants’ cross appeal was dismissed from the bench.  </w:t>
            </w:r>
          </w:p>
          <w:p w:rsidR="002A4053" w:rsidRPr="00D130E2" w:rsidRDefault="002A4053" w:rsidP="002A4053">
            <w:pPr>
              <w:jc w:val="both"/>
              <w:rPr>
                <w:sz w:val="20"/>
                <w:lang w:val="en"/>
              </w:rPr>
            </w:pPr>
          </w:p>
        </w:tc>
      </w:tr>
      <w:tr w:rsidR="002A4053" w:rsidRPr="00D130E2" w:rsidTr="005E1A53">
        <w:tc>
          <w:tcPr>
            <w:tcW w:w="2427" w:type="pct"/>
            <w:gridSpan w:val="2"/>
          </w:tcPr>
          <w:p w:rsidR="002A4053" w:rsidRPr="00D130E2" w:rsidRDefault="002A4053" w:rsidP="002A4053">
            <w:pPr>
              <w:jc w:val="both"/>
              <w:rPr>
                <w:sz w:val="20"/>
              </w:rPr>
            </w:pPr>
            <w:r w:rsidRPr="00D130E2">
              <w:rPr>
                <w:sz w:val="20"/>
              </w:rPr>
              <w:lastRenderedPageBreak/>
              <w:t>August 30, 2018</w:t>
            </w:r>
          </w:p>
          <w:p w:rsidR="002A4053" w:rsidRPr="00D130E2" w:rsidRDefault="002A4053" w:rsidP="002A4053">
            <w:pPr>
              <w:jc w:val="both"/>
              <w:rPr>
                <w:sz w:val="20"/>
              </w:rPr>
            </w:pPr>
            <w:r w:rsidRPr="00D130E2">
              <w:rPr>
                <w:sz w:val="20"/>
              </w:rPr>
              <w:t>Court of Queen’s Bench of Saskatchewan</w:t>
            </w:r>
          </w:p>
          <w:p w:rsidR="002A4053" w:rsidRPr="00D130E2" w:rsidRDefault="002A4053" w:rsidP="002A4053">
            <w:pPr>
              <w:jc w:val="both"/>
              <w:rPr>
                <w:sz w:val="20"/>
              </w:rPr>
            </w:pPr>
            <w:r w:rsidRPr="00D130E2">
              <w:rPr>
                <w:sz w:val="20"/>
              </w:rPr>
              <w:t>(Chicoine J.)</w:t>
            </w:r>
          </w:p>
          <w:p w:rsidR="002A4053" w:rsidRPr="00D130E2" w:rsidRDefault="002A4053" w:rsidP="002A4053">
            <w:pPr>
              <w:jc w:val="both"/>
              <w:rPr>
                <w:sz w:val="20"/>
              </w:rPr>
            </w:pPr>
            <w:hyperlink r:id="rId13" w:history="1">
              <w:r w:rsidRPr="00D130E2">
                <w:rPr>
                  <w:rStyle w:val="Hyperlink"/>
                  <w:sz w:val="20"/>
                </w:rPr>
                <w:t>2018 SKQB 230</w:t>
              </w:r>
            </w:hyperlink>
          </w:p>
          <w:p w:rsidR="002A4053" w:rsidRPr="00D130E2" w:rsidRDefault="002A4053" w:rsidP="002A4053">
            <w:pPr>
              <w:jc w:val="both"/>
              <w:rPr>
                <w:sz w:val="20"/>
              </w:rPr>
            </w:pPr>
          </w:p>
        </w:tc>
        <w:tc>
          <w:tcPr>
            <w:tcW w:w="195" w:type="pct"/>
          </w:tcPr>
          <w:p w:rsidR="002A4053" w:rsidRPr="00D130E2" w:rsidRDefault="002A4053" w:rsidP="002A4053">
            <w:pPr>
              <w:jc w:val="both"/>
              <w:rPr>
                <w:sz w:val="20"/>
              </w:rPr>
            </w:pPr>
          </w:p>
        </w:tc>
        <w:tc>
          <w:tcPr>
            <w:tcW w:w="2379" w:type="pct"/>
          </w:tcPr>
          <w:p w:rsidR="002A4053" w:rsidRPr="00D130E2" w:rsidRDefault="002A4053" w:rsidP="002A4053">
            <w:pPr>
              <w:jc w:val="both"/>
              <w:rPr>
                <w:sz w:val="20"/>
              </w:rPr>
            </w:pPr>
            <w:r w:rsidRPr="00D130E2">
              <w:rPr>
                <w:sz w:val="20"/>
              </w:rPr>
              <w:t>Respondent awarded injunction and damages in action for trespass</w:t>
            </w:r>
          </w:p>
          <w:p w:rsidR="002A4053" w:rsidRPr="00D130E2" w:rsidRDefault="002A4053" w:rsidP="002A4053">
            <w:pPr>
              <w:jc w:val="both"/>
              <w:rPr>
                <w:sz w:val="20"/>
              </w:rPr>
            </w:pPr>
          </w:p>
          <w:p w:rsidR="002A4053" w:rsidRPr="00D130E2" w:rsidRDefault="002A4053" w:rsidP="002A4053">
            <w:pPr>
              <w:jc w:val="both"/>
              <w:rPr>
                <w:sz w:val="20"/>
              </w:rPr>
            </w:pPr>
          </w:p>
        </w:tc>
      </w:tr>
      <w:tr w:rsidR="002A4053" w:rsidRPr="00D130E2" w:rsidTr="005E1A53">
        <w:tc>
          <w:tcPr>
            <w:tcW w:w="2427" w:type="pct"/>
            <w:gridSpan w:val="2"/>
          </w:tcPr>
          <w:p w:rsidR="002A4053" w:rsidRPr="00D130E2" w:rsidRDefault="002A4053" w:rsidP="002A4053">
            <w:pPr>
              <w:jc w:val="both"/>
              <w:rPr>
                <w:sz w:val="20"/>
              </w:rPr>
            </w:pPr>
            <w:r w:rsidRPr="00D130E2">
              <w:rPr>
                <w:sz w:val="20"/>
              </w:rPr>
              <w:t>January 31, 2020</w:t>
            </w:r>
          </w:p>
          <w:p w:rsidR="002A4053" w:rsidRPr="00D130E2" w:rsidRDefault="002A4053" w:rsidP="002A4053">
            <w:pPr>
              <w:jc w:val="both"/>
              <w:rPr>
                <w:sz w:val="20"/>
              </w:rPr>
            </w:pPr>
            <w:r w:rsidRPr="00D130E2">
              <w:rPr>
                <w:sz w:val="20"/>
              </w:rPr>
              <w:t>Court of Appeal for Saskatchewan</w:t>
            </w:r>
          </w:p>
          <w:p w:rsidR="002A4053" w:rsidRPr="00D130E2" w:rsidRDefault="002A4053" w:rsidP="002A4053">
            <w:pPr>
              <w:jc w:val="both"/>
              <w:rPr>
                <w:sz w:val="20"/>
              </w:rPr>
            </w:pPr>
            <w:r w:rsidRPr="00D130E2">
              <w:rPr>
                <w:sz w:val="20"/>
              </w:rPr>
              <w:t>(Tholl, Caldwell and Schwann JJ.A.)</w:t>
            </w:r>
          </w:p>
          <w:p w:rsidR="002A4053" w:rsidRPr="00D130E2" w:rsidRDefault="002A4053" w:rsidP="002A4053">
            <w:pPr>
              <w:jc w:val="both"/>
              <w:rPr>
                <w:sz w:val="20"/>
              </w:rPr>
            </w:pPr>
            <w:hyperlink r:id="rId14" w:history="1">
              <w:r w:rsidRPr="00D130E2">
                <w:rPr>
                  <w:rStyle w:val="Hyperlink"/>
                  <w:sz w:val="20"/>
                </w:rPr>
                <w:t>2020 SKCA 10</w:t>
              </w:r>
            </w:hyperlink>
          </w:p>
        </w:tc>
        <w:tc>
          <w:tcPr>
            <w:tcW w:w="195" w:type="pct"/>
          </w:tcPr>
          <w:p w:rsidR="002A4053" w:rsidRPr="00D130E2" w:rsidRDefault="002A4053" w:rsidP="002A4053">
            <w:pPr>
              <w:jc w:val="both"/>
              <w:rPr>
                <w:sz w:val="20"/>
              </w:rPr>
            </w:pPr>
          </w:p>
        </w:tc>
        <w:tc>
          <w:tcPr>
            <w:tcW w:w="2379" w:type="pct"/>
          </w:tcPr>
          <w:p w:rsidR="002A4053" w:rsidRPr="00D130E2" w:rsidRDefault="002A4053" w:rsidP="002A4053">
            <w:pPr>
              <w:jc w:val="both"/>
              <w:rPr>
                <w:sz w:val="20"/>
              </w:rPr>
            </w:pPr>
            <w:r w:rsidRPr="00D130E2">
              <w:rPr>
                <w:sz w:val="20"/>
              </w:rPr>
              <w:t>Respondent’s appeal allowed; Damages increased. Applicants’ cross</w:t>
            </w:r>
            <w:r w:rsidRPr="00D130E2">
              <w:rPr>
                <w:sz w:val="20"/>
              </w:rPr>
              <w:noBreakHyphen/>
              <w:t>appeal dismissed from the bench</w:t>
            </w:r>
          </w:p>
          <w:p w:rsidR="002A4053" w:rsidRPr="00D130E2" w:rsidRDefault="002A4053" w:rsidP="002A4053">
            <w:pPr>
              <w:jc w:val="both"/>
              <w:rPr>
                <w:sz w:val="20"/>
              </w:rPr>
            </w:pPr>
          </w:p>
          <w:p w:rsidR="002A4053" w:rsidRPr="00D130E2" w:rsidRDefault="002A4053" w:rsidP="002A4053">
            <w:pPr>
              <w:jc w:val="both"/>
              <w:rPr>
                <w:sz w:val="20"/>
              </w:rPr>
            </w:pPr>
          </w:p>
        </w:tc>
      </w:tr>
      <w:tr w:rsidR="002A4053" w:rsidRPr="00D130E2" w:rsidTr="005E1A53">
        <w:tc>
          <w:tcPr>
            <w:tcW w:w="2427" w:type="pct"/>
            <w:gridSpan w:val="2"/>
          </w:tcPr>
          <w:p w:rsidR="002A4053" w:rsidRPr="00D130E2" w:rsidRDefault="002A4053" w:rsidP="002A4053">
            <w:pPr>
              <w:jc w:val="both"/>
              <w:rPr>
                <w:sz w:val="20"/>
              </w:rPr>
            </w:pPr>
            <w:r w:rsidRPr="00D130E2">
              <w:rPr>
                <w:sz w:val="20"/>
              </w:rPr>
              <w:t>October 29, 2020</w:t>
            </w:r>
          </w:p>
          <w:p w:rsidR="002A4053" w:rsidRPr="00D130E2" w:rsidRDefault="002A4053" w:rsidP="002A4053">
            <w:pPr>
              <w:jc w:val="both"/>
              <w:rPr>
                <w:sz w:val="20"/>
              </w:rPr>
            </w:pPr>
            <w:r w:rsidRPr="00D130E2">
              <w:rPr>
                <w:sz w:val="20"/>
              </w:rPr>
              <w:t>Supreme Court of Canada</w:t>
            </w:r>
          </w:p>
          <w:p w:rsidR="002A4053" w:rsidRPr="00D130E2" w:rsidRDefault="002A4053" w:rsidP="002A4053">
            <w:pPr>
              <w:jc w:val="both"/>
              <w:rPr>
                <w:sz w:val="20"/>
              </w:rPr>
            </w:pPr>
          </w:p>
        </w:tc>
        <w:tc>
          <w:tcPr>
            <w:tcW w:w="195" w:type="pct"/>
          </w:tcPr>
          <w:p w:rsidR="002A4053" w:rsidRPr="00D130E2" w:rsidRDefault="002A4053" w:rsidP="002A4053">
            <w:pPr>
              <w:jc w:val="both"/>
              <w:rPr>
                <w:sz w:val="20"/>
              </w:rPr>
            </w:pPr>
          </w:p>
        </w:tc>
        <w:tc>
          <w:tcPr>
            <w:tcW w:w="2379" w:type="pct"/>
          </w:tcPr>
          <w:p w:rsidR="002A4053" w:rsidRPr="00D130E2" w:rsidRDefault="002A4053" w:rsidP="002A4053">
            <w:pPr>
              <w:jc w:val="both"/>
              <w:rPr>
                <w:sz w:val="20"/>
              </w:rPr>
            </w:pPr>
            <w:r w:rsidRPr="00D130E2">
              <w:rPr>
                <w:sz w:val="20"/>
              </w:rPr>
              <w:t>Motion for extension of time in which to serve and file application for leave to appeal and application for leave to appeal filed</w:t>
            </w:r>
          </w:p>
        </w:tc>
      </w:tr>
    </w:tbl>
    <w:p w:rsidR="002A4053" w:rsidRPr="00D130E2" w:rsidRDefault="002A4053" w:rsidP="002A4053">
      <w:pPr>
        <w:jc w:val="both"/>
        <w:rPr>
          <w:sz w:val="20"/>
        </w:rPr>
      </w:pPr>
    </w:p>
    <w:p w:rsidR="002A4053" w:rsidRPr="00D130E2" w:rsidRDefault="002A4053" w:rsidP="002A4053">
      <w:pPr>
        <w:jc w:val="both"/>
        <w:rPr>
          <w:sz w:val="20"/>
        </w:rPr>
      </w:pPr>
      <w:r w:rsidRPr="00D130E2">
        <w:rPr>
          <w:sz w:val="20"/>
        </w:rPr>
        <w:pict>
          <v:rect id="_x0000_i1028" style="width:2in;height:1pt" o:hrpct="0" o:hralign="center" o:hrstd="t" o:hrnoshade="t" o:hr="t" fillcolor="black [3213]" stroked="f"/>
        </w:pict>
      </w:r>
    </w:p>
    <w:p w:rsidR="002A4053" w:rsidRPr="00D130E2" w:rsidRDefault="002A4053" w:rsidP="002A40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2A4053" w:rsidRPr="00D130E2" w:rsidTr="00E95A6A">
        <w:tc>
          <w:tcPr>
            <w:tcW w:w="543" w:type="pct"/>
          </w:tcPr>
          <w:p w:rsidR="002A4053" w:rsidRPr="00D130E2" w:rsidRDefault="002A4053" w:rsidP="002A4053">
            <w:pPr>
              <w:jc w:val="both"/>
              <w:rPr>
                <w:sz w:val="20"/>
                <w:lang w:val="fr-CA"/>
              </w:rPr>
            </w:pPr>
            <w:r w:rsidRPr="00D130E2">
              <w:rPr>
                <w:rStyle w:val="SCCFileNumberChar"/>
                <w:sz w:val="20"/>
                <w:szCs w:val="20"/>
                <w:lang w:val="fr-CA"/>
              </w:rPr>
              <w:t>39371</w:t>
            </w:r>
          </w:p>
        </w:tc>
        <w:tc>
          <w:tcPr>
            <w:tcW w:w="4457" w:type="pct"/>
            <w:gridSpan w:val="3"/>
          </w:tcPr>
          <w:p w:rsidR="002A4053" w:rsidRPr="00D130E2" w:rsidRDefault="002A4053" w:rsidP="002A4053">
            <w:pPr>
              <w:pStyle w:val="SCCLsocParty"/>
              <w:jc w:val="both"/>
              <w:rPr>
                <w:b/>
                <w:sz w:val="20"/>
                <w:szCs w:val="20"/>
                <w:lang w:val="en-US"/>
              </w:rPr>
            </w:pPr>
            <w:r w:rsidRPr="00D130E2">
              <w:rPr>
                <w:b/>
                <w:sz w:val="20"/>
                <w:szCs w:val="20"/>
                <w:lang w:val="en-US"/>
              </w:rPr>
              <w:t>William Goodtrack, Edith Goodtrack c. Wood Mountain Lakota First Nation No. 160</w:t>
            </w:r>
          </w:p>
          <w:p w:rsidR="002A4053" w:rsidRPr="00D130E2" w:rsidRDefault="002A4053" w:rsidP="002A4053">
            <w:pPr>
              <w:jc w:val="both"/>
              <w:rPr>
                <w:sz w:val="20"/>
                <w:lang w:val="fr-CA"/>
              </w:rPr>
            </w:pPr>
            <w:r w:rsidRPr="00D130E2">
              <w:rPr>
                <w:sz w:val="20"/>
                <w:lang w:val="fr-CA"/>
              </w:rPr>
              <w:t>(Sask.) (Civile) (Autorisation)</w:t>
            </w:r>
          </w:p>
        </w:tc>
      </w:tr>
      <w:tr w:rsidR="002A4053" w:rsidRPr="00D130E2" w:rsidTr="00E95A6A">
        <w:tc>
          <w:tcPr>
            <w:tcW w:w="5000" w:type="pct"/>
            <w:gridSpan w:val="4"/>
          </w:tcPr>
          <w:p w:rsidR="002A4053" w:rsidRPr="00D130E2" w:rsidRDefault="002A4053" w:rsidP="002A4053">
            <w:pPr>
              <w:jc w:val="both"/>
              <w:rPr>
                <w:sz w:val="20"/>
                <w:lang w:val="fr-CA"/>
              </w:rPr>
            </w:pPr>
            <w:r w:rsidRPr="00D130E2">
              <w:rPr>
                <w:sz w:val="20"/>
                <w:lang w:val="fr-CA"/>
              </w:rPr>
              <w:t>Droit des Autochtones — Réserves indiennes — Procédure civile — Représentation par avocat — Jugements et ordonnances — Jugements sommaires — Les demandeurs ont été jugés responsables d’intrusion pour avoir pratiqué sans permis l’agriculture et le pâturage sur des terres de premières nations — L’intimée s’est vu accorder des dommages</w:t>
            </w:r>
            <w:r w:rsidRPr="00D130E2">
              <w:rPr>
                <w:sz w:val="20"/>
                <w:lang w:val="fr-CA"/>
              </w:rPr>
              <w:noBreakHyphen/>
              <w:t xml:space="preserve">intérêts — La </w:t>
            </w:r>
            <w:r w:rsidRPr="00D130E2">
              <w:rPr>
                <w:i/>
                <w:sz w:val="20"/>
                <w:lang w:val="fr-CA"/>
              </w:rPr>
              <w:t>Loi sur la gestion des terres des premières nations</w:t>
            </w:r>
            <w:r w:rsidRPr="00D130E2">
              <w:rPr>
                <w:sz w:val="20"/>
                <w:lang w:val="fr-CA"/>
              </w:rPr>
              <w:t xml:space="preserve">, L.C. 1999, ch. 24, qui conférait à l’intimée le pouvoir d’introduire la politique de gestion des terres, est-elle incompatible avec les droits issus de traités des peuples autochtones du Canada, et donc inconstitutionnelle au regard du par. 35(1) de la </w:t>
            </w:r>
            <w:r w:rsidRPr="00D130E2">
              <w:rPr>
                <w:i/>
                <w:sz w:val="20"/>
                <w:lang w:val="fr-CA"/>
              </w:rPr>
              <w:t>Loi constitutionnelle de</w:t>
            </w:r>
            <w:r w:rsidRPr="00D130E2">
              <w:rPr>
                <w:sz w:val="20"/>
                <w:lang w:val="fr-CA"/>
              </w:rPr>
              <w:t xml:space="preserve"> </w:t>
            </w:r>
            <w:r w:rsidRPr="00D130E2">
              <w:rPr>
                <w:i/>
                <w:sz w:val="20"/>
                <w:lang w:val="fr-CA"/>
              </w:rPr>
              <w:t>1982</w:t>
            </w:r>
            <w:r w:rsidRPr="00D130E2">
              <w:rPr>
                <w:sz w:val="20"/>
                <w:lang w:val="fr-CA"/>
              </w:rPr>
              <w:t>?</w:t>
            </w:r>
            <w:r w:rsidRPr="00D130E2">
              <w:rPr>
                <w:i/>
                <w:sz w:val="20"/>
                <w:lang w:val="fr-CA"/>
              </w:rPr>
              <w:t xml:space="preserve"> </w:t>
            </w:r>
            <w:r w:rsidRPr="00D130E2">
              <w:rPr>
                <w:sz w:val="20"/>
                <w:lang w:val="fr-CA"/>
              </w:rPr>
              <w:t>— Les demandeurs ont</w:t>
            </w:r>
            <w:r w:rsidRPr="00D130E2">
              <w:rPr>
                <w:sz w:val="20"/>
                <w:lang w:val="fr-CA"/>
              </w:rPr>
              <w:noBreakHyphen/>
              <w:t>ils bénéficié de l’équité procédurale devant les juridictions inférieures? — Les deux tribunaux ont</w:t>
            </w:r>
            <w:r w:rsidRPr="00D130E2">
              <w:rPr>
                <w:sz w:val="20"/>
                <w:lang w:val="fr-CA"/>
              </w:rPr>
              <w:noBreakHyphen/>
              <w:t>ils nié aux demandeurs leur droit à une audition équitable, au mépris des principes de justice naturelle?</w:t>
            </w:r>
          </w:p>
        </w:tc>
      </w:tr>
      <w:tr w:rsidR="002A4053" w:rsidRPr="00D130E2" w:rsidTr="00E95A6A">
        <w:tc>
          <w:tcPr>
            <w:tcW w:w="5000" w:type="pct"/>
            <w:gridSpan w:val="4"/>
          </w:tcPr>
          <w:p w:rsidR="002A4053" w:rsidRPr="00D130E2" w:rsidRDefault="002A4053" w:rsidP="002A4053">
            <w:pPr>
              <w:jc w:val="both"/>
              <w:rPr>
                <w:sz w:val="20"/>
                <w:lang w:val="fr-CA"/>
              </w:rPr>
            </w:pPr>
          </w:p>
        </w:tc>
      </w:tr>
      <w:tr w:rsidR="002A4053" w:rsidRPr="00D130E2" w:rsidTr="00E95A6A">
        <w:tc>
          <w:tcPr>
            <w:tcW w:w="5000" w:type="pct"/>
            <w:gridSpan w:val="4"/>
          </w:tcPr>
          <w:p w:rsidR="002A4053" w:rsidRPr="00D130E2" w:rsidRDefault="002A4053" w:rsidP="002A4053">
            <w:pPr>
              <w:pStyle w:val="body"/>
              <w:jc w:val="both"/>
              <w:rPr>
                <w:sz w:val="20"/>
                <w:szCs w:val="20"/>
                <w:lang w:val="fr-CA"/>
              </w:rPr>
            </w:pPr>
            <w:r w:rsidRPr="00D130E2">
              <w:rPr>
                <w:sz w:val="20"/>
                <w:szCs w:val="20"/>
                <w:lang w:val="fr-CA"/>
              </w:rPr>
              <w:t xml:space="preserve">En janvier 2015, Wood Mountain </w:t>
            </w:r>
            <w:proofErr w:type="spellStart"/>
            <w:r w:rsidRPr="00D130E2">
              <w:rPr>
                <w:sz w:val="20"/>
                <w:szCs w:val="20"/>
                <w:lang w:val="fr-CA"/>
              </w:rPr>
              <w:t>Lakota</w:t>
            </w:r>
            <w:proofErr w:type="spellEnd"/>
            <w:r w:rsidRPr="00D130E2">
              <w:rPr>
                <w:sz w:val="20"/>
                <w:szCs w:val="20"/>
                <w:lang w:val="fr-CA"/>
              </w:rPr>
              <w:t xml:space="preserve"> First Nation No. 160 (« Wood Mountain ») a intenté une action en injonction provisoire et permanente pour empêcher M. et Mme Goodtrack d’utiliser les terres de réserve de Wood Mountain à des fins d’agriculture et de pâturage sans permis délivré en application du par. 28(2) de la </w:t>
            </w:r>
            <w:r w:rsidRPr="00D130E2">
              <w:rPr>
                <w:i/>
                <w:sz w:val="20"/>
                <w:szCs w:val="20"/>
                <w:lang w:val="fr-CA"/>
              </w:rPr>
              <w:t>Loi sur les Indiens</w:t>
            </w:r>
            <w:r w:rsidRPr="00D130E2">
              <w:rPr>
                <w:sz w:val="20"/>
                <w:szCs w:val="20"/>
                <w:lang w:val="fr-CA"/>
              </w:rPr>
              <w:t>, L.R.C. 1985, ch. I</w:t>
            </w:r>
            <w:r w:rsidRPr="00D130E2">
              <w:rPr>
                <w:sz w:val="20"/>
                <w:szCs w:val="20"/>
                <w:lang w:val="fr-CA"/>
              </w:rPr>
              <w:noBreakHyphen/>
              <w:t>5, ou conformément à la politique foncière de Wood Mountain. Wood Mountain a en outre réclamé des dommages-intérêts en intrusion pour perte de loyer remontant à 2013, des dommages</w:t>
            </w:r>
            <w:r w:rsidRPr="00D130E2">
              <w:rPr>
                <w:sz w:val="20"/>
                <w:szCs w:val="20"/>
                <w:lang w:val="fr-CA"/>
              </w:rPr>
              <w:noBreakHyphen/>
              <w:t>intérêts pour la perte d’une concession gouvernementale à laquelle elle aurait eu droit si les Goodtrack avaient obtenu le permis, ainsi que des dommages</w:t>
            </w:r>
            <w:r w:rsidRPr="00D130E2">
              <w:rPr>
                <w:sz w:val="20"/>
                <w:szCs w:val="20"/>
                <w:lang w:val="fr-CA"/>
              </w:rPr>
              <w:noBreakHyphen/>
              <w:t xml:space="preserve">intérêts spéciaux et punitifs. </w:t>
            </w:r>
          </w:p>
          <w:p w:rsidR="002A4053" w:rsidRPr="00D130E2" w:rsidRDefault="002A4053" w:rsidP="002A4053">
            <w:pPr>
              <w:jc w:val="both"/>
              <w:rPr>
                <w:sz w:val="20"/>
                <w:lang w:val="fr-CA"/>
              </w:rPr>
            </w:pPr>
            <w:r w:rsidRPr="00D130E2">
              <w:rPr>
                <w:sz w:val="20"/>
                <w:lang w:val="fr-CA"/>
              </w:rPr>
              <w:t xml:space="preserve">Pendant plusieurs années, les Goodtrack se sont livrés à une exploitation agricole mixte sur environ 5,25 sections situées sur la réserve. Ils n’ont jamais versé de loyer ou de redevances de quelque sorte que ce soit à Wood Mountain pour l’utilisation des terres. En 2012, Wood Mountain a créé une politique de gestion des terres, obligeant les </w:t>
            </w:r>
            <w:r w:rsidRPr="00D130E2">
              <w:rPr>
                <w:sz w:val="20"/>
                <w:lang w:val="fr-CA"/>
              </w:rPr>
              <w:lastRenderedPageBreak/>
              <w:t>utilisateurs à obtenir un permis pour utiliser les terres et à payer des redevances pour ce faire. En 2014, Wood Mountain s’est en outre inscrite au Programme de gestion de l’environnement et des terres de réserve qui procurait du financement aux premières nations au regard de la gestion de leurs terres. En conséquence, Wood Mountain avait droit à du financement pour toutes ses terres de réserve faisant l’objet de permis en 2013 et au cours des années subséquentes. Malgré tous les efforts de Wood Mountain, les Goodtrack ont omis de demander un permis. Ils ont nié avoir commis une intrusion, alléguant avoir occupé les terres avec le consentement tacite du conseil de bande. Il y a eu plusieurs demandes provisoires et d’autres facteurs ont retardé l’action de Wood Mountain. Les Goodtrack ont demandé à plusieurs reprises des ajournements lors des comparutions devant le tribunal et ont fait fi des délais imposés par le tribunal pour déposer les documents exigés. Wood Mountain a ensuite déposé une demande de jugement sommaire. Le juge siégeant en cabinet a conclu que les Goodtrack étaient des intrus sur les terres et a accordé une injonction permanente contre eux couvrant toutes les terres agricoles sur la réserve. En outre il a accordé par jugement la somme 212 925 $ au titre du loyer qui aurait dû être payé, plus 20 000 $ en dommages</w:t>
            </w:r>
            <w:r w:rsidRPr="00D130E2">
              <w:rPr>
                <w:sz w:val="20"/>
                <w:lang w:val="fr-CA"/>
              </w:rPr>
              <w:noBreakHyphen/>
              <w:t xml:space="preserve">intérêts punitifs. En appel, Wood Mountain s’est vu accorder les sommes supplémentaires de 6 509,20 $ en dommages-intérêts spéciaux et de 155 552,62 $ au titre de la perte du financement public. L’appel incident des demandeurs a été rejeté séance tenante.  </w:t>
            </w:r>
          </w:p>
          <w:p w:rsidR="002A4053" w:rsidRPr="00D130E2" w:rsidRDefault="002A4053" w:rsidP="002A4053">
            <w:pPr>
              <w:jc w:val="both"/>
              <w:rPr>
                <w:sz w:val="20"/>
                <w:lang w:val="fr-CA"/>
              </w:rPr>
            </w:pPr>
          </w:p>
        </w:tc>
      </w:tr>
      <w:tr w:rsidR="002A4053" w:rsidRPr="00D130E2" w:rsidTr="005E1A53">
        <w:tc>
          <w:tcPr>
            <w:tcW w:w="2427" w:type="pct"/>
            <w:gridSpan w:val="2"/>
          </w:tcPr>
          <w:p w:rsidR="002A4053" w:rsidRPr="00D130E2" w:rsidRDefault="002A4053" w:rsidP="002A4053">
            <w:pPr>
              <w:jc w:val="both"/>
              <w:rPr>
                <w:sz w:val="20"/>
                <w:lang w:val="fr-CA"/>
              </w:rPr>
            </w:pPr>
            <w:r w:rsidRPr="00D130E2">
              <w:rPr>
                <w:sz w:val="20"/>
                <w:lang w:val="fr-CA"/>
              </w:rPr>
              <w:lastRenderedPageBreak/>
              <w:t>30 août 2018</w:t>
            </w:r>
          </w:p>
          <w:p w:rsidR="002A4053" w:rsidRPr="00D130E2" w:rsidRDefault="002A4053" w:rsidP="002A4053">
            <w:pPr>
              <w:jc w:val="both"/>
              <w:rPr>
                <w:sz w:val="20"/>
                <w:lang w:val="fr-CA"/>
              </w:rPr>
            </w:pPr>
            <w:r w:rsidRPr="00D130E2">
              <w:rPr>
                <w:sz w:val="20"/>
                <w:lang w:val="fr-CA"/>
              </w:rPr>
              <w:t>Cour du Banc de la Reine de la Saskatchewan</w:t>
            </w:r>
          </w:p>
          <w:p w:rsidR="002A4053" w:rsidRPr="00D130E2" w:rsidRDefault="002A4053" w:rsidP="002A4053">
            <w:pPr>
              <w:jc w:val="both"/>
              <w:rPr>
                <w:sz w:val="20"/>
                <w:lang w:val="fr-CA"/>
              </w:rPr>
            </w:pPr>
            <w:r w:rsidRPr="00D130E2">
              <w:rPr>
                <w:sz w:val="20"/>
                <w:lang w:val="fr-CA"/>
              </w:rPr>
              <w:t>(Juge Chicoine)</w:t>
            </w:r>
          </w:p>
          <w:p w:rsidR="002A4053" w:rsidRPr="00D130E2" w:rsidRDefault="002A4053" w:rsidP="002A4053">
            <w:pPr>
              <w:jc w:val="both"/>
              <w:rPr>
                <w:sz w:val="20"/>
                <w:lang w:val="fr-CA"/>
              </w:rPr>
            </w:pPr>
            <w:hyperlink r:id="rId15" w:history="1">
              <w:r w:rsidRPr="00D130E2">
                <w:rPr>
                  <w:rStyle w:val="Hyperlink"/>
                  <w:sz w:val="20"/>
                  <w:lang w:val="fr-CA"/>
                </w:rPr>
                <w:t>2018 SKQB 230</w:t>
              </w:r>
            </w:hyperlink>
          </w:p>
          <w:p w:rsidR="002A4053" w:rsidRPr="00D130E2" w:rsidRDefault="002A4053" w:rsidP="002A4053">
            <w:pPr>
              <w:jc w:val="both"/>
              <w:rPr>
                <w:sz w:val="20"/>
                <w:lang w:val="fr-CA"/>
              </w:rPr>
            </w:pPr>
          </w:p>
        </w:tc>
        <w:tc>
          <w:tcPr>
            <w:tcW w:w="195" w:type="pct"/>
          </w:tcPr>
          <w:p w:rsidR="002A4053" w:rsidRPr="00D130E2" w:rsidRDefault="002A4053" w:rsidP="002A4053">
            <w:pPr>
              <w:jc w:val="both"/>
              <w:rPr>
                <w:sz w:val="20"/>
                <w:lang w:val="fr-CA"/>
              </w:rPr>
            </w:pPr>
          </w:p>
        </w:tc>
        <w:tc>
          <w:tcPr>
            <w:tcW w:w="2379" w:type="pct"/>
          </w:tcPr>
          <w:p w:rsidR="002A4053" w:rsidRPr="00D130E2" w:rsidRDefault="002A4053" w:rsidP="002A4053">
            <w:pPr>
              <w:jc w:val="both"/>
              <w:rPr>
                <w:sz w:val="20"/>
                <w:lang w:val="fr-CA"/>
              </w:rPr>
            </w:pPr>
            <w:r w:rsidRPr="00D130E2">
              <w:rPr>
                <w:sz w:val="20"/>
                <w:lang w:val="fr-CA"/>
              </w:rPr>
              <w:t>Jugement accordant une injonction et des dommages</w:t>
            </w:r>
            <w:r w:rsidRPr="00D130E2">
              <w:rPr>
                <w:sz w:val="20"/>
                <w:lang w:val="fr-CA"/>
              </w:rPr>
              <w:noBreakHyphen/>
              <w:t>intérêts dans l’action pour intrusion</w:t>
            </w:r>
          </w:p>
          <w:p w:rsidR="002A4053" w:rsidRPr="00D130E2" w:rsidRDefault="002A4053" w:rsidP="002A4053">
            <w:pPr>
              <w:jc w:val="both"/>
              <w:rPr>
                <w:sz w:val="20"/>
                <w:lang w:val="fr-CA"/>
              </w:rPr>
            </w:pPr>
          </w:p>
          <w:p w:rsidR="002A4053" w:rsidRPr="00D130E2" w:rsidRDefault="002A4053" w:rsidP="002A4053">
            <w:pPr>
              <w:jc w:val="both"/>
              <w:rPr>
                <w:sz w:val="20"/>
                <w:lang w:val="fr-CA"/>
              </w:rPr>
            </w:pPr>
          </w:p>
        </w:tc>
      </w:tr>
      <w:tr w:rsidR="002A4053" w:rsidRPr="00D130E2" w:rsidTr="005E1A53">
        <w:tc>
          <w:tcPr>
            <w:tcW w:w="2427" w:type="pct"/>
            <w:gridSpan w:val="2"/>
          </w:tcPr>
          <w:p w:rsidR="002A4053" w:rsidRPr="00D130E2" w:rsidRDefault="002A4053" w:rsidP="002A4053">
            <w:pPr>
              <w:jc w:val="both"/>
              <w:rPr>
                <w:sz w:val="20"/>
                <w:lang w:val="fr-CA"/>
              </w:rPr>
            </w:pPr>
            <w:r w:rsidRPr="00D130E2">
              <w:rPr>
                <w:sz w:val="20"/>
                <w:lang w:val="fr-CA"/>
              </w:rPr>
              <w:t>31 janvier 2020</w:t>
            </w:r>
          </w:p>
          <w:p w:rsidR="002A4053" w:rsidRPr="00D130E2" w:rsidRDefault="002A4053" w:rsidP="002A4053">
            <w:pPr>
              <w:jc w:val="both"/>
              <w:rPr>
                <w:sz w:val="20"/>
                <w:lang w:val="fr-CA"/>
              </w:rPr>
            </w:pPr>
            <w:r w:rsidRPr="00D130E2">
              <w:rPr>
                <w:sz w:val="20"/>
                <w:lang w:val="fr-CA"/>
              </w:rPr>
              <w:t>Cour d’appel de la Saskatchewan</w:t>
            </w:r>
          </w:p>
          <w:p w:rsidR="002A4053" w:rsidRPr="00D130E2" w:rsidRDefault="002A4053" w:rsidP="002A4053">
            <w:pPr>
              <w:jc w:val="both"/>
              <w:rPr>
                <w:sz w:val="20"/>
              </w:rPr>
            </w:pPr>
            <w:r w:rsidRPr="00D130E2">
              <w:rPr>
                <w:sz w:val="20"/>
              </w:rPr>
              <w:t>(Juges Tholl, Caldwell et Schwann)</w:t>
            </w:r>
          </w:p>
          <w:p w:rsidR="002A4053" w:rsidRPr="00D130E2" w:rsidRDefault="002A4053" w:rsidP="002A4053">
            <w:pPr>
              <w:jc w:val="both"/>
              <w:rPr>
                <w:sz w:val="20"/>
                <w:lang w:val="fr-CA"/>
              </w:rPr>
            </w:pPr>
            <w:hyperlink r:id="rId16" w:history="1">
              <w:r w:rsidRPr="00D130E2">
                <w:rPr>
                  <w:rStyle w:val="Hyperlink"/>
                  <w:sz w:val="20"/>
                  <w:lang w:val="fr-CA"/>
                </w:rPr>
                <w:t>2020 SKCA 10</w:t>
              </w:r>
            </w:hyperlink>
          </w:p>
        </w:tc>
        <w:tc>
          <w:tcPr>
            <w:tcW w:w="195" w:type="pct"/>
          </w:tcPr>
          <w:p w:rsidR="002A4053" w:rsidRPr="00D130E2" w:rsidRDefault="002A4053" w:rsidP="002A4053">
            <w:pPr>
              <w:jc w:val="both"/>
              <w:rPr>
                <w:sz w:val="20"/>
                <w:lang w:val="fr-CA"/>
              </w:rPr>
            </w:pPr>
          </w:p>
        </w:tc>
        <w:tc>
          <w:tcPr>
            <w:tcW w:w="2379" w:type="pct"/>
          </w:tcPr>
          <w:p w:rsidR="002A4053" w:rsidRPr="00D130E2" w:rsidRDefault="002A4053" w:rsidP="002A4053">
            <w:pPr>
              <w:jc w:val="both"/>
              <w:rPr>
                <w:sz w:val="20"/>
                <w:lang w:val="fr-CA"/>
              </w:rPr>
            </w:pPr>
            <w:r w:rsidRPr="00D130E2">
              <w:rPr>
                <w:sz w:val="20"/>
                <w:lang w:val="fr-CA"/>
              </w:rPr>
              <w:t>Arrêt accueillant l’appel de l’intimée, majorant les dommages</w:t>
            </w:r>
            <w:r w:rsidRPr="00D130E2">
              <w:rPr>
                <w:sz w:val="20"/>
                <w:lang w:val="fr-CA"/>
              </w:rPr>
              <w:noBreakHyphen/>
              <w:t>intérêts et rejetant séance tenante l’appel incident des demandeurs</w:t>
            </w:r>
          </w:p>
          <w:p w:rsidR="002A4053" w:rsidRPr="00D130E2" w:rsidRDefault="002A4053" w:rsidP="002A4053">
            <w:pPr>
              <w:jc w:val="both"/>
              <w:rPr>
                <w:sz w:val="20"/>
                <w:lang w:val="fr-CA"/>
              </w:rPr>
            </w:pPr>
          </w:p>
          <w:p w:rsidR="002A4053" w:rsidRPr="00D130E2" w:rsidRDefault="002A4053" w:rsidP="002A4053">
            <w:pPr>
              <w:jc w:val="both"/>
              <w:rPr>
                <w:sz w:val="20"/>
                <w:lang w:val="fr-CA"/>
              </w:rPr>
            </w:pPr>
          </w:p>
        </w:tc>
      </w:tr>
      <w:tr w:rsidR="002A4053" w:rsidRPr="00D130E2" w:rsidTr="005E1A53">
        <w:tc>
          <w:tcPr>
            <w:tcW w:w="2427" w:type="pct"/>
            <w:gridSpan w:val="2"/>
          </w:tcPr>
          <w:p w:rsidR="002A4053" w:rsidRPr="00D130E2" w:rsidRDefault="002A4053" w:rsidP="002A4053">
            <w:pPr>
              <w:jc w:val="both"/>
              <w:rPr>
                <w:sz w:val="20"/>
                <w:lang w:val="fr-CA"/>
              </w:rPr>
            </w:pPr>
            <w:r w:rsidRPr="00D130E2">
              <w:rPr>
                <w:sz w:val="20"/>
                <w:lang w:val="fr-CA"/>
              </w:rPr>
              <w:t>29 octobre 2020</w:t>
            </w:r>
          </w:p>
          <w:p w:rsidR="002A4053" w:rsidRPr="00D130E2" w:rsidRDefault="002A4053" w:rsidP="002A4053">
            <w:pPr>
              <w:jc w:val="both"/>
              <w:rPr>
                <w:sz w:val="20"/>
                <w:lang w:val="fr-CA"/>
              </w:rPr>
            </w:pPr>
            <w:r w:rsidRPr="00D130E2">
              <w:rPr>
                <w:sz w:val="20"/>
                <w:lang w:val="fr-CA"/>
              </w:rPr>
              <w:t>Cour suprême du Canada</w:t>
            </w:r>
          </w:p>
          <w:p w:rsidR="002A4053" w:rsidRPr="00D130E2" w:rsidRDefault="002A4053" w:rsidP="002A4053">
            <w:pPr>
              <w:jc w:val="both"/>
              <w:rPr>
                <w:sz w:val="20"/>
                <w:lang w:val="fr-CA"/>
              </w:rPr>
            </w:pPr>
          </w:p>
        </w:tc>
        <w:tc>
          <w:tcPr>
            <w:tcW w:w="195" w:type="pct"/>
          </w:tcPr>
          <w:p w:rsidR="002A4053" w:rsidRPr="00D130E2" w:rsidRDefault="002A4053" w:rsidP="002A4053">
            <w:pPr>
              <w:jc w:val="both"/>
              <w:rPr>
                <w:sz w:val="20"/>
                <w:lang w:val="fr-CA"/>
              </w:rPr>
            </w:pPr>
          </w:p>
        </w:tc>
        <w:tc>
          <w:tcPr>
            <w:tcW w:w="2379" w:type="pct"/>
          </w:tcPr>
          <w:p w:rsidR="002A4053" w:rsidRPr="00D130E2" w:rsidRDefault="002A4053" w:rsidP="002A4053">
            <w:pPr>
              <w:jc w:val="both"/>
              <w:rPr>
                <w:sz w:val="20"/>
                <w:lang w:val="fr-CA"/>
              </w:rPr>
            </w:pPr>
            <w:r w:rsidRPr="00D130E2">
              <w:rPr>
                <w:sz w:val="20"/>
                <w:lang w:val="fr-CA"/>
              </w:rPr>
              <w:t>Dépôt de la requête en prorogation du délai de signification et de dépôt de la demande d’autorisation d’appel et de la demande d’autorisation d’appel</w:t>
            </w:r>
          </w:p>
        </w:tc>
      </w:tr>
    </w:tbl>
    <w:p w:rsidR="002A4053" w:rsidRPr="00D130E2" w:rsidRDefault="002A4053" w:rsidP="002A4053">
      <w:pPr>
        <w:jc w:val="both"/>
        <w:rPr>
          <w:sz w:val="20"/>
          <w:lang w:val="fr-CA"/>
        </w:rPr>
      </w:pPr>
    </w:p>
    <w:p w:rsidR="002A4053" w:rsidRPr="00D130E2" w:rsidRDefault="002A4053" w:rsidP="002A4053">
      <w:pPr>
        <w:jc w:val="both"/>
        <w:rPr>
          <w:sz w:val="20"/>
          <w:lang w:val="fr-CA"/>
        </w:rPr>
      </w:pPr>
      <w:r w:rsidRPr="00D130E2">
        <w:rPr>
          <w:sz w:val="20"/>
        </w:rPr>
        <w:pict>
          <v:rect id="_x0000_i1029" style="width:2in;height:1pt" o:hrpct="0" o:hralign="center" o:hrstd="t" o:hrnoshade="t" o:hr="t" fillcolor="black [3213]" stroked="f"/>
        </w:pict>
      </w:r>
    </w:p>
    <w:p w:rsidR="008C3C00" w:rsidRPr="00D130E2" w:rsidRDefault="008C3C00" w:rsidP="002A405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A4053" w:rsidRPr="00D130E2" w:rsidTr="00E95A6A">
        <w:tc>
          <w:tcPr>
            <w:tcW w:w="543" w:type="pct"/>
          </w:tcPr>
          <w:p w:rsidR="002A4053" w:rsidRPr="00D130E2" w:rsidRDefault="002A4053" w:rsidP="002A4053">
            <w:pPr>
              <w:jc w:val="both"/>
              <w:rPr>
                <w:sz w:val="20"/>
                <w:lang w:val="en-CA"/>
              </w:rPr>
            </w:pPr>
            <w:r w:rsidRPr="00D130E2">
              <w:rPr>
                <w:rStyle w:val="SCCFileNumberChar"/>
                <w:sz w:val="20"/>
                <w:szCs w:val="20"/>
              </w:rPr>
              <w:t>39331</w:t>
            </w:r>
          </w:p>
        </w:tc>
        <w:tc>
          <w:tcPr>
            <w:tcW w:w="4457" w:type="pct"/>
            <w:gridSpan w:val="3"/>
          </w:tcPr>
          <w:p w:rsidR="002A4053" w:rsidRPr="00D130E2" w:rsidRDefault="002A4053" w:rsidP="002A4053">
            <w:pPr>
              <w:pStyle w:val="SCCLsocParty"/>
              <w:jc w:val="both"/>
              <w:rPr>
                <w:b/>
                <w:sz w:val="20"/>
                <w:szCs w:val="20"/>
                <w:lang w:val="en-CA"/>
              </w:rPr>
            </w:pPr>
            <w:r w:rsidRPr="00D130E2">
              <w:rPr>
                <w:b/>
                <w:sz w:val="20"/>
                <w:szCs w:val="20"/>
                <w:lang w:val="en-CA"/>
              </w:rPr>
              <w:t>Samir Arif v. Her Majesty the Queen</w:t>
            </w:r>
          </w:p>
          <w:p w:rsidR="002A4053" w:rsidRPr="00D130E2" w:rsidRDefault="002A4053" w:rsidP="002A4053">
            <w:pPr>
              <w:jc w:val="both"/>
              <w:rPr>
                <w:sz w:val="20"/>
                <w:lang w:val="en-CA"/>
              </w:rPr>
            </w:pPr>
            <w:r w:rsidRPr="00D130E2">
              <w:rPr>
                <w:sz w:val="20"/>
                <w:lang w:val="en-CA"/>
              </w:rPr>
              <w:t>(Que.) (Criminal) (By Leave)</w:t>
            </w:r>
          </w:p>
        </w:tc>
      </w:tr>
      <w:tr w:rsidR="002A4053" w:rsidRPr="00D130E2" w:rsidTr="00E95A6A">
        <w:tc>
          <w:tcPr>
            <w:tcW w:w="5000" w:type="pct"/>
            <w:gridSpan w:val="4"/>
          </w:tcPr>
          <w:p w:rsidR="002A4053" w:rsidRPr="00D130E2" w:rsidRDefault="002A4053" w:rsidP="002A4053">
            <w:pPr>
              <w:jc w:val="both"/>
              <w:rPr>
                <w:sz w:val="20"/>
                <w:lang w:val="en-CA"/>
              </w:rPr>
            </w:pPr>
            <w:r w:rsidRPr="00D130E2">
              <w:rPr>
                <w:sz w:val="20"/>
                <w:lang w:val="en-CA"/>
              </w:rPr>
              <w:t>Criminal law — Sentencing — Powers of Court of Appeal — Whether Quebec Court of Appeal erred in law in unduly limiting its power to intervene in appeal against sentence — Whether Quebec Court of Appeal erred in law in failing to in any way address application of principle of parity in sentencing.</w:t>
            </w:r>
          </w:p>
        </w:tc>
      </w:tr>
      <w:tr w:rsidR="002A4053" w:rsidRPr="00D130E2" w:rsidTr="00E95A6A">
        <w:tc>
          <w:tcPr>
            <w:tcW w:w="5000" w:type="pct"/>
            <w:gridSpan w:val="4"/>
          </w:tcPr>
          <w:p w:rsidR="002A4053" w:rsidRPr="00D130E2" w:rsidRDefault="002A4053" w:rsidP="002A4053">
            <w:pPr>
              <w:jc w:val="both"/>
              <w:rPr>
                <w:sz w:val="20"/>
                <w:lang w:val="en-CA"/>
              </w:rPr>
            </w:pPr>
          </w:p>
        </w:tc>
      </w:tr>
      <w:tr w:rsidR="002A4053" w:rsidRPr="00D130E2" w:rsidTr="00E95A6A">
        <w:tc>
          <w:tcPr>
            <w:tcW w:w="5000" w:type="pct"/>
            <w:gridSpan w:val="4"/>
          </w:tcPr>
          <w:p w:rsidR="002A4053" w:rsidRPr="00D130E2" w:rsidRDefault="002A4053" w:rsidP="002A4053">
            <w:pPr>
              <w:jc w:val="both"/>
              <w:rPr>
                <w:sz w:val="20"/>
                <w:lang w:val="en-CA"/>
              </w:rPr>
            </w:pPr>
            <w:r w:rsidRPr="00D130E2">
              <w:rPr>
                <w:sz w:val="20"/>
                <w:lang w:val="en-CA"/>
              </w:rPr>
              <w:t xml:space="preserve">Ten charges </w:t>
            </w:r>
            <w:proofErr w:type="gramStart"/>
            <w:r w:rsidRPr="00D130E2">
              <w:rPr>
                <w:sz w:val="20"/>
                <w:lang w:val="en-CA"/>
              </w:rPr>
              <w:t>were laid</w:t>
            </w:r>
            <w:proofErr w:type="gramEnd"/>
            <w:r w:rsidRPr="00D130E2">
              <w:rPr>
                <w:sz w:val="20"/>
                <w:lang w:val="en-CA"/>
              </w:rPr>
              <w:t xml:space="preserve"> against the applicant, Mr. Arif, including forcible confinement and aggravated assault against Mike Tremblay. </w:t>
            </w:r>
          </w:p>
          <w:p w:rsidR="002A4053" w:rsidRPr="00D130E2" w:rsidRDefault="002A4053" w:rsidP="002A4053">
            <w:pPr>
              <w:jc w:val="both"/>
              <w:rPr>
                <w:sz w:val="20"/>
                <w:lang w:val="en-CA"/>
              </w:rPr>
            </w:pPr>
          </w:p>
          <w:p w:rsidR="002A4053" w:rsidRPr="00D130E2" w:rsidRDefault="002A4053" w:rsidP="002A4053">
            <w:pPr>
              <w:jc w:val="both"/>
              <w:rPr>
                <w:sz w:val="20"/>
                <w:lang w:val="en-CA"/>
              </w:rPr>
            </w:pPr>
            <w:r w:rsidRPr="00D130E2">
              <w:rPr>
                <w:sz w:val="20"/>
                <w:lang w:val="en-CA"/>
              </w:rPr>
              <w:t xml:space="preserve">Mr. Arif </w:t>
            </w:r>
            <w:proofErr w:type="gramStart"/>
            <w:r w:rsidRPr="00D130E2">
              <w:rPr>
                <w:sz w:val="20"/>
                <w:lang w:val="en-CA"/>
              </w:rPr>
              <w:t>was found</w:t>
            </w:r>
            <w:proofErr w:type="gramEnd"/>
            <w:r w:rsidRPr="00D130E2">
              <w:rPr>
                <w:sz w:val="20"/>
                <w:lang w:val="en-CA"/>
              </w:rPr>
              <w:t xml:space="preserve"> guilty on all 10 counts. At sentencing, the Court of Québec found that there were a number of aggravating circumstances and no mitigating circumstances. Mr. Arif </w:t>
            </w:r>
            <w:proofErr w:type="gramStart"/>
            <w:r w:rsidRPr="00D130E2">
              <w:rPr>
                <w:sz w:val="20"/>
                <w:lang w:val="en-CA"/>
              </w:rPr>
              <w:t>was therefore sentenced</w:t>
            </w:r>
            <w:proofErr w:type="gramEnd"/>
            <w:r w:rsidRPr="00D130E2">
              <w:rPr>
                <w:sz w:val="20"/>
                <w:lang w:val="en-CA"/>
              </w:rPr>
              <w:t xml:space="preserve"> to a total of 11 years’ imprisonment. The Court of Appeal unanimously dismissed an appeal from both the verdicts and the sentence. Although it found that the trial judge had made errors, they </w:t>
            </w:r>
            <w:proofErr w:type="gramStart"/>
            <w:r w:rsidRPr="00D130E2">
              <w:rPr>
                <w:sz w:val="20"/>
                <w:lang w:val="en-CA"/>
              </w:rPr>
              <w:t>had not in its opinion had</w:t>
            </w:r>
            <w:proofErr w:type="gramEnd"/>
            <w:r w:rsidRPr="00D130E2">
              <w:rPr>
                <w:sz w:val="20"/>
                <w:lang w:val="en-CA"/>
              </w:rPr>
              <w:t xml:space="preserve"> a meaningful impact on the sentence. It concluded that it </w:t>
            </w:r>
            <w:proofErr w:type="gramStart"/>
            <w:r w:rsidRPr="00D130E2">
              <w:rPr>
                <w:sz w:val="20"/>
                <w:lang w:val="en-CA"/>
              </w:rPr>
              <w:t>had not been shown</w:t>
            </w:r>
            <w:proofErr w:type="gramEnd"/>
            <w:r w:rsidRPr="00D130E2">
              <w:rPr>
                <w:sz w:val="20"/>
                <w:lang w:val="en-CA"/>
              </w:rPr>
              <w:t xml:space="preserve"> that the sentences, considered as a whole, were demonstrably unfit or that they had resulted from errors in principle of sufficient importance to require its intervention.</w:t>
            </w:r>
          </w:p>
          <w:p w:rsidR="002A4053" w:rsidRPr="00D130E2" w:rsidRDefault="002A4053" w:rsidP="002A4053">
            <w:pPr>
              <w:jc w:val="both"/>
              <w:rPr>
                <w:sz w:val="20"/>
                <w:lang w:val="en-CA"/>
              </w:rPr>
            </w:pPr>
          </w:p>
        </w:tc>
      </w:tr>
      <w:tr w:rsidR="002A4053" w:rsidRPr="00D130E2" w:rsidTr="00E95A6A">
        <w:tc>
          <w:tcPr>
            <w:tcW w:w="2427" w:type="pct"/>
            <w:gridSpan w:val="2"/>
          </w:tcPr>
          <w:p w:rsidR="002A4053" w:rsidRPr="00D130E2" w:rsidRDefault="002A4053" w:rsidP="002A4053">
            <w:pPr>
              <w:jc w:val="both"/>
              <w:rPr>
                <w:sz w:val="20"/>
                <w:lang w:val="en-CA"/>
              </w:rPr>
            </w:pPr>
            <w:r w:rsidRPr="00D130E2">
              <w:rPr>
                <w:sz w:val="20"/>
                <w:lang w:val="en-CA"/>
              </w:rPr>
              <w:t>December 14, 2017</w:t>
            </w:r>
          </w:p>
          <w:p w:rsidR="002A4053" w:rsidRPr="00D130E2" w:rsidRDefault="002A4053" w:rsidP="002A4053">
            <w:pPr>
              <w:jc w:val="both"/>
              <w:rPr>
                <w:sz w:val="20"/>
                <w:lang w:val="en-CA"/>
              </w:rPr>
            </w:pPr>
            <w:r w:rsidRPr="00D130E2">
              <w:rPr>
                <w:sz w:val="20"/>
                <w:lang w:val="en-CA"/>
              </w:rPr>
              <w:t>Court of Québec</w:t>
            </w:r>
          </w:p>
          <w:p w:rsidR="002A4053" w:rsidRPr="00D130E2" w:rsidRDefault="002A4053" w:rsidP="002A4053">
            <w:pPr>
              <w:jc w:val="both"/>
              <w:rPr>
                <w:sz w:val="20"/>
                <w:lang w:val="en-CA"/>
              </w:rPr>
            </w:pPr>
            <w:r w:rsidRPr="00D130E2">
              <w:rPr>
                <w:sz w:val="20"/>
                <w:lang w:val="en-CA"/>
              </w:rPr>
              <w:t>(Judge Provost)</w:t>
            </w:r>
          </w:p>
          <w:p w:rsidR="002A4053" w:rsidRPr="00D130E2" w:rsidRDefault="002A4053" w:rsidP="002A4053">
            <w:pPr>
              <w:jc w:val="both"/>
              <w:rPr>
                <w:sz w:val="20"/>
                <w:lang w:val="en-CA"/>
              </w:rPr>
            </w:pPr>
          </w:p>
        </w:tc>
        <w:tc>
          <w:tcPr>
            <w:tcW w:w="243" w:type="pct"/>
          </w:tcPr>
          <w:p w:rsidR="002A4053" w:rsidRPr="00D130E2" w:rsidRDefault="002A4053" w:rsidP="002A4053">
            <w:pPr>
              <w:jc w:val="both"/>
              <w:rPr>
                <w:sz w:val="20"/>
                <w:lang w:val="en-CA"/>
              </w:rPr>
            </w:pPr>
          </w:p>
        </w:tc>
        <w:tc>
          <w:tcPr>
            <w:tcW w:w="2330" w:type="pct"/>
          </w:tcPr>
          <w:p w:rsidR="002A4053" w:rsidRPr="00D130E2" w:rsidRDefault="002A4053" w:rsidP="002A4053">
            <w:pPr>
              <w:jc w:val="both"/>
              <w:rPr>
                <w:sz w:val="20"/>
                <w:lang w:val="en-CA"/>
              </w:rPr>
            </w:pPr>
            <w:r w:rsidRPr="00D130E2">
              <w:rPr>
                <w:sz w:val="20"/>
                <w:lang w:val="en-CA"/>
              </w:rPr>
              <w:t>Applicant found guilty on 10 charges</w:t>
            </w:r>
          </w:p>
        </w:tc>
      </w:tr>
      <w:tr w:rsidR="002A4053" w:rsidRPr="00D130E2" w:rsidTr="00E95A6A">
        <w:tc>
          <w:tcPr>
            <w:tcW w:w="2427" w:type="pct"/>
            <w:gridSpan w:val="2"/>
          </w:tcPr>
          <w:p w:rsidR="002A4053" w:rsidRPr="00D130E2" w:rsidRDefault="002A4053" w:rsidP="002A4053">
            <w:pPr>
              <w:jc w:val="both"/>
              <w:rPr>
                <w:sz w:val="20"/>
                <w:lang w:val="en-CA"/>
              </w:rPr>
            </w:pPr>
            <w:r w:rsidRPr="00D130E2">
              <w:rPr>
                <w:sz w:val="20"/>
                <w:lang w:val="en-CA"/>
              </w:rPr>
              <w:t>May 15, 2018</w:t>
            </w:r>
          </w:p>
          <w:p w:rsidR="002A4053" w:rsidRPr="00D130E2" w:rsidRDefault="002A4053" w:rsidP="002A4053">
            <w:pPr>
              <w:jc w:val="both"/>
              <w:rPr>
                <w:sz w:val="20"/>
                <w:lang w:val="en-CA"/>
              </w:rPr>
            </w:pPr>
            <w:r w:rsidRPr="00D130E2">
              <w:rPr>
                <w:sz w:val="20"/>
                <w:lang w:val="en-CA"/>
              </w:rPr>
              <w:t>Court of Québec</w:t>
            </w:r>
          </w:p>
          <w:p w:rsidR="002A4053" w:rsidRPr="00D130E2" w:rsidRDefault="002A4053" w:rsidP="002A4053">
            <w:pPr>
              <w:jc w:val="both"/>
              <w:rPr>
                <w:sz w:val="20"/>
                <w:lang w:val="en-CA"/>
              </w:rPr>
            </w:pPr>
            <w:r w:rsidRPr="00D130E2">
              <w:rPr>
                <w:sz w:val="20"/>
                <w:lang w:val="en-CA"/>
              </w:rPr>
              <w:t>(Judge Provost)</w:t>
            </w:r>
          </w:p>
          <w:p w:rsidR="002A4053" w:rsidRPr="00D130E2" w:rsidRDefault="002A4053" w:rsidP="002A4053">
            <w:pPr>
              <w:jc w:val="both"/>
              <w:rPr>
                <w:sz w:val="20"/>
                <w:lang w:val="en-CA"/>
              </w:rPr>
            </w:pPr>
          </w:p>
        </w:tc>
        <w:tc>
          <w:tcPr>
            <w:tcW w:w="243" w:type="pct"/>
          </w:tcPr>
          <w:p w:rsidR="002A4053" w:rsidRPr="00D130E2" w:rsidRDefault="002A4053" w:rsidP="002A4053">
            <w:pPr>
              <w:jc w:val="both"/>
              <w:rPr>
                <w:sz w:val="20"/>
                <w:lang w:val="en-CA"/>
              </w:rPr>
            </w:pPr>
          </w:p>
        </w:tc>
        <w:tc>
          <w:tcPr>
            <w:tcW w:w="2330" w:type="pct"/>
          </w:tcPr>
          <w:p w:rsidR="002A4053" w:rsidRPr="00D130E2" w:rsidRDefault="002A4053" w:rsidP="002A4053">
            <w:pPr>
              <w:jc w:val="both"/>
              <w:rPr>
                <w:sz w:val="20"/>
                <w:lang w:val="en-CA"/>
              </w:rPr>
            </w:pPr>
            <w:r w:rsidRPr="00D130E2">
              <w:rPr>
                <w:sz w:val="20"/>
                <w:lang w:val="en-CA"/>
              </w:rPr>
              <w:t>Applicant sentenced to total of 11 years’ imprisonment</w:t>
            </w:r>
          </w:p>
        </w:tc>
      </w:tr>
      <w:tr w:rsidR="002A4053" w:rsidRPr="00D130E2" w:rsidTr="00E95A6A">
        <w:tc>
          <w:tcPr>
            <w:tcW w:w="2427" w:type="pct"/>
            <w:gridSpan w:val="2"/>
          </w:tcPr>
          <w:p w:rsidR="002A4053" w:rsidRPr="00D130E2" w:rsidRDefault="002A4053" w:rsidP="002A4053">
            <w:pPr>
              <w:jc w:val="both"/>
              <w:rPr>
                <w:sz w:val="20"/>
                <w:lang w:val="en-CA"/>
              </w:rPr>
            </w:pPr>
            <w:r w:rsidRPr="00D130E2">
              <w:rPr>
                <w:sz w:val="20"/>
                <w:lang w:val="en-CA"/>
              </w:rPr>
              <w:t>June 23, 2020</w:t>
            </w:r>
          </w:p>
          <w:p w:rsidR="002A4053" w:rsidRPr="00D130E2" w:rsidRDefault="002A4053" w:rsidP="002A4053">
            <w:pPr>
              <w:jc w:val="both"/>
              <w:rPr>
                <w:sz w:val="20"/>
                <w:lang w:val="en-CA"/>
              </w:rPr>
            </w:pPr>
            <w:r w:rsidRPr="00D130E2">
              <w:rPr>
                <w:sz w:val="20"/>
                <w:lang w:val="en-CA"/>
              </w:rPr>
              <w:t>Quebec Court of Appeal (Montréal)</w:t>
            </w:r>
          </w:p>
          <w:p w:rsidR="002A4053" w:rsidRPr="00D130E2" w:rsidRDefault="002A4053" w:rsidP="002A4053">
            <w:pPr>
              <w:jc w:val="both"/>
              <w:rPr>
                <w:sz w:val="20"/>
                <w:lang w:val="fr-CA"/>
              </w:rPr>
            </w:pPr>
            <w:r w:rsidRPr="00D130E2">
              <w:rPr>
                <w:sz w:val="20"/>
                <w:lang w:val="fr-CA"/>
              </w:rPr>
              <w:t>(Gagnon, Beaupré and Moore JJ.A.)</w:t>
            </w:r>
          </w:p>
          <w:p w:rsidR="002A4053" w:rsidRPr="00D130E2" w:rsidRDefault="002A4053" w:rsidP="002A4053">
            <w:pPr>
              <w:jc w:val="both"/>
              <w:rPr>
                <w:sz w:val="20"/>
                <w:lang w:val="en-CA"/>
              </w:rPr>
            </w:pPr>
            <w:hyperlink r:id="rId17" w:history="1">
              <w:r w:rsidRPr="00D130E2">
                <w:rPr>
                  <w:rStyle w:val="Hyperlink"/>
                  <w:sz w:val="20"/>
                  <w:lang w:val="en-CA"/>
                </w:rPr>
                <w:t>2020 QCCA 848</w:t>
              </w:r>
            </w:hyperlink>
          </w:p>
          <w:p w:rsidR="002A4053" w:rsidRPr="00D130E2" w:rsidRDefault="002A4053" w:rsidP="002A4053">
            <w:pPr>
              <w:jc w:val="both"/>
              <w:rPr>
                <w:sz w:val="20"/>
                <w:lang w:val="en-CA"/>
              </w:rPr>
            </w:pPr>
          </w:p>
        </w:tc>
        <w:tc>
          <w:tcPr>
            <w:tcW w:w="243" w:type="pct"/>
          </w:tcPr>
          <w:p w:rsidR="002A4053" w:rsidRPr="00D130E2" w:rsidRDefault="002A4053" w:rsidP="002A4053">
            <w:pPr>
              <w:jc w:val="both"/>
              <w:rPr>
                <w:sz w:val="20"/>
                <w:lang w:val="en-CA"/>
              </w:rPr>
            </w:pPr>
          </w:p>
        </w:tc>
        <w:tc>
          <w:tcPr>
            <w:tcW w:w="2330" w:type="pct"/>
          </w:tcPr>
          <w:p w:rsidR="002A4053" w:rsidRPr="00D130E2" w:rsidRDefault="002A4053" w:rsidP="002A4053">
            <w:pPr>
              <w:jc w:val="both"/>
              <w:rPr>
                <w:sz w:val="20"/>
                <w:lang w:val="en-CA"/>
              </w:rPr>
            </w:pPr>
            <w:r w:rsidRPr="00D130E2">
              <w:rPr>
                <w:sz w:val="20"/>
                <w:lang w:val="en-CA"/>
              </w:rPr>
              <w:t xml:space="preserve">Appeal from verdicts dismissed; appeal against sentences allowed in part </w:t>
            </w:r>
          </w:p>
          <w:p w:rsidR="002A4053" w:rsidRPr="00D130E2" w:rsidRDefault="002A4053" w:rsidP="002A4053">
            <w:pPr>
              <w:jc w:val="both"/>
              <w:rPr>
                <w:sz w:val="20"/>
                <w:lang w:val="en-CA"/>
              </w:rPr>
            </w:pPr>
          </w:p>
        </w:tc>
      </w:tr>
      <w:tr w:rsidR="002A4053" w:rsidRPr="00D130E2" w:rsidTr="00E95A6A">
        <w:tc>
          <w:tcPr>
            <w:tcW w:w="2427" w:type="pct"/>
            <w:gridSpan w:val="2"/>
          </w:tcPr>
          <w:p w:rsidR="002A4053" w:rsidRPr="00D130E2" w:rsidRDefault="002A4053" w:rsidP="002A4053">
            <w:pPr>
              <w:jc w:val="both"/>
              <w:rPr>
                <w:sz w:val="20"/>
                <w:lang w:val="en-CA"/>
              </w:rPr>
            </w:pPr>
            <w:r w:rsidRPr="00D130E2">
              <w:rPr>
                <w:sz w:val="20"/>
                <w:lang w:val="en-CA"/>
              </w:rPr>
              <w:t>September 21, 2020</w:t>
            </w:r>
          </w:p>
          <w:p w:rsidR="002A4053" w:rsidRPr="00D130E2" w:rsidRDefault="002A4053" w:rsidP="002A4053">
            <w:pPr>
              <w:jc w:val="both"/>
              <w:rPr>
                <w:sz w:val="20"/>
                <w:lang w:val="en-CA"/>
              </w:rPr>
            </w:pPr>
            <w:r w:rsidRPr="00D130E2">
              <w:rPr>
                <w:sz w:val="20"/>
                <w:lang w:val="en-CA"/>
              </w:rPr>
              <w:t>Supreme Court of Canada</w:t>
            </w:r>
          </w:p>
        </w:tc>
        <w:tc>
          <w:tcPr>
            <w:tcW w:w="243" w:type="pct"/>
          </w:tcPr>
          <w:p w:rsidR="002A4053" w:rsidRPr="00D130E2" w:rsidRDefault="002A4053" w:rsidP="002A4053">
            <w:pPr>
              <w:jc w:val="both"/>
              <w:rPr>
                <w:sz w:val="20"/>
                <w:lang w:val="en-CA"/>
              </w:rPr>
            </w:pPr>
          </w:p>
        </w:tc>
        <w:tc>
          <w:tcPr>
            <w:tcW w:w="2330" w:type="pct"/>
          </w:tcPr>
          <w:p w:rsidR="002A4053" w:rsidRPr="00D130E2" w:rsidRDefault="002A4053" w:rsidP="002A4053">
            <w:pPr>
              <w:jc w:val="both"/>
              <w:rPr>
                <w:sz w:val="20"/>
                <w:lang w:val="en-CA"/>
              </w:rPr>
            </w:pPr>
            <w:r w:rsidRPr="00D130E2">
              <w:rPr>
                <w:sz w:val="20"/>
                <w:lang w:val="en-CA"/>
              </w:rPr>
              <w:t>Application for leave to appeal filed</w:t>
            </w:r>
          </w:p>
          <w:p w:rsidR="002A4053" w:rsidRPr="00D130E2" w:rsidRDefault="002A4053" w:rsidP="002A4053">
            <w:pPr>
              <w:jc w:val="both"/>
              <w:rPr>
                <w:sz w:val="20"/>
                <w:lang w:val="en-CA"/>
              </w:rPr>
            </w:pPr>
          </w:p>
        </w:tc>
      </w:tr>
    </w:tbl>
    <w:p w:rsidR="002A4053" w:rsidRPr="00D130E2" w:rsidRDefault="002A4053" w:rsidP="002A4053">
      <w:pPr>
        <w:jc w:val="both"/>
        <w:rPr>
          <w:sz w:val="20"/>
          <w:lang w:val="en-CA"/>
        </w:rPr>
      </w:pPr>
    </w:p>
    <w:p w:rsidR="002A4053" w:rsidRPr="00D130E2" w:rsidRDefault="002A4053" w:rsidP="002A4053">
      <w:pPr>
        <w:jc w:val="both"/>
        <w:rPr>
          <w:sz w:val="20"/>
          <w:lang w:val="en-CA"/>
        </w:rPr>
      </w:pPr>
      <w:r w:rsidRPr="00D130E2">
        <w:rPr>
          <w:sz w:val="20"/>
        </w:rPr>
        <w:pict>
          <v:rect id="_x0000_i1030" style="width:2in;height:1pt" o:hrpct="0" o:hralign="center" o:hrstd="t" o:hrnoshade="t" o:hr="t" fillcolor="black [3213]" stroked="f"/>
        </w:pict>
      </w:r>
    </w:p>
    <w:p w:rsidR="002A4053" w:rsidRPr="00D130E2" w:rsidRDefault="002A4053" w:rsidP="002A405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A4053" w:rsidRPr="00D130E2" w:rsidTr="00E95A6A">
        <w:tc>
          <w:tcPr>
            <w:tcW w:w="543" w:type="pct"/>
          </w:tcPr>
          <w:p w:rsidR="002A4053" w:rsidRPr="00D130E2" w:rsidRDefault="002A4053" w:rsidP="002A4053">
            <w:pPr>
              <w:jc w:val="both"/>
              <w:rPr>
                <w:sz w:val="20"/>
              </w:rPr>
            </w:pPr>
            <w:r w:rsidRPr="00D130E2">
              <w:rPr>
                <w:rStyle w:val="SCCFileNumberChar"/>
                <w:sz w:val="20"/>
                <w:szCs w:val="20"/>
              </w:rPr>
              <w:t>39331</w:t>
            </w:r>
          </w:p>
        </w:tc>
        <w:tc>
          <w:tcPr>
            <w:tcW w:w="4457" w:type="pct"/>
            <w:gridSpan w:val="3"/>
          </w:tcPr>
          <w:p w:rsidR="002A4053" w:rsidRPr="00D130E2" w:rsidRDefault="002A4053" w:rsidP="002A4053">
            <w:pPr>
              <w:pStyle w:val="SCCLsocParty"/>
              <w:jc w:val="both"/>
              <w:rPr>
                <w:b/>
                <w:sz w:val="20"/>
                <w:szCs w:val="20"/>
              </w:rPr>
            </w:pPr>
            <w:r w:rsidRPr="00D130E2">
              <w:rPr>
                <w:b/>
                <w:sz w:val="20"/>
                <w:szCs w:val="20"/>
              </w:rPr>
              <w:t>Samir Arif c. Sa Majesté la Reine</w:t>
            </w:r>
          </w:p>
          <w:p w:rsidR="002A4053" w:rsidRPr="00D130E2" w:rsidRDefault="002A4053" w:rsidP="002A4053">
            <w:pPr>
              <w:jc w:val="both"/>
              <w:rPr>
                <w:sz w:val="20"/>
              </w:rPr>
            </w:pPr>
            <w:r w:rsidRPr="00D130E2">
              <w:rPr>
                <w:sz w:val="20"/>
              </w:rPr>
              <w:t>(Qc) (Criminelle) (Autorisation)</w:t>
            </w:r>
          </w:p>
        </w:tc>
      </w:tr>
      <w:tr w:rsidR="002A4053" w:rsidRPr="00D130E2" w:rsidTr="00E95A6A">
        <w:tc>
          <w:tcPr>
            <w:tcW w:w="5000" w:type="pct"/>
            <w:gridSpan w:val="4"/>
          </w:tcPr>
          <w:p w:rsidR="002A4053" w:rsidRPr="00D130E2" w:rsidRDefault="002A4053" w:rsidP="002A4053">
            <w:pPr>
              <w:jc w:val="both"/>
              <w:rPr>
                <w:sz w:val="20"/>
                <w:lang w:val="fr-CA"/>
              </w:rPr>
            </w:pPr>
            <w:r w:rsidRPr="00D130E2">
              <w:rPr>
                <w:sz w:val="20"/>
                <w:lang w:val="fr-CA"/>
              </w:rPr>
              <w:t>Droit criminel — Détermination de la peine — Pouvoirs de la cour d’appel — La Cour d’appel du Québec a</w:t>
            </w:r>
            <w:r w:rsidRPr="00D130E2">
              <w:rPr>
                <w:sz w:val="20"/>
                <w:lang w:val="fr-CA"/>
              </w:rPr>
              <w:noBreakHyphen/>
              <w:t>t</w:t>
            </w:r>
            <w:r w:rsidRPr="00D130E2">
              <w:rPr>
                <w:sz w:val="20"/>
                <w:lang w:val="fr-CA"/>
              </w:rPr>
              <w:noBreakHyphen/>
              <w:t>elle erré en droit en limitant de manière indue son pouvoir d’intervention dans le cadre d’un appel d’une peine? — La Cour d’appel du Québec a</w:t>
            </w:r>
            <w:r w:rsidRPr="00D130E2">
              <w:rPr>
                <w:sz w:val="20"/>
                <w:lang w:val="fr-CA"/>
              </w:rPr>
              <w:noBreakHyphen/>
              <w:t>t</w:t>
            </w:r>
            <w:r w:rsidRPr="00D130E2">
              <w:rPr>
                <w:sz w:val="20"/>
                <w:lang w:val="fr-CA"/>
              </w:rPr>
              <w:noBreakHyphen/>
              <w:t>elle erré en droit en ne se prononçant d’aucune façon sur l’application du principe de parité des sanctions?</w:t>
            </w:r>
          </w:p>
        </w:tc>
      </w:tr>
      <w:tr w:rsidR="002A4053" w:rsidRPr="00D130E2" w:rsidTr="00E95A6A">
        <w:tc>
          <w:tcPr>
            <w:tcW w:w="5000" w:type="pct"/>
            <w:gridSpan w:val="4"/>
          </w:tcPr>
          <w:p w:rsidR="002A4053" w:rsidRPr="00D130E2" w:rsidRDefault="002A4053" w:rsidP="002A4053">
            <w:pPr>
              <w:jc w:val="both"/>
              <w:rPr>
                <w:sz w:val="20"/>
                <w:lang w:val="fr-CA"/>
              </w:rPr>
            </w:pPr>
          </w:p>
        </w:tc>
      </w:tr>
      <w:tr w:rsidR="002A4053" w:rsidRPr="00D130E2" w:rsidTr="00E95A6A">
        <w:tc>
          <w:tcPr>
            <w:tcW w:w="5000" w:type="pct"/>
            <w:gridSpan w:val="4"/>
          </w:tcPr>
          <w:p w:rsidR="002A4053" w:rsidRPr="00D130E2" w:rsidRDefault="002A4053" w:rsidP="002A4053">
            <w:pPr>
              <w:jc w:val="both"/>
              <w:rPr>
                <w:sz w:val="20"/>
                <w:lang w:val="fr-CA"/>
              </w:rPr>
            </w:pPr>
            <w:r w:rsidRPr="00D130E2">
              <w:rPr>
                <w:sz w:val="20"/>
                <w:lang w:val="fr-CA"/>
              </w:rPr>
              <w:t xml:space="preserve">Dix chefs d’accusation sont portés contre le demandeur M. Arif, y compris séquestration et voies de fait graves, à l’endroit de M. Mike Tremblay. </w:t>
            </w:r>
          </w:p>
          <w:p w:rsidR="002A4053" w:rsidRPr="00D130E2" w:rsidRDefault="002A4053" w:rsidP="002A4053">
            <w:pPr>
              <w:jc w:val="both"/>
              <w:rPr>
                <w:sz w:val="20"/>
                <w:lang w:val="fr-CA"/>
              </w:rPr>
            </w:pPr>
          </w:p>
          <w:p w:rsidR="002A4053" w:rsidRPr="00D130E2" w:rsidRDefault="002A4053" w:rsidP="002A4053">
            <w:pPr>
              <w:jc w:val="both"/>
              <w:rPr>
                <w:sz w:val="20"/>
                <w:lang w:val="fr-CA"/>
              </w:rPr>
            </w:pPr>
            <w:r w:rsidRPr="00D130E2">
              <w:rPr>
                <w:sz w:val="20"/>
                <w:lang w:val="fr-CA"/>
              </w:rPr>
              <w:t>M. Arif est déclaré coupable des 10 chefs d’accusation. Au stade de la détermination de la peine, la Cour du Québec estime qu’il y a plusieurs circonstances aggravantes et aucune circonstance atténuante. M. Arif est ainsi condamné à purger un total de 11 ans d’emprisonnement. La Cour d’appel rejette l’appel des verdicts et de la peine de façon unanime. Bien qu’elle considère que le juge de première instance ait commis des erreurs, celles</w:t>
            </w:r>
            <w:r w:rsidRPr="00D130E2">
              <w:rPr>
                <w:sz w:val="20"/>
                <w:lang w:val="fr-CA"/>
              </w:rPr>
              <w:noBreakHyphen/>
              <w:t>ci n’ont à son avis pas eu un impact significatif sur la peine. Elle conclut qu’il n’a pas été démontré que les peines infligées, lorsque appréciées dans leur globalité, sont manifestement non indiquées ou encore qu’elles sont le résultat d’erreurs de principe dont l’importance commanderait son intervention.</w:t>
            </w: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Le 14 décembre 2017</w:t>
            </w:r>
          </w:p>
          <w:p w:rsidR="002A4053" w:rsidRPr="00D130E2" w:rsidRDefault="002A4053" w:rsidP="002A4053">
            <w:pPr>
              <w:jc w:val="both"/>
              <w:rPr>
                <w:sz w:val="20"/>
                <w:lang w:val="fr-CA"/>
              </w:rPr>
            </w:pPr>
            <w:r w:rsidRPr="00D130E2">
              <w:rPr>
                <w:sz w:val="20"/>
                <w:lang w:val="fr-CA"/>
              </w:rPr>
              <w:t>Cour du Québec</w:t>
            </w:r>
          </w:p>
          <w:p w:rsidR="002A4053" w:rsidRPr="00D130E2" w:rsidRDefault="002A4053" w:rsidP="002A4053">
            <w:pPr>
              <w:jc w:val="both"/>
              <w:rPr>
                <w:sz w:val="20"/>
                <w:lang w:val="fr-CA"/>
              </w:rPr>
            </w:pPr>
            <w:r w:rsidRPr="00D130E2">
              <w:rPr>
                <w:sz w:val="20"/>
                <w:lang w:val="fr-CA"/>
              </w:rPr>
              <w:t>(le juge Provost)</w:t>
            </w:r>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 xml:space="preserve">Demandeur déclaré coupable de 10 chefs d’accusation </w:t>
            </w: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Le 15 mai 2018</w:t>
            </w:r>
          </w:p>
          <w:p w:rsidR="002A4053" w:rsidRPr="00D130E2" w:rsidRDefault="002A4053" w:rsidP="002A4053">
            <w:pPr>
              <w:jc w:val="both"/>
              <w:rPr>
                <w:sz w:val="20"/>
                <w:lang w:val="fr-CA"/>
              </w:rPr>
            </w:pPr>
            <w:r w:rsidRPr="00D130E2">
              <w:rPr>
                <w:sz w:val="20"/>
                <w:lang w:val="fr-CA"/>
              </w:rPr>
              <w:t>Cour du Québec</w:t>
            </w:r>
          </w:p>
          <w:p w:rsidR="002A4053" w:rsidRPr="00D130E2" w:rsidRDefault="002A4053" w:rsidP="002A4053">
            <w:pPr>
              <w:jc w:val="both"/>
              <w:rPr>
                <w:sz w:val="20"/>
                <w:lang w:val="fr-CA"/>
              </w:rPr>
            </w:pPr>
            <w:r w:rsidRPr="00D130E2">
              <w:rPr>
                <w:sz w:val="20"/>
                <w:lang w:val="fr-CA"/>
              </w:rPr>
              <w:t>(le juge Provost)</w:t>
            </w:r>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Demandeur condamné à purger une peine totale de 11 ans d’emprisonnement</w:t>
            </w: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Le 23 juin 2020</w:t>
            </w:r>
          </w:p>
          <w:p w:rsidR="002A4053" w:rsidRPr="00D130E2" w:rsidRDefault="002A4053" w:rsidP="002A4053">
            <w:pPr>
              <w:jc w:val="both"/>
              <w:rPr>
                <w:sz w:val="20"/>
                <w:lang w:val="fr-CA"/>
              </w:rPr>
            </w:pPr>
            <w:r w:rsidRPr="00D130E2">
              <w:rPr>
                <w:sz w:val="20"/>
                <w:lang w:val="fr-CA"/>
              </w:rPr>
              <w:t>Cour d’appel du Québec (Montréal)</w:t>
            </w:r>
          </w:p>
          <w:p w:rsidR="002A4053" w:rsidRPr="00D130E2" w:rsidRDefault="002A4053" w:rsidP="002A4053">
            <w:pPr>
              <w:jc w:val="both"/>
              <w:rPr>
                <w:sz w:val="20"/>
                <w:lang w:val="fr-CA"/>
              </w:rPr>
            </w:pPr>
            <w:r w:rsidRPr="00D130E2">
              <w:rPr>
                <w:sz w:val="20"/>
                <w:lang w:val="fr-CA"/>
              </w:rPr>
              <w:t>(les juges Gagnon, Beaupré et Moore)</w:t>
            </w:r>
          </w:p>
          <w:p w:rsidR="002A4053" w:rsidRPr="00D130E2" w:rsidRDefault="002A4053" w:rsidP="002A4053">
            <w:pPr>
              <w:jc w:val="both"/>
              <w:rPr>
                <w:sz w:val="20"/>
              </w:rPr>
            </w:pPr>
            <w:hyperlink r:id="rId18" w:history="1">
              <w:r w:rsidRPr="00D130E2">
                <w:rPr>
                  <w:rStyle w:val="Hyperlink"/>
                  <w:sz w:val="20"/>
                </w:rPr>
                <w:t>2020 QCCA 848</w:t>
              </w:r>
            </w:hyperlink>
          </w:p>
          <w:p w:rsidR="002A4053" w:rsidRPr="00D130E2" w:rsidRDefault="002A4053" w:rsidP="002A4053">
            <w:pPr>
              <w:jc w:val="both"/>
              <w:rPr>
                <w:sz w:val="20"/>
              </w:rPr>
            </w:pP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lang w:val="fr-CA"/>
              </w:rPr>
            </w:pPr>
            <w:r w:rsidRPr="00D130E2">
              <w:rPr>
                <w:sz w:val="20"/>
                <w:lang w:val="fr-CA"/>
              </w:rPr>
              <w:t xml:space="preserve">Appel sur les verdicts rejeté; appel sur les peines accueilli en partie </w:t>
            </w: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Le 21 septembre 2020</w:t>
            </w:r>
          </w:p>
          <w:p w:rsidR="002A4053" w:rsidRPr="00D130E2" w:rsidRDefault="002A4053" w:rsidP="002A4053">
            <w:pPr>
              <w:jc w:val="both"/>
              <w:rPr>
                <w:sz w:val="20"/>
                <w:lang w:val="fr-CA"/>
              </w:rPr>
            </w:pPr>
            <w:r w:rsidRPr="00D130E2">
              <w:rPr>
                <w:sz w:val="20"/>
                <w:lang w:val="fr-CA"/>
              </w:rPr>
              <w:t>Cour suprême du Canada</w:t>
            </w: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rPr>
            </w:pPr>
            <w:r w:rsidRPr="00D130E2">
              <w:rPr>
                <w:sz w:val="20"/>
              </w:rPr>
              <w:t>Demande d'autorisation d'appel déposée</w:t>
            </w:r>
          </w:p>
          <w:p w:rsidR="002A4053" w:rsidRPr="00D130E2" w:rsidRDefault="002A4053" w:rsidP="002A4053">
            <w:pPr>
              <w:jc w:val="both"/>
              <w:rPr>
                <w:sz w:val="20"/>
              </w:rPr>
            </w:pPr>
          </w:p>
        </w:tc>
      </w:tr>
    </w:tbl>
    <w:p w:rsidR="002A4053" w:rsidRPr="00D130E2" w:rsidRDefault="002A4053" w:rsidP="002A4053">
      <w:pPr>
        <w:jc w:val="both"/>
        <w:rPr>
          <w:sz w:val="20"/>
        </w:rPr>
      </w:pPr>
    </w:p>
    <w:p w:rsidR="002A4053" w:rsidRPr="00D130E2" w:rsidRDefault="002A4053" w:rsidP="002A4053">
      <w:pPr>
        <w:jc w:val="both"/>
        <w:rPr>
          <w:sz w:val="20"/>
        </w:rPr>
      </w:pPr>
      <w:r w:rsidRPr="00D130E2">
        <w:rPr>
          <w:sz w:val="20"/>
        </w:rPr>
        <w:pict>
          <v:rect id="_x0000_i1031" style="width:2in;height:1pt" o:hrpct="0" o:hralign="center" o:hrstd="t" o:hrnoshade="t" o:hr="t" fillcolor="black [3213]" stroked="f"/>
        </w:pict>
      </w:r>
    </w:p>
    <w:p w:rsidR="008C3C00" w:rsidRPr="00D130E2" w:rsidRDefault="008C3C00" w:rsidP="002A405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A4053" w:rsidRPr="00D130E2" w:rsidTr="00E95A6A">
        <w:tc>
          <w:tcPr>
            <w:tcW w:w="543" w:type="pct"/>
          </w:tcPr>
          <w:p w:rsidR="002A4053" w:rsidRPr="00D130E2" w:rsidRDefault="002A4053" w:rsidP="002A4053">
            <w:pPr>
              <w:jc w:val="both"/>
              <w:rPr>
                <w:sz w:val="20"/>
              </w:rPr>
            </w:pPr>
            <w:r w:rsidRPr="00D130E2">
              <w:rPr>
                <w:rStyle w:val="SCCFileNumberChar"/>
                <w:sz w:val="20"/>
                <w:szCs w:val="20"/>
              </w:rPr>
              <w:t>39344</w:t>
            </w:r>
          </w:p>
        </w:tc>
        <w:tc>
          <w:tcPr>
            <w:tcW w:w="4457" w:type="pct"/>
            <w:gridSpan w:val="3"/>
          </w:tcPr>
          <w:p w:rsidR="002A4053" w:rsidRPr="00D130E2" w:rsidRDefault="002A4053" w:rsidP="002A4053">
            <w:pPr>
              <w:pStyle w:val="SCCLsocParty"/>
              <w:jc w:val="both"/>
              <w:rPr>
                <w:b/>
                <w:sz w:val="20"/>
                <w:szCs w:val="20"/>
                <w:lang w:val="en-US"/>
              </w:rPr>
            </w:pPr>
            <w:r w:rsidRPr="00D130E2">
              <w:rPr>
                <w:b/>
                <w:sz w:val="20"/>
                <w:szCs w:val="20"/>
                <w:lang w:val="en-US"/>
              </w:rPr>
              <w:t>Nicholas Jordan Butcher v. Her Majesty the Queen</w:t>
            </w:r>
          </w:p>
          <w:p w:rsidR="002A4053" w:rsidRPr="00D130E2" w:rsidRDefault="002A4053" w:rsidP="002A4053">
            <w:pPr>
              <w:jc w:val="both"/>
              <w:rPr>
                <w:sz w:val="20"/>
              </w:rPr>
            </w:pPr>
            <w:r w:rsidRPr="00D130E2">
              <w:rPr>
                <w:sz w:val="20"/>
              </w:rPr>
              <w:t>(N.S.) (Criminal) (By Leave)</w:t>
            </w:r>
          </w:p>
        </w:tc>
      </w:tr>
      <w:tr w:rsidR="002A4053" w:rsidRPr="00D130E2" w:rsidTr="00E95A6A">
        <w:tc>
          <w:tcPr>
            <w:tcW w:w="5000" w:type="pct"/>
            <w:gridSpan w:val="4"/>
          </w:tcPr>
          <w:p w:rsidR="002A4053" w:rsidRPr="00D130E2" w:rsidRDefault="002A4053" w:rsidP="002A4053">
            <w:pPr>
              <w:jc w:val="both"/>
              <w:rPr>
                <w:sz w:val="20"/>
              </w:rPr>
            </w:pPr>
            <w:r w:rsidRPr="00D130E2">
              <w:rPr>
                <w:sz w:val="20"/>
              </w:rPr>
              <w:t xml:space="preserve">Criminal law — Sentencing — Parole ineligibility of 15 years ordered — Whether sentencing judge erred by applying </w:t>
            </w:r>
            <w:r w:rsidRPr="00D130E2">
              <w:rPr>
                <w:color w:val="000000"/>
                <w:spacing w:val="-1"/>
                <w:sz w:val="20"/>
              </w:rPr>
              <w:t>statutory aggravating factors set out in s. 718.2(a</w:t>
            </w:r>
            <w:proofErr w:type="gramStart"/>
            <w:r w:rsidRPr="00D130E2">
              <w:rPr>
                <w:color w:val="000000"/>
                <w:spacing w:val="-1"/>
                <w:sz w:val="20"/>
              </w:rPr>
              <w:t>)(</w:t>
            </w:r>
            <w:proofErr w:type="gramEnd"/>
            <w:r w:rsidRPr="00D130E2">
              <w:rPr>
                <w:color w:val="000000"/>
                <w:spacing w:val="-1"/>
                <w:sz w:val="20"/>
              </w:rPr>
              <w:t xml:space="preserve">ii) of the </w:t>
            </w:r>
            <w:r w:rsidRPr="00D130E2">
              <w:rPr>
                <w:i/>
                <w:color w:val="000000"/>
                <w:spacing w:val="-1"/>
                <w:sz w:val="20"/>
              </w:rPr>
              <w:t xml:space="preserve">Criminal Code </w:t>
            </w:r>
            <w:r w:rsidRPr="00D130E2">
              <w:rPr>
                <w:color w:val="000000"/>
                <w:spacing w:val="-1"/>
                <w:sz w:val="20"/>
              </w:rPr>
              <w:t>pertaining to spouses and common</w:t>
            </w:r>
            <w:r w:rsidRPr="00D130E2">
              <w:rPr>
                <w:color w:val="000000"/>
                <w:spacing w:val="-1"/>
                <w:sz w:val="20"/>
              </w:rPr>
              <w:noBreakHyphen/>
              <w:t xml:space="preserve">law partners and s. 718.2(a)(iii) of the </w:t>
            </w:r>
            <w:r w:rsidRPr="00D130E2">
              <w:rPr>
                <w:i/>
                <w:color w:val="000000"/>
                <w:spacing w:val="-1"/>
                <w:sz w:val="20"/>
              </w:rPr>
              <w:t>Criminal Code</w:t>
            </w:r>
            <w:r w:rsidRPr="00D130E2">
              <w:rPr>
                <w:color w:val="000000"/>
                <w:spacing w:val="-1"/>
                <w:sz w:val="20"/>
              </w:rPr>
              <w:t xml:space="preserve"> pertaining to abuse of a position of trust — Whether sentencing judge</w:t>
            </w:r>
            <w:r w:rsidRPr="00D130E2">
              <w:rPr>
                <w:sz w:val="20"/>
              </w:rPr>
              <w:t xml:space="preserve"> failed to properly apply the principles of parity and proportionality?</w:t>
            </w:r>
          </w:p>
        </w:tc>
      </w:tr>
      <w:tr w:rsidR="002A4053" w:rsidRPr="00D130E2" w:rsidTr="00E95A6A">
        <w:tc>
          <w:tcPr>
            <w:tcW w:w="5000" w:type="pct"/>
            <w:gridSpan w:val="4"/>
          </w:tcPr>
          <w:p w:rsidR="002A4053" w:rsidRPr="00D130E2" w:rsidRDefault="002A4053" w:rsidP="002A4053">
            <w:pPr>
              <w:jc w:val="both"/>
              <w:rPr>
                <w:sz w:val="20"/>
              </w:rPr>
            </w:pPr>
          </w:p>
          <w:p w:rsidR="002A4053" w:rsidRPr="00D130E2" w:rsidRDefault="002A4053" w:rsidP="002A4053">
            <w:pPr>
              <w:jc w:val="both"/>
              <w:rPr>
                <w:sz w:val="20"/>
              </w:rPr>
            </w:pPr>
            <w:r w:rsidRPr="00D130E2">
              <w:rPr>
                <w:sz w:val="20"/>
              </w:rPr>
              <w:lastRenderedPageBreak/>
              <w:t xml:space="preserve">Mr. Butcher was in an intimate relationship with Kristin Johnston and they had been cohabiting for two months. He had discovered that she intended to end the relationship. He fatally stabbed her while she slept in their bed. A jury convicted Mr. Butcher of second-degree murder. Mr. Butcher was sentenced to life imprisonment without parole for 15 years. A majority of the Court of Appeal upheld the sentencing judge’s decision on parole ineligibility. </w:t>
            </w:r>
          </w:p>
        </w:tc>
      </w:tr>
      <w:tr w:rsidR="002A4053" w:rsidRPr="00D130E2" w:rsidTr="00E95A6A">
        <w:tc>
          <w:tcPr>
            <w:tcW w:w="5000" w:type="pct"/>
            <w:gridSpan w:val="4"/>
          </w:tcPr>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t>April 28, 2018</w:t>
            </w:r>
          </w:p>
          <w:p w:rsidR="002A4053" w:rsidRPr="00D130E2" w:rsidRDefault="002A4053" w:rsidP="002A4053">
            <w:pPr>
              <w:jc w:val="both"/>
              <w:rPr>
                <w:sz w:val="20"/>
              </w:rPr>
            </w:pPr>
            <w:r w:rsidRPr="00D130E2">
              <w:rPr>
                <w:sz w:val="20"/>
              </w:rPr>
              <w:t>Supreme Court of Nova Scotia, Trial Division</w:t>
            </w:r>
          </w:p>
          <w:p w:rsidR="002A4053" w:rsidRPr="00D130E2" w:rsidRDefault="002A4053" w:rsidP="002A4053">
            <w:pPr>
              <w:jc w:val="both"/>
              <w:rPr>
                <w:sz w:val="20"/>
              </w:rPr>
            </w:pPr>
            <w:r w:rsidRPr="00D130E2">
              <w:rPr>
                <w:sz w:val="20"/>
              </w:rPr>
              <w:t>(Arnold J.)(Unreported)</w:t>
            </w:r>
          </w:p>
          <w:p w:rsidR="002A4053" w:rsidRPr="00D130E2" w:rsidRDefault="002A4053" w:rsidP="002A4053">
            <w:pPr>
              <w:jc w:val="both"/>
              <w:rPr>
                <w:sz w:val="20"/>
              </w:rPr>
            </w:pP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rPr>
            </w:pPr>
            <w:r w:rsidRPr="00D130E2">
              <w:rPr>
                <w:sz w:val="20"/>
              </w:rPr>
              <w:t>Conviction by jury of second degree murder</w:t>
            </w:r>
          </w:p>
        </w:tc>
      </w:tr>
      <w:tr w:rsidR="002A4053" w:rsidRPr="00D130E2" w:rsidTr="00E95A6A">
        <w:tc>
          <w:tcPr>
            <w:tcW w:w="2427" w:type="pct"/>
            <w:gridSpan w:val="2"/>
          </w:tcPr>
          <w:p w:rsidR="002A4053" w:rsidRPr="00D130E2" w:rsidRDefault="002A4053" w:rsidP="002A4053">
            <w:pPr>
              <w:jc w:val="both"/>
              <w:rPr>
                <w:sz w:val="20"/>
              </w:rPr>
            </w:pPr>
            <w:r w:rsidRPr="00D130E2">
              <w:rPr>
                <w:sz w:val="20"/>
              </w:rPr>
              <w:t>August 22, 2018</w:t>
            </w:r>
          </w:p>
          <w:p w:rsidR="002A4053" w:rsidRPr="00D130E2" w:rsidRDefault="002A4053" w:rsidP="002A4053">
            <w:pPr>
              <w:jc w:val="both"/>
              <w:rPr>
                <w:sz w:val="20"/>
              </w:rPr>
            </w:pPr>
            <w:r w:rsidRPr="00D130E2">
              <w:rPr>
                <w:sz w:val="20"/>
              </w:rPr>
              <w:t>Supreme Court of Nova Scotia, Trial Division</w:t>
            </w:r>
          </w:p>
          <w:p w:rsidR="002A4053" w:rsidRPr="00D130E2" w:rsidRDefault="002A4053" w:rsidP="002A4053">
            <w:pPr>
              <w:jc w:val="both"/>
              <w:rPr>
                <w:sz w:val="20"/>
              </w:rPr>
            </w:pPr>
            <w:r w:rsidRPr="00D130E2">
              <w:rPr>
                <w:sz w:val="20"/>
              </w:rPr>
              <w:t>(Arnold J.)</w:t>
            </w:r>
          </w:p>
          <w:p w:rsidR="002A4053" w:rsidRPr="00D130E2" w:rsidRDefault="002A4053" w:rsidP="002A4053">
            <w:pPr>
              <w:jc w:val="both"/>
              <w:rPr>
                <w:sz w:val="20"/>
              </w:rPr>
            </w:pPr>
            <w:hyperlink r:id="rId19" w:history="1">
              <w:r w:rsidRPr="00D130E2">
                <w:rPr>
                  <w:rStyle w:val="Hyperlink"/>
                  <w:sz w:val="20"/>
                </w:rPr>
                <w:t>2018 NSSC 194</w:t>
              </w:r>
            </w:hyperlink>
          </w:p>
          <w:p w:rsidR="002A4053" w:rsidRPr="00D130E2" w:rsidRDefault="002A4053" w:rsidP="002A4053">
            <w:pPr>
              <w:jc w:val="both"/>
              <w:rPr>
                <w:sz w:val="20"/>
              </w:rPr>
            </w:pP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rPr>
            </w:pPr>
            <w:r w:rsidRPr="00D130E2">
              <w:rPr>
                <w:sz w:val="20"/>
              </w:rPr>
              <w:t>Sentence to life imprisonment with no parole eligibility for 15 years</w:t>
            </w:r>
          </w:p>
          <w:p w:rsidR="002A4053" w:rsidRPr="00D130E2" w:rsidRDefault="002A4053" w:rsidP="002A4053">
            <w:pPr>
              <w:jc w:val="both"/>
              <w:rPr>
                <w:sz w:val="20"/>
              </w:rPr>
            </w:pPr>
          </w:p>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t>June 25, 2020</w:t>
            </w:r>
          </w:p>
          <w:p w:rsidR="002A4053" w:rsidRPr="00D130E2" w:rsidRDefault="002A4053" w:rsidP="002A4053">
            <w:pPr>
              <w:jc w:val="both"/>
              <w:rPr>
                <w:sz w:val="20"/>
              </w:rPr>
            </w:pPr>
            <w:r w:rsidRPr="00D130E2">
              <w:rPr>
                <w:sz w:val="20"/>
              </w:rPr>
              <w:t>Nova Scotia Court of Appeal</w:t>
            </w:r>
          </w:p>
          <w:p w:rsidR="002A4053" w:rsidRPr="00D130E2" w:rsidRDefault="002A4053" w:rsidP="002A4053">
            <w:pPr>
              <w:jc w:val="both"/>
              <w:rPr>
                <w:sz w:val="20"/>
              </w:rPr>
            </w:pPr>
            <w:r w:rsidRPr="00D130E2">
              <w:rPr>
                <w:sz w:val="20"/>
              </w:rPr>
              <w:t xml:space="preserve">(Beveridge </w:t>
            </w:r>
            <w:r w:rsidRPr="00D130E2">
              <w:rPr>
                <w:sz w:val="20"/>
                <w:lang w:val="en"/>
              </w:rPr>
              <w:t>[dissenting in part]</w:t>
            </w:r>
            <w:r w:rsidRPr="00D130E2">
              <w:rPr>
                <w:sz w:val="20"/>
              </w:rPr>
              <w:t xml:space="preserve">, Bourgeois, </w:t>
            </w:r>
          </w:p>
          <w:p w:rsidR="002A4053" w:rsidRPr="00D130E2" w:rsidRDefault="002A4053" w:rsidP="002A4053">
            <w:pPr>
              <w:jc w:val="both"/>
              <w:rPr>
                <w:sz w:val="20"/>
              </w:rPr>
            </w:pPr>
            <w:r w:rsidRPr="00D130E2">
              <w:rPr>
                <w:sz w:val="20"/>
              </w:rPr>
              <w:t>Derrick JJ.A.)</w:t>
            </w:r>
          </w:p>
          <w:p w:rsidR="002A4053" w:rsidRPr="00D130E2" w:rsidRDefault="002A4053" w:rsidP="002A4053">
            <w:pPr>
              <w:jc w:val="both"/>
              <w:rPr>
                <w:sz w:val="20"/>
              </w:rPr>
            </w:pPr>
            <w:hyperlink r:id="rId20" w:history="1">
              <w:r w:rsidRPr="00D130E2">
                <w:rPr>
                  <w:rStyle w:val="Hyperlink"/>
                  <w:sz w:val="20"/>
                </w:rPr>
                <w:t>2020 NSCA 50</w:t>
              </w:r>
            </w:hyperlink>
            <w:r w:rsidRPr="00D130E2">
              <w:rPr>
                <w:sz w:val="20"/>
              </w:rPr>
              <w:t>; CAC480054</w:t>
            </w:r>
          </w:p>
          <w:p w:rsidR="002A4053" w:rsidRPr="00D130E2" w:rsidRDefault="002A4053" w:rsidP="002A4053">
            <w:pPr>
              <w:jc w:val="both"/>
              <w:rPr>
                <w:sz w:val="20"/>
              </w:rPr>
            </w:pP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pStyle w:val="lib15result"/>
              <w:spacing w:before="0" w:beforeAutospacing="0" w:after="120" w:afterAutospacing="0"/>
              <w:jc w:val="both"/>
              <w:rPr>
                <w:sz w:val="20"/>
                <w:szCs w:val="20"/>
                <w:lang w:val="en"/>
              </w:rPr>
            </w:pPr>
            <w:r w:rsidRPr="00D130E2">
              <w:rPr>
                <w:sz w:val="20"/>
                <w:szCs w:val="20"/>
                <w:lang w:val="en-CA"/>
              </w:rPr>
              <w:t>Appeals</w:t>
            </w:r>
            <w:r w:rsidRPr="00D130E2">
              <w:rPr>
                <w:sz w:val="20"/>
                <w:szCs w:val="20"/>
                <w:lang w:val="en"/>
              </w:rPr>
              <w:t xml:space="preserve"> against conviction and sentence dismissed </w:t>
            </w:r>
          </w:p>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t>September 23, 2020</w:t>
            </w:r>
          </w:p>
          <w:p w:rsidR="002A4053" w:rsidRPr="00D130E2" w:rsidRDefault="002A4053" w:rsidP="002A4053">
            <w:pPr>
              <w:jc w:val="both"/>
              <w:rPr>
                <w:sz w:val="20"/>
              </w:rPr>
            </w:pPr>
            <w:r w:rsidRPr="00D130E2">
              <w:rPr>
                <w:sz w:val="20"/>
              </w:rPr>
              <w:t>Supreme Court of Canada</w:t>
            </w: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rPr>
            </w:pPr>
            <w:r w:rsidRPr="00D130E2">
              <w:rPr>
                <w:sz w:val="20"/>
              </w:rPr>
              <w:t>Application for leave to appeal filed</w:t>
            </w:r>
          </w:p>
          <w:p w:rsidR="002A4053" w:rsidRPr="00D130E2" w:rsidRDefault="002A4053" w:rsidP="002A4053">
            <w:pPr>
              <w:jc w:val="both"/>
              <w:rPr>
                <w:sz w:val="20"/>
              </w:rPr>
            </w:pPr>
          </w:p>
        </w:tc>
      </w:tr>
    </w:tbl>
    <w:p w:rsidR="002A4053" w:rsidRPr="00D130E2" w:rsidRDefault="002A4053" w:rsidP="002A4053">
      <w:pPr>
        <w:jc w:val="both"/>
        <w:rPr>
          <w:sz w:val="20"/>
        </w:rPr>
      </w:pPr>
    </w:p>
    <w:p w:rsidR="002A4053" w:rsidRPr="00D130E2" w:rsidRDefault="002A4053" w:rsidP="002A4053">
      <w:pPr>
        <w:jc w:val="both"/>
        <w:rPr>
          <w:sz w:val="20"/>
        </w:rPr>
      </w:pPr>
      <w:r w:rsidRPr="00D130E2">
        <w:rPr>
          <w:sz w:val="20"/>
        </w:rPr>
        <w:pict>
          <v:rect id="_x0000_i1032" style="width:2in;height:1pt" o:hrpct="0" o:hralign="center" o:hrstd="t" o:hrnoshade="t" o:hr="t" fillcolor="black [3213]" stroked="f"/>
        </w:pict>
      </w:r>
    </w:p>
    <w:p w:rsidR="002A4053" w:rsidRPr="00D130E2" w:rsidRDefault="002A4053" w:rsidP="002A40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A4053" w:rsidRPr="00D130E2" w:rsidTr="00E95A6A">
        <w:tc>
          <w:tcPr>
            <w:tcW w:w="543" w:type="pct"/>
          </w:tcPr>
          <w:p w:rsidR="002A4053" w:rsidRPr="00D130E2" w:rsidRDefault="002A4053" w:rsidP="002A4053">
            <w:pPr>
              <w:jc w:val="both"/>
              <w:rPr>
                <w:sz w:val="20"/>
                <w:lang w:val="fr-CA"/>
              </w:rPr>
            </w:pPr>
            <w:r w:rsidRPr="00D130E2">
              <w:rPr>
                <w:rStyle w:val="SCCFileNumberChar"/>
                <w:sz w:val="20"/>
                <w:szCs w:val="20"/>
                <w:lang w:val="fr-CA"/>
              </w:rPr>
              <w:t>39344</w:t>
            </w:r>
          </w:p>
        </w:tc>
        <w:tc>
          <w:tcPr>
            <w:tcW w:w="4457" w:type="pct"/>
            <w:gridSpan w:val="3"/>
          </w:tcPr>
          <w:p w:rsidR="002A4053" w:rsidRPr="00D130E2" w:rsidRDefault="002A4053" w:rsidP="002A4053">
            <w:pPr>
              <w:pStyle w:val="SCCLsocParty"/>
              <w:jc w:val="both"/>
              <w:rPr>
                <w:b/>
                <w:sz w:val="20"/>
                <w:szCs w:val="20"/>
              </w:rPr>
            </w:pPr>
            <w:r w:rsidRPr="00D130E2">
              <w:rPr>
                <w:b/>
                <w:sz w:val="20"/>
                <w:szCs w:val="20"/>
              </w:rPr>
              <w:t>Nicholas Jordan Butcher c. Sa Majesté la Reine</w:t>
            </w:r>
          </w:p>
          <w:p w:rsidR="002A4053" w:rsidRPr="00D130E2" w:rsidRDefault="002A4053" w:rsidP="002A4053">
            <w:pPr>
              <w:jc w:val="both"/>
              <w:rPr>
                <w:sz w:val="20"/>
                <w:lang w:val="fr-CA"/>
              </w:rPr>
            </w:pPr>
            <w:r w:rsidRPr="00D130E2">
              <w:rPr>
                <w:sz w:val="20"/>
                <w:lang w:val="fr-CA"/>
              </w:rPr>
              <w:t>(N.</w:t>
            </w:r>
            <w:r w:rsidRPr="00D130E2">
              <w:rPr>
                <w:sz w:val="20"/>
                <w:lang w:val="fr-CA"/>
              </w:rPr>
              <w:noBreakHyphen/>
              <w:t>É.) (Criminelle) (Sur autorisation)</w:t>
            </w:r>
          </w:p>
        </w:tc>
      </w:tr>
      <w:tr w:rsidR="002A4053" w:rsidRPr="00D130E2" w:rsidTr="00E95A6A">
        <w:tc>
          <w:tcPr>
            <w:tcW w:w="5000" w:type="pct"/>
            <w:gridSpan w:val="4"/>
          </w:tcPr>
          <w:p w:rsidR="002A4053" w:rsidRPr="00D130E2" w:rsidRDefault="002A4053" w:rsidP="002A4053">
            <w:pPr>
              <w:jc w:val="both"/>
              <w:rPr>
                <w:sz w:val="20"/>
                <w:lang w:val="fr-CA"/>
              </w:rPr>
            </w:pPr>
            <w:r w:rsidRPr="00D130E2">
              <w:rPr>
                <w:sz w:val="20"/>
                <w:lang w:val="fr-CA"/>
              </w:rPr>
              <w:t>Droit criminel — Détermination de la peine — Ordonnance fixant à 15 ans la période d’inadmissibilité à la libération conditionnelle — Le juge chargé de la détermination de la peine a</w:t>
            </w:r>
            <w:r w:rsidRPr="00D130E2">
              <w:rPr>
                <w:sz w:val="20"/>
                <w:lang w:val="fr-CA"/>
              </w:rPr>
              <w:noBreakHyphen/>
              <w:t>t</w:t>
            </w:r>
            <w:r w:rsidRPr="00D130E2">
              <w:rPr>
                <w:sz w:val="20"/>
                <w:lang w:val="fr-CA"/>
              </w:rPr>
              <w:noBreakHyphen/>
              <w:t>il commis une erreur en appliquant les circonstances aggravantes prévues au sous</w:t>
            </w:r>
            <w:r w:rsidRPr="00D130E2">
              <w:rPr>
                <w:sz w:val="20"/>
                <w:lang w:val="fr-CA"/>
              </w:rPr>
              <w:noBreakHyphen/>
              <w:t>al.</w:t>
            </w:r>
            <w:r w:rsidRPr="00D130E2">
              <w:rPr>
                <w:color w:val="000000"/>
                <w:spacing w:val="-1"/>
                <w:sz w:val="20"/>
                <w:lang w:val="fr-CA"/>
              </w:rPr>
              <w:t> 718.2a</w:t>
            </w:r>
            <w:proofErr w:type="gramStart"/>
            <w:r w:rsidRPr="00D130E2">
              <w:rPr>
                <w:color w:val="000000"/>
                <w:spacing w:val="-1"/>
                <w:sz w:val="20"/>
                <w:lang w:val="fr-CA"/>
              </w:rPr>
              <w:t>)(</w:t>
            </w:r>
            <w:proofErr w:type="gramEnd"/>
            <w:r w:rsidRPr="00D130E2">
              <w:rPr>
                <w:color w:val="000000"/>
                <w:spacing w:val="-1"/>
                <w:sz w:val="20"/>
                <w:lang w:val="fr-CA"/>
              </w:rPr>
              <w:t xml:space="preserve">ii) du </w:t>
            </w:r>
            <w:r w:rsidRPr="00D130E2">
              <w:rPr>
                <w:i/>
                <w:color w:val="000000"/>
                <w:spacing w:val="-1"/>
                <w:sz w:val="20"/>
                <w:lang w:val="fr-CA"/>
              </w:rPr>
              <w:t xml:space="preserve">Code criminel </w:t>
            </w:r>
            <w:r w:rsidRPr="00D130E2">
              <w:rPr>
                <w:color w:val="000000"/>
                <w:spacing w:val="-1"/>
                <w:sz w:val="20"/>
                <w:lang w:val="fr-CA"/>
              </w:rPr>
              <w:t>ayant trait aux époux et conjoints de fait et au sous-al. 718.2a</w:t>
            </w:r>
            <w:proofErr w:type="gramStart"/>
            <w:r w:rsidRPr="00D130E2">
              <w:rPr>
                <w:color w:val="000000"/>
                <w:spacing w:val="-1"/>
                <w:sz w:val="20"/>
                <w:lang w:val="fr-CA"/>
              </w:rPr>
              <w:t>)(</w:t>
            </w:r>
            <w:proofErr w:type="gramEnd"/>
            <w:r w:rsidRPr="00D130E2">
              <w:rPr>
                <w:color w:val="000000"/>
                <w:spacing w:val="-1"/>
                <w:sz w:val="20"/>
                <w:lang w:val="fr-CA"/>
              </w:rPr>
              <w:t xml:space="preserve">iii) du </w:t>
            </w:r>
            <w:r w:rsidRPr="00D130E2">
              <w:rPr>
                <w:i/>
                <w:color w:val="000000"/>
                <w:spacing w:val="-1"/>
                <w:sz w:val="20"/>
                <w:lang w:val="fr-CA"/>
              </w:rPr>
              <w:t>Criminal Code</w:t>
            </w:r>
            <w:r w:rsidRPr="00D130E2">
              <w:rPr>
                <w:color w:val="000000"/>
                <w:spacing w:val="-1"/>
                <w:sz w:val="20"/>
                <w:lang w:val="fr-CA"/>
              </w:rPr>
              <w:t xml:space="preserve"> ayant trait à l’abus de confiance ? — Le juge</w:t>
            </w:r>
            <w:r w:rsidRPr="00D130E2">
              <w:rPr>
                <w:sz w:val="20"/>
                <w:lang w:val="fr-CA"/>
              </w:rPr>
              <w:t xml:space="preserve"> </w:t>
            </w:r>
            <w:r w:rsidRPr="00D130E2">
              <w:rPr>
                <w:color w:val="000000"/>
                <w:spacing w:val="-1"/>
                <w:sz w:val="20"/>
                <w:lang w:val="fr-CA"/>
              </w:rPr>
              <w:t>chargé de la détermination de la peine a</w:t>
            </w:r>
            <w:r w:rsidRPr="00D130E2">
              <w:rPr>
                <w:color w:val="000000"/>
                <w:spacing w:val="-1"/>
                <w:sz w:val="20"/>
                <w:lang w:val="fr-CA"/>
              </w:rPr>
              <w:noBreakHyphen/>
              <w:t>t</w:t>
            </w:r>
            <w:r w:rsidRPr="00D130E2">
              <w:rPr>
                <w:color w:val="000000"/>
                <w:spacing w:val="-1"/>
                <w:sz w:val="20"/>
                <w:lang w:val="fr-CA"/>
              </w:rPr>
              <w:noBreakHyphen/>
              <w:t>il</w:t>
            </w:r>
            <w:r w:rsidRPr="00D130E2">
              <w:rPr>
                <w:sz w:val="20"/>
                <w:lang w:val="fr-CA"/>
              </w:rPr>
              <w:t xml:space="preserve"> mal appliqué les principes de la parité et de la proportionnalité ?</w:t>
            </w:r>
          </w:p>
        </w:tc>
      </w:tr>
      <w:tr w:rsidR="002A4053" w:rsidRPr="00D130E2" w:rsidTr="00E95A6A">
        <w:tc>
          <w:tcPr>
            <w:tcW w:w="5000" w:type="pct"/>
            <w:gridSpan w:val="4"/>
          </w:tcPr>
          <w:p w:rsidR="002A4053" w:rsidRPr="00D130E2" w:rsidRDefault="002A4053" w:rsidP="002A4053">
            <w:pPr>
              <w:jc w:val="both"/>
              <w:rPr>
                <w:sz w:val="20"/>
                <w:lang w:val="fr-CA"/>
              </w:rPr>
            </w:pPr>
          </w:p>
          <w:p w:rsidR="002A4053" w:rsidRPr="00D130E2" w:rsidRDefault="002A4053" w:rsidP="002A4053">
            <w:pPr>
              <w:jc w:val="both"/>
              <w:rPr>
                <w:sz w:val="20"/>
                <w:lang w:val="fr-CA"/>
              </w:rPr>
            </w:pPr>
            <w:r w:rsidRPr="00D130E2">
              <w:rPr>
                <w:sz w:val="20"/>
                <w:lang w:val="fr-CA"/>
              </w:rPr>
              <w:t>M. Butcher et Kristin Johnston avaient une relation intime et cohabitaient depuis deux mois. Il a découvert qu’elle avait l’intention de mettre fin à leur relation. Il l’a poignardé à mort pendant qu’elle dormait dans leur lit. Un jury a déclaré M. Butcher coupable de meurtre au deuxième degré. M. Butcher a été condamné à l’emprisonnement à perpétuité sans possibilité de libération conditionnelle avant 15 ans. Les juges majoritaires de la Cour d’appel ont confirmé la décision du juge</w:t>
            </w:r>
            <w:r w:rsidRPr="00D130E2">
              <w:rPr>
                <w:color w:val="000000"/>
                <w:spacing w:val="-1"/>
                <w:sz w:val="20"/>
                <w:lang w:val="fr-CA"/>
              </w:rPr>
              <w:t xml:space="preserve"> </w:t>
            </w:r>
            <w:r w:rsidRPr="00D130E2">
              <w:rPr>
                <w:sz w:val="20"/>
                <w:lang w:val="fr-CA"/>
              </w:rPr>
              <w:t xml:space="preserve">chargé de la détermination de la peine à l’égard de la période d’inadmissibilité à la libération conditionnelle. </w:t>
            </w:r>
          </w:p>
        </w:tc>
      </w:tr>
      <w:tr w:rsidR="002A4053" w:rsidRPr="00D130E2" w:rsidTr="00E95A6A">
        <w:tc>
          <w:tcPr>
            <w:tcW w:w="5000" w:type="pct"/>
            <w:gridSpan w:val="4"/>
          </w:tcPr>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28 avril 2018</w:t>
            </w:r>
          </w:p>
          <w:p w:rsidR="002A4053" w:rsidRPr="00D130E2" w:rsidRDefault="002A4053" w:rsidP="002A4053">
            <w:pPr>
              <w:jc w:val="both"/>
              <w:rPr>
                <w:sz w:val="20"/>
                <w:lang w:val="fr-CA"/>
              </w:rPr>
            </w:pPr>
            <w:r w:rsidRPr="00D130E2">
              <w:rPr>
                <w:sz w:val="20"/>
                <w:lang w:val="fr-CA"/>
              </w:rPr>
              <w:t>Cour suprême de la Nouvelle</w:t>
            </w:r>
            <w:r w:rsidRPr="00D130E2">
              <w:rPr>
                <w:sz w:val="20"/>
                <w:lang w:val="fr-CA"/>
              </w:rPr>
              <w:noBreakHyphen/>
              <w:t>Écosse, Division de première instance</w:t>
            </w:r>
          </w:p>
          <w:p w:rsidR="002A4053" w:rsidRPr="00D130E2" w:rsidRDefault="002A4053" w:rsidP="002A4053">
            <w:pPr>
              <w:jc w:val="both"/>
              <w:rPr>
                <w:sz w:val="20"/>
                <w:lang w:val="fr-CA"/>
              </w:rPr>
            </w:pPr>
            <w:r w:rsidRPr="00D130E2">
              <w:rPr>
                <w:sz w:val="20"/>
                <w:lang w:val="fr-CA"/>
              </w:rPr>
              <w:t>(Juge Arnold) (Non publié)</w:t>
            </w:r>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Déclaration de culpabilité de meurtre au deuxième degré par un jury.</w:t>
            </w: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22 août 2018</w:t>
            </w:r>
          </w:p>
          <w:p w:rsidR="002A4053" w:rsidRPr="00D130E2" w:rsidRDefault="002A4053" w:rsidP="002A4053">
            <w:pPr>
              <w:jc w:val="both"/>
              <w:rPr>
                <w:sz w:val="20"/>
                <w:lang w:val="fr-CA"/>
              </w:rPr>
            </w:pPr>
            <w:r w:rsidRPr="00D130E2">
              <w:rPr>
                <w:sz w:val="20"/>
                <w:lang w:val="fr-CA"/>
              </w:rPr>
              <w:t>Cour suprême de la Nouvelle</w:t>
            </w:r>
            <w:r w:rsidRPr="00D130E2">
              <w:rPr>
                <w:sz w:val="20"/>
                <w:lang w:val="fr-CA"/>
              </w:rPr>
              <w:noBreakHyphen/>
              <w:t>Écosse, Division de première instance</w:t>
            </w:r>
          </w:p>
          <w:p w:rsidR="002A4053" w:rsidRPr="00D130E2" w:rsidRDefault="002A4053" w:rsidP="002A4053">
            <w:pPr>
              <w:jc w:val="both"/>
              <w:rPr>
                <w:sz w:val="20"/>
                <w:lang w:val="fr-CA"/>
              </w:rPr>
            </w:pPr>
            <w:r w:rsidRPr="00D130E2">
              <w:rPr>
                <w:sz w:val="20"/>
                <w:lang w:val="fr-CA"/>
              </w:rPr>
              <w:t>(Juge Arnold)</w:t>
            </w:r>
          </w:p>
          <w:p w:rsidR="002A4053" w:rsidRPr="00D130E2" w:rsidRDefault="002A4053" w:rsidP="002A4053">
            <w:pPr>
              <w:jc w:val="both"/>
              <w:rPr>
                <w:sz w:val="20"/>
                <w:lang w:val="fr-CA"/>
              </w:rPr>
            </w:pPr>
            <w:hyperlink r:id="rId21" w:history="1">
              <w:r w:rsidRPr="00D130E2">
                <w:rPr>
                  <w:rStyle w:val="Hyperlink"/>
                  <w:sz w:val="20"/>
                  <w:lang w:val="fr-CA"/>
                </w:rPr>
                <w:t>2018 NSSC 194</w:t>
              </w:r>
            </w:hyperlink>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Peine d’emprisonnement à perpétuité sans possibilité de libération conditionnelle avant 15 ans imposée.</w:t>
            </w:r>
          </w:p>
          <w:p w:rsidR="002A4053" w:rsidRPr="00D130E2" w:rsidRDefault="002A4053" w:rsidP="002A4053">
            <w:pPr>
              <w:jc w:val="both"/>
              <w:rPr>
                <w:sz w:val="20"/>
                <w:lang w:val="fr-CA"/>
              </w:rPr>
            </w:pP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25 juin 2020</w:t>
            </w:r>
          </w:p>
          <w:p w:rsidR="002A4053" w:rsidRPr="00D130E2" w:rsidRDefault="002A4053" w:rsidP="002A4053">
            <w:pPr>
              <w:jc w:val="both"/>
              <w:rPr>
                <w:sz w:val="20"/>
                <w:lang w:val="fr-CA"/>
              </w:rPr>
            </w:pPr>
            <w:r w:rsidRPr="00D130E2">
              <w:rPr>
                <w:sz w:val="20"/>
                <w:lang w:val="fr-CA"/>
              </w:rPr>
              <w:t>Cour d’appel de la Nouvelle</w:t>
            </w:r>
            <w:r w:rsidRPr="00D130E2">
              <w:rPr>
                <w:sz w:val="20"/>
                <w:lang w:val="fr-CA"/>
              </w:rPr>
              <w:noBreakHyphen/>
              <w:t>Écosse</w:t>
            </w:r>
          </w:p>
          <w:p w:rsidR="002A4053" w:rsidRPr="00D130E2" w:rsidRDefault="002A4053" w:rsidP="002A4053">
            <w:pPr>
              <w:jc w:val="both"/>
              <w:rPr>
                <w:sz w:val="20"/>
                <w:lang w:val="fr-CA"/>
              </w:rPr>
            </w:pPr>
            <w:r w:rsidRPr="00D130E2">
              <w:rPr>
                <w:sz w:val="20"/>
                <w:lang w:val="fr-CA"/>
              </w:rPr>
              <w:lastRenderedPageBreak/>
              <w:t>(Juges Beveridge [dissident en partie], Bourgeois, Derrick)</w:t>
            </w:r>
          </w:p>
          <w:p w:rsidR="002A4053" w:rsidRPr="00D130E2" w:rsidRDefault="002A4053" w:rsidP="002A4053">
            <w:pPr>
              <w:jc w:val="both"/>
              <w:rPr>
                <w:sz w:val="20"/>
                <w:lang w:val="fr-CA"/>
              </w:rPr>
            </w:pPr>
            <w:hyperlink r:id="rId22" w:history="1">
              <w:r w:rsidRPr="00D130E2">
                <w:rPr>
                  <w:rStyle w:val="Hyperlink"/>
                  <w:sz w:val="20"/>
                  <w:lang w:val="fr-CA"/>
                </w:rPr>
                <w:t>2020 NSCA 50</w:t>
              </w:r>
            </w:hyperlink>
            <w:r w:rsidRPr="00D130E2">
              <w:rPr>
                <w:sz w:val="20"/>
                <w:lang w:val="fr-CA"/>
              </w:rPr>
              <w:t>; CAC480054</w:t>
            </w:r>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pStyle w:val="lib15result"/>
              <w:spacing w:before="0" w:beforeAutospacing="0" w:after="120" w:afterAutospacing="0"/>
              <w:jc w:val="both"/>
              <w:rPr>
                <w:sz w:val="20"/>
                <w:szCs w:val="20"/>
                <w:lang w:val="fr-CA"/>
              </w:rPr>
            </w:pPr>
            <w:r w:rsidRPr="00D130E2">
              <w:rPr>
                <w:sz w:val="20"/>
                <w:szCs w:val="20"/>
                <w:lang w:val="fr-CA"/>
              </w:rPr>
              <w:t>Appels contre la déclaration de culpabilité et contre la peine rejetés.</w:t>
            </w: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lastRenderedPageBreak/>
              <w:t>23 septembre 2020</w:t>
            </w:r>
          </w:p>
          <w:p w:rsidR="002A4053" w:rsidRPr="00D130E2" w:rsidRDefault="002A4053" w:rsidP="002A4053">
            <w:pPr>
              <w:jc w:val="both"/>
              <w:rPr>
                <w:sz w:val="20"/>
                <w:lang w:val="fr-CA"/>
              </w:rPr>
            </w:pPr>
            <w:r w:rsidRPr="00D130E2">
              <w:rPr>
                <w:sz w:val="20"/>
                <w:lang w:val="fr-CA"/>
              </w:rPr>
              <w:t>Cour suprême du Canada</w:t>
            </w: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Demande d’autorisation d’appel présentée.</w:t>
            </w:r>
          </w:p>
          <w:p w:rsidR="002A4053" w:rsidRPr="00D130E2" w:rsidRDefault="002A4053" w:rsidP="002A4053">
            <w:pPr>
              <w:jc w:val="both"/>
              <w:rPr>
                <w:sz w:val="20"/>
                <w:lang w:val="fr-CA"/>
              </w:rPr>
            </w:pPr>
          </w:p>
        </w:tc>
      </w:tr>
    </w:tbl>
    <w:p w:rsidR="002A4053" w:rsidRPr="00D130E2" w:rsidRDefault="002A4053" w:rsidP="002A4053">
      <w:pPr>
        <w:jc w:val="both"/>
        <w:rPr>
          <w:sz w:val="20"/>
          <w:lang w:val="fr-CA"/>
        </w:rPr>
      </w:pPr>
    </w:p>
    <w:p w:rsidR="002A4053" w:rsidRPr="00D130E2" w:rsidRDefault="002A4053" w:rsidP="002A4053">
      <w:pPr>
        <w:jc w:val="both"/>
        <w:rPr>
          <w:sz w:val="20"/>
          <w:lang w:val="fr-CA"/>
        </w:rPr>
      </w:pPr>
      <w:r w:rsidRPr="00D130E2">
        <w:rPr>
          <w:sz w:val="20"/>
        </w:rPr>
        <w:pict>
          <v:rect id="_x0000_i1033" style="width:2in;height:1pt" o:hrpct="0" o:hralign="center" o:hrstd="t" o:hrnoshade="t" o:hr="t" fillcolor="black [3213]" stroked="f"/>
        </w:pict>
      </w:r>
    </w:p>
    <w:p w:rsidR="008C3C00" w:rsidRPr="00D130E2" w:rsidRDefault="008C3C00" w:rsidP="002A405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A4053" w:rsidRPr="00D130E2" w:rsidTr="00E95A6A">
        <w:tc>
          <w:tcPr>
            <w:tcW w:w="543" w:type="pct"/>
          </w:tcPr>
          <w:p w:rsidR="002A4053" w:rsidRPr="00D130E2" w:rsidRDefault="002A4053" w:rsidP="002A4053">
            <w:pPr>
              <w:jc w:val="both"/>
              <w:rPr>
                <w:sz w:val="20"/>
              </w:rPr>
            </w:pPr>
            <w:r w:rsidRPr="00D130E2">
              <w:rPr>
                <w:rStyle w:val="SCCFileNumberChar"/>
                <w:sz w:val="20"/>
                <w:szCs w:val="20"/>
              </w:rPr>
              <w:t>39336</w:t>
            </w:r>
          </w:p>
        </w:tc>
        <w:tc>
          <w:tcPr>
            <w:tcW w:w="4457" w:type="pct"/>
            <w:gridSpan w:val="3"/>
          </w:tcPr>
          <w:p w:rsidR="002A4053" w:rsidRPr="00D130E2" w:rsidRDefault="002A4053" w:rsidP="002A4053">
            <w:pPr>
              <w:pStyle w:val="SCCLsocParty"/>
              <w:jc w:val="both"/>
              <w:rPr>
                <w:b/>
                <w:sz w:val="20"/>
                <w:szCs w:val="20"/>
                <w:lang w:val="en-US"/>
              </w:rPr>
            </w:pPr>
            <w:r w:rsidRPr="00D130E2">
              <w:rPr>
                <w:b/>
                <w:sz w:val="20"/>
                <w:szCs w:val="20"/>
                <w:lang w:val="en-US"/>
              </w:rPr>
              <w:t>Darryl Quinlan, Amber Quinlan v. Kirby Keith Thomas</w:t>
            </w:r>
          </w:p>
          <w:p w:rsidR="002A4053" w:rsidRPr="00D130E2" w:rsidRDefault="002A4053" w:rsidP="002A4053">
            <w:pPr>
              <w:jc w:val="both"/>
              <w:rPr>
                <w:sz w:val="20"/>
              </w:rPr>
            </w:pPr>
            <w:r w:rsidRPr="00D130E2">
              <w:rPr>
                <w:sz w:val="20"/>
              </w:rPr>
              <w:t>(Sask.) (Civil) (By Leave)</w:t>
            </w:r>
          </w:p>
        </w:tc>
      </w:tr>
      <w:tr w:rsidR="002A4053" w:rsidRPr="00D130E2" w:rsidTr="00E95A6A">
        <w:tc>
          <w:tcPr>
            <w:tcW w:w="5000" w:type="pct"/>
            <w:gridSpan w:val="4"/>
          </w:tcPr>
          <w:p w:rsidR="002A4053" w:rsidRPr="00D130E2" w:rsidRDefault="002A4053" w:rsidP="002A4053">
            <w:pPr>
              <w:jc w:val="both"/>
              <w:rPr>
                <w:sz w:val="20"/>
              </w:rPr>
            </w:pPr>
            <w:r w:rsidRPr="00D130E2">
              <w:rPr>
                <w:sz w:val="20"/>
              </w:rPr>
              <w:t xml:space="preserve">Civil procedure — Exception to dismiss action — Statute prohibiting civil actions for bodily injury except under specified circumstances arising from criminal convictions — Application to determine whether civil claim falling into specified circumstances — Chambers judge determining specified circumstances met as driver was convicted of impaired driving at time and place of collision with plaintiffs — Court of Appeal setting aside determination — When a question arises in a civil proceeding with regard to the circumstances of the commission of a criminal offence by one party and the party’s conviction rests on a plea of guilty, do the sentencing judge’s findings of facts form part of that conviction? — </w:t>
            </w:r>
            <w:r w:rsidRPr="00D130E2">
              <w:rPr>
                <w:i/>
                <w:sz w:val="20"/>
              </w:rPr>
              <w:t>The Automobile Accident Insurance Act</w:t>
            </w:r>
            <w:r w:rsidRPr="00D130E2">
              <w:rPr>
                <w:sz w:val="20"/>
              </w:rPr>
              <w:t>, RSS 1978, c. A</w:t>
            </w:r>
            <w:r w:rsidRPr="00D130E2">
              <w:rPr>
                <w:sz w:val="20"/>
              </w:rPr>
              <w:noBreakHyphen/>
              <w:t>35, s. 104(2).</w:t>
            </w:r>
          </w:p>
        </w:tc>
      </w:tr>
      <w:tr w:rsidR="002A4053" w:rsidRPr="00D130E2" w:rsidTr="00E95A6A">
        <w:tc>
          <w:tcPr>
            <w:tcW w:w="5000" w:type="pct"/>
            <w:gridSpan w:val="4"/>
          </w:tcPr>
          <w:p w:rsidR="002A4053" w:rsidRPr="00D130E2" w:rsidRDefault="002A4053" w:rsidP="002A4053">
            <w:pPr>
              <w:jc w:val="both"/>
              <w:rPr>
                <w:sz w:val="20"/>
              </w:rPr>
            </w:pPr>
          </w:p>
          <w:p w:rsidR="002A4053" w:rsidRPr="00D130E2" w:rsidRDefault="002A4053" w:rsidP="002A4053">
            <w:pPr>
              <w:jc w:val="both"/>
              <w:rPr>
                <w:sz w:val="20"/>
              </w:rPr>
            </w:pPr>
            <w:r w:rsidRPr="00D130E2">
              <w:rPr>
                <w:sz w:val="20"/>
              </w:rPr>
              <w:t>On April 6, 2014, at around 12:30 p.m., the applicants and the respondent, Mr. Thomas, were involved in a motor vehicle collision in Saskatoon. Mr. Thomas was stopped by the police later that day, around 4:00 p.m., at a different location in Saskatoon and charged with four offences, including impaired driving. He pled guilty to that offence. The applicants brought civil actions against Mr. Thomas for non</w:t>
            </w:r>
            <w:r w:rsidRPr="00D130E2">
              <w:rPr>
                <w:sz w:val="20"/>
              </w:rPr>
              <w:noBreakHyphen/>
              <w:t xml:space="preserve">economic loss arising from personal injuries they allegedly sustained in the collision. A provision of </w:t>
            </w:r>
            <w:r w:rsidRPr="00D130E2">
              <w:rPr>
                <w:i/>
                <w:sz w:val="20"/>
              </w:rPr>
              <w:t>The Automobile Accident Insurance Act</w:t>
            </w:r>
            <w:r w:rsidRPr="00D130E2">
              <w:rPr>
                <w:sz w:val="20"/>
              </w:rPr>
              <w:t>, RSS 1978, c. A</w:t>
            </w:r>
            <w:r w:rsidRPr="00D130E2">
              <w:rPr>
                <w:sz w:val="20"/>
              </w:rPr>
              <w:noBreakHyphen/>
              <w:t>35, bars the commencement of such actions but is subject to other provisions of that Act, including a section providing that an action for bodily injury can be pursued where the accident in question was caused by an at</w:t>
            </w:r>
            <w:r w:rsidRPr="00D130E2">
              <w:rPr>
                <w:sz w:val="20"/>
              </w:rPr>
              <w:noBreakHyphen/>
              <w:t>fault driver who is convicted of impaired driving. The applicants contend that Mr. Thomas was convicted of impaired driving at the time and place of the collision. Mr. Thomas denies that his conviction related to the collision with the applicants. The applicants applied for a determination on a question of law. The Chambers judge concluded that Mr. Thomas’s conviction applied to the collision with the applicants. The Court of Appeal allowed Mr. Thomas’s appeal.</w:t>
            </w:r>
          </w:p>
        </w:tc>
      </w:tr>
      <w:tr w:rsidR="002A4053" w:rsidRPr="00D130E2" w:rsidTr="00E95A6A">
        <w:tc>
          <w:tcPr>
            <w:tcW w:w="5000" w:type="pct"/>
            <w:gridSpan w:val="4"/>
          </w:tcPr>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t>March 21, 2019</w:t>
            </w:r>
          </w:p>
          <w:p w:rsidR="002A4053" w:rsidRPr="00D130E2" w:rsidRDefault="002A4053" w:rsidP="002A4053">
            <w:pPr>
              <w:jc w:val="both"/>
              <w:rPr>
                <w:sz w:val="20"/>
              </w:rPr>
            </w:pPr>
            <w:r w:rsidRPr="00D130E2">
              <w:rPr>
                <w:sz w:val="20"/>
              </w:rPr>
              <w:t>Court of Queen’s Bench of Saskatchewan</w:t>
            </w:r>
          </w:p>
          <w:p w:rsidR="002A4053" w:rsidRPr="00D130E2" w:rsidRDefault="002A4053" w:rsidP="002A4053">
            <w:pPr>
              <w:jc w:val="both"/>
              <w:rPr>
                <w:sz w:val="20"/>
              </w:rPr>
            </w:pPr>
            <w:r w:rsidRPr="00D130E2">
              <w:rPr>
                <w:sz w:val="20"/>
              </w:rPr>
              <w:t>(</w:t>
            </w:r>
            <w:proofErr w:type="spellStart"/>
            <w:r w:rsidRPr="00D130E2">
              <w:rPr>
                <w:sz w:val="20"/>
              </w:rPr>
              <w:t>Meschishnick</w:t>
            </w:r>
            <w:proofErr w:type="spellEnd"/>
            <w:r w:rsidRPr="00D130E2">
              <w:rPr>
                <w:sz w:val="20"/>
              </w:rPr>
              <w:t>, J.)</w:t>
            </w:r>
          </w:p>
          <w:p w:rsidR="002A4053" w:rsidRPr="00D130E2" w:rsidRDefault="002A4053" w:rsidP="002A4053">
            <w:pPr>
              <w:jc w:val="both"/>
              <w:rPr>
                <w:sz w:val="20"/>
              </w:rPr>
            </w:pPr>
            <w:r w:rsidRPr="00D130E2">
              <w:rPr>
                <w:sz w:val="20"/>
              </w:rPr>
              <w:t>Unreported</w:t>
            </w:r>
          </w:p>
          <w:p w:rsidR="002A4053" w:rsidRPr="00D130E2" w:rsidRDefault="002A4053" w:rsidP="002A4053">
            <w:pPr>
              <w:jc w:val="both"/>
              <w:rPr>
                <w:sz w:val="20"/>
              </w:rPr>
            </w:pP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rPr>
            </w:pPr>
            <w:r w:rsidRPr="00D130E2">
              <w:rPr>
                <w:sz w:val="20"/>
              </w:rPr>
              <w:t>Applicants’ application on a question of law allowed; determination that respondent was convicted of impaired driving for driving at the time and place of the collision with the applicants.</w:t>
            </w:r>
          </w:p>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t>July 8, 2020</w:t>
            </w:r>
          </w:p>
          <w:p w:rsidR="002A4053" w:rsidRPr="00D130E2" w:rsidRDefault="002A4053" w:rsidP="002A4053">
            <w:pPr>
              <w:jc w:val="both"/>
              <w:rPr>
                <w:sz w:val="20"/>
              </w:rPr>
            </w:pPr>
            <w:r w:rsidRPr="00D130E2">
              <w:rPr>
                <w:sz w:val="20"/>
              </w:rPr>
              <w:t>Court of Appeal for Saskatchewan</w:t>
            </w:r>
          </w:p>
          <w:p w:rsidR="002A4053" w:rsidRPr="00D130E2" w:rsidRDefault="002A4053" w:rsidP="002A4053">
            <w:pPr>
              <w:jc w:val="both"/>
              <w:rPr>
                <w:sz w:val="20"/>
              </w:rPr>
            </w:pPr>
            <w:r w:rsidRPr="00D130E2">
              <w:rPr>
                <w:sz w:val="20"/>
              </w:rPr>
              <w:t xml:space="preserve">(Ottenbreit, Schwann and </w:t>
            </w:r>
            <w:proofErr w:type="spellStart"/>
            <w:r w:rsidRPr="00D130E2">
              <w:rPr>
                <w:sz w:val="20"/>
              </w:rPr>
              <w:t>Kalmakoff</w:t>
            </w:r>
            <w:proofErr w:type="spellEnd"/>
            <w:r w:rsidRPr="00D130E2">
              <w:rPr>
                <w:sz w:val="20"/>
              </w:rPr>
              <w:t xml:space="preserve"> JJ.A.)</w:t>
            </w:r>
          </w:p>
          <w:p w:rsidR="002A4053" w:rsidRPr="00D130E2" w:rsidRDefault="002A4053" w:rsidP="002A4053">
            <w:pPr>
              <w:jc w:val="both"/>
              <w:rPr>
                <w:sz w:val="20"/>
              </w:rPr>
            </w:pPr>
            <w:hyperlink r:id="rId23" w:history="1">
              <w:r w:rsidRPr="00D130E2">
                <w:rPr>
                  <w:rStyle w:val="Hyperlink"/>
                  <w:sz w:val="20"/>
                </w:rPr>
                <w:t>2020 SKCA 82</w:t>
              </w:r>
            </w:hyperlink>
            <w:r w:rsidRPr="00D130E2">
              <w:rPr>
                <w:sz w:val="20"/>
              </w:rPr>
              <w:t xml:space="preserve"> (Docket: CACV3404)</w:t>
            </w:r>
          </w:p>
          <w:p w:rsidR="002A4053" w:rsidRPr="00D130E2" w:rsidRDefault="002A4053" w:rsidP="002A4053">
            <w:pPr>
              <w:jc w:val="both"/>
              <w:rPr>
                <w:sz w:val="20"/>
              </w:rPr>
            </w:pP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rPr>
            </w:pPr>
            <w:r w:rsidRPr="00D130E2">
              <w:rPr>
                <w:sz w:val="20"/>
              </w:rPr>
              <w:t>Respondent’s appeal allowed; decision below set aside.</w:t>
            </w:r>
          </w:p>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t>September 24, 2020</w:t>
            </w:r>
          </w:p>
          <w:p w:rsidR="002A4053" w:rsidRPr="00D130E2" w:rsidRDefault="002A4053" w:rsidP="002A4053">
            <w:pPr>
              <w:jc w:val="both"/>
              <w:rPr>
                <w:sz w:val="20"/>
              </w:rPr>
            </w:pPr>
            <w:r w:rsidRPr="00D130E2">
              <w:rPr>
                <w:sz w:val="20"/>
              </w:rPr>
              <w:t>Supreme Court of Canada</w:t>
            </w: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rPr>
            </w:pPr>
            <w:r w:rsidRPr="00D130E2">
              <w:rPr>
                <w:sz w:val="20"/>
              </w:rPr>
              <w:t>Application for leave to appeal filed</w:t>
            </w:r>
          </w:p>
        </w:tc>
      </w:tr>
    </w:tbl>
    <w:p w:rsidR="002A4053" w:rsidRPr="00D130E2" w:rsidRDefault="002A4053" w:rsidP="002A4053">
      <w:pPr>
        <w:jc w:val="both"/>
        <w:rPr>
          <w:sz w:val="20"/>
        </w:rPr>
      </w:pPr>
    </w:p>
    <w:p w:rsidR="002A4053" w:rsidRPr="00D130E2" w:rsidRDefault="002A4053" w:rsidP="002A4053">
      <w:pPr>
        <w:jc w:val="both"/>
        <w:rPr>
          <w:sz w:val="20"/>
        </w:rPr>
      </w:pPr>
      <w:r w:rsidRPr="00D130E2">
        <w:rPr>
          <w:sz w:val="20"/>
        </w:rPr>
        <w:pict>
          <v:rect id="_x0000_i1034" style="width:2in;height:1pt" o:hrpct="0" o:hralign="center" o:hrstd="t" o:hrnoshade="t" o:hr="t" fillcolor="black [3213]" stroked="f"/>
        </w:pict>
      </w:r>
    </w:p>
    <w:p w:rsidR="002A4053" w:rsidRPr="00D130E2" w:rsidRDefault="002A4053" w:rsidP="002A40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A4053" w:rsidRPr="00D130E2" w:rsidTr="00E95A6A">
        <w:tc>
          <w:tcPr>
            <w:tcW w:w="543" w:type="pct"/>
          </w:tcPr>
          <w:p w:rsidR="002A4053" w:rsidRPr="00D130E2" w:rsidRDefault="002A4053" w:rsidP="002A4053">
            <w:pPr>
              <w:jc w:val="both"/>
              <w:rPr>
                <w:sz w:val="20"/>
                <w:lang w:val="fr-CA"/>
              </w:rPr>
            </w:pPr>
            <w:r w:rsidRPr="00D130E2">
              <w:rPr>
                <w:rStyle w:val="SCCFileNumberChar"/>
                <w:sz w:val="20"/>
                <w:szCs w:val="20"/>
                <w:lang w:val="fr-CA"/>
              </w:rPr>
              <w:t>39336</w:t>
            </w:r>
          </w:p>
        </w:tc>
        <w:tc>
          <w:tcPr>
            <w:tcW w:w="4457" w:type="pct"/>
            <w:gridSpan w:val="3"/>
          </w:tcPr>
          <w:p w:rsidR="002A4053" w:rsidRPr="00D130E2" w:rsidRDefault="002A4053" w:rsidP="002A4053">
            <w:pPr>
              <w:pStyle w:val="SCCLsocParty"/>
              <w:jc w:val="both"/>
              <w:rPr>
                <w:b/>
                <w:sz w:val="20"/>
                <w:szCs w:val="20"/>
              </w:rPr>
            </w:pPr>
            <w:r w:rsidRPr="00D130E2">
              <w:rPr>
                <w:b/>
                <w:sz w:val="20"/>
                <w:szCs w:val="20"/>
              </w:rPr>
              <w:t>Darryl Quinlan, Amber Quinlan c. Kirby Keith Thomas</w:t>
            </w:r>
          </w:p>
          <w:p w:rsidR="002A4053" w:rsidRPr="00D130E2" w:rsidRDefault="002A4053" w:rsidP="002A4053">
            <w:pPr>
              <w:jc w:val="both"/>
              <w:rPr>
                <w:sz w:val="20"/>
                <w:lang w:val="fr-CA"/>
              </w:rPr>
            </w:pPr>
            <w:r w:rsidRPr="00D130E2">
              <w:rPr>
                <w:sz w:val="20"/>
                <w:lang w:val="fr-CA"/>
              </w:rPr>
              <w:t>(Sask.) (Civile) (Sur autorisation)</w:t>
            </w:r>
          </w:p>
        </w:tc>
      </w:tr>
      <w:tr w:rsidR="002A4053" w:rsidRPr="00D130E2" w:rsidTr="00E95A6A">
        <w:tc>
          <w:tcPr>
            <w:tcW w:w="5000" w:type="pct"/>
            <w:gridSpan w:val="4"/>
          </w:tcPr>
          <w:p w:rsidR="002A4053" w:rsidRPr="00D130E2" w:rsidRDefault="002A4053" w:rsidP="002A4053">
            <w:pPr>
              <w:jc w:val="both"/>
              <w:rPr>
                <w:sz w:val="20"/>
                <w:lang w:val="fr-CA"/>
              </w:rPr>
            </w:pPr>
            <w:r w:rsidRPr="00D130E2">
              <w:rPr>
                <w:sz w:val="20"/>
                <w:lang w:val="fr-CA"/>
              </w:rPr>
              <w:t>Procédure civile — Moyens de non</w:t>
            </w:r>
            <w:r w:rsidRPr="00D130E2">
              <w:rPr>
                <w:sz w:val="20"/>
                <w:lang w:val="fr-CA"/>
              </w:rPr>
              <w:noBreakHyphen/>
              <w:t xml:space="preserve">recevabilité — Loi interdisant les recours civils pour préjudice corporel sauf dans certaines circonstances précises découlant de déclarations de culpabilité au criminel — Demande en vue de déterminer si la poursuite civile peut être considérée comme relevant de ces circonstances précises — Le juge siégeant en cabinet a conclu qu’il est satisfait au critère des circonstances précises puisque le conducteur a été déclaré coupable de conduite avec facultés affaiblies au moment et à l’endroit où la collision avec les demandeurs a eu lieu — La cour d’appel a annulé la décision — Lorsqu’une question est soulevée dans le contexte d’une instance civile à l’égard des circonstances entourant la commission d’une infraction criminelle par une des parties et que la déclaration </w:t>
            </w:r>
            <w:r w:rsidRPr="00D130E2">
              <w:rPr>
                <w:sz w:val="20"/>
                <w:lang w:val="fr-CA"/>
              </w:rPr>
              <w:lastRenderedPageBreak/>
              <w:t xml:space="preserve">de culpabilité de cette partie dépend d’un plaidoyer de culpabilité, les conclusions de faits tirées par la juge chargée de la détermination de la peine </w:t>
            </w:r>
            <w:proofErr w:type="spellStart"/>
            <w:r w:rsidRPr="00D130E2">
              <w:rPr>
                <w:sz w:val="20"/>
                <w:lang w:val="fr-CA"/>
              </w:rPr>
              <w:t>font-elles</w:t>
            </w:r>
            <w:proofErr w:type="spellEnd"/>
            <w:r w:rsidRPr="00D130E2">
              <w:rPr>
                <w:sz w:val="20"/>
                <w:lang w:val="fr-CA"/>
              </w:rPr>
              <w:t xml:space="preserve"> partie de cette déclaration de culpabilité ? — </w:t>
            </w:r>
            <w:r w:rsidRPr="00D130E2">
              <w:rPr>
                <w:i/>
                <w:sz w:val="20"/>
                <w:lang w:val="fr-CA"/>
              </w:rPr>
              <w:t>The Automobile Accident Insurance Act</w:t>
            </w:r>
            <w:r w:rsidRPr="00D130E2">
              <w:rPr>
                <w:sz w:val="20"/>
                <w:lang w:val="fr-CA"/>
              </w:rPr>
              <w:t>, RSS 1978, c. A</w:t>
            </w:r>
            <w:r w:rsidRPr="00D130E2">
              <w:rPr>
                <w:sz w:val="20"/>
                <w:lang w:val="fr-CA"/>
              </w:rPr>
              <w:noBreakHyphen/>
              <w:t>35, par. 104(2).</w:t>
            </w:r>
          </w:p>
        </w:tc>
      </w:tr>
      <w:tr w:rsidR="002A4053" w:rsidRPr="00D130E2" w:rsidTr="00E95A6A">
        <w:tc>
          <w:tcPr>
            <w:tcW w:w="5000" w:type="pct"/>
            <w:gridSpan w:val="4"/>
          </w:tcPr>
          <w:p w:rsidR="002A4053" w:rsidRPr="00D130E2" w:rsidRDefault="002A4053" w:rsidP="002A4053">
            <w:pPr>
              <w:jc w:val="both"/>
              <w:rPr>
                <w:sz w:val="20"/>
                <w:lang w:val="fr-CA"/>
              </w:rPr>
            </w:pPr>
          </w:p>
          <w:p w:rsidR="002A4053" w:rsidRPr="00D130E2" w:rsidRDefault="002A4053" w:rsidP="002A4053">
            <w:pPr>
              <w:jc w:val="both"/>
              <w:rPr>
                <w:sz w:val="20"/>
                <w:lang w:val="fr-CA"/>
              </w:rPr>
            </w:pPr>
            <w:r w:rsidRPr="00D130E2">
              <w:rPr>
                <w:sz w:val="20"/>
                <w:lang w:val="fr-CA"/>
              </w:rPr>
              <w:t xml:space="preserve">Le 6 avril 2014, vers 12 h 30, les demandeurs et l’intimé, M. Thomas, ont été impliqués dans un accident de la route à Saskatoon. M. Thomas a été arrêté par la police plus tard le même jour, vers 16 h, à un endroit différent à Saskatoon, et a été accusé de quatre infractions, notamment de conduite avec facultés affaiblies. Il a plaidé coupable à cette dernière infraction. Les demandeurs ont intenté des poursuites civiles contre M. Thomas pour perte non économique découlant des lésions corporelles qu’ils auraient subies lors de la collision. Une disposition de la loi intitulée </w:t>
            </w:r>
            <w:r w:rsidRPr="00D130E2">
              <w:rPr>
                <w:i/>
                <w:sz w:val="20"/>
                <w:lang w:val="fr-CA"/>
              </w:rPr>
              <w:t>The Automobile Accident Insurance Act</w:t>
            </w:r>
            <w:r w:rsidRPr="00D130E2">
              <w:rPr>
                <w:sz w:val="20"/>
                <w:lang w:val="fr-CA"/>
              </w:rPr>
              <w:t>, RSS 1978, c. A</w:t>
            </w:r>
            <w:r w:rsidRPr="00D130E2">
              <w:rPr>
                <w:sz w:val="20"/>
                <w:lang w:val="fr-CA"/>
              </w:rPr>
              <w:noBreakHyphen/>
              <w:t>35, interdit d’intenter de telles poursuites, sous réserve d’autres dispositions de cette loi, y compris une disposition prévoyant qu’une action pour préjudice corporel peut-être intentée si le conducteur responsable de l’accident en question est déclaré coupable de conduite avec facultés affaiblies. Les demandeurs soutiennent que M. Thomas a été déclaré coupable de conduite avec facultés affaiblies au moment et à l’endroit où la collision a eu lieu. M. Thomas nie que la déclaration de culpabilité qui lui a été imposée est liée à la collision avec les demandeurs. Ces derniers ont demandé de faire trancher une question de droit à cette fin. Le juge siégeant en cabinet a conclu que la déclaration de culpabilité de M. Thomas s’appliquait à la collision avec les demandeurs. La Cour d’appel a accueilli l’appel de M. Thomas.</w:t>
            </w:r>
          </w:p>
        </w:tc>
      </w:tr>
      <w:tr w:rsidR="002A4053" w:rsidRPr="00D130E2" w:rsidTr="00E95A6A">
        <w:tc>
          <w:tcPr>
            <w:tcW w:w="5000" w:type="pct"/>
            <w:gridSpan w:val="4"/>
          </w:tcPr>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21 mars 2019</w:t>
            </w:r>
          </w:p>
          <w:p w:rsidR="002A4053" w:rsidRPr="00D130E2" w:rsidRDefault="002A4053" w:rsidP="002A4053">
            <w:pPr>
              <w:jc w:val="both"/>
              <w:rPr>
                <w:sz w:val="20"/>
                <w:lang w:val="fr-CA"/>
              </w:rPr>
            </w:pPr>
            <w:r w:rsidRPr="00D130E2">
              <w:rPr>
                <w:sz w:val="20"/>
                <w:lang w:val="fr-CA"/>
              </w:rPr>
              <w:t>Cour du Banc de la Reine de la Saskatchewan</w:t>
            </w:r>
          </w:p>
          <w:p w:rsidR="002A4053" w:rsidRPr="00D130E2" w:rsidRDefault="002A4053" w:rsidP="002A4053">
            <w:pPr>
              <w:jc w:val="both"/>
              <w:rPr>
                <w:sz w:val="20"/>
                <w:lang w:val="fr-CA"/>
              </w:rPr>
            </w:pPr>
            <w:r w:rsidRPr="00D130E2">
              <w:rPr>
                <w:sz w:val="20"/>
                <w:lang w:val="fr-CA"/>
              </w:rPr>
              <w:t xml:space="preserve">(Juge </w:t>
            </w:r>
            <w:proofErr w:type="spellStart"/>
            <w:r w:rsidRPr="00D130E2">
              <w:rPr>
                <w:sz w:val="20"/>
                <w:lang w:val="fr-CA"/>
              </w:rPr>
              <w:t>Meschishnick</w:t>
            </w:r>
            <w:proofErr w:type="spellEnd"/>
            <w:r w:rsidRPr="00D130E2">
              <w:rPr>
                <w:sz w:val="20"/>
                <w:lang w:val="fr-CA"/>
              </w:rPr>
              <w:t>)</w:t>
            </w:r>
          </w:p>
          <w:p w:rsidR="002A4053" w:rsidRPr="00D130E2" w:rsidRDefault="002A4053" w:rsidP="002A4053">
            <w:pPr>
              <w:jc w:val="both"/>
              <w:rPr>
                <w:sz w:val="20"/>
                <w:lang w:val="fr-CA"/>
              </w:rPr>
            </w:pPr>
            <w:r w:rsidRPr="00D130E2">
              <w:rPr>
                <w:sz w:val="20"/>
                <w:lang w:val="fr-CA"/>
              </w:rPr>
              <w:t>Non publié</w:t>
            </w:r>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La demande présentée par les demandeurs en vue de trancher une question de droit est accueillie; il est décidé que l’intimé a été déclaré coupable de conduite avec facultés affaiblies au moment et à l’endroit où la collision avec les demandeurs a eu lieu.</w:t>
            </w: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8 juillet 2020</w:t>
            </w:r>
          </w:p>
          <w:p w:rsidR="002A4053" w:rsidRPr="00D130E2" w:rsidRDefault="002A4053" w:rsidP="002A4053">
            <w:pPr>
              <w:jc w:val="both"/>
              <w:rPr>
                <w:sz w:val="20"/>
                <w:lang w:val="fr-CA"/>
              </w:rPr>
            </w:pPr>
            <w:r w:rsidRPr="00D130E2">
              <w:rPr>
                <w:sz w:val="20"/>
                <w:lang w:val="fr-CA"/>
              </w:rPr>
              <w:t>Cour d’appel de la Saskatchewan</w:t>
            </w:r>
          </w:p>
          <w:p w:rsidR="002A4053" w:rsidRPr="00D130E2" w:rsidRDefault="002A4053" w:rsidP="002A4053">
            <w:pPr>
              <w:jc w:val="both"/>
              <w:rPr>
                <w:sz w:val="20"/>
                <w:lang w:val="fr-CA"/>
              </w:rPr>
            </w:pPr>
            <w:r w:rsidRPr="00D130E2">
              <w:rPr>
                <w:sz w:val="20"/>
                <w:lang w:val="fr-CA"/>
              </w:rPr>
              <w:t xml:space="preserve">(Juges Ottenbreit, Schwann et </w:t>
            </w:r>
            <w:proofErr w:type="spellStart"/>
            <w:r w:rsidRPr="00D130E2">
              <w:rPr>
                <w:sz w:val="20"/>
                <w:lang w:val="fr-CA"/>
              </w:rPr>
              <w:t>Kalmakoff</w:t>
            </w:r>
            <w:proofErr w:type="spellEnd"/>
            <w:r w:rsidRPr="00D130E2">
              <w:rPr>
                <w:sz w:val="20"/>
                <w:lang w:val="fr-CA"/>
              </w:rPr>
              <w:t>)</w:t>
            </w:r>
          </w:p>
          <w:p w:rsidR="002A4053" w:rsidRPr="00D130E2" w:rsidRDefault="002A4053" w:rsidP="002A4053">
            <w:pPr>
              <w:jc w:val="both"/>
              <w:rPr>
                <w:sz w:val="20"/>
                <w:lang w:val="fr-CA"/>
              </w:rPr>
            </w:pPr>
            <w:hyperlink r:id="rId24" w:history="1">
              <w:r w:rsidRPr="00D130E2">
                <w:rPr>
                  <w:rStyle w:val="Hyperlink"/>
                  <w:sz w:val="20"/>
                  <w:lang w:val="fr-CA"/>
                </w:rPr>
                <w:t>2020 SKCA 82</w:t>
              </w:r>
            </w:hyperlink>
            <w:r w:rsidRPr="00D130E2">
              <w:rPr>
                <w:sz w:val="20"/>
                <w:lang w:val="fr-CA"/>
              </w:rPr>
              <w:t xml:space="preserve"> (Dossier : CACV3404)</w:t>
            </w:r>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L’appel de l’intimé est accueilli; la décision du tribunal inférieur est annulée.</w:t>
            </w: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24 septembre 2020</w:t>
            </w:r>
          </w:p>
          <w:p w:rsidR="002A4053" w:rsidRPr="00D130E2" w:rsidRDefault="002A4053" w:rsidP="002A4053">
            <w:pPr>
              <w:jc w:val="both"/>
              <w:rPr>
                <w:sz w:val="20"/>
                <w:lang w:val="fr-CA"/>
              </w:rPr>
            </w:pPr>
            <w:r w:rsidRPr="00D130E2">
              <w:rPr>
                <w:sz w:val="20"/>
                <w:lang w:val="fr-CA"/>
              </w:rPr>
              <w:t>Cour suprême du Canada</w:t>
            </w: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La demande d’autorisation d’appel est présentée.</w:t>
            </w:r>
          </w:p>
        </w:tc>
      </w:tr>
    </w:tbl>
    <w:p w:rsidR="002A4053" w:rsidRPr="00D130E2" w:rsidRDefault="002A4053" w:rsidP="002A4053">
      <w:pPr>
        <w:jc w:val="both"/>
        <w:rPr>
          <w:sz w:val="20"/>
          <w:lang w:val="fr-CA"/>
        </w:rPr>
      </w:pPr>
    </w:p>
    <w:p w:rsidR="008C3C00" w:rsidRPr="00D130E2" w:rsidRDefault="002A4053" w:rsidP="002A4053">
      <w:pPr>
        <w:widowControl w:val="0"/>
        <w:jc w:val="both"/>
        <w:rPr>
          <w:sz w:val="20"/>
          <w:lang w:val="fr-CA"/>
        </w:rPr>
      </w:pPr>
      <w:r w:rsidRPr="00D130E2">
        <w:rPr>
          <w:sz w:val="20"/>
        </w:rPr>
        <w:pict>
          <v:rect id="_x0000_i1035" style="width:2in;height:1pt" o:hrpct="0" o:hralign="center" o:hrstd="t" o:hrnoshade="t" o:hr="t" fillcolor="black [3213]" stroked="f"/>
        </w:pict>
      </w:r>
    </w:p>
    <w:p w:rsidR="008C3C00" w:rsidRPr="00D130E2" w:rsidRDefault="008C3C00" w:rsidP="002A405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A4053" w:rsidRPr="00D130E2" w:rsidTr="00E95A6A">
        <w:tc>
          <w:tcPr>
            <w:tcW w:w="543" w:type="pct"/>
          </w:tcPr>
          <w:p w:rsidR="002A4053" w:rsidRPr="00D130E2" w:rsidRDefault="002A4053" w:rsidP="002A4053">
            <w:pPr>
              <w:jc w:val="both"/>
              <w:rPr>
                <w:sz w:val="20"/>
              </w:rPr>
            </w:pPr>
            <w:r w:rsidRPr="00D130E2">
              <w:rPr>
                <w:rStyle w:val="SCCFileNumberChar"/>
                <w:sz w:val="20"/>
                <w:szCs w:val="20"/>
              </w:rPr>
              <w:t>39367</w:t>
            </w:r>
          </w:p>
        </w:tc>
        <w:tc>
          <w:tcPr>
            <w:tcW w:w="4457" w:type="pct"/>
            <w:gridSpan w:val="3"/>
          </w:tcPr>
          <w:p w:rsidR="002A4053" w:rsidRPr="00D130E2" w:rsidRDefault="002A4053" w:rsidP="002A4053">
            <w:pPr>
              <w:pStyle w:val="SCCLsocParty"/>
              <w:jc w:val="both"/>
              <w:rPr>
                <w:b/>
                <w:sz w:val="20"/>
                <w:szCs w:val="20"/>
                <w:lang w:val="en-US"/>
              </w:rPr>
            </w:pPr>
            <w:r w:rsidRPr="00D130E2">
              <w:rPr>
                <w:b/>
                <w:sz w:val="20"/>
                <w:szCs w:val="20"/>
                <w:lang w:val="en-US"/>
              </w:rPr>
              <w:t>Stanislaw Szopa v. Attorney General of Canada</w:t>
            </w:r>
          </w:p>
          <w:p w:rsidR="002A4053" w:rsidRPr="00D130E2" w:rsidRDefault="002A4053" w:rsidP="002A4053">
            <w:pPr>
              <w:jc w:val="both"/>
              <w:rPr>
                <w:sz w:val="20"/>
              </w:rPr>
            </w:pPr>
            <w:r w:rsidRPr="00D130E2">
              <w:rPr>
                <w:sz w:val="20"/>
              </w:rPr>
              <w:t>(B.C.) (Civil) (By Leave)</w:t>
            </w:r>
          </w:p>
        </w:tc>
      </w:tr>
      <w:tr w:rsidR="002A4053" w:rsidRPr="00D130E2" w:rsidTr="00E95A6A">
        <w:tc>
          <w:tcPr>
            <w:tcW w:w="5000" w:type="pct"/>
            <w:gridSpan w:val="4"/>
          </w:tcPr>
          <w:p w:rsidR="002A4053" w:rsidRPr="00D130E2" w:rsidRDefault="002A4053" w:rsidP="002A4053">
            <w:pPr>
              <w:jc w:val="both"/>
              <w:rPr>
                <w:sz w:val="20"/>
              </w:rPr>
            </w:pPr>
            <w:r w:rsidRPr="00D130E2">
              <w:rPr>
                <w:sz w:val="20"/>
              </w:rPr>
              <w:t>Civil procedure — Abuse of process — Pleadings — Limitation of actions — Applicant alleging Canadian officials committed wrongful acts in encouraging applicant to immigrate to Canada in 1980s — Courts below striking out and dismissing claim as disclosing no cause of action, and as being statute</w:t>
            </w:r>
            <w:r w:rsidRPr="00D130E2">
              <w:rPr>
                <w:sz w:val="20"/>
              </w:rPr>
              <w:noBreakHyphen/>
              <w:t xml:space="preserve">barred — Appeal quashed as devoid of merit and amounting to abuse of process — Whether applicant was recruited and transferred to Canada for purpose of exploitation and concealing deception committed by Canadian embassy representatives — Whether trafficking in persons offence akin to genocide of Indigenous people — Whether legal case is of national importance given that immigrants and new Canadians earn less than workers who are at least third generation Canadian — Whether applicant denied due process — Whether courts below erred in dismissing claim based on unfair speculative prediction claim held no merit and would fail — </w:t>
            </w:r>
            <w:r w:rsidRPr="00D130E2">
              <w:rPr>
                <w:i/>
                <w:sz w:val="20"/>
              </w:rPr>
              <w:t>Supreme Court Civil Rules</w:t>
            </w:r>
            <w:r w:rsidRPr="00D130E2">
              <w:rPr>
                <w:sz w:val="20"/>
              </w:rPr>
              <w:t>, BC Reg. 168/2009, Part 2, r. 9</w:t>
            </w:r>
            <w:r w:rsidRPr="00D130E2">
              <w:rPr>
                <w:sz w:val="20"/>
              </w:rPr>
              <w:noBreakHyphen/>
              <w:t>5(1).</w:t>
            </w:r>
          </w:p>
        </w:tc>
      </w:tr>
      <w:tr w:rsidR="002A4053" w:rsidRPr="00D130E2" w:rsidTr="00E95A6A">
        <w:tc>
          <w:tcPr>
            <w:tcW w:w="5000" w:type="pct"/>
            <w:gridSpan w:val="4"/>
          </w:tcPr>
          <w:p w:rsidR="002A4053" w:rsidRPr="00D130E2" w:rsidRDefault="002A4053" w:rsidP="002A4053">
            <w:pPr>
              <w:jc w:val="both"/>
              <w:rPr>
                <w:sz w:val="20"/>
              </w:rPr>
            </w:pPr>
          </w:p>
        </w:tc>
      </w:tr>
      <w:tr w:rsidR="002A4053" w:rsidRPr="00D130E2" w:rsidTr="00E95A6A">
        <w:tc>
          <w:tcPr>
            <w:tcW w:w="5000" w:type="pct"/>
            <w:gridSpan w:val="4"/>
          </w:tcPr>
          <w:p w:rsidR="002A4053" w:rsidRPr="00D130E2" w:rsidRDefault="002A4053" w:rsidP="002A4053">
            <w:pPr>
              <w:jc w:val="both"/>
              <w:rPr>
                <w:sz w:val="20"/>
              </w:rPr>
            </w:pPr>
            <w:r w:rsidRPr="00D130E2">
              <w:rPr>
                <w:sz w:val="20"/>
              </w:rPr>
              <w:t>Mr. Stanislaw Szopa immigrated to Canada from Poland in 1981 with his family. In 2018, Mr. Szopa filed a claim against the Government of Canada, alleging that Canadian embassy officials had committed errors and wrongful acts at the time of his immigration, including making negligent misrepresentations which induced Mr. Szopa to immigrate without being informed that his education credentials would not transfer to Canada. Unable to secure employment as an engineer in Canada, Mr. Szopa sought over $23 million in damages, for the socio</w:t>
            </w:r>
            <w:r w:rsidRPr="00D130E2">
              <w:rPr>
                <w:sz w:val="20"/>
              </w:rPr>
              <w:noBreakHyphen/>
              <w:t>economic difficulties he and his family suffered since they immigrated to Canada, as well as for mental distress. The respondent, the Attorney General of Canada, applied to have Mr. Szopa’s claim struck out as disclosing no reasonable cause of action.</w:t>
            </w:r>
          </w:p>
          <w:p w:rsidR="002A4053" w:rsidRPr="00D130E2" w:rsidRDefault="002A4053" w:rsidP="002A4053">
            <w:pPr>
              <w:jc w:val="both"/>
              <w:rPr>
                <w:sz w:val="20"/>
              </w:rPr>
            </w:pPr>
          </w:p>
          <w:p w:rsidR="002A4053" w:rsidRPr="00D130E2" w:rsidRDefault="002A4053" w:rsidP="002A4053">
            <w:pPr>
              <w:jc w:val="both"/>
              <w:rPr>
                <w:sz w:val="20"/>
              </w:rPr>
            </w:pPr>
            <w:r w:rsidRPr="00D130E2">
              <w:rPr>
                <w:sz w:val="20"/>
              </w:rPr>
              <w:lastRenderedPageBreak/>
              <w:t>A chambers judge at the British Columbia Supreme Court dismissed Mr. Szopa’s claim as disclosing no reasonable cause of action, and as being statute</w:t>
            </w:r>
            <w:r w:rsidRPr="00D130E2">
              <w:rPr>
                <w:sz w:val="20"/>
              </w:rPr>
              <w:noBreakHyphen/>
              <w:t>barred. Mr. Szopa’s application for leave to appeal that decision to the Court of Appeal was dismissed by order of a single judge at the Court of Appeal. Mr. Szopa was then informed he in fact had an automatic right of appeal from the decision dismissing his claim. He applied for and obtained an extension of time in which to convert his application for leave to appeal into a notice of appeal as of right.</w:t>
            </w:r>
          </w:p>
          <w:p w:rsidR="002A4053" w:rsidRPr="00D130E2" w:rsidRDefault="002A4053" w:rsidP="002A4053">
            <w:pPr>
              <w:jc w:val="both"/>
              <w:rPr>
                <w:sz w:val="20"/>
              </w:rPr>
            </w:pPr>
          </w:p>
          <w:p w:rsidR="002A4053" w:rsidRPr="00D130E2" w:rsidRDefault="002A4053" w:rsidP="002A4053">
            <w:pPr>
              <w:jc w:val="both"/>
              <w:rPr>
                <w:sz w:val="20"/>
              </w:rPr>
            </w:pPr>
            <w:r w:rsidRPr="00D130E2">
              <w:rPr>
                <w:sz w:val="20"/>
              </w:rPr>
              <w:t>A panel of three judges at the Court of Appeal converted the application for leave into a notice of appeal as of right. However, the panel then granted Canada’s cross-application to quash Mr. Szopa’s appeal, and dismissed his appeal as being devoid of merit and an abuse of process.</w:t>
            </w:r>
          </w:p>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lastRenderedPageBreak/>
              <w:t>August 30, 2018</w:t>
            </w:r>
          </w:p>
          <w:p w:rsidR="002A4053" w:rsidRPr="00D130E2" w:rsidRDefault="002A4053" w:rsidP="002A4053">
            <w:pPr>
              <w:jc w:val="both"/>
              <w:rPr>
                <w:sz w:val="20"/>
              </w:rPr>
            </w:pPr>
            <w:r w:rsidRPr="00D130E2">
              <w:rPr>
                <w:sz w:val="20"/>
              </w:rPr>
              <w:t>Supreme Court of British Columbia</w:t>
            </w:r>
          </w:p>
          <w:p w:rsidR="002A4053" w:rsidRPr="00D130E2" w:rsidRDefault="002A4053" w:rsidP="002A4053">
            <w:pPr>
              <w:jc w:val="both"/>
              <w:rPr>
                <w:sz w:val="20"/>
              </w:rPr>
            </w:pPr>
            <w:r w:rsidRPr="00D130E2">
              <w:rPr>
                <w:sz w:val="20"/>
              </w:rPr>
              <w:t>(Macintosh J.)</w:t>
            </w:r>
          </w:p>
          <w:p w:rsidR="002A4053" w:rsidRPr="00D130E2" w:rsidRDefault="002A4053" w:rsidP="002A4053">
            <w:pPr>
              <w:jc w:val="both"/>
              <w:rPr>
                <w:sz w:val="20"/>
              </w:rPr>
            </w:pPr>
            <w:hyperlink r:id="rId25" w:history="1">
              <w:r w:rsidRPr="00D130E2">
                <w:rPr>
                  <w:rStyle w:val="Hyperlink"/>
                  <w:sz w:val="20"/>
                </w:rPr>
                <w:t>2018 BCSC 2164</w:t>
              </w:r>
            </w:hyperlink>
            <w:r w:rsidRPr="00D130E2">
              <w:rPr>
                <w:sz w:val="20"/>
              </w:rPr>
              <w:t xml:space="preserve"> </w:t>
            </w:r>
          </w:p>
          <w:p w:rsidR="002A4053" w:rsidRPr="00D130E2" w:rsidRDefault="002A4053" w:rsidP="002A4053">
            <w:pPr>
              <w:jc w:val="both"/>
              <w:rPr>
                <w:sz w:val="20"/>
              </w:rPr>
            </w:pP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rPr>
            </w:pPr>
            <w:r w:rsidRPr="00D130E2">
              <w:rPr>
                <w:sz w:val="20"/>
              </w:rPr>
              <w:t xml:space="preserve">Canada’s application to strike Mr. Szopa’s claim — granted </w:t>
            </w:r>
          </w:p>
          <w:p w:rsidR="002A4053" w:rsidRPr="00D130E2" w:rsidRDefault="002A4053" w:rsidP="002A4053">
            <w:pPr>
              <w:jc w:val="both"/>
              <w:rPr>
                <w:sz w:val="20"/>
              </w:rPr>
            </w:pPr>
            <w:r w:rsidRPr="00D130E2">
              <w:rPr>
                <w:sz w:val="20"/>
              </w:rPr>
              <w:t>(Mr. Szopa’s action dismissed as disclosing no cause of action, and as being statute</w:t>
            </w:r>
            <w:r w:rsidRPr="00D130E2">
              <w:rPr>
                <w:sz w:val="20"/>
              </w:rPr>
              <w:noBreakHyphen/>
              <w:t>barred)</w:t>
            </w:r>
          </w:p>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t>December 10, 2018</w:t>
            </w:r>
          </w:p>
          <w:p w:rsidR="002A4053" w:rsidRPr="00D130E2" w:rsidRDefault="002A4053" w:rsidP="002A4053">
            <w:pPr>
              <w:jc w:val="both"/>
              <w:rPr>
                <w:sz w:val="20"/>
              </w:rPr>
            </w:pPr>
            <w:r w:rsidRPr="00D130E2">
              <w:rPr>
                <w:sz w:val="20"/>
              </w:rPr>
              <w:t xml:space="preserve">Court of Appeal for British Columbia </w:t>
            </w:r>
          </w:p>
          <w:p w:rsidR="002A4053" w:rsidRPr="00D130E2" w:rsidRDefault="002A4053" w:rsidP="002A4053">
            <w:pPr>
              <w:jc w:val="both"/>
              <w:rPr>
                <w:sz w:val="20"/>
              </w:rPr>
            </w:pPr>
            <w:r w:rsidRPr="00D130E2">
              <w:rPr>
                <w:sz w:val="20"/>
              </w:rPr>
              <w:t>(Vancouver)</w:t>
            </w:r>
          </w:p>
          <w:p w:rsidR="002A4053" w:rsidRPr="00D130E2" w:rsidRDefault="002A4053" w:rsidP="002A4053">
            <w:pPr>
              <w:jc w:val="both"/>
              <w:rPr>
                <w:sz w:val="20"/>
              </w:rPr>
            </w:pPr>
            <w:r w:rsidRPr="00D130E2">
              <w:rPr>
                <w:sz w:val="20"/>
              </w:rPr>
              <w:t>(Fenlon J.A.) (in chambers)</w:t>
            </w:r>
          </w:p>
          <w:p w:rsidR="002A4053" w:rsidRPr="00D130E2" w:rsidRDefault="002A4053" w:rsidP="002A4053">
            <w:pPr>
              <w:jc w:val="both"/>
              <w:rPr>
                <w:sz w:val="20"/>
              </w:rPr>
            </w:pPr>
            <w:r w:rsidRPr="00D130E2">
              <w:rPr>
                <w:sz w:val="20"/>
              </w:rPr>
              <w:t>File number: CA45625</w:t>
            </w:r>
          </w:p>
          <w:p w:rsidR="002A4053" w:rsidRPr="00D130E2" w:rsidRDefault="002A4053" w:rsidP="002A4053">
            <w:pPr>
              <w:jc w:val="both"/>
              <w:rPr>
                <w:sz w:val="20"/>
              </w:rPr>
            </w:pP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rPr>
            </w:pPr>
            <w:r w:rsidRPr="00D130E2">
              <w:rPr>
                <w:sz w:val="20"/>
              </w:rPr>
              <w:t>Mr. Szopa’s application for leave to appeal — dismissed</w:t>
            </w:r>
          </w:p>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t>November 5, 2019</w:t>
            </w:r>
          </w:p>
          <w:p w:rsidR="002A4053" w:rsidRPr="00D130E2" w:rsidRDefault="002A4053" w:rsidP="002A4053">
            <w:pPr>
              <w:jc w:val="both"/>
              <w:rPr>
                <w:sz w:val="20"/>
              </w:rPr>
            </w:pPr>
            <w:r w:rsidRPr="00D130E2">
              <w:rPr>
                <w:sz w:val="20"/>
              </w:rPr>
              <w:t xml:space="preserve">Court of Appeal for British Columbia </w:t>
            </w:r>
          </w:p>
          <w:p w:rsidR="002A4053" w:rsidRPr="00D130E2" w:rsidRDefault="002A4053" w:rsidP="002A4053">
            <w:pPr>
              <w:jc w:val="both"/>
              <w:rPr>
                <w:sz w:val="20"/>
              </w:rPr>
            </w:pPr>
            <w:r w:rsidRPr="00D130E2">
              <w:rPr>
                <w:sz w:val="20"/>
              </w:rPr>
              <w:t>(Vancouver)</w:t>
            </w:r>
          </w:p>
          <w:p w:rsidR="002A4053" w:rsidRPr="00D130E2" w:rsidRDefault="002A4053" w:rsidP="002A4053">
            <w:pPr>
              <w:jc w:val="both"/>
              <w:rPr>
                <w:sz w:val="20"/>
              </w:rPr>
            </w:pPr>
            <w:r w:rsidRPr="00D130E2">
              <w:rPr>
                <w:sz w:val="20"/>
              </w:rPr>
              <w:t>(Hunter J.A.)</w:t>
            </w:r>
          </w:p>
          <w:p w:rsidR="002A4053" w:rsidRPr="00D130E2" w:rsidRDefault="002A4053" w:rsidP="002A4053">
            <w:pPr>
              <w:jc w:val="both"/>
              <w:rPr>
                <w:sz w:val="20"/>
              </w:rPr>
            </w:pPr>
            <w:r w:rsidRPr="00D130E2">
              <w:rPr>
                <w:sz w:val="20"/>
              </w:rPr>
              <w:t>File number: CA45625</w:t>
            </w:r>
          </w:p>
          <w:p w:rsidR="002A4053" w:rsidRPr="00D130E2" w:rsidRDefault="002A4053" w:rsidP="002A4053">
            <w:pPr>
              <w:jc w:val="both"/>
              <w:rPr>
                <w:sz w:val="20"/>
              </w:rPr>
            </w:pPr>
            <w:r w:rsidRPr="00D130E2">
              <w:rPr>
                <w:sz w:val="20"/>
              </w:rPr>
              <w:t xml:space="preserve"> </w:t>
            </w: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rPr>
            </w:pPr>
            <w:r w:rsidRPr="00D130E2">
              <w:rPr>
                <w:sz w:val="20"/>
              </w:rPr>
              <w:t>Request for extension of time to apply to vary December 10, 2018 order — granted</w:t>
            </w:r>
          </w:p>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t>January 28, 2020</w:t>
            </w:r>
          </w:p>
          <w:p w:rsidR="002A4053" w:rsidRPr="00D130E2" w:rsidRDefault="002A4053" w:rsidP="002A4053">
            <w:pPr>
              <w:jc w:val="both"/>
              <w:rPr>
                <w:sz w:val="20"/>
              </w:rPr>
            </w:pPr>
            <w:r w:rsidRPr="00D130E2">
              <w:rPr>
                <w:sz w:val="20"/>
              </w:rPr>
              <w:t xml:space="preserve">Court of Appeal for British Columbia </w:t>
            </w:r>
          </w:p>
          <w:p w:rsidR="002A4053" w:rsidRPr="00D130E2" w:rsidRDefault="002A4053" w:rsidP="002A4053">
            <w:pPr>
              <w:jc w:val="both"/>
              <w:rPr>
                <w:sz w:val="20"/>
              </w:rPr>
            </w:pPr>
            <w:r w:rsidRPr="00D130E2">
              <w:rPr>
                <w:sz w:val="20"/>
              </w:rPr>
              <w:t>(Vancouver)</w:t>
            </w:r>
          </w:p>
          <w:p w:rsidR="002A4053" w:rsidRPr="00D130E2" w:rsidRDefault="002A4053" w:rsidP="002A4053">
            <w:pPr>
              <w:jc w:val="both"/>
              <w:rPr>
                <w:sz w:val="20"/>
              </w:rPr>
            </w:pPr>
            <w:r w:rsidRPr="00D130E2">
              <w:rPr>
                <w:sz w:val="20"/>
              </w:rPr>
              <w:t>(Bennett, Willcock and Goepel JJ.A.)</w:t>
            </w:r>
          </w:p>
          <w:p w:rsidR="002A4053" w:rsidRPr="00D130E2" w:rsidRDefault="002A4053" w:rsidP="002A4053">
            <w:pPr>
              <w:jc w:val="both"/>
              <w:rPr>
                <w:sz w:val="20"/>
              </w:rPr>
            </w:pPr>
            <w:hyperlink r:id="rId26" w:history="1">
              <w:r w:rsidRPr="00D130E2">
                <w:rPr>
                  <w:rStyle w:val="Hyperlink"/>
                  <w:sz w:val="20"/>
                </w:rPr>
                <w:t>2020 BCCA 47</w:t>
              </w:r>
            </w:hyperlink>
            <w:r w:rsidRPr="00D130E2">
              <w:rPr>
                <w:sz w:val="20"/>
              </w:rPr>
              <w:t xml:space="preserve"> </w:t>
            </w:r>
          </w:p>
          <w:p w:rsidR="002A4053" w:rsidRPr="00D130E2" w:rsidRDefault="002A4053" w:rsidP="002A4053">
            <w:pPr>
              <w:jc w:val="both"/>
              <w:rPr>
                <w:sz w:val="20"/>
              </w:rPr>
            </w:pP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pStyle w:val="ListParagraph"/>
              <w:widowControl/>
              <w:numPr>
                <w:ilvl w:val="0"/>
                <w:numId w:val="35"/>
              </w:numPr>
              <w:autoSpaceDE/>
              <w:autoSpaceDN/>
              <w:adjustRightInd/>
              <w:jc w:val="both"/>
              <w:rPr>
                <w:sz w:val="20"/>
                <w:szCs w:val="20"/>
              </w:rPr>
            </w:pPr>
            <w:r w:rsidRPr="00D130E2">
              <w:rPr>
                <w:sz w:val="20"/>
                <w:szCs w:val="20"/>
              </w:rPr>
              <w:t>Mr. Szopa’s application to convert application for leave to appeal into notice of appeal as of right — granted (on consent);</w:t>
            </w:r>
          </w:p>
          <w:p w:rsidR="002A4053" w:rsidRPr="00D130E2" w:rsidRDefault="002A4053" w:rsidP="002A4053">
            <w:pPr>
              <w:pStyle w:val="ListParagraph"/>
              <w:widowControl/>
              <w:numPr>
                <w:ilvl w:val="0"/>
                <w:numId w:val="35"/>
              </w:numPr>
              <w:autoSpaceDE/>
              <w:autoSpaceDN/>
              <w:adjustRightInd/>
              <w:jc w:val="both"/>
              <w:rPr>
                <w:sz w:val="20"/>
                <w:szCs w:val="20"/>
              </w:rPr>
            </w:pPr>
            <w:r w:rsidRPr="00D130E2">
              <w:rPr>
                <w:sz w:val="20"/>
                <w:szCs w:val="20"/>
              </w:rPr>
              <w:t>Canada’s cross-application to quash Mr. Szopa’s appeal — granted;</w:t>
            </w:r>
          </w:p>
          <w:p w:rsidR="002A4053" w:rsidRPr="00D130E2" w:rsidRDefault="002A4053" w:rsidP="002A4053">
            <w:pPr>
              <w:pStyle w:val="ListParagraph"/>
              <w:widowControl/>
              <w:numPr>
                <w:ilvl w:val="0"/>
                <w:numId w:val="35"/>
              </w:numPr>
              <w:autoSpaceDE/>
              <w:autoSpaceDN/>
              <w:adjustRightInd/>
              <w:jc w:val="both"/>
              <w:rPr>
                <w:sz w:val="20"/>
                <w:szCs w:val="20"/>
              </w:rPr>
            </w:pPr>
            <w:r w:rsidRPr="00D130E2">
              <w:rPr>
                <w:sz w:val="20"/>
                <w:szCs w:val="20"/>
              </w:rPr>
              <w:t>Mr. Szopa’s appeal — quashed as devoid of merit and amounting to abuse of process</w:t>
            </w:r>
          </w:p>
          <w:p w:rsidR="002A4053" w:rsidRPr="00D130E2" w:rsidRDefault="002A4053" w:rsidP="002A4053">
            <w:pPr>
              <w:jc w:val="both"/>
              <w:rPr>
                <w:sz w:val="20"/>
              </w:rPr>
            </w:pPr>
          </w:p>
        </w:tc>
      </w:tr>
      <w:tr w:rsidR="002A4053" w:rsidRPr="00D130E2" w:rsidTr="00E95A6A">
        <w:tc>
          <w:tcPr>
            <w:tcW w:w="2427" w:type="pct"/>
            <w:gridSpan w:val="2"/>
          </w:tcPr>
          <w:p w:rsidR="002A4053" w:rsidRPr="00D130E2" w:rsidRDefault="002A4053" w:rsidP="002A4053">
            <w:pPr>
              <w:jc w:val="both"/>
              <w:rPr>
                <w:sz w:val="20"/>
              </w:rPr>
            </w:pPr>
            <w:r w:rsidRPr="00D130E2">
              <w:rPr>
                <w:sz w:val="20"/>
              </w:rPr>
              <w:t>September 22, 2020</w:t>
            </w:r>
          </w:p>
          <w:p w:rsidR="002A4053" w:rsidRPr="00D130E2" w:rsidRDefault="002A4053" w:rsidP="002A4053">
            <w:pPr>
              <w:jc w:val="both"/>
              <w:rPr>
                <w:sz w:val="20"/>
              </w:rPr>
            </w:pPr>
            <w:r w:rsidRPr="00D130E2">
              <w:rPr>
                <w:sz w:val="20"/>
              </w:rPr>
              <w:t>Supreme Court of Canada</w:t>
            </w:r>
          </w:p>
        </w:tc>
        <w:tc>
          <w:tcPr>
            <w:tcW w:w="243" w:type="pct"/>
          </w:tcPr>
          <w:p w:rsidR="002A4053" w:rsidRPr="00D130E2" w:rsidRDefault="002A4053" w:rsidP="002A4053">
            <w:pPr>
              <w:jc w:val="both"/>
              <w:rPr>
                <w:sz w:val="20"/>
              </w:rPr>
            </w:pPr>
          </w:p>
        </w:tc>
        <w:tc>
          <w:tcPr>
            <w:tcW w:w="2330" w:type="pct"/>
          </w:tcPr>
          <w:p w:rsidR="002A4053" w:rsidRPr="00D130E2" w:rsidRDefault="002A4053" w:rsidP="002A4053">
            <w:pPr>
              <w:jc w:val="both"/>
              <w:rPr>
                <w:sz w:val="20"/>
              </w:rPr>
            </w:pPr>
            <w:r w:rsidRPr="00D130E2">
              <w:rPr>
                <w:sz w:val="20"/>
              </w:rPr>
              <w:t>Application for leave to appeal filed by Mr. Szopa</w:t>
            </w:r>
          </w:p>
        </w:tc>
      </w:tr>
    </w:tbl>
    <w:p w:rsidR="002A4053" w:rsidRPr="00D130E2" w:rsidRDefault="002A4053" w:rsidP="002A4053">
      <w:pPr>
        <w:jc w:val="both"/>
        <w:rPr>
          <w:sz w:val="20"/>
        </w:rPr>
      </w:pPr>
    </w:p>
    <w:p w:rsidR="002A4053" w:rsidRPr="00D130E2" w:rsidRDefault="002A4053" w:rsidP="002A4053">
      <w:pPr>
        <w:jc w:val="both"/>
        <w:rPr>
          <w:sz w:val="20"/>
        </w:rPr>
      </w:pPr>
      <w:r w:rsidRPr="00D130E2">
        <w:rPr>
          <w:sz w:val="20"/>
        </w:rPr>
        <w:pict>
          <v:rect id="_x0000_i1036" style="width:2in;height:1pt" o:hrpct="0" o:hralign="center" o:hrstd="t" o:hrnoshade="t" o:hr="t" fillcolor="black [3213]" stroked="f"/>
        </w:pict>
      </w:r>
    </w:p>
    <w:p w:rsidR="002A4053" w:rsidRPr="00D130E2" w:rsidRDefault="002A4053" w:rsidP="002A40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A4053" w:rsidRPr="00D130E2" w:rsidTr="00E95A6A">
        <w:tc>
          <w:tcPr>
            <w:tcW w:w="543" w:type="pct"/>
          </w:tcPr>
          <w:p w:rsidR="002A4053" w:rsidRPr="00D130E2" w:rsidRDefault="002A4053" w:rsidP="002A4053">
            <w:pPr>
              <w:jc w:val="both"/>
              <w:rPr>
                <w:sz w:val="20"/>
                <w:lang w:val="fr-CA"/>
              </w:rPr>
            </w:pPr>
            <w:r w:rsidRPr="00D130E2">
              <w:rPr>
                <w:rStyle w:val="SCCFileNumberChar"/>
                <w:sz w:val="20"/>
                <w:szCs w:val="20"/>
                <w:lang w:val="fr-CA"/>
              </w:rPr>
              <w:t>39367</w:t>
            </w:r>
          </w:p>
        </w:tc>
        <w:tc>
          <w:tcPr>
            <w:tcW w:w="4457" w:type="pct"/>
            <w:gridSpan w:val="3"/>
          </w:tcPr>
          <w:p w:rsidR="002A4053" w:rsidRPr="00D130E2" w:rsidRDefault="002A4053" w:rsidP="002A4053">
            <w:pPr>
              <w:pStyle w:val="SCCLsocParty"/>
              <w:jc w:val="both"/>
              <w:rPr>
                <w:b/>
                <w:sz w:val="20"/>
                <w:szCs w:val="20"/>
              </w:rPr>
            </w:pPr>
            <w:r w:rsidRPr="00D130E2">
              <w:rPr>
                <w:b/>
                <w:sz w:val="20"/>
                <w:szCs w:val="20"/>
              </w:rPr>
              <w:t>Stanislaw Szopa c. Procureur général du Canada</w:t>
            </w:r>
          </w:p>
          <w:p w:rsidR="002A4053" w:rsidRPr="00D130E2" w:rsidRDefault="002A4053" w:rsidP="002A4053">
            <w:pPr>
              <w:jc w:val="both"/>
              <w:rPr>
                <w:sz w:val="20"/>
                <w:lang w:val="fr-CA"/>
              </w:rPr>
            </w:pPr>
            <w:r w:rsidRPr="00D130E2">
              <w:rPr>
                <w:sz w:val="20"/>
                <w:lang w:val="fr-CA"/>
              </w:rPr>
              <w:t>(C.-B.) (Civile) (Autorisation)</w:t>
            </w:r>
          </w:p>
        </w:tc>
      </w:tr>
      <w:tr w:rsidR="002A4053" w:rsidRPr="00D130E2" w:rsidTr="00E95A6A">
        <w:tc>
          <w:tcPr>
            <w:tcW w:w="5000" w:type="pct"/>
            <w:gridSpan w:val="4"/>
          </w:tcPr>
          <w:p w:rsidR="002A4053" w:rsidRPr="00D130E2" w:rsidRDefault="002A4053" w:rsidP="002A4053">
            <w:pPr>
              <w:jc w:val="both"/>
              <w:rPr>
                <w:sz w:val="20"/>
                <w:lang w:val="fr-CA"/>
              </w:rPr>
            </w:pPr>
            <w:r w:rsidRPr="00D130E2">
              <w:rPr>
                <w:sz w:val="20"/>
                <w:lang w:val="fr-CA"/>
              </w:rPr>
              <w:t>Procédure civile — Abus de procédure — Actes de procédure — Prescription — Le demandeur allègue que des fonctionnaires canadiens auraient commis des actes fautifs en encourageant le demandeur à immigrer au Canada dans les années 1980 — Les juridictions inférieures ont radié et rejeté la demande pour absence de cause d’action et parce qu’elle était prescrite — L’appel a été rejeté parce que dépourvu de fondement et équivalent à un abus de procédure — Le demandeur a</w:t>
            </w:r>
            <w:r w:rsidRPr="00D130E2">
              <w:rPr>
                <w:sz w:val="20"/>
                <w:lang w:val="fr-CA"/>
              </w:rPr>
              <w:noBreakHyphen/>
              <w:t>t</w:t>
            </w:r>
            <w:r w:rsidRPr="00D130E2">
              <w:rPr>
                <w:sz w:val="20"/>
                <w:lang w:val="fr-CA"/>
              </w:rPr>
              <w:noBreakHyphen/>
              <w:t>il été recruté et transféré au Canada dans le but de l’exploiter et de dissimuler une tromperie commise par des représentants de l’ambassade canadienne? — Le trafic de personnes est</w:t>
            </w:r>
            <w:r w:rsidRPr="00D130E2">
              <w:rPr>
                <w:sz w:val="20"/>
                <w:lang w:val="fr-CA"/>
              </w:rPr>
              <w:noBreakHyphen/>
              <w:t>il une infraction analogue au génocide des Autochtones? — L’affaire revêt</w:t>
            </w:r>
            <w:r w:rsidRPr="00D130E2">
              <w:rPr>
                <w:sz w:val="20"/>
                <w:lang w:val="fr-CA"/>
              </w:rPr>
              <w:noBreakHyphen/>
              <w:t>elle une importance nationale du fait que les immigrants et les Néo</w:t>
            </w:r>
            <w:r w:rsidRPr="00D130E2">
              <w:rPr>
                <w:sz w:val="20"/>
                <w:lang w:val="fr-CA"/>
              </w:rPr>
              <w:noBreakHyphen/>
              <w:t>Canadiens gagnent moins que les travailleurs qui sont au moins des Canadiens de troisième génération? — Le demandeur s’est</w:t>
            </w:r>
            <w:r w:rsidRPr="00D130E2">
              <w:rPr>
                <w:sz w:val="20"/>
                <w:lang w:val="fr-CA"/>
              </w:rPr>
              <w:noBreakHyphen/>
              <w:t>il vu refuser l’application régulière de la loi? — Les juridictions inférieures ont</w:t>
            </w:r>
            <w:r w:rsidRPr="00D130E2">
              <w:rPr>
                <w:sz w:val="20"/>
                <w:lang w:val="fr-CA"/>
              </w:rPr>
              <w:noBreakHyphen/>
              <w:t xml:space="preserve">elles eu tort de rejeter la demande en s’appuyant sur la prévision injuste, relevant de la conjecture, que la demande était dépourvue de fondement et vouée à l’échec? — </w:t>
            </w:r>
            <w:r w:rsidRPr="00D130E2">
              <w:rPr>
                <w:i/>
                <w:sz w:val="20"/>
                <w:lang w:val="fr-CA"/>
              </w:rPr>
              <w:t>Supreme Court Civil Rules</w:t>
            </w:r>
            <w:r w:rsidRPr="00D130E2">
              <w:rPr>
                <w:sz w:val="20"/>
                <w:lang w:val="fr-CA"/>
              </w:rPr>
              <w:t>, BC Reg. 168/2009, Part 2, r. 9</w:t>
            </w:r>
            <w:r w:rsidRPr="00D130E2">
              <w:rPr>
                <w:sz w:val="20"/>
                <w:lang w:val="fr-CA"/>
              </w:rPr>
              <w:noBreakHyphen/>
              <w:t>5(1).</w:t>
            </w:r>
          </w:p>
        </w:tc>
      </w:tr>
      <w:tr w:rsidR="002A4053" w:rsidRPr="00D130E2" w:rsidTr="00E95A6A">
        <w:tc>
          <w:tcPr>
            <w:tcW w:w="5000" w:type="pct"/>
            <w:gridSpan w:val="4"/>
          </w:tcPr>
          <w:p w:rsidR="002A4053" w:rsidRPr="00D130E2" w:rsidRDefault="002A4053" w:rsidP="002A4053">
            <w:pPr>
              <w:jc w:val="both"/>
              <w:rPr>
                <w:sz w:val="20"/>
                <w:lang w:val="fr-CA"/>
              </w:rPr>
            </w:pPr>
          </w:p>
        </w:tc>
      </w:tr>
      <w:tr w:rsidR="002A4053" w:rsidRPr="00D130E2" w:rsidTr="00E95A6A">
        <w:tc>
          <w:tcPr>
            <w:tcW w:w="5000" w:type="pct"/>
            <w:gridSpan w:val="4"/>
          </w:tcPr>
          <w:p w:rsidR="002A4053" w:rsidRPr="00D130E2" w:rsidRDefault="002A4053" w:rsidP="002A4053">
            <w:pPr>
              <w:jc w:val="both"/>
              <w:rPr>
                <w:sz w:val="20"/>
                <w:lang w:val="fr-CA"/>
              </w:rPr>
            </w:pPr>
            <w:r w:rsidRPr="00D130E2">
              <w:rPr>
                <w:sz w:val="20"/>
                <w:lang w:val="fr-CA"/>
              </w:rPr>
              <w:lastRenderedPageBreak/>
              <w:t>Monsieur Stanislaw Szopa a immigré au Canada de la Pologne en 1981 avec sa famille. En 2018, M. Szopa a intenté une action contre le gouvernement du Canada, alléguant que des fonctionnaires de l’ambassade canadienne avaient commis des erreurs à l’époque de son immigration, notamment en faisant des assertions négligentes et inexactes qui ont amené M. Szopa à immigrer sans être informé que ses diplômes ne seraient pas reconnus au Canada. Incapable d’obtenir un emploi comme ingénieur au Canada, M. Szopa a sollicité plus de 23 millions de dollars en dommages</w:t>
            </w:r>
            <w:r w:rsidRPr="00D130E2">
              <w:rPr>
                <w:sz w:val="20"/>
                <w:lang w:val="fr-CA"/>
              </w:rPr>
              <w:noBreakHyphen/>
              <w:t>intérêts au titre des difficultés socioéconomiques que lui et sa famille ont subies depuis leur immigration au Canada, et au titre de la souffrance morale. L’intimé, le procureur général du Canada, a présenté une requête en rejet de l’action de M. Szopa pour absence de cause d’action raisonnable.</w:t>
            </w:r>
          </w:p>
          <w:p w:rsidR="002A4053" w:rsidRPr="00D130E2" w:rsidRDefault="002A4053" w:rsidP="002A4053">
            <w:pPr>
              <w:jc w:val="both"/>
              <w:rPr>
                <w:sz w:val="20"/>
                <w:lang w:val="fr-CA"/>
              </w:rPr>
            </w:pPr>
          </w:p>
          <w:p w:rsidR="002A4053" w:rsidRPr="00D130E2" w:rsidRDefault="002A4053" w:rsidP="002A4053">
            <w:pPr>
              <w:jc w:val="both"/>
              <w:rPr>
                <w:sz w:val="20"/>
                <w:lang w:val="fr-CA"/>
              </w:rPr>
            </w:pPr>
            <w:r w:rsidRPr="00D130E2">
              <w:rPr>
                <w:sz w:val="20"/>
                <w:lang w:val="fr-CA"/>
              </w:rPr>
              <w:t>Un juge siégeant en cabinet de la Cour suprême de la Colombie</w:t>
            </w:r>
            <w:r w:rsidRPr="00D130E2">
              <w:rPr>
                <w:sz w:val="20"/>
                <w:lang w:val="fr-CA"/>
              </w:rPr>
              <w:noBreakHyphen/>
              <w:t>Britannique a rejeté l’action de M. Szopa pour absence de cause raisonnable d’action et parce qu’elle était prescrite. La demande d’autorisation d’appel de cette décision à la Cour d’appel présentée par M. Szopa a été rejetée par une juge seule de la Cour d’appel. Monsieur Szopa a ensuite été informé qu’il avait un droit d’appel automatique de la décision rejetant son action. Il a demandé et obtenu une prorogation du délai pour convertir sa demande d’autorisation d’appel en avis d’appel de plein droit.</w:t>
            </w:r>
          </w:p>
          <w:p w:rsidR="002A4053" w:rsidRPr="00D130E2" w:rsidRDefault="002A4053" w:rsidP="002A4053">
            <w:pPr>
              <w:jc w:val="both"/>
              <w:rPr>
                <w:sz w:val="20"/>
                <w:lang w:val="fr-CA"/>
              </w:rPr>
            </w:pPr>
          </w:p>
          <w:p w:rsidR="002A4053" w:rsidRPr="00D130E2" w:rsidRDefault="002A4053" w:rsidP="002A4053">
            <w:pPr>
              <w:jc w:val="both"/>
              <w:rPr>
                <w:sz w:val="20"/>
                <w:lang w:val="fr-CA"/>
              </w:rPr>
            </w:pPr>
            <w:r w:rsidRPr="00D130E2">
              <w:rPr>
                <w:sz w:val="20"/>
                <w:lang w:val="fr-CA"/>
              </w:rPr>
              <w:t>Une formation de trois juges de la Cour d’appel a converti la demande d’autorisation d’appel en avis d’appel de plein droit. Toutefois, la formation a ensuite accueilli la demande incidente du Canada en annulation de l’appel de M. Szopa et a rejeté son appel parce que dépourvu de fondement et constituant un abus de procédure.</w:t>
            </w: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30 août 2018</w:t>
            </w:r>
          </w:p>
          <w:p w:rsidR="002A4053" w:rsidRPr="00D130E2" w:rsidRDefault="002A4053" w:rsidP="002A4053">
            <w:pPr>
              <w:jc w:val="both"/>
              <w:rPr>
                <w:sz w:val="20"/>
                <w:lang w:val="fr-CA"/>
              </w:rPr>
            </w:pPr>
            <w:r w:rsidRPr="00D130E2">
              <w:rPr>
                <w:sz w:val="20"/>
                <w:lang w:val="fr-CA"/>
              </w:rPr>
              <w:t>Cour suprême de la Colombie</w:t>
            </w:r>
            <w:r w:rsidRPr="00D130E2">
              <w:rPr>
                <w:sz w:val="20"/>
                <w:lang w:val="fr-CA"/>
              </w:rPr>
              <w:noBreakHyphen/>
              <w:t>Britannique</w:t>
            </w:r>
          </w:p>
          <w:p w:rsidR="002A4053" w:rsidRPr="00D130E2" w:rsidRDefault="002A4053" w:rsidP="002A4053">
            <w:pPr>
              <w:jc w:val="both"/>
              <w:rPr>
                <w:sz w:val="20"/>
                <w:lang w:val="fr-CA"/>
              </w:rPr>
            </w:pPr>
            <w:r w:rsidRPr="00D130E2">
              <w:rPr>
                <w:sz w:val="20"/>
                <w:lang w:val="fr-CA"/>
              </w:rPr>
              <w:t>(Juge Macintosh)</w:t>
            </w:r>
          </w:p>
          <w:p w:rsidR="002A4053" w:rsidRPr="00D130E2" w:rsidRDefault="002A4053" w:rsidP="002A4053">
            <w:pPr>
              <w:jc w:val="both"/>
              <w:rPr>
                <w:sz w:val="20"/>
                <w:lang w:val="fr-CA"/>
              </w:rPr>
            </w:pPr>
            <w:hyperlink r:id="rId27" w:history="1">
              <w:r w:rsidRPr="00D130E2">
                <w:rPr>
                  <w:rStyle w:val="Hyperlink"/>
                  <w:sz w:val="20"/>
                  <w:lang w:val="fr-CA"/>
                </w:rPr>
                <w:t>2018 BCSC 2164</w:t>
              </w:r>
            </w:hyperlink>
            <w:r w:rsidRPr="00D130E2">
              <w:rPr>
                <w:sz w:val="20"/>
                <w:lang w:val="fr-CA"/>
              </w:rPr>
              <w:t xml:space="preserve"> </w:t>
            </w:r>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 xml:space="preserve">Jugement accueillant la requête du Canada en radiation de l’action de M. Szopa </w:t>
            </w:r>
          </w:p>
          <w:p w:rsidR="002A4053" w:rsidRPr="00D130E2" w:rsidRDefault="002A4053" w:rsidP="002A4053">
            <w:pPr>
              <w:jc w:val="both"/>
              <w:rPr>
                <w:sz w:val="20"/>
                <w:lang w:val="fr-CA"/>
              </w:rPr>
            </w:pPr>
            <w:r w:rsidRPr="00D130E2">
              <w:rPr>
                <w:sz w:val="20"/>
                <w:lang w:val="fr-CA"/>
              </w:rPr>
              <w:t>(Rejet de l’action de M. Szopa pour absence de cause d’action et parce qu’elle est prescrite)</w:t>
            </w: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10 décembre 2018</w:t>
            </w:r>
          </w:p>
          <w:p w:rsidR="002A4053" w:rsidRPr="00D130E2" w:rsidRDefault="002A4053" w:rsidP="002A4053">
            <w:pPr>
              <w:jc w:val="both"/>
              <w:rPr>
                <w:sz w:val="20"/>
                <w:lang w:val="fr-CA"/>
              </w:rPr>
            </w:pPr>
            <w:r w:rsidRPr="00D130E2">
              <w:rPr>
                <w:sz w:val="20"/>
                <w:lang w:val="fr-CA"/>
              </w:rPr>
              <w:t>Cour d’appel de la Colombie</w:t>
            </w:r>
            <w:r w:rsidRPr="00D130E2">
              <w:rPr>
                <w:sz w:val="20"/>
                <w:lang w:val="fr-CA"/>
              </w:rPr>
              <w:noBreakHyphen/>
              <w:t xml:space="preserve">Britannique </w:t>
            </w:r>
          </w:p>
          <w:p w:rsidR="002A4053" w:rsidRPr="00D130E2" w:rsidRDefault="002A4053" w:rsidP="002A4053">
            <w:pPr>
              <w:jc w:val="both"/>
              <w:rPr>
                <w:sz w:val="20"/>
                <w:lang w:val="fr-CA"/>
              </w:rPr>
            </w:pPr>
            <w:r w:rsidRPr="00D130E2">
              <w:rPr>
                <w:sz w:val="20"/>
                <w:lang w:val="fr-CA"/>
              </w:rPr>
              <w:t>(Vancouver)</w:t>
            </w:r>
          </w:p>
          <w:p w:rsidR="002A4053" w:rsidRPr="00D130E2" w:rsidRDefault="002A4053" w:rsidP="002A4053">
            <w:pPr>
              <w:jc w:val="both"/>
              <w:rPr>
                <w:sz w:val="20"/>
                <w:lang w:val="fr-CA"/>
              </w:rPr>
            </w:pPr>
            <w:r w:rsidRPr="00D130E2">
              <w:rPr>
                <w:sz w:val="20"/>
                <w:lang w:val="fr-CA"/>
              </w:rPr>
              <w:t>(Juge Fenlon) (en son cabinet)</w:t>
            </w:r>
          </w:p>
          <w:p w:rsidR="002A4053" w:rsidRPr="00D130E2" w:rsidRDefault="002A4053" w:rsidP="002A4053">
            <w:pPr>
              <w:jc w:val="both"/>
              <w:rPr>
                <w:sz w:val="20"/>
                <w:lang w:val="fr-CA"/>
              </w:rPr>
            </w:pPr>
            <w:r w:rsidRPr="00D130E2">
              <w:rPr>
                <w:sz w:val="20"/>
                <w:lang w:val="fr-CA"/>
              </w:rPr>
              <w:t>N</w:t>
            </w:r>
            <w:r w:rsidRPr="00D130E2">
              <w:rPr>
                <w:sz w:val="20"/>
                <w:vertAlign w:val="superscript"/>
                <w:lang w:val="fr-CA"/>
              </w:rPr>
              <w:t>o</w:t>
            </w:r>
            <w:r w:rsidRPr="00D130E2">
              <w:rPr>
                <w:sz w:val="20"/>
                <w:lang w:val="fr-CA"/>
              </w:rPr>
              <w:t xml:space="preserve"> de dossier : CA45625</w:t>
            </w:r>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 xml:space="preserve">Rejet de la demande d’autorisation d’appel présentée par M. Szopa </w:t>
            </w: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5 novembre 2019</w:t>
            </w:r>
          </w:p>
          <w:p w:rsidR="002A4053" w:rsidRPr="00D130E2" w:rsidRDefault="002A4053" w:rsidP="002A4053">
            <w:pPr>
              <w:jc w:val="both"/>
              <w:rPr>
                <w:sz w:val="20"/>
                <w:lang w:val="fr-CA"/>
              </w:rPr>
            </w:pPr>
            <w:r w:rsidRPr="00D130E2">
              <w:rPr>
                <w:sz w:val="20"/>
                <w:lang w:val="fr-CA"/>
              </w:rPr>
              <w:t>Cour d’appel de la Colombie</w:t>
            </w:r>
            <w:r w:rsidRPr="00D130E2">
              <w:rPr>
                <w:sz w:val="20"/>
                <w:lang w:val="fr-CA"/>
              </w:rPr>
              <w:noBreakHyphen/>
              <w:t>Britannique</w:t>
            </w:r>
          </w:p>
          <w:p w:rsidR="002A4053" w:rsidRPr="00D130E2" w:rsidRDefault="002A4053" w:rsidP="002A4053">
            <w:pPr>
              <w:jc w:val="both"/>
              <w:rPr>
                <w:sz w:val="20"/>
                <w:lang w:val="fr-CA"/>
              </w:rPr>
            </w:pPr>
            <w:r w:rsidRPr="00D130E2">
              <w:rPr>
                <w:sz w:val="20"/>
                <w:lang w:val="fr-CA"/>
              </w:rPr>
              <w:t>(Vancouver)</w:t>
            </w:r>
          </w:p>
          <w:p w:rsidR="002A4053" w:rsidRPr="00D130E2" w:rsidRDefault="002A4053" w:rsidP="002A4053">
            <w:pPr>
              <w:jc w:val="both"/>
              <w:rPr>
                <w:sz w:val="20"/>
                <w:lang w:val="fr-CA"/>
              </w:rPr>
            </w:pPr>
            <w:r w:rsidRPr="00D130E2">
              <w:rPr>
                <w:sz w:val="20"/>
                <w:lang w:val="fr-CA"/>
              </w:rPr>
              <w:t>(Juge Hunter)</w:t>
            </w:r>
          </w:p>
          <w:p w:rsidR="002A4053" w:rsidRPr="00D130E2" w:rsidRDefault="002A4053" w:rsidP="002A4053">
            <w:pPr>
              <w:jc w:val="both"/>
              <w:rPr>
                <w:sz w:val="20"/>
                <w:lang w:val="fr-CA"/>
              </w:rPr>
            </w:pPr>
            <w:r w:rsidRPr="00D130E2">
              <w:rPr>
                <w:sz w:val="20"/>
                <w:lang w:val="fr-CA"/>
              </w:rPr>
              <w:t>N</w:t>
            </w:r>
            <w:r w:rsidRPr="00D130E2">
              <w:rPr>
                <w:sz w:val="20"/>
                <w:vertAlign w:val="superscript"/>
                <w:lang w:val="fr-CA"/>
              </w:rPr>
              <w:t>o</w:t>
            </w:r>
            <w:r w:rsidRPr="00D130E2">
              <w:rPr>
                <w:sz w:val="20"/>
                <w:lang w:val="fr-CA"/>
              </w:rPr>
              <w:t xml:space="preserve"> de dossier : CA45625</w:t>
            </w:r>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Jugement accueillant la demande de prorogation du délai pour demander la modification de l’ordonnance du 10 décembre 2018</w:t>
            </w: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28 janvier 2020</w:t>
            </w:r>
          </w:p>
          <w:p w:rsidR="002A4053" w:rsidRPr="00D130E2" w:rsidRDefault="002A4053" w:rsidP="002A4053">
            <w:pPr>
              <w:jc w:val="both"/>
              <w:rPr>
                <w:sz w:val="20"/>
                <w:lang w:val="fr-CA"/>
              </w:rPr>
            </w:pPr>
            <w:r w:rsidRPr="00D130E2">
              <w:rPr>
                <w:sz w:val="20"/>
                <w:lang w:val="fr-CA"/>
              </w:rPr>
              <w:t>Cour d’appel de la Colombie</w:t>
            </w:r>
            <w:r w:rsidRPr="00D130E2">
              <w:rPr>
                <w:sz w:val="20"/>
                <w:lang w:val="fr-CA"/>
              </w:rPr>
              <w:noBreakHyphen/>
              <w:t>Britannique</w:t>
            </w:r>
          </w:p>
          <w:p w:rsidR="002A4053" w:rsidRPr="00D130E2" w:rsidRDefault="002A4053" w:rsidP="002A4053">
            <w:pPr>
              <w:jc w:val="both"/>
              <w:rPr>
                <w:sz w:val="20"/>
                <w:lang w:val="fr-CA"/>
              </w:rPr>
            </w:pPr>
            <w:r w:rsidRPr="00D130E2">
              <w:rPr>
                <w:sz w:val="20"/>
                <w:lang w:val="fr-CA"/>
              </w:rPr>
              <w:t>(Vancouver)</w:t>
            </w:r>
          </w:p>
          <w:p w:rsidR="002A4053" w:rsidRPr="00D130E2" w:rsidRDefault="002A4053" w:rsidP="002A4053">
            <w:pPr>
              <w:jc w:val="both"/>
              <w:rPr>
                <w:sz w:val="20"/>
                <w:lang w:val="fr-CA"/>
              </w:rPr>
            </w:pPr>
            <w:r w:rsidRPr="00D130E2">
              <w:rPr>
                <w:sz w:val="20"/>
                <w:lang w:val="fr-CA"/>
              </w:rPr>
              <w:t xml:space="preserve">(Juges Bennett, Willcock et </w:t>
            </w:r>
            <w:proofErr w:type="spellStart"/>
            <w:r w:rsidRPr="00D130E2">
              <w:rPr>
                <w:sz w:val="20"/>
                <w:lang w:val="fr-CA"/>
              </w:rPr>
              <w:t>Goepel</w:t>
            </w:r>
            <w:proofErr w:type="spellEnd"/>
            <w:r w:rsidRPr="00D130E2">
              <w:rPr>
                <w:sz w:val="20"/>
                <w:lang w:val="fr-CA"/>
              </w:rPr>
              <w:t>)</w:t>
            </w:r>
          </w:p>
          <w:p w:rsidR="002A4053" w:rsidRPr="00D130E2" w:rsidRDefault="002A4053" w:rsidP="002A4053">
            <w:pPr>
              <w:jc w:val="both"/>
              <w:rPr>
                <w:sz w:val="20"/>
                <w:lang w:val="fr-CA"/>
              </w:rPr>
            </w:pPr>
            <w:hyperlink r:id="rId28" w:history="1">
              <w:r w:rsidRPr="00D130E2">
                <w:rPr>
                  <w:rStyle w:val="Hyperlink"/>
                  <w:sz w:val="20"/>
                  <w:lang w:val="fr-CA"/>
                </w:rPr>
                <w:t>2020 BCCA 47</w:t>
              </w:r>
            </w:hyperlink>
            <w:r w:rsidRPr="00D130E2">
              <w:rPr>
                <w:sz w:val="20"/>
                <w:lang w:val="fr-CA"/>
              </w:rPr>
              <w:t xml:space="preserve"> </w:t>
            </w:r>
          </w:p>
          <w:p w:rsidR="002A4053" w:rsidRPr="00D130E2" w:rsidRDefault="002A4053" w:rsidP="002A4053">
            <w:pPr>
              <w:jc w:val="both"/>
              <w:rPr>
                <w:sz w:val="20"/>
                <w:lang w:val="fr-CA"/>
              </w:rPr>
            </w:pP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pStyle w:val="ListParagraph"/>
              <w:widowControl/>
              <w:numPr>
                <w:ilvl w:val="0"/>
                <w:numId w:val="35"/>
              </w:numPr>
              <w:autoSpaceDE/>
              <w:autoSpaceDN/>
              <w:adjustRightInd/>
              <w:jc w:val="both"/>
              <w:rPr>
                <w:sz w:val="20"/>
                <w:szCs w:val="20"/>
                <w:lang w:val="fr-CA"/>
              </w:rPr>
            </w:pPr>
            <w:r w:rsidRPr="00D130E2">
              <w:rPr>
                <w:sz w:val="20"/>
                <w:szCs w:val="20"/>
                <w:lang w:val="fr-CA"/>
              </w:rPr>
              <w:t>Arrêt accueillant (sur consentement) la requête de M. Szopa pour convertir la demande d’autorisation d’appel en avis d’appel de plein droit;</w:t>
            </w:r>
          </w:p>
          <w:p w:rsidR="002A4053" w:rsidRPr="00D130E2" w:rsidRDefault="002A4053" w:rsidP="002A4053">
            <w:pPr>
              <w:pStyle w:val="ListParagraph"/>
              <w:widowControl/>
              <w:numPr>
                <w:ilvl w:val="0"/>
                <w:numId w:val="35"/>
              </w:numPr>
              <w:autoSpaceDE/>
              <w:autoSpaceDN/>
              <w:adjustRightInd/>
              <w:jc w:val="both"/>
              <w:rPr>
                <w:sz w:val="20"/>
                <w:szCs w:val="20"/>
                <w:lang w:val="fr-CA"/>
              </w:rPr>
            </w:pPr>
            <w:r w:rsidRPr="00D130E2">
              <w:rPr>
                <w:sz w:val="20"/>
                <w:szCs w:val="20"/>
                <w:lang w:val="fr-CA"/>
              </w:rPr>
              <w:t>Arrêt accueillant la demande incidente du Canada en annulation de l’appel de M. Szopa;</w:t>
            </w:r>
          </w:p>
          <w:p w:rsidR="002A4053" w:rsidRPr="00D130E2" w:rsidRDefault="002A4053" w:rsidP="002A4053">
            <w:pPr>
              <w:pStyle w:val="ListParagraph"/>
              <w:widowControl/>
              <w:numPr>
                <w:ilvl w:val="0"/>
                <w:numId w:val="35"/>
              </w:numPr>
              <w:autoSpaceDE/>
              <w:autoSpaceDN/>
              <w:adjustRightInd/>
              <w:jc w:val="both"/>
              <w:rPr>
                <w:sz w:val="20"/>
                <w:szCs w:val="20"/>
                <w:lang w:val="fr-CA"/>
              </w:rPr>
            </w:pPr>
            <w:r w:rsidRPr="00D130E2">
              <w:rPr>
                <w:sz w:val="20"/>
                <w:szCs w:val="20"/>
                <w:lang w:val="fr-CA"/>
              </w:rPr>
              <w:t>Annulation de l’appel de M. Szopa parce que dépourvu de fondement et équivalent à un abus de procédure</w:t>
            </w:r>
          </w:p>
          <w:p w:rsidR="002A4053" w:rsidRPr="00D130E2" w:rsidRDefault="002A4053" w:rsidP="002A4053">
            <w:pPr>
              <w:jc w:val="both"/>
              <w:rPr>
                <w:sz w:val="20"/>
                <w:lang w:val="fr-CA"/>
              </w:rPr>
            </w:pPr>
          </w:p>
        </w:tc>
      </w:tr>
      <w:tr w:rsidR="002A4053" w:rsidRPr="00D130E2" w:rsidTr="00E95A6A">
        <w:tc>
          <w:tcPr>
            <w:tcW w:w="2427" w:type="pct"/>
            <w:gridSpan w:val="2"/>
          </w:tcPr>
          <w:p w:rsidR="002A4053" w:rsidRPr="00D130E2" w:rsidRDefault="002A4053" w:rsidP="002A4053">
            <w:pPr>
              <w:jc w:val="both"/>
              <w:rPr>
                <w:sz w:val="20"/>
                <w:lang w:val="fr-CA"/>
              </w:rPr>
            </w:pPr>
            <w:r w:rsidRPr="00D130E2">
              <w:rPr>
                <w:sz w:val="20"/>
                <w:lang w:val="fr-CA"/>
              </w:rPr>
              <w:t>22 septembre 2020</w:t>
            </w:r>
          </w:p>
          <w:p w:rsidR="002A4053" w:rsidRPr="00D130E2" w:rsidRDefault="002A4053" w:rsidP="002A4053">
            <w:pPr>
              <w:jc w:val="both"/>
              <w:rPr>
                <w:sz w:val="20"/>
                <w:lang w:val="fr-CA"/>
              </w:rPr>
            </w:pPr>
            <w:r w:rsidRPr="00D130E2">
              <w:rPr>
                <w:sz w:val="20"/>
                <w:lang w:val="fr-CA"/>
              </w:rPr>
              <w:t>Cour suprême du Canada</w:t>
            </w:r>
          </w:p>
        </w:tc>
        <w:tc>
          <w:tcPr>
            <w:tcW w:w="243" w:type="pct"/>
          </w:tcPr>
          <w:p w:rsidR="002A4053" w:rsidRPr="00D130E2" w:rsidRDefault="002A4053" w:rsidP="002A4053">
            <w:pPr>
              <w:jc w:val="both"/>
              <w:rPr>
                <w:sz w:val="20"/>
                <w:lang w:val="fr-CA"/>
              </w:rPr>
            </w:pPr>
          </w:p>
        </w:tc>
        <w:tc>
          <w:tcPr>
            <w:tcW w:w="2330" w:type="pct"/>
          </w:tcPr>
          <w:p w:rsidR="002A4053" w:rsidRPr="00D130E2" w:rsidRDefault="002A4053" w:rsidP="002A4053">
            <w:pPr>
              <w:jc w:val="both"/>
              <w:rPr>
                <w:sz w:val="20"/>
                <w:lang w:val="fr-CA"/>
              </w:rPr>
            </w:pPr>
            <w:r w:rsidRPr="00D130E2">
              <w:rPr>
                <w:sz w:val="20"/>
                <w:lang w:val="fr-CA"/>
              </w:rPr>
              <w:t>Dépôt, par M. Szopa, de la demande d’autorisation d’appel</w:t>
            </w:r>
          </w:p>
        </w:tc>
      </w:tr>
    </w:tbl>
    <w:p w:rsidR="008C3C00" w:rsidRPr="00D130E2" w:rsidRDefault="008C3C00" w:rsidP="00C13AB4">
      <w:pPr>
        <w:widowControl w:val="0"/>
        <w:jc w:val="both"/>
        <w:rPr>
          <w:sz w:val="20"/>
          <w:lang w:val="fr-CA"/>
        </w:rPr>
      </w:pPr>
    </w:p>
    <w:bookmarkEnd w:id="0"/>
    <w:p w:rsidR="008C3C00" w:rsidRPr="00D130E2" w:rsidRDefault="002A4053" w:rsidP="00C13AB4">
      <w:pPr>
        <w:widowControl w:val="0"/>
        <w:jc w:val="both"/>
        <w:rPr>
          <w:sz w:val="20"/>
          <w:lang w:val="fr-CA"/>
        </w:rPr>
      </w:pPr>
      <w:r w:rsidRPr="00D130E2">
        <w:rPr>
          <w:sz w:val="20"/>
        </w:rPr>
        <w:pict>
          <v:rect id="_x0000_i1037" style="width:2in;height:1pt" o:hrpct="0" o:hralign="center" o:hrstd="t" o:hrnoshade="t" o:hr="t" fillcolor="black [3213]" stroked="f"/>
        </w:pict>
      </w:r>
    </w:p>
    <w:p w:rsidR="008C3C00" w:rsidRPr="00D130E2" w:rsidRDefault="008C3C00" w:rsidP="00C13AB4">
      <w:pPr>
        <w:widowControl w:val="0"/>
        <w:jc w:val="both"/>
        <w:rPr>
          <w:sz w:val="20"/>
          <w:lang w:val="fr-CA"/>
        </w:rPr>
      </w:pPr>
    </w:p>
    <w:p w:rsidR="005C7161" w:rsidRPr="00D130E2" w:rsidRDefault="005C7161" w:rsidP="006A22CA">
      <w:pPr>
        <w:ind w:left="142" w:hanging="142"/>
        <w:jc w:val="both"/>
        <w:rPr>
          <w:sz w:val="20"/>
          <w:lang w:val="fr-CA"/>
        </w:rPr>
      </w:pPr>
    </w:p>
    <w:p w:rsidR="00FD3FA0" w:rsidRPr="00D130E2" w:rsidRDefault="00FD3FA0" w:rsidP="006A22CA">
      <w:pPr>
        <w:ind w:left="142" w:hanging="142"/>
        <w:jc w:val="both"/>
        <w:rPr>
          <w:sz w:val="20"/>
          <w:lang w:val="fr-CA"/>
        </w:rPr>
      </w:pPr>
    </w:p>
    <w:p w:rsidR="00D3344A" w:rsidRPr="00D130E2" w:rsidRDefault="00D3344A" w:rsidP="00D3344A">
      <w:pPr>
        <w:widowControl w:val="0"/>
        <w:outlineLvl w:val="0"/>
      </w:pPr>
      <w:r w:rsidRPr="00D130E2">
        <w:t xml:space="preserve">Supreme Court of Canada / Cour suprême du </w:t>
      </w:r>
      <w:proofErr w:type="gramStart"/>
      <w:r w:rsidRPr="00D130E2">
        <w:t>Canad</w:t>
      </w:r>
      <w:r w:rsidR="00EE289F" w:rsidRPr="00D130E2">
        <w:t>a</w:t>
      </w:r>
      <w:r w:rsidRPr="00D130E2">
        <w:t xml:space="preserve"> :</w:t>
      </w:r>
      <w:proofErr w:type="gramEnd"/>
    </w:p>
    <w:p w:rsidR="00D3344A" w:rsidRPr="00D130E2" w:rsidRDefault="006A7A17" w:rsidP="00D3344A">
      <w:pPr>
        <w:widowControl w:val="0"/>
        <w:outlineLvl w:val="0"/>
        <w:rPr>
          <w:u w:val="single"/>
        </w:rPr>
      </w:pPr>
      <w:hyperlink r:id="rId29" w:history="1">
        <w:r w:rsidR="009B7391" w:rsidRPr="00D130E2">
          <w:rPr>
            <w:rStyle w:val="Hyperlink"/>
          </w:rPr>
          <w:t>comments-commentaires@scc-csc.ca</w:t>
        </w:r>
      </w:hyperlink>
    </w:p>
    <w:p w:rsidR="00D3344A" w:rsidRPr="00D130E2" w:rsidRDefault="0065588C" w:rsidP="00D3344A">
      <w:pPr>
        <w:widowControl w:val="0"/>
        <w:outlineLvl w:val="0"/>
      </w:pPr>
      <w:r w:rsidRPr="00D130E2">
        <w:t>613-</w:t>
      </w:r>
      <w:r w:rsidR="00D3344A" w:rsidRPr="00D130E2">
        <w:t>995-4330</w:t>
      </w:r>
    </w:p>
    <w:p w:rsidR="00497B5E" w:rsidRPr="00D130E2" w:rsidRDefault="00497B5E" w:rsidP="00497B5E">
      <w:pPr>
        <w:widowControl w:val="0"/>
        <w:rPr>
          <w:sz w:val="20"/>
        </w:rPr>
      </w:pPr>
    </w:p>
    <w:p w:rsidR="00F6251B" w:rsidRPr="006E558B" w:rsidRDefault="003F43E6" w:rsidP="00F6251B">
      <w:pPr>
        <w:pStyle w:val="Footer"/>
        <w:jc w:val="center"/>
      </w:pPr>
      <w:r w:rsidRPr="00D130E2">
        <w:t>- 30 -</w:t>
      </w:r>
    </w:p>
    <w:sectPr w:rsidR="00F6251B" w:rsidRPr="006E558B" w:rsidSect="00E62F93">
      <w:headerReference w:type="even" r:id="rId30"/>
      <w:headerReference w:type="default" r:id="rId31"/>
      <w:footerReference w:type="even" r:id="rId32"/>
      <w:footerReference w:type="default" r:id="rId33"/>
      <w:headerReference w:type="first" r:id="rId34"/>
      <w:footerReference w:type="first" r:id="rId3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14" w:rsidRDefault="00E34814" w:rsidP="0034178A">
      <w:r>
        <w:separator/>
      </w:r>
    </w:p>
  </w:endnote>
  <w:endnote w:type="continuationSeparator" w:id="0">
    <w:p w:rsidR="00E34814" w:rsidRDefault="00E3481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Default="00E34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Pr="009F77F0" w:rsidRDefault="00E3481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Default="00E34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14" w:rsidRDefault="00E34814" w:rsidP="0034178A">
      <w:r>
        <w:separator/>
      </w:r>
    </w:p>
  </w:footnote>
  <w:footnote w:type="continuationSeparator" w:id="0">
    <w:p w:rsidR="00E34814" w:rsidRDefault="00E3481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Default="00E34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Default="00E34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Default="00E34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13234"/>
    <w:multiLevelType w:val="hybridMultilevel"/>
    <w:tmpl w:val="449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94D10"/>
    <w:multiLevelType w:val="hybridMultilevel"/>
    <w:tmpl w:val="519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6080B"/>
    <w:multiLevelType w:val="hybridMultilevel"/>
    <w:tmpl w:val="772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D0492"/>
    <w:multiLevelType w:val="hybridMultilevel"/>
    <w:tmpl w:val="50647618"/>
    <w:lvl w:ilvl="0" w:tplc="AF42260E">
      <w:start w:val="3"/>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7"/>
  </w:num>
  <w:num w:numId="5">
    <w:abstractNumId w:val="34"/>
  </w:num>
  <w:num w:numId="6">
    <w:abstractNumId w:val="25"/>
  </w:num>
  <w:num w:numId="7">
    <w:abstractNumId w:val="11"/>
  </w:num>
  <w:num w:numId="8">
    <w:abstractNumId w:val="33"/>
  </w:num>
  <w:num w:numId="9">
    <w:abstractNumId w:val="4"/>
  </w:num>
  <w:num w:numId="10">
    <w:abstractNumId w:val="30"/>
  </w:num>
  <w:num w:numId="11">
    <w:abstractNumId w:val="14"/>
  </w:num>
  <w:num w:numId="12">
    <w:abstractNumId w:val="16"/>
  </w:num>
  <w:num w:numId="13">
    <w:abstractNumId w:val="23"/>
  </w:num>
  <w:num w:numId="14">
    <w:abstractNumId w:val="22"/>
  </w:num>
  <w:num w:numId="15">
    <w:abstractNumId w:val="27"/>
  </w:num>
  <w:num w:numId="16">
    <w:abstractNumId w:val="29"/>
  </w:num>
  <w:num w:numId="17">
    <w:abstractNumId w:val="5"/>
  </w:num>
  <w:num w:numId="18">
    <w:abstractNumId w:val="32"/>
  </w:num>
  <w:num w:numId="19">
    <w:abstractNumId w:val="19"/>
  </w:num>
  <w:num w:numId="20">
    <w:abstractNumId w:val="1"/>
  </w:num>
  <w:num w:numId="21">
    <w:abstractNumId w:val="0"/>
  </w:num>
  <w:num w:numId="22">
    <w:abstractNumId w:val="13"/>
  </w:num>
  <w:num w:numId="23">
    <w:abstractNumId w:val="28"/>
  </w:num>
  <w:num w:numId="24">
    <w:abstractNumId w:val="7"/>
  </w:num>
  <w:num w:numId="25">
    <w:abstractNumId w:val="26"/>
  </w:num>
  <w:num w:numId="26">
    <w:abstractNumId w:val="8"/>
  </w:num>
  <w:num w:numId="27">
    <w:abstractNumId w:val="12"/>
  </w:num>
  <w:num w:numId="28">
    <w:abstractNumId w:val="15"/>
  </w:num>
  <w:num w:numId="29">
    <w:abstractNumId w:val="2"/>
  </w:num>
  <w:num w:numId="30">
    <w:abstractNumId w:val="10"/>
  </w:num>
  <w:num w:numId="31">
    <w:abstractNumId w:val="21"/>
  </w:num>
  <w:num w:numId="32">
    <w:abstractNumId w:val="20"/>
  </w:num>
  <w:num w:numId="33">
    <w:abstractNumId w:val="31"/>
  </w:num>
  <w:num w:numId="34">
    <w:abstractNumId w:val="18"/>
  </w:num>
  <w:num w:numId="3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7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0D77"/>
    <w:rsid w:val="00BB134D"/>
    <w:rsid w:val="00BB2A4D"/>
    <w:rsid w:val="00BB2F5F"/>
    <w:rsid w:val="00BB3A0C"/>
    <w:rsid w:val="00BB3D35"/>
    <w:rsid w:val="00BB3D7A"/>
    <w:rsid w:val="00BB3DB6"/>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371" TargetMode="External"/><Relationship Id="rId13" Type="http://schemas.openxmlformats.org/officeDocument/2006/relationships/hyperlink" Target="http://canlii.ca/t/httrf" TargetMode="External"/><Relationship Id="rId18" Type="http://schemas.openxmlformats.org/officeDocument/2006/relationships/hyperlink" Target="https://www.canlii.org/fr/qc/qcca/doc/2020/2020qcca848/2020qcca848.html?autocompleteStr=500-10-006614-182&amp;autocompletePos=1" TargetMode="External"/><Relationship Id="rId26" Type="http://schemas.openxmlformats.org/officeDocument/2006/relationships/hyperlink" Target="https://www.canlii.org/en/bc/bcca/doc/2020/2020bcca47/2020bcca47.html?autocompleteStr=2020%20BCCA%2047&amp;autocompletePos=1" TargetMode="External"/><Relationship Id="rId3" Type="http://schemas.openxmlformats.org/officeDocument/2006/relationships/styles" Target="styles.xml"/><Relationship Id="rId21" Type="http://schemas.openxmlformats.org/officeDocument/2006/relationships/hyperlink" Target="https://www.canlii.org/en/ns/nssc/doc/2018/2018nssc194/2018nssc194.html?resultIndex=1"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9367" TargetMode="External"/><Relationship Id="rId17" Type="http://schemas.openxmlformats.org/officeDocument/2006/relationships/hyperlink" Target="https://www.canlii.org/fr/qc/qcca/doc/2020/2020qcca848/2020qcca848.html?autocompleteStr=500-10-006614-182&amp;autocompletePos=1" TargetMode="External"/><Relationship Id="rId25" Type="http://schemas.openxmlformats.org/officeDocument/2006/relationships/hyperlink" Target="https://www.canlii.org/en/bc/bcsc/doc/2018/2018bcsc2164/2018bcsc2164.html?autocompleteStr=2018%20BCSC%202164&amp;autocompletePos=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anlii.ca/t/j50sx" TargetMode="External"/><Relationship Id="rId20" Type="http://schemas.openxmlformats.org/officeDocument/2006/relationships/hyperlink" Target="https://www.canlii.org/en/ns/nsca/doc/2020/2020nsca50/2020nsca50.html?autocompleteStr=2020%20nsca%2050&amp;autocompletePos=1" TargetMode="External"/><Relationship Id="rId29"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336" TargetMode="External"/><Relationship Id="rId24" Type="http://schemas.openxmlformats.org/officeDocument/2006/relationships/hyperlink" Target="https://www.canlii.org/en/sk/skca/doc/2020/2020skca82/2020skca82.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lii.ca/t/httrf" TargetMode="External"/><Relationship Id="rId23" Type="http://schemas.openxmlformats.org/officeDocument/2006/relationships/hyperlink" Target="https://www.canlii.org/en/sk/skca/doc/2020/2020skca82/2020skca82.html" TargetMode="External"/><Relationship Id="rId28" Type="http://schemas.openxmlformats.org/officeDocument/2006/relationships/hyperlink" Target="https://www.canlii.org/en/bc/bcca/doc/2020/2020bcca47/2020bcca47.html?autocompleteStr=2020%20BCCA%2047&amp;autocompletePos=1" TargetMode="External"/><Relationship Id="rId36" Type="http://schemas.openxmlformats.org/officeDocument/2006/relationships/fontTable" Target="fontTable.xml"/><Relationship Id="rId10" Type="http://schemas.openxmlformats.org/officeDocument/2006/relationships/hyperlink" Target="https://www.scc-csc.ca/case-dossier/info/sum-som-eng.aspx?cas=39344" TargetMode="External"/><Relationship Id="rId19" Type="http://schemas.openxmlformats.org/officeDocument/2006/relationships/hyperlink" Target="https://www.canlii.org/en/ns/nssc/doc/2018/2018nssc194/2018nssc194.html?resultIndex=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fra.aspx?cas=39331" TargetMode="External"/><Relationship Id="rId14" Type="http://schemas.openxmlformats.org/officeDocument/2006/relationships/hyperlink" Target="http://canlii.ca/t/j50sx" TargetMode="External"/><Relationship Id="rId22" Type="http://schemas.openxmlformats.org/officeDocument/2006/relationships/hyperlink" Target="https://www.canlii.org/en/ns/nsca/doc/2020/2020nsca50/2020nsca50.html?autocompleteStr=2020%20nsca%2050&amp;autocompletePos=1" TargetMode="External"/><Relationship Id="rId27" Type="http://schemas.openxmlformats.org/officeDocument/2006/relationships/hyperlink" Target="https://www.canlii.org/en/bc/bcsc/doc/2018/2018bcsc2164/2018bcsc2164.html?autocompleteStr=2018%20BCSC%202164&amp;autocompletePos=1"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2CDB-BDDF-463B-8645-5B6D5EC2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4840</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32364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2021-01-29T15:47:00Z</dcterms:modified>
</cp:coreProperties>
</file>