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8065A3" w:rsidRDefault="000E391F" w:rsidP="000E391F">
      <w:pPr>
        <w:pStyle w:val="Header"/>
        <w:jc w:val="center"/>
        <w:rPr>
          <w:b/>
          <w:sz w:val="32"/>
        </w:rPr>
      </w:pPr>
      <w:r w:rsidRPr="008065A3">
        <w:rPr>
          <w:b/>
          <w:sz w:val="32"/>
        </w:rPr>
        <w:t>Supreme Court of Canada / Cour suprême du Canada</w:t>
      </w:r>
    </w:p>
    <w:p w:rsidR="000E391F" w:rsidRPr="008065A3" w:rsidRDefault="000E391F" w:rsidP="000E391F">
      <w:pPr>
        <w:widowControl w:val="0"/>
      </w:pPr>
    </w:p>
    <w:p w:rsidR="000E391F" w:rsidRPr="008065A3" w:rsidRDefault="000E391F" w:rsidP="000E391F">
      <w:pPr>
        <w:widowControl w:val="0"/>
        <w:rPr>
          <w:i/>
        </w:rPr>
      </w:pPr>
    </w:p>
    <w:p w:rsidR="006F2579" w:rsidRPr="008065A3" w:rsidRDefault="006F2579" w:rsidP="006F2579">
      <w:pPr>
        <w:widowControl w:val="0"/>
        <w:rPr>
          <w:i/>
          <w:sz w:val="20"/>
        </w:rPr>
      </w:pPr>
      <w:r w:rsidRPr="008065A3">
        <w:rPr>
          <w:i/>
          <w:sz w:val="20"/>
        </w:rPr>
        <w:t>(</w:t>
      </w:r>
      <w:r w:rsidR="003240B6" w:rsidRPr="008065A3">
        <w:rPr>
          <w:i/>
          <w:sz w:val="20"/>
        </w:rPr>
        <w:t>L</w:t>
      </w:r>
      <w:r w:rsidRPr="008065A3">
        <w:rPr>
          <w:i/>
          <w:sz w:val="20"/>
        </w:rPr>
        <w:t>e français suit)</w:t>
      </w:r>
    </w:p>
    <w:p w:rsidR="006F2579" w:rsidRPr="008065A3" w:rsidRDefault="006F2579" w:rsidP="006F2579">
      <w:pPr>
        <w:widowControl w:val="0"/>
      </w:pPr>
    </w:p>
    <w:p w:rsidR="006F2579" w:rsidRPr="008065A3" w:rsidRDefault="00B07908" w:rsidP="006F2579">
      <w:pPr>
        <w:widowControl w:val="0"/>
        <w:jc w:val="center"/>
        <w:rPr>
          <w:b/>
        </w:rPr>
      </w:pPr>
      <w:r w:rsidRPr="008065A3">
        <w:fldChar w:fldCharType="begin"/>
      </w:r>
      <w:r w:rsidR="006F2579" w:rsidRPr="008065A3">
        <w:instrText xml:space="preserve"> SEQ CHAPTER \h \r 1</w:instrText>
      </w:r>
      <w:r w:rsidRPr="008065A3">
        <w:fldChar w:fldCharType="end"/>
      </w:r>
      <w:r w:rsidR="006F2579" w:rsidRPr="008065A3">
        <w:rPr>
          <w:b/>
        </w:rPr>
        <w:t>JUDGMENT</w:t>
      </w:r>
      <w:r w:rsidR="00B17AAC" w:rsidRPr="008065A3">
        <w:rPr>
          <w:b/>
        </w:rPr>
        <w:t>S</w:t>
      </w:r>
      <w:r w:rsidR="006F2579" w:rsidRPr="008065A3">
        <w:rPr>
          <w:b/>
        </w:rPr>
        <w:t xml:space="preserve"> TO B</w:t>
      </w:r>
      <w:r w:rsidR="00001846" w:rsidRPr="008065A3">
        <w:rPr>
          <w:b/>
        </w:rPr>
        <w:t>E RENDERED IN LE</w:t>
      </w:r>
      <w:r w:rsidR="00A0288A" w:rsidRPr="008065A3">
        <w:rPr>
          <w:b/>
        </w:rPr>
        <w:t>A</w:t>
      </w:r>
      <w:r w:rsidR="00001846" w:rsidRPr="008065A3">
        <w:rPr>
          <w:b/>
        </w:rPr>
        <w:t>VE APPLICATION</w:t>
      </w:r>
      <w:r w:rsidR="00511288" w:rsidRPr="008065A3">
        <w:rPr>
          <w:b/>
        </w:rPr>
        <w:t>S</w:t>
      </w:r>
    </w:p>
    <w:p w:rsidR="006F2579" w:rsidRPr="008065A3" w:rsidRDefault="006F2579" w:rsidP="006F2579">
      <w:pPr>
        <w:widowControl w:val="0"/>
      </w:pPr>
    </w:p>
    <w:p w:rsidR="006F2579" w:rsidRPr="008065A3" w:rsidRDefault="008C3C00" w:rsidP="006F2579">
      <w:pPr>
        <w:widowControl w:val="0"/>
      </w:pPr>
      <w:r w:rsidRPr="008065A3">
        <w:rPr>
          <w:b/>
        </w:rPr>
        <w:t>February</w:t>
      </w:r>
      <w:r w:rsidR="00A15B66" w:rsidRPr="008065A3">
        <w:rPr>
          <w:b/>
        </w:rPr>
        <w:t xml:space="preserve"> </w:t>
      </w:r>
      <w:r w:rsidR="00E444F3" w:rsidRPr="008065A3">
        <w:rPr>
          <w:b/>
        </w:rPr>
        <w:t>8</w:t>
      </w:r>
      <w:r w:rsidR="004441C7" w:rsidRPr="008065A3">
        <w:rPr>
          <w:b/>
        </w:rPr>
        <w:t>,</w:t>
      </w:r>
      <w:r w:rsidR="006F2579" w:rsidRPr="008065A3">
        <w:rPr>
          <w:b/>
        </w:rPr>
        <w:t xml:space="preserve"> </w:t>
      </w:r>
      <w:r w:rsidR="0054689F" w:rsidRPr="008065A3">
        <w:rPr>
          <w:b/>
        </w:rPr>
        <w:t>20</w:t>
      </w:r>
      <w:r w:rsidR="00526754" w:rsidRPr="008065A3">
        <w:rPr>
          <w:b/>
        </w:rPr>
        <w:t>2</w:t>
      </w:r>
      <w:r w:rsidR="0068416C" w:rsidRPr="008065A3">
        <w:rPr>
          <w:b/>
        </w:rPr>
        <w:t>1</w:t>
      </w:r>
    </w:p>
    <w:p w:rsidR="006F2579" w:rsidRPr="008065A3" w:rsidRDefault="00674F39" w:rsidP="006F2579">
      <w:pPr>
        <w:widowControl w:val="0"/>
        <w:rPr>
          <w:b/>
        </w:rPr>
      </w:pPr>
      <w:r w:rsidRPr="008065A3">
        <w:rPr>
          <w:b/>
        </w:rPr>
        <w:t>For immediate release</w:t>
      </w:r>
    </w:p>
    <w:p w:rsidR="006F2579" w:rsidRPr="008065A3" w:rsidRDefault="006F2579" w:rsidP="006F2579">
      <w:pPr>
        <w:widowControl w:val="0"/>
      </w:pPr>
    </w:p>
    <w:p w:rsidR="006F2579" w:rsidRPr="008065A3" w:rsidRDefault="006F2579" w:rsidP="006F2579">
      <w:pPr>
        <w:widowControl w:val="0"/>
        <w:rPr>
          <w:lang w:val="fr-CA"/>
        </w:rPr>
      </w:pPr>
      <w:r w:rsidRPr="008065A3">
        <w:rPr>
          <w:b/>
        </w:rPr>
        <w:t>OTTAWA</w:t>
      </w:r>
      <w:r w:rsidRPr="008065A3">
        <w:t xml:space="preserve"> – The Supreme Court of Canad</w:t>
      </w:r>
      <w:r w:rsidR="006246E4" w:rsidRPr="008065A3">
        <w:t>a</w:t>
      </w:r>
      <w:r w:rsidRPr="008065A3">
        <w:t xml:space="preserve"> announced today that judgment in the following </w:t>
      </w:r>
      <w:r w:rsidR="00DB6199" w:rsidRPr="008065A3">
        <w:t xml:space="preserve">leave applications </w:t>
      </w:r>
      <w:r w:rsidRPr="008065A3">
        <w:t xml:space="preserve">will be delivered at 9:45 a.m. </w:t>
      </w:r>
      <w:r w:rsidR="00E05816" w:rsidRPr="008065A3">
        <w:t>E</w:t>
      </w:r>
      <w:r w:rsidR="004C631D" w:rsidRPr="008065A3">
        <w:t>S</w:t>
      </w:r>
      <w:r w:rsidR="00E05816" w:rsidRPr="008065A3">
        <w:t>T</w:t>
      </w:r>
      <w:r w:rsidRPr="008065A3">
        <w:t xml:space="preserve"> on </w:t>
      </w:r>
      <w:r w:rsidR="0068416C" w:rsidRPr="008065A3">
        <w:t>Thursday</w:t>
      </w:r>
      <w:r w:rsidRPr="008065A3">
        <w:t xml:space="preserve">, </w:t>
      </w:r>
      <w:r w:rsidR="008C3C00" w:rsidRPr="008065A3">
        <w:t>February</w:t>
      </w:r>
      <w:r w:rsidR="00455912" w:rsidRPr="008065A3">
        <w:t xml:space="preserve"> </w:t>
      </w:r>
      <w:r w:rsidR="00E444F3" w:rsidRPr="008065A3">
        <w:t>11</w:t>
      </w:r>
      <w:r w:rsidR="007E112F" w:rsidRPr="008065A3">
        <w:t>,</w:t>
      </w:r>
      <w:r w:rsidR="002F38D7" w:rsidRPr="008065A3">
        <w:t xml:space="preserve"> </w:t>
      </w:r>
      <w:r w:rsidR="006648D1" w:rsidRPr="008065A3">
        <w:t>20</w:t>
      </w:r>
      <w:r w:rsidR="00526754" w:rsidRPr="008065A3">
        <w:t>2</w:t>
      </w:r>
      <w:r w:rsidR="00DD65CF" w:rsidRPr="008065A3">
        <w:t>1</w:t>
      </w:r>
      <w:r w:rsidRPr="008065A3">
        <w:t xml:space="preserve">. </w:t>
      </w:r>
      <w:r w:rsidRPr="008065A3">
        <w:rPr>
          <w:lang w:val="fr-CA"/>
        </w:rPr>
        <w:t>This list is subject to chang</w:t>
      </w:r>
      <w:r w:rsidR="00192F7F" w:rsidRPr="008065A3">
        <w:rPr>
          <w:lang w:val="fr-CA"/>
        </w:rPr>
        <w:t>e</w:t>
      </w:r>
      <w:r w:rsidRPr="008065A3">
        <w:rPr>
          <w:lang w:val="fr-CA"/>
        </w:rPr>
        <w:t>.</w:t>
      </w:r>
    </w:p>
    <w:p w:rsidR="00FF5AA4" w:rsidRPr="008065A3" w:rsidRDefault="00FF5AA4" w:rsidP="006F2579">
      <w:pPr>
        <w:widowControl w:val="0"/>
        <w:rPr>
          <w:lang w:val="fr-CA"/>
        </w:rPr>
      </w:pPr>
    </w:p>
    <w:p w:rsidR="00B43418" w:rsidRPr="008065A3" w:rsidRDefault="00B43418" w:rsidP="006F2579">
      <w:pPr>
        <w:widowControl w:val="0"/>
        <w:rPr>
          <w:lang w:val="fr-CA"/>
        </w:rPr>
      </w:pPr>
    </w:p>
    <w:p w:rsidR="006F2579" w:rsidRPr="008065A3" w:rsidRDefault="006F2579" w:rsidP="006F2579">
      <w:pPr>
        <w:widowControl w:val="0"/>
        <w:jc w:val="center"/>
        <w:rPr>
          <w:lang w:val="fr-CA"/>
        </w:rPr>
      </w:pPr>
      <w:r w:rsidRPr="008065A3">
        <w:rPr>
          <w:b/>
          <w:lang w:val="fr-CA"/>
        </w:rPr>
        <w:t>PROCHAIN</w:t>
      </w:r>
      <w:r w:rsidR="00B17AAC" w:rsidRPr="008065A3">
        <w:rPr>
          <w:b/>
          <w:lang w:val="fr-CA"/>
        </w:rPr>
        <w:t>S</w:t>
      </w:r>
      <w:r w:rsidRPr="008065A3">
        <w:rPr>
          <w:b/>
          <w:lang w:val="fr-CA"/>
        </w:rPr>
        <w:t xml:space="preserve"> JUGEMENT</w:t>
      </w:r>
      <w:r w:rsidR="00B17AAC" w:rsidRPr="008065A3">
        <w:rPr>
          <w:b/>
          <w:lang w:val="fr-CA"/>
        </w:rPr>
        <w:t>S</w:t>
      </w:r>
      <w:r w:rsidR="00001846" w:rsidRPr="008065A3">
        <w:rPr>
          <w:b/>
          <w:lang w:val="fr-CA"/>
        </w:rPr>
        <w:t xml:space="preserve"> SUR DEMANDE</w:t>
      </w:r>
      <w:r w:rsidR="00B17AAC" w:rsidRPr="008065A3">
        <w:rPr>
          <w:b/>
          <w:lang w:val="fr-CA"/>
        </w:rPr>
        <w:t>S</w:t>
      </w:r>
      <w:r w:rsidRPr="008065A3">
        <w:rPr>
          <w:b/>
          <w:lang w:val="fr-CA"/>
        </w:rPr>
        <w:t xml:space="preserve"> D’AUTORISATION</w:t>
      </w:r>
    </w:p>
    <w:p w:rsidR="006F2579" w:rsidRPr="008065A3" w:rsidRDefault="006F2579" w:rsidP="006F2579">
      <w:pPr>
        <w:widowControl w:val="0"/>
        <w:rPr>
          <w:lang w:val="fr-CA"/>
        </w:rPr>
      </w:pPr>
    </w:p>
    <w:p w:rsidR="006F2579" w:rsidRPr="008065A3" w:rsidRDefault="006F2579" w:rsidP="006F2579">
      <w:pPr>
        <w:widowControl w:val="0"/>
        <w:rPr>
          <w:lang w:val="fr-CA"/>
        </w:rPr>
      </w:pPr>
      <w:r w:rsidRPr="008065A3">
        <w:rPr>
          <w:b/>
          <w:lang w:val="fr-CA"/>
        </w:rPr>
        <w:t>Le</w:t>
      </w:r>
      <w:r w:rsidR="00957A76" w:rsidRPr="008065A3">
        <w:rPr>
          <w:b/>
          <w:lang w:val="fr-CA"/>
        </w:rPr>
        <w:t xml:space="preserve"> </w:t>
      </w:r>
      <w:r w:rsidR="00E444F3" w:rsidRPr="008065A3">
        <w:rPr>
          <w:b/>
          <w:lang w:val="fr-CA"/>
        </w:rPr>
        <w:t>8</w:t>
      </w:r>
      <w:r w:rsidR="008C3C00" w:rsidRPr="008065A3">
        <w:rPr>
          <w:b/>
          <w:lang w:val="fr-CA"/>
        </w:rPr>
        <w:t xml:space="preserve"> févr</w:t>
      </w:r>
      <w:r w:rsidR="0068416C" w:rsidRPr="008065A3">
        <w:rPr>
          <w:b/>
          <w:lang w:val="fr-CA"/>
        </w:rPr>
        <w:t>ier</w:t>
      </w:r>
      <w:r w:rsidR="00A151D1" w:rsidRPr="008065A3">
        <w:rPr>
          <w:b/>
          <w:lang w:val="fr-CA"/>
        </w:rPr>
        <w:t xml:space="preserve"> 20</w:t>
      </w:r>
      <w:r w:rsidR="00526754" w:rsidRPr="008065A3">
        <w:rPr>
          <w:b/>
          <w:lang w:val="fr-CA"/>
        </w:rPr>
        <w:t>2</w:t>
      </w:r>
      <w:r w:rsidR="0068416C" w:rsidRPr="008065A3">
        <w:rPr>
          <w:b/>
          <w:lang w:val="fr-CA"/>
        </w:rPr>
        <w:t>1</w:t>
      </w:r>
    </w:p>
    <w:p w:rsidR="006F2579" w:rsidRPr="008065A3" w:rsidRDefault="006F2579" w:rsidP="006F2579">
      <w:pPr>
        <w:widowControl w:val="0"/>
        <w:rPr>
          <w:b/>
          <w:lang w:val="fr-CA"/>
        </w:rPr>
      </w:pPr>
      <w:r w:rsidRPr="008065A3">
        <w:rPr>
          <w:b/>
          <w:lang w:val="fr-CA"/>
        </w:rPr>
        <w:t>Pour diffusion immédiate</w:t>
      </w:r>
    </w:p>
    <w:p w:rsidR="006F2579" w:rsidRPr="008065A3" w:rsidRDefault="006F2579" w:rsidP="006F2579">
      <w:pPr>
        <w:widowControl w:val="0"/>
        <w:rPr>
          <w:lang w:val="fr-CA"/>
        </w:rPr>
      </w:pPr>
    </w:p>
    <w:p w:rsidR="006F2579" w:rsidRPr="008065A3" w:rsidRDefault="006F2579" w:rsidP="006F2579">
      <w:pPr>
        <w:widowControl w:val="0"/>
        <w:rPr>
          <w:lang w:val="fr-CA"/>
        </w:rPr>
      </w:pPr>
      <w:r w:rsidRPr="008065A3">
        <w:rPr>
          <w:b/>
          <w:lang w:val="fr-CA"/>
        </w:rPr>
        <w:t>OTTAWA</w:t>
      </w:r>
      <w:r w:rsidRPr="008065A3">
        <w:rPr>
          <w:lang w:val="fr-CA"/>
        </w:rPr>
        <w:t xml:space="preserve"> – La Cour suprême du Canada annonce que jugement ser</w:t>
      </w:r>
      <w:r w:rsidR="004259F9" w:rsidRPr="008065A3">
        <w:rPr>
          <w:lang w:val="fr-CA"/>
        </w:rPr>
        <w:t>a</w:t>
      </w:r>
      <w:r w:rsidRPr="008065A3">
        <w:rPr>
          <w:lang w:val="fr-CA"/>
        </w:rPr>
        <w:t xml:space="preserve"> rendu dans l</w:t>
      </w:r>
      <w:r w:rsidR="008600ED" w:rsidRPr="008065A3">
        <w:rPr>
          <w:lang w:val="fr-CA"/>
        </w:rPr>
        <w:t>es</w:t>
      </w:r>
      <w:r w:rsidRPr="008065A3">
        <w:rPr>
          <w:lang w:val="fr-CA"/>
        </w:rPr>
        <w:t xml:space="preserve"> demande</w:t>
      </w:r>
      <w:r w:rsidR="008600ED" w:rsidRPr="008065A3">
        <w:rPr>
          <w:lang w:val="fr-CA"/>
        </w:rPr>
        <w:t>s</w:t>
      </w:r>
      <w:r w:rsidRPr="008065A3">
        <w:rPr>
          <w:lang w:val="fr-CA"/>
        </w:rPr>
        <w:t xml:space="preserve"> d</w:t>
      </w:r>
      <w:r w:rsidR="00001846" w:rsidRPr="008065A3">
        <w:rPr>
          <w:lang w:val="fr-CA"/>
        </w:rPr>
        <w:t>’autorisation suivante</w:t>
      </w:r>
      <w:r w:rsidR="008600ED" w:rsidRPr="008065A3">
        <w:rPr>
          <w:lang w:val="fr-CA"/>
        </w:rPr>
        <w:t>s</w:t>
      </w:r>
      <w:r w:rsidRPr="008065A3">
        <w:rPr>
          <w:lang w:val="fr-CA"/>
        </w:rPr>
        <w:t xml:space="preserve"> le </w:t>
      </w:r>
      <w:r w:rsidR="0068416C" w:rsidRPr="008065A3">
        <w:rPr>
          <w:lang w:val="fr-CA"/>
        </w:rPr>
        <w:t>jeudi</w:t>
      </w:r>
      <w:r w:rsidRPr="008065A3">
        <w:rPr>
          <w:lang w:val="fr-CA"/>
        </w:rPr>
        <w:t xml:space="preserve"> </w:t>
      </w:r>
      <w:r w:rsidR="00E444F3" w:rsidRPr="008065A3">
        <w:rPr>
          <w:lang w:val="fr-CA"/>
        </w:rPr>
        <w:t>11</w:t>
      </w:r>
      <w:r w:rsidR="00466302" w:rsidRPr="008065A3">
        <w:rPr>
          <w:lang w:val="fr-CA"/>
        </w:rPr>
        <w:t xml:space="preserve"> </w:t>
      </w:r>
      <w:r w:rsidR="008C3C00" w:rsidRPr="008065A3">
        <w:rPr>
          <w:lang w:val="fr-CA"/>
        </w:rPr>
        <w:t>févr</w:t>
      </w:r>
      <w:r w:rsidR="0068416C" w:rsidRPr="008065A3">
        <w:rPr>
          <w:lang w:val="fr-CA"/>
        </w:rPr>
        <w:t>ier</w:t>
      </w:r>
      <w:r w:rsidR="00694391" w:rsidRPr="008065A3">
        <w:rPr>
          <w:lang w:val="fr-CA"/>
        </w:rPr>
        <w:t xml:space="preserve"> 2</w:t>
      </w:r>
      <w:r w:rsidR="006648D1" w:rsidRPr="008065A3">
        <w:rPr>
          <w:lang w:val="fr-CA"/>
        </w:rPr>
        <w:t>0</w:t>
      </w:r>
      <w:r w:rsidR="00526754" w:rsidRPr="008065A3">
        <w:rPr>
          <w:lang w:val="fr-CA"/>
        </w:rPr>
        <w:t>2</w:t>
      </w:r>
      <w:r w:rsidR="0068416C" w:rsidRPr="008065A3">
        <w:rPr>
          <w:lang w:val="fr-CA"/>
        </w:rPr>
        <w:t>1</w:t>
      </w:r>
      <w:r w:rsidRPr="008065A3">
        <w:rPr>
          <w:lang w:val="fr-CA"/>
        </w:rPr>
        <w:t xml:space="preserve">, à 9 h 45 </w:t>
      </w:r>
      <w:r w:rsidR="000627A2" w:rsidRPr="008065A3">
        <w:rPr>
          <w:lang w:val="fr-CA"/>
        </w:rPr>
        <w:t>H</w:t>
      </w:r>
      <w:r w:rsidR="004C631D" w:rsidRPr="008065A3">
        <w:rPr>
          <w:lang w:val="fr-CA"/>
        </w:rPr>
        <w:t>N</w:t>
      </w:r>
      <w:r w:rsidRPr="008065A3">
        <w:rPr>
          <w:lang w:val="fr-CA"/>
        </w:rPr>
        <w:t>E. Cette liste est sujette à modifications.</w:t>
      </w:r>
    </w:p>
    <w:p w:rsidR="0080556B" w:rsidRPr="008065A3" w:rsidRDefault="0080556B" w:rsidP="009B14F4">
      <w:pPr>
        <w:widowControl w:val="0"/>
        <w:jc w:val="both"/>
        <w:rPr>
          <w:sz w:val="20"/>
          <w:lang w:val="fr-CA"/>
        </w:rPr>
      </w:pPr>
    </w:p>
    <w:p w:rsidR="00867C61" w:rsidRPr="008065A3" w:rsidRDefault="00E3334E" w:rsidP="009B14F4">
      <w:pPr>
        <w:widowControl w:val="0"/>
        <w:jc w:val="both"/>
        <w:rPr>
          <w:sz w:val="20"/>
        </w:rPr>
      </w:pPr>
      <w:r w:rsidRPr="008065A3">
        <w:rPr>
          <w:sz w:val="20"/>
        </w:rPr>
        <w:pict>
          <v:rect id="_x0000_i1025" style="width:2in;height:1pt" o:hrpct="0" o:hralign="center" o:hrstd="t" o:hrnoshade="t" o:hr="t" fillcolor="black [3213]" stroked="f"/>
        </w:pict>
      </w:r>
    </w:p>
    <w:p w:rsidR="00E444F3" w:rsidRPr="008065A3" w:rsidRDefault="00E444F3" w:rsidP="00E444F3">
      <w:pPr>
        <w:rPr>
          <w:sz w:val="20"/>
          <w:lang w:val="fr-CA"/>
        </w:rPr>
      </w:pPr>
    </w:p>
    <w:p w:rsidR="00416DC5" w:rsidRPr="008065A3" w:rsidRDefault="00416DC5" w:rsidP="00416DC5">
      <w:pPr>
        <w:pStyle w:val="ListParagraph"/>
        <w:numPr>
          <w:ilvl w:val="0"/>
          <w:numId w:val="37"/>
        </w:numPr>
        <w:tabs>
          <w:tab w:val="left" w:pos="0"/>
          <w:tab w:val="left" w:pos="426"/>
          <w:tab w:val="left" w:pos="720"/>
          <w:tab w:val="left" w:pos="1440"/>
          <w:tab w:val="left" w:pos="2160"/>
          <w:tab w:val="left" w:pos="2880"/>
        </w:tabs>
        <w:ind w:left="357" w:hanging="357"/>
        <w:rPr>
          <w:sz w:val="20"/>
        </w:rPr>
      </w:pPr>
      <w:r w:rsidRPr="008065A3">
        <w:rPr>
          <w:i/>
          <w:sz w:val="20"/>
        </w:rPr>
        <w:t>Safa Malakpour v. Her Majesty the Queen</w:t>
      </w:r>
      <w:r w:rsidRPr="008065A3">
        <w:rPr>
          <w:sz w:val="20"/>
        </w:rPr>
        <w:t xml:space="preserve"> (B.C.) (Criminal) (By Leave) (</w:t>
      </w:r>
      <w:hyperlink r:id="rId8" w:history="1">
        <w:r w:rsidRPr="008065A3">
          <w:rPr>
            <w:rStyle w:val="Hyperlink"/>
            <w:sz w:val="20"/>
            <w:szCs w:val="20"/>
          </w:rPr>
          <w:t>39247</w:t>
        </w:r>
      </w:hyperlink>
      <w:r w:rsidRPr="008065A3">
        <w:rPr>
          <w:sz w:val="20"/>
        </w:rPr>
        <w:t>)</w:t>
      </w:r>
    </w:p>
    <w:p w:rsidR="00E444F3" w:rsidRPr="008065A3" w:rsidRDefault="00E444F3" w:rsidP="002F2385">
      <w:pPr>
        <w:ind w:left="357" w:hanging="357"/>
        <w:rPr>
          <w:sz w:val="20"/>
        </w:rPr>
      </w:pPr>
    </w:p>
    <w:p w:rsidR="00416DC5" w:rsidRPr="008065A3" w:rsidRDefault="00416DC5" w:rsidP="00416DC5">
      <w:pPr>
        <w:pStyle w:val="ListParagraph"/>
        <w:numPr>
          <w:ilvl w:val="0"/>
          <w:numId w:val="37"/>
        </w:numPr>
        <w:ind w:left="357" w:hanging="357"/>
        <w:rPr>
          <w:sz w:val="20"/>
        </w:rPr>
      </w:pPr>
      <w:r w:rsidRPr="008065A3">
        <w:rPr>
          <w:i/>
          <w:sz w:val="20"/>
        </w:rPr>
        <w:t>Fernando Berardini inc. c. Accuracy Canada inc.</w:t>
      </w:r>
      <w:r w:rsidRPr="008065A3">
        <w:rPr>
          <w:sz w:val="20"/>
        </w:rPr>
        <w:t xml:space="preserve"> (Qc) (Civile) (Autorisation) (</w:t>
      </w:r>
      <w:hyperlink r:id="rId9" w:history="1">
        <w:r w:rsidRPr="008065A3">
          <w:rPr>
            <w:rStyle w:val="Hyperlink"/>
            <w:sz w:val="20"/>
            <w:szCs w:val="20"/>
          </w:rPr>
          <w:t>393</w:t>
        </w:r>
        <w:r w:rsidR="00282861" w:rsidRPr="008065A3">
          <w:rPr>
            <w:rStyle w:val="Hyperlink"/>
            <w:sz w:val="20"/>
            <w:szCs w:val="20"/>
          </w:rPr>
          <w:t>69</w:t>
        </w:r>
      </w:hyperlink>
      <w:r w:rsidRPr="008065A3">
        <w:rPr>
          <w:sz w:val="20"/>
        </w:rPr>
        <w:t>)</w:t>
      </w:r>
    </w:p>
    <w:p w:rsidR="00416DC5" w:rsidRPr="008065A3" w:rsidRDefault="00416DC5" w:rsidP="002F2385">
      <w:pPr>
        <w:ind w:left="357" w:hanging="357"/>
        <w:rPr>
          <w:sz w:val="20"/>
        </w:rPr>
      </w:pPr>
    </w:p>
    <w:p w:rsidR="00E444F3" w:rsidRPr="008065A3" w:rsidRDefault="00E444F3" w:rsidP="002F2385">
      <w:pPr>
        <w:pStyle w:val="ListParagraph"/>
        <w:numPr>
          <w:ilvl w:val="0"/>
          <w:numId w:val="37"/>
        </w:numPr>
        <w:ind w:left="357" w:hanging="357"/>
        <w:rPr>
          <w:sz w:val="20"/>
        </w:rPr>
      </w:pPr>
      <w:r w:rsidRPr="008065A3">
        <w:rPr>
          <w:i/>
          <w:sz w:val="20"/>
        </w:rPr>
        <w:t>Co-operators General Insurance Company v. Le Treport Wedding &amp; Convention Centre Ltd.</w:t>
      </w:r>
      <w:r w:rsidRPr="008065A3">
        <w:rPr>
          <w:sz w:val="20"/>
        </w:rPr>
        <w:t xml:space="preserve"> (Ont.) (Civil) (By Leave) (</w:t>
      </w:r>
      <w:hyperlink r:id="rId10" w:history="1">
        <w:r w:rsidRPr="008065A3">
          <w:rPr>
            <w:rStyle w:val="Hyperlink"/>
            <w:sz w:val="20"/>
            <w:szCs w:val="20"/>
          </w:rPr>
          <w:t>393</w:t>
        </w:r>
        <w:r w:rsidR="00282861" w:rsidRPr="008065A3">
          <w:rPr>
            <w:rStyle w:val="Hyperlink"/>
            <w:sz w:val="20"/>
            <w:szCs w:val="20"/>
          </w:rPr>
          <w:t>58</w:t>
        </w:r>
      </w:hyperlink>
      <w:r w:rsidRPr="008065A3">
        <w:rPr>
          <w:sz w:val="20"/>
        </w:rPr>
        <w:t>)</w:t>
      </w:r>
    </w:p>
    <w:p w:rsidR="00E444F3" w:rsidRPr="008065A3" w:rsidRDefault="00E444F3" w:rsidP="002F2385">
      <w:pPr>
        <w:ind w:left="357" w:hanging="357"/>
        <w:rPr>
          <w:sz w:val="20"/>
        </w:rPr>
      </w:pPr>
    </w:p>
    <w:p w:rsidR="00E444F3" w:rsidRPr="008065A3" w:rsidRDefault="00E444F3" w:rsidP="002F2385">
      <w:pPr>
        <w:pStyle w:val="ListParagraph"/>
        <w:numPr>
          <w:ilvl w:val="0"/>
          <w:numId w:val="37"/>
        </w:numPr>
        <w:ind w:left="357" w:hanging="357"/>
        <w:rPr>
          <w:sz w:val="20"/>
        </w:rPr>
      </w:pPr>
      <w:r w:rsidRPr="008065A3">
        <w:rPr>
          <w:i/>
          <w:sz w:val="20"/>
        </w:rPr>
        <w:t xml:space="preserve">SSAB Alabama Inc., </w:t>
      </w:r>
      <w:r w:rsidR="00211BCE" w:rsidRPr="008065A3">
        <w:rPr>
          <w:i/>
          <w:sz w:val="20"/>
        </w:rPr>
        <w:t>et al.</w:t>
      </w:r>
      <w:r w:rsidRPr="008065A3">
        <w:rPr>
          <w:i/>
          <w:sz w:val="20"/>
        </w:rPr>
        <w:t xml:space="preserve"> v. Canadian National Railway Company</w:t>
      </w:r>
      <w:r w:rsidRPr="008065A3">
        <w:rPr>
          <w:sz w:val="20"/>
        </w:rPr>
        <w:t xml:space="preserve"> (Sask.) (Civil) (By Leave) (</w:t>
      </w:r>
      <w:hyperlink r:id="rId11" w:history="1">
        <w:r w:rsidRPr="008065A3">
          <w:rPr>
            <w:rStyle w:val="Hyperlink"/>
            <w:sz w:val="20"/>
            <w:szCs w:val="20"/>
          </w:rPr>
          <w:t>393</w:t>
        </w:r>
        <w:r w:rsidR="00211BCE" w:rsidRPr="008065A3">
          <w:rPr>
            <w:rStyle w:val="Hyperlink"/>
            <w:sz w:val="20"/>
            <w:szCs w:val="20"/>
          </w:rPr>
          <w:t>62</w:t>
        </w:r>
      </w:hyperlink>
      <w:r w:rsidRPr="008065A3">
        <w:rPr>
          <w:sz w:val="20"/>
        </w:rPr>
        <w:t>)</w:t>
      </w:r>
    </w:p>
    <w:p w:rsidR="00E444F3" w:rsidRPr="008065A3" w:rsidRDefault="00E444F3" w:rsidP="002F2385">
      <w:pPr>
        <w:ind w:left="357" w:hanging="357"/>
        <w:rPr>
          <w:sz w:val="20"/>
        </w:rPr>
      </w:pPr>
    </w:p>
    <w:p w:rsidR="00E444F3" w:rsidRPr="008065A3" w:rsidRDefault="00E444F3" w:rsidP="002F2385">
      <w:pPr>
        <w:pStyle w:val="ListParagraph"/>
        <w:numPr>
          <w:ilvl w:val="0"/>
          <w:numId w:val="37"/>
        </w:numPr>
        <w:ind w:left="357" w:hanging="357"/>
        <w:rPr>
          <w:i/>
          <w:sz w:val="20"/>
          <w:lang w:val="fr-CA"/>
        </w:rPr>
      </w:pPr>
      <w:r w:rsidRPr="008065A3">
        <w:rPr>
          <w:i/>
          <w:sz w:val="20"/>
          <w:lang w:val="fr-CA"/>
        </w:rPr>
        <w:t>Complexe Commercial de l'Île inc. c. Provigo Distribution Inc.</w:t>
      </w:r>
      <w:r w:rsidR="00211BCE" w:rsidRPr="008065A3">
        <w:rPr>
          <w:sz w:val="20"/>
          <w:lang w:val="fr-CA"/>
        </w:rPr>
        <w:t xml:space="preserve"> </w:t>
      </w:r>
      <w:r w:rsidRPr="008065A3">
        <w:rPr>
          <w:sz w:val="20"/>
          <w:lang w:val="fr-CA"/>
        </w:rPr>
        <w:t>(Qc) (Civile) (Autorisation) (</w:t>
      </w:r>
      <w:hyperlink r:id="rId12" w:history="1">
        <w:r w:rsidRPr="008065A3">
          <w:rPr>
            <w:rStyle w:val="Hyperlink"/>
            <w:sz w:val="20"/>
            <w:szCs w:val="20"/>
            <w:lang w:val="fr-CA"/>
          </w:rPr>
          <w:t>3937</w:t>
        </w:r>
        <w:r w:rsidR="00211BCE" w:rsidRPr="008065A3">
          <w:rPr>
            <w:rStyle w:val="Hyperlink"/>
            <w:sz w:val="20"/>
            <w:szCs w:val="20"/>
            <w:lang w:val="fr-CA"/>
          </w:rPr>
          <w:t>5</w:t>
        </w:r>
      </w:hyperlink>
      <w:r w:rsidRPr="008065A3">
        <w:rPr>
          <w:sz w:val="20"/>
          <w:lang w:val="fr-CA"/>
        </w:rPr>
        <w:t>)</w:t>
      </w:r>
    </w:p>
    <w:p w:rsidR="00E444F3" w:rsidRPr="008065A3" w:rsidRDefault="00E444F3" w:rsidP="002F2385">
      <w:pPr>
        <w:ind w:left="357" w:hanging="357"/>
        <w:rPr>
          <w:sz w:val="20"/>
          <w:lang w:val="fr-CA"/>
        </w:rPr>
      </w:pPr>
    </w:p>
    <w:p w:rsidR="00E444F3" w:rsidRPr="008065A3" w:rsidRDefault="00E444F3" w:rsidP="002F2385">
      <w:pPr>
        <w:pStyle w:val="ListParagraph"/>
        <w:numPr>
          <w:ilvl w:val="0"/>
          <w:numId w:val="37"/>
        </w:numPr>
        <w:ind w:left="357" w:hanging="357"/>
        <w:rPr>
          <w:sz w:val="20"/>
          <w:lang w:val="en-CA"/>
        </w:rPr>
      </w:pPr>
      <w:r w:rsidRPr="008065A3">
        <w:rPr>
          <w:i/>
          <w:sz w:val="20"/>
          <w:lang w:val="en-CA"/>
        </w:rPr>
        <w:t xml:space="preserve">Senator Michael Dennis Duffy v. Senate of Canada, </w:t>
      </w:r>
      <w:r w:rsidR="001D3DE8" w:rsidRPr="008065A3">
        <w:rPr>
          <w:i/>
          <w:sz w:val="20"/>
          <w:lang w:val="en-CA"/>
        </w:rPr>
        <w:t>et al.</w:t>
      </w:r>
      <w:r w:rsidRPr="008065A3">
        <w:rPr>
          <w:i/>
          <w:sz w:val="20"/>
          <w:lang w:val="en-CA"/>
        </w:rPr>
        <w:t xml:space="preserve"> </w:t>
      </w:r>
      <w:r w:rsidRPr="008065A3">
        <w:rPr>
          <w:sz w:val="20"/>
          <w:lang w:val="en-CA"/>
        </w:rPr>
        <w:t xml:space="preserve">(Ont.) (Civil) (By Leave) </w:t>
      </w:r>
      <w:r w:rsidR="002F2385" w:rsidRPr="008065A3">
        <w:rPr>
          <w:sz w:val="20"/>
        </w:rPr>
        <w:t>(</w:t>
      </w:r>
      <w:hyperlink r:id="rId13" w:history="1">
        <w:r w:rsidR="002F2385" w:rsidRPr="008065A3">
          <w:rPr>
            <w:rStyle w:val="Hyperlink"/>
            <w:sz w:val="20"/>
            <w:szCs w:val="20"/>
          </w:rPr>
          <w:t>393</w:t>
        </w:r>
        <w:r w:rsidR="001D3DE8" w:rsidRPr="008065A3">
          <w:rPr>
            <w:rStyle w:val="Hyperlink"/>
            <w:sz w:val="20"/>
            <w:szCs w:val="20"/>
          </w:rPr>
          <w:t>6</w:t>
        </w:r>
        <w:r w:rsidR="002F2385" w:rsidRPr="008065A3">
          <w:rPr>
            <w:rStyle w:val="Hyperlink"/>
            <w:sz w:val="20"/>
            <w:szCs w:val="20"/>
          </w:rPr>
          <w:t>1</w:t>
        </w:r>
      </w:hyperlink>
      <w:r w:rsidR="002F2385" w:rsidRPr="008065A3">
        <w:rPr>
          <w:sz w:val="20"/>
        </w:rPr>
        <w:t>)</w:t>
      </w:r>
    </w:p>
    <w:p w:rsidR="00E444F3" w:rsidRPr="008065A3" w:rsidRDefault="00E444F3" w:rsidP="002F2385">
      <w:pPr>
        <w:ind w:left="357" w:hanging="357"/>
        <w:rPr>
          <w:rFonts w:eastAsiaTheme="minorHAnsi" w:cstheme="minorBidi"/>
          <w:sz w:val="20"/>
          <w:lang w:val="en-CA"/>
        </w:rPr>
      </w:pPr>
    </w:p>
    <w:p w:rsidR="00E444F3" w:rsidRPr="008065A3" w:rsidRDefault="00E444F3" w:rsidP="002F2385">
      <w:pPr>
        <w:pStyle w:val="ListParagraph"/>
        <w:numPr>
          <w:ilvl w:val="0"/>
          <w:numId w:val="37"/>
        </w:numPr>
        <w:ind w:left="357" w:hanging="357"/>
        <w:rPr>
          <w:sz w:val="20"/>
          <w:lang w:val="en-CA"/>
        </w:rPr>
      </w:pPr>
      <w:r w:rsidRPr="008065A3">
        <w:rPr>
          <w:i/>
          <w:sz w:val="20"/>
          <w:lang w:val="en-CA"/>
        </w:rPr>
        <w:t>Nathan Paul Gervais v. Her Majesty the Queen</w:t>
      </w:r>
      <w:r w:rsidRPr="008065A3">
        <w:rPr>
          <w:sz w:val="20"/>
          <w:lang w:val="en-CA"/>
        </w:rPr>
        <w:t xml:space="preserve"> (Alta.) (Criminal) (By Leave) </w:t>
      </w:r>
      <w:r w:rsidR="002F2385" w:rsidRPr="008065A3">
        <w:rPr>
          <w:sz w:val="20"/>
          <w:lang w:val="fr-CA"/>
        </w:rPr>
        <w:t>(</w:t>
      </w:r>
      <w:hyperlink r:id="rId14" w:history="1">
        <w:r w:rsidR="002F2385" w:rsidRPr="008065A3">
          <w:rPr>
            <w:rStyle w:val="Hyperlink"/>
            <w:sz w:val="20"/>
            <w:szCs w:val="20"/>
            <w:lang w:val="fr-CA"/>
          </w:rPr>
          <w:t>393</w:t>
        </w:r>
        <w:r w:rsidR="001D3DE8" w:rsidRPr="008065A3">
          <w:rPr>
            <w:rStyle w:val="Hyperlink"/>
            <w:sz w:val="20"/>
            <w:szCs w:val="20"/>
            <w:lang w:val="fr-CA"/>
          </w:rPr>
          <w:t>66</w:t>
        </w:r>
      </w:hyperlink>
      <w:r w:rsidR="002F2385" w:rsidRPr="008065A3">
        <w:rPr>
          <w:sz w:val="20"/>
          <w:lang w:val="fr-CA"/>
        </w:rPr>
        <w:t>)</w:t>
      </w:r>
    </w:p>
    <w:p w:rsidR="00E444F3" w:rsidRPr="008065A3" w:rsidRDefault="00E444F3" w:rsidP="002F2385">
      <w:pPr>
        <w:widowControl w:val="0"/>
        <w:autoSpaceDE w:val="0"/>
        <w:autoSpaceDN w:val="0"/>
        <w:adjustRightInd w:val="0"/>
        <w:ind w:left="357" w:hanging="357"/>
        <w:rPr>
          <w:sz w:val="20"/>
          <w:lang w:val="en-CA"/>
        </w:rPr>
      </w:pPr>
    </w:p>
    <w:p w:rsidR="00E444F3" w:rsidRPr="008065A3" w:rsidRDefault="00E444F3" w:rsidP="002F2385">
      <w:pPr>
        <w:pStyle w:val="ListParagraph"/>
        <w:numPr>
          <w:ilvl w:val="0"/>
          <w:numId w:val="37"/>
        </w:numPr>
        <w:ind w:left="357" w:hanging="357"/>
        <w:rPr>
          <w:sz w:val="20"/>
          <w:lang w:val="en-CA"/>
        </w:rPr>
      </w:pPr>
      <w:r w:rsidRPr="008065A3">
        <w:rPr>
          <w:i/>
          <w:sz w:val="20"/>
          <w:lang w:val="en-CA"/>
        </w:rPr>
        <w:t>Chris Hughes v. Horizon Health</w:t>
      </w:r>
      <w:r w:rsidR="009579D9" w:rsidRPr="008065A3">
        <w:rPr>
          <w:i/>
          <w:sz w:val="20"/>
          <w:lang w:val="en-CA"/>
        </w:rPr>
        <w:t xml:space="preserve"> Authority B, doing business as Horizon Health Network and the Saint John Regional Hospital</w:t>
      </w:r>
      <w:r w:rsidRPr="008065A3">
        <w:rPr>
          <w:sz w:val="20"/>
          <w:lang w:val="en-CA"/>
        </w:rPr>
        <w:t xml:space="preserve"> (N.B.) (Civil) (By Leave)</w:t>
      </w:r>
      <w:r w:rsidR="002F2385" w:rsidRPr="008065A3">
        <w:rPr>
          <w:sz w:val="20"/>
          <w:lang w:val="en-CA"/>
        </w:rPr>
        <w:t xml:space="preserve"> </w:t>
      </w:r>
      <w:r w:rsidR="002F2385" w:rsidRPr="008065A3">
        <w:rPr>
          <w:sz w:val="20"/>
          <w:lang w:val="fr-CA"/>
        </w:rPr>
        <w:t>(</w:t>
      </w:r>
      <w:hyperlink r:id="rId15" w:history="1">
        <w:r w:rsidR="002F2385" w:rsidRPr="008065A3">
          <w:rPr>
            <w:rStyle w:val="Hyperlink"/>
            <w:sz w:val="20"/>
            <w:szCs w:val="20"/>
            <w:lang w:val="fr-CA"/>
          </w:rPr>
          <w:t>393</w:t>
        </w:r>
        <w:r w:rsidR="009579D9" w:rsidRPr="008065A3">
          <w:rPr>
            <w:rStyle w:val="Hyperlink"/>
            <w:sz w:val="20"/>
            <w:szCs w:val="20"/>
            <w:lang w:val="fr-CA"/>
          </w:rPr>
          <w:t>5</w:t>
        </w:r>
        <w:r w:rsidR="002F2385" w:rsidRPr="008065A3">
          <w:rPr>
            <w:rStyle w:val="Hyperlink"/>
            <w:sz w:val="20"/>
            <w:szCs w:val="20"/>
            <w:lang w:val="fr-CA"/>
          </w:rPr>
          <w:t>1</w:t>
        </w:r>
      </w:hyperlink>
      <w:r w:rsidR="002F2385" w:rsidRPr="008065A3">
        <w:rPr>
          <w:sz w:val="20"/>
          <w:lang w:val="fr-CA"/>
        </w:rPr>
        <w:t>)</w:t>
      </w:r>
    </w:p>
    <w:p w:rsidR="00E444F3" w:rsidRPr="008065A3" w:rsidRDefault="00E444F3" w:rsidP="002F2385">
      <w:pPr>
        <w:widowControl w:val="0"/>
        <w:autoSpaceDE w:val="0"/>
        <w:autoSpaceDN w:val="0"/>
        <w:adjustRightInd w:val="0"/>
        <w:ind w:left="357" w:hanging="357"/>
        <w:contextualSpacing/>
        <w:rPr>
          <w:sz w:val="20"/>
          <w:lang w:val="en-CA"/>
        </w:rPr>
      </w:pPr>
    </w:p>
    <w:p w:rsidR="00E444F3" w:rsidRPr="008065A3" w:rsidRDefault="00E444F3" w:rsidP="002F2385">
      <w:pPr>
        <w:pStyle w:val="ListParagraph"/>
        <w:numPr>
          <w:ilvl w:val="0"/>
          <w:numId w:val="37"/>
        </w:numPr>
        <w:ind w:left="357" w:hanging="357"/>
        <w:rPr>
          <w:sz w:val="20"/>
          <w:lang w:val="en-CA"/>
        </w:rPr>
      </w:pPr>
      <w:r w:rsidRPr="008065A3">
        <w:rPr>
          <w:i/>
          <w:sz w:val="20"/>
        </w:rPr>
        <w:t xml:space="preserve">Roman Catholic Episcopal Corporation of the Diocese of London in Ontario, </w:t>
      </w:r>
      <w:r w:rsidR="00BA0E6A" w:rsidRPr="008065A3">
        <w:rPr>
          <w:i/>
          <w:sz w:val="20"/>
        </w:rPr>
        <w:t>et al.</w:t>
      </w:r>
      <w:r w:rsidRPr="008065A3">
        <w:rPr>
          <w:i/>
          <w:sz w:val="20"/>
        </w:rPr>
        <w:t xml:space="preserve"> v. Irene Deschenes</w:t>
      </w:r>
      <w:r w:rsidRPr="008065A3">
        <w:rPr>
          <w:sz w:val="20"/>
        </w:rPr>
        <w:t xml:space="preserve"> </w:t>
      </w:r>
      <w:r w:rsidRPr="008065A3">
        <w:rPr>
          <w:sz w:val="20"/>
          <w:lang w:val="en-CA"/>
        </w:rPr>
        <w:t>(Ont.) (Civil) (By Leave)</w:t>
      </w:r>
      <w:r w:rsidR="002F2385" w:rsidRPr="008065A3">
        <w:rPr>
          <w:sz w:val="20"/>
          <w:lang w:val="en-CA"/>
        </w:rPr>
        <w:t xml:space="preserve"> </w:t>
      </w:r>
      <w:r w:rsidR="002F2385" w:rsidRPr="008065A3">
        <w:rPr>
          <w:sz w:val="20"/>
        </w:rPr>
        <w:t>(</w:t>
      </w:r>
      <w:hyperlink r:id="rId16" w:history="1">
        <w:r w:rsidR="002F2385" w:rsidRPr="008065A3">
          <w:rPr>
            <w:rStyle w:val="Hyperlink"/>
            <w:sz w:val="20"/>
            <w:szCs w:val="20"/>
          </w:rPr>
          <w:t>39</w:t>
        </w:r>
        <w:r w:rsidR="00BA0E6A" w:rsidRPr="008065A3">
          <w:rPr>
            <w:rStyle w:val="Hyperlink"/>
            <w:sz w:val="20"/>
            <w:szCs w:val="20"/>
          </w:rPr>
          <w:t>288</w:t>
        </w:r>
      </w:hyperlink>
      <w:r w:rsidR="002F2385" w:rsidRPr="008065A3">
        <w:rPr>
          <w:sz w:val="20"/>
        </w:rPr>
        <w:t>)</w:t>
      </w:r>
    </w:p>
    <w:p w:rsidR="00E444F3" w:rsidRPr="008065A3" w:rsidRDefault="00E444F3" w:rsidP="002F2385">
      <w:pPr>
        <w:widowControl w:val="0"/>
        <w:autoSpaceDE w:val="0"/>
        <w:autoSpaceDN w:val="0"/>
        <w:adjustRightInd w:val="0"/>
        <w:ind w:left="357" w:hanging="357"/>
        <w:contextualSpacing/>
        <w:rPr>
          <w:sz w:val="20"/>
          <w:lang w:val="en-CA"/>
        </w:rPr>
      </w:pPr>
    </w:p>
    <w:p w:rsidR="00E444F3" w:rsidRPr="008065A3" w:rsidRDefault="00E444F3" w:rsidP="002F2385">
      <w:pPr>
        <w:pStyle w:val="ListParagraph"/>
        <w:numPr>
          <w:ilvl w:val="0"/>
          <w:numId w:val="37"/>
        </w:numPr>
        <w:ind w:left="357" w:hanging="357"/>
        <w:rPr>
          <w:sz w:val="20"/>
          <w:lang w:val="en-CA"/>
        </w:rPr>
      </w:pPr>
      <w:r w:rsidRPr="008065A3">
        <w:rPr>
          <w:i/>
          <w:sz w:val="20"/>
        </w:rPr>
        <w:t xml:space="preserve">Ineke Sutherland v. City of Toronto, </w:t>
      </w:r>
      <w:r w:rsidR="00BA0E6A" w:rsidRPr="008065A3">
        <w:rPr>
          <w:i/>
          <w:sz w:val="20"/>
        </w:rPr>
        <w:t>et al.</w:t>
      </w:r>
      <w:r w:rsidRPr="008065A3">
        <w:rPr>
          <w:sz w:val="20"/>
        </w:rPr>
        <w:t xml:space="preserve"> </w:t>
      </w:r>
      <w:r w:rsidRPr="008065A3">
        <w:rPr>
          <w:sz w:val="20"/>
          <w:lang w:val="en-CA"/>
        </w:rPr>
        <w:t>(Ont.) (Civil) (By Leave)</w:t>
      </w:r>
      <w:r w:rsidR="002F2385" w:rsidRPr="008065A3">
        <w:rPr>
          <w:sz w:val="20"/>
          <w:lang w:val="en-CA"/>
        </w:rPr>
        <w:t xml:space="preserve"> </w:t>
      </w:r>
      <w:r w:rsidR="002F2385" w:rsidRPr="008065A3">
        <w:rPr>
          <w:sz w:val="20"/>
        </w:rPr>
        <w:t>(</w:t>
      </w:r>
      <w:hyperlink r:id="rId17" w:history="1">
        <w:r w:rsidR="002F2385" w:rsidRPr="008065A3">
          <w:rPr>
            <w:rStyle w:val="Hyperlink"/>
            <w:sz w:val="20"/>
            <w:szCs w:val="20"/>
          </w:rPr>
          <w:t>39</w:t>
        </w:r>
        <w:r w:rsidR="00BA0E6A" w:rsidRPr="008065A3">
          <w:rPr>
            <w:rStyle w:val="Hyperlink"/>
            <w:sz w:val="20"/>
            <w:szCs w:val="20"/>
          </w:rPr>
          <w:t>264</w:t>
        </w:r>
      </w:hyperlink>
      <w:r w:rsidR="002F2385" w:rsidRPr="008065A3">
        <w:rPr>
          <w:sz w:val="20"/>
        </w:rPr>
        <w:t>)</w:t>
      </w:r>
    </w:p>
    <w:p w:rsidR="002A4053" w:rsidRPr="008065A3" w:rsidRDefault="002A4053" w:rsidP="002A4053">
      <w:pPr>
        <w:rPr>
          <w:sz w:val="20"/>
        </w:rPr>
      </w:pPr>
    </w:p>
    <w:p w:rsidR="0057402C" w:rsidRPr="008065A3" w:rsidRDefault="00E3334E" w:rsidP="009B14F4">
      <w:pPr>
        <w:widowControl w:val="0"/>
        <w:jc w:val="both"/>
        <w:rPr>
          <w:sz w:val="20"/>
        </w:rPr>
      </w:pPr>
      <w:r w:rsidRPr="008065A3">
        <w:rPr>
          <w:sz w:val="20"/>
        </w:rPr>
        <w:pict>
          <v:rect id="_x0000_i1026" style="width:2in;height:1pt" o:hrpct="0" o:hralign="center" o:hrstd="t" o:hrnoshade="t" o:hr="t" fillcolor="black [3213]" stroked="f"/>
        </w:pict>
      </w:r>
    </w:p>
    <w:p w:rsidR="0057402C" w:rsidRPr="008065A3" w:rsidRDefault="0057402C" w:rsidP="00C13AB4">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3A5E" w:rsidRPr="008065A3" w:rsidTr="00E3334E">
        <w:tc>
          <w:tcPr>
            <w:tcW w:w="543" w:type="pct"/>
          </w:tcPr>
          <w:p w:rsidR="00043A5E" w:rsidRPr="008065A3" w:rsidRDefault="00043A5E" w:rsidP="00043A5E">
            <w:pPr>
              <w:jc w:val="both"/>
              <w:rPr>
                <w:sz w:val="20"/>
              </w:rPr>
            </w:pPr>
            <w:r w:rsidRPr="008065A3">
              <w:rPr>
                <w:rStyle w:val="SCCFileNumberChar"/>
                <w:sz w:val="20"/>
                <w:szCs w:val="20"/>
              </w:rPr>
              <w:t>39247</w:t>
            </w:r>
          </w:p>
        </w:tc>
        <w:tc>
          <w:tcPr>
            <w:tcW w:w="4457" w:type="pct"/>
            <w:gridSpan w:val="3"/>
          </w:tcPr>
          <w:p w:rsidR="00043A5E" w:rsidRPr="008065A3" w:rsidRDefault="00043A5E" w:rsidP="00043A5E">
            <w:pPr>
              <w:pStyle w:val="SCCLsocParty"/>
              <w:jc w:val="both"/>
              <w:rPr>
                <w:b/>
                <w:sz w:val="20"/>
                <w:szCs w:val="20"/>
                <w:lang w:val="en-US"/>
              </w:rPr>
            </w:pPr>
            <w:r w:rsidRPr="008065A3">
              <w:rPr>
                <w:b/>
                <w:sz w:val="20"/>
                <w:szCs w:val="20"/>
                <w:lang w:val="en-US"/>
              </w:rPr>
              <w:t>Safa Malakpour v. Her Majesty the Queen</w:t>
            </w:r>
          </w:p>
          <w:p w:rsidR="00043A5E" w:rsidRPr="008065A3" w:rsidRDefault="00043A5E" w:rsidP="00043A5E">
            <w:pPr>
              <w:jc w:val="both"/>
              <w:rPr>
                <w:sz w:val="20"/>
              </w:rPr>
            </w:pPr>
            <w:r w:rsidRPr="008065A3">
              <w:rPr>
                <w:sz w:val="20"/>
              </w:rPr>
              <w:t>(B.C.) (Criminal) (By Leave)</w:t>
            </w:r>
          </w:p>
        </w:tc>
      </w:tr>
      <w:tr w:rsidR="00043A5E" w:rsidRPr="008065A3" w:rsidTr="00E3334E">
        <w:tc>
          <w:tcPr>
            <w:tcW w:w="5000" w:type="pct"/>
            <w:gridSpan w:val="4"/>
          </w:tcPr>
          <w:p w:rsidR="00043A5E" w:rsidRPr="008065A3" w:rsidRDefault="00043A5E" w:rsidP="00043A5E">
            <w:pPr>
              <w:jc w:val="both"/>
              <w:rPr>
                <w:sz w:val="20"/>
              </w:rPr>
            </w:pPr>
            <w:r w:rsidRPr="008065A3">
              <w:rPr>
                <w:sz w:val="20"/>
              </w:rPr>
              <w:lastRenderedPageBreak/>
              <w:t>Criminal law — Evidence — Whether the judge erred by giving too much weight to Dr. Semrau’s report — Whether the judge misapprehended the evidence about the context in which Mr. Malakpour committed the predicate offence, and if so (a) whether any misapprehension of the evidence arose from problems with the simultaneous translation, and (b) whether new evidence should be admitted on this point</w:t>
            </w:r>
          </w:p>
        </w:tc>
      </w:tr>
      <w:tr w:rsidR="00043A5E" w:rsidRPr="008065A3" w:rsidTr="00E3334E">
        <w:tc>
          <w:tcPr>
            <w:tcW w:w="5000" w:type="pct"/>
            <w:gridSpan w:val="4"/>
          </w:tcPr>
          <w:p w:rsidR="00043A5E" w:rsidRPr="008065A3" w:rsidRDefault="00043A5E" w:rsidP="00043A5E">
            <w:pPr>
              <w:jc w:val="both"/>
              <w:rPr>
                <w:sz w:val="20"/>
              </w:rPr>
            </w:pPr>
          </w:p>
        </w:tc>
      </w:tr>
      <w:tr w:rsidR="00043A5E" w:rsidRPr="008065A3" w:rsidTr="00E3334E">
        <w:tc>
          <w:tcPr>
            <w:tcW w:w="5000" w:type="pct"/>
            <w:gridSpan w:val="4"/>
          </w:tcPr>
          <w:p w:rsidR="00043A5E" w:rsidRPr="008065A3" w:rsidRDefault="00043A5E" w:rsidP="00043A5E">
            <w:pPr>
              <w:jc w:val="both"/>
              <w:rPr>
                <w:sz w:val="20"/>
              </w:rPr>
            </w:pPr>
            <w:r w:rsidRPr="008065A3">
              <w:rPr>
                <w:sz w:val="20"/>
              </w:rPr>
              <w:t>The applicant Mr. Malakpour was found guilty of a number of offences, including assault with a weapon, assault causing bodily harm, criminal harassment, uttering threats and kidnapping. The respondent Crown applied to have Mr. Malakpour designated as a dangerous offender pursuant to s. 753(1)(a)(</w:t>
            </w:r>
            <w:proofErr w:type="spellStart"/>
            <w:r w:rsidRPr="008065A3">
              <w:rPr>
                <w:sz w:val="20"/>
              </w:rPr>
              <w:t>i</w:t>
            </w:r>
            <w:proofErr w:type="spellEnd"/>
            <w:r w:rsidRPr="008065A3">
              <w:rPr>
                <w:sz w:val="20"/>
              </w:rPr>
              <w:t>) of the Criminal Code, and to have him sentenced to an indeterminate sentence pursuant to s. 753(4.1) of the Criminal Code.</w:t>
            </w:r>
          </w:p>
          <w:p w:rsidR="00043A5E" w:rsidRPr="008065A3" w:rsidRDefault="00043A5E" w:rsidP="00043A5E">
            <w:pPr>
              <w:jc w:val="both"/>
              <w:rPr>
                <w:sz w:val="20"/>
              </w:rPr>
            </w:pPr>
          </w:p>
          <w:p w:rsidR="00043A5E" w:rsidRPr="008065A3" w:rsidRDefault="00043A5E" w:rsidP="00043A5E">
            <w:pPr>
              <w:jc w:val="both"/>
              <w:rPr>
                <w:sz w:val="20"/>
              </w:rPr>
            </w:pPr>
            <w:r w:rsidRPr="008065A3">
              <w:rPr>
                <w:sz w:val="20"/>
              </w:rPr>
              <w:t xml:space="preserve">The Provincial Court of British Columbia concluded that the Crown had established beyond a reasonable doubt the necessary evidentiary foundation for a dangerous offender finding. Having not been satisfied that there was a reasonable expectation that a lesser measure would adequately protect the public against the commission of murder or a serious personal injury offence, the judge imposed an indeterminate sentence. </w:t>
            </w:r>
          </w:p>
          <w:p w:rsidR="00043A5E" w:rsidRPr="008065A3" w:rsidRDefault="00043A5E" w:rsidP="00043A5E">
            <w:pPr>
              <w:jc w:val="both"/>
              <w:rPr>
                <w:sz w:val="20"/>
              </w:rPr>
            </w:pPr>
          </w:p>
          <w:p w:rsidR="00043A5E" w:rsidRPr="008065A3" w:rsidRDefault="00043A5E" w:rsidP="00043A5E">
            <w:pPr>
              <w:jc w:val="both"/>
              <w:rPr>
                <w:sz w:val="20"/>
              </w:rPr>
            </w:pPr>
            <w:r w:rsidRPr="008065A3">
              <w:rPr>
                <w:sz w:val="20"/>
              </w:rPr>
              <w:t>The Court of appeal unanimously allowed the appeal in part. Though it found no basis to interfere with the judge’s designation of Mr. Malakpour as a dangerous offender, it was of the view that the imposition of an indeterminate sentence was disproportionate to the circumstances of Mr. Malakpour and of the predicate offences. The indeterminate sentence was substituted for a determinate sentence, to be followed by a long</w:t>
            </w:r>
            <w:r w:rsidRPr="008065A3">
              <w:rPr>
                <w:sz w:val="20"/>
              </w:rPr>
              <w:noBreakHyphen/>
              <w:t>term supervision order.</w:t>
            </w:r>
          </w:p>
          <w:p w:rsidR="00043A5E" w:rsidRPr="008065A3" w:rsidRDefault="00043A5E" w:rsidP="00043A5E">
            <w:pPr>
              <w:jc w:val="both"/>
              <w:rPr>
                <w:sz w:val="20"/>
              </w:rPr>
            </w:pPr>
          </w:p>
        </w:tc>
      </w:tr>
      <w:tr w:rsidR="00043A5E" w:rsidRPr="008065A3" w:rsidTr="00E3334E">
        <w:tc>
          <w:tcPr>
            <w:tcW w:w="2427" w:type="pct"/>
            <w:gridSpan w:val="2"/>
          </w:tcPr>
          <w:p w:rsidR="00043A5E" w:rsidRPr="008065A3" w:rsidRDefault="00043A5E" w:rsidP="00043A5E">
            <w:pPr>
              <w:jc w:val="both"/>
              <w:rPr>
                <w:sz w:val="20"/>
              </w:rPr>
            </w:pPr>
            <w:r w:rsidRPr="008065A3">
              <w:rPr>
                <w:sz w:val="20"/>
              </w:rPr>
              <w:t>May 2, 2016</w:t>
            </w:r>
          </w:p>
          <w:p w:rsidR="00043A5E" w:rsidRPr="008065A3" w:rsidRDefault="00043A5E" w:rsidP="00043A5E">
            <w:pPr>
              <w:jc w:val="both"/>
              <w:rPr>
                <w:sz w:val="20"/>
              </w:rPr>
            </w:pPr>
            <w:r w:rsidRPr="008065A3">
              <w:rPr>
                <w:sz w:val="20"/>
              </w:rPr>
              <w:t>Provincial Court of British Columbia</w:t>
            </w:r>
          </w:p>
          <w:p w:rsidR="00043A5E" w:rsidRPr="008065A3" w:rsidRDefault="00043A5E" w:rsidP="00043A5E">
            <w:pPr>
              <w:jc w:val="both"/>
              <w:rPr>
                <w:sz w:val="20"/>
              </w:rPr>
            </w:pPr>
            <w:r w:rsidRPr="008065A3">
              <w:rPr>
                <w:sz w:val="20"/>
              </w:rPr>
              <w:t>(Gillespie J.)</w:t>
            </w:r>
          </w:p>
          <w:p w:rsidR="00043A5E" w:rsidRPr="008065A3" w:rsidRDefault="00043A5E" w:rsidP="00043A5E">
            <w:pPr>
              <w:jc w:val="both"/>
              <w:rPr>
                <w:sz w:val="20"/>
              </w:rPr>
            </w:pPr>
          </w:p>
        </w:tc>
        <w:tc>
          <w:tcPr>
            <w:tcW w:w="243" w:type="pct"/>
          </w:tcPr>
          <w:p w:rsidR="00043A5E" w:rsidRPr="008065A3" w:rsidRDefault="00043A5E" w:rsidP="00043A5E">
            <w:pPr>
              <w:jc w:val="both"/>
              <w:rPr>
                <w:sz w:val="20"/>
              </w:rPr>
            </w:pPr>
          </w:p>
        </w:tc>
        <w:tc>
          <w:tcPr>
            <w:tcW w:w="2330" w:type="pct"/>
          </w:tcPr>
          <w:p w:rsidR="00043A5E" w:rsidRPr="008065A3" w:rsidRDefault="00043A5E" w:rsidP="00043A5E">
            <w:pPr>
              <w:jc w:val="both"/>
              <w:rPr>
                <w:sz w:val="20"/>
              </w:rPr>
            </w:pPr>
            <w:r w:rsidRPr="008065A3">
              <w:rPr>
                <w:sz w:val="20"/>
              </w:rPr>
              <w:t xml:space="preserve">Dangerous offender finding made and  indeterminate sentence imposed </w:t>
            </w:r>
          </w:p>
        </w:tc>
      </w:tr>
      <w:tr w:rsidR="00043A5E" w:rsidRPr="008065A3" w:rsidTr="00E3334E">
        <w:tc>
          <w:tcPr>
            <w:tcW w:w="2427" w:type="pct"/>
            <w:gridSpan w:val="2"/>
          </w:tcPr>
          <w:p w:rsidR="00043A5E" w:rsidRPr="008065A3" w:rsidRDefault="00043A5E" w:rsidP="00043A5E">
            <w:pPr>
              <w:jc w:val="both"/>
              <w:rPr>
                <w:sz w:val="20"/>
              </w:rPr>
            </w:pPr>
            <w:r w:rsidRPr="008065A3">
              <w:rPr>
                <w:sz w:val="20"/>
              </w:rPr>
              <w:t>June 22, 2018</w:t>
            </w:r>
          </w:p>
          <w:p w:rsidR="00043A5E" w:rsidRPr="008065A3" w:rsidRDefault="00043A5E" w:rsidP="00043A5E">
            <w:pPr>
              <w:jc w:val="both"/>
              <w:rPr>
                <w:sz w:val="20"/>
              </w:rPr>
            </w:pPr>
            <w:r w:rsidRPr="008065A3">
              <w:rPr>
                <w:sz w:val="20"/>
              </w:rPr>
              <w:t xml:space="preserve">Court of Appeal for British Columbia </w:t>
            </w:r>
          </w:p>
          <w:p w:rsidR="00043A5E" w:rsidRPr="008065A3" w:rsidRDefault="00043A5E" w:rsidP="00043A5E">
            <w:pPr>
              <w:jc w:val="both"/>
              <w:rPr>
                <w:sz w:val="20"/>
              </w:rPr>
            </w:pPr>
            <w:r w:rsidRPr="008065A3">
              <w:rPr>
                <w:sz w:val="20"/>
              </w:rPr>
              <w:t>(Vancouver)</w:t>
            </w:r>
          </w:p>
          <w:p w:rsidR="00043A5E" w:rsidRPr="008065A3" w:rsidRDefault="00043A5E" w:rsidP="00043A5E">
            <w:pPr>
              <w:jc w:val="both"/>
              <w:rPr>
                <w:sz w:val="20"/>
              </w:rPr>
            </w:pPr>
            <w:r w:rsidRPr="008065A3">
              <w:rPr>
                <w:sz w:val="20"/>
              </w:rPr>
              <w:t>(Newbury, Savage and Fisher JJ.A.)</w:t>
            </w:r>
          </w:p>
          <w:p w:rsidR="00043A5E" w:rsidRPr="008065A3" w:rsidRDefault="00043A5E" w:rsidP="00043A5E">
            <w:pPr>
              <w:jc w:val="both"/>
              <w:rPr>
                <w:sz w:val="20"/>
              </w:rPr>
            </w:pPr>
            <w:hyperlink r:id="rId18" w:history="1">
              <w:r w:rsidRPr="008065A3">
                <w:rPr>
                  <w:rStyle w:val="Hyperlink"/>
                  <w:sz w:val="20"/>
                </w:rPr>
                <w:t>2018 BCCA 254</w:t>
              </w:r>
            </w:hyperlink>
          </w:p>
          <w:p w:rsidR="00043A5E" w:rsidRPr="008065A3" w:rsidRDefault="00043A5E" w:rsidP="00043A5E">
            <w:pPr>
              <w:jc w:val="both"/>
              <w:rPr>
                <w:sz w:val="20"/>
              </w:rPr>
            </w:pPr>
          </w:p>
        </w:tc>
        <w:tc>
          <w:tcPr>
            <w:tcW w:w="243" w:type="pct"/>
          </w:tcPr>
          <w:p w:rsidR="00043A5E" w:rsidRPr="008065A3" w:rsidRDefault="00043A5E" w:rsidP="00043A5E">
            <w:pPr>
              <w:jc w:val="both"/>
              <w:rPr>
                <w:sz w:val="20"/>
              </w:rPr>
            </w:pPr>
          </w:p>
        </w:tc>
        <w:tc>
          <w:tcPr>
            <w:tcW w:w="2330" w:type="pct"/>
          </w:tcPr>
          <w:p w:rsidR="00043A5E" w:rsidRPr="008065A3" w:rsidRDefault="00043A5E" w:rsidP="00043A5E">
            <w:pPr>
              <w:jc w:val="both"/>
              <w:rPr>
                <w:sz w:val="20"/>
              </w:rPr>
            </w:pPr>
            <w:r w:rsidRPr="008065A3">
              <w:rPr>
                <w:sz w:val="20"/>
              </w:rPr>
              <w:t>Appeal allowed in part, indeterminate sentence set aside and substituted for determinate sentence and long</w:t>
            </w:r>
            <w:r w:rsidRPr="008065A3">
              <w:rPr>
                <w:sz w:val="20"/>
              </w:rPr>
              <w:noBreakHyphen/>
              <w:t>term supervision order</w:t>
            </w:r>
          </w:p>
        </w:tc>
      </w:tr>
      <w:tr w:rsidR="00043A5E" w:rsidRPr="008065A3" w:rsidTr="00E3334E">
        <w:tc>
          <w:tcPr>
            <w:tcW w:w="2427" w:type="pct"/>
            <w:gridSpan w:val="2"/>
          </w:tcPr>
          <w:p w:rsidR="00043A5E" w:rsidRPr="008065A3" w:rsidRDefault="00043A5E" w:rsidP="00043A5E">
            <w:pPr>
              <w:jc w:val="both"/>
              <w:rPr>
                <w:sz w:val="20"/>
              </w:rPr>
            </w:pPr>
            <w:r w:rsidRPr="008065A3">
              <w:rPr>
                <w:sz w:val="20"/>
              </w:rPr>
              <w:t>July 11, 2019</w:t>
            </w:r>
          </w:p>
          <w:p w:rsidR="00043A5E" w:rsidRPr="008065A3" w:rsidRDefault="00043A5E" w:rsidP="00043A5E">
            <w:pPr>
              <w:jc w:val="both"/>
              <w:rPr>
                <w:sz w:val="20"/>
              </w:rPr>
            </w:pPr>
            <w:r w:rsidRPr="008065A3">
              <w:rPr>
                <w:sz w:val="20"/>
              </w:rPr>
              <w:t>Supreme Court of Canada</w:t>
            </w:r>
          </w:p>
        </w:tc>
        <w:tc>
          <w:tcPr>
            <w:tcW w:w="243" w:type="pct"/>
          </w:tcPr>
          <w:p w:rsidR="00043A5E" w:rsidRPr="008065A3" w:rsidRDefault="00043A5E" w:rsidP="00043A5E">
            <w:pPr>
              <w:jc w:val="both"/>
              <w:rPr>
                <w:sz w:val="20"/>
              </w:rPr>
            </w:pPr>
          </w:p>
        </w:tc>
        <w:tc>
          <w:tcPr>
            <w:tcW w:w="2330" w:type="pct"/>
          </w:tcPr>
          <w:p w:rsidR="00043A5E" w:rsidRPr="008065A3" w:rsidRDefault="00043A5E" w:rsidP="00043A5E">
            <w:pPr>
              <w:jc w:val="both"/>
              <w:rPr>
                <w:sz w:val="20"/>
              </w:rPr>
            </w:pPr>
            <w:r w:rsidRPr="008065A3">
              <w:rPr>
                <w:sz w:val="20"/>
              </w:rPr>
              <w:t>Application for leave to appeal filed</w:t>
            </w:r>
          </w:p>
          <w:p w:rsidR="00043A5E" w:rsidRPr="008065A3" w:rsidRDefault="00043A5E" w:rsidP="00043A5E">
            <w:pPr>
              <w:jc w:val="both"/>
              <w:rPr>
                <w:sz w:val="20"/>
              </w:rPr>
            </w:pPr>
          </w:p>
        </w:tc>
      </w:tr>
    </w:tbl>
    <w:p w:rsidR="00043A5E" w:rsidRPr="008065A3" w:rsidRDefault="00043A5E" w:rsidP="00043A5E">
      <w:pPr>
        <w:jc w:val="both"/>
        <w:rPr>
          <w:sz w:val="20"/>
        </w:rPr>
      </w:pPr>
    </w:p>
    <w:p w:rsidR="00043A5E" w:rsidRPr="008065A3" w:rsidRDefault="00E3334E" w:rsidP="00043A5E">
      <w:pPr>
        <w:jc w:val="both"/>
        <w:rPr>
          <w:sz w:val="20"/>
        </w:rPr>
      </w:pPr>
      <w:r w:rsidRPr="008065A3">
        <w:rPr>
          <w:sz w:val="20"/>
        </w:rPr>
        <w:pict>
          <v:rect id="_x0000_i1051" style="width:2in;height:1pt" o:hrpct="0" o:hralign="center" o:hrstd="t" o:hrnoshade="t" o:hr="t" fillcolor="black [3213]" stroked="f"/>
        </w:pict>
      </w:r>
    </w:p>
    <w:p w:rsidR="00043A5E" w:rsidRPr="008065A3" w:rsidRDefault="00043A5E" w:rsidP="00043A5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3A5E" w:rsidRPr="008065A3" w:rsidTr="00E3334E">
        <w:tc>
          <w:tcPr>
            <w:tcW w:w="543" w:type="pct"/>
          </w:tcPr>
          <w:p w:rsidR="00043A5E" w:rsidRPr="008065A3" w:rsidRDefault="00043A5E" w:rsidP="00043A5E">
            <w:pPr>
              <w:jc w:val="both"/>
              <w:rPr>
                <w:sz w:val="20"/>
                <w:lang w:val="fr-CA"/>
              </w:rPr>
            </w:pPr>
            <w:r w:rsidRPr="008065A3">
              <w:rPr>
                <w:rStyle w:val="SCCFileNumberChar"/>
                <w:sz w:val="20"/>
                <w:szCs w:val="20"/>
                <w:lang w:val="fr-CA"/>
              </w:rPr>
              <w:t>39247</w:t>
            </w:r>
          </w:p>
        </w:tc>
        <w:tc>
          <w:tcPr>
            <w:tcW w:w="4457" w:type="pct"/>
            <w:gridSpan w:val="3"/>
          </w:tcPr>
          <w:p w:rsidR="00043A5E" w:rsidRPr="008065A3" w:rsidRDefault="00043A5E" w:rsidP="00043A5E">
            <w:pPr>
              <w:pStyle w:val="SCCLsocParty"/>
              <w:jc w:val="both"/>
              <w:rPr>
                <w:b/>
                <w:sz w:val="20"/>
                <w:szCs w:val="20"/>
              </w:rPr>
            </w:pPr>
            <w:r w:rsidRPr="008065A3">
              <w:rPr>
                <w:b/>
                <w:sz w:val="20"/>
                <w:szCs w:val="20"/>
              </w:rPr>
              <w:t>Safa Malakpour c. Sa Majesté la Reine</w:t>
            </w:r>
          </w:p>
          <w:p w:rsidR="00043A5E" w:rsidRPr="008065A3" w:rsidRDefault="00043A5E" w:rsidP="00043A5E">
            <w:pPr>
              <w:jc w:val="both"/>
              <w:rPr>
                <w:sz w:val="20"/>
                <w:lang w:val="fr-CA"/>
              </w:rPr>
            </w:pPr>
            <w:r w:rsidRPr="008065A3">
              <w:rPr>
                <w:sz w:val="20"/>
                <w:lang w:val="fr-CA"/>
              </w:rPr>
              <w:t>(C.-B.) (Criminelle) (Sur autorisation)</w:t>
            </w:r>
          </w:p>
        </w:tc>
      </w:tr>
      <w:tr w:rsidR="00043A5E" w:rsidRPr="008065A3" w:rsidTr="00E3334E">
        <w:tc>
          <w:tcPr>
            <w:tcW w:w="5000" w:type="pct"/>
            <w:gridSpan w:val="4"/>
          </w:tcPr>
          <w:p w:rsidR="00043A5E" w:rsidRPr="008065A3" w:rsidRDefault="00043A5E" w:rsidP="00043A5E">
            <w:pPr>
              <w:jc w:val="both"/>
              <w:rPr>
                <w:sz w:val="20"/>
                <w:lang w:val="fr-CA"/>
              </w:rPr>
            </w:pPr>
            <w:r w:rsidRPr="008065A3">
              <w:rPr>
                <w:sz w:val="20"/>
                <w:lang w:val="fr-CA"/>
              </w:rPr>
              <w:t>Droit criminel — Preuve — La juge a</w:t>
            </w:r>
            <w:r w:rsidRPr="008065A3">
              <w:rPr>
                <w:sz w:val="20"/>
                <w:lang w:val="fr-CA"/>
              </w:rPr>
              <w:noBreakHyphen/>
              <w:t>t</w:t>
            </w:r>
            <w:r w:rsidRPr="008065A3">
              <w:rPr>
                <w:sz w:val="20"/>
                <w:lang w:val="fr-CA"/>
              </w:rPr>
              <w:noBreakHyphen/>
              <w:t>elle commis une erreur en accordant trop de poids au rapport du Dr </w:t>
            </w:r>
            <w:proofErr w:type="spellStart"/>
            <w:r w:rsidRPr="008065A3">
              <w:rPr>
                <w:sz w:val="20"/>
                <w:lang w:val="fr-CA"/>
              </w:rPr>
              <w:t>Semrau</w:t>
            </w:r>
            <w:proofErr w:type="spellEnd"/>
            <w:r w:rsidRPr="008065A3">
              <w:rPr>
                <w:sz w:val="20"/>
                <w:lang w:val="fr-CA"/>
              </w:rPr>
              <w:t> ? — La juge a</w:t>
            </w:r>
            <w:r w:rsidRPr="008065A3">
              <w:rPr>
                <w:sz w:val="20"/>
                <w:lang w:val="fr-CA"/>
              </w:rPr>
              <w:noBreakHyphen/>
              <w:t>t</w:t>
            </w:r>
            <w:r w:rsidRPr="008065A3">
              <w:rPr>
                <w:sz w:val="20"/>
                <w:lang w:val="fr-CA"/>
              </w:rPr>
              <w:noBreakHyphen/>
              <w:t>elle mal interprété la preuve quant au contexte dans lequel M. Malakpour a commis l’infraction sous</w:t>
            </w:r>
            <w:r w:rsidRPr="008065A3">
              <w:rPr>
                <w:sz w:val="20"/>
                <w:lang w:val="fr-CA"/>
              </w:rPr>
              <w:noBreakHyphen/>
              <w:t>jacente, et dans l’affirmative, (a) toute interprétation erronée de la preuve pourrait</w:t>
            </w:r>
            <w:r w:rsidRPr="008065A3">
              <w:rPr>
                <w:sz w:val="20"/>
                <w:lang w:val="fr-CA"/>
              </w:rPr>
              <w:noBreakHyphen/>
              <w:t>elle découler de difficultés liées à l’interprétation simultanée, et (b) est</w:t>
            </w:r>
            <w:r w:rsidRPr="008065A3">
              <w:rPr>
                <w:sz w:val="20"/>
                <w:lang w:val="fr-CA"/>
              </w:rPr>
              <w:noBreakHyphen/>
              <w:t>il possible d’admettre de nouveaux éléments de preuve quant à cette question ?</w:t>
            </w:r>
          </w:p>
        </w:tc>
      </w:tr>
      <w:tr w:rsidR="00043A5E" w:rsidRPr="008065A3" w:rsidTr="00E3334E">
        <w:tc>
          <w:tcPr>
            <w:tcW w:w="5000" w:type="pct"/>
            <w:gridSpan w:val="4"/>
          </w:tcPr>
          <w:p w:rsidR="00043A5E" w:rsidRPr="008065A3" w:rsidRDefault="00043A5E" w:rsidP="00043A5E">
            <w:pPr>
              <w:jc w:val="both"/>
              <w:rPr>
                <w:sz w:val="20"/>
                <w:lang w:val="fr-CA"/>
              </w:rPr>
            </w:pPr>
          </w:p>
        </w:tc>
      </w:tr>
      <w:tr w:rsidR="00043A5E" w:rsidRPr="008065A3" w:rsidTr="00E3334E">
        <w:tc>
          <w:tcPr>
            <w:tcW w:w="5000" w:type="pct"/>
            <w:gridSpan w:val="4"/>
          </w:tcPr>
          <w:p w:rsidR="00043A5E" w:rsidRPr="008065A3" w:rsidRDefault="00043A5E" w:rsidP="00043A5E">
            <w:pPr>
              <w:jc w:val="both"/>
              <w:rPr>
                <w:sz w:val="20"/>
                <w:lang w:val="fr-CA"/>
              </w:rPr>
            </w:pPr>
            <w:r w:rsidRPr="008065A3">
              <w:rPr>
                <w:sz w:val="20"/>
                <w:lang w:val="fr-CA"/>
              </w:rPr>
              <w:t>Le demandeur, M. Malakpour, a été déclaré coupable de nombreuses infractions, notamment de voies de fait armées, de voies de fait infligeant des lésions corporelles, de harcèlement criminel, d’avoir proféré des menaces et d’enlèvement. L’intimé, le ministère public, a demandé que M. Malakpour soit déclaré comme étant un délinquant dangereux en vertu du sous</w:t>
            </w:r>
            <w:r w:rsidRPr="008065A3">
              <w:rPr>
                <w:sz w:val="20"/>
                <w:lang w:val="fr-CA"/>
              </w:rPr>
              <w:noBreakHyphen/>
              <w:t>al. 753(1)a)(i) du Code criminel, et a sollicité une peine de détention pour une période indéterminée en vertu du par. 753(4.1) du Code criminel.</w:t>
            </w:r>
          </w:p>
          <w:p w:rsidR="00043A5E" w:rsidRPr="008065A3" w:rsidRDefault="00043A5E" w:rsidP="00043A5E">
            <w:pPr>
              <w:jc w:val="both"/>
              <w:rPr>
                <w:sz w:val="20"/>
                <w:lang w:val="fr-CA"/>
              </w:rPr>
            </w:pPr>
          </w:p>
          <w:p w:rsidR="00043A5E" w:rsidRPr="008065A3" w:rsidRDefault="00043A5E" w:rsidP="00043A5E">
            <w:pPr>
              <w:jc w:val="both"/>
              <w:rPr>
                <w:sz w:val="20"/>
                <w:lang w:val="fr-CA"/>
              </w:rPr>
            </w:pPr>
            <w:r w:rsidRPr="008065A3">
              <w:rPr>
                <w:sz w:val="20"/>
                <w:lang w:val="fr-CA"/>
              </w:rPr>
              <w:t>La Cour provinciale de la Colombie</w:t>
            </w:r>
            <w:r w:rsidRPr="008065A3">
              <w:rPr>
                <w:sz w:val="20"/>
                <w:lang w:val="fr-CA"/>
              </w:rPr>
              <w:noBreakHyphen/>
              <w:t>Britannique a conclu que le ministère public avait établi au-delà de tout doute raisonnable les éléments de preuve nécessaires permettant de justifier la conclusion voulant que le demandeur soit déclaré comme étant un délinquant dangereux. N’ayant pas été convaincu que</w:t>
            </w:r>
            <w:r w:rsidRPr="008065A3">
              <w:rPr>
                <w:sz w:val="20"/>
                <w:lang w:val="fr-FR"/>
              </w:rPr>
              <w:t xml:space="preserve"> l’on pouvait vraisemblablement s’attendre à ce que le fait d’infliger une mesure moins sévère protègerait de façon suffisante le public contre la perpétration d’un meurtre ou d’une infraction qui constitue des sévices graves à la personne, la juge a imposé une peine d’une durée indéterminée.</w:t>
            </w:r>
            <w:r w:rsidRPr="008065A3">
              <w:rPr>
                <w:sz w:val="20"/>
                <w:lang w:val="fr-CA"/>
              </w:rPr>
              <w:t xml:space="preserve">  </w:t>
            </w:r>
          </w:p>
          <w:p w:rsidR="00043A5E" w:rsidRPr="008065A3" w:rsidRDefault="00043A5E" w:rsidP="00043A5E">
            <w:pPr>
              <w:jc w:val="both"/>
              <w:rPr>
                <w:sz w:val="20"/>
                <w:lang w:val="fr-CA"/>
              </w:rPr>
            </w:pPr>
          </w:p>
          <w:p w:rsidR="00043A5E" w:rsidRPr="008065A3" w:rsidRDefault="00043A5E" w:rsidP="00043A5E">
            <w:pPr>
              <w:jc w:val="both"/>
              <w:rPr>
                <w:sz w:val="20"/>
                <w:lang w:val="fr-CA"/>
              </w:rPr>
            </w:pPr>
            <w:r w:rsidRPr="008065A3">
              <w:rPr>
                <w:sz w:val="20"/>
                <w:lang w:val="fr-CA"/>
              </w:rPr>
              <w:t>La Cour d’appel, à l’unanimité, a accueilli l’appel en partie. Bien qu’elle n’ait pas trouvé de motifs permettant de justifier d’intervenir quant à la conclusion de la juge voulant que M. Malakpour soit déclaré un délinquant dangereux, elle était d’avis que l’imposition d’une peine de détention pour une période indéterminée était disproportionnée par rapport à la situation de M. Malakpour et des infractions sous</w:t>
            </w:r>
            <w:r w:rsidRPr="008065A3">
              <w:rPr>
                <w:sz w:val="20"/>
                <w:lang w:val="fr-CA"/>
              </w:rPr>
              <w:noBreakHyphen/>
              <w:t>jacentes. La peine de détention pour une période indéterminée a été remplacée par une peine d’une durée déterminée, suivie d’une ordonnance de surveillance de longue durée.</w:t>
            </w:r>
          </w:p>
          <w:p w:rsidR="00043A5E" w:rsidRPr="008065A3" w:rsidRDefault="00043A5E" w:rsidP="00043A5E">
            <w:pPr>
              <w:jc w:val="both"/>
              <w:rPr>
                <w:sz w:val="20"/>
                <w:lang w:val="fr-CA"/>
              </w:rPr>
            </w:pPr>
          </w:p>
        </w:tc>
      </w:tr>
      <w:tr w:rsidR="00043A5E" w:rsidRPr="008065A3" w:rsidTr="00E3334E">
        <w:tc>
          <w:tcPr>
            <w:tcW w:w="2427" w:type="pct"/>
            <w:gridSpan w:val="2"/>
          </w:tcPr>
          <w:p w:rsidR="00043A5E" w:rsidRPr="008065A3" w:rsidRDefault="00043A5E" w:rsidP="00043A5E">
            <w:pPr>
              <w:jc w:val="both"/>
              <w:rPr>
                <w:sz w:val="20"/>
                <w:lang w:val="fr-CA"/>
              </w:rPr>
            </w:pPr>
            <w:r w:rsidRPr="008065A3">
              <w:rPr>
                <w:sz w:val="20"/>
                <w:lang w:val="fr-CA"/>
              </w:rPr>
              <w:lastRenderedPageBreak/>
              <w:t>2 mai 2016</w:t>
            </w:r>
          </w:p>
          <w:p w:rsidR="00043A5E" w:rsidRPr="008065A3" w:rsidRDefault="00043A5E" w:rsidP="00043A5E">
            <w:pPr>
              <w:jc w:val="both"/>
              <w:rPr>
                <w:sz w:val="20"/>
                <w:lang w:val="fr-CA"/>
              </w:rPr>
            </w:pPr>
            <w:r w:rsidRPr="008065A3">
              <w:rPr>
                <w:sz w:val="20"/>
                <w:lang w:val="fr-CA"/>
              </w:rPr>
              <w:t>Cour provinciale de la Colombie</w:t>
            </w:r>
            <w:r w:rsidRPr="008065A3">
              <w:rPr>
                <w:sz w:val="20"/>
                <w:lang w:val="fr-CA"/>
              </w:rPr>
              <w:noBreakHyphen/>
              <w:t xml:space="preserve">Britannique </w:t>
            </w:r>
          </w:p>
          <w:p w:rsidR="00043A5E" w:rsidRPr="008065A3" w:rsidRDefault="00043A5E" w:rsidP="00043A5E">
            <w:pPr>
              <w:jc w:val="both"/>
              <w:rPr>
                <w:sz w:val="20"/>
                <w:lang w:val="fr-CA"/>
              </w:rPr>
            </w:pPr>
            <w:r w:rsidRPr="008065A3">
              <w:rPr>
                <w:sz w:val="20"/>
                <w:lang w:val="fr-CA"/>
              </w:rPr>
              <w:t>(Juge Gillespie)</w:t>
            </w:r>
          </w:p>
          <w:p w:rsidR="00043A5E" w:rsidRPr="008065A3" w:rsidRDefault="00043A5E" w:rsidP="00043A5E">
            <w:pPr>
              <w:jc w:val="both"/>
              <w:rPr>
                <w:sz w:val="20"/>
                <w:lang w:val="fr-CA"/>
              </w:rPr>
            </w:pPr>
          </w:p>
        </w:tc>
        <w:tc>
          <w:tcPr>
            <w:tcW w:w="243" w:type="pct"/>
          </w:tcPr>
          <w:p w:rsidR="00043A5E" w:rsidRPr="008065A3" w:rsidRDefault="00043A5E" w:rsidP="00043A5E">
            <w:pPr>
              <w:jc w:val="both"/>
              <w:rPr>
                <w:sz w:val="20"/>
                <w:lang w:val="fr-CA"/>
              </w:rPr>
            </w:pPr>
          </w:p>
        </w:tc>
        <w:tc>
          <w:tcPr>
            <w:tcW w:w="2330" w:type="pct"/>
          </w:tcPr>
          <w:p w:rsidR="00043A5E" w:rsidRPr="008065A3" w:rsidRDefault="00043A5E" w:rsidP="00043A5E">
            <w:pPr>
              <w:jc w:val="both"/>
              <w:rPr>
                <w:sz w:val="20"/>
                <w:lang w:val="fr-CA"/>
              </w:rPr>
            </w:pPr>
            <w:r w:rsidRPr="008065A3">
              <w:rPr>
                <w:sz w:val="20"/>
                <w:lang w:val="fr-CA"/>
              </w:rPr>
              <w:t xml:space="preserve">Le demandeur est déclaré comme étant un délinquant dangereux et une peine de détention pour une période indéterminée est imposée. </w:t>
            </w:r>
          </w:p>
        </w:tc>
      </w:tr>
      <w:tr w:rsidR="00043A5E" w:rsidRPr="008065A3" w:rsidTr="00E3334E">
        <w:tc>
          <w:tcPr>
            <w:tcW w:w="2427" w:type="pct"/>
            <w:gridSpan w:val="2"/>
          </w:tcPr>
          <w:p w:rsidR="00043A5E" w:rsidRPr="008065A3" w:rsidRDefault="00043A5E" w:rsidP="00043A5E">
            <w:pPr>
              <w:jc w:val="both"/>
              <w:rPr>
                <w:sz w:val="20"/>
                <w:lang w:val="fr-CA"/>
              </w:rPr>
            </w:pPr>
            <w:r w:rsidRPr="008065A3">
              <w:rPr>
                <w:sz w:val="20"/>
                <w:lang w:val="fr-CA"/>
              </w:rPr>
              <w:t>22 juin 2018</w:t>
            </w:r>
          </w:p>
          <w:p w:rsidR="00043A5E" w:rsidRPr="008065A3" w:rsidRDefault="00043A5E" w:rsidP="00043A5E">
            <w:pPr>
              <w:jc w:val="both"/>
              <w:rPr>
                <w:sz w:val="20"/>
                <w:lang w:val="fr-CA"/>
              </w:rPr>
            </w:pPr>
            <w:r w:rsidRPr="008065A3">
              <w:rPr>
                <w:sz w:val="20"/>
                <w:lang w:val="fr-CA"/>
              </w:rPr>
              <w:t>Cour d’appel de la Colombie</w:t>
            </w:r>
            <w:r w:rsidRPr="008065A3">
              <w:rPr>
                <w:sz w:val="20"/>
                <w:lang w:val="fr-CA"/>
              </w:rPr>
              <w:noBreakHyphen/>
              <w:t xml:space="preserve">Britannique </w:t>
            </w:r>
          </w:p>
          <w:p w:rsidR="00043A5E" w:rsidRPr="008065A3" w:rsidRDefault="00043A5E" w:rsidP="00043A5E">
            <w:pPr>
              <w:jc w:val="both"/>
              <w:rPr>
                <w:sz w:val="20"/>
                <w:lang w:val="fr-CA"/>
              </w:rPr>
            </w:pPr>
            <w:r w:rsidRPr="008065A3">
              <w:rPr>
                <w:sz w:val="20"/>
                <w:lang w:val="fr-CA"/>
              </w:rPr>
              <w:t>(Vancouver)</w:t>
            </w:r>
          </w:p>
          <w:p w:rsidR="00043A5E" w:rsidRPr="008065A3" w:rsidRDefault="00043A5E" w:rsidP="00043A5E">
            <w:pPr>
              <w:jc w:val="both"/>
              <w:rPr>
                <w:sz w:val="20"/>
                <w:lang w:val="fr-CA"/>
              </w:rPr>
            </w:pPr>
            <w:r w:rsidRPr="008065A3">
              <w:rPr>
                <w:sz w:val="20"/>
                <w:lang w:val="fr-CA"/>
              </w:rPr>
              <w:t>(Juges Newbury, Savage et Fisher)</w:t>
            </w:r>
          </w:p>
          <w:p w:rsidR="00043A5E" w:rsidRPr="008065A3" w:rsidRDefault="00043A5E" w:rsidP="00043A5E">
            <w:pPr>
              <w:jc w:val="both"/>
              <w:rPr>
                <w:sz w:val="20"/>
                <w:lang w:val="fr-CA"/>
              </w:rPr>
            </w:pPr>
            <w:hyperlink r:id="rId19" w:history="1">
              <w:r w:rsidRPr="008065A3">
                <w:rPr>
                  <w:rStyle w:val="Hyperlink"/>
                  <w:sz w:val="20"/>
                  <w:lang w:val="fr-CA"/>
                </w:rPr>
                <w:t>2018 BCCA 254</w:t>
              </w:r>
            </w:hyperlink>
          </w:p>
          <w:p w:rsidR="00043A5E" w:rsidRPr="008065A3" w:rsidRDefault="00043A5E" w:rsidP="00043A5E">
            <w:pPr>
              <w:jc w:val="both"/>
              <w:rPr>
                <w:sz w:val="20"/>
                <w:lang w:val="fr-CA"/>
              </w:rPr>
            </w:pPr>
          </w:p>
        </w:tc>
        <w:tc>
          <w:tcPr>
            <w:tcW w:w="243" w:type="pct"/>
          </w:tcPr>
          <w:p w:rsidR="00043A5E" w:rsidRPr="008065A3" w:rsidRDefault="00043A5E" w:rsidP="00043A5E">
            <w:pPr>
              <w:jc w:val="both"/>
              <w:rPr>
                <w:sz w:val="20"/>
                <w:lang w:val="fr-CA"/>
              </w:rPr>
            </w:pPr>
          </w:p>
        </w:tc>
        <w:tc>
          <w:tcPr>
            <w:tcW w:w="2330" w:type="pct"/>
          </w:tcPr>
          <w:p w:rsidR="00043A5E" w:rsidRPr="008065A3" w:rsidRDefault="00043A5E" w:rsidP="00043A5E">
            <w:pPr>
              <w:jc w:val="both"/>
              <w:rPr>
                <w:sz w:val="20"/>
                <w:lang w:val="fr-CA"/>
              </w:rPr>
            </w:pPr>
            <w:r w:rsidRPr="008065A3">
              <w:rPr>
                <w:sz w:val="20"/>
                <w:lang w:val="fr-CA"/>
              </w:rPr>
              <w:t xml:space="preserve">L’appel est </w:t>
            </w:r>
            <w:proofErr w:type="gramStart"/>
            <w:r w:rsidRPr="008065A3">
              <w:rPr>
                <w:sz w:val="20"/>
                <w:lang w:val="fr-CA"/>
              </w:rPr>
              <w:t>accueilli</w:t>
            </w:r>
            <w:proofErr w:type="gramEnd"/>
            <w:r w:rsidRPr="008065A3">
              <w:rPr>
                <w:sz w:val="20"/>
                <w:lang w:val="fr-CA"/>
              </w:rPr>
              <w:t xml:space="preserve"> en partie, la peine d’une durée indéterminée est annulée et remplacée par une peine de détention pour une période déterminée assortie d’une ordonnance de surveillance de longue durée.</w:t>
            </w:r>
          </w:p>
        </w:tc>
      </w:tr>
      <w:tr w:rsidR="00043A5E" w:rsidRPr="008065A3" w:rsidTr="00E3334E">
        <w:tc>
          <w:tcPr>
            <w:tcW w:w="2427" w:type="pct"/>
            <w:gridSpan w:val="2"/>
          </w:tcPr>
          <w:p w:rsidR="00043A5E" w:rsidRPr="008065A3" w:rsidRDefault="00043A5E" w:rsidP="00043A5E">
            <w:pPr>
              <w:jc w:val="both"/>
              <w:rPr>
                <w:sz w:val="20"/>
                <w:lang w:val="fr-CA"/>
              </w:rPr>
            </w:pPr>
            <w:r w:rsidRPr="008065A3">
              <w:rPr>
                <w:sz w:val="20"/>
                <w:lang w:val="fr-CA"/>
              </w:rPr>
              <w:t>11 juillet 2019</w:t>
            </w:r>
          </w:p>
          <w:p w:rsidR="00043A5E" w:rsidRPr="008065A3" w:rsidRDefault="00043A5E" w:rsidP="00043A5E">
            <w:pPr>
              <w:jc w:val="both"/>
              <w:rPr>
                <w:sz w:val="20"/>
                <w:lang w:val="fr-CA"/>
              </w:rPr>
            </w:pPr>
            <w:r w:rsidRPr="008065A3">
              <w:rPr>
                <w:sz w:val="20"/>
                <w:lang w:val="fr-CA"/>
              </w:rPr>
              <w:t>Cour suprême du Canada</w:t>
            </w:r>
          </w:p>
        </w:tc>
        <w:tc>
          <w:tcPr>
            <w:tcW w:w="243" w:type="pct"/>
          </w:tcPr>
          <w:p w:rsidR="00043A5E" w:rsidRPr="008065A3" w:rsidRDefault="00043A5E" w:rsidP="00043A5E">
            <w:pPr>
              <w:jc w:val="both"/>
              <w:rPr>
                <w:sz w:val="20"/>
                <w:lang w:val="fr-CA"/>
              </w:rPr>
            </w:pPr>
          </w:p>
        </w:tc>
        <w:tc>
          <w:tcPr>
            <w:tcW w:w="2330" w:type="pct"/>
          </w:tcPr>
          <w:p w:rsidR="00043A5E" w:rsidRPr="008065A3" w:rsidRDefault="00043A5E" w:rsidP="00043A5E">
            <w:pPr>
              <w:jc w:val="both"/>
              <w:rPr>
                <w:sz w:val="20"/>
                <w:lang w:val="fr-CA"/>
              </w:rPr>
            </w:pPr>
            <w:r w:rsidRPr="008065A3">
              <w:rPr>
                <w:sz w:val="20"/>
                <w:lang w:val="fr-CA"/>
              </w:rPr>
              <w:t>La demande d’autorisation d’appel est présentée.</w:t>
            </w:r>
          </w:p>
          <w:p w:rsidR="00043A5E" w:rsidRPr="008065A3" w:rsidRDefault="00043A5E" w:rsidP="00043A5E">
            <w:pPr>
              <w:jc w:val="both"/>
              <w:rPr>
                <w:sz w:val="20"/>
                <w:lang w:val="fr-CA"/>
              </w:rPr>
            </w:pPr>
          </w:p>
        </w:tc>
      </w:tr>
    </w:tbl>
    <w:p w:rsidR="00043A5E" w:rsidRPr="008065A3" w:rsidRDefault="00043A5E" w:rsidP="00043A5E">
      <w:pPr>
        <w:jc w:val="both"/>
        <w:rPr>
          <w:sz w:val="20"/>
          <w:lang w:val="fr-CA"/>
        </w:rPr>
      </w:pPr>
    </w:p>
    <w:p w:rsidR="00043A5E" w:rsidRPr="008065A3" w:rsidRDefault="00E3334E" w:rsidP="00043A5E">
      <w:pPr>
        <w:jc w:val="both"/>
        <w:rPr>
          <w:sz w:val="20"/>
          <w:lang w:val="fr-CA"/>
        </w:rPr>
      </w:pPr>
      <w:r w:rsidRPr="008065A3">
        <w:rPr>
          <w:sz w:val="20"/>
        </w:rPr>
        <w:pict>
          <v:rect id="_x0000_i1052" style="width:2in;height:1pt" o:hrpct="0" o:hralign="center" o:hrstd="t" o:hrnoshade="t" o:hr="t" fillcolor="black [3213]" stroked="f"/>
        </w:pict>
      </w:r>
    </w:p>
    <w:p w:rsidR="00E3334E" w:rsidRPr="008065A3" w:rsidRDefault="00E3334E" w:rsidP="00043A5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3A5E" w:rsidRPr="008065A3" w:rsidTr="00E3334E">
        <w:tc>
          <w:tcPr>
            <w:tcW w:w="543" w:type="pct"/>
          </w:tcPr>
          <w:p w:rsidR="00043A5E" w:rsidRPr="008065A3" w:rsidRDefault="00043A5E" w:rsidP="00043A5E">
            <w:pPr>
              <w:jc w:val="both"/>
              <w:rPr>
                <w:sz w:val="20"/>
                <w:lang w:val="en-CA"/>
              </w:rPr>
            </w:pPr>
            <w:r w:rsidRPr="008065A3">
              <w:rPr>
                <w:rStyle w:val="SCCFileNumberChar"/>
                <w:sz w:val="20"/>
                <w:szCs w:val="20"/>
              </w:rPr>
              <w:t>39369</w:t>
            </w:r>
          </w:p>
        </w:tc>
        <w:tc>
          <w:tcPr>
            <w:tcW w:w="4457" w:type="pct"/>
            <w:gridSpan w:val="3"/>
          </w:tcPr>
          <w:p w:rsidR="00043A5E" w:rsidRPr="008065A3" w:rsidRDefault="00043A5E" w:rsidP="00043A5E">
            <w:pPr>
              <w:pStyle w:val="SCCLsocParty"/>
              <w:jc w:val="both"/>
              <w:rPr>
                <w:b/>
                <w:sz w:val="20"/>
                <w:szCs w:val="20"/>
                <w:lang w:val="en-CA"/>
              </w:rPr>
            </w:pPr>
            <w:r w:rsidRPr="008065A3">
              <w:rPr>
                <w:b/>
                <w:sz w:val="20"/>
                <w:szCs w:val="20"/>
                <w:lang w:val="en-CA"/>
              </w:rPr>
              <w:t xml:space="preserve">Fernando Berardini </w:t>
            </w:r>
            <w:r w:rsidR="00E3334E" w:rsidRPr="008065A3">
              <w:rPr>
                <w:b/>
                <w:sz w:val="20"/>
                <w:szCs w:val="20"/>
                <w:lang w:val="en-CA"/>
              </w:rPr>
              <w:t>I</w:t>
            </w:r>
            <w:r w:rsidRPr="008065A3">
              <w:rPr>
                <w:b/>
                <w:sz w:val="20"/>
                <w:szCs w:val="20"/>
                <w:lang w:val="en-CA"/>
              </w:rPr>
              <w:t>nc. v. Accuracy Canada Inc.</w:t>
            </w:r>
          </w:p>
          <w:p w:rsidR="00043A5E" w:rsidRPr="008065A3" w:rsidRDefault="00043A5E" w:rsidP="00043A5E">
            <w:pPr>
              <w:jc w:val="both"/>
              <w:rPr>
                <w:sz w:val="20"/>
                <w:lang w:val="en-CA"/>
              </w:rPr>
            </w:pPr>
            <w:r w:rsidRPr="008065A3">
              <w:rPr>
                <w:sz w:val="20"/>
                <w:lang w:val="en-CA"/>
              </w:rPr>
              <w:t>(Que.) (Civil) (By Leave)</w:t>
            </w:r>
          </w:p>
        </w:tc>
      </w:tr>
      <w:tr w:rsidR="00043A5E" w:rsidRPr="008065A3" w:rsidTr="00E3334E">
        <w:tc>
          <w:tcPr>
            <w:tcW w:w="5000" w:type="pct"/>
            <w:gridSpan w:val="4"/>
          </w:tcPr>
          <w:p w:rsidR="00043A5E" w:rsidRPr="008065A3" w:rsidRDefault="00043A5E" w:rsidP="00043A5E">
            <w:pPr>
              <w:jc w:val="both"/>
              <w:rPr>
                <w:sz w:val="20"/>
                <w:lang w:val="en-CA"/>
              </w:rPr>
            </w:pPr>
            <w:proofErr w:type="gramStart"/>
            <w:r w:rsidRPr="008065A3">
              <w:rPr>
                <w:sz w:val="20"/>
                <w:lang w:val="en-CA"/>
              </w:rPr>
              <w:t xml:space="preserve">Contracts — Contract for services — Law of professions — Unpaid fees — Obligations of expert witness — Duty to provide information on approximate anticipated cost — Fair and reasonable fees — Bias — Summary dismissal of appeal — Forensic accounting expert retained for litigation between applicant milk distribution company and Natrel — Litigation brought by applicant against Natrel to claim substantial lost profits resulting from alleged unfair practices — Applicant arguing that invoices for expert evidence could not be set up against it because there was no legal relationship between it and respondent company retained as expert, and arguing in alternative that fees billed were excessive — Whether application for leave to appeal raises question of public importance — </w:t>
            </w:r>
            <w:r w:rsidRPr="008065A3">
              <w:rPr>
                <w:i/>
                <w:sz w:val="20"/>
                <w:lang w:val="en-CA"/>
              </w:rPr>
              <w:t>Code of Civil Procedure</w:t>
            </w:r>
            <w:r w:rsidRPr="008065A3">
              <w:rPr>
                <w:sz w:val="20"/>
                <w:lang w:val="en-CA"/>
              </w:rPr>
              <w:t>, CQLR, c. C</w:t>
            </w:r>
            <w:r w:rsidRPr="008065A3">
              <w:rPr>
                <w:sz w:val="20"/>
                <w:lang w:val="en-CA"/>
              </w:rPr>
              <w:noBreakHyphen/>
              <w:t>25.01, art. </w:t>
            </w:r>
            <w:proofErr w:type="gramEnd"/>
            <w:r w:rsidRPr="008065A3">
              <w:rPr>
                <w:sz w:val="20"/>
                <w:lang w:val="en-CA"/>
              </w:rPr>
              <w:t>365.</w:t>
            </w:r>
          </w:p>
        </w:tc>
      </w:tr>
      <w:tr w:rsidR="00043A5E" w:rsidRPr="008065A3" w:rsidTr="00E3334E">
        <w:tc>
          <w:tcPr>
            <w:tcW w:w="5000" w:type="pct"/>
            <w:gridSpan w:val="4"/>
          </w:tcPr>
          <w:p w:rsidR="00043A5E" w:rsidRPr="008065A3" w:rsidRDefault="00043A5E" w:rsidP="00043A5E">
            <w:pPr>
              <w:jc w:val="both"/>
              <w:rPr>
                <w:sz w:val="20"/>
                <w:lang w:val="en-CA"/>
              </w:rPr>
            </w:pPr>
          </w:p>
        </w:tc>
      </w:tr>
      <w:tr w:rsidR="00043A5E" w:rsidRPr="008065A3" w:rsidTr="00E3334E">
        <w:tc>
          <w:tcPr>
            <w:tcW w:w="5000" w:type="pct"/>
            <w:gridSpan w:val="4"/>
          </w:tcPr>
          <w:p w:rsidR="00043A5E" w:rsidRPr="008065A3" w:rsidRDefault="00043A5E" w:rsidP="00043A5E">
            <w:pPr>
              <w:jc w:val="both"/>
              <w:rPr>
                <w:sz w:val="20"/>
                <w:lang w:val="en-CA"/>
              </w:rPr>
            </w:pPr>
            <w:r w:rsidRPr="008065A3">
              <w:rPr>
                <w:sz w:val="20"/>
                <w:lang w:val="en-CA"/>
              </w:rPr>
              <w:t xml:space="preserve">The respondent, Accuracy Canada Inc., is a company that specializes in providing forensic accounting services and financial advice. It claimed unpaid professional fees that </w:t>
            </w:r>
            <w:proofErr w:type="gramStart"/>
            <w:r w:rsidRPr="008065A3">
              <w:rPr>
                <w:sz w:val="20"/>
                <w:lang w:val="en-CA"/>
              </w:rPr>
              <w:t>had been billed</w:t>
            </w:r>
            <w:proofErr w:type="gramEnd"/>
            <w:r w:rsidRPr="008065A3">
              <w:rPr>
                <w:sz w:val="20"/>
                <w:lang w:val="en-CA"/>
              </w:rPr>
              <w:t xml:space="preserve"> for services provided to the applicant, Fernando Berardini inc., a company specializing in the sale and distribution of milk, in connection with litigation between Berardini and Natrel. Berardini had sued Natrel over unfair practices whose purpose was allegedly to deprive it of a significant share of its customers. Berardini was successful in the litigation against Natrel, but the damages awarded to it were considerably lower than what it had sought. Berardini denied owing the amounts claimed by Accuracy and, in the alternative, argued that the professional fees billed and claimed were not fair and reasonable. Accuracy’s application for payment of the unpaid invoices </w:t>
            </w:r>
            <w:proofErr w:type="gramStart"/>
            <w:r w:rsidRPr="008065A3">
              <w:rPr>
                <w:sz w:val="20"/>
                <w:lang w:val="en-CA"/>
              </w:rPr>
              <w:t>was allowed</w:t>
            </w:r>
            <w:proofErr w:type="gramEnd"/>
            <w:r w:rsidRPr="008065A3">
              <w:rPr>
                <w:sz w:val="20"/>
                <w:lang w:val="en-CA"/>
              </w:rPr>
              <w:t xml:space="preserve"> in part by the Superior Court, which found that Accuracy had been given a mandate and that it had an obligation of means and not one of result in performing that mandate. The court nonetheless held that Accuracy had failed to inform Berardini of the approximate anticipated cost of some of its services, with the result that the value of one of the invoices had to </w:t>
            </w:r>
            <w:proofErr w:type="gramStart"/>
            <w:r w:rsidRPr="008065A3">
              <w:rPr>
                <w:sz w:val="20"/>
                <w:lang w:val="en-CA"/>
              </w:rPr>
              <w:t>be reduced</w:t>
            </w:r>
            <w:proofErr w:type="gramEnd"/>
            <w:r w:rsidRPr="008065A3">
              <w:rPr>
                <w:sz w:val="20"/>
                <w:lang w:val="en-CA"/>
              </w:rPr>
              <w:t>. The Court of Appeal allowed Accuracy’s motion to dismiss Berardini’s appeal because, in its view, the appeal had no reasonable chance of success.</w:t>
            </w:r>
          </w:p>
          <w:p w:rsidR="00043A5E" w:rsidRPr="008065A3" w:rsidRDefault="00043A5E" w:rsidP="00043A5E">
            <w:pPr>
              <w:jc w:val="both"/>
              <w:rPr>
                <w:sz w:val="20"/>
                <w:lang w:val="en-CA"/>
              </w:rPr>
            </w:pPr>
          </w:p>
        </w:tc>
      </w:tr>
      <w:tr w:rsidR="00043A5E" w:rsidRPr="008065A3" w:rsidTr="00E3334E">
        <w:tc>
          <w:tcPr>
            <w:tcW w:w="2427" w:type="pct"/>
            <w:gridSpan w:val="2"/>
          </w:tcPr>
          <w:p w:rsidR="00043A5E" w:rsidRPr="008065A3" w:rsidRDefault="00043A5E" w:rsidP="00043A5E">
            <w:pPr>
              <w:jc w:val="both"/>
              <w:rPr>
                <w:sz w:val="20"/>
                <w:lang w:val="en-CA"/>
              </w:rPr>
            </w:pPr>
            <w:r w:rsidRPr="008065A3">
              <w:rPr>
                <w:sz w:val="20"/>
                <w:lang w:val="en-CA"/>
              </w:rPr>
              <w:t>October 7, 2019</w:t>
            </w:r>
          </w:p>
          <w:p w:rsidR="00043A5E" w:rsidRPr="008065A3" w:rsidRDefault="00043A5E" w:rsidP="00043A5E">
            <w:pPr>
              <w:jc w:val="both"/>
              <w:rPr>
                <w:sz w:val="20"/>
                <w:lang w:val="en-CA"/>
              </w:rPr>
            </w:pPr>
            <w:r w:rsidRPr="008065A3">
              <w:rPr>
                <w:sz w:val="20"/>
                <w:lang w:val="en-CA"/>
              </w:rPr>
              <w:t>Quebec Superior Court</w:t>
            </w:r>
          </w:p>
          <w:p w:rsidR="00043A5E" w:rsidRPr="008065A3" w:rsidRDefault="00043A5E" w:rsidP="00043A5E">
            <w:pPr>
              <w:jc w:val="both"/>
              <w:rPr>
                <w:sz w:val="20"/>
                <w:lang w:val="en-CA"/>
              </w:rPr>
            </w:pPr>
            <w:r w:rsidRPr="008065A3">
              <w:rPr>
                <w:sz w:val="20"/>
                <w:lang w:val="en-CA"/>
              </w:rPr>
              <w:t>(Rogers J.)</w:t>
            </w:r>
          </w:p>
          <w:p w:rsidR="00043A5E" w:rsidRPr="008065A3" w:rsidRDefault="00043A5E" w:rsidP="00043A5E">
            <w:pPr>
              <w:jc w:val="both"/>
              <w:rPr>
                <w:sz w:val="20"/>
                <w:lang w:val="en-CA"/>
              </w:rPr>
            </w:pPr>
            <w:hyperlink r:id="rId20" w:history="1">
              <w:r w:rsidRPr="008065A3">
                <w:rPr>
                  <w:rStyle w:val="Hyperlink"/>
                  <w:sz w:val="20"/>
                  <w:lang w:val="en-CA"/>
                </w:rPr>
                <w:t>2019 QCCS 4246</w:t>
              </w:r>
            </w:hyperlink>
          </w:p>
          <w:p w:rsidR="00043A5E" w:rsidRPr="008065A3" w:rsidRDefault="00043A5E" w:rsidP="00043A5E">
            <w:pPr>
              <w:jc w:val="both"/>
              <w:rPr>
                <w:sz w:val="20"/>
                <w:lang w:val="en-CA"/>
              </w:rPr>
            </w:pPr>
          </w:p>
        </w:tc>
        <w:tc>
          <w:tcPr>
            <w:tcW w:w="243" w:type="pct"/>
          </w:tcPr>
          <w:p w:rsidR="00043A5E" w:rsidRPr="008065A3" w:rsidRDefault="00043A5E" w:rsidP="00043A5E">
            <w:pPr>
              <w:jc w:val="both"/>
              <w:rPr>
                <w:sz w:val="20"/>
                <w:lang w:val="en-CA"/>
              </w:rPr>
            </w:pPr>
          </w:p>
        </w:tc>
        <w:tc>
          <w:tcPr>
            <w:tcW w:w="2330" w:type="pct"/>
          </w:tcPr>
          <w:p w:rsidR="00043A5E" w:rsidRPr="008065A3" w:rsidRDefault="00043A5E" w:rsidP="00043A5E">
            <w:pPr>
              <w:jc w:val="both"/>
              <w:rPr>
                <w:sz w:val="20"/>
                <w:lang w:val="en-CA"/>
              </w:rPr>
            </w:pPr>
            <w:r w:rsidRPr="008065A3">
              <w:rPr>
                <w:sz w:val="20"/>
                <w:lang w:val="en-CA"/>
              </w:rPr>
              <w:t>Application to recover unpaid professional fees allowed in part; applicant ordered to pay $76,886 on invoices ACC</w:t>
            </w:r>
            <w:r w:rsidRPr="008065A3">
              <w:rPr>
                <w:sz w:val="20"/>
                <w:lang w:val="en-CA"/>
              </w:rPr>
              <w:noBreakHyphen/>
              <w:t>CA</w:t>
            </w:r>
            <w:r w:rsidRPr="008065A3">
              <w:rPr>
                <w:sz w:val="20"/>
                <w:lang w:val="en-CA"/>
              </w:rPr>
              <w:noBreakHyphen/>
              <w:t>15627 and ACC</w:t>
            </w:r>
            <w:r w:rsidRPr="008065A3">
              <w:rPr>
                <w:sz w:val="20"/>
                <w:lang w:val="en-CA"/>
              </w:rPr>
              <w:noBreakHyphen/>
              <w:t>CA</w:t>
            </w:r>
            <w:r w:rsidRPr="008065A3">
              <w:rPr>
                <w:sz w:val="20"/>
                <w:lang w:val="en-CA"/>
              </w:rPr>
              <w:noBreakHyphen/>
              <w:t>15681</w:t>
            </w:r>
          </w:p>
          <w:p w:rsidR="00043A5E" w:rsidRPr="008065A3" w:rsidRDefault="00043A5E" w:rsidP="00043A5E">
            <w:pPr>
              <w:jc w:val="both"/>
              <w:rPr>
                <w:sz w:val="20"/>
                <w:lang w:val="en-CA"/>
              </w:rPr>
            </w:pPr>
          </w:p>
        </w:tc>
      </w:tr>
      <w:tr w:rsidR="00043A5E" w:rsidRPr="008065A3" w:rsidTr="00E3334E">
        <w:tc>
          <w:tcPr>
            <w:tcW w:w="2427" w:type="pct"/>
            <w:gridSpan w:val="2"/>
          </w:tcPr>
          <w:p w:rsidR="00043A5E" w:rsidRPr="008065A3" w:rsidRDefault="00043A5E" w:rsidP="00043A5E">
            <w:pPr>
              <w:jc w:val="both"/>
              <w:rPr>
                <w:sz w:val="20"/>
                <w:lang w:val="en-CA"/>
              </w:rPr>
            </w:pPr>
            <w:r w:rsidRPr="008065A3">
              <w:rPr>
                <w:sz w:val="20"/>
                <w:lang w:val="en-CA"/>
              </w:rPr>
              <w:t>February 3, 2020</w:t>
            </w:r>
          </w:p>
          <w:p w:rsidR="00043A5E" w:rsidRPr="008065A3" w:rsidRDefault="00043A5E" w:rsidP="00043A5E">
            <w:pPr>
              <w:jc w:val="both"/>
              <w:rPr>
                <w:sz w:val="20"/>
                <w:lang w:val="en-CA"/>
              </w:rPr>
            </w:pPr>
            <w:r w:rsidRPr="008065A3">
              <w:rPr>
                <w:sz w:val="20"/>
                <w:lang w:val="en-CA"/>
              </w:rPr>
              <w:t>Quebec Court of Appeal (Québec)</w:t>
            </w:r>
          </w:p>
          <w:p w:rsidR="00043A5E" w:rsidRPr="008065A3" w:rsidRDefault="00043A5E" w:rsidP="00043A5E">
            <w:pPr>
              <w:jc w:val="both"/>
              <w:rPr>
                <w:sz w:val="20"/>
                <w:lang w:val="en-CA"/>
              </w:rPr>
            </w:pPr>
            <w:r w:rsidRPr="008065A3">
              <w:rPr>
                <w:sz w:val="20"/>
                <w:lang w:val="en-CA"/>
              </w:rPr>
              <w:lastRenderedPageBreak/>
              <w:t>(Gagnon, Marcotte and Cotnam JJ.A.)</w:t>
            </w:r>
          </w:p>
          <w:p w:rsidR="00043A5E" w:rsidRPr="008065A3" w:rsidRDefault="00043A5E" w:rsidP="00043A5E">
            <w:pPr>
              <w:jc w:val="both"/>
              <w:rPr>
                <w:sz w:val="20"/>
                <w:lang w:val="en-CA"/>
              </w:rPr>
            </w:pPr>
            <w:r w:rsidRPr="008065A3">
              <w:rPr>
                <w:sz w:val="20"/>
                <w:lang w:val="en-CA"/>
              </w:rPr>
              <w:t>File No. 500</w:t>
            </w:r>
            <w:r w:rsidRPr="008065A3">
              <w:rPr>
                <w:sz w:val="20"/>
                <w:lang w:val="en-CA"/>
              </w:rPr>
              <w:noBreakHyphen/>
              <w:t>09</w:t>
            </w:r>
            <w:r w:rsidRPr="008065A3">
              <w:rPr>
                <w:sz w:val="20"/>
                <w:lang w:val="en-CA"/>
              </w:rPr>
              <w:noBreakHyphen/>
              <w:t>028706</w:t>
            </w:r>
            <w:r w:rsidRPr="008065A3">
              <w:rPr>
                <w:sz w:val="20"/>
                <w:lang w:val="en-CA"/>
              </w:rPr>
              <w:noBreakHyphen/>
              <w:t>190</w:t>
            </w:r>
          </w:p>
          <w:p w:rsidR="00043A5E" w:rsidRPr="008065A3" w:rsidRDefault="00043A5E" w:rsidP="00043A5E">
            <w:pPr>
              <w:jc w:val="both"/>
              <w:rPr>
                <w:sz w:val="20"/>
                <w:lang w:val="en-CA"/>
              </w:rPr>
            </w:pPr>
            <w:hyperlink r:id="rId21" w:history="1">
              <w:r w:rsidRPr="008065A3">
                <w:rPr>
                  <w:rStyle w:val="Hyperlink"/>
                  <w:sz w:val="20"/>
                  <w:lang w:val="en-CA"/>
                </w:rPr>
                <w:t>2020 QCCA 204</w:t>
              </w:r>
            </w:hyperlink>
          </w:p>
          <w:p w:rsidR="00043A5E" w:rsidRPr="008065A3" w:rsidRDefault="00043A5E" w:rsidP="00043A5E">
            <w:pPr>
              <w:jc w:val="both"/>
              <w:rPr>
                <w:sz w:val="20"/>
                <w:lang w:val="en-CA"/>
              </w:rPr>
            </w:pPr>
          </w:p>
        </w:tc>
        <w:tc>
          <w:tcPr>
            <w:tcW w:w="243" w:type="pct"/>
          </w:tcPr>
          <w:p w:rsidR="00043A5E" w:rsidRPr="008065A3" w:rsidRDefault="00043A5E" w:rsidP="00043A5E">
            <w:pPr>
              <w:jc w:val="both"/>
              <w:rPr>
                <w:sz w:val="20"/>
                <w:lang w:val="en-CA"/>
              </w:rPr>
            </w:pPr>
          </w:p>
        </w:tc>
        <w:tc>
          <w:tcPr>
            <w:tcW w:w="2330" w:type="pct"/>
          </w:tcPr>
          <w:p w:rsidR="00043A5E" w:rsidRPr="008065A3" w:rsidRDefault="00043A5E" w:rsidP="00043A5E">
            <w:pPr>
              <w:jc w:val="both"/>
              <w:rPr>
                <w:sz w:val="20"/>
                <w:lang w:val="en-CA"/>
              </w:rPr>
            </w:pPr>
            <w:r w:rsidRPr="008065A3">
              <w:rPr>
                <w:sz w:val="20"/>
                <w:lang w:val="en-CA"/>
              </w:rPr>
              <w:t>Motion to dismiss appeal allowed; appeal dismissed</w:t>
            </w:r>
          </w:p>
          <w:p w:rsidR="00043A5E" w:rsidRPr="008065A3" w:rsidRDefault="00043A5E" w:rsidP="00043A5E">
            <w:pPr>
              <w:jc w:val="both"/>
              <w:rPr>
                <w:sz w:val="20"/>
                <w:lang w:val="en-CA"/>
              </w:rPr>
            </w:pPr>
          </w:p>
        </w:tc>
      </w:tr>
      <w:tr w:rsidR="00043A5E" w:rsidRPr="008065A3" w:rsidTr="00E3334E">
        <w:tc>
          <w:tcPr>
            <w:tcW w:w="2427" w:type="pct"/>
            <w:gridSpan w:val="2"/>
          </w:tcPr>
          <w:p w:rsidR="00043A5E" w:rsidRPr="008065A3" w:rsidRDefault="00043A5E" w:rsidP="00043A5E">
            <w:pPr>
              <w:jc w:val="both"/>
              <w:rPr>
                <w:sz w:val="20"/>
                <w:lang w:val="en-CA"/>
              </w:rPr>
            </w:pPr>
            <w:r w:rsidRPr="008065A3">
              <w:rPr>
                <w:sz w:val="20"/>
                <w:lang w:val="en-CA"/>
              </w:rPr>
              <w:lastRenderedPageBreak/>
              <w:t>October 5, 2020</w:t>
            </w:r>
          </w:p>
          <w:p w:rsidR="00043A5E" w:rsidRPr="008065A3" w:rsidRDefault="00043A5E" w:rsidP="00043A5E">
            <w:pPr>
              <w:jc w:val="both"/>
              <w:rPr>
                <w:sz w:val="20"/>
                <w:lang w:val="en-CA"/>
              </w:rPr>
            </w:pPr>
            <w:r w:rsidRPr="008065A3">
              <w:rPr>
                <w:sz w:val="20"/>
                <w:lang w:val="en-CA"/>
              </w:rPr>
              <w:t>Supreme Court of Canada</w:t>
            </w:r>
          </w:p>
        </w:tc>
        <w:tc>
          <w:tcPr>
            <w:tcW w:w="243" w:type="pct"/>
          </w:tcPr>
          <w:p w:rsidR="00043A5E" w:rsidRPr="008065A3" w:rsidRDefault="00043A5E" w:rsidP="00043A5E">
            <w:pPr>
              <w:jc w:val="both"/>
              <w:rPr>
                <w:sz w:val="20"/>
                <w:lang w:val="en-CA"/>
              </w:rPr>
            </w:pPr>
          </w:p>
        </w:tc>
        <w:tc>
          <w:tcPr>
            <w:tcW w:w="2330" w:type="pct"/>
          </w:tcPr>
          <w:p w:rsidR="00043A5E" w:rsidRPr="008065A3" w:rsidRDefault="00043A5E" w:rsidP="00043A5E">
            <w:pPr>
              <w:jc w:val="both"/>
              <w:rPr>
                <w:sz w:val="20"/>
                <w:lang w:val="en-CA"/>
              </w:rPr>
            </w:pPr>
            <w:r w:rsidRPr="008065A3">
              <w:rPr>
                <w:sz w:val="20"/>
                <w:lang w:val="en-CA"/>
              </w:rPr>
              <w:t>Application for leave to appeal filed</w:t>
            </w:r>
          </w:p>
          <w:p w:rsidR="00043A5E" w:rsidRPr="008065A3" w:rsidRDefault="00043A5E" w:rsidP="00043A5E">
            <w:pPr>
              <w:jc w:val="both"/>
              <w:rPr>
                <w:sz w:val="20"/>
                <w:lang w:val="en-CA"/>
              </w:rPr>
            </w:pPr>
          </w:p>
        </w:tc>
      </w:tr>
    </w:tbl>
    <w:p w:rsidR="00043A5E" w:rsidRPr="008065A3" w:rsidRDefault="00043A5E" w:rsidP="00043A5E">
      <w:pPr>
        <w:jc w:val="both"/>
        <w:rPr>
          <w:sz w:val="20"/>
          <w:lang w:val="en-CA"/>
        </w:rPr>
      </w:pPr>
    </w:p>
    <w:p w:rsidR="00E3334E" w:rsidRPr="008065A3" w:rsidRDefault="00E3334E" w:rsidP="00043A5E">
      <w:pPr>
        <w:jc w:val="both"/>
        <w:rPr>
          <w:sz w:val="20"/>
          <w:lang w:val="en-CA"/>
        </w:rPr>
      </w:pPr>
      <w:r w:rsidRPr="008065A3">
        <w:rPr>
          <w:sz w:val="20"/>
        </w:rPr>
        <w:pict>
          <v:rect id="_x0000_i1053" style="width:2in;height:1pt" o:hrpct="0" o:hralign="center" o:hrstd="t" o:hrnoshade="t" o:hr="t" fillcolor="black [3213]" stroked="f"/>
        </w:pict>
      </w:r>
    </w:p>
    <w:p w:rsidR="00E3334E" w:rsidRPr="008065A3" w:rsidRDefault="00E3334E" w:rsidP="00043A5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3A5E" w:rsidRPr="008065A3" w:rsidTr="00E3334E">
        <w:tc>
          <w:tcPr>
            <w:tcW w:w="543" w:type="pct"/>
          </w:tcPr>
          <w:p w:rsidR="00043A5E" w:rsidRPr="008065A3" w:rsidRDefault="00043A5E" w:rsidP="00043A5E">
            <w:pPr>
              <w:jc w:val="both"/>
              <w:rPr>
                <w:sz w:val="20"/>
              </w:rPr>
            </w:pPr>
            <w:r w:rsidRPr="008065A3">
              <w:rPr>
                <w:rStyle w:val="SCCFileNumberChar"/>
                <w:sz w:val="20"/>
                <w:szCs w:val="20"/>
              </w:rPr>
              <w:t>39369</w:t>
            </w:r>
          </w:p>
        </w:tc>
        <w:tc>
          <w:tcPr>
            <w:tcW w:w="4457" w:type="pct"/>
            <w:gridSpan w:val="3"/>
          </w:tcPr>
          <w:p w:rsidR="00043A5E" w:rsidRPr="008065A3" w:rsidRDefault="00043A5E" w:rsidP="00043A5E">
            <w:pPr>
              <w:pStyle w:val="SCCLsocParty"/>
              <w:jc w:val="both"/>
              <w:rPr>
                <w:b/>
                <w:sz w:val="20"/>
                <w:szCs w:val="20"/>
                <w:lang w:val="en-US"/>
              </w:rPr>
            </w:pPr>
            <w:r w:rsidRPr="008065A3">
              <w:rPr>
                <w:b/>
                <w:sz w:val="20"/>
                <w:szCs w:val="20"/>
                <w:lang w:val="en-US"/>
              </w:rPr>
              <w:t>Fernando Berardini inc. c. Accuracy Canada inc.</w:t>
            </w:r>
          </w:p>
          <w:p w:rsidR="00043A5E" w:rsidRPr="008065A3" w:rsidRDefault="00043A5E" w:rsidP="00043A5E">
            <w:pPr>
              <w:jc w:val="both"/>
              <w:rPr>
                <w:sz w:val="20"/>
              </w:rPr>
            </w:pPr>
            <w:r w:rsidRPr="008065A3">
              <w:rPr>
                <w:sz w:val="20"/>
              </w:rPr>
              <w:t>(Qc) (Civile) (Autorisation)</w:t>
            </w:r>
          </w:p>
        </w:tc>
      </w:tr>
      <w:tr w:rsidR="00043A5E" w:rsidRPr="008065A3" w:rsidTr="00E3334E">
        <w:tc>
          <w:tcPr>
            <w:tcW w:w="5000" w:type="pct"/>
            <w:gridSpan w:val="4"/>
          </w:tcPr>
          <w:p w:rsidR="00043A5E" w:rsidRPr="008065A3" w:rsidRDefault="00043A5E" w:rsidP="00043A5E">
            <w:pPr>
              <w:jc w:val="both"/>
              <w:rPr>
                <w:sz w:val="20"/>
                <w:lang w:val="fr-CA"/>
              </w:rPr>
            </w:pPr>
            <w:r w:rsidRPr="008065A3">
              <w:rPr>
                <w:sz w:val="20"/>
                <w:lang w:val="fr-CA"/>
              </w:rPr>
              <w:t>Contrats — Contrat de service — Droit des professions — Honoraires impayés — Obligations du témoin expert — Devoir d’information du coût approximatif et prévisible — Honoraires justes et raisonnables — Partialité — Rejet sommaire d’appel — Expert en juricomptabilité retenu dans le cadre d’un litige opposant la demanderesse, une compagnie distributrice de lait, à Natrel —Litige intenté par la demanderesse contre Natrel pour réclamer des pertes de profits importants en raison d’agissements déloyaux allégués — Demanderesse soutient que les factures d’expertise émises ne lui sont pas opposables par absence de lien de droit entre elle et la compagnie intimée retenue comme expert, et subsidiairement, que les honoraires facturés sont exagérés — La demande d’autorisation d’appel soulève</w:t>
            </w:r>
            <w:r w:rsidRPr="008065A3">
              <w:rPr>
                <w:sz w:val="20"/>
                <w:lang w:val="fr-CA"/>
              </w:rPr>
              <w:noBreakHyphen/>
              <w:t>t</w:t>
            </w:r>
            <w:r w:rsidRPr="008065A3">
              <w:rPr>
                <w:sz w:val="20"/>
                <w:lang w:val="fr-CA"/>
              </w:rPr>
              <w:noBreakHyphen/>
              <w:t xml:space="preserve">elle une question d’importance pour le public? — </w:t>
            </w:r>
            <w:r w:rsidRPr="008065A3">
              <w:rPr>
                <w:i/>
                <w:sz w:val="20"/>
                <w:lang w:val="fr-CA"/>
              </w:rPr>
              <w:t>Code de procédure civile</w:t>
            </w:r>
            <w:r w:rsidRPr="008065A3">
              <w:rPr>
                <w:sz w:val="20"/>
                <w:lang w:val="fr-CA"/>
              </w:rPr>
              <w:t>, R.L.R.Q. c. C</w:t>
            </w:r>
            <w:r w:rsidRPr="008065A3">
              <w:rPr>
                <w:sz w:val="20"/>
                <w:lang w:val="fr-CA"/>
              </w:rPr>
              <w:noBreakHyphen/>
              <w:t>25.01, art. 365.</w:t>
            </w:r>
          </w:p>
        </w:tc>
      </w:tr>
      <w:tr w:rsidR="00043A5E" w:rsidRPr="008065A3" w:rsidTr="00E3334E">
        <w:tc>
          <w:tcPr>
            <w:tcW w:w="5000" w:type="pct"/>
            <w:gridSpan w:val="4"/>
          </w:tcPr>
          <w:p w:rsidR="00043A5E" w:rsidRPr="008065A3" w:rsidRDefault="00043A5E" w:rsidP="00043A5E">
            <w:pPr>
              <w:jc w:val="both"/>
              <w:rPr>
                <w:sz w:val="20"/>
                <w:lang w:val="fr-CA"/>
              </w:rPr>
            </w:pPr>
          </w:p>
        </w:tc>
      </w:tr>
      <w:tr w:rsidR="00043A5E" w:rsidRPr="008065A3" w:rsidTr="00E3334E">
        <w:tc>
          <w:tcPr>
            <w:tcW w:w="5000" w:type="pct"/>
            <w:gridSpan w:val="4"/>
          </w:tcPr>
          <w:p w:rsidR="00043A5E" w:rsidRPr="008065A3" w:rsidRDefault="00043A5E" w:rsidP="00043A5E">
            <w:pPr>
              <w:jc w:val="both"/>
              <w:rPr>
                <w:sz w:val="20"/>
                <w:lang w:val="fr-CA"/>
              </w:rPr>
            </w:pPr>
            <w:r w:rsidRPr="008065A3">
              <w:rPr>
                <w:sz w:val="20"/>
                <w:lang w:val="fr-CA"/>
              </w:rPr>
              <w:t>L’intimée, Accuracy inc., est une compagnie spécialisée en services de juricomptabilité et conseils financiers qui réclame des honoraires professionnels impayés. Ces honoraires ont été facturés pour des services rendus à la demanderesse, Fernando Berardini inc., une compagnie spécialisée dans la vente et distribution de lait, dans le cadre d’un litige opposant Berardini à Natrel. Berardini a poursuivi Natrel pour des agissements déloyaux qu’elle allègue visait à la déposséder d’une part significative de sa clientèle. Berardini a eu gain de cause dans le litige l’opposant à Natrel, mais les dommages</w:t>
            </w:r>
            <w:r w:rsidRPr="008065A3">
              <w:rPr>
                <w:sz w:val="20"/>
                <w:lang w:val="fr-CA"/>
              </w:rPr>
              <w:noBreakHyphen/>
              <w:t>intérêts qui lui ont été accordés étaient significativement inférieurs à ceux qui étaient réclamés. Berardini nie devoir les sommes réclamées par Accuracy, et subsidiairement, soutient que les honoraires professionnels facturés et réclamés ne sont pas justes et raisonnables. La Cour supérieure a accueilli partiellement la demande d’Accuracy pour le paiement des factures impayées. La cour a conclu qu’un mandat avait été confié à Accuracy, et qu’Accuracy était tenue à une obligation de moyen et non de résultat dans l’exécution de son mandat. La cour a néanmoins déterminé qu’Accuracy a omis d’informer Berardini du coût approximatif et prévisible de certains de ses services, de sorte que la valeur d’une des factures émises devrait être réduite. La Cour d’appel a accueilli la requête en rejet d’appel d’Accuracy, puisqu’à son avis l’appel de Berardini ne présentait aucune chance raisonnable de succès.</w:t>
            </w:r>
          </w:p>
          <w:p w:rsidR="00043A5E" w:rsidRPr="008065A3" w:rsidRDefault="00043A5E" w:rsidP="00043A5E">
            <w:pPr>
              <w:jc w:val="both"/>
              <w:rPr>
                <w:sz w:val="20"/>
                <w:lang w:val="fr-CA"/>
              </w:rPr>
            </w:pPr>
          </w:p>
        </w:tc>
      </w:tr>
      <w:tr w:rsidR="00043A5E" w:rsidRPr="008065A3" w:rsidTr="00E3334E">
        <w:tc>
          <w:tcPr>
            <w:tcW w:w="2427" w:type="pct"/>
            <w:gridSpan w:val="2"/>
          </w:tcPr>
          <w:p w:rsidR="00043A5E" w:rsidRPr="008065A3" w:rsidRDefault="00043A5E" w:rsidP="00043A5E">
            <w:pPr>
              <w:jc w:val="both"/>
              <w:rPr>
                <w:sz w:val="20"/>
                <w:lang w:val="fr-CA"/>
              </w:rPr>
            </w:pPr>
            <w:r w:rsidRPr="008065A3">
              <w:rPr>
                <w:sz w:val="20"/>
                <w:lang w:val="fr-CA"/>
              </w:rPr>
              <w:t>Le 7 octobre 2019</w:t>
            </w:r>
          </w:p>
          <w:p w:rsidR="00043A5E" w:rsidRPr="008065A3" w:rsidRDefault="00043A5E" w:rsidP="00043A5E">
            <w:pPr>
              <w:jc w:val="both"/>
              <w:rPr>
                <w:sz w:val="20"/>
                <w:lang w:val="fr-CA"/>
              </w:rPr>
            </w:pPr>
            <w:r w:rsidRPr="008065A3">
              <w:rPr>
                <w:sz w:val="20"/>
                <w:lang w:val="fr-CA"/>
              </w:rPr>
              <w:t>Cour supérieure du Québec</w:t>
            </w:r>
          </w:p>
          <w:p w:rsidR="00043A5E" w:rsidRPr="008065A3" w:rsidRDefault="00043A5E" w:rsidP="00043A5E">
            <w:pPr>
              <w:jc w:val="both"/>
              <w:rPr>
                <w:sz w:val="20"/>
              </w:rPr>
            </w:pPr>
            <w:r w:rsidRPr="008065A3">
              <w:rPr>
                <w:sz w:val="20"/>
              </w:rPr>
              <w:t>(la juge Rogers)</w:t>
            </w:r>
          </w:p>
          <w:p w:rsidR="00043A5E" w:rsidRPr="008065A3" w:rsidRDefault="00043A5E" w:rsidP="00043A5E">
            <w:pPr>
              <w:jc w:val="both"/>
              <w:rPr>
                <w:sz w:val="20"/>
              </w:rPr>
            </w:pPr>
            <w:hyperlink r:id="rId22" w:history="1">
              <w:r w:rsidRPr="008065A3">
                <w:rPr>
                  <w:rStyle w:val="Hyperlink"/>
                  <w:sz w:val="20"/>
                </w:rPr>
                <w:t>2019 QCCS 4246</w:t>
              </w:r>
            </w:hyperlink>
          </w:p>
          <w:p w:rsidR="00043A5E" w:rsidRPr="008065A3" w:rsidRDefault="00043A5E" w:rsidP="00043A5E">
            <w:pPr>
              <w:jc w:val="both"/>
              <w:rPr>
                <w:sz w:val="20"/>
              </w:rPr>
            </w:pPr>
          </w:p>
        </w:tc>
        <w:tc>
          <w:tcPr>
            <w:tcW w:w="243" w:type="pct"/>
          </w:tcPr>
          <w:p w:rsidR="00043A5E" w:rsidRPr="008065A3" w:rsidRDefault="00043A5E" w:rsidP="00043A5E">
            <w:pPr>
              <w:jc w:val="both"/>
              <w:rPr>
                <w:sz w:val="20"/>
              </w:rPr>
            </w:pPr>
          </w:p>
        </w:tc>
        <w:tc>
          <w:tcPr>
            <w:tcW w:w="2330" w:type="pct"/>
          </w:tcPr>
          <w:p w:rsidR="00043A5E" w:rsidRPr="008065A3" w:rsidRDefault="00043A5E" w:rsidP="00043A5E">
            <w:pPr>
              <w:jc w:val="both"/>
              <w:rPr>
                <w:sz w:val="20"/>
                <w:lang w:val="fr-CA"/>
              </w:rPr>
            </w:pPr>
            <w:r w:rsidRPr="008065A3">
              <w:rPr>
                <w:sz w:val="20"/>
                <w:lang w:val="fr-CA"/>
              </w:rPr>
              <w:t xml:space="preserve">Demande en recouvrement d’honoraires </w:t>
            </w:r>
            <w:proofErr w:type="gramStart"/>
            <w:r w:rsidRPr="008065A3">
              <w:rPr>
                <w:sz w:val="20"/>
                <w:lang w:val="fr-CA"/>
              </w:rPr>
              <w:t>professionnels impayés accueillie</w:t>
            </w:r>
            <w:proofErr w:type="gramEnd"/>
            <w:r w:rsidRPr="008065A3">
              <w:rPr>
                <w:sz w:val="20"/>
                <w:lang w:val="fr-CA"/>
              </w:rPr>
              <w:t xml:space="preserve"> en partie; demanderesse condamnée à payer la somme de 76 886$ en paiement des factures ACC</w:t>
            </w:r>
            <w:r w:rsidRPr="008065A3">
              <w:rPr>
                <w:sz w:val="20"/>
                <w:lang w:val="fr-CA"/>
              </w:rPr>
              <w:noBreakHyphen/>
              <w:t>CA</w:t>
            </w:r>
            <w:r w:rsidRPr="008065A3">
              <w:rPr>
                <w:sz w:val="20"/>
                <w:lang w:val="fr-CA"/>
              </w:rPr>
              <w:noBreakHyphen/>
              <w:t>15627 et ACC</w:t>
            </w:r>
            <w:r w:rsidRPr="008065A3">
              <w:rPr>
                <w:sz w:val="20"/>
                <w:lang w:val="fr-CA"/>
              </w:rPr>
              <w:noBreakHyphen/>
              <w:t>CA</w:t>
            </w:r>
            <w:r w:rsidRPr="008065A3">
              <w:rPr>
                <w:sz w:val="20"/>
                <w:lang w:val="fr-CA"/>
              </w:rPr>
              <w:noBreakHyphen/>
              <w:t>15681</w:t>
            </w:r>
          </w:p>
          <w:p w:rsidR="00043A5E" w:rsidRPr="008065A3" w:rsidRDefault="00043A5E" w:rsidP="00043A5E">
            <w:pPr>
              <w:jc w:val="both"/>
              <w:rPr>
                <w:sz w:val="20"/>
                <w:lang w:val="fr-CA"/>
              </w:rPr>
            </w:pPr>
          </w:p>
        </w:tc>
      </w:tr>
      <w:tr w:rsidR="00043A5E" w:rsidRPr="008065A3" w:rsidTr="00E3334E">
        <w:tc>
          <w:tcPr>
            <w:tcW w:w="2427" w:type="pct"/>
            <w:gridSpan w:val="2"/>
          </w:tcPr>
          <w:p w:rsidR="00043A5E" w:rsidRPr="008065A3" w:rsidRDefault="00043A5E" w:rsidP="00043A5E">
            <w:pPr>
              <w:jc w:val="both"/>
              <w:rPr>
                <w:sz w:val="20"/>
                <w:lang w:val="fr-CA"/>
              </w:rPr>
            </w:pPr>
            <w:r w:rsidRPr="008065A3">
              <w:rPr>
                <w:sz w:val="20"/>
                <w:lang w:val="fr-CA"/>
              </w:rPr>
              <w:t>Le 3 février 2020</w:t>
            </w:r>
          </w:p>
          <w:p w:rsidR="00043A5E" w:rsidRPr="008065A3" w:rsidRDefault="00043A5E" w:rsidP="00043A5E">
            <w:pPr>
              <w:jc w:val="both"/>
              <w:rPr>
                <w:sz w:val="20"/>
                <w:lang w:val="fr-CA"/>
              </w:rPr>
            </w:pPr>
            <w:r w:rsidRPr="008065A3">
              <w:rPr>
                <w:sz w:val="20"/>
                <w:lang w:val="fr-CA"/>
              </w:rPr>
              <w:t>Cour d’appel du Québec (Québec)</w:t>
            </w:r>
          </w:p>
          <w:p w:rsidR="00043A5E" w:rsidRPr="008065A3" w:rsidRDefault="00043A5E" w:rsidP="00043A5E">
            <w:pPr>
              <w:jc w:val="both"/>
              <w:rPr>
                <w:sz w:val="20"/>
                <w:lang w:val="fr-CA"/>
              </w:rPr>
            </w:pPr>
            <w:r w:rsidRPr="008065A3">
              <w:rPr>
                <w:sz w:val="20"/>
                <w:lang w:val="fr-CA"/>
              </w:rPr>
              <w:t>(les juges Gagnon, Marcotte et Cotnam)</w:t>
            </w:r>
          </w:p>
          <w:p w:rsidR="00043A5E" w:rsidRPr="008065A3" w:rsidRDefault="00043A5E" w:rsidP="00043A5E">
            <w:pPr>
              <w:jc w:val="both"/>
              <w:rPr>
                <w:sz w:val="20"/>
              </w:rPr>
            </w:pPr>
            <w:r w:rsidRPr="008065A3">
              <w:rPr>
                <w:sz w:val="20"/>
              </w:rPr>
              <w:t>No. dossier 500</w:t>
            </w:r>
            <w:r w:rsidRPr="008065A3">
              <w:rPr>
                <w:sz w:val="20"/>
              </w:rPr>
              <w:noBreakHyphen/>
              <w:t>09</w:t>
            </w:r>
            <w:r w:rsidRPr="008065A3">
              <w:rPr>
                <w:sz w:val="20"/>
              </w:rPr>
              <w:noBreakHyphen/>
              <w:t>028706</w:t>
            </w:r>
            <w:r w:rsidRPr="008065A3">
              <w:rPr>
                <w:sz w:val="20"/>
              </w:rPr>
              <w:noBreakHyphen/>
              <w:t>190</w:t>
            </w:r>
          </w:p>
          <w:p w:rsidR="00043A5E" w:rsidRPr="008065A3" w:rsidRDefault="00043A5E" w:rsidP="00043A5E">
            <w:pPr>
              <w:jc w:val="both"/>
              <w:rPr>
                <w:sz w:val="20"/>
              </w:rPr>
            </w:pPr>
            <w:hyperlink r:id="rId23" w:history="1">
              <w:r w:rsidRPr="008065A3">
                <w:rPr>
                  <w:rStyle w:val="Hyperlink"/>
                  <w:sz w:val="20"/>
                </w:rPr>
                <w:t>2020 QCCA 204</w:t>
              </w:r>
            </w:hyperlink>
          </w:p>
          <w:p w:rsidR="00043A5E" w:rsidRPr="008065A3" w:rsidRDefault="00043A5E" w:rsidP="00043A5E">
            <w:pPr>
              <w:jc w:val="both"/>
              <w:rPr>
                <w:sz w:val="20"/>
              </w:rPr>
            </w:pPr>
          </w:p>
        </w:tc>
        <w:tc>
          <w:tcPr>
            <w:tcW w:w="243" w:type="pct"/>
          </w:tcPr>
          <w:p w:rsidR="00043A5E" w:rsidRPr="008065A3" w:rsidRDefault="00043A5E" w:rsidP="00043A5E">
            <w:pPr>
              <w:jc w:val="both"/>
              <w:rPr>
                <w:sz w:val="20"/>
              </w:rPr>
            </w:pPr>
          </w:p>
        </w:tc>
        <w:tc>
          <w:tcPr>
            <w:tcW w:w="2330" w:type="pct"/>
          </w:tcPr>
          <w:p w:rsidR="00043A5E" w:rsidRPr="008065A3" w:rsidRDefault="00043A5E" w:rsidP="00043A5E">
            <w:pPr>
              <w:jc w:val="both"/>
              <w:rPr>
                <w:sz w:val="20"/>
                <w:lang w:val="fr-CA"/>
              </w:rPr>
            </w:pPr>
            <w:r w:rsidRPr="008065A3">
              <w:rPr>
                <w:sz w:val="20"/>
                <w:lang w:val="fr-CA"/>
              </w:rPr>
              <w:t>Requête en rejet d’appel accueillie; Appel rejeté</w:t>
            </w:r>
          </w:p>
          <w:p w:rsidR="00043A5E" w:rsidRPr="008065A3" w:rsidRDefault="00043A5E" w:rsidP="00043A5E">
            <w:pPr>
              <w:jc w:val="both"/>
              <w:rPr>
                <w:sz w:val="20"/>
                <w:lang w:val="fr-CA"/>
              </w:rPr>
            </w:pPr>
          </w:p>
        </w:tc>
      </w:tr>
      <w:tr w:rsidR="00043A5E" w:rsidRPr="008065A3" w:rsidTr="00E3334E">
        <w:tc>
          <w:tcPr>
            <w:tcW w:w="2427" w:type="pct"/>
            <w:gridSpan w:val="2"/>
          </w:tcPr>
          <w:p w:rsidR="00043A5E" w:rsidRPr="008065A3" w:rsidRDefault="00043A5E" w:rsidP="00043A5E">
            <w:pPr>
              <w:jc w:val="both"/>
              <w:rPr>
                <w:sz w:val="20"/>
                <w:lang w:val="fr-CA"/>
              </w:rPr>
            </w:pPr>
            <w:r w:rsidRPr="008065A3">
              <w:rPr>
                <w:sz w:val="20"/>
                <w:lang w:val="fr-CA"/>
              </w:rPr>
              <w:t>Le 5 octobre 2020</w:t>
            </w:r>
          </w:p>
          <w:p w:rsidR="00043A5E" w:rsidRPr="008065A3" w:rsidRDefault="00043A5E" w:rsidP="00043A5E">
            <w:pPr>
              <w:jc w:val="both"/>
              <w:rPr>
                <w:sz w:val="20"/>
                <w:lang w:val="fr-CA"/>
              </w:rPr>
            </w:pPr>
            <w:r w:rsidRPr="008065A3">
              <w:rPr>
                <w:sz w:val="20"/>
                <w:lang w:val="fr-CA"/>
              </w:rPr>
              <w:t>Cour suprême du Canada</w:t>
            </w:r>
          </w:p>
        </w:tc>
        <w:tc>
          <w:tcPr>
            <w:tcW w:w="243" w:type="pct"/>
          </w:tcPr>
          <w:p w:rsidR="00043A5E" w:rsidRPr="008065A3" w:rsidRDefault="00043A5E" w:rsidP="00043A5E">
            <w:pPr>
              <w:jc w:val="both"/>
              <w:rPr>
                <w:sz w:val="20"/>
                <w:lang w:val="fr-CA"/>
              </w:rPr>
            </w:pPr>
          </w:p>
        </w:tc>
        <w:tc>
          <w:tcPr>
            <w:tcW w:w="2330" w:type="pct"/>
          </w:tcPr>
          <w:p w:rsidR="00043A5E" w:rsidRPr="008065A3" w:rsidRDefault="00043A5E" w:rsidP="00043A5E">
            <w:pPr>
              <w:jc w:val="both"/>
              <w:rPr>
                <w:sz w:val="20"/>
              </w:rPr>
            </w:pPr>
            <w:r w:rsidRPr="008065A3">
              <w:rPr>
                <w:sz w:val="20"/>
              </w:rPr>
              <w:t>Demande d’autorisation d’appel déposée</w:t>
            </w:r>
          </w:p>
          <w:p w:rsidR="00043A5E" w:rsidRPr="008065A3" w:rsidRDefault="00043A5E" w:rsidP="00043A5E">
            <w:pPr>
              <w:jc w:val="both"/>
              <w:rPr>
                <w:sz w:val="20"/>
              </w:rPr>
            </w:pPr>
          </w:p>
        </w:tc>
      </w:tr>
    </w:tbl>
    <w:p w:rsidR="00043A5E" w:rsidRPr="008065A3" w:rsidRDefault="00043A5E" w:rsidP="00043A5E">
      <w:pPr>
        <w:jc w:val="both"/>
        <w:rPr>
          <w:sz w:val="20"/>
        </w:rPr>
      </w:pPr>
    </w:p>
    <w:p w:rsidR="0047018E" w:rsidRPr="008065A3" w:rsidRDefault="0047018E" w:rsidP="00043A5E">
      <w:pPr>
        <w:jc w:val="both"/>
        <w:rPr>
          <w:sz w:val="20"/>
        </w:rPr>
      </w:pPr>
      <w:r w:rsidRPr="008065A3">
        <w:rPr>
          <w:sz w:val="20"/>
        </w:rPr>
        <w:pict>
          <v:rect id="_x0000_i1054" style="width:2in;height:1pt" o:hrpct="0" o:hralign="center" o:hrstd="t" o:hrnoshade="t" o:hr="t" fillcolor="black [3213]" stroked="f"/>
        </w:pict>
      </w:r>
    </w:p>
    <w:p w:rsidR="00043A5E" w:rsidRPr="008065A3" w:rsidRDefault="00043A5E" w:rsidP="00043A5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3A5E" w:rsidRPr="008065A3" w:rsidTr="00E3334E">
        <w:tc>
          <w:tcPr>
            <w:tcW w:w="543" w:type="pct"/>
          </w:tcPr>
          <w:p w:rsidR="00043A5E" w:rsidRPr="008065A3" w:rsidRDefault="00043A5E" w:rsidP="00043A5E">
            <w:pPr>
              <w:jc w:val="both"/>
              <w:rPr>
                <w:sz w:val="20"/>
              </w:rPr>
            </w:pPr>
            <w:r w:rsidRPr="008065A3">
              <w:rPr>
                <w:rStyle w:val="SCCFileNumberChar"/>
                <w:sz w:val="20"/>
                <w:szCs w:val="20"/>
              </w:rPr>
              <w:t>39358</w:t>
            </w:r>
          </w:p>
        </w:tc>
        <w:tc>
          <w:tcPr>
            <w:tcW w:w="4457" w:type="pct"/>
            <w:gridSpan w:val="3"/>
          </w:tcPr>
          <w:p w:rsidR="00043A5E" w:rsidRPr="008065A3" w:rsidRDefault="00043A5E" w:rsidP="00043A5E">
            <w:pPr>
              <w:pStyle w:val="SCCLsocParty"/>
              <w:jc w:val="both"/>
              <w:rPr>
                <w:b/>
                <w:sz w:val="20"/>
                <w:szCs w:val="20"/>
                <w:lang w:val="en-US"/>
              </w:rPr>
            </w:pPr>
            <w:r w:rsidRPr="008065A3">
              <w:rPr>
                <w:b/>
                <w:sz w:val="20"/>
                <w:szCs w:val="20"/>
                <w:lang w:val="en-US"/>
              </w:rPr>
              <w:t>Co-operators General Insurance Company v. Le Treport Wedding &amp; Convention Centre Ltd.</w:t>
            </w:r>
          </w:p>
          <w:p w:rsidR="00043A5E" w:rsidRPr="008065A3" w:rsidRDefault="00043A5E" w:rsidP="00043A5E">
            <w:pPr>
              <w:jc w:val="both"/>
              <w:rPr>
                <w:sz w:val="20"/>
              </w:rPr>
            </w:pPr>
            <w:r w:rsidRPr="008065A3">
              <w:rPr>
                <w:sz w:val="20"/>
              </w:rPr>
              <w:t>(Ont.) (Civil) (By Leave)</w:t>
            </w:r>
          </w:p>
        </w:tc>
      </w:tr>
      <w:tr w:rsidR="00043A5E" w:rsidRPr="008065A3" w:rsidTr="00E3334E">
        <w:tc>
          <w:tcPr>
            <w:tcW w:w="5000" w:type="pct"/>
            <w:gridSpan w:val="4"/>
          </w:tcPr>
          <w:p w:rsidR="00043A5E" w:rsidRPr="008065A3" w:rsidRDefault="00043A5E" w:rsidP="00043A5E">
            <w:pPr>
              <w:jc w:val="both"/>
              <w:rPr>
                <w:sz w:val="20"/>
              </w:rPr>
            </w:pPr>
            <w:r w:rsidRPr="008065A3">
              <w:rPr>
                <w:sz w:val="20"/>
              </w:rPr>
              <w:lastRenderedPageBreak/>
              <w:t>Insurance — Property insurance — All risks policy — Exclusions clauses and exceptions —Interpretation — Whether damage occurring during an extreme rainfall event came within policy’s flood endorsement or was excluded from coverage as surface water — What are the limits of all</w:t>
            </w:r>
            <w:r w:rsidRPr="008065A3">
              <w:rPr>
                <w:sz w:val="20"/>
              </w:rPr>
              <w:noBreakHyphen/>
              <w:t>risk insurance coverage — Where the parties agree to exclude coverage for damage cause by surface water, to what extent can that language be used to interpret any subsequent endorsements providing flood coverage.</w:t>
            </w:r>
          </w:p>
        </w:tc>
      </w:tr>
      <w:tr w:rsidR="00043A5E" w:rsidRPr="008065A3" w:rsidTr="00E3334E">
        <w:tc>
          <w:tcPr>
            <w:tcW w:w="5000" w:type="pct"/>
            <w:gridSpan w:val="4"/>
          </w:tcPr>
          <w:p w:rsidR="00043A5E" w:rsidRPr="008065A3" w:rsidRDefault="00043A5E" w:rsidP="00043A5E">
            <w:pPr>
              <w:jc w:val="both"/>
              <w:rPr>
                <w:sz w:val="20"/>
              </w:rPr>
            </w:pPr>
          </w:p>
          <w:p w:rsidR="00043A5E" w:rsidRPr="008065A3" w:rsidRDefault="00043A5E" w:rsidP="00043A5E">
            <w:pPr>
              <w:jc w:val="both"/>
              <w:rPr>
                <w:sz w:val="20"/>
              </w:rPr>
            </w:pPr>
            <w:r w:rsidRPr="008065A3">
              <w:rPr>
                <w:sz w:val="20"/>
              </w:rPr>
              <w:t>On July 8, 2013, the Greater Toronto Area experienced an unparalleled rain event with the highest amount of measured rainfall in a two hour period and in a single day since data tracking began. Flooding was widespread across the area. Water entered into the banquet hall facility operated by the respondent, causing significant damage. The respondent was insured under an all</w:t>
            </w:r>
            <w:r w:rsidRPr="008065A3">
              <w:rPr>
                <w:sz w:val="20"/>
              </w:rPr>
              <w:noBreakHyphen/>
              <w:t xml:space="preserve">risk policy by the applicant insurer, and the Sewer Back Up Endorsement under the policy with a limit of $500,000 was fully paid out by it to the respondent. The respondent commenced an action claiming that the flood endorsement and other coverages under the policy also applied on the facts of the case. </w:t>
            </w:r>
          </w:p>
          <w:p w:rsidR="00043A5E" w:rsidRPr="008065A3" w:rsidRDefault="00043A5E" w:rsidP="00043A5E">
            <w:pPr>
              <w:jc w:val="both"/>
              <w:rPr>
                <w:sz w:val="20"/>
              </w:rPr>
            </w:pPr>
          </w:p>
          <w:p w:rsidR="00043A5E" w:rsidRPr="008065A3" w:rsidRDefault="00043A5E" w:rsidP="00043A5E">
            <w:pPr>
              <w:jc w:val="both"/>
              <w:rPr>
                <w:sz w:val="20"/>
              </w:rPr>
            </w:pPr>
            <w:r w:rsidRPr="008065A3">
              <w:rPr>
                <w:sz w:val="20"/>
              </w:rPr>
              <w:t>The Ontario Superior Court of Justice held that the event did not meet the definition of flood in the endorsement and that the surface water exclusion applied. It also denied the claims for the other coverages and dismissed the respondent’s action. The Court of Appeal for Ontario allowed the appeal in part, upholding the respondent’s claim for coverage under the flood endorsement of its policy. It found that by giving effect to the definition of surface water in interpreting the flood endorsement, the lower court nullified the coverage in almost all cases, belied the reasonable expectations of the parties and departed from the principle that provisions granting coverage should be construed broadly. The applicant was ordered to pay an amount of $429,329.18 to the respondent, plus prejudgment interest.</w:t>
            </w:r>
          </w:p>
        </w:tc>
      </w:tr>
      <w:tr w:rsidR="00043A5E" w:rsidRPr="008065A3" w:rsidTr="00E3334E">
        <w:tc>
          <w:tcPr>
            <w:tcW w:w="5000" w:type="pct"/>
            <w:gridSpan w:val="4"/>
          </w:tcPr>
          <w:p w:rsidR="00043A5E" w:rsidRPr="008065A3" w:rsidRDefault="00043A5E" w:rsidP="00043A5E">
            <w:pPr>
              <w:jc w:val="both"/>
              <w:rPr>
                <w:sz w:val="20"/>
              </w:rPr>
            </w:pPr>
          </w:p>
        </w:tc>
      </w:tr>
      <w:tr w:rsidR="00043A5E" w:rsidRPr="008065A3" w:rsidTr="00E3334E">
        <w:tc>
          <w:tcPr>
            <w:tcW w:w="2427" w:type="pct"/>
            <w:gridSpan w:val="2"/>
          </w:tcPr>
          <w:p w:rsidR="00043A5E" w:rsidRPr="008065A3" w:rsidRDefault="00043A5E" w:rsidP="00043A5E">
            <w:pPr>
              <w:jc w:val="both"/>
              <w:rPr>
                <w:sz w:val="20"/>
              </w:rPr>
            </w:pPr>
            <w:r w:rsidRPr="008065A3">
              <w:rPr>
                <w:sz w:val="20"/>
              </w:rPr>
              <w:t>May 17, 2019</w:t>
            </w:r>
          </w:p>
          <w:p w:rsidR="00043A5E" w:rsidRPr="008065A3" w:rsidRDefault="00043A5E" w:rsidP="00043A5E">
            <w:pPr>
              <w:jc w:val="both"/>
              <w:rPr>
                <w:sz w:val="20"/>
              </w:rPr>
            </w:pPr>
            <w:r w:rsidRPr="008065A3">
              <w:rPr>
                <w:sz w:val="20"/>
              </w:rPr>
              <w:t>Ontario Superior Court of Justice</w:t>
            </w:r>
          </w:p>
          <w:p w:rsidR="00043A5E" w:rsidRPr="008065A3" w:rsidRDefault="00043A5E" w:rsidP="00043A5E">
            <w:pPr>
              <w:jc w:val="both"/>
              <w:rPr>
                <w:sz w:val="20"/>
              </w:rPr>
            </w:pPr>
            <w:r w:rsidRPr="008065A3">
              <w:rPr>
                <w:sz w:val="20"/>
              </w:rPr>
              <w:t>(Gray J.)</w:t>
            </w:r>
          </w:p>
          <w:p w:rsidR="00043A5E" w:rsidRPr="008065A3" w:rsidRDefault="00043A5E" w:rsidP="00043A5E">
            <w:pPr>
              <w:jc w:val="both"/>
              <w:rPr>
                <w:sz w:val="20"/>
              </w:rPr>
            </w:pPr>
            <w:hyperlink r:id="rId24" w:history="1">
              <w:r w:rsidRPr="008065A3">
                <w:rPr>
                  <w:rStyle w:val="Hyperlink"/>
                  <w:sz w:val="20"/>
                </w:rPr>
                <w:t>2019 ONSC 3041</w:t>
              </w:r>
            </w:hyperlink>
          </w:p>
          <w:p w:rsidR="00043A5E" w:rsidRPr="008065A3" w:rsidRDefault="00043A5E" w:rsidP="00043A5E">
            <w:pPr>
              <w:jc w:val="both"/>
              <w:rPr>
                <w:sz w:val="20"/>
              </w:rPr>
            </w:pPr>
          </w:p>
        </w:tc>
        <w:tc>
          <w:tcPr>
            <w:tcW w:w="243" w:type="pct"/>
          </w:tcPr>
          <w:p w:rsidR="00043A5E" w:rsidRPr="008065A3" w:rsidRDefault="00043A5E" w:rsidP="00043A5E">
            <w:pPr>
              <w:jc w:val="both"/>
              <w:rPr>
                <w:sz w:val="20"/>
              </w:rPr>
            </w:pPr>
          </w:p>
        </w:tc>
        <w:tc>
          <w:tcPr>
            <w:tcW w:w="2330" w:type="pct"/>
          </w:tcPr>
          <w:p w:rsidR="00043A5E" w:rsidRPr="008065A3" w:rsidRDefault="00043A5E" w:rsidP="00043A5E">
            <w:pPr>
              <w:jc w:val="both"/>
              <w:rPr>
                <w:sz w:val="20"/>
              </w:rPr>
            </w:pPr>
            <w:r w:rsidRPr="008065A3">
              <w:rPr>
                <w:sz w:val="20"/>
              </w:rPr>
              <w:t>Respondent’s action dismissed.</w:t>
            </w:r>
          </w:p>
          <w:p w:rsidR="00043A5E" w:rsidRPr="008065A3" w:rsidRDefault="00043A5E" w:rsidP="00043A5E">
            <w:pPr>
              <w:jc w:val="both"/>
              <w:rPr>
                <w:sz w:val="20"/>
              </w:rPr>
            </w:pPr>
          </w:p>
        </w:tc>
      </w:tr>
      <w:tr w:rsidR="00043A5E" w:rsidRPr="008065A3" w:rsidTr="00E3334E">
        <w:tc>
          <w:tcPr>
            <w:tcW w:w="2427" w:type="pct"/>
            <w:gridSpan w:val="2"/>
          </w:tcPr>
          <w:p w:rsidR="00043A5E" w:rsidRPr="008065A3" w:rsidRDefault="00043A5E" w:rsidP="00043A5E">
            <w:pPr>
              <w:jc w:val="both"/>
              <w:rPr>
                <w:sz w:val="20"/>
              </w:rPr>
            </w:pPr>
            <w:r w:rsidRPr="008065A3">
              <w:rPr>
                <w:sz w:val="20"/>
              </w:rPr>
              <w:t>July 29, 2020</w:t>
            </w:r>
          </w:p>
          <w:p w:rsidR="00043A5E" w:rsidRPr="008065A3" w:rsidRDefault="00043A5E" w:rsidP="00043A5E">
            <w:pPr>
              <w:jc w:val="both"/>
              <w:rPr>
                <w:sz w:val="20"/>
              </w:rPr>
            </w:pPr>
            <w:r w:rsidRPr="008065A3">
              <w:rPr>
                <w:sz w:val="20"/>
              </w:rPr>
              <w:t>Court of Appeal for Ontario</w:t>
            </w:r>
          </w:p>
          <w:p w:rsidR="00043A5E" w:rsidRPr="008065A3" w:rsidRDefault="00043A5E" w:rsidP="00043A5E">
            <w:pPr>
              <w:jc w:val="both"/>
              <w:rPr>
                <w:sz w:val="20"/>
              </w:rPr>
            </w:pPr>
            <w:r w:rsidRPr="008065A3">
              <w:rPr>
                <w:sz w:val="20"/>
              </w:rPr>
              <w:t>(Feldman, Lauwers and Huscroft JJ.A.)</w:t>
            </w:r>
          </w:p>
          <w:p w:rsidR="00043A5E" w:rsidRPr="008065A3" w:rsidRDefault="00043A5E" w:rsidP="00043A5E">
            <w:pPr>
              <w:jc w:val="both"/>
              <w:rPr>
                <w:sz w:val="20"/>
              </w:rPr>
            </w:pPr>
            <w:hyperlink r:id="rId25" w:history="1">
              <w:r w:rsidRPr="008065A3">
                <w:rPr>
                  <w:rStyle w:val="Hyperlink"/>
                  <w:sz w:val="20"/>
                </w:rPr>
                <w:t>2020 ONCA 487</w:t>
              </w:r>
            </w:hyperlink>
          </w:p>
          <w:p w:rsidR="00043A5E" w:rsidRPr="008065A3" w:rsidRDefault="00043A5E" w:rsidP="00043A5E">
            <w:pPr>
              <w:jc w:val="both"/>
              <w:rPr>
                <w:sz w:val="20"/>
              </w:rPr>
            </w:pPr>
          </w:p>
        </w:tc>
        <w:tc>
          <w:tcPr>
            <w:tcW w:w="243" w:type="pct"/>
          </w:tcPr>
          <w:p w:rsidR="00043A5E" w:rsidRPr="008065A3" w:rsidRDefault="00043A5E" w:rsidP="00043A5E">
            <w:pPr>
              <w:jc w:val="both"/>
              <w:rPr>
                <w:sz w:val="20"/>
              </w:rPr>
            </w:pPr>
          </w:p>
        </w:tc>
        <w:tc>
          <w:tcPr>
            <w:tcW w:w="2330" w:type="pct"/>
          </w:tcPr>
          <w:p w:rsidR="00043A5E" w:rsidRPr="008065A3" w:rsidRDefault="00043A5E" w:rsidP="00043A5E">
            <w:pPr>
              <w:jc w:val="both"/>
              <w:rPr>
                <w:sz w:val="20"/>
                <w:lang w:val="en"/>
              </w:rPr>
            </w:pPr>
            <w:r w:rsidRPr="008065A3">
              <w:rPr>
                <w:sz w:val="20"/>
              </w:rPr>
              <w:t xml:space="preserve">Appeal allowed in part, </w:t>
            </w:r>
            <w:r w:rsidRPr="008065A3">
              <w:rPr>
                <w:sz w:val="20"/>
                <w:lang w:val="en"/>
              </w:rPr>
              <w:t>judgment granted to the respondent in the amount of $429,329.18</w:t>
            </w:r>
          </w:p>
          <w:p w:rsidR="00043A5E" w:rsidRPr="008065A3" w:rsidRDefault="00043A5E" w:rsidP="00043A5E">
            <w:pPr>
              <w:jc w:val="both"/>
              <w:rPr>
                <w:sz w:val="20"/>
                <w:lang w:val="en"/>
              </w:rPr>
            </w:pPr>
          </w:p>
          <w:p w:rsidR="00043A5E" w:rsidRPr="008065A3" w:rsidRDefault="00043A5E" w:rsidP="00043A5E">
            <w:pPr>
              <w:jc w:val="both"/>
              <w:rPr>
                <w:sz w:val="20"/>
              </w:rPr>
            </w:pPr>
          </w:p>
        </w:tc>
      </w:tr>
      <w:tr w:rsidR="00043A5E" w:rsidRPr="008065A3" w:rsidTr="00E3334E">
        <w:tc>
          <w:tcPr>
            <w:tcW w:w="2427" w:type="pct"/>
            <w:gridSpan w:val="2"/>
          </w:tcPr>
          <w:p w:rsidR="00043A5E" w:rsidRPr="008065A3" w:rsidRDefault="00043A5E" w:rsidP="00043A5E">
            <w:pPr>
              <w:jc w:val="both"/>
              <w:rPr>
                <w:sz w:val="20"/>
              </w:rPr>
            </w:pPr>
            <w:r w:rsidRPr="008065A3">
              <w:rPr>
                <w:sz w:val="20"/>
              </w:rPr>
              <w:t>October 20, 2020</w:t>
            </w:r>
          </w:p>
          <w:p w:rsidR="00043A5E" w:rsidRPr="008065A3" w:rsidRDefault="00043A5E" w:rsidP="00043A5E">
            <w:pPr>
              <w:jc w:val="both"/>
              <w:rPr>
                <w:sz w:val="20"/>
              </w:rPr>
            </w:pPr>
            <w:r w:rsidRPr="008065A3">
              <w:rPr>
                <w:sz w:val="20"/>
              </w:rPr>
              <w:t>Supreme Court of Canada</w:t>
            </w:r>
          </w:p>
        </w:tc>
        <w:tc>
          <w:tcPr>
            <w:tcW w:w="243" w:type="pct"/>
          </w:tcPr>
          <w:p w:rsidR="00043A5E" w:rsidRPr="008065A3" w:rsidRDefault="00043A5E" w:rsidP="00043A5E">
            <w:pPr>
              <w:jc w:val="both"/>
              <w:rPr>
                <w:sz w:val="20"/>
              </w:rPr>
            </w:pPr>
          </w:p>
        </w:tc>
        <w:tc>
          <w:tcPr>
            <w:tcW w:w="2330" w:type="pct"/>
          </w:tcPr>
          <w:p w:rsidR="00043A5E" w:rsidRPr="008065A3" w:rsidRDefault="00043A5E" w:rsidP="00043A5E">
            <w:pPr>
              <w:jc w:val="both"/>
              <w:rPr>
                <w:sz w:val="20"/>
              </w:rPr>
            </w:pPr>
            <w:r w:rsidRPr="008065A3">
              <w:rPr>
                <w:sz w:val="20"/>
              </w:rPr>
              <w:t>Application for leave to appeal filed</w:t>
            </w:r>
          </w:p>
          <w:p w:rsidR="00043A5E" w:rsidRPr="008065A3" w:rsidRDefault="00043A5E" w:rsidP="00043A5E">
            <w:pPr>
              <w:jc w:val="both"/>
              <w:rPr>
                <w:sz w:val="20"/>
              </w:rPr>
            </w:pPr>
          </w:p>
        </w:tc>
      </w:tr>
    </w:tbl>
    <w:p w:rsidR="00043A5E" w:rsidRPr="008065A3" w:rsidRDefault="00043A5E" w:rsidP="00043A5E">
      <w:pPr>
        <w:jc w:val="both"/>
        <w:rPr>
          <w:sz w:val="20"/>
        </w:rPr>
      </w:pPr>
    </w:p>
    <w:p w:rsidR="0047018E" w:rsidRPr="008065A3" w:rsidRDefault="0047018E" w:rsidP="00043A5E">
      <w:pPr>
        <w:jc w:val="both"/>
        <w:rPr>
          <w:sz w:val="20"/>
        </w:rPr>
      </w:pPr>
      <w:r w:rsidRPr="008065A3">
        <w:rPr>
          <w:sz w:val="20"/>
        </w:rPr>
        <w:pict>
          <v:rect id="_x0000_i1055" style="width:2in;height:1pt" o:hrpct="0" o:hralign="center" o:hrstd="t" o:hrnoshade="t" o:hr="t" fillcolor="black [3213]" stroked="f"/>
        </w:pict>
      </w:r>
    </w:p>
    <w:p w:rsidR="0047018E" w:rsidRPr="008065A3" w:rsidRDefault="0047018E" w:rsidP="00043A5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3A5E" w:rsidRPr="008065A3" w:rsidTr="00E3334E">
        <w:tc>
          <w:tcPr>
            <w:tcW w:w="543" w:type="pct"/>
          </w:tcPr>
          <w:p w:rsidR="00043A5E" w:rsidRPr="008065A3" w:rsidRDefault="00043A5E" w:rsidP="00043A5E">
            <w:pPr>
              <w:jc w:val="both"/>
              <w:rPr>
                <w:sz w:val="20"/>
                <w:lang w:val="fr-CA"/>
              </w:rPr>
            </w:pPr>
            <w:r w:rsidRPr="008065A3">
              <w:rPr>
                <w:rStyle w:val="SCCFileNumberChar"/>
                <w:sz w:val="20"/>
                <w:szCs w:val="20"/>
                <w:lang w:val="fr-CA"/>
              </w:rPr>
              <w:t>39358</w:t>
            </w:r>
          </w:p>
        </w:tc>
        <w:tc>
          <w:tcPr>
            <w:tcW w:w="4457" w:type="pct"/>
            <w:gridSpan w:val="3"/>
          </w:tcPr>
          <w:p w:rsidR="00043A5E" w:rsidRPr="008065A3" w:rsidRDefault="00043A5E" w:rsidP="00043A5E">
            <w:pPr>
              <w:pStyle w:val="SCCLsocParty"/>
              <w:jc w:val="both"/>
              <w:rPr>
                <w:b/>
                <w:sz w:val="20"/>
                <w:szCs w:val="20"/>
              </w:rPr>
            </w:pPr>
            <w:r w:rsidRPr="008065A3">
              <w:rPr>
                <w:b/>
                <w:sz w:val="20"/>
                <w:szCs w:val="20"/>
              </w:rPr>
              <w:t>Compagnie d’assurance générale Co-operators c. Le Treport Wedding &amp; Convention Centre Ltd.</w:t>
            </w:r>
          </w:p>
          <w:p w:rsidR="00043A5E" w:rsidRPr="008065A3" w:rsidRDefault="00043A5E" w:rsidP="00043A5E">
            <w:pPr>
              <w:jc w:val="both"/>
              <w:rPr>
                <w:sz w:val="20"/>
                <w:lang w:val="fr-CA"/>
              </w:rPr>
            </w:pPr>
            <w:r w:rsidRPr="008065A3">
              <w:rPr>
                <w:sz w:val="20"/>
                <w:lang w:val="fr-CA"/>
              </w:rPr>
              <w:t>(Ont.) (Civile) (Sur autorisation)</w:t>
            </w:r>
          </w:p>
        </w:tc>
      </w:tr>
      <w:tr w:rsidR="00043A5E" w:rsidRPr="008065A3" w:rsidTr="00E3334E">
        <w:tc>
          <w:tcPr>
            <w:tcW w:w="5000" w:type="pct"/>
            <w:gridSpan w:val="4"/>
          </w:tcPr>
          <w:p w:rsidR="00043A5E" w:rsidRPr="008065A3" w:rsidRDefault="00043A5E" w:rsidP="00043A5E">
            <w:pPr>
              <w:jc w:val="both"/>
              <w:rPr>
                <w:sz w:val="20"/>
                <w:lang w:val="fr-CA"/>
              </w:rPr>
            </w:pPr>
            <w:r w:rsidRPr="008065A3">
              <w:rPr>
                <w:sz w:val="20"/>
                <w:lang w:val="fr-CA"/>
              </w:rPr>
              <w:t>Assurances — Assurances de biens — Police d’assurance tous risques — Clause d’exclusion et exceptions — Interprétation — Les dommages survenus lors d’un épisode de pluie extrême étaient</w:t>
            </w:r>
            <w:r w:rsidRPr="008065A3">
              <w:rPr>
                <w:sz w:val="20"/>
                <w:lang w:val="fr-CA"/>
              </w:rPr>
              <w:noBreakHyphen/>
              <w:t>ils visés par l’avenant relatif aux inondations de la police ou étaient</w:t>
            </w:r>
            <w:r w:rsidRPr="008065A3">
              <w:rPr>
                <w:sz w:val="20"/>
                <w:lang w:val="fr-CA"/>
              </w:rPr>
              <w:noBreakHyphen/>
              <w:t>ils exclus de la protection comme ayant été causés par de l’eau de surface ? — Quelles sont les limites de la protection d’une police d’assurance tous risques ? — Lorsque les parties conviennent d’exclure de la protection de la police les dommages causés par de l’eau de surface, dans quelle mesure le libellé peut</w:t>
            </w:r>
            <w:r w:rsidRPr="008065A3">
              <w:rPr>
                <w:sz w:val="20"/>
                <w:lang w:val="fr-CA"/>
              </w:rPr>
              <w:noBreakHyphen/>
              <w:t>il être employé pour interpréter tout avenant protégeant contre les inondations ajouté par la suite ?</w:t>
            </w:r>
          </w:p>
        </w:tc>
      </w:tr>
      <w:tr w:rsidR="00043A5E" w:rsidRPr="008065A3" w:rsidTr="00E3334E">
        <w:tc>
          <w:tcPr>
            <w:tcW w:w="5000" w:type="pct"/>
            <w:gridSpan w:val="4"/>
          </w:tcPr>
          <w:p w:rsidR="00043A5E" w:rsidRPr="008065A3" w:rsidRDefault="00043A5E" w:rsidP="00043A5E">
            <w:pPr>
              <w:jc w:val="both"/>
              <w:rPr>
                <w:sz w:val="20"/>
                <w:lang w:val="fr-CA"/>
              </w:rPr>
            </w:pPr>
          </w:p>
          <w:p w:rsidR="00043A5E" w:rsidRPr="008065A3" w:rsidRDefault="00043A5E" w:rsidP="00043A5E">
            <w:pPr>
              <w:jc w:val="both"/>
              <w:rPr>
                <w:sz w:val="20"/>
                <w:lang w:val="fr-CA"/>
              </w:rPr>
            </w:pPr>
            <w:r w:rsidRPr="008065A3">
              <w:rPr>
                <w:sz w:val="20"/>
                <w:lang w:val="fr-CA"/>
              </w:rPr>
              <w:t xml:space="preserve">Le 8 juillet 2013, un épisode de pluie sans précédent a frappé la région métropolitaine de Toronto pendant lequel la plus grande quantité de pluie mesurée depuis le début des activités de suivi de telles données est tombée au cours d’une période de deux heures et d’une seule journée. Il y a eu des inondations dans l’ensemble de la région. De l’eau s’est infiltrée dans la salle de banquet exploitée par l’intimée, causant des dommages importants. L’intimée avait contracté une police d’assurance tous risques auprès de la compagnie d’assurance demanderesse, et l’avenant relatif au refoulement d’égouts en vertu de cette police assorti d’un montant de garantie de 500 000 $ a été intégralement versé à l’intimée par la demanderesse. L’intimée a intenté une action alléguant que l’avenant relatif aux inondations et d’autres protections en vertu de la police s’appliquaient aussi aux faits de l’espèce. </w:t>
            </w:r>
          </w:p>
          <w:p w:rsidR="00043A5E" w:rsidRPr="008065A3" w:rsidRDefault="00043A5E" w:rsidP="00043A5E">
            <w:pPr>
              <w:jc w:val="both"/>
              <w:rPr>
                <w:sz w:val="20"/>
                <w:lang w:val="fr-CA"/>
              </w:rPr>
            </w:pPr>
          </w:p>
          <w:p w:rsidR="00043A5E" w:rsidRPr="008065A3" w:rsidRDefault="00043A5E" w:rsidP="00043A5E">
            <w:pPr>
              <w:jc w:val="both"/>
              <w:rPr>
                <w:sz w:val="20"/>
                <w:lang w:val="fr-CA"/>
              </w:rPr>
            </w:pPr>
            <w:r w:rsidRPr="008065A3">
              <w:rPr>
                <w:sz w:val="20"/>
                <w:lang w:val="fr-CA"/>
              </w:rPr>
              <w:t xml:space="preserve">La Cour supérieure de justice de l’Ontario a conclu que l’épisode de pluie en question ne satisfaisait pas la définition d’inondation au sens de l’avenant et que l’exception relative à l’eau de surface s’appliquait. Elle a également refusé </w:t>
            </w:r>
            <w:r w:rsidRPr="008065A3">
              <w:rPr>
                <w:sz w:val="20"/>
                <w:lang w:val="fr-CA"/>
              </w:rPr>
              <w:lastRenderedPageBreak/>
              <w:t xml:space="preserve">de faire </w:t>
            </w:r>
            <w:proofErr w:type="gramStart"/>
            <w:r w:rsidRPr="008065A3">
              <w:rPr>
                <w:sz w:val="20"/>
                <w:lang w:val="fr-CA"/>
              </w:rPr>
              <w:t>droit</w:t>
            </w:r>
            <w:proofErr w:type="gramEnd"/>
            <w:r w:rsidRPr="008065A3">
              <w:rPr>
                <w:sz w:val="20"/>
                <w:lang w:val="fr-CA"/>
              </w:rPr>
              <w:t xml:space="preserve"> aux réclamations relatives aux autres protections et a rejeté l’action de l’intimée. La Cour d’appel de l’Ontario a accueilli l’appel en partie, confirmant la réclamation de l’intimée à l’égard de la protection prévue par l’avenant relatif aux inondations en vertu de la police. Elle a déterminé qu’en appliquant la définition d’eau de surface dans l’interprétation de l’avenant relatif aux inondations, le tribunal de première instance avait annulé la protection dans presque tous les cas, avait démenti les attentes raisonnables des parties et s’était écarté du principe voulant que les dispositions fournissant une protection doivent recevoir une interprétation large. Il a été ordonné que la demanderesse verse 429 329,18 $ à l’intimée, en plus des intérêts avant jugement.</w:t>
            </w:r>
          </w:p>
        </w:tc>
      </w:tr>
      <w:tr w:rsidR="00043A5E" w:rsidRPr="008065A3" w:rsidTr="00E3334E">
        <w:tc>
          <w:tcPr>
            <w:tcW w:w="5000" w:type="pct"/>
            <w:gridSpan w:val="4"/>
          </w:tcPr>
          <w:p w:rsidR="00043A5E" w:rsidRPr="008065A3" w:rsidRDefault="00043A5E" w:rsidP="00043A5E">
            <w:pPr>
              <w:jc w:val="both"/>
              <w:rPr>
                <w:sz w:val="20"/>
                <w:lang w:val="fr-CA"/>
              </w:rPr>
            </w:pPr>
          </w:p>
        </w:tc>
      </w:tr>
      <w:tr w:rsidR="00043A5E" w:rsidRPr="008065A3" w:rsidTr="00E3334E">
        <w:tc>
          <w:tcPr>
            <w:tcW w:w="2427" w:type="pct"/>
            <w:gridSpan w:val="2"/>
          </w:tcPr>
          <w:p w:rsidR="00043A5E" w:rsidRPr="008065A3" w:rsidRDefault="00043A5E" w:rsidP="00043A5E">
            <w:pPr>
              <w:jc w:val="both"/>
              <w:rPr>
                <w:sz w:val="20"/>
                <w:lang w:val="fr-CA"/>
              </w:rPr>
            </w:pPr>
            <w:r w:rsidRPr="008065A3">
              <w:rPr>
                <w:sz w:val="20"/>
                <w:lang w:val="fr-CA"/>
              </w:rPr>
              <w:t>17 mai 2019</w:t>
            </w:r>
          </w:p>
          <w:p w:rsidR="00043A5E" w:rsidRPr="008065A3" w:rsidRDefault="00043A5E" w:rsidP="00043A5E">
            <w:pPr>
              <w:jc w:val="both"/>
              <w:rPr>
                <w:sz w:val="20"/>
                <w:lang w:val="fr-CA"/>
              </w:rPr>
            </w:pPr>
            <w:r w:rsidRPr="008065A3">
              <w:rPr>
                <w:sz w:val="20"/>
                <w:lang w:val="fr-CA"/>
              </w:rPr>
              <w:t>Cour supérieure de justice de l’Ontario</w:t>
            </w:r>
          </w:p>
          <w:p w:rsidR="00043A5E" w:rsidRPr="008065A3" w:rsidRDefault="00043A5E" w:rsidP="00043A5E">
            <w:pPr>
              <w:jc w:val="both"/>
              <w:rPr>
                <w:sz w:val="20"/>
                <w:lang w:val="fr-CA"/>
              </w:rPr>
            </w:pPr>
            <w:r w:rsidRPr="008065A3">
              <w:rPr>
                <w:sz w:val="20"/>
                <w:lang w:val="fr-CA"/>
              </w:rPr>
              <w:t>(Juge Gray)</w:t>
            </w:r>
          </w:p>
          <w:p w:rsidR="00043A5E" w:rsidRPr="008065A3" w:rsidRDefault="00043A5E" w:rsidP="00043A5E">
            <w:pPr>
              <w:jc w:val="both"/>
              <w:rPr>
                <w:sz w:val="20"/>
                <w:lang w:val="fr-CA"/>
              </w:rPr>
            </w:pPr>
            <w:hyperlink r:id="rId26" w:history="1">
              <w:r w:rsidRPr="008065A3">
                <w:rPr>
                  <w:rStyle w:val="Hyperlink"/>
                  <w:sz w:val="20"/>
                  <w:lang w:val="fr-CA"/>
                </w:rPr>
                <w:t>2019 ONSC 3041</w:t>
              </w:r>
            </w:hyperlink>
          </w:p>
          <w:p w:rsidR="00043A5E" w:rsidRPr="008065A3" w:rsidRDefault="00043A5E" w:rsidP="00043A5E">
            <w:pPr>
              <w:jc w:val="both"/>
              <w:rPr>
                <w:sz w:val="20"/>
                <w:lang w:val="fr-CA"/>
              </w:rPr>
            </w:pPr>
          </w:p>
        </w:tc>
        <w:tc>
          <w:tcPr>
            <w:tcW w:w="243" w:type="pct"/>
          </w:tcPr>
          <w:p w:rsidR="00043A5E" w:rsidRPr="008065A3" w:rsidRDefault="00043A5E" w:rsidP="00043A5E">
            <w:pPr>
              <w:jc w:val="both"/>
              <w:rPr>
                <w:sz w:val="20"/>
                <w:lang w:val="fr-CA"/>
              </w:rPr>
            </w:pPr>
          </w:p>
        </w:tc>
        <w:tc>
          <w:tcPr>
            <w:tcW w:w="2330" w:type="pct"/>
          </w:tcPr>
          <w:p w:rsidR="00043A5E" w:rsidRPr="008065A3" w:rsidRDefault="00043A5E" w:rsidP="00043A5E">
            <w:pPr>
              <w:jc w:val="both"/>
              <w:rPr>
                <w:sz w:val="20"/>
                <w:lang w:val="fr-CA"/>
              </w:rPr>
            </w:pPr>
            <w:r w:rsidRPr="008065A3">
              <w:rPr>
                <w:sz w:val="20"/>
                <w:lang w:val="fr-CA"/>
              </w:rPr>
              <w:t>Rejet de l’action de l’intimée.</w:t>
            </w:r>
          </w:p>
          <w:p w:rsidR="00043A5E" w:rsidRPr="008065A3" w:rsidRDefault="00043A5E" w:rsidP="00043A5E">
            <w:pPr>
              <w:jc w:val="both"/>
              <w:rPr>
                <w:sz w:val="20"/>
                <w:lang w:val="fr-CA"/>
              </w:rPr>
            </w:pPr>
          </w:p>
        </w:tc>
      </w:tr>
      <w:tr w:rsidR="00043A5E" w:rsidRPr="008065A3" w:rsidTr="00E3334E">
        <w:tc>
          <w:tcPr>
            <w:tcW w:w="2427" w:type="pct"/>
            <w:gridSpan w:val="2"/>
          </w:tcPr>
          <w:p w:rsidR="00043A5E" w:rsidRPr="008065A3" w:rsidRDefault="00043A5E" w:rsidP="00043A5E">
            <w:pPr>
              <w:jc w:val="both"/>
              <w:rPr>
                <w:sz w:val="20"/>
                <w:lang w:val="fr-CA"/>
              </w:rPr>
            </w:pPr>
            <w:r w:rsidRPr="008065A3">
              <w:rPr>
                <w:sz w:val="20"/>
                <w:lang w:val="fr-CA"/>
              </w:rPr>
              <w:t>29 juillet 2020</w:t>
            </w:r>
          </w:p>
          <w:p w:rsidR="00043A5E" w:rsidRPr="008065A3" w:rsidRDefault="00043A5E" w:rsidP="00043A5E">
            <w:pPr>
              <w:jc w:val="both"/>
              <w:rPr>
                <w:sz w:val="20"/>
                <w:lang w:val="fr-CA"/>
              </w:rPr>
            </w:pPr>
            <w:r w:rsidRPr="008065A3">
              <w:rPr>
                <w:sz w:val="20"/>
                <w:lang w:val="fr-CA"/>
              </w:rPr>
              <w:t xml:space="preserve">Cour d’appel de l’Ontario </w:t>
            </w:r>
          </w:p>
          <w:p w:rsidR="00043A5E" w:rsidRPr="008065A3" w:rsidRDefault="00043A5E" w:rsidP="00043A5E">
            <w:pPr>
              <w:jc w:val="both"/>
              <w:rPr>
                <w:sz w:val="20"/>
                <w:lang w:val="fr-CA"/>
              </w:rPr>
            </w:pPr>
            <w:r w:rsidRPr="008065A3">
              <w:rPr>
                <w:sz w:val="20"/>
                <w:lang w:val="fr-CA"/>
              </w:rPr>
              <w:t>(Juges Feldman, Lauwers et Huscroft)</w:t>
            </w:r>
          </w:p>
          <w:p w:rsidR="00043A5E" w:rsidRPr="008065A3" w:rsidRDefault="00043A5E" w:rsidP="00043A5E">
            <w:pPr>
              <w:jc w:val="both"/>
              <w:rPr>
                <w:sz w:val="20"/>
                <w:lang w:val="fr-CA"/>
              </w:rPr>
            </w:pPr>
            <w:hyperlink r:id="rId27" w:history="1">
              <w:r w:rsidRPr="008065A3">
                <w:rPr>
                  <w:rStyle w:val="Hyperlink"/>
                  <w:sz w:val="20"/>
                  <w:lang w:val="fr-CA"/>
                </w:rPr>
                <w:t>2020 ONCA 487</w:t>
              </w:r>
            </w:hyperlink>
          </w:p>
          <w:p w:rsidR="00043A5E" w:rsidRPr="008065A3" w:rsidRDefault="00043A5E" w:rsidP="00043A5E">
            <w:pPr>
              <w:jc w:val="both"/>
              <w:rPr>
                <w:sz w:val="20"/>
                <w:lang w:val="fr-CA"/>
              </w:rPr>
            </w:pPr>
          </w:p>
        </w:tc>
        <w:tc>
          <w:tcPr>
            <w:tcW w:w="243" w:type="pct"/>
          </w:tcPr>
          <w:p w:rsidR="00043A5E" w:rsidRPr="008065A3" w:rsidRDefault="00043A5E" w:rsidP="00043A5E">
            <w:pPr>
              <w:jc w:val="both"/>
              <w:rPr>
                <w:sz w:val="20"/>
                <w:lang w:val="fr-CA"/>
              </w:rPr>
            </w:pPr>
          </w:p>
        </w:tc>
        <w:tc>
          <w:tcPr>
            <w:tcW w:w="2330" w:type="pct"/>
          </w:tcPr>
          <w:p w:rsidR="00043A5E" w:rsidRPr="008065A3" w:rsidRDefault="00043A5E" w:rsidP="00043A5E">
            <w:pPr>
              <w:jc w:val="both"/>
              <w:rPr>
                <w:sz w:val="20"/>
                <w:lang w:val="fr-CA"/>
              </w:rPr>
            </w:pPr>
            <w:r w:rsidRPr="008065A3">
              <w:rPr>
                <w:sz w:val="20"/>
                <w:lang w:val="fr-CA"/>
              </w:rPr>
              <w:t>Appel accueilli en partie, jugement rendu accordant 429 329,18 $ à l’intimée.</w:t>
            </w:r>
          </w:p>
          <w:p w:rsidR="00043A5E" w:rsidRPr="008065A3" w:rsidRDefault="00043A5E" w:rsidP="00043A5E">
            <w:pPr>
              <w:jc w:val="both"/>
              <w:rPr>
                <w:sz w:val="20"/>
                <w:lang w:val="fr-CA"/>
              </w:rPr>
            </w:pPr>
          </w:p>
          <w:p w:rsidR="00043A5E" w:rsidRPr="008065A3" w:rsidRDefault="00043A5E" w:rsidP="00043A5E">
            <w:pPr>
              <w:jc w:val="both"/>
              <w:rPr>
                <w:sz w:val="20"/>
                <w:lang w:val="fr-CA"/>
              </w:rPr>
            </w:pPr>
          </w:p>
        </w:tc>
      </w:tr>
      <w:tr w:rsidR="00043A5E" w:rsidRPr="008065A3" w:rsidTr="00E3334E">
        <w:tc>
          <w:tcPr>
            <w:tcW w:w="2427" w:type="pct"/>
            <w:gridSpan w:val="2"/>
          </w:tcPr>
          <w:p w:rsidR="00043A5E" w:rsidRPr="008065A3" w:rsidRDefault="00043A5E" w:rsidP="00043A5E">
            <w:pPr>
              <w:jc w:val="both"/>
              <w:rPr>
                <w:sz w:val="20"/>
                <w:lang w:val="fr-CA"/>
              </w:rPr>
            </w:pPr>
            <w:r w:rsidRPr="008065A3">
              <w:rPr>
                <w:sz w:val="20"/>
                <w:lang w:val="fr-CA"/>
              </w:rPr>
              <w:t>20 octobre 2020</w:t>
            </w:r>
          </w:p>
          <w:p w:rsidR="00043A5E" w:rsidRPr="008065A3" w:rsidRDefault="00043A5E" w:rsidP="00043A5E">
            <w:pPr>
              <w:jc w:val="both"/>
              <w:rPr>
                <w:sz w:val="20"/>
                <w:lang w:val="fr-CA"/>
              </w:rPr>
            </w:pPr>
            <w:r w:rsidRPr="008065A3">
              <w:rPr>
                <w:sz w:val="20"/>
                <w:lang w:val="fr-CA"/>
              </w:rPr>
              <w:t>Cour suprême du Canada</w:t>
            </w:r>
          </w:p>
        </w:tc>
        <w:tc>
          <w:tcPr>
            <w:tcW w:w="243" w:type="pct"/>
          </w:tcPr>
          <w:p w:rsidR="00043A5E" w:rsidRPr="008065A3" w:rsidRDefault="00043A5E" w:rsidP="00043A5E">
            <w:pPr>
              <w:jc w:val="both"/>
              <w:rPr>
                <w:sz w:val="20"/>
                <w:lang w:val="fr-CA"/>
              </w:rPr>
            </w:pPr>
          </w:p>
        </w:tc>
        <w:tc>
          <w:tcPr>
            <w:tcW w:w="2330" w:type="pct"/>
          </w:tcPr>
          <w:p w:rsidR="00043A5E" w:rsidRPr="008065A3" w:rsidRDefault="00043A5E" w:rsidP="00043A5E">
            <w:pPr>
              <w:jc w:val="both"/>
              <w:rPr>
                <w:sz w:val="20"/>
                <w:lang w:val="fr-CA"/>
              </w:rPr>
            </w:pPr>
            <w:r w:rsidRPr="008065A3">
              <w:rPr>
                <w:sz w:val="20"/>
                <w:lang w:val="fr-CA"/>
              </w:rPr>
              <w:t>Demande d’autorisation d’appel présentée.</w:t>
            </w:r>
          </w:p>
          <w:p w:rsidR="00043A5E" w:rsidRPr="008065A3" w:rsidRDefault="00043A5E" w:rsidP="00043A5E">
            <w:pPr>
              <w:jc w:val="both"/>
              <w:rPr>
                <w:sz w:val="20"/>
                <w:lang w:val="fr-CA"/>
              </w:rPr>
            </w:pPr>
          </w:p>
        </w:tc>
      </w:tr>
    </w:tbl>
    <w:p w:rsidR="00043A5E" w:rsidRPr="008065A3" w:rsidRDefault="00043A5E" w:rsidP="00043A5E">
      <w:pPr>
        <w:jc w:val="both"/>
        <w:rPr>
          <w:sz w:val="20"/>
          <w:lang w:val="fr-CA"/>
        </w:rPr>
      </w:pPr>
    </w:p>
    <w:p w:rsidR="00E444F3" w:rsidRPr="008065A3" w:rsidRDefault="0047018E" w:rsidP="00043A5E">
      <w:pPr>
        <w:widowControl w:val="0"/>
        <w:jc w:val="both"/>
        <w:rPr>
          <w:sz w:val="20"/>
          <w:lang w:val="fr-CA"/>
        </w:rPr>
      </w:pPr>
      <w:r w:rsidRPr="008065A3">
        <w:rPr>
          <w:sz w:val="20"/>
        </w:rPr>
        <w:pict>
          <v:rect id="_x0000_i1056" style="width:2in;height:1pt" o:hrpct="0" o:hralign="center" o:hrstd="t" o:hrnoshade="t" o:hr="t" fillcolor="black [3213]" stroked="f"/>
        </w:pict>
      </w:r>
    </w:p>
    <w:p w:rsidR="0047018E" w:rsidRPr="008065A3" w:rsidRDefault="0047018E" w:rsidP="00043A5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3A5E" w:rsidRPr="008065A3" w:rsidTr="00E3334E">
        <w:tc>
          <w:tcPr>
            <w:tcW w:w="543" w:type="pct"/>
          </w:tcPr>
          <w:p w:rsidR="00043A5E" w:rsidRPr="008065A3" w:rsidRDefault="00043A5E" w:rsidP="00043A5E">
            <w:pPr>
              <w:jc w:val="both"/>
              <w:rPr>
                <w:sz w:val="20"/>
              </w:rPr>
            </w:pPr>
            <w:r w:rsidRPr="008065A3">
              <w:rPr>
                <w:rStyle w:val="SCCFileNumberChar"/>
                <w:sz w:val="20"/>
                <w:szCs w:val="20"/>
              </w:rPr>
              <w:t>39362</w:t>
            </w:r>
          </w:p>
        </w:tc>
        <w:tc>
          <w:tcPr>
            <w:tcW w:w="4457" w:type="pct"/>
            <w:gridSpan w:val="3"/>
          </w:tcPr>
          <w:p w:rsidR="00043A5E" w:rsidRPr="008065A3" w:rsidRDefault="00043A5E" w:rsidP="00043A5E">
            <w:pPr>
              <w:pStyle w:val="SCCLsocParty"/>
              <w:jc w:val="both"/>
              <w:rPr>
                <w:b/>
                <w:sz w:val="20"/>
                <w:szCs w:val="20"/>
                <w:lang w:val="en-US"/>
              </w:rPr>
            </w:pPr>
            <w:r w:rsidRPr="008065A3">
              <w:rPr>
                <w:b/>
                <w:sz w:val="20"/>
                <w:szCs w:val="20"/>
                <w:lang w:val="en-US"/>
              </w:rPr>
              <w:t>SSAB Alabama Inc., SSAB U.S. Holding Inc., SSAB Americas, LLC v. Canadian National Railway Company</w:t>
            </w:r>
          </w:p>
          <w:p w:rsidR="00043A5E" w:rsidRPr="008065A3" w:rsidRDefault="00043A5E" w:rsidP="00043A5E">
            <w:pPr>
              <w:jc w:val="both"/>
              <w:rPr>
                <w:sz w:val="20"/>
              </w:rPr>
            </w:pPr>
            <w:r w:rsidRPr="008065A3">
              <w:rPr>
                <w:sz w:val="20"/>
              </w:rPr>
              <w:t>(Sask.) (Civil) (By Leave)</w:t>
            </w:r>
          </w:p>
        </w:tc>
      </w:tr>
      <w:tr w:rsidR="00043A5E" w:rsidRPr="008065A3" w:rsidTr="00E3334E">
        <w:tc>
          <w:tcPr>
            <w:tcW w:w="5000" w:type="pct"/>
            <w:gridSpan w:val="4"/>
          </w:tcPr>
          <w:p w:rsidR="00043A5E" w:rsidRPr="008065A3" w:rsidRDefault="00043A5E" w:rsidP="00043A5E">
            <w:pPr>
              <w:jc w:val="both"/>
              <w:rPr>
                <w:sz w:val="20"/>
              </w:rPr>
            </w:pPr>
            <w:r w:rsidRPr="008065A3">
              <w:rPr>
                <w:sz w:val="20"/>
              </w:rPr>
              <w:t>Private international law — Extraterritoriality —</w:t>
            </w:r>
            <w:r w:rsidRPr="008065A3">
              <w:rPr>
                <w:i/>
                <w:sz w:val="20"/>
              </w:rPr>
              <w:t xml:space="preserve"> Forum</w:t>
            </w:r>
            <w:r w:rsidRPr="008065A3">
              <w:rPr>
                <w:sz w:val="20"/>
              </w:rPr>
              <w:t xml:space="preserve"> </w:t>
            </w:r>
            <w:r w:rsidRPr="008065A3">
              <w:rPr>
                <w:i/>
                <w:sz w:val="20"/>
              </w:rPr>
              <w:t>non conveniens</w:t>
            </w:r>
            <w:r w:rsidRPr="008065A3">
              <w:rPr>
                <w:sz w:val="20"/>
              </w:rPr>
              <w:t xml:space="preserve"> — Assertion of jurisdiction — Presumption of territorial competence — What significance the place of harm has in ascertaining the </w:t>
            </w:r>
            <w:r w:rsidRPr="008065A3">
              <w:rPr>
                <w:i/>
                <w:sz w:val="20"/>
              </w:rPr>
              <w:t>situs</w:t>
            </w:r>
            <w:r w:rsidRPr="008065A3">
              <w:rPr>
                <w:sz w:val="20"/>
              </w:rPr>
              <w:t xml:space="preserve"> of a tort — Whether damages constitute or remain a presumptive connecting factor to ground jurisdiction when they occur in a different location than all the other major elements of a pleaded tort — Whether the lower courts interpreted the real and substantial connection provisions of </w:t>
            </w:r>
            <w:r w:rsidRPr="008065A3">
              <w:rPr>
                <w:i/>
                <w:sz w:val="20"/>
              </w:rPr>
              <w:t>The Court Jurisdiction and Proceedings Transfer Act</w:t>
            </w:r>
            <w:r w:rsidRPr="008065A3">
              <w:rPr>
                <w:sz w:val="20"/>
              </w:rPr>
              <w:t xml:space="preserve">, S.S. 1997, c. C-41.1, properly — Whether the facts of this case demonstrate a real and substantial connection to Saskatchewan — How the principles of </w:t>
            </w:r>
            <w:r w:rsidRPr="008065A3">
              <w:rPr>
                <w:i/>
                <w:sz w:val="20"/>
              </w:rPr>
              <w:t>forum</w:t>
            </w:r>
            <w:r w:rsidRPr="008065A3">
              <w:rPr>
                <w:sz w:val="20"/>
              </w:rPr>
              <w:t xml:space="preserve"> </w:t>
            </w:r>
            <w:r w:rsidRPr="008065A3">
              <w:rPr>
                <w:i/>
                <w:sz w:val="20"/>
              </w:rPr>
              <w:t>non conveniens</w:t>
            </w:r>
            <w:r w:rsidRPr="008065A3">
              <w:rPr>
                <w:sz w:val="20"/>
              </w:rPr>
              <w:t xml:space="preserve">, as codified in s. 10 of </w:t>
            </w:r>
            <w:r w:rsidRPr="008065A3">
              <w:rPr>
                <w:i/>
                <w:sz w:val="20"/>
              </w:rPr>
              <w:t>The Court Jurisdiction and Proceedings Transfer Act</w:t>
            </w:r>
            <w:r w:rsidRPr="008065A3">
              <w:rPr>
                <w:sz w:val="20"/>
              </w:rPr>
              <w:t xml:space="preserve">, apply where major elements of the tort are </w:t>
            </w:r>
            <w:proofErr w:type="spellStart"/>
            <w:r w:rsidRPr="008065A3">
              <w:rPr>
                <w:sz w:val="20"/>
              </w:rPr>
              <w:t>pleaded</w:t>
            </w:r>
            <w:proofErr w:type="spellEnd"/>
            <w:r w:rsidRPr="008065A3">
              <w:rPr>
                <w:sz w:val="20"/>
              </w:rPr>
              <w:t xml:space="preserve"> to have occurred outside of Canada — Whether efficient resolution of a dispute can occur and fairness to the parties be assured where key witnesses are not compellable.</w:t>
            </w:r>
          </w:p>
        </w:tc>
      </w:tr>
      <w:tr w:rsidR="00043A5E" w:rsidRPr="008065A3" w:rsidTr="00E3334E">
        <w:tc>
          <w:tcPr>
            <w:tcW w:w="5000" w:type="pct"/>
            <w:gridSpan w:val="4"/>
          </w:tcPr>
          <w:p w:rsidR="00043A5E" w:rsidRPr="008065A3" w:rsidRDefault="00043A5E" w:rsidP="00043A5E">
            <w:pPr>
              <w:jc w:val="both"/>
              <w:rPr>
                <w:sz w:val="20"/>
              </w:rPr>
            </w:pPr>
          </w:p>
        </w:tc>
      </w:tr>
      <w:tr w:rsidR="00043A5E" w:rsidRPr="008065A3" w:rsidTr="00E3334E">
        <w:tc>
          <w:tcPr>
            <w:tcW w:w="5000" w:type="pct"/>
            <w:gridSpan w:val="4"/>
          </w:tcPr>
          <w:p w:rsidR="00043A5E" w:rsidRPr="008065A3" w:rsidRDefault="00043A5E" w:rsidP="00043A5E">
            <w:pPr>
              <w:jc w:val="both"/>
              <w:rPr>
                <w:sz w:val="20"/>
              </w:rPr>
            </w:pPr>
            <w:r w:rsidRPr="008065A3">
              <w:rPr>
                <w:sz w:val="20"/>
              </w:rPr>
              <w:t>In December 2014, a train operated by the Canadian National Railway Company derailed north of Regina, Saskatchewan, when, while travelling through a curve, steel plates slid off of a flatbed rail car and struck a tank car immediately behind it. Other plates fell onto the track, causing more cars to derail. The flatbed rail car had been loaded, secured and inspected by SSAB Alabama Inc., SSAB U.S. Holding Inc., SSAB Americas, LLC (collectively, “SSAB”). CN’s losses exceeded $12 million. CN claimed that SSAB were vicariously liable for the actions of those responsible for loading, securing and inspecting the steel, and that SSAB were subject to and required to comply with statutory, regulatory and industry rules and standards in so doing.</w:t>
            </w:r>
          </w:p>
          <w:p w:rsidR="00043A5E" w:rsidRPr="008065A3" w:rsidRDefault="00043A5E" w:rsidP="00043A5E">
            <w:pPr>
              <w:jc w:val="both"/>
              <w:rPr>
                <w:sz w:val="20"/>
              </w:rPr>
            </w:pPr>
          </w:p>
          <w:p w:rsidR="00043A5E" w:rsidRPr="008065A3" w:rsidRDefault="00043A5E" w:rsidP="00043A5E">
            <w:pPr>
              <w:jc w:val="both"/>
              <w:rPr>
                <w:sz w:val="20"/>
              </w:rPr>
            </w:pPr>
            <w:r w:rsidRPr="008065A3">
              <w:rPr>
                <w:sz w:val="20"/>
              </w:rPr>
              <w:t>The trial judge ordered that CN’s claim against SSAB could proceed in the Saskatchewan Court of Queen’s Bench as it had territorial competence and as Alabama was not a more appropriate forum for the proceeding. The Court of Appeal dismissed SSAB’s appeal.</w:t>
            </w:r>
          </w:p>
          <w:p w:rsidR="00043A5E" w:rsidRPr="008065A3" w:rsidRDefault="00043A5E" w:rsidP="00043A5E">
            <w:pPr>
              <w:jc w:val="both"/>
              <w:rPr>
                <w:sz w:val="20"/>
              </w:rPr>
            </w:pPr>
          </w:p>
        </w:tc>
      </w:tr>
      <w:tr w:rsidR="00043A5E" w:rsidRPr="008065A3" w:rsidTr="00E3334E">
        <w:tc>
          <w:tcPr>
            <w:tcW w:w="2427" w:type="pct"/>
            <w:gridSpan w:val="2"/>
          </w:tcPr>
          <w:p w:rsidR="00043A5E" w:rsidRPr="008065A3" w:rsidRDefault="00043A5E" w:rsidP="00043A5E">
            <w:pPr>
              <w:jc w:val="both"/>
              <w:rPr>
                <w:sz w:val="20"/>
              </w:rPr>
            </w:pPr>
            <w:r w:rsidRPr="008065A3">
              <w:rPr>
                <w:sz w:val="20"/>
              </w:rPr>
              <w:t>October 9, 2018</w:t>
            </w:r>
          </w:p>
          <w:p w:rsidR="00043A5E" w:rsidRPr="008065A3" w:rsidRDefault="00043A5E" w:rsidP="00043A5E">
            <w:pPr>
              <w:jc w:val="both"/>
              <w:rPr>
                <w:sz w:val="20"/>
              </w:rPr>
            </w:pPr>
            <w:r w:rsidRPr="008065A3">
              <w:rPr>
                <w:sz w:val="20"/>
              </w:rPr>
              <w:t>Court of Queen’s Bench of Saskatchewan</w:t>
            </w:r>
          </w:p>
          <w:p w:rsidR="00043A5E" w:rsidRPr="008065A3" w:rsidRDefault="00043A5E" w:rsidP="00043A5E">
            <w:pPr>
              <w:jc w:val="both"/>
              <w:rPr>
                <w:sz w:val="20"/>
                <w:lang w:val="fr-CA"/>
              </w:rPr>
            </w:pPr>
            <w:r w:rsidRPr="008065A3">
              <w:rPr>
                <w:sz w:val="20"/>
                <w:lang w:val="fr-CA"/>
              </w:rPr>
              <w:t>(Leurer J.A. (</w:t>
            </w:r>
            <w:r w:rsidRPr="008065A3">
              <w:rPr>
                <w:i/>
                <w:sz w:val="20"/>
                <w:lang w:val="fr-CA"/>
              </w:rPr>
              <w:t xml:space="preserve">ex </w:t>
            </w:r>
            <w:proofErr w:type="spellStart"/>
            <w:r w:rsidRPr="008065A3">
              <w:rPr>
                <w:i/>
                <w:sz w:val="20"/>
                <w:lang w:val="fr-CA"/>
              </w:rPr>
              <w:t>officio</w:t>
            </w:r>
            <w:proofErr w:type="spellEnd"/>
            <w:r w:rsidRPr="008065A3">
              <w:rPr>
                <w:sz w:val="20"/>
                <w:lang w:val="fr-CA"/>
              </w:rPr>
              <w:t>))</w:t>
            </w:r>
          </w:p>
          <w:p w:rsidR="00043A5E" w:rsidRPr="008065A3" w:rsidRDefault="00043A5E" w:rsidP="00043A5E">
            <w:pPr>
              <w:jc w:val="both"/>
              <w:rPr>
                <w:sz w:val="20"/>
              </w:rPr>
            </w:pPr>
            <w:hyperlink r:id="rId28" w:anchor="document" w:history="1">
              <w:r w:rsidRPr="008065A3">
                <w:rPr>
                  <w:rStyle w:val="Hyperlink"/>
                  <w:sz w:val="20"/>
                </w:rPr>
                <w:t>2018 SKQB 272</w:t>
              </w:r>
            </w:hyperlink>
          </w:p>
          <w:p w:rsidR="00043A5E" w:rsidRPr="008065A3" w:rsidRDefault="00043A5E" w:rsidP="00043A5E">
            <w:pPr>
              <w:jc w:val="both"/>
              <w:rPr>
                <w:sz w:val="20"/>
              </w:rPr>
            </w:pPr>
          </w:p>
        </w:tc>
        <w:tc>
          <w:tcPr>
            <w:tcW w:w="243" w:type="pct"/>
          </w:tcPr>
          <w:p w:rsidR="00043A5E" w:rsidRPr="008065A3" w:rsidRDefault="00043A5E" w:rsidP="00043A5E">
            <w:pPr>
              <w:jc w:val="both"/>
              <w:rPr>
                <w:sz w:val="20"/>
              </w:rPr>
            </w:pPr>
          </w:p>
        </w:tc>
        <w:tc>
          <w:tcPr>
            <w:tcW w:w="2330" w:type="pct"/>
          </w:tcPr>
          <w:p w:rsidR="00043A5E" w:rsidRPr="008065A3" w:rsidRDefault="00043A5E" w:rsidP="00043A5E">
            <w:pPr>
              <w:jc w:val="both"/>
              <w:rPr>
                <w:sz w:val="20"/>
              </w:rPr>
            </w:pPr>
            <w:r w:rsidRPr="008065A3">
              <w:rPr>
                <w:sz w:val="20"/>
              </w:rPr>
              <w:t>SSAB’s request that Court of Queen’s Bench decline jurisdiction declined</w:t>
            </w:r>
          </w:p>
        </w:tc>
      </w:tr>
      <w:tr w:rsidR="00043A5E" w:rsidRPr="008065A3" w:rsidTr="00E3334E">
        <w:tc>
          <w:tcPr>
            <w:tcW w:w="2427" w:type="pct"/>
            <w:gridSpan w:val="2"/>
          </w:tcPr>
          <w:p w:rsidR="00043A5E" w:rsidRPr="008065A3" w:rsidRDefault="00043A5E" w:rsidP="00043A5E">
            <w:pPr>
              <w:jc w:val="both"/>
              <w:rPr>
                <w:sz w:val="20"/>
              </w:rPr>
            </w:pPr>
            <w:r w:rsidRPr="008065A3">
              <w:rPr>
                <w:sz w:val="20"/>
              </w:rPr>
              <w:t>June 19, 2020</w:t>
            </w:r>
          </w:p>
          <w:p w:rsidR="00043A5E" w:rsidRPr="008065A3" w:rsidRDefault="00043A5E" w:rsidP="00043A5E">
            <w:pPr>
              <w:jc w:val="both"/>
              <w:rPr>
                <w:sz w:val="20"/>
              </w:rPr>
            </w:pPr>
            <w:r w:rsidRPr="008065A3">
              <w:rPr>
                <w:sz w:val="20"/>
              </w:rPr>
              <w:t>Court of Appeal for Saskatchewan</w:t>
            </w:r>
          </w:p>
          <w:p w:rsidR="00043A5E" w:rsidRPr="008065A3" w:rsidRDefault="00043A5E" w:rsidP="00043A5E">
            <w:pPr>
              <w:jc w:val="both"/>
              <w:rPr>
                <w:sz w:val="20"/>
              </w:rPr>
            </w:pPr>
            <w:r w:rsidRPr="008065A3">
              <w:rPr>
                <w:sz w:val="20"/>
              </w:rPr>
              <w:lastRenderedPageBreak/>
              <w:t xml:space="preserve">(Richards C.J.S., Caldwell, Barrington-Foote  </w:t>
            </w:r>
          </w:p>
          <w:p w:rsidR="00043A5E" w:rsidRPr="008065A3" w:rsidRDefault="00043A5E" w:rsidP="00043A5E">
            <w:pPr>
              <w:jc w:val="both"/>
              <w:rPr>
                <w:sz w:val="20"/>
              </w:rPr>
            </w:pPr>
            <w:r w:rsidRPr="008065A3">
              <w:rPr>
                <w:sz w:val="20"/>
              </w:rPr>
              <w:t>JJ.A.)</w:t>
            </w:r>
          </w:p>
          <w:p w:rsidR="00043A5E" w:rsidRPr="008065A3" w:rsidRDefault="00043A5E" w:rsidP="00043A5E">
            <w:pPr>
              <w:jc w:val="both"/>
              <w:rPr>
                <w:sz w:val="20"/>
              </w:rPr>
            </w:pPr>
            <w:hyperlink r:id="rId29" w:history="1">
              <w:r w:rsidRPr="008065A3">
                <w:rPr>
                  <w:rStyle w:val="Hyperlink"/>
                  <w:sz w:val="20"/>
                </w:rPr>
                <w:t>2020 SKCA 74</w:t>
              </w:r>
            </w:hyperlink>
          </w:p>
          <w:p w:rsidR="00043A5E" w:rsidRPr="008065A3" w:rsidRDefault="00043A5E" w:rsidP="00043A5E">
            <w:pPr>
              <w:jc w:val="both"/>
              <w:rPr>
                <w:sz w:val="20"/>
              </w:rPr>
            </w:pPr>
          </w:p>
        </w:tc>
        <w:tc>
          <w:tcPr>
            <w:tcW w:w="243" w:type="pct"/>
          </w:tcPr>
          <w:p w:rsidR="00043A5E" w:rsidRPr="008065A3" w:rsidRDefault="00043A5E" w:rsidP="00043A5E">
            <w:pPr>
              <w:jc w:val="both"/>
              <w:rPr>
                <w:sz w:val="20"/>
              </w:rPr>
            </w:pPr>
          </w:p>
        </w:tc>
        <w:tc>
          <w:tcPr>
            <w:tcW w:w="2330" w:type="pct"/>
          </w:tcPr>
          <w:p w:rsidR="00043A5E" w:rsidRPr="008065A3" w:rsidRDefault="00043A5E" w:rsidP="00043A5E">
            <w:pPr>
              <w:jc w:val="both"/>
              <w:rPr>
                <w:sz w:val="20"/>
              </w:rPr>
            </w:pPr>
            <w:r w:rsidRPr="008065A3">
              <w:rPr>
                <w:sz w:val="20"/>
              </w:rPr>
              <w:t>Appeal dismissed</w:t>
            </w:r>
          </w:p>
          <w:p w:rsidR="00043A5E" w:rsidRPr="008065A3" w:rsidRDefault="00043A5E" w:rsidP="00043A5E">
            <w:pPr>
              <w:jc w:val="both"/>
              <w:rPr>
                <w:sz w:val="20"/>
              </w:rPr>
            </w:pPr>
          </w:p>
        </w:tc>
      </w:tr>
      <w:tr w:rsidR="00043A5E" w:rsidRPr="008065A3" w:rsidTr="00E3334E">
        <w:tc>
          <w:tcPr>
            <w:tcW w:w="2427" w:type="pct"/>
            <w:gridSpan w:val="2"/>
          </w:tcPr>
          <w:p w:rsidR="00043A5E" w:rsidRPr="008065A3" w:rsidRDefault="00043A5E" w:rsidP="00043A5E">
            <w:pPr>
              <w:jc w:val="both"/>
              <w:rPr>
                <w:sz w:val="20"/>
              </w:rPr>
            </w:pPr>
            <w:r w:rsidRPr="008065A3">
              <w:rPr>
                <w:sz w:val="20"/>
              </w:rPr>
              <w:lastRenderedPageBreak/>
              <w:t>October 8, 2020</w:t>
            </w:r>
          </w:p>
          <w:p w:rsidR="00043A5E" w:rsidRPr="008065A3" w:rsidRDefault="00043A5E" w:rsidP="00043A5E">
            <w:pPr>
              <w:jc w:val="both"/>
              <w:rPr>
                <w:sz w:val="20"/>
              </w:rPr>
            </w:pPr>
            <w:r w:rsidRPr="008065A3">
              <w:rPr>
                <w:sz w:val="20"/>
              </w:rPr>
              <w:t>Supreme Court of Canada</w:t>
            </w:r>
          </w:p>
          <w:p w:rsidR="00043A5E" w:rsidRPr="008065A3" w:rsidRDefault="00043A5E" w:rsidP="00043A5E">
            <w:pPr>
              <w:jc w:val="both"/>
              <w:rPr>
                <w:sz w:val="20"/>
              </w:rPr>
            </w:pPr>
          </w:p>
        </w:tc>
        <w:tc>
          <w:tcPr>
            <w:tcW w:w="243" w:type="pct"/>
          </w:tcPr>
          <w:p w:rsidR="00043A5E" w:rsidRPr="008065A3" w:rsidRDefault="00043A5E" w:rsidP="00043A5E">
            <w:pPr>
              <w:jc w:val="both"/>
              <w:rPr>
                <w:sz w:val="20"/>
              </w:rPr>
            </w:pPr>
          </w:p>
        </w:tc>
        <w:tc>
          <w:tcPr>
            <w:tcW w:w="2330" w:type="pct"/>
          </w:tcPr>
          <w:p w:rsidR="00043A5E" w:rsidRPr="008065A3" w:rsidRDefault="00043A5E" w:rsidP="00043A5E">
            <w:pPr>
              <w:jc w:val="both"/>
              <w:rPr>
                <w:sz w:val="20"/>
              </w:rPr>
            </w:pPr>
            <w:r w:rsidRPr="008065A3">
              <w:rPr>
                <w:sz w:val="20"/>
              </w:rPr>
              <w:t>Application for leave to appeal filed</w:t>
            </w:r>
          </w:p>
          <w:p w:rsidR="00043A5E" w:rsidRPr="008065A3" w:rsidRDefault="00043A5E" w:rsidP="00043A5E">
            <w:pPr>
              <w:jc w:val="both"/>
              <w:rPr>
                <w:sz w:val="20"/>
              </w:rPr>
            </w:pPr>
          </w:p>
        </w:tc>
      </w:tr>
      <w:tr w:rsidR="00043A5E" w:rsidRPr="008065A3" w:rsidTr="00E3334E">
        <w:tc>
          <w:tcPr>
            <w:tcW w:w="2427" w:type="pct"/>
            <w:gridSpan w:val="2"/>
          </w:tcPr>
          <w:p w:rsidR="00043A5E" w:rsidRPr="008065A3" w:rsidRDefault="00043A5E" w:rsidP="00043A5E">
            <w:pPr>
              <w:jc w:val="both"/>
              <w:rPr>
                <w:sz w:val="20"/>
              </w:rPr>
            </w:pPr>
            <w:r w:rsidRPr="008065A3">
              <w:rPr>
                <w:sz w:val="20"/>
              </w:rPr>
              <w:t>October 26, 2020</w:t>
            </w:r>
          </w:p>
          <w:p w:rsidR="00043A5E" w:rsidRPr="008065A3" w:rsidRDefault="00043A5E" w:rsidP="00043A5E">
            <w:pPr>
              <w:jc w:val="both"/>
              <w:rPr>
                <w:sz w:val="20"/>
              </w:rPr>
            </w:pPr>
            <w:r w:rsidRPr="008065A3">
              <w:rPr>
                <w:sz w:val="20"/>
              </w:rPr>
              <w:t>Supreme Court of Canada</w:t>
            </w:r>
          </w:p>
        </w:tc>
        <w:tc>
          <w:tcPr>
            <w:tcW w:w="243" w:type="pct"/>
          </w:tcPr>
          <w:p w:rsidR="00043A5E" w:rsidRPr="008065A3" w:rsidRDefault="00043A5E" w:rsidP="00043A5E">
            <w:pPr>
              <w:jc w:val="both"/>
              <w:rPr>
                <w:sz w:val="20"/>
              </w:rPr>
            </w:pPr>
          </w:p>
        </w:tc>
        <w:tc>
          <w:tcPr>
            <w:tcW w:w="2330" w:type="pct"/>
          </w:tcPr>
          <w:p w:rsidR="00043A5E" w:rsidRPr="008065A3" w:rsidRDefault="00043A5E" w:rsidP="00043A5E">
            <w:pPr>
              <w:jc w:val="both"/>
              <w:rPr>
                <w:sz w:val="20"/>
              </w:rPr>
            </w:pPr>
            <w:r w:rsidRPr="008065A3">
              <w:rPr>
                <w:sz w:val="20"/>
              </w:rPr>
              <w:t>Motion by LSB Contracting, LCC, to be added as a party</w:t>
            </w:r>
          </w:p>
        </w:tc>
      </w:tr>
    </w:tbl>
    <w:p w:rsidR="00043A5E" w:rsidRPr="008065A3" w:rsidRDefault="00043A5E" w:rsidP="00043A5E">
      <w:pPr>
        <w:jc w:val="both"/>
        <w:rPr>
          <w:sz w:val="20"/>
        </w:rPr>
      </w:pPr>
    </w:p>
    <w:p w:rsidR="0047018E" w:rsidRPr="008065A3" w:rsidRDefault="0047018E" w:rsidP="00043A5E">
      <w:pPr>
        <w:jc w:val="both"/>
        <w:rPr>
          <w:sz w:val="20"/>
        </w:rPr>
      </w:pPr>
      <w:r w:rsidRPr="008065A3">
        <w:rPr>
          <w:sz w:val="20"/>
        </w:rPr>
        <w:pict>
          <v:rect id="_x0000_i1057" style="width:2in;height:1pt" o:hrpct="0" o:hralign="center" o:hrstd="t" o:hrnoshade="t" o:hr="t" fillcolor="black [3213]" stroked="f"/>
        </w:pict>
      </w:r>
    </w:p>
    <w:p w:rsidR="0047018E" w:rsidRPr="008065A3" w:rsidRDefault="0047018E" w:rsidP="00043A5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3A5E" w:rsidRPr="008065A3" w:rsidTr="00E3334E">
        <w:tc>
          <w:tcPr>
            <w:tcW w:w="543" w:type="pct"/>
          </w:tcPr>
          <w:p w:rsidR="00043A5E" w:rsidRPr="008065A3" w:rsidRDefault="00043A5E" w:rsidP="00043A5E">
            <w:pPr>
              <w:jc w:val="both"/>
              <w:rPr>
                <w:sz w:val="20"/>
                <w:lang w:val="fr-CA"/>
              </w:rPr>
            </w:pPr>
            <w:r w:rsidRPr="008065A3">
              <w:rPr>
                <w:rStyle w:val="SCCFileNumberChar"/>
                <w:sz w:val="20"/>
                <w:szCs w:val="20"/>
                <w:lang w:val="fr-CA"/>
              </w:rPr>
              <w:t>39362</w:t>
            </w:r>
          </w:p>
        </w:tc>
        <w:tc>
          <w:tcPr>
            <w:tcW w:w="4457" w:type="pct"/>
            <w:gridSpan w:val="3"/>
          </w:tcPr>
          <w:p w:rsidR="00043A5E" w:rsidRPr="008065A3" w:rsidRDefault="00043A5E" w:rsidP="00043A5E">
            <w:pPr>
              <w:pStyle w:val="SCCLsocParty"/>
              <w:jc w:val="both"/>
              <w:rPr>
                <w:b/>
                <w:sz w:val="20"/>
                <w:szCs w:val="20"/>
              </w:rPr>
            </w:pPr>
            <w:r w:rsidRPr="008065A3">
              <w:rPr>
                <w:b/>
                <w:sz w:val="20"/>
                <w:szCs w:val="20"/>
              </w:rPr>
              <w:t>SSAB Alabama Inc., SSAB U.S. Holding Inc., SSAB Americas, LLC c. Compagnie des chemins de fer nationaux du Canada</w:t>
            </w:r>
          </w:p>
          <w:p w:rsidR="00043A5E" w:rsidRPr="008065A3" w:rsidRDefault="00043A5E" w:rsidP="00043A5E">
            <w:pPr>
              <w:jc w:val="both"/>
              <w:rPr>
                <w:sz w:val="20"/>
                <w:lang w:val="fr-CA"/>
              </w:rPr>
            </w:pPr>
            <w:r w:rsidRPr="008065A3">
              <w:rPr>
                <w:sz w:val="20"/>
                <w:lang w:val="fr-CA"/>
              </w:rPr>
              <w:t>(Sask.) (Civile) (Sur autorisation)</w:t>
            </w:r>
          </w:p>
        </w:tc>
      </w:tr>
      <w:tr w:rsidR="00043A5E" w:rsidRPr="008065A3" w:rsidTr="00E3334E">
        <w:tc>
          <w:tcPr>
            <w:tcW w:w="5000" w:type="pct"/>
            <w:gridSpan w:val="4"/>
          </w:tcPr>
          <w:p w:rsidR="00043A5E" w:rsidRPr="008065A3" w:rsidRDefault="00043A5E" w:rsidP="00043A5E">
            <w:pPr>
              <w:jc w:val="both"/>
              <w:rPr>
                <w:sz w:val="20"/>
                <w:lang w:val="fr-CA"/>
              </w:rPr>
            </w:pPr>
            <w:r w:rsidRPr="008065A3">
              <w:rPr>
                <w:sz w:val="20"/>
                <w:lang w:val="fr-CA"/>
              </w:rPr>
              <w:t>Droit international privé — Extraterritorialité —</w:t>
            </w:r>
            <w:r w:rsidRPr="008065A3">
              <w:rPr>
                <w:i/>
                <w:sz w:val="20"/>
                <w:lang w:val="fr-CA"/>
              </w:rPr>
              <w:t xml:space="preserve"> Forum</w:t>
            </w:r>
            <w:r w:rsidRPr="008065A3">
              <w:rPr>
                <w:sz w:val="20"/>
                <w:lang w:val="fr-CA"/>
              </w:rPr>
              <w:t xml:space="preserve"> </w:t>
            </w:r>
            <w:r w:rsidRPr="008065A3">
              <w:rPr>
                <w:i/>
                <w:sz w:val="20"/>
                <w:lang w:val="fr-CA"/>
              </w:rPr>
              <w:t>non conveniens</w:t>
            </w:r>
            <w:r w:rsidRPr="008065A3">
              <w:rPr>
                <w:sz w:val="20"/>
                <w:lang w:val="fr-CA"/>
              </w:rPr>
              <w:t xml:space="preserve"> — Déclaration de compétence — Présomption de compétence territoriale — Quelle importance faut</w:t>
            </w:r>
            <w:r w:rsidRPr="008065A3">
              <w:rPr>
                <w:sz w:val="20"/>
                <w:lang w:val="fr-CA"/>
              </w:rPr>
              <w:noBreakHyphen/>
              <w:t>il attacher à l'endroit où le préjudice a eu lieu dans la détermination du lieu du délit ? — Le préjudice subi constitue</w:t>
            </w:r>
            <w:r w:rsidRPr="008065A3">
              <w:rPr>
                <w:sz w:val="20"/>
                <w:lang w:val="fr-CA"/>
              </w:rPr>
              <w:noBreakHyphen/>
              <w:t>t</w:t>
            </w:r>
            <w:r w:rsidRPr="008065A3">
              <w:rPr>
                <w:sz w:val="20"/>
                <w:lang w:val="fr-CA"/>
              </w:rPr>
              <w:noBreakHyphen/>
              <w:t>il, ou demeure</w:t>
            </w:r>
            <w:r w:rsidRPr="008065A3">
              <w:rPr>
                <w:sz w:val="20"/>
                <w:lang w:val="fr-CA"/>
              </w:rPr>
              <w:noBreakHyphen/>
              <w:t>t</w:t>
            </w:r>
            <w:r w:rsidRPr="008065A3">
              <w:rPr>
                <w:sz w:val="20"/>
                <w:lang w:val="fr-CA"/>
              </w:rPr>
              <w:noBreakHyphen/>
              <w:t>il, un facteur de rattachement créant une présomption afin de fonder la compétence lorsqu’il se produit dans un lieu différent de tous les autres éléments principaux plaidés dans le cadre d’une action en responsabilité délictuelle ? — Les juridictions inférieures ont</w:t>
            </w:r>
            <w:r w:rsidRPr="008065A3">
              <w:rPr>
                <w:sz w:val="20"/>
                <w:lang w:val="fr-CA"/>
              </w:rPr>
              <w:noBreakHyphen/>
              <w:t xml:space="preserve">elles correctement interprété les dispositions de la </w:t>
            </w:r>
            <w:r w:rsidRPr="008065A3">
              <w:rPr>
                <w:i/>
                <w:sz w:val="20"/>
                <w:lang w:val="fr-CA"/>
              </w:rPr>
              <w:t>Loi sur la compétence des tribunaux et le renvoi des instances,</w:t>
            </w:r>
            <w:r w:rsidRPr="008065A3">
              <w:rPr>
                <w:sz w:val="20"/>
                <w:lang w:val="fr-CA"/>
              </w:rPr>
              <w:t xml:space="preserve"> LS</w:t>
            </w:r>
            <w:r w:rsidRPr="008065A3">
              <w:rPr>
                <w:i/>
                <w:sz w:val="20"/>
                <w:lang w:val="fr-CA"/>
              </w:rPr>
              <w:t xml:space="preserve"> </w:t>
            </w:r>
            <w:r w:rsidRPr="008065A3">
              <w:rPr>
                <w:sz w:val="20"/>
                <w:lang w:val="fr-CA"/>
              </w:rPr>
              <w:t>1997, c. C</w:t>
            </w:r>
            <w:r w:rsidRPr="008065A3">
              <w:rPr>
                <w:sz w:val="20"/>
                <w:lang w:val="fr-CA"/>
              </w:rPr>
              <w:noBreakHyphen/>
              <w:t xml:space="preserve">41.1 portant sur le lien réel et substantiel ? — Les faits de l’affaire démontrent-ils un lien réel et substantiel à la Saskatchewan — De quelle façon les principes du </w:t>
            </w:r>
            <w:r w:rsidRPr="008065A3">
              <w:rPr>
                <w:i/>
                <w:sz w:val="20"/>
                <w:lang w:val="fr-CA"/>
              </w:rPr>
              <w:t>forum</w:t>
            </w:r>
            <w:r w:rsidRPr="008065A3">
              <w:rPr>
                <w:sz w:val="20"/>
                <w:lang w:val="fr-CA"/>
              </w:rPr>
              <w:t xml:space="preserve"> </w:t>
            </w:r>
            <w:r w:rsidRPr="008065A3">
              <w:rPr>
                <w:i/>
                <w:sz w:val="20"/>
                <w:lang w:val="fr-CA"/>
              </w:rPr>
              <w:t>non conveniens</w:t>
            </w:r>
            <w:r w:rsidRPr="008065A3">
              <w:rPr>
                <w:sz w:val="20"/>
                <w:lang w:val="fr-CA"/>
              </w:rPr>
              <w:t xml:space="preserve">, tels qu’ils sont codifiés à l’art. 10 de la </w:t>
            </w:r>
            <w:r w:rsidRPr="008065A3">
              <w:rPr>
                <w:i/>
                <w:sz w:val="20"/>
                <w:lang w:val="fr-CA"/>
              </w:rPr>
              <w:t>Loi sur la compétence des tribunaux et le renvoi des instances</w:t>
            </w:r>
            <w:r w:rsidRPr="008065A3">
              <w:rPr>
                <w:sz w:val="20"/>
                <w:lang w:val="fr-CA"/>
              </w:rPr>
              <w:t>, s’appliquent</w:t>
            </w:r>
            <w:r w:rsidRPr="008065A3">
              <w:rPr>
                <w:sz w:val="20"/>
                <w:lang w:val="fr-CA"/>
              </w:rPr>
              <w:noBreakHyphen/>
              <w:t>ils lorsqu’il est plaidé que des éléments principaux du délit se sont produits à l’extérieur du Canada ? — Est</w:t>
            </w:r>
            <w:r w:rsidRPr="008065A3">
              <w:rPr>
                <w:sz w:val="20"/>
                <w:lang w:val="fr-CA"/>
              </w:rPr>
              <w:noBreakHyphen/>
              <w:t>il possible d’assurer la résolution efficace d’un différend et l’équité envers les parties s’il n’est pas possible de contraindre des témoins clés à témoigner ?</w:t>
            </w:r>
          </w:p>
        </w:tc>
      </w:tr>
      <w:tr w:rsidR="00043A5E" w:rsidRPr="008065A3" w:rsidTr="00E3334E">
        <w:tc>
          <w:tcPr>
            <w:tcW w:w="5000" w:type="pct"/>
            <w:gridSpan w:val="4"/>
          </w:tcPr>
          <w:p w:rsidR="00043A5E" w:rsidRPr="008065A3" w:rsidRDefault="00043A5E" w:rsidP="00043A5E">
            <w:pPr>
              <w:jc w:val="both"/>
              <w:rPr>
                <w:sz w:val="20"/>
                <w:lang w:val="fr-CA"/>
              </w:rPr>
            </w:pPr>
          </w:p>
        </w:tc>
      </w:tr>
      <w:tr w:rsidR="00043A5E" w:rsidRPr="008065A3" w:rsidTr="00E3334E">
        <w:tc>
          <w:tcPr>
            <w:tcW w:w="5000" w:type="pct"/>
            <w:gridSpan w:val="4"/>
          </w:tcPr>
          <w:p w:rsidR="00043A5E" w:rsidRPr="008065A3" w:rsidRDefault="00043A5E" w:rsidP="00043A5E">
            <w:pPr>
              <w:jc w:val="both"/>
              <w:rPr>
                <w:sz w:val="20"/>
                <w:lang w:val="fr-CA"/>
              </w:rPr>
            </w:pPr>
            <w:r w:rsidRPr="008065A3">
              <w:rPr>
                <w:sz w:val="20"/>
                <w:lang w:val="fr-CA"/>
              </w:rPr>
              <w:t>En décembre 2014, un train mis en service par la Compagnie des chemins de fer nationaux du Canada (« CN ») a déraillé au nord de Regina, en Saskatchewan, lorsque, en prenant un tournant, des plaques d’acier ont glissé et sont tombées d’un wagon porte</w:t>
            </w:r>
            <w:r w:rsidRPr="008065A3">
              <w:rPr>
                <w:sz w:val="20"/>
                <w:lang w:val="fr-CA"/>
              </w:rPr>
              <w:noBreakHyphen/>
              <w:t>rails plat et ont heurté un wagon-citerne situé directement derrière lui. D’autres plaques sont tombées sur la voie ferrée, entraînant le déraillement de wagons additionnels. Le wagon porte</w:t>
            </w:r>
            <w:r w:rsidRPr="008065A3">
              <w:rPr>
                <w:sz w:val="20"/>
                <w:lang w:val="fr-CA"/>
              </w:rPr>
              <w:noBreakHyphen/>
              <w:t>rails plat avait été chargé, arrimé et inspecté par les sociétés SSAB Alabama Inc., SSAB U.S. Holding Inc., SSAB Americas, LLC (collectivement, « SSAB »). CN a subi des pertes de plus de 12 millions de dollars. CN a allégué que les actions de ceux qui étaient responsables de charger, d’arrimer et d’inspecter l’acier ont engagé la responsabilité du fait d’autrui de SSAB, et que SSAB était ainsi assujettie aux règles et normes établies par la loi, les règlements et l’industrie et tenue de les respecter.</w:t>
            </w:r>
          </w:p>
          <w:p w:rsidR="00043A5E" w:rsidRPr="008065A3" w:rsidRDefault="00043A5E" w:rsidP="00043A5E">
            <w:pPr>
              <w:jc w:val="both"/>
              <w:rPr>
                <w:sz w:val="20"/>
                <w:lang w:val="fr-CA"/>
              </w:rPr>
            </w:pPr>
          </w:p>
          <w:p w:rsidR="00043A5E" w:rsidRPr="008065A3" w:rsidRDefault="00043A5E" w:rsidP="00043A5E">
            <w:pPr>
              <w:jc w:val="both"/>
              <w:rPr>
                <w:sz w:val="20"/>
                <w:lang w:val="fr-CA"/>
              </w:rPr>
            </w:pPr>
            <w:r w:rsidRPr="008065A3">
              <w:rPr>
                <w:sz w:val="20"/>
                <w:lang w:val="fr-CA"/>
              </w:rPr>
              <w:t>Le juge de première instance a rendu une ordonnance prévoyant que l’action intentée par CN contre SSAB pouvait être instruite devant la Cour du Banc de la Reine de la Saskatchewan parce que cette dernière avait compétence territoriale, et qu’il ne conviendrait pas mieux que l’Alabama entende l’instance. La Cour d’appel a rejeté l’appel de SSAB.</w:t>
            </w:r>
          </w:p>
          <w:p w:rsidR="00043A5E" w:rsidRPr="008065A3" w:rsidRDefault="00043A5E" w:rsidP="00043A5E">
            <w:pPr>
              <w:jc w:val="both"/>
              <w:rPr>
                <w:sz w:val="20"/>
                <w:lang w:val="fr-CA"/>
              </w:rPr>
            </w:pPr>
          </w:p>
        </w:tc>
      </w:tr>
      <w:tr w:rsidR="00043A5E" w:rsidRPr="008065A3" w:rsidTr="00E3334E">
        <w:tc>
          <w:tcPr>
            <w:tcW w:w="2427" w:type="pct"/>
            <w:gridSpan w:val="2"/>
          </w:tcPr>
          <w:p w:rsidR="00043A5E" w:rsidRPr="008065A3" w:rsidRDefault="00043A5E" w:rsidP="00043A5E">
            <w:pPr>
              <w:jc w:val="both"/>
              <w:rPr>
                <w:sz w:val="20"/>
                <w:lang w:val="fr-CA"/>
              </w:rPr>
            </w:pPr>
            <w:r w:rsidRPr="008065A3">
              <w:rPr>
                <w:sz w:val="20"/>
                <w:lang w:val="fr-CA"/>
              </w:rPr>
              <w:t>9 octobre 2018</w:t>
            </w:r>
          </w:p>
          <w:p w:rsidR="00043A5E" w:rsidRPr="008065A3" w:rsidRDefault="00043A5E" w:rsidP="00043A5E">
            <w:pPr>
              <w:jc w:val="both"/>
              <w:rPr>
                <w:sz w:val="20"/>
                <w:lang w:val="fr-CA"/>
              </w:rPr>
            </w:pPr>
            <w:r w:rsidRPr="008065A3">
              <w:rPr>
                <w:sz w:val="20"/>
                <w:lang w:val="fr-CA"/>
              </w:rPr>
              <w:t>Cour du Banc de la Reine de la Saskatchewan</w:t>
            </w:r>
          </w:p>
          <w:p w:rsidR="00043A5E" w:rsidRPr="008065A3" w:rsidRDefault="00043A5E" w:rsidP="00043A5E">
            <w:pPr>
              <w:jc w:val="both"/>
              <w:rPr>
                <w:sz w:val="20"/>
                <w:lang w:val="fr-CA"/>
              </w:rPr>
            </w:pPr>
            <w:r w:rsidRPr="008065A3">
              <w:rPr>
                <w:sz w:val="20"/>
                <w:lang w:val="fr-CA"/>
              </w:rPr>
              <w:t>(Juge Leurer (d’office))</w:t>
            </w:r>
          </w:p>
          <w:p w:rsidR="00043A5E" w:rsidRPr="008065A3" w:rsidRDefault="00043A5E" w:rsidP="00043A5E">
            <w:pPr>
              <w:jc w:val="both"/>
              <w:rPr>
                <w:sz w:val="20"/>
                <w:lang w:val="fr-CA"/>
              </w:rPr>
            </w:pPr>
            <w:hyperlink r:id="rId30" w:anchor="document" w:history="1">
              <w:r w:rsidRPr="008065A3">
                <w:rPr>
                  <w:rStyle w:val="Hyperlink"/>
                  <w:sz w:val="20"/>
                  <w:lang w:val="fr-CA"/>
                </w:rPr>
                <w:t>2018 SKQB 272</w:t>
              </w:r>
            </w:hyperlink>
          </w:p>
          <w:p w:rsidR="00043A5E" w:rsidRPr="008065A3" w:rsidRDefault="00043A5E" w:rsidP="00043A5E">
            <w:pPr>
              <w:jc w:val="both"/>
              <w:rPr>
                <w:sz w:val="20"/>
                <w:lang w:val="fr-CA"/>
              </w:rPr>
            </w:pPr>
          </w:p>
        </w:tc>
        <w:tc>
          <w:tcPr>
            <w:tcW w:w="243" w:type="pct"/>
          </w:tcPr>
          <w:p w:rsidR="00043A5E" w:rsidRPr="008065A3" w:rsidRDefault="00043A5E" w:rsidP="00043A5E">
            <w:pPr>
              <w:jc w:val="both"/>
              <w:rPr>
                <w:sz w:val="20"/>
                <w:lang w:val="fr-CA"/>
              </w:rPr>
            </w:pPr>
          </w:p>
        </w:tc>
        <w:tc>
          <w:tcPr>
            <w:tcW w:w="2330" w:type="pct"/>
          </w:tcPr>
          <w:p w:rsidR="00043A5E" w:rsidRPr="008065A3" w:rsidRDefault="00043A5E" w:rsidP="00043A5E">
            <w:pPr>
              <w:jc w:val="both"/>
              <w:rPr>
                <w:sz w:val="20"/>
                <w:lang w:val="fr-CA"/>
              </w:rPr>
            </w:pPr>
            <w:r w:rsidRPr="008065A3">
              <w:rPr>
                <w:sz w:val="20"/>
                <w:lang w:val="fr-CA"/>
              </w:rPr>
              <w:t>La demande de SSAB voulant que la Cour du Banc de la Reine décline compétence a été rejetée.</w:t>
            </w:r>
          </w:p>
        </w:tc>
      </w:tr>
      <w:tr w:rsidR="00043A5E" w:rsidRPr="008065A3" w:rsidTr="00E3334E">
        <w:tc>
          <w:tcPr>
            <w:tcW w:w="2427" w:type="pct"/>
            <w:gridSpan w:val="2"/>
          </w:tcPr>
          <w:p w:rsidR="00043A5E" w:rsidRPr="008065A3" w:rsidRDefault="00043A5E" w:rsidP="00043A5E">
            <w:pPr>
              <w:jc w:val="both"/>
              <w:rPr>
                <w:sz w:val="20"/>
                <w:lang w:val="fr-CA"/>
              </w:rPr>
            </w:pPr>
            <w:r w:rsidRPr="008065A3">
              <w:rPr>
                <w:sz w:val="20"/>
                <w:lang w:val="fr-CA"/>
              </w:rPr>
              <w:t>19 juin 2020</w:t>
            </w:r>
          </w:p>
          <w:p w:rsidR="00043A5E" w:rsidRPr="008065A3" w:rsidRDefault="00043A5E" w:rsidP="00043A5E">
            <w:pPr>
              <w:jc w:val="both"/>
              <w:rPr>
                <w:sz w:val="20"/>
                <w:lang w:val="fr-CA"/>
              </w:rPr>
            </w:pPr>
            <w:r w:rsidRPr="008065A3">
              <w:rPr>
                <w:sz w:val="20"/>
                <w:lang w:val="fr-CA"/>
              </w:rPr>
              <w:t>Cour d’appel de la Saskatchewan</w:t>
            </w:r>
          </w:p>
          <w:p w:rsidR="00043A5E" w:rsidRPr="008065A3" w:rsidRDefault="00043A5E" w:rsidP="00043A5E">
            <w:pPr>
              <w:jc w:val="both"/>
              <w:rPr>
                <w:sz w:val="20"/>
                <w:lang w:val="fr-CA"/>
              </w:rPr>
            </w:pPr>
            <w:r w:rsidRPr="008065A3">
              <w:rPr>
                <w:sz w:val="20"/>
                <w:lang w:val="fr-CA"/>
              </w:rPr>
              <w:t>(Juge en chef Richards, juges Caldwell, Barrington-Foote)</w:t>
            </w:r>
          </w:p>
          <w:p w:rsidR="00043A5E" w:rsidRPr="008065A3" w:rsidRDefault="00043A5E" w:rsidP="00043A5E">
            <w:pPr>
              <w:jc w:val="both"/>
              <w:rPr>
                <w:sz w:val="20"/>
                <w:lang w:val="fr-CA"/>
              </w:rPr>
            </w:pPr>
            <w:hyperlink r:id="rId31" w:history="1">
              <w:r w:rsidRPr="008065A3">
                <w:rPr>
                  <w:rStyle w:val="Hyperlink"/>
                  <w:sz w:val="20"/>
                  <w:lang w:val="fr-CA"/>
                </w:rPr>
                <w:t>2020 SKCA 74</w:t>
              </w:r>
            </w:hyperlink>
          </w:p>
          <w:p w:rsidR="00043A5E" w:rsidRPr="008065A3" w:rsidRDefault="00043A5E" w:rsidP="00043A5E">
            <w:pPr>
              <w:jc w:val="both"/>
              <w:rPr>
                <w:sz w:val="20"/>
                <w:lang w:val="fr-CA"/>
              </w:rPr>
            </w:pPr>
          </w:p>
        </w:tc>
        <w:tc>
          <w:tcPr>
            <w:tcW w:w="243" w:type="pct"/>
          </w:tcPr>
          <w:p w:rsidR="00043A5E" w:rsidRPr="008065A3" w:rsidRDefault="00043A5E" w:rsidP="00043A5E">
            <w:pPr>
              <w:jc w:val="both"/>
              <w:rPr>
                <w:sz w:val="20"/>
                <w:lang w:val="fr-CA"/>
              </w:rPr>
            </w:pPr>
          </w:p>
        </w:tc>
        <w:tc>
          <w:tcPr>
            <w:tcW w:w="2330" w:type="pct"/>
          </w:tcPr>
          <w:p w:rsidR="00043A5E" w:rsidRPr="008065A3" w:rsidRDefault="00043A5E" w:rsidP="00043A5E">
            <w:pPr>
              <w:jc w:val="both"/>
              <w:rPr>
                <w:sz w:val="20"/>
                <w:lang w:val="fr-CA"/>
              </w:rPr>
            </w:pPr>
            <w:r w:rsidRPr="008065A3">
              <w:rPr>
                <w:sz w:val="20"/>
                <w:lang w:val="fr-CA"/>
              </w:rPr>
              <w:t>L’appel est rejeté.</w:t>
            </w:r>
          </w:p>
          <w:p w:rsidR="00043A5E" w:rsidRPr="008065A3" w:rsidRDefault="00043A5E" w:rsidP="00043A5E">
            <w:pPr>
              <w:jc w:val="both"/>
              <w:rPr>
                <w:sz w:val="20"/>
                <w:lang w:val="fr-CA"/>
              </w:rPr>
            </w:pPr>
          </w:p>
        </w:tc>
      </w:tr>
      <w:tr w:rsidR="00043A5E" w:rsidRPr="008065A3" w:rsidTr="00E3334E">
        <w:tc>
          <w:tcPr>
            <w:tcW w:w="2427" w:type="pct"/>
            <w:gridSpan w:val="2"/>
          </w:tcPr>
          <w:p w:rsidR="00043A5E" w:rsidRPr="008065A3" w:rsidRDefault="00043A5E" w:rsidP="00043A5E">
            <w:pPr>
              <w:jc w:val="both"/>
              <w:rPr>
                <w:sz w:val="20"/>
                <w:lang w:val="fr-CA"/>
              </w:rPr>
            </w:pPr>
            <w:r w:rsidRPr="008065A3">
              <w:rPr>
                <w:sz w:val="20"/>
                <w:lang w:val="fr-CA"/>
              </w:rPr>
              <w:t>8 octobre 2020</w:t>
            </w:r>
          </w:p>
          <w:p w:rsidR="00043A5E" w:rsidRPr="008065A3" w:rsidRDefault="00043A5E" w:rsidP="00043A5E">
            <w:pPr>
              <w:jc w:val="both"/>
              <w:rPr>
                <w:sz w:val="20"/>
                <w:lang w:val="fr-CA"/>
              </w:rPr>
            </w:pPr>
            <w:r w:rsidRPr="008065A3">
              <w:rPr>
                <w:sz w:val="20"/>
                <w:lang w:val="fr-CA"/>
              </w:rPr>
              <w:lastRenderedPageBreak/>
              <w:t>Cour suprême du Canada</w:t>
            </w:r>
          </w:p>
          <w:p w:rsidR="00043A5E" w:rsidRPr="008065A3" w:rsidRDefault="00043A5E" w:rsidP="00043A5E">
            <w:pPr>
              <w:jc w:val="both"/>
              <w:rPr>
                <w:sz w:val="20"/>
                <w:lang w:val="fr-CA"/>
              </w:rPr>
            </w:pPr>
          </w:p>
        </w:tc>
        <w:tc>
          <w:tcPr>
            <w:tcW w:w="243" w:type="pct"/>
          </w:tcPr>
          <w:p w:rsidR="00043A5E" w:rsidRPr="008065A3" w:rsidRDefault="00043A5E" w:rsidP="00043A5E">
            <w:pPr>
              <w:jc w:val="both"/>
              <w:rPr>
                <w:sz w:val="20"/>
                <w:lang w:val="fr-CA"/>
              </w:rPr>
            </w:pPr>
          </w:p>
        </w:tc>
        <w:tc>
          <w:tcPr>
            <w:tcW w:w="2330" w:type="pct"/>
          </w:tcPr>
          <w:p w:rsidR="00043A5E" w:rsidRPr="008065A3" w:rsidRDefault="00043A5E" w:rsidP="00043A5E">
            <w:pPr>
              <w:jc w:val="both"/>
              <w:rPr>
                <w:sz w:val="20"/>
                <w:lang w:val="fr-CA"/>
              </w:rPr>
            </w:pPr>
            <w:r w:rsidRPr="008065A3">
              <w:rPr>
                <w:sz w:val="20"/>
                <w:lang w:val="fr-CA"/>
              </w:rPr>
              <w:t>La demande d’autorisation d’appel est présentée.</w:t>
            </w:r>
          </w:p>
          <w:p w:rsidR="00043A5E" w:rsidRPr="008065A3" w:rsidRDefault="00043A5E" w:rsidP="00043A5E">
            <w:pPr>
              <w:jc w:val="both"/>
              <w:rPr>
                <w:sz w:val="20"/>
                <w:lang w:val="fr-CA"/>
              </w:rPr>
            </w:pPr>
          </w:p>
        </w:tc>
      </w:tr>
      <w:tr w:rsidR="00043A5E" w:rsidRPr="008065A3" w:rsidTr="00E3334E">
        <w:tc>
          <w:tcPr>
            <w:tcW w:w="2427" w:type="pct"/>
            <w:gridSpan w:val="2"/>
          </w:tcPr>
          <w:p w:rsidR="00043A5E" w:rsidRPr="008065A3" w:rsidRDefault="00043A5E" w:rsidP="00043A5E">
            <w:pPr>
              <w:jc w:val="both"/>
              <w:rPr>
                <w:sz w:val="20"/>
                <w:lang w:val="fr-CA"/>
              </w:rPr>
            </w:pPr>
            <w:r w:rsidRPr="008065A3">
              <w:rPr>
                <w:sz w:val="20"/>
                <w:lang w:val="fr-CA"/>
              </w:rPr>
              <w:lastRenderedPageBreak/>
              <w:t>26 octobre 2020</w:t>
            </w:r>
          </w:p>
          <w:p w:rsidR="00043A5E" w:rsidRPr="008065A3" w:rsidRDefault="00043A5E" w:rsidP="00043A5E">
            <w:pPr>
              <w:jc w:val="both"/>
              <w:rPr>
                <w:sz w:val="20"/>
                <w:lang w:val="fr-CA"/>
              </w:rPr>
            </w:pPr>
            <w:r w:rsidRPr="008065A3">
              <w:rPr>
                <w:sz w:val="20"/>
                <w:lang w:val="fr-CA"/>
              </w:rPr>
              <w:t>Cour suprême du Canada</w:t>
            </w:r>
          </w:p>
        </w:tc>
        <w:tc>
          <w:tcPr>
            <w:tcW w:w="243" w:type="pct"/>
          </w:tcPr>
          <w:p w:rsidR="00043A5E" w:rsidRPr="008065A3" w:rsidRDefault="00043A5E" w:rsidP="00043A5E">
            <w:pPr>
              <w:jc w:val="both"/>
              <w:rPr>
                <w:sz w:val="20"/>
                <w:lang w:val="fr-CA"/>
              </w:rPr>
            </w:pPr>
          </w:p>
        </w:tc>
        <w:tc>
          <w:tcPr>
            <w:tcW w:w="2330" w:type="pct"/>
          </w:tcPr>
          <w:p w:rsidR="00043A5E" w:rsidRPr="008065A3" w:rsidRDefault="00043A5E" w:rsidP="00043A5E">
            <w:pPr>
              <w:jc w:val="both"/>
              <w:rPr>
                <w:sz w:val="20"/>
                <w:lang w:val="fr-CA"/>
              </w:rPr>
            </w:pPr>
            <w:r w:rsidRPr="008065A3">
              <w:rPr>
                <w:sz w:val="20"/>
                <w:lang w:val="fr-CA"/>
              </w:rPr>
              <w:t>La requête de LSB Contracting, LCC, visant à être ajoutée comme partie est présentée.</w:t>
            </w:r>
          </w:p>
        </w:tc>
      </w:tr>
    </w:tbl>
    <w:p w:rsidR="00043A5E" w:rsidRPr="008065A3" w:rsidRDefault="00043A5E" w:rsidP="00043A5E">
      <w:pPr>
        <w:jc w:val="both"/>
        <w:rPr>
          <w:sz w:val="20"/>
          <w:lang w:val="fr-CA"/>
        </w:rPr>
      </w:pPr>
    </w:p>
    <w:p w:rsidR="00043A5E" w:rsidRPr="008065A3" w:rsidRDefault="0047018E" w:rsidP="00043A5E">
      <w:pPr>
        <w:widowControl w:val="0"/>
        <w:jc w:val="both"/>
        <w:rPr>
          <w:sz w:val="20"/>
          <w:lang w:val="fr-CA"/>
        </w:rPr>
      </w:pPr>
      <w:r w:rsidRPr="008065A3">
        <w:rPr>
          <w:sz w:val="20"/>
        </w:rPr>
        <w:pict>
          <v:rect id="_x0000_i1058" style="width:2in;height:1pt" o:hrpct="0" o:hralign="center" o:hrstd="t" o:hrnoshade="t" o:hr="t" fillcolor="black [3213]" stroked="f"/>
        </w:pict>
      </w:r>
    </w:p>
    <w:p w:rsidR="0047018E" w:rsidRPr="008065A3" w:rsidRDefault="0047018E" w:rsidP="00043A5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3A5E" w:rsidRPr="008065A3" w:rsidTr="00E3334E">
        <w:tc>
          <w:tcPr>
            <w:tcW w:w="543" w:type="pct"/>
          </w:tcPr>
          <w:p w:rsidR="00043A5E" w:rsidRPr="008065A3" w:rsidRDefault="00043A5E" w:rsidP="00043A5E">
            <w:pPr>
              <w:jc w:val="both"/>
              <w:rPr>
                <w:sz w:val="20"/>
                <w:lang w:val="en-CA"/>
              </w:rPr>
            </w:pPr>
            <w:r w:rsidRPr="008065A3">
              <w:rPr>
                <w:rStyle w:val="SCCFileNumberChar"/>
                <w:sz w:val="20"/>
                <w:szCs w:val="20"/>
              </w:rPr>
              <w:t>39375</w:t>
            </w:r>
          </w:p>
        </w:tc>
        <w:tc>
          <w:tcPr>
            <w:tcW w:w="4457" w:type="pct"/>
            <w:gridSpan w:val="3"/>
          </w:tcPr>
          <w:p w:rsidR="00043A5E" w:rsidRPr="008065A3" w:rsidRDefault="00043A5E" w:rsidP="00043A5E">
            <w:pPr>
              <w:pStyle w:val="SCCLsocParty"/>
              <w:jc w:val="both"/>
              <w:rPr>
                <w:b/>
                <w:sz w:val="20"/>
                <w:szCs w:val="20"/>
              </w:rPr>
            </w:pPr>
            <w:r w:rsidRPr="008065A3">
              <w:rPr>
                <w:b/>
                <w:sz w:val="20"/>
                <w:szCs w:val="20"/>
              </w:rPr>
              <w:t xml:space="preserve">Complexe </w:t>
            </w:r>
            <w:r w:rsidR="0047018E" w:rsidRPr="008065A3">
              <w:rPr>
                <w:b/>
                <w:sz w:val="20"/>
                <w:szCs w:val="20"/>
              </w:rPr>
              <w:t>C</w:t>
            </w:r>
            <w:r w:rsidRPr="008065A3">
              <w:rPr>
                <w:b/>
                <w:sz w:val="20"/>
                <w:szCs w:val="20"/>
              </w:rPr>
              <w:t xml:space="preserve">ommercial de l’Île inc. v. Provigo Distribution </w:t>
            </w:r>
            <w:r w:rsidR="0047018E" w:rsidRPr="008065A3">
              <w:rPr>
                <w:b/>
                <w:sz w:val="20"/>
                <w:szCs w:val="20"/>
              </w:rPr>
              <w:t>I</w:t>
            </w:r>
            <w:r w:rsidRPr="008065A3">
              <w:rPr>
                <w:b/>
                <w:sz w:val="20"/>
                <w:szCs w:val="20"/>
              </w:rPr>
              <w:t>nc.</w:t>
            </w:r>
          </w:p>
          <w:p w:rsidR="00043A5E" w:rsidRPr="008065A3" w:rsidRDefault="00043A5E" w:rsidP="00043A5E">
            <w:pPr>
              <w:pStyle w:val="SCCLsocOtherPartySeparator"/>
              <w:rPr>
                <w:sz w:val="20"/>
                <w:szCs w:val="20"/>
                <w:lang w:val="en-CA"/>
              </w:rPr>
            </w:pPr>
            <w:r w:rsidRPr="008065A3">
              <w:rPr>
                <w:sz w:val="20"/>
                <w:szCs w:val="20"/>
                <w:lang w:val="en-CA"/>
              </w:rPr>
              <w:t>- and -</w:t>
            </w:r>
          </w:p>
          <w:p w:rsidR="00043A5E" w:rsidRPr="008065A3" w:rsidRDefault="00043A5E" w:rsidP="00043A5E">
            <w:pPr>
              <w:pStyle w:val="SCCLsocParty"/>
              <w:jc w:val="both"/>
              <w:rPr>
                <w:b/>
                <w:sz w:val="20"/>
                <w:szCs w:val="20"/>
                <w:lang w:val="en-CA"/>
              </w:rPr>
            </w:pPr>
            <w:r w:rsidRPr="008065A3">
              <w:rPr>
                <w:b/>
                <w:sz w:val="20"/>
                <w:szCs w:val="20"/>
                <w:lang w:val="en-CA"/>
              </w:rPr>
              <w:t>Registrar of the Vaudreuil Registration Division</w:t>
            </w:r>
          </w:p>
          <w:p w:rsidR="00043A5E" w:rsidRPr="008065A3" w:rsidRDefault="00043A5E" w:rsidP="00043A5E">
            <w:pPr>
              <w:jc w:val="both"/>
              <w:rPr>
                <w:sz w:val="20"/>
                <w:lang w:val="en-CA"/>
              </w:rPr>
            </w:pPr>
            <w:r w:rsidRPr="008065A3">
              <w:rPr>
                <w:sz w:val="20"/>
                <w:lang w:val="en-CA"/>
              </w:rPr>
              <w:t>(Que.) (Civil) (By Leave)</w:t>
            </w:r>
          </w:p>
        </w:tc>
      </w:tr>
      <w:tr w:rsidR="00043A5E" w:rsidRPr="008065A3" w:rsidTr="00E3334E">
        <w:tc>
          <w:tcPr>
            <w:tcW w:w="5000" w:type="pct"/>
            <w:gridSpan w:val="4"/>
          </w:tcPr>
          <w:p w:rsidR="00043A5E" w:rsidRPr="008065A3" w:rsidRDefault="00043A5E" w:rsidP="00043A5E">
            <w:pPr>
              <w:jc w:val="both"/>
              <w:rPr>
                <w:sz w:val="20"/>
                <w:lang w:val="en-CA"/>
              </w:rPr>
            </w:pPr>
            <w:proofErr w:type="gramStart"/>
            <w:r w:rsidRPr="008065A3">
              <w:rPr>
                <w:sz w:val="20"/>
                <w:lang w:val="en-CA"/>
              </w:rPr>
              <w:t>Contract — Sale of shopping centre — Commercial non</w:t>
            </w:r>
            <w:r w:rsidRPr="008065A3">
              <w:rPr>
                <w:sz w:val="20"/>
                <w:lang w:val="en-CA"/>
              </w:rPr>
              <w:noBreakHyphen/>
              <w:t>competition clause — Determinate or determinable term — Public order — Whether commercial non</w:t>
            </w:r>
            <w:r w:rsidRPr="008065A3">
              <w:rPr>
                <w:sz w:val="20"/>
                <w:lang w:val="en-CA"/>
              </w:rPr>
              <w:noBreakHyphen/>
              <w:t>competition clause can validly provide for term that is uncertain, indefinite and indeterminable at time it is entered into — Whether commercial non</w:t>
            </w:r>
            <w:r w:rsidRPr="008065A3">
              <w:rPr>
                <w:sz w:val="20"/>
                <w:lang w:val="en-CA"/>
              </w:rPr>
              <w:noBreakHyphen/>
              <w:t>competition clause can validly contain term whose expiry depends exclusively and unilaterally on potential decision by creditor benefiting from non</w:t>
            </w:r>
            <w:r w:rsidRPr="008065A3">
              <w:rPr>
                <w:sz w:val="20"/>
                <w:lang w:val="en-CA"/>
              </w:rPr>
              <w:noBreakHyphen/>
              <w:t>competition — Whether commercial non</w:t>
            </w:r>
            <w:r w:rsidRPr="008065A3">
              <w:rPr>
                <w:sz w:val="20"/>
                <w:lang w:val="en-CA"/>
              </w:rPr>
              <w:noBreakHyphen/>
              <w:t>competition clause in real estate context can validly have same effects and attributes as servitude of non</w:t>
            </w:r>
            <w:r w:rsidRPr="008065A3">
              <w:rPr>
                <w:sz w:val="20"/>
                <w:lang w:val="en-CA"/>
              </w:rPr>
              <w:noBreakHyphen/>
              <w:t>competition, such as potentially perpetual effect and transferability from owner to owner, even though servitudes of non</w:t>
            </w:r>
            <w:r w:rsidRPr="008065A3">
              <w:rPr>
                <w:sz w:val="20"/>
                <w:lang w:val="en-CA"/>
              </w:rPr>
              <w:noBreakHyphen/>
              <w:t>competition are unlawful in Quebec civil law — Whether Court of Appeal erred in holding that non</w:t>
            </w:r>
            <w:r w:rsidRPr="008065A3">
              <w:rPr>
                <w:sz w:val="20"/>
                <w:lang w:val="en-CA"/>
              </w:rPr>
              <w:noBreakHyphen/>
              <w:t xml:space="preserve">competition clause in issue regarding food products was reasonable and not contrary to public order, since term of clause considered valid by Supreme Court — </w:t>
            </w:r>
            <w:r w:rsidRPr="008065A3">
              <w:rPr>
                <w:i/>
                <w:sz w:val="20"/>
                <w:lang w:val="en-CA"/>
              </w:rPr>
              <w:t>Civil Code of Québec</w:t>
            </w:r>
            <w:r w:rsidRPr="008065A3">
              <w:rPr>
                <w:sz w:val="20"/>
                <w:lang w:val="en-CA"/>
              </w:rPr>
              <w:t>, art. </w:t>
            </w:r>
            <w:proofErr w:type="gramEnd"/>
            <w:r w:rsidRPr="008065A3">
              <w:rPr>
                <w:sz w:val="20"/>
                <w:lang w:val="en-CA"/>
              </w:rPr>
              <w:t xml:space="preserve">1373. </w:t>
            </w:r>
          </w:p>
        </w:tc>
      </w:tr>
      <w:tr w:rsidR="00043A5E" w:rsidRPr="008065A3" w:rsidTr="00E3334E">
        <w:tc>
          <w:tcPr>
            <w:tcW w:w="5000" w:type="pct"/>
            <w:gridSpan w:val="4"/>
          </w:tcPr>
          <w:p w:rsidR="00043A5E" w:rsidRPr="008065A3" w:rsidRDefault="00043A5E" w:rsidP="00043A5E">
            <w:pPr>
              <w:jc w:val="both"/>
              <w:rPr>
                <w:sz w:val="20"/>
                <w:lang w:val="en-CA"/>
              </w:rPr>
            </w:pPr>
          </w:p>
        </w:tc>
      </w:tr>
      <w:tr w:rsidR="00043A5E" w:rsidRPr="008065A3" w:rsidTr="00E3334E">
        <w:tc>
          <w:tcPr>
            <w:tcW w:w="5000" w:type="pct"/>
            <w:gridSpan w:val="4"/>
          </w:tcPr>
          <w:p w:rsidR="00043A5E" w:rsidRPr="008065A3" w:rsidRDefault="00043A5E" w:rsidP="00043A5E">
            <w:pPr>
              <w:jc w:val="both"/>
              <w:rPr>
                <w:sz w:val="20"/>
                <w:lang w:val="en-CA"/>
              </w:rPr>
            </w:pPr>
            <w:r w:rsidRPr="008065A3">
              <w:rPr>
                <w:sz w:val="20"/>
                <w:lang w:val="fr-CA"/>
              </w:rPr>
              <w:t xml:space="preserve">The applicant, Complexe commercial de l’Île inc. </w:t>
            </w:r>
            <w:r w:rsidRPr="008065A3">
              <w:rPr>
                <w:sz w:val="20"/>
                <w:lang w:val="en-CA"/>
              </w:rPr>
              <w:t xml:space="preserve">(CCI), purchased </w:t>
            </w:r>
            <w:proofErr w:type="gramStart"/>
            <w:r w:rsidRPr="008065A3">
              <w:rPr>
                <w:sz w:val="20"/>
                <w:lang w:val="en-CA"/>
              </w:rPr>
              <w:t>a</w:t>
            </w:r>
            <w:proofErr w:type="gramEnd"/>
            <w:r w:rsidRPr="008065A3">
              <w:rPr>
                <w:sz w:val="20"/>
                <w:lang w:val="en-CA"/>
              </w:rPr>
              <w:t xml:space="preserve"> shopping centre from a subsidiary of El</w:t>
            </w:r>
            <w:r w:rsidRPr="008065A3">
              <w:rPr>
                <w:sz w:val="20"/>
                <w:lang w:val="en-CA"/>
              </w:rPr>
              <w:noBreakHyphen/>
              <w:t>Ad Canada Inc. in 2016. Under that contract for the sale of immovable property, CCI undertook to meet earlier obligations that El</w:t>
            </w:r>
            <w:r w:rsidRPr="008065A3">
              <w:rPr>
                <w:sz w:val="20"/>
                <w:lang w:val="en-CA"/>
              </w:rPr>
              <w:noBreakHyphen/>
              <w:t xml:space="preserve">Ad and its subsidiary had originally assumed in favour of the respondent, Provigo Distribution inc., in 2005 when purchasing a parcel of land across from the shopping centre. That land </w:t>
            </w:r>
            <w:proofErr w:type="gramStart"/>
            <w:r w:rsidRPr="008065A3">
              <w:rPr>
                <w:sz w:val="20"/>
                <w:lang w:val="en-CA"/>
              </w:rPr>
              <w:t>had been purchased</w:t>
            </w:r>
            <w:proofErr w:type="gramEnd"/>
            <w:r w:rsidRPr="008065A3">
              <w:rPr>
                <w:sz w:val="20"/>
                <w:lang w:val="en-CA"/>
              </w:rPr>
              <w:t xml:space="preserve"> as part of an agreement concerning a joint development project between El</w:t>
            </w:r>
            <w:r w:rsidRPr="008065A3">
              <w:rPr>
                <w:sz w:val="20"/>
                <w:lang w:val="en-CA"/>
              </w:rPr>
              <w:noBreakHyphen/>
              <w:t xml:space="preserve">Ad and Provigo. Among other things, it </w:t>
            </w:r>
            <w:proofErr w:type="gramStart"/>
            <w:r w:rsidRPr="008065A3">
              <w:rPr>
                <w:sz w:val="20"/>
                <w:lang w:val="en-CA"/>
              </w:rPr>
              <w:t>had been agreed</w:t>
            </w:r>
            <w:proofErr w:type="gramEnd"/>
            <w:r w:rsidRPr="008065A3">
              <w:rPr>
                <w:sz w:val="20"/>
                <w:lang w:val="en-CA"/>
              </w:rPr>
              <w:t xml:space="preserve"> that Provigo would terminate its lease in the shopping centre with a view to the construction of an immovable for the operation of a food supermarket on the other parcel of land that it still owned. Provigo and El</w:t>
            </w:r>
            <w:r w:rsidRPr="008065A3">
              <w:rPr>
                <w:sz w:val="20"/>
                <w:lang w:val="en-CA"/>
              </w:rPr>
              <w:noBreakHyphen/>
              <w:t xml:space="preserve">Ad had also agreed on restrictive covenants for rights and obligations relating to the use, leasing and sale of their land and the shopping centre, and had agreed that if one of the immovables </w:t>
            </w:r>
            <w:proofErr w:type="gramStart"/>
            <w:r w:rsidRPr="008065A3">
              <w:rPr>
                <w:sz w:val="20"/>
                <w:lang w:val="en-CA"/>
              </w:rPr>
              <w:t>was sold</w:t>
            </w:r>
            <w:proofErr w:type="gramEnd"/>
            <w:r w:rsidRPr="008065A3">
              <w:rPr>
                <w:sz w:val="20"/>
                <w:lang w:val="en-CA"/>
              </w:rPr>
              <w:t>, the third party purchaser had to agree in writing to comply with those restrictive covenants. Provigo had paid El</w:t>
            </w:r>
            <w:r w:rsidRPr="008065A3">
              <w:rPr>
                <w:sz w:val="20"/>
                <w:lang w:val="en-CA"/>
              </w:rPr>
              <w:noBreakHyphen/>
              <w:t>Ad an indemnity as consideration for those various undertakings. In June 2017, CCI brought proceedings to have one of the restrictive covenants declared null, namely a non</w:t>
            </w:r>
            <w:r w:rsidRPr="008065A3">
              <w:rPr>
                <w:sz w:val="20"/>
                <w:lang w:val="en-CA"/>
              </w:rPr>
              <w:noBreakHyphen/>
              <w:t xml:space="preserve">competition clause restricting the use of the shopping centre </w:t>
            </w:r>
            <w:proofErr w:type="gramStart"/>
            <w:r w:rsidRPr="008065A3">
              <w:rPr>
                <w:sz w:val="20"/>
                <w:lang w:val="en-CA"/>
              </w:rPr>
              <w:t>for the purpose of</w:t>
            </w:r>
            <w:proofErr w:type="gramEnd"/>
            <w:r w:rsidRPr="008065A3">
              <w:rPr>
                <w:sz w:val="20"/>
                <w:lang w:val="en-CA"/>
              </w:rPr>
              <w:t xml:space="preserve"> operating a food supermarket or any store selling food products. The Superior Court granted CCI’s application, and the Court of Appeal allowed the appeal. </w:t>
            </w:r>
          </w:p>
          <w:p w:rsidR="00043A5E" w:rsidRPr="008065A3" w:rsidRDefault="00043A5E" w:rsidP="00043A5E">
            <w:pPr>
              <w:jc w:val="both"/>
              <w:rPr>
                <w:sz w:val="20"/>
                <w:lang w:val="en-CA"/>
              </w:rPr>
            </w:pPr>
          </w:p>
        </w:tc>
      </w:tr>
      <w:tr w:rsidR="00043A5E" w:rsidRPr="008065A3" w:rsidTr="00E3334E">
        <w:tc>
          <w:tcPr>
            <w:tcW w:w="2427" w:type="pct"/>
            <w:gridSpan w:val="2"/>
          </w:tcPr>
          <w:p w:rsidR="00043A5E" w:rsidRPr="008065A3" w:rsidRDefault="00043A5E" w:rsidP="00043A5E">
            <w:pPr>
              <w:jc w:val="both"/>
              <w:rPr>
                <w:sz w:val="20"/>
                <w:lang w:val="en-CA"/>
              </w:rPr>
            </w:pPr>
            <w:r w:rsidRPr="008065A3">
              <w:rPr>
                <w:sz w:val="20"/>
                <w:lang w:val="en-CA"/>
              </w:rPr>
              <w:t>November 26, 2018</w:t>
            </w:r>
          </w:p>
          <w:p w:rsidR="00043A5E" w:rsidRPr="008065A3" w:rsidRDefault="00043A5E" w:rsidP="00043A5E">
            <w:pPr>
              <w:jc w:val="both"/>
              <w:rPr>
                <w:sz w:val="20"/>
                <w:lang w:val="en-CA"/>
              </w:rPr>
            </w:pPr>
            <w:r w:rsidRPr="008065A3">
              <w:rPr>
                <w:sz w:val="20"/>
                <w:lang w:val="en-CA"/>
              </w:rPr>
              <w:t>Quebec Superior Court</w:t>
            </w:r>
          </w:p>
          <w:p w:rsidR="00043A5E" w:rsidRPr="008065A3" w:rsidRDefault="00043A5E" w:rsidP="00043A5E">
            <w:pPr>
              <w:jc w:val="both"/>
              <w:rPr>
                <w:sz w:val="20"/>
                <w:lang w:val="en-CA"/>
              </w:rPr>
            </w:pPr>
            <w:r w:rsidRPr="008065A3">
              <w:rPr>
                <w:sz w:val="20"/>
                <w:lang w:val="en-CA"/>
              </w:rPr>
              <w:t>(Collier J.)</w:t>
            </w:r>
          </w:p>
          <w:p w:rsidR="00043A5E" w:rsidRPr="008065A3" w:rsidRDefault="00043A5E" w:rsidP="00043A5E">
            <w:pPr>
              <w:jc w:val="both"/>
              <w:rPr>
                <w:sz w:val="20"/>
                <w:lang w:val="en-CA"/>
              </w:rPr>
            </w:pPr>
            <w:hyperlink r:id="rId32" w:history="1">
              <w:r w:rsidRPr="008065A3">
                <w:rPr>
                  <w:rStyle w:val="Hyperlink"/>
                  <w:sz w:val="20"/>
                  <w:lang w:val="en-CA"/>
                </w:rPr>
                <w:t>2018 QCCS 5284</w:t>
              </w:r>
            </w:hyperlink>
          </w:p>
          <w:p w:rsidR="00043A5E" w:rsidRPr="008065A3" w:rsidRDefault="00043A5E" w:rsidP="00043A5E">
            <w:pPr>
              <w:jc w:val="both"/>
              <w:rPr>
                <w:sz w:val="20"/>
                <w:lang w:val="en-CA"/>
              </w:rPr>
            </w:pPr>
          </w:p>
        </w:tc>
        <w:tc>
          <w:tcPr>
            <w:tcW w:w="243" w:type="pct"/>
          </w:tcPr>
          <w:p w:rsidR="00043A5E" w:rsidRPr="008065A3" w:rsidRDefault="00043A5E" w:rsidP="00043A5E">
            <w:pPr>
              <w:jc w:val="both"/>
              <w:rPr>
                <w:sz w:val="20"/>
                <w:lang w:val="en-CA"/>
              </w:rPr>
            </w:pPr>
          </w:p>
        </w:tc>
        <w:tc>
          <w:tcPr>
            <w:tcW w:w="2330" w:type="pct"/>
          </w:tcPr>
          <w:p w:rsidR="00043A5E" w:rsidRPr="008065A3" w:rsidRDefault="00043A5E" w:rsidP="00043A5E">
            <w:pPr>
              <w:jc w:val="both"/>
              <w:rPr>
                <w:sz w:val="20"/>
                <w:lang w:val="en-CA"/>
              </w:rPr>
            </w:pPr>
            <w:r w:rsidRPr="008065A3">
              <w:rPr>
                <w:sz w:val="20"/>
                <w:lang w:val="en-CA"/>
              </w:rPr>
              <w:t>Application granted</w:t>
            </w:r>
          </w:p>
          <w:p w:rsidR="00043A5E" w:rsidRPr="008065A3" w:rsidRDefault="00043A5E" w:rsidP="00043A5E">
            <w:pPr>
              <w:jc w:val="both"/>
              <w:rPr>
                <w:sz w:val="20"/>
                <w:lang w:val="en-CA"/>
              </w:rPr>
            </w:pPr>
          </w:p>
        </w:tc>
      </w:tr>
      <w:tr w:rsidR="00043A5E" w:rsidRPr="008065A3" w:rsidTr="00E3334E">
        <w:tc>
          <w:tcPr>
            <w:tcW w:w="2427" w:type="pct"/>
            <w:gridSpan w:val="2"/>
          </w:tcPr>
          <w:p w:rsidR="00043A5E" w:rsidRPr="008065A3" w:rsidRDefault="00043A5E" w:rsidP="00043A5E">
            <w:pPr>
              <w:jc w:val="both"/>
              <w:rPr>
                <w:sz w:val="20"/>
                <w:lang w:val="en-CA"/>
              </w:rPr>
            </w:pPr>
            <w:r w:rsidRPr="008065A3">
              <w:rPr>
                <w:sz w:val="20"/>
                <w:lang w:val="en-CA"/>
              </w:rPr>
              <w:t>July 23, 2020</w:t>
            </w:r>
          </w:p>
          <w:p w:rsidR="00043A5E" w:rsidRPr="008065A3" w:rsidRDefault="00043A5E" w:rsidP="00043A5E">
            <w:pPr>
              <w:jc w:val="both"/>
              <w:rPr>
                <w:sz w:val="20"/>
                <w:lang w:val="en-CA"/>
              </w:rPr>
            </w:pPr>
            <w:r w:rsidRPr="008065A3">
              <w:rPr>
                <w:sz w:val="20"/>
                <w:lang w:val="en-CA"/>
              </w:rPr>
              <w:t>Quebec Court of Appeal (Montréal)</w:t>
            </w:r>
          </w:p>
          <w:p w:rsidR="00043A5E" w:rsidRPr="008065A3" w:rsidRDefault="00043A5E" w:rsidP="00043A5E">
            <w:pPr>
              <w:jc w:val="both"/>
              <w:rPr>
                <w:sz w:val="20"/>
                <w:lang w:val="en-CA"/>
              </w:rPr>
            </w:pPr>
            <w:r w:rsidRPr="008065A3">
              <w:rPr>
                <w:sz w:val="20"/>
                <w:lang w:val="en-CA"/>
              </w:rPr>
              <w:t>(</w:t>
            </w:r>
            <w:proofErr w:type="spellStart"/>
            <w:r w:rsidRPr="008065A3">
              <w:rPr>
                <w:sz w:val="20"/>
                <w:lang w:val="en-CA"/>
              </w:rPr>
              <w:t>Marcotte</w:t>
            </w:r>
            <w:proofErr w:type="spellEnd"/>
            <w:r w:rsidRPr="008065A3">
              <w:rPr>
                <w:sz w:val="20"/>
                <w:lang w:val="en-CA"/>
              </w:rPr>
              <w:t>, Hamilton and Fournier JJ.A.)</w:t>
            </w:r>
          </w:p>
          <w:p w:rsidR="00043A5E" w:rsidRPr="008065A3" w:rsidRDefault="00043A5E" w:rsidP="00043A5E">
            <w:pPr>
              <w:jc w:val="both"/>
              <w:rPr>
                <w:sz w:val="20"/>
                <w:lang w:val="en-CA"/>
              </w:rPr>
            </w:pPr>
            <w:hyperlink r:id="rId33" w:history="1">
              <w:r w:rsidRPr="008065A3">
                <w:rPr>
                  <w:rStyle w:val="Hyperlink"/>
                  <w:sz w:val="20"/>
                  <w:lang w:val="en-CA"/>
                </w:rPr>
                <w:t>2020 QCCA 970</w:t>
              </w:r>
            </w:hyperlink>
          </w:p>
          <w:p w:rsidR="00043A5E" w:rsidRPr="008065A3" w:rsidRDefault="00043A5E" w:rsidP="00043A5E">
            <w:pPr>
              <w:jc w:val="both"/>
              <w:rPr>
                <w:sz w:val="20"/>
                <w:lang w:val="en-CA"/>
              </w:rPr>
            </w:pPr>
          </w:p>
        </w:tc>
        <w:tc>
          <w:tcPr>
            <w:tcW w:w="243" w:type="pct"/>
          </w:tcPr>
          <w:p w:rsidR="00043A5E" w:rsidRPr="008065A3" w:rsidRDefault="00043A5E" w:rsidP="00043A5E">
            <w:pPr>
              <w:jc w:val="both"/>
              <w:rPr>
                <w:sz w:val="20"/>
                <w:lang w:val="en-CA"/>
              </w:rPr>
            </w:pPr>
          </w:p>
        </w:tc>
        <w:tc>
          <w:tcPr>
            <w:tcW w:w="2330" w:type="pct"/>
          </w:tcPr>
          <w:p w:rsidR="00043A5E" w:rsidRPr="008065A3" w:rsidRDefault="00043A5E" w:rsidP="00043A5E">
            <w:pPr>
              <w:jc w:val="both"/>
              <w:rPr>
                <w:sz w:val="20"/>
                <w:lang w:val="en-CA"/>
              </w:rPr>
            </w:pPr>
            <w:r w:rsidRPr="008065A3">
              <w:rPr>
                <w:sz w:val="20"/>
                <w:lang w:val="en-CA"/>
              </w:rPr>
              <w:t>Appeal allowed</w:t>
            </w:r>
          </w:p>
          <w:p w:rsidR="00043A5E" w:rsidRPr="008065A3" w:rsidRDefault="00043A5E" w:rsidP="00043A5E">
            <w:pPr>
              <w:jc w:val="both"/>
              <w:rPr>
                <w:sz w:val="20"/>
                <w:lang w:val="en-CA"/>
              </w:rPr>
            </w:pPr>
          </w:p>
        </w:tc>
      </w:tr>
      <w:tr w:rsidR="00043A5E" w:rsidRPr="008065A3" w:rsidTr="00E3334E">
        <w:tc>
          <w:tcPr>
            <w:tcW w:w="2427" w:type="pct"/>
            <w:gridSpan w:val="2"/>
          </w:tcPr>
          <w:p w:rsidR="00043A5E" w:rsidRPr="008065A3" w:rsidRDefault="00043A5E" w:rsidP="00043A5E">
            <w:pPr>
              <w:jc w:val="both"/>
              <w:rPr>
                <w:sz w:val="20"/>
                <w:lang w:val="en-CA"/>
              </w:rPr>
            </w:pPr>
            <w:r w:rsidRPr="008065A3">
              <w:rPr>
                <w:sz w:val="20"/>
                <w:lang w:val="en-CA"/>
              </w:rPr>
              <w:t>November 4, 2020</w:t>
            </w:r>
          </w:p>
          <w:p w:rsidR="00043A5E" w:rsidRPr="008065A3" w:rsidRDefault="00043A5E" w:rsidP="00043A5E">
            <w:pPr>
              <w:jc w:val="both"/>
              <w:rPr>
                <w:sz w:val="20"/>
                <w:lang w:val="en-CA"/>
              </w:rPr>
            </w:pPr>
            <w:r w:rsidRPr="008065A3">
              <w:rPr>
                <w:sz w:val="20"/>
                <w:lang w:val="en-CA"/>
              </w:rPr>
              <w:t>Supreme Court of Canada</w:t>
            </w:r>
          </w:p>
        </w:tc>
        <w:tc>
          <w:tcPr>
            <w:tcW w:w="243" w:type="pct"/>
          </w:tcPr>
          <w:p w:rsidR="00043A5E" w:rsidRPr="008065A3" w:rsidRDefault="00043A5E" w:rsidP="00043A5E">
            <w:pPr>
              <w:jc w:val="both"/>
              <w:rPr>
                <w:sz w:val="20"/>
                <w:lang w:val="en-CA"/>
              </w:rPr>
            </w:pPr>
          </w:p>
        </w:tc>
        <w:tc>
          <w:tcPr>
            <w:tcW w:w="2330" w:type="pct"/>
          </w:tcPr>
          <w:p w:rsidR="00043A5E" w:rsidRPr="008065A3" w:rsidRDefault="00043A5E" w:rsidP="00043A5E">
            <w:pPr>
              <w:jc w:val="both"/>
              <w:rPr>
                <w:sz w:val="20"/>
                <w:lang w:val="en-CA"/>
              </w:rPr>
            </w:pPr>
            <w:r w:rsidRPr="008065A3">
              <w:rPr>
                <w:sz w:val="20"/>
                <w:lang w:val="en-CA"/>
              </w:rPr>
              <w:t>Application for leave to appeal filed</w:t>
            </w:r>
          </w:p>
          <w:p w:rsidR="00043A5E" w:rsidRPr="008065A3" w:rsidRDefault="00043A5E" w:rsidP="00043A5E">
            <w:pPr>
              <w:jc w:val="both"/>
              <w:rPr>
                <w:sz w:val="20"/>
                <w:lang w:val="en-CA"/>
              </w:rPr>
            </w:pPr>
          </w:p>
        </w:tc>
      </w:tr>
    </w:tbl>
    <w:p w:rsidR="00043A5E" w:rsidRPr="008065A3" w:rsidRDefault="00043A5E" w:rsidP="00043A5E">
      <w:pPr>
        <w:jc w:val="both"/>
        <w:rPr>
          <w:sz w:val="20"/>
          <w:lang w:val="en-CA"/>
        </w:rPr>
      </w:pPr>
    </w:p>
    <w:p w:rsidR="0047018E" w:rsidRPr="008065A3" w:rsidRDefault="0047018E" w:rsidP="00043A5E">
      <w:pPr>
        <w:jc w:val="both"/>
        <w:rPr>
          <w:sz w:val="20"/>
          <w:lang w:val="en-CA"/>
        </w:rPr>
      </w:pPr>
      <w:r w:rsidRPr="008065A3">
        <w:rPr>
          <w:sz w:val="20"/>
        </w:rPr>
        <w:pict>
          <v:rect id="_x0000_i1059" style="width:2in;height:1pt" o:hrpct="0" o:hralign="center" o:hrstd="t" o:hrnoshade="t" o:hr="t" fillcolor="black [3213]" stroked="f"/>
        </w:pict>
      </w:r>
    </w:p>
    <w:p w:rsidR="0047018E" w:rsidRPr="008065A3" w:rsidRDefault="0047018E" w:rsidP="00043A5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3A5E" w:rsidRPr="008065A3" w:rsidTr="00E3334E">
        <w:tc>
          <w:tcPr>
            <w:tcW w:w="543" w:type="pct"/>
          </w:tcPr>
          <w:p w:rsidR="00043A5E" w:rsidRPr="008065A3" w:rsidRDefault="00043A5E" w:rsidP="00043A5E">
            <w:pPr>
              <w:jc w:val="both"/>
              <w:rPr>
                <w:sz w:val="20"/>
              </w:rPr>
            </w:pPr>
            <w:r w:rsidRPr="008065A3">
              <w:rPr>
                <w:rStyle w:val="SCCFileNumberChar"/>
                <w:sz w:val="20"/>
                <w:szCs w:val="20"/>
              </w:rPr>
              <w:t>39375</w:t>
            </w:r>
          </w:p>
        </w:tc>
        <w:tc>
          <w:tcPr>
            <w:tcW w:w="4457" w:type="pct"/>
            <w:gridSpan w:val="3"/>
          </w:tcPr>
          <w:p w:rsidR="00043A5E" w:rsidRPr="008065A3" w:rsidRDefault="00043A5E" w:rsidP="00043A5E">
            <w:pPr>
              <w:pStyle w:val="SCCLsocParty"/>
              <w:jc w:val="both"/>
              <w:rPr>
                <w:b/>
                <w:sz w:val="20"/>
                <w:szCs w:val="20"/>
              </w:rPr>
            </w:pPr>
            <w:r w:rsidRPr="008065A3">
              <w:rPr>
                <w:b/>
                <w:sz w:val="20"/>
                <w:szCs w:val="20"/>
              </w:rPr>
              <w:t>Complexe Commercial de l'Île inc. c. Provigo Distribution Inc.</w:t>
            </w:r>
          </w:p>
          <w:p w:rsidR="00043A5E" w:rsidRPr="008065A3" w:rsidRDefault="00043A5E" w:rsidP="00043A5E">
            <w:pPr>
              <w:pStyle w:val="SCCLsocOtherPartySeparator"/>
              <w:rPr>
                <w:sz w:val="20"/>
                <w:szCs w:val="20"/>
              </w:rPr>
            </w:pPr>
            <w:r w:rsidRPr="008065A3">
              <w:rPr>
                <w:sz w:val="20"/>
                <w:szCs w:val="20"/>
              </w:rPr>
              <w:t>- et -</w:t>
            </w:r>
          </w:p>
          <w:p w:rsidR="00043A5E" w:rsidRPr="008065A3" w:rsidRDefault="00043A5E" w:rsidP="00043A5E">
            <w:pPr>
              <w:pStyle w:val="SCCLsocParty"/>
              <w:jc w:val="both"/>
              <w:rPr>
                <w:b/>
                <w:sz w:val="20"/>
                <w:szCs w:val="20"/>
              </w:rPr>
            </w:pPr>
            <w:r w:rsidRPr="008065A3">
              <w:rPr>
                <w:b/>
                <w:sz w:val="20"/>
                <w:szCs w:val="20"/>
              </w:rPr>
              <w:t>Officier de la publicité des droits de la circonscription foncière de Vaudreuil</w:t>
            </w:r>
          </w:p>
          <w:p w:rsidR="00043A5E" w:rsidRPr="008065A3" w:rsidRDefault="00043A5E" w:rsidP="00043A5E">
            <w:pPr>
              <w:jc w:val="both"/>
              <w:rPr>
                <w:sz w:val="20"/>
              </w:rPr>
            </w:pPr>
            <w:r w:rsidRPr="008065A3">
              <w:rPr>
                <w:sz w:val="20"/>
              </w:rPr>
              <w:t>(Qc) (Civile) (Autorisation)</w:t>
            </w:r>
          </w:p>
        </w:tc>
      </w:tr>
      <w:tr w:rsidR="00043A5E" w:rsidRPr="008065A3" w:rsidTr="00E3334E">
        <w:tc>
          <w:tcPr>
            <w:tcW w:w="5000" w:type="pct"/>
            <w:gridSpan w:val="4"/>
          </w:tcPr>
          <w:p w:rsidR="00043A5E" w:rsidRPr="008065A3" w:rsidRDefault="00043A5E" w:rsidP="00043A5E">
            <w:pPr>
              <w:jc w:val="both"/>
              <w:rPr>
                <w:sz w:val="20"/>
                <w:lang w:val="fr-CA"/>
              </w:rPr>
            </w:pPr>
            <w:r w:rsidRPr="008065A3">
              <w:rPr>
                <w:sz w:val="20"/>
                <w:lang w:val="fr-CA"/>
              </w:rPr>
              <w:lastRenderedPageBreak/>
              <w:t>Contrat — Vente d’un centre commercial — Clause de non</w:t>
            </w:r>
            <w:r w:rsidRPr="008065A3">
              <w:rPr>
                <w:sz w:val="20"/>
                <w:lang w:val="fr-CA"/>
              </w:rPr>
              <w:noBreakHyphen/>
              <w:t>concurrence commerciale — Terme déterminé ou déterminable — Ordre public — Une clause de non</w:t>
            </w:r>
            <w:r w:rsidRPr="008065A3">
              <w:rPr>
                <w:sz w:val="20"/>
                <w:lang w:val="fr-CA"/>
              </w:rPr>
              <w:noBreakHyphen/>
              <w:t>concurrence commerciale peut</w:t>
            </w:r>
            <w:r w:rsidRPr="008065A3">
              <w:rPr>
                <w:sz w:val="20"/>
                <w:lang w:val="fr-CA"/>
              </w:rPr>
              <w:noBreakHyphen/>
              <w:t>elle validement prévoir un terme incertain, indéfini et indéterminable au moment où elle est souscrite? — Une clause de non</w:t>
            </w:r>
            <w:r w:rsidRPr="008065A3">
              <w:rPr>
                <w:sz w:val="20"/>
                <w:lang w:val="fr-CA"/>
              </w:rPr>
              <w:noBreakHyphen/>
              <w:t>concurrence commerciale peut</w:t>
            </w:r>
            <w:r w:rsidRPr="008065A3">
              <w:rPr>
                <w:sz w:val="20"/>
                <w:lang w:val="fr-CA"/>
              </w:rPr>
              <w:noBreakHyphen/>
              <w:t>elle validement avoir un terme dont l’arrivée dépend exclusivement et unilatéralement de la décision éventuelle du créancier bénéficiant de cette non-concurrence? — Une clause de non</w:t>
            </w:r>
            <w:r w:rsidRPr="008065A3">
              <w:rPr>
                <w:sz w:val="20"/>
                <w:lang w:val="fr-CA"/>
              </w:rPr>
              <w:noBreakHyphen/>
              <w:t>concurrence commerciale en matière immobilière peut</w:t>
            </w:r>
            <w:r w:rsidRPr="008065A3">
              <w:rPr>
                <w:sz w:val="20"/>
                <w:lang w:val="fr-CA"/>
              </w:rPr>
              <w:noBreakHyphen/>
              <w:t>elle validement avoir les mêmes effets et attributs qu’une servitude de non</w:t>
            </w:r>
            <w:r w:rsidRPr="008065A3">
              <w:rPr>
                <w:sz w:val="20"/>
                <w:lang w:val="fr-CA"/>
              </w:rPr>
              <w:noBreakHyphen/>
              <w:t>concurrence, tel qu’un effet potentiellement perpétuel et la faculté d’être transmissible de propriétaire en propriétaire, les servitudes de non</w:t>
            </w:r>
            <w:r w:rsidRPr="008065A3">
              <w:rPr>
                <w:sz w:val="20"/>
                <w:lang w:val="fr-CA"/>
              </w:rPr>
              <w:noBreakHyphen/>
              <w:t>concurrence étant par ailleurs illégales en droit civil québécois? — La Cour d’appel a</w:t>
            </w:r>
            <w:r w:rsidRPr="008065A3">
              <w:rPr>
                <w:sz w:val="20"/>
                <w:lang w:val="fr-CA"/>
              </w:rPr>
              <w:noBreakHyphen/>
              <w:t>t</w:t>
            </w:r>
            <w:r w:rsidRPr="008065A3">
              <w:rPr>
                <w:sz w:val="20"/>
                <w:lang w:val="fr-CA"/>
              </w:rPr>
              <w:noBreakHyphen/>
              <w:t>elle erré en décidant que la clause de non</w:t>
            </w:r>
            <w:r w:rsidRPr="008065A3">
              <w:rPr>
                <w:sz w:val="20"/>
                <w:lang w:val="fr-CA"/>
              </w:rPr>
              <w:noBreakHyphen/>
              <w:t xml:space="preserve">concurrence alimentaire en litige était raisonnable et n’était pas contraire à l’ordre public, sa durée étant considérée comme valide par la Cour suprême? — </w:t>
            </w:r>
            <w:r w:rsidRPr="008065A3">
              <w:rPr>
                <w:i/>
                <w:sz w:val="20"/>
                <w:lang w:val="fr-CA"/>
              </w:rPr>
              <w:t>Code civil du Québec</w:t>
            </w:r>
            <w:r w:rsidRPr="008065A3">
              <w:rPr>
                <w:sz w:val="20"/>
                <w:lang w:val="fr-CA"/>
              </w:rPr>
              <w:t xml:space="preserve">, art. 1373. </w:t>
            </w:r>
          </w:p>
        </w:tc>
      </w:tr>
      <w:tr w:rsidR="00043A5E" w:rsidRPr="008065A3" w:rsidTr="00E3334E">
        <w:tc>
          <w:tcPr>
            <w:tcW w:w="5000" w:type="pct"/>
            <w:gridSpan w:val="4"/>
          </w:tcPr>
          <w:p w:rsidR="00043A5E" w:rsidRPr="008065A3" w:rsidRDefault="00043A5E" w:rsidP="00043A5E">
            <w:pPr>
              <w:jc w:val="both"/>
              <w:rPr>
                <w:sz w:val="20"/>
                <w:lang w:val="fr-CA"/>
              </w:rPr>
            </w:pPr>
          </w:p>
        </w:tc>
      </w:tr>
      <w:tr w:rsidR="00043A5E" w:rsidRPr="008065A3" w:rsidTr="00E3334E">
        <w:tc>
          <w:tcPr>
            <w:tcW w:w="5000" w:type="pct"/>
            <w:gridSpan w:val="4"/>
          </w:tcPr>
          <w:p w:rsidR="00043A5E" w:rsidRPr="008065A3" w:rsidRDefault="00043A5E" w:rsidP="00043A5E">
            <w:pPr>
              <w:jc w:val="both"/>
              <w:rPr>
                <w:sz w:val="20"/>
                <w:lang w:val="fr-CA"/>
              </w:rPr>
            </w:pPr>
            <w:r w:rsidRPr="008065A3">
              <w:rPr>
                <w:sz w:val="20"/>
                <w:lang w:val="fr-CA"/>
              </w:rPr>
              <w:t>La demanderesse, Complexe commercial de l’Île inc. (CCI) a acquis en 2016 un centre commercial d’une filiale de la société El</w:t>
            </w:r>
            <w:r w:rsidRPr="008065A3">
              <w:rPr>
                <w:sz w:val="20"/>
                <w:lang w:val="fr-CA"/>
              </w:rPr>
              <w:noBreakHyphen/>
              <w:t>Ad Canada inc. Aux termes de ce contrat de vente d’immeuble, CCI s’est engagée à respecter des obligations antérieures contractées originalement par El</w:t>
            </w:r>
            <w:r w:rsidRPr="008065A3">
              <w:rPr>
                <w:sz w:val="20"/>
                <w:lang w:val="fr-CA"/>
              </w:rPr>
              <w:noBreakHyphen/>
              <w:t>Ad et sa filiale en faveur de l’intimée Provigo Distribution inc., lors de l’achat d’une parcelle de terrain située en face du centre commercial en 2005. L’achat de ce terrain s’inscrivait dans le cadre d’une entente relative à un projet de développement conjoint entre El</w:t>
            </w:r>
            <w:r w:rsidRPr="008065A3">
              <w:rPr>
                <w:sz w:val="20"/>
                <w:lang w:val="fr-CA"/>
              </w:rPr>
              <w:noBreakHyphen/>
              <w:t>Ad et Provigo. Il avait été notamment convenu de la résiliation du bail de Provigo dans le centre commercial en vue de la construction d’un immeuble dédié à l’exploitation d’un marché d’alimentation sur l’autre parcelle du terrain appartenant toujours à Provigo. Provigo et El</w:t>
            </w:r>
            <w:r w:rsidRPr="008065A3">
              <w:rPr>
                <w:sz w:val="20"/>
                <w:lang w:val="fr-CA"/>
              </w:rPr>
              <w:noBreakHyphen/>
              <w:t>Ad avaient également convenu de clauses restrictives quant aux droits et obligations relatifs à l’usage, à la location et à la vente de leurs terrains et du centre commercial et qu’en cas de vente de l’un des immeubles, le tiers acquéreur devait accepter par écrit de respecter ces clauses restrictives. Provigo avait payé une indemnité à El</w:t>
            </w:r>
            <w:r w:rsidRPr="008065A3">
              <w:rPr>
                <w:sz w:val="20"/>
                <w:lang w:val="fr-CA"/>
              </w:rPr>
              <w:noBreakHyphen/>
              <w:t>Ad en considération de ces divers engagements. En juin 2017, CCI entreprend des procédures afin de faire déclarer nulle l’une des clauses restrictives à savoir une clause de non</w:t>
            </w:r>
            <w:r w:rsidRPr="008065A3">
              <w:rPr>
                <w:sz w:val="20"/>
                <w:lang w:val="fr-CA"/>
              </w:rPr>
              <w:noBreakHyphen/>
              <w:t xml:space="preserve">concurrence restreignant l’utilisation du centre commercial dans le but d’exploiter un marché d’alimentation ou tout commerce vendant les produits alimentaires. La Cour supérieure a accueilli la demande de CCI et la Cour d’appel a accueilli l’appel. </w:t>
            </w:r>
          </w:p>
          <w:p w:rsidR="00043A5E" w:rsidRPr="008065A3" w:rsidRDefault="00043A5E" w:rsidP="00043A5E">
            <w:pPr>
              <w:jc w:val="both"/>
              <w:rPr>
                <w:sz w:val="20"/>
                <w:lang w:val="fr-CA"/>
              </w:rPr>
            </w:pPr>
          </w:p>
        </w:tc>
      </w:tr>
      <w:tr w:rsidR="00043A5E" w:rsidRPr="008065A3" w:rsidTr="00E3334E">
        <w:tc>
          <w:tcPr>
            <w:tcW w:w="2427" w:type="pct"/>
            <w:gridSpan w:val="2"/>
          </w:tcPr>
          <w:p w:rsidR="00043A5E" w:rsidRPr="008065A3" w:rsidRDefault="00043A5E" w:rsidP="00043A5E">
            <w:pPr>
              <w:jc w:val="both"/>
              <w:rPr>
                <w:sz w:val="20"/>
                <w:lang w:val="fr-CA"/>
              </w:rPr>
            </w:pPr>
            <w:r w:rsidRPr="008065A3">
              <w:rPr>
                <w:sz w:val="20"/>
                <w:lang w:val="fr-CA"/>
              </w:rPr>
              <w:t>Le 26 novembre 2018</w:t>
            </w:r>
          </w:p>
          <w:p w:rsidR="00043A5E" w:rsidRPr="008065A3" w:rsidRDefault="00043A5E" w:rsidP="00043A5E">
            <w:pPr>
              <w:jc w:val="both"/>
              <w:rPr>
                <w:sz w:val="20"/>
                <w:lang w:val="fr-CA"/>
              </w:rPr>
            </w:pPr>
            <w:r w:rsidRPr="008065A3">
              <w:rPr>
                <w:sz w:val="20"/>
                <w:lang w:val="fr-CA"/>
              </w:rPr>
              <w:t>Cour supérieure du Québec</w:t>
            </w:r>
          </w:p>
          <w:p w:rsidR="00043A5E" w:rsidRPr="008065A3" w:rsidRDefault="00043A5E" w:rsidP="00043A5E">
            <w:pPr>
              <w:jc w:val="both"/>
              <w:rPr>
                <w:sz w:val="20"/>
              </w:rPr>
            </w:pPr>
            <w:r w:rsidRPr="008065A3">
              <w:rPr>
                <w:sz w:val="20"/>
              </w:rPr>
              <w:t>(Le juge Collier)</w:t>
            </w:r>
          </w:p>
          <w:p w:rsidR="00043A5E" w:rsidRPr="008065A3" w:rsidRDefault="00043A5E" w:rsidP="00043A5E">
            <w:pPr>
              <w:jc w:val="both"/>
              <w:rPr>
                <w:sz w:val="20"/>
              </w:rPr>
            </w:pPr>
            <w:hyperlink r:id="rId34" w:history="1">
              <w:r w:rsidRPr="008065A3">
                <w:rPr>
                  <w:rStyle w:val="Hyperlink"/>
                  <w:sz w:val="20"/>
                </w:rPr>
                <w:t>2018 QCCS 5284</w:t>
              </w:r>
            </w:hyperlink>
          </w:p>
          <w:p w:rsidR="00043A5E" w:rsidRPr="008065A3" w:rsidRDefault="00043A5E" w:rsidP="00043A5E">
            <w:pPr>
              <w:jc w:val="both"/>
              <w:rPr>
                <w:sz w:val="20"/>
              </w:rPr>
            </w:pPr>
          </w:p>
        </w:tc>
        <w:tc>
          <w:tcPr>
            <w:tcW w:w="243" w:type="pct"/>
          </w:tcPr>
          <w:p w:rsidR="00043A5E" w:rsidRPr="008065A3" w:rsidRDefault="00043A5E" w:rsidP="00043A5E">
            <w:pPr>
              <w:jc w:val="both"/>
              <w:rPr>
                <w:sz w:val="20"/>
              </w:rPr>
            </w:pPr>
          </w:p>
        </w:tc>
        <w:tc>
          <w:tcPr>
            <w:tcW w:w="2330" w:type="pct"/>
          </w:tcPr>
          <w:p w:rsidR="00043A5E" w:rsidRPr="008065A3" w:rsidRDefault="00043A5E" w:rsidP="00043A5E">
            <w:pPr>
              <w:jc w:val="both"/>
              <w:rPr>
                <w:sz w:val="20"/>
              </w:rPr>
            </w:pPr>
            <w:r w:rsidRPr="008065A3">
              <w:rPr>
                <w:sz w:val="20"/>
              </w:rPr>
              <w:t>Demande accueillie.</w:t>
            </w:r>
          </w:p>
          <w:p w:rsidR="00043A5E" w:rsidRPr="008065A3" w:rsidRDefault="00043A5E" w:rsidP="00043A5E">
            <w:pPr>
              <w:jc w:val="both"/>
              <w:rPr>
                <w:sz w:val="20"/>
              </w:rPr>
            </w:pPr>
          </w:p>
        </w:tc>
      </w:tr>
      <w:tr w:rsidR="00043A5E" w:rsidRPr="008065A3" w:rsidTr="00E3334E">
        <w:tc>
          <w:tcPr>
            <w:tcW w:w="2427" w:type="pct"/>
            <w:gridSpan w:val="2"/>
          </w:tcPr>
          <w:p w:rsidR="00043A5E" w:rsidRPr="008065A3" w:rsidRDefault="00043A5E" w:rsidP="00043A5E">
            <w:pPr>
              <w:jc w:val="both"/>
              <w:rPr>
                <w:sz w:val="20"/>
                <w:lang w:val="fr-CA"/>
              </w:rPr>
            </w:pPr>
            <w:r w:rsidRPr="008065A3">
              <w:rPr>
                <w:sz w:val="20"/>
                <w:lang w:val="fr-CA"/>
              </w:rPr>
              <w:t>Le 23 juillet 2020</w:t>
            </w:r>
          </w:p>
          <w:p w:rsidR="00043A5E" w:rsidRPr="008065A3" w:rsidRDefault="00043A5E" w:rsidP="00043A5E">
            <w:pPr>
              <w:jc w:val="both"/>
              <w:rPr>
                <w:sz w:val="20"/>
                <w:lang w:val="fr-CA"/>
              </w:rPr>
            </w:pPr>
            <w:r w:rsidRPr="008065A3">
              <w:rPr>
                <w:sz w:val="20"/>
                <w:lang w:val="fr-CA"/>
              </w:rPr>
              <w:t>Cour d’appel du Québec (Montréal)</w:t>
            </w:r>
          </w:p>
          <w:p w:rsidR="00043A5E" w:rsidRPr="008065A3" w:rsidRDefault="00043A5E" w:rsidP="00043A5E">
            <w:pPr>
              <w:jc w:val="both"/>
              <w:rPr>
                <w:sz w:val="20"/>
                <w:lang w:val="fr-CA"/>
              </w:rPr>
            </w:pPr>
            <w:r w:rsidRPr="008065A3">
              <w:rPr>
                <w:sz w:val="20"/>
                <w:lang w:val="fr-CA"/>
              </w:rPr>
              <w:t xml:space="preserve">(Les juges </w:t>
            </w:r>
            <w:proofErr w:type="gramStart"/>
            <w:r w:rsidRPr="008065A3">
              <w:rPr>
                <w:sz w:val="20"/>
                <w:lang w:val="fr-CA"/>
              </w:rPr>
              <w:t>Marcotte</w:t>
            </w:r>
            <w:proofErr w:type="gramEnd"/>
            <w:r w:rsidRPr="008065A3">
              <w:rPr>
                <w:sz w:val="20"/>
                <w:lang w:val="fr-CA"/>
              </w:rPr>
              <w:t>, Hamilton et Fournier)</w:t>
            </w:r>
          </w:p>
          <w:p w:rsidR="00043A5E" w:rsidRPr="008065A3" w:rsidRDefault="00043A5E" w:rsidP="00043A5E">
            <w:pPr>
              <w:jc w:val="both"/>
              <w:rPr>
                <w:sz w:val="20"/>
              </w:rPr>
            </w:pPr>
            <w:hyperlink r:id="rId35" w:history="1">
              <w:r w:rsidRPr="008065A3">
                <w:rPr>
                  <w:rStyle w:val="Hyperlink"/>
                  <w:sz w:val="20"/>
                </w:rPr>
                <w:t>2020 QCCA 970</w:t>
              </w:r>
            </w:hyperlink>
          </w:p>
          <w:p w:rsidR="00043A5E" w:rsidRPr="008065A3" w:rsidRDefault="00043A5E" w:rsidP="00043A5E">
            <w:pPr>
              <w:jc w:val="both"/>
              <w:rPr>
                <w:sz w:val="20"/>
              </w:rPr>
            </w:pPr>
          </w:p>
        </w:tc>
        <w:tc>
          <w:tcPr>
            <w:tcW w:w="243" w:type="pct"/>
          </w:tcPr>
          <w:p w:rsidR="00043A5E" w:rsidRPr="008065A3" w:rsidRDefault="00043A5E" w:rsidP="00043A5E">
            <w:pPr>
              <w:jc w:val="both"/>
              <w:rPr>
                <w:sz w:val="20"/>
              </w:rPr>
            </w:pPr>
          </w:p>
        </w:tc>
        <w:tc>
          <w:tcPr>
            <w:tcW w:w="2330" w:type="pct"/>
          </w:tcPr>
          <w:p w:rsidR="00043A5E" w:rsidRPr="008065A3" w:rsidRDefault="00043A5E" w:rsidP="00043A5E">
            <w:pPr>
              <w:jc w:val="both"/>
              <w:rPr>
                <w:sz w:val="20"/>
              </w:rPr>
            </w:pPr>
            <w:r w:rsidRPr="008065A3">
              <w:rPr>
                <w:sz w:val="20"/>
              </w:rPr>
              <w:t>Appel accueilli.</w:t>
            </w:r>
          </w:p>
          <w:p w:rsidR="00043A5E" w:rsidRPr="008065A3" w:rsidRDefault="00043A5E" w:rsidP="00043A5E">
            <w:pPr>
              <w:jc w:val="both"/>
              <w:rPr>
                <w:sz w:val="20"/>
              </w:rPr>
            </w:pPr>
          </w:p>
        </w:tc>
      </w:tr>
      <w:tr w:rsidR="00043A5E" w:rsidRPr="008065A3" w:rsidTr="00E3334E">
        <w:tc>
          <w:tcPr>
            <w:tcW w:w="2427" w:type="pct"/>
            <w:gridSpan w:val="2"/>
          </w:tcPr>
          <w:p w:rsidR="00043A5E" w:rsidRPr="008065A3" w:rsidRDefault="00043A5E" w:rsidP="00043A5E">
            <w:pPr>
              <w:jc w:val="both"/>
              <w:rPr>
                <w:sz w:val="20"/>
                <w:lang w:val="fr-CA"/>
              </w:rPr>
            </w:pPr>
            <w:r w:rsidRPr="008065A3">
              <w:rPr>
                <w:sz w:val="20"/>
                <w:lang w:val="fr-CA"/>
              </w:rPr>
              <w:t>Le 4 novembre 2020</w:t>
            </w:r>
          </w:p>
          <w:p w:rsidR="00043A5E" w:rsidRPr="008065A3" w:rsidRDefault="00043A5E" w:rsidP="00043A5E">
            <w:pPr>
              <w:jc w:val="both"/>
              <w:rPr>
                <w:sz w:val="20"/>
                <w:lang w:val="fr-CA"/>
              </w:rPr>
            </w:pPr>
            <w:r w:rsidRPr="008065A3">
              <w:rPr>
                <w:sz w:val="20"/>
                <w:lang w:val="fr-CA"/>
              </w:rPr>
              <w:t>Cour suprême du Canada</w:t>
            </w:r>
          </w:p>
        </w:tc>
        <w:tc>
          <w:tcPr>
            <w:tcW w:w="243" w:type="pct"/>
          </w:tcPr>
          <w:p w:rsidR="00043A5E" w:rsidRPr="008065A3" w:rsidRDefault="00043A5E" w:rsidP="00043A5E">
            <w:pPr>
              <w:jc w:val="both"/>
              <w:rPr>
                <w:sz w:val="20"/>
                <w:lang w:val="fr-CA"/>
              </w:rPr>
            </w:pPr>
          </w:p>
        </w:tc>
        <w:tc>
          <w:tcPr>
            <w:tcW w:w="2330" w:type="pct"/>
          </w:tcPr>
          <w:p w:rsidR="00043A5E" w:rsidRPr="008065A3" w:rsidRDefault="00043A5E" w:rsidP="00043A5E">
            <w:pPr>
              <w:jc w:val="both"/>
              <w:rPr>
                <w:sz w:val="20"/>
              </w:rPr>
            </w:pPr>
            <w:r w:rsidRPr="008065A3">
              <w:rPr>
                <w:sz w:val="20"/>
              </w:rPr>
              <w:t>Demande d'autorisation d'appel déposée</w:t>
            </w:r>
          </w:p>
          <w:p w:rsidR="00043A5E" w:rsidRPr="008065A3" w:rsidRDefault="00043A5E" w:rsidP="00043A5E">
            <w:pPr>
              <w:jc w:val="both"/>
              <w:rPr>
                <w:sz w:val="20"/>
              </w:rPr>
            </w:pPr>
          </w:p>
        </w:tc>
      </w:tr>
    </w:tbl>
    <w:p w:rsidR="00043A5E" w:rsidRPr="008065A3" w:rsidRDefault="00043A5E" w:rsidP="00043A5E">
      <w:pPr>
        <w:jc w:val="both"/>
        <w:rPr>
          <w:sz w:val="20"/>
        </w:rPr>
      </w:pPr>
    </w:p>
    <w:p w:rsidR="0047018E" w:rsidRPr="008065A3" w:rsidRDefault="0047018E" w:rsidP="00043A5E">
      <w:pPr>
        <w:jc w:val="both"/>
        <w:rPr>
          <w:sz w:val="20"/>
        </w:rPr>
      </w:pPr>
      <w:r w:rsidRPr="008065A3">
        <w:rPr>
          <w:sz w:val="20"/>
        </w:rPr>
        <w:pict>
          <v:rect id="_x0000_i1060" style="width:2in;height:1pt" o:hrpct="0" o:hralign="center" o:hrstd="t" o:hrnoshade="t" o:hr="t" fillcolor="black [3213]" stroked="f"/>
        </w:pict>
      </w:r>
    </w:p>
    <w:p w:rsidR="00043A5E" w:rsidRPr="008065A3" w:rsidRDefault="00043A5E" w:rsidP="00043A5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3A5E" w:rsidRPr="008065A3" w:rsidTr="00E3334E">
        <w:tc>
          <w:tcPr>
            <w:tcW w:w="543" w:type="pct"/>
          </w:tcPr>
          <w:p w:rsidR="00043A5E" w:rsidRPr="008065A3" w:rsidRDefault="00043A5E" w:rsidP="00043A5E">
            <w:pPr>
              <w:jc w:val="both"/>
              <w:rPr>
                <w:sz w:val="20"/>
              </w:rPr>
            </w:pPr>
            <w:r w:rsidRPr="008065A3">
              <w:rPr>
                <w:rStyle w:val="SCCFileNumberChar"/>
                <w:sz w:val="20"/>
                <w:szCs w:val="20"/>
              </w:rPr>
              <w:t>39361</w:t>
            </w:r>
          </w:p>
        </w:tc>
        <w:tc>
          <w:tcPr>
            <w:tcW w:w="4457" w:type="pct"/>
            <w:gridSpan w:val="3"/>
          </w:tcPr>
          <w:p w:rsidR="00043A5E" w:rsidRPr="008065A3" w:rsidRDefault="00043A5E" w:rsidP="00043A5E">
            <w:pPr>
              <w:pStyle w:val="SCCLsocParty"/>
              <w:jc w:val="both"/>
              <w:rPr>
                <w:b/>
                <w:sz w:val="20"/>
                <w:szCs w:val="20"/>
                <w:lang w:val="en-US"/>
              </w:rPr>
            </w:pPr>
            <w:r w:rsidRPr="008065A3">
              <w:rPr>
                <w:b/>
                <w:sz w:val="20"/>
                <w:szCs w:val="20"/>
                <w:lang w:val="en-US"/>
              </w:rPr>
              <w:t>Senator Michael Dennis Duffy v. Senate of Canada, Attorney General of Canada</w:t>
            </w:r>
          </w:p>
          <w:p w:rsidR="00043A5E" w:rsidRPr="008065A3" w:rsidRDefault="00043A5E" w:rsidP="00043A5E">
            <w:pPr>
              <w:jc w:val="both"/>
              <w:rPr>
                <w:sz w:val="20"/>
              </w:rPr>
            </w:pPr>
            <w:r w:rsidRPr="008065A3">
              <w:rPr>
                <w:sz w:val="20"/>
              </w:rPr>
              <w:t>(Ont.</w:t>
            </w:r>
            <w:r w:rsidR="0047018E" w:rsidRPr="008065A3">
              <w:rPr>
                <w:sz w:val="20"/>
              </w:rPr>
              <w:t>) (Civil) (By Leave)</w:t>
            </w:r>
          </w:p>
        </w:tc>
      </w:tr>
      <w:tr w:rsidR="00043A5E" w:rsidRPr="008065A3" w:rsidTr="00E3334E">
        <w:tc>
          <w:tcPr>
            <w:tcW w:w="5000" w:type="pct"/>
            <w:gridSpan w:val="4"/>
          </w:tcPr>
          <w:p w:rsidR="00043A5E" w:rsidRPr="008065A3" w:rsidRDefault="00043A5E" w:rsidP="00043A5E">
            <w:pPr>
              <w:jc w:val="both"/>
              <w:rPr>
                <w:sz w:val="20"/>
              </w:rPr>
            </w:pPr>
            <w:r w:rsidRPr="008065A3">
              <w:rPr>
                <w:sz w:val="20"/>
              </w:rPr>
              <w:t xml:space="preserve">Constitutional law — Parliamentary privilege — Scope of privilege — Courts — Jurisdiction — Applicant Senator seeking damages from Senate of Canada for alleged unlawful and procedurally unfair suspension from legislative body — Senate of Canada successfully moving to dismiss Senator’s claim against it for want of jurisdiction — Motion to dismiss claim against Senate upheld on appeal — Does Senate immunity oust the jurisdiction of the courts over malicious misconduct? — Does the Senate have the power to deprive a senator of his or her entire statutory salary? — Does the Senate have exclusive jurisdiction to determine whether the Senate itself breached a senator’s </w:t>
            </w:r>
            <w:r w:rsidRPr="008065A3">
              <w:rPr>
                <w:i/>
                <w:sz w:val="20"/>
              </w:rPr>
              <w:t>Charter</w:t>
            </w:r>
            <w:r w:rsidRPr="008065A3">
              <w:rPr>
                <w:sz w:val="20"/>
              </w:rPr>
              <w:t xml:space="preserve"> rights, even if it refuses to exercise that jurisdiction? — </w:t>
            </w:r>
            <w:r w:rsidRPr="008065A3">
              <w:rPr>
                <w:i/>
                <w:sz w:val="20"/>
              </w:rPr>
              <w:t>Constitution Act, 1867</w:t>
            </w:r>
            <w:r w:rsidRPr="008065A3">
              <w:rPr>
                <w:sz w:val="20"/>
              </w:rPr>
              <w:t xml:space="preserve">, ss. 18 and 31 — </w:t>
            </w:r>
            <w:r w:rsidRPr="008065A3">
              <w:rPr>
                <w:i/>
                <w:sz w:val="20"/>
              </w:rPr>
              <w:t>Canadian Charter of Rights and Freedoms</w:t>
            </w:r>
            <w:r w:rsidRPr="008065A3">
              <w:rPr>
                <w:sz w:val="20"/>
              </w:rPr>
              <w:t>, ss. 7, 11d) and 12 —</w:t>
            </w:r>
            <w:r w:rsidRPr="008065A3">
              <w:rPr>
                <w:i/>
                <w:color w:val="000000"/>
                <w:sz w:val="20"/>
              </w:rPr>
              <w:t xml:space="preserve"> </w:t>
            </w:r>
            <w:r w:rsidRPr="008065A3">
              <w:rPr>
                <w:i/>
                <w:sz w:val="20"/>
              </w:rPr>
              <w:t>Rules of Civil Procedure</w:t>
            </w:r>
            <w:r w:rsidRPr="008065A3">
              <w:rPr>
                <w:sz w:val="20"/>
              </w:rPr>
              <w:t>, R.R.O. 1990, Reg. 194, r. 21.01(3</w:t>
            </w:r>
            <w:proofErr w:type="gramStart"/>
            <w:r w:rsidRPr="008065A3">
              <w:rPr>
                <w:sz w:val="20"/>
              </w:rPr>
              <w:t>)(</w:t>
            </w:r>
            <w:proofErr w:type="gramEnd"/>
            <w:r w:rsidRPr="008065A3">
              <w:rPr>
                <w:sz w:val="20"/>
              </w:rPr>
              <w:t>a).</w:t>
            </w:r>
          </w:p>
        </w:tc>
      </w:tr>
      <w:tr w:rsidR="00043A5E" w:rsidRPr="008065A3" w:rsidTr="00E3334E">
        <w:tc>
          <w:tcPr>
            <w:tcW w:w="5000" w:type="pct"/>
            <w:gridSpan w:val="4"/>
          </w:tcPr>
          <w:p w:rsidR="00043A5E" w:rsidRPr="008065A3" w:rsidRDefault="00043A5E" w:rsidP="00043A5E">
            <w:pPr>
              <w:jc w:val="both"/>
              <w:rPr>
                <w:sz w:val="20"/>
              </w:rPr>
            </w:pPr>
          </w:p>
        </w:tc>
      </w:tr>
      <w:tr w:rsidR="00043A5E" w:rsidRPr="008065A3" w:rsidTr="00E3334E">
        <w:tc>
          <w:tcPr>
            <w:tcW w:w="5000" w:type="pct"/>
            <w:gridSpan w:val="4"/>
          </w:tcPr>
          <w:p w:rsidR="00043A5E" w:rsidRPr="008065A3" w:rsidRDefault="00043A5E" w:rsidP="00043A5E">
            <w:pPr>
              <w:jc w:val="both"/>
              <w:rPr>
                <w:sz w:val="20"/>
              </w:rPr>
            </w:pPr>
            <w:r w:rsidRPr="008065A3">
              <w:rPr>
                <w:sz w:val="20"/>
              </w:rPr>
              <w:t xml:space="preserve">Senator Michael Duffy is suing the Senate of Canada over his suspension from the red chamber, which he alleges was politically motivated, unconstitutional, </w:t>
            </w:r>
            <w:proofErr w:type="gramStart"/>
            <w:r w:rsidRPr="008065A3">
              <w:rPr>
                <w:sz w:val="20"/>
              </w:rPr>
              <w:t>procedurally</w:t>
            </w:r>
            <w:proofErr w:type="gramEnd"/>
            <w:r w:rsidRPr="008065A3">
              <w:rPr>
                <w:sz w:val="20"/>
              </w:rPr>
              <w:t xml:space="preserve"> unfair and contrary to his </w:t>
            </w:r>
            <w:r w:rsidRPr="008065A3">
              <w:rPr>
                <w:i/>
                <w:sz w:val="20"/>
              </w:rPr>
              <w:t>Charter</w:t>
            </w:r>
            <w:r w:rsidRPr="008065A3">
              <w:rPr>
                <w:sz w:val="20"/>
              </w:rPr>
              <w:t xml:space="preserve"> rights. In 2013, the Senate </w:t>
            </w:r>
            <w:r w:rsidRPr="008065A3">
              <w:rPr>
                <w:sz w:val="20"/>
              </w:rPr>
              <w:lastRenderedPageBreak/>
              <w:t xml:space="preserve">voted to suspend Senator Duffy based on a report from its standing committee on Internal Economy, Budgets and Administration (“CIBA”). The CIBA report concluded that Senator Duffy had violated rules on living and travel expenses. Senator Duffy was later criminally charged in connection with these expenses, but eventually acquitted of all charges. </w:t>
            </w:r>
            <w:r w:rsidRPr="008065A3">
              <w:rPr>
                <w:color w:val="000000"/>
                <w:sz w:val="20"/>
              </w:rPr>
              <w:t>Following the acquittal, the Senate of Canada clawed back a portion of Senator Duffy’s salary</w:t>
            </w:r>
            <w:r w:rsidRPr="008065A3">
              <w:rPr>
                <w:sz w:val="20"/>
              </w:rPr>
              <w:t>, continuing to cite to improperly claimed expenses. Relying in large part on the findings made in his criminal matter, which essentially determined that he committed no prohibited act in making the claims, Senator Duffy launched a civil suit against the Senate. The Senate argues that the lawsuit cannot proceed because its impugned conduct falls squarely within the scope of parliamentary privilege. It accordingly moved to dismiss Senator Duffy’s claims against it. The Superior Court granted the Senate’s motion for want of jurisdiction. It held that the Senate’s alleged conduct falls within the scope of the Senate’s established parliamentary privileges. The Court of Appeal agreed with the Superior Court, and dismissed Senator Duffy’s appeal. It held that the courts lack jurisdiction to adjudicate these allegations, which may only be decided upon by the Senate itself.</w:t>
            </w:r>
          </w:p>
          <w:p w:rsidR="00043A5E" w:rsidRPr="008065A3" w:rsidRDefault="00043A5E" w:rsidP="00043A5E">
            <w:pPr>
              <w:jc w:val="both"/>
              <w:rPr>
                <w:sz w:val="20"/>
              </w:rPr>
            </w:pPr>
          </w:p>
        </w:tc>
      </w:tr>
      <w:tr w:rsidR="00043A5E" w:rsidRPr="008065A3" w:rsidTr="00E3334E">
        <w:tc>
          <w:tcPr>
            <w:tcW w:w="2427" w:type="pct"/>
            <w:gridSpan w:val="2"/>
          </w:tcPr>
          <w:p w:rsidR="00043A5E" w:rsidRPr="008065A3" w:rsidRDefault="00043A5E" w:rsidP="00043A5E">
            <w:pPr>
              <w:jc w:val="both"/>
              <w:rPr>
                <w:sz w:val="20"/>
              </w:rPr>
            </w:pPr>
            <w:r w:rsidRPr="008065A3">
              <w:rPr>
                <w:sz w:val="20"/>
              </w:rPr>
              <w:lastRenderedPageBreak/>
              <w:t>December 14, 2018</w:t>
            </w:r>
          </w:p>
          <w:p w:rsidR="00043A5E" w:rsidRPr="008065A3" w:rsidRDefault="00043A5E" w:rsidP="00043A5E">
            <w:pPr>
              <w:jc w:val="both"/>
              <w:rPr>
                <w:sz w:val="20"/>
              </w:rPr>
            </w:pPr>
            <w:r w:rsidRPr="008065A3">
              <w:rPr>
                <w:sz w:val="20"/>
              </w:rPr>
              <w:t>Ontario Superior Court of Justice</w:t>
            </w:r>
          </w:p>
          <w:p w:rsidR="00043A5E" w:rsidRPr="008065A3" w:rsidRDefault="00043A5E" w:rsidP="00043A5E">
            <w:pPr>
              <w:jc w:val="both"/>
              <w:rPr>
                <w:sz w:val="20"/>
              </w:rPr>
            </w:pPr>
            <w:r w:rsidRPr="008065A3">
              <w:rPr>
                <w:sz w:val="20"/>
              </w:rPr>
              <w:t>(Gomery J.)</w:t>
            </w:r>
          </w:p>
          <w:p w:rsidR="00043A5E" w:rsidRPr="008065A3" w:rsidRDefault="00043A5E" w:rsidP="00043A5E">
            <w:pPr>
              <w:jc w:val="both"/>
              <w:rPr>
                <w:sz w:val="20"/>
                <w:lang w:val="en"/>
              </w:rPr>
            </w:pPr>
            <w:r w:rsidRPr="008065A3">
              <w:rPr>
                <w:sz w:val="20"/>
                <w:lang w:val="en"/>
              </w:rPr>
              <w:t>File no. 17</w:t>
            </w:r>
            <w:r w:rsidRPr="008065A3">
              <w:rPr>
                <w:sz w:val="20"/>
                <w:lang w:val="en"/>
              </w:rPr>
              <w:noBreakHyphen/>
              <w:t>73728</w:t>
            </w:r>
          </w:p>
          <w:p w:rsidR="00043A5E" w:rsidRPr="008065A3" w:rsidRDefault="00043A5E" w:rsidP="00043A5E">
            <w:pPr>
              <w:jc w:val="both"/>
              <w:rPr>
                <w:sz w:val="20"/>
              </w:rPr>
            </w:pPr>
            <w:hyperlink r:id="rId36" w:history="1">
              <w:r w:rsidRPr="008065A3">
                <w:rPr>
                  <w:rStyle w:val="Hyperlink"/>
                  <w:sz w:val="20"/>
                </w:rPr>
                <w:t>2018 ONSC 7523</w:t>
              </w:r>
            </w:hyperlink>
          </w:p>
          <w:p w:rsidR="00043A5E" w:rsidRPr="008065A3" w:rsidRDefault="00043A5E" w:rsidP="00043A5E">
            <w:pPr>
              <w:jc w:val="both"/>
              <w:rPr>
                <w:sz w:val="20"/>
              </w:rPr>
            </w:pPr>
          </w:p>
        </w:tc>
        <w:tc>
          <w:tcPr>
            <w:tcW w:w="243" w:type="pct"/>
          </w:tcPr>
          <w:p w:rsidR="00043A5E" w:rsidRPr="008065A3" w:rsidRDefault="00043A5E" w:rsidP="00043A5E">
            <w:pPr>
              <w:jc w:val="both"/>
              <w:rPr>
                <w:sz w:val="20"/>
              </w:rPr>
            </w:pPr>
          </w:p>
        </w:tc>
        <w:tc>
          <w:tcPr>
            <w:tcW w:w="2330" w:type="pct"/>
          </w:tcPr>
          <w:p w:rsidR="00043A5E" w:rsidRPr="008065A3" w:rsidRDefault="00043A5E" w:rsidP="00043A5E">
            <w:pPr>
              <w:jc w:val="both"/>
              <w:rPr>
                <w:sz w:val="20"/>
              </w:rPr>
            </w:pPr>
            <w:r w:rsidRPr="008065A3">
              <w:rPr>
                <w:sz w:val="20"/>
              </w:rPr>
              <w:t>Motion to dismiss claim against Senate of Canada for want of jurisdiction granted</w:t>
            </w:r>
          </w:p>
          <w:p w:rsidR="00043A5E" w:rsidRPr="008065A3" w:rsidRDefault="00043A5E" w:rsidP="00043A5E">
            <w:pPr>
              <w:jc w:val="both"/>
              <w:rPr>
                <w:sz w:val="20"/>
              </w:rPr>
            </w:pPr>
          </w:p>
        </w:tc>
      </w:tr>
      <w:tr w:rsidR="00043A5E" w:rsidRPr="008065A3" w:rsidTr="00E3334E">
        <w:tc>
          <w:tcPr>
            <w:tcW w:w="2427" w:type="pct"/>
            <w:gridSpan w:val="2"/>
          </w:tcPr>
          <w:p w:rsidR="00043A5E" w:rsidRPr="008065A3" w:rsidRDefault="00043A5E" w:rsidP="00043A5E">
            <w:pPr>
              <w:jc w:val="both"/>
              <w:rPr>
                <w:sz w:val="20"/>
              </w:rPr>
            </w:pPr>
            <w:r w:rsidRPr="008065A3">
              <w:rPr>
                <w:sz w:val="20"/>
              </w:rPr>
              <w:t>August 28, 2020</w:t>
            </w:r>
          </w:p>
          <w:p w:rsidR="00043A5E" w:rsidRPr="008065A3" w:rsidRDefault="00043A5E" w:rsidP="00043A5E">
            <w:pPr>
              <w:jc w:val="both"/>
              <w:rPr>
                <w:sz w:val="20"/>
              </w:rPr>
            </w:pPr>
            <w:r w:rsidRPr="008065A3">
              <w:rPr>
                <w:sz w:val="20"/>
              </w:rPr>
              <w:t>Court of Appeal for Ontario</w:t>
            </w:r>
          </w:p>
          <w:p w:rsidR="00043A5E" w:rsidRPr="008065A3" w:rsidRDefault="00043A5E" w:rsidP="00043A5E">
            <w:pPr>
              <w:jc w:val="both"/>
              <w:rPr>
                <w:sz w:val="20"/>
              </w:rPr>
            </w:pPr>
            <w:r w:rsidRPr="008065A3">
              <w:rPr>
                <w:sz w:val="20"/>
              </w:rPr>
              <w:t>(Strathy C.J. and MacPherson and Jamal JJ.A.)</w:t>
            </w:r>
          </w:p>
          <w:p w:rsidR="00043A5E" w:rsidRPr="008065A3" w:rsidRDefault="00043A5E" w:rsidP="00043A5E">
            <w:pPr>
              <w:jc w:val="both"/>
              <w:rPr>
                <w:sz w:val="20"/>
                <w:lang w:val="en"/>
              </w:rPr>
            </w:pPr>
            <w:r w:rsidRPr="008065A3">
              <w:rPr>
                <w:sz w:val="20"/>
              </w:rPr>
              <w:t xml:space="preserve">File no. </w:t>
            </w:r>
            <w:r w:rsidRPr="008065A3">
              <w:rPr>
                <w:sz w:val="20"/>
                <w:lang w:val="en"/>
              </w:rPr>
              <w:t>C66407</w:t>
            </w:r>
          </w:p>
          <w:p w:rsidR="00043A5E" w:rsidRPr="008065A3" w:rsidRDefault="00043A5E" w:rsidP="00043A5E">
            <w:pPr>
              <w:jc w:val="both"/>
              <w:rPr>
                <w:sz w:val="20"/>
              </w:rPr>
            </w:pPr>
            <w:hyperlink r:id="rId37" w:history="1">
              <w:r w:rsidRPr="008065A3">
                <w:rPr>
                  <w:rStyle w:val="Hyperlink"/>
                  <w:sz w:val="20"/>
                </w:rPr>
                <w:t>2020 ONCA 536</w:t>
              </w:r>
            </w:hyperlink>
          </w:p>
          <w:p w:rsidR="00043A5E" w:rsidRPr="008065A3" w:rsidRDefault="00043A5E" w:rsidP="00043A5E">
            <w:pPr>
              <w:jc w:val="both"/>
              <w:rPr>
                <w:sz w:val="20"/>
              </w:rPr>
            </w:pPr>
          </w:p>
        </w:tc>
        <w:tc>
          <w:tcPr>
            <w:tcW w:w="243" w:type="pct"/>
          </w:tcPr>
          <w:p w:rsidR="00043A5E" w:rsidRPr="008065A3" w:rsidRDefault="00043A5E" w:rsidP="00043A5E">
            <w:pPr>
              <w:jc w:val="both"/>
              <w:rPr>
                <w:sz w:val="20"/>
              </w:rPr>
            </w:pPr>
          </w:p>
        </w:tc>
        <w:tc>
          <w:tcPr>
            <w:tcW w:w="2330" w:type="pct"/>
          </w:tcPr>
          <w:p w:rsidR="00043A5E" w:rsidRPr="008065A3" w:rsidRDefault="00043A5E" w:rsidP="00043A5E">
            <w:pPr>
              <w:jc w:val="both"/>
              <w:rPr>
                <w:sz w:val="20"/>
              </w:rPr>
            </w:pPr>
            <w:r w:rsidRPr="008065A3">
              <w:rPr>
                <w:sz w:val="20"/>
              </w:rPr>
              <w:t>Appeal dismissed</w:t>
            </w:r>
          </w:p>
          <w:p w:rsidR="00043A5E" w:rsidRPr="008065A3" w:rsidRDefault="00043A5E" w:rsidP="00043A5E">
            <w:pPr>
              <w:jc w:val="both"/>
              <w:rPr>
                <w:sz w:val="20"/>
              </w:rPr>
            </w:pPr>
          </w:p>
        </w:tc>
      </w:tr>
      <w:tr w:rsidR="00043A5E" w:rsidRPr="008065A3" w:rsidTr="00E3334E">
        <w:tc>
          <w:tcPr>
            <w:tcW w:w="2427" w:type="pct"/>
            <w:gridSpan w:val="2"/>
          </w:tcPr>
          <w:p w:rsidR="00043A5E" w:rsidRPr="008065A3" w:rsidRDefault="00043A5E" w:rsidP="00043A5E">
            <w:pPr>
              <w:jc w:val="both"/>
              <w:rPr>
                <w:sz w:val="20"/>
              </w:rPr>
            </w:pPr>
            <w:r w:rsidRPr="008065A3">
              <w:rPr>
                <w:sz w:val="20"/>
              </w:rPr>
              <w:t>October 21, 2020</w:t>
            </w:r>
          </w:p>
          <w:p w:rsidR="00043A5E" w:rsidRPr="008065A3" w:rsidRDefault="00043A5E" w:rsidP="00043A5E">
            <w:pPr>
              <w:jc w:val="both"/>
              <w:rPr>
                <w:sz w:val="20"/>
              </w:rPr>
            </w:pPr>
            <w:r w:rsidRPr="008065A3">
              <w:rPr>
                <w:sz w:val="20"/>
              </w:rPr>
              <w:t>Supreme Court of Canada</w:t>
            </w:r>
          </w:p>
        </w:tc>
        <w:tc>
          <w:tcPr>
            <w:tcW w:w="243" w:type="pct"/>
          </w:tcPr>
          <w:p w:rsidR="00043A5E" w:rsidRPr="008065A3" w:rsidRDefault="00043A5E" w:rsidP="00043A5E">
            <w:pPr>
              <w:jc w:val="both"/>
              <w:rPr>
                <w:sz w:val="20"/>
              </w:rPr>
            </w:pPr>
          </w:p>
        </w:tc>
        <w:tc>
          <w:tcPr>
            <w:tcW w:w="2330" w:type="pct"/>
          </w:tcPr>
          <w:p w:rsidR="00043A5E" w:rsidRPr="008065A3" w:rsidRDefault="00043A5E" w:rsidP="00043A5E">
            <w:pPr>
              <w:jc w:val="both"/>
              <w:rPr>
                <w:sz w:val="20"/>
              </w:rPr>
            </w:pPr>
            <w:r w:rsidRPr="008065A3">
              <w:rPr>
                <w:sz w:val="20"/>
              </w:rPr>
              <w:t>Application for leave to appeal filed</w:t>
            </w:r>
          </w:p>
          <w:p w:rsidR="00043A5E" w:rsidRPr="008065A3" w:rsidRDefault="00043A5E" w:rsidP="00043A5E">
            <w:pPr>
              <w:jc w:val="both"/>
              <w:rPr>
                <w:sz w:val="20"/>
              </w:rPr>
            </w:pPr>
          </w:p>
        </w:tc>
      </w:tr>
    </w:tbl>
    <w:p w:rsidR="00043A5E" w:rsidRPr="008065A3" w:rsidRDefault="00043A5E" w:rsidP="00043A5E">
      <w:pPr>
        <w:jc w:val="both"/>
        <w:rPr>
          <w:sz w:val="20"/>
        </w:rPr>
      </w:pPr>
    </w:p>
    <w:p w:rsidR="0047018E" w:rsidRPr="008065A3" w:rsidRDefault="0047018E" w:rsidP="00043A5E">
      <w:pPr>
        <w:jc w:val="both"/>
        <w:rPr>
          <w:sz w:val="20"/>
        </w:rPr>
      </w:pPr>
      <w:r w:rsidRPr="008065A3">
        <w:rPr>
          <w:sz w:val="20"/>
        </w:rPr>
        <w:pict>
          <v:rect id="_x0000_i1061" style="width:2in;height:1pt" o:hrpct="0" o:hralign="center" o:hrstd="t" o:hrnoshade="t" o:hr="t" fillcolor="black [3213]" stroked="f"/>
        </w:pict>
      </w:r>
    </w:p>
    <w:p w:rsidR="0047018E" w:rsidRPr="008065A3" w:rsidRDefault="0047018E" w:rsidP="00043A5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3A5E" w:rsidRPr="008065A3" w:rsidTr="00E3334E">
        <w:tc>
          <w:tcPr>
            <w:tcW w:w="543" w:type="pct"/>
          </w:tcPr>
          <w:p w:rsidR="00043A5E" w:rsidRPr="008065A3" w:rsidRDefault="00043A5E" w:rsidP="00043A5E">
            <w:pPr>
              <w:jc w:val="both"/>
              <w:rPr>
                <w:sz w:val="20"/>
                <w:lang w:val="fr-CA"/>
              </w:rPr>
            </w:pPr>
            <w:r w:rsidRPr="008065A3">
              <w:rPr>
                <w:rStyle w:val="SCCFileNumberChar"/>
                <w:sz w:val="20"/>
                <w:szCs w:val="20"/>
                <w:lang w:val="fr-CA"/>
              </w:rPr>
              <w:t>39361</w:t>
            </w:r>
          </w:p>
        </w:tc>
        <w:tc>
          <w:tcPr>
            <w:tcW w:w="4457" w:type="pct"/>
            <w:gridSpan w:val="3"/>
          </w:tcPr>
          <w:p w:rsidR="00043A5E" w:rsidRPr="008065A3" w:rsidRDefault="00043A5E" w:rsidP="00043A5E">
            <w:pPr>
              <w:pStyle w:val="SCCLsocParty"/>
              <w:jc w:val="both"/>
              <w:rPr>
                <w:b/>
                <w:sz w:val="20"/>
                <w:szCs w:val="20"/>
              </w:rPr>
            </w:pPr>
            <w:r w:rsidRPr="008065A3">
              <w:rPr>
                <w:b/>
                <w:sz w:val="20"/>
                <w:szCs w:val="20"/>
              </w:rPr>
              <w:t>Sénateur Michael Dennis Duffy c. Sénat du Canada, Procureur général du Canada</w:t>
            </w:r>
          </w:p>
          <w:p w:rsidR="00043A5E" w:rsidRPr="008065A3" w:rsidRDefault="00043A5E" w:rsidP="00043A5E">
            <w:pPr>
              <w:jc w:val="both"/>
              <w:rPr>
                <w:sz w:val="20"/>
                <w:lang w:val="fr-CA"/>
              </w:rPr>
            </w:pPr>
            <w:r w:rsidRPr="008065A3">
              <w:rPr>
                <w:sz w:val="20"/>
                <w:lang w:val="fr-CA"/>
              </w:rPr>
              <w:t>(On</w:t>
            </w:r>
            <w:r w:rsidR="0047018E" w:rsidRPr="008065A3">
              <w:rPr>
                <w:sz w:val="20"/>
                <w:lang w:val="fr-CA"/>
              </w:rPr>
              <w:t>t.) (Civile) (Sur autorisation)</w:t>
            </w:r>
          </w:p>
        </w:tc>
      </w:tr>
      <w:tr w:rsidR="00043A5E" w:rsidRPr="008065A3" w:rsidTr="00E3334E">
        <w:tc>
          <w:tcPr>
            <w:tcW w:w="5000" w:type="pct"/>
            <w:gridSpan w:val="4"/>
          </w:tcPr>
          <w:p w:rsidR="00043A5E" w:rsidRPr="008065A3" w:rsidRDefault="00043A5E" w:rsidP="00043A5E">
            <w:pPr>
              <w:jc w:val="both"/>
              <w:rPr>
                <w:sz w:val="20"/>
                <w:lang w:val="fr-CA"/>
              </w:rPr>
            </w:pPr>
            <w:r w:rsidRPr="008065A3">
              <w:rPr>
                <w:sz w:val="20"/>
                <w:lang w:val="fr-CA"/>
              </w:rPr>
              <w:t>Droit constitutionnel — Privilège parlementaire — Portée du privilège — Tribunaux — Compétence — Le demandeur, un sénateur, sollicite des dommages</w:t>
            </w:r>
            <w:r w:rsidRPr="008065A3">
              <w:rPr>
                <w:sz w:val="20"/>
                <w:lang w:val="fr-CA"/>
              </w:rPr>
              <w:noBreakHyphen/>
              <w:t>intérêts du Sénat du Canada parce qu’il aurait été suspendu de l’organe législatif de façon illégale et inéquitable sur le plan procédural — Le Sénat du Canada a demandé et obtenu le rejet de la demande du sénateur à son encontre pour défaut de compétence — La motion visant le rejet de la demande contre le Sénat a été confirmée en appel — L’immunité du Sénat a</w:t>
            </w:r>
            <w:r w:rsidRPr="008065A3">
              <w:rPr>
                <w:sz w:val="20"/>
                <w:lang w:val="fr-CA"/>
              </w:rPr>
              <w:noBreakHyphen/>
              <w:t>t</w:t>
            </w:r>
            <w:r w:rsidRPr="008065A3">
              <w:rPr>
                <w:sz w:val="20"/>
                <w:lang w:val="fr-CA"/>
              </w:rPr>
              <w:noBreakHyphen/>
              <w:t>elle pour effet d’écarter la compétence des tribunaux à l’égard d’une inconduite malveillante ? — Le Sénat a</w:t>
            </w:r>
            <w:r w:rsidRPr="008065A3">
              <w:rPr>
                <w:sz w:val="20"/>
                <w:lang w:val="fr-CA"/>
              </w:rPr>
              <w:noBreakHyphen/>
              <w:t>t</w:t>
            </w:r>
            <w:r w:rsidRPr="008065A3">
              <w:rPr>
                <w:sz w:val="20"/>
                <w:lang w:val="fr-CA"/>
              </w:rPr>
              <w:noBreakHyphen/>
              <w:t>il le pouvoir de nier à un sénateur l’ensemble du salaire de ce dernier prévu par la loi ? — Le Sénat a</w:t>
            </w:r>
            <w:r w:rsidRPr="008065A3">
              <w:rPr>
                <w:sz w:val="20"/>
                <w:lang w:val="fr-CA"/>
              </w:rPr>
              <w:noBreakHyphen/>
              <w:t>t</w:t>
            </w:r>
            <w:r w:rsidRPr="008065A3">
              <w:rPr>
                <w:sz w:val="20"/>
                <w:lang w:val="fr-CA"/>
              </w:rPr>
              <w:noBreakHyphen/>
              <w:t xml:space="preserve">il compétence exclusive pour déterminer s’il a porté atteinte aux droits d’un sénateur garantis par la </w:t>
            </w:r>
            <w:r w:rsidRPr="008065A3">
              <w:rPr>
                <w:i/>
                <w:sz w:val="20"/>
                <w:lang w:val="fr-CA"/>
              </w:rPr>
              <w:t>Charte</w:t>
            </w:r>
            <w:r w:rsidRPr="008065A3">
              <w:rPr>
                <w:sz w:val="20"/>
                <w:lang w:val="fr-CA"/>
              </w:rPr>
              <w:t xml:space="preserve">, même si le Sénat refuse d’exercer cette compétence ? — </w:t>
            </w:r>
            <w:r w:rsidRPr="008065A3">
              <w:rPr>
                <w:i/>
                <w:sz w:val="20"/>
                <w:lang w:val="fr-CA"/>
              </w:rPr>
              <w:t>Loi constitutionnelle de 1867</w:t>
            </w:r>
            <w:r w:rsidRPr="008065A3">
              <w:rPr>
                <w:sz w:val="20"/>
                <w:lang w:val="fr-CA"/>
              </w:rPr>
              <w:t xml:space="preserve">, art. 18 et 31 — </w:t>
            </w:r>
            <w:r w:rsidRPr="008065A3">
              <w:rPr>
                <w:i/>
                <w:sz w:val="20"/>
                <w:lang w:val="fr-CA"/>
              </w:rPr>
              <w:t>Charte canadienne des droits et libertés</w:t>
            </w:r>
            <w:r w:rsidRPr="008065A3">
              <w:rPr>
                <w:sz w:val="20"/>
                <w:lang w:val="fr-CA"/>
              </w:rPr>
              <w:t>, art. 7, 11d) et 12 —</w:t>
            </w:r>
            <w:r w:rsidRPr="008065A3">
              <w:rPr>
                <w:i/>
                <w:color w:val="000000"/>
                <w:sz w:val="20"/>
                <w:lang w:val="fr-CA"/>
              </w:rPr>
              <w:t xml:space="preserve"> </w:t>
            </w:r>
            <w:r w:rsidRPr="008065A3">
              <w:rPr>
                <w:i/>
                <w:sz w:val="20"/>
                <w:lang w:val="fr-CA"/>
              </w:rPr>
              <w:t>Règles de procédure civile</w:t>
            </w:r>
            <w:r w:rsidRPr="008065A3">
              <w:rPr>
                <w:sz w:val="20"/>
                <w:lang w:val="fr-CA"/>
              </w:rPr>
              <w:t xml:space="preserve">, L.R.O. 1990, </w:t>
            </w:r>
            <w:proofErr w:type="spellStart"/>
            <w:r w:rsidRPr="008065A3">
              <w:rPr>
                <w:sz w:val="20"/>
                <w:lang w:val="fr-CA"/>
              </w:rPr>
              <w:t>Règl</w:t>
            </w:r>
            <w:proofErr w:type="spellEnd"/>
            <w:r w:rsidRPr="008065A3">
              <w:rPr>
                <w:sz w:val="20"/>
                <w:lang w:val="fr-CA"/>
              </w:rPr>
              <w:t>. 194, règle 21.01(3)a).</w:t>
            </w:r>
          </w:p>
        </w:tc>
      </w:tr>
      <w:tr w:rsidR="00043A5E" w:rsidRPr="008065A3" w:rsidTr="00E3334E">
        <w:tc>
          <w:tcPr>
            <w:tcW w:w="5000" w:type="pct"/>
            <w:gridSpan w:val="4"/>
          </w:tcPr>
          <w:p w:rsidR="00043A5E" w:rsidRPr="008065A3" w:rsidRDefault="00043A5E" w:rsidP="00043A5E">
            <w:pPr>
              <w:jc w:val="both"/>
              <w:rPr>
                <w:sz w:val="20"/>
                <w:lang w:val="fr-CA"/>
              </w:rPr>
            </w:pPr>
          </w:p>
        </w:tc>
      </w:tr>
      <w:tr w:rsidR="00043A5E" w:rsidRPr="008065A3" w:rsidTr="00E3334E">
        <w:tc>
          <w:tcPr>
            <w:tcW w:w="5000" w:type="pct"/>
            <w:gridSpan w:val="4"/>
          </w:tcPr>
          <w:p w:rsidR="00043A5E" w:rsidRPr="008065A3" w:rsidRDefault="00043A5E" w:rsidP="00043A5E">
            <w:pPr>
              <w:jc w:val="both"/>
              <w:rPr>
                <w:sz w:val="20"/>
                <w:lang w:val="fr-CA"/>
              </w:rPr>
            </w:pPr>
            <w:r w:rsidRPr="008065A3">
              <w:rPr>
                <w:sz w:val="20"/>
                <w:lang w:val="fr-CA"/>
              </w:rPr>
              <w:t>Le sénateur Michael Duffy poursuit le Sénat du Canada en raison de sa suspension de la Chambre rouge, qui, allègue</w:t>
            </w:r>
            <w:r w:rsidRPr="008065A3">
              <w:rPr>
                <w:sz w:val="20"/>
                <w:lang w:val="fr-CA"/>
              </w:rPr>
              <w:noBreakHyphen/>
              <w:t>t</w:t>
            </w:r>
            <w:r w:rsidRPr="008065A3">
              <w:rPr>
                <w:sz w:val="20"/>
                <w:lang w:val="fr-CA"/>
              </w:rPr>
              <w:noBreakHyphen/>
              <w:t xml:space="preserve">il, était motivée par des raisons politiques, en plus d’être inconstitutionnelle, inéquitable sur le plan procédural et à l’encontre de ses droits garantis par la </w:t>
            </w:r>
            <w:r w:rsidRPr="008065A3">
              <w:rPr>
                <w:i/>
                <w:sz w:val="20"/>
                <w:lang w:val="fr-CA"/>
              </w:rPr>
              <w:t>Charte</w:t>
            </w:r>
            <w:r w:rsidRPr="008065A3">
              <w:rPr>
                <w:sz w:val="20"/>
                <w:lang w:val="fr-CA"/>
              </w:rPr>
              <w:t>. En 2013, le Sénat a voté en faveur de la suspension du sénateur Duffy en se fondant sur un report rédigé par son Comité permanent de la régie interne, des budgets et de l’administration (« CIBA »). Le rapport du CIBA a conclu que le sénateur Duffy avait contrevenu aux règles sur l’indemnité de subsistance et les frais de déplacement. Des accusations criminelles ont plus tard été portées contre le sénateur Duffy en lien avec ces dépenses, mais il a été acquitté de toutes les accusations en fin de compte. Après l’acquittement du sénateur Duffy</w:t>
            </w:r>
            <w:r w:rsidRPr="008065A3">
              <w:rPr>
                <w:color w:val="000000"/>
                <w:sz w:val="20"/>
                <w:lang w:val="fr-CA"/>
              </w:rPr>
              <w:t>, le Sénat du Canada a retenu une partie de son salaire</w:t>
            </w:r>
            <w:r w:rsidRPr="008065A3">
              <w:rPr>
                <w:sz w:val="20"/>
                <w:lang w:val="fr-CA"/>
              </w:rPr>
              <w:t xml:space="preserve">, continuant de citer des dépenses que le sénateur avait réclamées sans y avoir droit. </w:t>
            </w:r>
            <w:proofErr w:type="gramStart"/>
            <w:r w:rsidRPr="008065A3">
              <w:rPr>
                <w:sz w:val="20"/>
                <w:lang w:val="fr-CA"/>
              </w:rPr>
              <w:t>S’appuyant</w:t>
            </w:r>
            <w:proofErr w:type="gramEnd"/>
            <w:r w:rsidRPr="008065A3">
              <w:rPr>
                <w:sz w:val="20"/>
                <w:lang w:val="fr-CA"/>
              </w:rPr>
              <w:t xml:space="preserve"> en grande partie sur les conclusions tirées à l’issue de son procès criminel, voulant essentiellement qu’il n’ait commis aucun acte prohibé en effectuant les réclamations, le sénateur Duffy a intenté une poursuite civile contre le Sénat. Le Sénat a fait valoir que la poursuite ne pouvait aller de l’avant puisque la conduite contestée du Sénat relève nettement de son privilège parlementaire. Le Sénat a donc demandé que les demandes du sénateur Duffy à son encontre soient rejetées. La Cour supérieure a </w:t>
            </w:r>
            <w:r w:rsidRPr="008065A3">
              <w:rPr>
                <w:sz w:val="20"/>
                <w:lang w:val="fr-CA"/>
              </w:rPr>
              <w:lastRenderedPageBreak/>
              <w:t xml:space="preserve">fait </w:t>
            </w:r>
            <w:proofErr w:type="gramStart"/>
            <w:r w:rsidRPr="008065A3">
              <w:rPr>
                <w:sz w:val="20"/>
                <w:lang w:val="fr-CA"/>
              </w:rPr>
              <w:t>droit</w:t>
            </w:r>
            <w:proofErr w:type="gramEnd"/>
            <w:r w:rsidRPr="008065A3">
              <w:rPr>
                <w:sz w:val="20"/>
                <w:lang w:val="fr-CA"/>
              </w:rPr>
              <w:t xml:space="preserve"> à la motion du Sénat pour défaut de compétence. Elle a conclu que la conduite alléguée du Sénat relève des privilèges parlementaires établis du Sénat. La Cour d’appel a convenu avec la Cour supérieure, et a rejeté l’appel du sénateur Duffy. Elle a statué que les tribunaux n’ont pas compétence pour trancher ces allégations, car celle</w:t>
            </w:r>
            <w:r w:rsidRPr="008065A3">
              <w:rPr>
                <w:sz w:val="20"/>
                <w:lang w:val="fr-CA"/>
              </w:rPr>
              <w:noBreakHyphen/>
              <w:t>ci relève uniquement du Sénat.</w:t>
            </w:r>
          </w:p>
          <w:p w:rsidR="00043A5E" w:rsidRPr="008065A3" w:rsidRDefault="00043A5E" w:rsidP="00043A5E">
            <w:pPr>
              <w:jc w:val="both"/>
              <w:rPr>
                <w:sz w:val="20"/>
                <w:lang w:val="fr-CA"/>
              </w:rPr>
            </w:pPr>
          </w:p>
        </w:tc>
      </w:tr>
      <w:tr w:rsidR="00043A5E" w:rsidRPr="008065A3" w:rsidTr="00E3334E">
        <w:tc>
          <w:tcPr>
            <w:tcW w:w="2427" w:type="pct"/>
            <w:gridSpan w:val="2"/>
          </w:tcPr>
          <w:p w:rsidR="00043A5E" w:rsidRPr="008065A3" w:rsidRDefault="00043A5E" w:rsidP="00043A5E">
            <w:pPr>
              <w:jc w:val="both"/>
              <w:rPr>
                <w:sz w:val="20"/>
                <w:lang w:val="fr-CA"/>
              </w:rPr>
            </w:pPr>
            <w:r w:rsidRPr="008065A3">
              <w:rPr>
                <w:sz w:val="20"/>
                <w:lang w:val="fr-CA"/>
              </w:rPr>
              <w:lastRenderedPageBreak/>
              <w:t>14 décembre 2018</w:t>
            </w:r>
          </w:p>
          <w:p w:rsidR="00043A5E" w:rsidRPr="008065A3" w:rsidRDefault="00043A5E" w:rsidP="00043A5E">
            <w:pPr>
              <w:jc w:val="both"/>
              <w:rPr>
                <w:sz w:val="20"/>
                <w:lang w:val="fr-CA"/>
              </w:rPr>
            </w:pPr>
            <w:r w:rsidRPr="008065A3">
              <w:rPr>
                <w:sz w:val="20"/>
                <w:lang w:val="fr-CA"/>
              </w:rPr>
              <w:t>Cour supérieure de justice de l’Ontario</w:t>
            </w:r>
          </w:p>
          <w:p w:rsidR="00043A5E" w:rsidRPr="008065A3" w:rsidRDefault="00043A5E" w:rsidP="00043A5E">
            <w:pPr>
              <w:jc w:val="both"/>
              <w:rPr>
                <w:sz w:val="20"/>
                <w:lang w:val="fr-CA"/>
              </w:rPr>
            </w:pPr>
            <w:r w:rsidRPr="008065A3">
              <w:rPr>
                <w:sz w:val="20"/>
                <w:lang w:val="fr-CA"/>
              </w:rPr>
              <w:t>(Juge Gomery)</w:t>
            </w:r>
          </w:p>
          <w:p w:rsidR="00043A5E" w:rsidRPr="008065A3" w:rsidRDefault="00043A5E" w:rsidP="00043A5E">
            <w:pPr>
              <w:jc w:val="both"/>
              <w:rPr>
                <w:sz w:val="20"/>
                <w:lang w:val="fr-CA"/>
              </w:rPr>
            </w:pPr>
            <w:r w:rsidRPr="008065A3">
              <w:rPr>
                <w:sz w:val="20"/>
                <w:lang w:val="fr-CA"/>
              </w:rPr>
              <w:t>No de dossier : 17</w:t>
            </w:r>
            <w:r w:rsidRPr="008065A3">
              <w:rPr>
                <w:sz w:val="20"/>
                <w:lang w:val="fr-CA"/>
              </w:rPr>
              <w:noBreakHyphen/>
              <w:t>73728</w:t>
            </w:r>
          </w:p>
          <w:p w:rsidR="00043A5E" w:rsidRPr="008065A3" w:rsidRDefault="00043A5E" w:rsidP="00043A5E">
            <w:pPr>
              <w:jc w:val="both"/>
              <w:rPr>
                <w:sz w:val="20"/>
                <w:lang w:val="fr-CA"/>
              </w:rPr>
            </w:pPr>
            <w:hyperlink r:id="rId38" w:history="1">
              <w:r w:rsidRPr="008065A3">
                <w:rPr>
                  <w:rStyle w:val="Hyperlink"/>
                  <w:sz w:val="20"/>
                  <w:lang w:val="fr-CA"/>
                </w:rPr>
                <w:t>2018 ONSC 7523</w:t>
              </w:r>
            </w:hyperlink>
          </w:p>
          <w:p w:rsidR="00043A5E" w:rsidRPr="008065A3" w:rsidRDefault="00043A5E" w:rsidP="00043A5E">
            <w:pPr>
              <w:jc w:val="both"/>
              <w:rPr>
                <w:sz w:val="20"/>
                <w:lang w:val="fr-CA"/>
              </w:rPr>
            </w:pPr>
          </w:p>
        </w:tc>
        <w:tc>
          <w:tcPr>
            <w:tcW w:w="243" w:type="pct"/>
          </w:tcPr>
          <w:p w:rsidR="00043A5E" w:rsidRPr="008065A3" w:rsidRDefault="00043A5E" w:rsidP="00043A5E">
            <w:pPr>
              <w:jc w:val="both"/>
              <w:rPr>
                <w:sz w:val="20"/>
                <w:lang w:val="fr-CA"/>
              </w:rPr>
            </w:pPr>
          </w:p>
        </w:tc>
        <w:tc>
          <w:tcPr>
            <w:tcW w:w="2330" w:type="pct"/>
          </w:tcPr>
          <w:p w:rsidR="00043A5E" w:rsidRPr="008065A3" w:rsidRDefault="00043A5E" w:rsidP="00043A5E">
            <w:pPr>
              <w:jc w:val="both"/>
              <w:rPr>
                <w:sz w:val="20"/>
                <w:lang w:val="fr-CA"/>
              </w:rPr>
            </w:pPr>
            <w:r w:rsidRPr="008065A3">
              <w:rPr>
                <w:sz w:val="20"/>
                <w:lang w:val="fr-CA"/>
              </w:rPr>
              <w:t>La motion visant à rejeter la demande contre le Sénat du Canada pour défaut de compétence est accueillie.</w:t>
            </w:r>
          </w:p>
          <w:p w:rsidR="00043A5E" w:rsidRPr="008065A3" w:rsidRDefault="00043A5E" w:rsidP="00043A5E">
            <w:pPr>
              <w:jc w:val="both"/>
              <w:rPr>
                <w:sz w:val="20"/>
                <w:lang w:val="fr-CA"/>
              </w:rPr>
            </w:pPr>
          </w:p>
        </w:tc>
      </w:tr>
      <w:tr w:rsidR="00043A5E" w:rsidRPr="008065A3" w:rsidTr="00E3334E">
        <w:tc>
          <w:tcPr>
            <w:tcW w:w="2427" w:type="pct"/>
            <w:gridSpan w:val="2"/>
          </w:tcPr>
          <w:p w:rsidR="00043A5E" w:rsidRPr="008065A3" w:rsidRDefault="00043A5E" w:rsidP="00043A5E">
            <w:pPr>
              <w:jc w:val="both"/>
              <w:rPr>
                <w:sz w:val="20"/>
                <w:lang w:val="fr-CA"/>
              </w:rPr>
            </w:pPr>
            <w:r w:rsidRPr="008065A3">
              <w:rPr>
                <w:sz w:val="20"/>
                <w:lang w:val="fr-CA"/>
              </w:rPr>
              <w:t>28 août 2020</w:t>
            </w:r>
          </w:p>
          <w:p w:rsidR="00043A5E" w:rsidRPr="008065A3" w:rsidRDefault="00043A5E" w:rsidP="00043A5E">
            <w:pPr>
              <w:jc w:val="both"/>
              <w:rPr>
                <w:sz w:val="20"/>
                <w:lang w:val="fr-CA"/>
              </w:rPr>
            </w:pPr>
            <w:r w:rsidRPr="008065A3">
              <w:rPr>
                <w:sz w:val="20"/>
                <w:lang w:val="fr-CA"/>
              </w:rPr>
              <w:t>Cour d’appel de l’Ontario</w:t>
            </w:r>
          </w:p>
          <w:p w:rsidR="00043A5E" w:rsidRPr="008065A3" w:rsidRDefault="00043A5E" w:rsidP="00043A5E">
            <w:pPr>
              <w:jc w:val="both"/>
              <w:rPr>
                <w:sz w:val="20"/>
                <w:lang w:val="fr-CA"/>
              </w:rPr>
            </w:pPr>
            <w:r w:rsidRPr="008065A3">
              <w:rPr>
                <w:sz w:val="20"/>
                <w:lang w:val="fr-CA"/>
              </w:rPr>
              <w:t xml:space="preserve">(Juge en chef </w:t>
            </w:r>
            <w:proofErr w:type="spellStart"/>
            <w:r w:rsidRPr="008065A3">
              <w:rPr>
                <w:sz w:val="20"/>
                <w:lang w:val="fr-CA"/>
              </w:rPr>
              <w:t>Strathy</w:t>
            </w:r>
            <w:proofErr w:type="spellEnd"/>
            <w:r w:rsidRPr="008065A3">
              <w:rPr>
                <w:sz w:val="20"/>
                <w:lang w:val="fr-CA"/>
              </w:rPr>
              <w:t xml:space="preserve"> et juges </w:t>
            </w:r>
            <w:proofErr w:type="spellStart"/>
            <w:r w:rsidRPr="008065A3">
              <w:rPr>
                <w:sz w:val="20"/>
                <w:lang w:val="fr-CA"/>
              </w:rPr>
              <w:t>MacPherson</w:t>
            </w:r>
            <w:proofErr w:type="spellEnd"/>
            <w:r w:rsidRPr="008065A3">
              <w:rPr>
                <w:sz w:val="20"/>
                <w:lang w:val="fr-CA"/>
              </w:rPr>
              <w:t xml:space="preserve"> et Jamal)</w:t>
            </w:r>
          </w:p>
          <w:p w:rsidR="00043A5E" w:rsidRPr="008065A3" w:rsidRDefault="00043A5E" w:rsidP="00043A5E">
            <w:pPr>
              <w:jc w:val="both"/>
              <w:rPr>
                <w:sz w:val="20"/>
                <w:lang w:val="fr-CA"/>
              </w:rPr>
            </w:pPr>
            <w:r w:rsidRPr="008065A3">
              <w:rPr>
                <w:sz w:val="20"/>
                <w:lang w:val="fr-CA"/>
              </w:rPr>
              <w:t>No de dossier : C66407</w:t>
            </w:r>
          </w:p>
          <w:p w:rsidR="00043A5E" w:rsidRPr="008065A3" w:rsidRDefault="00043A5E" w:rsidP="00043A5E">
            <w:pPr>
              <w:jc w:val="both"/>
              <w:rPr>
                <w:sz w:val="20"/>
                <w:lang w:val="fr-CA"/>
              </w:rPr>
            </w:pPr>
            <w:hyperlink r:id="rId39" w:history="1">
              <w:r w:rsidRPr="008065A3">
                <w:rPr>
                  <w:rStyle w:val="Hyperlink"/>
                  <w:sz w:val="20"/>
                  <w:lang w:val="fr-CA"/>
                </w:rPr>
                <w:t>2020 ONCA 536</w:t>
              </w:r>
            </w:hyperlink>
          </w:p>
          <w:p w:rsidR="00043A5E" w:rsidRPr="008065A3" w:rsidRDefault="00043A5E" w:rsidP="00043A5E">
            <w:pPr>
              <w:jc w:val="both"/>
              <w:rPr>
                <w:sz w:val="20"/>
                <w:lang w:val="fr-CA"/>
              </w:rPr>
            </w:pPr>
          </w:p>
        </w:tc>
        <w:tc>
          <w:tcPr>
            <w:tcW w:w="243" w:type="pct"/>
          </w:tcPr>
          <w:p w:rsidR="00043A5E" w:rsidRPr="008065A3" w:rsidRDefault="00043A5E" w:rsidP="00043A5E">
            <w:pPr>
              <w:jc w:val="both"/>
              <w:rPr>
                <w:sz w:val="20"/>
                <w:lang w:val="fr-CA"/>
              </w:rPr>
            </w:pPr>
          </w:p>
        </w:tc>
        <w:tc>
          <w:tcPr>
            <w:tcW w:w="2330" w:type="pct"/>
          </w:tcPr>
          <w:p w:rsidR="00043A5E" w:rsidRPr="008065A3" w:rsidRDefault="00043A5E" w:rsidP="00043A5E">
            <w:pPr>
              <w:jc w:val="both"/>
              <w:rPr>
                <w:sz w:val="20"/>
                <w:lang w:val="fr-CA"/>
              </w:rPr>
            </w:pPr>
            <w:r w:rsidRPr="008065A3">
              <w:rPr>
                <w:sz w:val="20"/>
                <w:lang w:val="fr-CA"/>
              </w:rPr>
              <w:t>L’appel est rejeté.</w:t>
            </w:r>
          </w:p>
          <w:p w:rsidR="00043A5E" w:rsidRPr="008065A3" w:rsidRDefault="00043A5E" w:rsidP="00043A5E">
            <w:pPr>
              <w:jc w:val="both"/>
              <w:rPr>
                <w:sz w:val="20"/>
                <w:lang w:val="fr-CA"/>
              </w:rPr>
            </w:pPr>
          </w:p>
        </w:tc>
      </w:tr>
      <w:tr w:rsidR="00043A5E" w:rsidRPr="008065A3" w:rsidTr="00E3334E">
        <w:tc>
          <w:tcPr>
            <w:tcW w:w="2427" w:type="pct"/>
            <w:gridSpan w:val="2"/>
          </w:tcPr>
          <w:p w:rsidR="00043A5E" w:rsidRPr="008065A3" w:rsidRDefault="00043A5E" w:rsidP="00043A5E">
            <w:pPr>
              <w:jc w:val="both"/>
              <w:rPr>
                <w:sz w:val="20"/>
                <w:lang w:val="fr-CA"/>
              </w:rPr>
            </w:pPr>
            <w:r w:rsidRPr="008065A3">
              <w:rPr>
                <w:sz w:val="20"/>
                <w:lang w:val="fr-CA"/>
              </w:rPr>
              <w:t>21 octobre 2020</w:t>
            </w:r>
          </w:p>
          <w:p w:rsidR="00043A5E" w:rsidRPr="008065A3" w:rsidRDefault="00043A5E" w:rsidP="00043A5E">
            <w:pPr>
              <w:jc w:val="both"/>
              <w:rPr>
                <w:sz w:val="20"/>
                <w:lang w:val="fr-CA"/>
              </w:rPr>
            </w:pPr>
            <w:r w:rsidRPr="008065A3">
              <w:rPr>
                <w:sz w:val="20"/>
                <w:lang w:val="fr-CA"/>
              </w:rPr>
              <w:t>Cour suprême du Canada</w:t>
            </w:r>
          </w:p>
        </w:tc>
        <w:tc>
          <w:tcPr>
            <w:tcW w:w="243" w:type="pct"/>
          </w:tcPr>
          <w:p w:rsidR="00043A5E" w:rsidRPr="008065A3" w:rsidRDefault="00043A5E" w:rsidP="00043A5E">
            <w:pPr>
              <w:jc w:val="both"/>
              <w:rPr>
                <w:sz w:val="20"/>
                <w:lang w:val="fr-CA"/>
              </w:rPr>
            </w:pPr>
          </w:p>
        </w:tc>
        <w:tc>
          <w:tcPr>
            <w:tcW w:w="2330" w:type="pct"/>
          </w:tcPr>
          <w:p w:rsidR="00043A5E" w:rsidRPr="008065A3" w:rsidRDefault="00043A5E" w:rsidP="00043A5E">
            <w:pPr>
              <w:jc w:val="both"/>
              <w:rPr>
                <w:sz w:val="20"/>
                <w:lang w:val="fr-CA"/>
              </w:rPr>
            </w:pPr>
            <w:r w:rsidRPr="008065A3">
              <w:rPr>
                <w:sz w:val="20"/>
                <w:lang w:val="fr-CA"/>
              </w:rPr>
              <w:t>La demande d’autorisation d’appel est présentée.</w:t>
            </w:r>
          </w:p>
          <w:p w:rsidR="00043A5E" w:rsidRPr="008065A3" w:rsidRDefault="00043A5E" w:rsidP="00043A5E">
            <w:pPr>
              <w:jc w:val="both"/>
              <w:rPr>
                <w:sz w:val="20"/>
                <w:lang w:val="fr-CA"/>
              </w:rPr>
            </w:pPr>
          </w:p>
        </w:tc>
      </w:tr>
    </w:tbl>
    <w:p w:rsidR="00043A5E" w:rsidRPr="008065A3" w:rsidRDefault="00043A5E" w:rsidP="00043A5E">
      <w:pPr>
        <w:jc w:val="both"/>
        <w:rPr>
          <w:sz w:val="20"/>
          <w:lang w:val="fr-CA"/>
        </w:rPr>
      </w:pPr>
    </w:p>
    <w:p w:rsidR="0047018E" w:rsidRPr="008065A3" w:rsidRDefault="0047018E" w:rsidP="00043A5E">
      <w:pPr>
        <w:jc w:val="both"/>
        <w:rPr>
          <w:sz w:val="20"/>
          <w:lang w:val="fr-CA"/>
        </w:rPr>
      </w:pPr>
      <w:r w:rsidRPr="008065A3">
        <w:rPr>
          <w:sz w:val="20"/>
        </w:rPr>
        <w:pict>
          <v:rect id="_x0000_i1062" style="width:2in;height:1pt" o:hrpct="0" o:hralign="center" o:hrstd="t" o:hrnoshade="t" o:hr="t" fillcolor="black [3213]" stroked="f"/>
        </w:pict>
      </w:r>
    </w:p>
    <w:p w:rsidR="00043A5E" w:rsidRPr="008065A3" w:rsidRDefault="00043A5E" w:rsidP="00043A5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3A5E" w:rsidRPr="008065A3" w:rsidTr="00E3334E">
        <w:tc>
          <w:tcPr>
            <w:tcW w:w="543" w:type="pct"/>
          </w:tcPr>
          <w:p w:rsidR="00043A5E" w:rsidRPr="008065A3" w:rsidRDefault="00043A5E" w:rsidP="00043A5E">
            <w:pPr>
              <w:jc w:val="both"/>
              <w:rPr>
                <w:sz w:val="20"/>
              </w:rPr>
            </w:pPr>
            <w:r w:rsidRPr="008065A3">
              <w:rPr>
                <w:rStyle w:val="SCCFileNumberChar"/>
                <w:sz w:val="20"/>
                <w:szCs w:val="20"/>
              </w:rPr>
              <w:t>39366</w:t>
            </w:r>
          </w:p>
        </w:tc>
        <w:tc>
          <w:tcPr>
            <w:tcW w:w="4457" w:type="pct"/>
            <w:gridSpan w:val="3"/>
          </w:tcPr>
          <w:p w:rsidR="00043A5E" w:rsidRPr="008065A3" w:rsidRDefault="00043A5E" w:rsidP="00043A5E">
            <w:pPr>
              <w:pStyle w:val="SCCLsocParty"/>
              <w:jc w:val="both"/>
              <w:rPr>
                <w:b/>
                <w:sz w:val="20"/>
                <w:szCs w:val="20"/>
                <w:lang w:val="en-US"/>
              </w:rPr>
            </w:pPr>
            <w:r w:rsidRPr="008065A3">
              <w:rPr>
                <w:b/>
                <w:sz w:val="20"/>
                <w:szCs w:val="20"/>
                <w:lang w:val="en-US"/>
              </w:rPr>
              <w:t>Nathan Paul Gervais v. Her Majesty the Queen</w:t>
            </w:r>
          </w:p>
          <w:p w:rsidR="00043A5E" w:rsidRPr="008065A3" w:rsidRDefault="00043A5E" w:rsidP="00043A5E">
            <w:pPr>
              <w:jc w:val="both"/>
              <w:rPr>
                <w:sz w:val="20"/>
              </w:rPr>
            </w:pPr>
            <w:r w:rsidRPr="008065A3">
              <w:rPr>
                <w:sz w:val="20"/>
              </w:rPr>
              <w:t>(Alta.) (Criminal) (By Leave)</w:t>
            </w:r>
          </w:p>
        </w:tc>
      </w:tr>
      <w:tr w:rsidR="00043A5E" w:rsidRPr="008065A3" w:rsidTr="00E3334E">
        <w:tc>
          <w:tcPr>
            <w:tcW w:w="5000" w:type="pct"/>
            <w:gridSpan w:val="4"/>
          </w:tcPr>
          <w:p w:rsidR="00043A5E" w:rsidRPr="008065A3" w:rsidRDefault="00043A5E" w:rsidP="00043A5E">
            <w:pPr>
              <w:jc w:val="both"/>
              <w:rPr>
                <w:sz w:val="20"/>
              </w:rPr>
            </w:pPr>
            <w:r w:rsidRPr="008065A3">
              <w:rPr>
                <w:i/>
                <w:sz w:val="20"/>
              </w:rPr>
              <w:t>Charter of Rights and Freedoms</w:t>
            </w:r>
            <w:r w:rsidRPr="008065A3">
              <w:rPr>
                <w:sz w:val="20"/>
              </w:rPr>
              <w:t xml:space="preserve"> – C</w:t>
            </w:r>
            <w:proofErr w:type="spellStart"/>
            <w:r w:rsidRPr="008065A3">
              <w:rPr>
                <w:sz w:val="20"/>
                <w:lang w:val="en"/>
              </w:rPr>
              <w:t>ruel</w:t>
            </w:r>
            <w:proofErr w:type="spellEnd"/>
            <w:r w:rsidRPr="008065A3">
              <w:rPr>
                <w:sz w:val="20"/>
                <w:lang w:val="en"/>
              </w:rPr>
              <w:t xml:space="preserve"> and unusual punishment</w:t>
            </w:r>
            <w:r w:rsidRPr="008065A3">
              <w:rPr>
                <w:sz w:val="20"/>
              </w:rPr>
              <w:t xml:space="preserve"> – Criminal law – Constructive first degree murder – Causing death during forcible confinement – Swarming – What constitutes a continuous act of confinement – What should a court assess in reaching a determination that a confinement was continuous – How to apply the </w:t>
            </w:r>
            <w:r w:rsidRPr="008065A3">
              <w:rPr>
                <w:color w:val="000000"/>
                <w:sz w:val="20"/>
              </w:rPr>
              <w:t>requirement that a confinement was continuous and sufficiently distinct from the act of killing itself</w:t>
            </w:r>
            <w:r w:rsidRPr="008065A3">
              <w:rPr>
                <w:sz w:val="20"/>
              </w:rPr>
              <w:t xml:space="preserve"> in the context of group attacks – Whether the 25-year parole ineligibility was grossly disproportionate punishment that offends s. 12 of </w:t>
            </w:r>
            <w:r w:rsidRPr="008065A3">
              <w:rPr>
                <w:i/>
                <w:sz w:val="20"/>
              </w:rPr>
              <w:t>Charter</w:t>
            </w:r>
            <w:r w:rsidRPr="008065A3">
              <w:rPr>
                <w:sz w:val="20"/>
              </w:rPr>
              <w:t>?</w:t>
            </w:r>
          </w:p>
        </w:tc>
      </w:tr>
      <w:tr w:rsidR="00043A5E" w:rsidRPr="008065A3" w:rsidTr="00E3334E">
        <w:tc>
          <w:tcPr>
            <w:tcW w:w="5000" w:type="pct"/>
            <w:gridSpan w:val="4"/>
          </w:tcPr>
          <w:p w:rsidR="00043A5E" w:rsidRPr="008065A3" w:rsidRDefault="00043A5E" w:rsidP="00043A5E">
            <w:pPr>
              <w:jc w:val="both"/>
              <w:rPr>
                <w:sz w:val="20"/>
              </w:rPr>
            </w:pPr>
          </w:p>
        </w:tc>
      </w:tr>
      <w:tr w:rsidR="00043A5E" w:rsidRPr="008065A3" w:rsidTr="00E3334E">
        <w:tc>
          <w:tcPr>
            <w:tcW w:w="5000" w:type="pct"/>
            <w:gridSpan w:val="4"/>
          </w:tcPr>
          <w:p w:rsidR="00043A5E" w:rsidRPr="008065A3" w:rsidRDefault="00043A5E" w:rsidP="00043A5E">
            <w:pPr>
              <w:jc w:val="both"/>
              <w:rPr>
                <w:sz w:val="20"/>
              </w:rPr>
            </w:pPr>
            <w:r w:rsidRPr="008065A3">
              <w:rPr>
                <w:sz w:val="20"/>
              </w:rPr>
              <w:t xml:space="preserve">Shortly after a verbal altercation inside a night club, a group of about 10 people encircled Mr. Strasser-Hird in the club’s parking lot and assaulted him. He was injured and took shelter inside the club. The group remained outside the front door of the club yelling insults and threats. Mr. Gervais was in the group outside the club but left briefly before rejoining the group. He then went to a back alley and spoke momentarily with the occupant of a car. Mr. Strasser-Hird and two friends exited the club through a back door into the back alley.  The group blocked his egress, corralled him against a dumpster, attacked him and prevented others from going to his aid. He suffered multiple, significant blunt force injuries. The trial judge held that Mr. Gervais stabbed Mr. Strasser-Hird four times during the beating and the stab wounds caused Mr. Strasser-Hird’s death. Mr. Gervais was found guilty of causing death during a forcible confinement and convicted of first degree murder under s. 231(5)(e) of the </w:t>
            </w:r>
            <w:r w:rsidRPr="008065A3">
              <w:rPr>
                <w:i/>
                <w:sz w:val="20"/>
              </w:rPr>
              <w:t>Criminal Code</w:t>
            </w:r>
            <w:r w:rsidRPr="008065A3">
              <w:rPr>
                <w:sz w:val="20"/>
              </w:rPr>
              <w:t xml:space="preserve">. His sentence included a 25-year period of parole ineligibility. His appeal from conviction was dismissed. </w:t>
            </w:r>
          </w:p>
          <w:p w:rsidR="00043A5E" w:rsidRPr="008065A3" w:rsidRDefault="00043A5E" w:rsidP="00043A5E">
            <w:pPr>
              <w:jc w:val="both"/>
              <w:rPr>
                <w:sz w:val="20"/>
              </w:rPr>
            </w:pPr>
          </w:p>
        </w:tc>
      </w:tr>
      <w:tr w:rsidR="00043A5E" w:rsidRPr="008065A3" w:rsidTr="00E3334E">
        <w:tc>
          <w:tcPr>
            <w:tcW w:w="2427" w:type="pct"/>
            <w:gridSpan w:val="2"/>
          </w:tcPr>
          <w:p w:rsidR="00043A5E" w:rsidRPr="008065A3" w:rsidRDefault="00043A5E" w:rsidP="00043A5E">
            <w:pPr>
              <w:jc w:val="both"/>
              <w:rPr>
                <w:sz w:val="20"/>
              </w:rPr>
            </w:pPr>
            <w:r w:rsidRPr="008065A3">
              <w:rPr>
                <w:sz w:val="20"/>
              </w:rPr>
              <w:t>May 8, 2019</w:t>
            </w:r>
          </w:p>
          <w:p w:rsidR="00043A5E" w:rsidRPr="008065A3" w:rsidRDefault="00043A5E" w:rsidP="00043A5E">
            <w:pPr>
              <w:jc w:val="both"/>
              <w:rPr>
                <w:sz w:val="20"/>
              </w:rPr>
            </w:pPr>
            <w:r w:rsidRPr="008065A3">
              <w:rPr>
                <w:sz w:val="20"/>
              </w:rPr>
              <w:t>Court of Queen’s Bench of Alberta</w:t>
            </w:r>
          </w:p>
          <w:p w:rsidR="00043A5E" w:rsidRPr="008065A3" w:rsidRDefault="00043A5E" w:rsidP="00043A5E">
            <w:pPr>
              <w:jc w:val="both"/>
              <w:rPr>
                <w:sz w:val="20"/>
              </w:rPr>
            </w:pPr>
            <w:r w:rsidRPr="008065A3">
              <w:rPr>
                <w:sz w:val="20"/>
              </w:rPr>
              <w:t>(</w:t>
            </w:r>
            <w:proofErr w:type="spellStart"/>
            <w:r w:rsidRPr="008065A3">
              <w:rPr>
                <w:sz w:val="20"/>
              </w:rPr>
              <w:t>Tilleman</w:t>
            </w:r>
            <w:proofErr w:type="spellEnd"/>
            <w:r w:rsidRPr="008065A3">
              <w:rPr>
                <w:sz w:val="20"/>
              </w:rPr>
              <w:t xml:space="preserve"> J.)</w:t>
            </w:r>
          </w:p>
          <w:p w:rsidR="00043A5E" w:rsidRPr="008065A3" w:rsidRDefault="00043A5E" w:rsidP="00043A5E">
            <w:pPr>
              <w:jc w:val="both"/>
              <w:rPr>
                <w:sz w:val="20"/>
              </w:rPr>
            </w:pPr>
            <w:hyperlink r:id="rId40" w:history="1">
              <w:r w:rsidRPr="008065A3">
                <w:rPr>
                  <w:rStyle w:val="Hyperlink"/>
                  <w:sz w:val="20"/>
                </w:rPr>
                <w:t>2019 ABQB 344</w:t>
              </w:r>
            </w:hyperlink>
          </w:p>
          <w:p w:rsidR="00043A5E" w:rsidRPr="008065A3" w:rsidRDefault="00043A5E" w:rsidP="00043A5E">
            <w:pPr>
              <w:jc w:val="both"/>
              <w:rPr>
                <w:sz w:val="20"/>
              </w:rPr>
            </w:pPr>
          </w:p>
        </w:tc>
        <w:tc>
          <w:tcPr>
            <w:tcW w:w="243" w:type="pct"/>
          </w:tcPr>
          <w:p w:rsidR="00043A5E" w:rsidRPr="008065A3" w:rsidRDefault="00043A5E" w:rsidP="00043A5E">
            <w:pPr>
              <w:jc w:val="both"/>
              <w:rPr>
                <w:sz w:val="20"/>
              </w:rPr>
            </w:pPr>
          </w:p>
        </w:tc>
        <w:tc>
          <w:tcPr>
            <w:tcW w:w="2330" w:type="pct"/>
          </w:tcPr>
          <w:p w:rsidR="00043A5E" w:rsidRPr="008065A3" w:rsidRDefault="00043A5E" w:rsidP="00043A5E">
            <w:pPr>
              <w:jc w:val="both"/>
              <w:rPr>
                <w:sz w:val="20"/>
              </w:rPr>
            </w:pPr>
            <w:r w:rsidRPr="008065A3">
              <w:rPr>
                <w:sz w:val="20"/>
              </w:rPr>
              <w:t>Conviction for first degree murder</w:t>
            </w:r>
          </w:p>
          <w:p w:rsidR="00043A5E" w:rsidRPr="008065A3" w:rsidRDefault="00043A5E" w:rsidP="00043A5E">
            <w:pPr>
              <w:jc w:val="both"/>
              <w:rPr>
                <w:sz w:val="20"/>
              </w:rPr>
            </w:pPr>
          </w:p>
        </w:tc>
      </w:tr>
      <w:tr w:rsidR="00043A5E" w:rsidRPr="008065A3" w:rsidTr="00E3334E">
        <w:tc>
          <w:tcPr>
            <w:tcW w:w="2427" w:type="pct"/>
            <w:gridSpan w:val="2"/>
          </w:tcPr>
          <w:p w:rsidR="00043A5E" w:rsidRPr="008065A3" w:rsidRDefault="00043A5E" w:rsidP="00043A5E">
            <w:pPr>
              <w:jc w:val="both"/>
              <w:rPr>
                <w:sz w:val="20"/>
              </w:rPr>
            </w:pPr>
            <w:r w:rsidRPr="008065A3">
              <w:rPr>
                <w:sz w:val="20"/>
              </w:rPr>
              <w:t>June 1, 2020</w:t>
            </w:r>
          </w:p>
          <w:p w:rsidR="00043A5E" w:rsidRPr="008065A3" w:rsidRDefault="00043A5E" w:rsidP="00043A5E">
            <w:pPr>
              <w:jc w:val="both"/>
              <w:rPr>
                <w:sz w:val="20"/>
              </w:rPr>
            </w:pPr>
            <w:r w:rsidRPr="008065A3">
              <w:rPr>
                <w:sz w:val="20"/>
              </w:rPr>
              <w:t>Court of Appeal of Alberta (Calgary)</w:t>
            </w:r>
          </w:p>
          <w:p w:rsidR="00043A5E" w:rsidRPr="008065A3" w:rsidRDefault="00043A5E" w:rsidP="00043A5E">
            <w:pPr>
              <w:jc w:val="both"/>
              <w:rPr>
                <w:sz w:val="20"/>
              </w:rPr>
            </w:pPr>
            <w:r w:rsidRPr="008065A3">
              <w:rPr>
                <w:sz w:val="20"/>
              </w:rPr>
              <w:t>(Paperny, O'Ferrall, Hughes JJ.A.)</w:t>
            </w:r>
          </w:p>
          <w:p w:rsidR="00043A5E" w:rsidRPr="008065A3" w:rsidRDefault="00043A5E" w:rsidP="00043A5E">
            <w:pPr>
              <w:jc w:val="both"/>
              <w:rPr>
                <w:sz w:val="20"/>
                <w:lang w:val="en"/>
              </w:rPr>
            </w:pPr>
            <w:hyperlink r:id="rId41" w:history="1">
              <w:r w:rsidRPr="008065A3">
                <w:rPr>
                  <w:rStyle w:val="Hyperlink"/>
                  <w:sz w:val="20"/>
                </w:rPr>
                <w:t>2020 ABCA 221;</w:t>
              </w:r>
            </w:hyperlink>
            <w:r w:rsidRPr="008065A3">
              <w:rPr>
                <w:sz w:val="20"/>
              </w:rPr>
              <w:t xml:space="preserve"> </w:t>
            </w:r>
            <w:r w:rsidRPr="008065A3">
              <w:rPr>
                <w:sz w:val="20"/>
                <w:lang w:val="en"/>
              </w:rPr>
              <w:t>1901-0182-A</w:t>
            </w:r>
          </w:p>
          <w:p w:rsidR="00043A5E" w:rsidRPr="008065A3" w:rsidRDefault="00043A5E" w:rsidP="00043A5E">
            <w:pPr>
              <w:jc w:val="both"/>
              <w:rPr>
                <w:sz w:val="20"/>
              </w:rPr>
            </w:pPr>
          </w:p>
        </w:tc>
        <w:tc>
          <w:tcPr>
            <w:tcW w:w="243" w:type="pct"/>
          </w:tcPr>
          <w:p w:rsidR="00043A5E" w:rsidRPr="008065A3" w:rsidRDefault="00043A5E" w:rsidP="00043A5E">
            <w:pPr>
              <w:jc w:val="both"/>
              <w:rPr>
                <w:sz w:val="20"/>
              </w:rPr>
            </w:pPr>
          </w:p>
        </w:tc>
        <w:tc>
          <w:tcPr>
            <w:tcW w:w="2330" w:type="pct"/>
          </w:tcPr>
          <w:p w:rsidR="00043A5E" w:rsidRPr="008065A3" w:rsidRDefault="00043A5E" w:rsidP="00043A5E">
            <w:pPr>
              <w:jc w:val="both"/>
              <w:rPr>
                <w:sz w:val="20"/>
              </w:rPr>
            </w:pPr>
            <w:r w:rsidRPr="008065A3">
              <w:rPr>
                <w:sz w:val="20"/>
              </w:rPr>
              <w:t>Appeal from conviction dismissed</w:t>
            </w:r>
          </w:p>
          <w:p w:rsidR="00043A5E" w:rsidRPr="008065A3" w:rsidRDefault="00043A5E" w:rsidP="00043A5E">
            <w:pPr>
              <w:jc w:val="both"/>
              <w:rPr>
                <w:sz w:val="20"/>
              </w:rPr>
            </w:pPr>
          </w:p>
        </w:tc>
      </w:tr>
      <w:tr w:rsidR="00043A5E" w:rsidRPr="008065A3" w:rsidTr="00E3334E">
        <w:tc>
          <w:tcPr>
            <w:tcW w:w="2427" w:type="pct"/>
            <w:gridSpan w:val="2"/>
          </w:tcPr>
          <w:p w:rsidR="00043A5E" w:rsidRPr="008065A3" w:rsidRDefault="00043A5E" w:rsidP="00043A5E">
            <w:pPr>
              <w:jc w:val="both"/>
              <w:rPr>
                <w:sz w:val="20"/>
              </w:rPr>
            </w:pPr>
            <w:r w:rsidRPr="008065A3">
              <w:rPr>
                <w:sz w:val="20"/>
              </w:rPr>
              <w:t>October 23, 2020</w:t>
            </w:r>
          </w:p>
          <w:p w:rsidR="00043A5E" w:rsidRPr="008065A3" w:rsidRDefault="00043A5E" w:rsidP="00043A5E">
            <w:pPr>
              <w:jc w:val="both"/>
              <w:rPr>
                <w:sz w:val="20"/>
              </w:rPr>
            </w:pPr>
            <w:r w:rsidRPr="008065A3">
              <w:rPr>
                <w:sz w:val="20"/>
              </w:rPr>
              <w:t>Supreme Court of Canada</w:t>
            </w:r>
          </w:p>
        </w:tc>
        <w:tc>
          <w:tcPr>
            <w:tcW w:w="243" w:type="pct"/>
          </w:tcPr>
          <w:p w:rsidR="00043A5E" w:rsidRPr="008065A3" w:rsidRDefault="00043A5E" w:rsidP="00043A5E">
            <w:pPr>
              <w:jc w:val="both"/>
              <w:rPr>
                <w:sz w:val="20"/>
              </w:rPr>
            </w:pPr>
          </w:p>
        </w:tc>
        <w:tc>
          <w:tcPr>
            <w:tcW w:w="2330" w:type="pct"/>
          </w:tcPr>
          <w:p w:rsidR="00043A5E" w:rsidRPr="008065A3" w:rsidRDefault="00043A5E" w:rsidP="00043A5E">
            <w:pPr>
              <w:jc w:val="both"/>
              <w:rPr>
                <w:sz w:val="20"/>
              </w:rPr>
            </w:pPr>
            <w:r w:rsidRPr="008065A3">
              <w:rPr>
                <w:sz w:val="20"/>
              </w:rPr>
              <w:t>Motion for extension of time to serve and file application for leave to appeal and Application for leave to appeal filed</w:t>
            </w:r>
          </w:p>
        </w:tc>
      </w:tr>
    </w:tbl>
    <w:p w:rsidR="00043A5E" w:rsidRPr="008065A3" w:rsidRDefault="00043A5E" w:rsidP="00043A5E">
      <w:pPr>
        <w:jc w:val="both"/>
        <w:rPr>
          <w:sz w:val="20"/>
        </w:rPr>
      </w:pPr>
    </w:p>
    <w:p w:rsidR="0047018E" w:rsidRPr="008065A3" w:rsidRDefault="0047018E" w:rsidP="00043A5E">
      <w:pPr>
        <w:jc w:val="both"/>
        <w:rPr>
          <w:sz w:val="20"/>
        </w:rPr>
      </w:pPr>
      <w:r w:rsidRPr="008065A3">
        <w:rPr>
          <w:sz w:val="20"/>
        </w:rPr>
        <w:lastRenderedPageBreak/>
        <w:pict>
          <v:rect id="_x0000_i1063" style="width:2in;height:1pt" o:hrpct="0" o:hralign="center" o:hrstd="t" o:hrnoshade="t" o:hr="t" fillcolor="black [3213]" stroked="f"/>
        </w:pict>
      </w:r>
    </w:p>
    <w:p w:rsidR="0047018E" w:rsidRPr="008065A3" w:rsidRDefault="0047018E" w:rsidP="00043A5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3A5E" w:rsidRPr="008065A3" w:rsidTr="00E3334E">
        <w:tc>
          <w:tcPr>
            <w:tcW w:w="543" w:type="pct"/>
          </w:tcPr>
          <w:p w:rsidR="00043A5E" w:rsidRPr="008065A3" w:rsidRDefault="00043A5E" w:rsidP="00043A5E">
            <w:pPr>
              <w:jc w:val="both"/>
              <w:rPr>
                <w:sz w:val="20"/>
                <w:lang w:val="fr-CA"/>
              </w:rPr>
            </w:pPr>
            <w:r w:rsidRPr="008065A3">
              <w:rPr>
                <w:rStyle w:val="SCCFileNumberChar"/>
                <w:sz w:val="20"/>
                <w:szCs w:val="20"/>
                <w:lang w:val="fr-CA"/>
              </w:rPr>
              <w:t>39366</w:t>
            </w:r>
          </w:p>
        </w:tc>
        <w:tc>
          <w:tcPr>
            <w:tcW w:w="4457" w:type="pct"/>
            <w:gridSpan w:val="3"/>
          </w:tcPr>
          <w:p w:rsidR="00043A5E" w:rsidRPr="008065A3" w:rsidRDefault="00043A5E" w:rsidP="00043A5E">
            <w:pPr>
              <w:pStyle w:val="SCCLsocParty"/>
              <w:jc w:val="both"/>
              <w:rPr>
                <w:b/>
                <w:sz w:val="20"/>
                <w:szCs w:val="20"/>
              </w:rPr>
            </w:pPr>
            <w:r w:rsidRPr="008065A3">
              <w:rPr>
                <w:b/>
                <w:sz w:val="20"/>
                <w:szCs w:val="20"/>
              </w:rPr>
              <w:t>Nathan Paul Gervais c. Sa Majesté la Reine</w:t>
            </w:r>
          </w:p>
          <w:p w:rsidR="00043A5E" w:rsidRPr="008065A3" w:rsidRDefault="00043A5E" w:rsidP="00043A5E">
            <w:pPr>
              <w:jc w:val="both"/>
              <w:rPr>
                <w:sz w:val="20"/>
                <w:lang w:val="fr-CA"/>
              </w:rPr>
            </w:pPr>
            <w:r w:rsidRPr="008065A3">
              <w:rPr>
                <w:sz w:val="20"/>
                <w:lang w:val="fr-CA"/>
              </w:rPr>
              <w:t>(Alb.) (Criminelle) (Sur autorisation)</w:t>
            </w:r>
          </w:p>
        </w:tc>
      </w:tr>
      <w:tr w:rsidR="00043A5E" w:rsidRPr="008065A3" w:rsidTr="00E3334E">
        <w:tc>
          <w:tcPr>
            <w:tcW w:w="5000" w:type="pct"/>
            <w:gridSpan w:val="4"/>
          </w:tcPr>
          <w:p w:rsidR="00043A5E" w:rsidRPr="008065A3" w:rsidRDefault="00043A5E" w:rsidP="00043A5E">
            <w:pPr>
              <w:jc w:val="both"/>
              <w:rPr>
                <w:sz w:val="20"/>
                <w:lang w:val="fr-CA"/>
              </w:rPr>
            </w:pPr>
            <w:r w:rsidRPr="008065A3">
              <w:rPr>
                <w:i/>
                <w:sz w:val="20"/>
                <w:lang w:val="fr-CA"/>
              </w:rPr>
              <w:t>Charte des droits et libertés</w:t>
            </w:r>
            <w:r w:rsidRPr="008065A3">
              <w:rPr>
                <w:sz w:val="20"/>
                <w:lang w:val="fr-CA"/>
              </w:rPr>
              <w:t xml:space="preserve"> — Peine cruelle et inusitée — Droit criminel — Meurtre au premier degré par imputation — Meurtre causé en commettant une séquestration — Attaque en essaim — En quoi consiste l’acte continu de séquestration ? — Quels facteurs le tribunal doit</w:t>
            </w:r>
            <w:r w:rsidRPr="008065A3">
              <w:rPr>
                <w:sz w:val="20"/>
                <w:lang w:val="fr-CA"/>
              </w:rPr>
              <w:noBreakHyphen/>
              <w:t>il analyser afin de conclure que la séquestration s’est produite de façon continue ? — De quelle manière faut</w:t>
            </w:r>
            <w:r w:rsidRPr="008065A3">
              <w:rPr>
                <w:sz w:val="20"/>
                <w:lang w:val="fr-CA"/>
              </w:rPr>
              <w:noBreakHyphen/>
              <w:t>il appliquer l’exigence voulant que la séquestration soit continue et suffisamment di</w:t>
            </w:r>
            <w:r w:rsidRPr="008065A3">
              <w:rPr>
                <w:color w:val="000000"/>
                <w:sz w:val="20"/>
                <w:lang w:val="fr-CA"/>
              </w:rPr>
              <w:t xml:space="preserve">stincte de l’acte du meurtre en soi dans le </w:t>
            </w:r>
            <w:r w:rsidRPr="008065A3">
              <w:rPr>
                <w:sz w:val="20"/>
                <w:lang w:val="fr-CA"/>
              </w:rPr>
              <w:t>contexte d’une attaque perpétrée par un groupe ? — Le délai préalable à la libération conditionnelle de 25 ans imposé constituait</w:t>
            </w:r>
            <w:r w:rsidRPr="008065A3">
              <w:rPr>
                <w:sz w:val="20"/>
                <w:lang w:val="fr-CA"/>
              </w:rPr>
              <w:noBreakHyphen/>
              <w:t xml:space="preserve">il une peine exagérément disproportionnée portant atteinte à l’art. 12 de la </w:t>
            </w:r>
            <w:r w:rsidRPr="008065A3">
              <w:rPr>
                <w:i/>
                <w:sz w:val="20"/>
                <w:lang w:val="fr-CA"/>
              </w:rPr>
              <w:t>Charte </w:t>
            </w:r>
            <w:r w:rsidRPr="008065A3">
              <w:rPr>
                <w:sz w:val="20"/>
                <w:lang w:val="fr-CA"/>
              </w:rPr>
              <w:t>?</w:t>
            </w:r>
          </w:p>
        </w:tc>
      </w:tr>
      <w:tr w:rsidR="00043A5E" w:rsidRPr="008065A3" w:rsidTr="00E3334E">
        <w:tc>
          <w:tcPr>
            <w:tcW w:w="5000" w:type="pct"/>
            <w:gridSpan w:val="4"/>
          </w:tcPr>
          <w:p w:rsidR="00043A5E" w:rsidRPr="008065A3" w:rsidRDefault="00043A5E" w:rsidP="00043A5E">
            <w:pPr>
              <w:jc w:val="both"/>
              <w:rPr>
                <w:sz w:val="20"/>
                <w:lang w:val="fr-CA"/>
              </w:rPr>
            </w:pPr>
          </w:p>
        </w:tc>
      </w:tr>
      <w:tr w:rsidR="00043A5E" w:rsidRPr="008065A3" w:rsidTr="00E3334E">
        <w:tc>
          <w:tcPr>
            <w:tcW w:w="5000" w:type="pct"/>
            <w:gridSpan w:val="4"/>
          </w:tcPr>
          <w:p w:rsidR="00043A5E" w:rsidRPr="008065A3" w:rsidRDefault="00043A5E" w:rsidP="00043A5E">
            <w:pPr>
              <w:jc w:val="both"/>
              <w:rPr>
                <w:sz w:val="20"/>
                <w:lang w:val="fr-CA"/>
              </w:rPr>
            </w:pPr>
            <w:r w:rsidRPr="008065A3">
              <w:rPr>
                <w:sz w:val="20"/>
                <w:lang w:val="fr-CA"/>
              </w:rPr>
              <w:t>Peu de temps après une altercation verbale dans une boîte de nuit, un groupe d’environ dix personnes a entouré M. Strasser</w:t>
            </w:r>
            <w:r w:rsidRPr="008065A3">
              <w:rPr>
                <w:sz w:val="20"/>
                <w:lang w:val="fr-CA"/>
              </w:rPr>
              <w:noBreakHyphen/>
              <w:t>Hird dans le stationnement de cette dernière et l’a agressé. Il a été blessé et s’est réfugié à l’intérieur de la boîte de nuit. Le groupe est resté à l’extérieur devant la porte avant, lui lançant des insultes et des menaces. M. Gervais faisait partie du groupe qui était à l’extérieur de la boîte de nuit, mais il a brièvement quitté avant de se joindre à nouveau au groupe. Il s’est ensuite rendu dans une ruelle à l’arrière de la boîte de nuit et s’est entretenu brièvement avec l’occupant d’une automobile. M. Strasser</w:t>
            </w:r>
            <w:r w:rsidRPr="008065A3">
              <w:rPr>
                <w:sz w:val="20"/>
                <w:lang w:val="fr-CA"/>
              </w:rPr>
              <w:noBreakHyphen/>
              <w:t>Hird et deux amis sont sortis de la boîte de nuit par la porte arrière menant à cette ruelle. Le groupe lui a barré le passage, l’a coincé contre une benne à ordures, l’a attaqué et a empêché d’autres personnes de lui porter secours. Il a subi de nombreuses blessures graves provoquées par des coups violents. Le juge de première instance a conclu que M. Gervais a poignardé M. Strasser</w:t>
            </w:r>
            <w:r w:rsidRPr="008065A3">
              <w:rPr>
                <w:sz w:val="20"/>
                <w:lang w:val="fr-CA"/>
              </w:rPr>
              <w:noBreakHyphen/>
              <w:t xml:space="preserve">Hird quatre fois lors de la bagarre et que ces coups de couteau ont provoqué sa mort. M. Gervais a été déclaré coupable de meurtre causé en commettant une séquestration et condamné de meurtre au premier degré en vertu de l’al. 231(5)e) du </w:t>
            </w:r>
            <w:r w:rsidRPr="008065A3">
              <w:rPr>
                <w:i/>
                <w:sz w:val="20"/>
                <w:lang w:val="fr-CA"/>
              </w:rPr>
              <w:t>Code criminel</w:t>
            </w:r>
            <w:r w:rsidRPr="008065A3">
              <w:rPr>
                <w:sz w:val="20"/>
                <w:lang w:val="fr-CA"/>
              </w:rPr>
              <w:t>. Sa peine prévoyait notamment un délai de 25 ans préalable à la libération conditionnelle. L’appel qu’il a interjeté de sa déclaration de culpabilité a été rejeté.</w:t>
            </w:r>
          </w:p>
          <w:p w:rsidR="00043A5E" w:rsidRPr="008065A3" w:rsidRDefault="00043A5E" w:rsidP="00043A5E">
            <w:pPr>
              <w:jc w:val="both"/>
              <w:rPr>
                <w:sz w:val="20"/>
                <w:lang w:val="fr-CA"/>
              </w:rPr>
            </w:pPr>
          </w:p>
        </w:tc>
      </w:tr>
      <w:tr w:rsidR="00043A5E" w:rsidRPr="008065A3" w:rsidTr="00E3334E">
        <w:tc>
          <w:tcPr>
            <w:tcW w:w="2427" w:type="pct"/>
            <w:gridSpan w:val="2"/>
          </w:tcPr>
          <w:p w:rsidR="00043A5E" w:rsidRPr="008065A3" w:rsidRDefault="00043A5E" w:rsidP="00043A5E">
            <w:pPr>
              <w:jc w:val="both"/>
              <w:rPr>
                <w:sz w:val="20"/>
                <w:lang w:val="fr-CA"/>
              </w:rPr>
            </w:pPr>
            <w:r w:rsidRPr="008065A3">
              <w:rPr>
                <w:sz w:val="20"/>
                <w:lang w:val="fr-CA"/>
              </w:rPr>
              <w:t>8 mai 2019</w:t>
            </w:r>
          </w:p>
          <w:p w:rsidR="00043A5E" w:rsidRPr="008065A3" w:rsidRDefault="00043A5E" w:rsidP="00043A5E">
            <w:pPr>
              <w:jc w:val="both"/>
              <w:rPr>
                <w:sz w:val="20"/>
                <w:lang w:val="fr-CA"/>
              </w:rPr>
            </w:pPr>
            <w:r w:rsidRPr="008065A3">
              <w:rPr>
                <w:sz w:val="20"/>
                <w:lang w:val="fr-CA"/>
              </w:rPr>
              <w:t>Cour du Banc de la Reine de l’Alberta</w:t>
            </w:r>
          </w:p>
          <w:p w:rsidR="00043A5E" w:rsidRPr="008065A3" w:rsidRDefault="00043A5E" w:rsidP="00043A5E">
            <w:pPr>
              <w:jc w:val="both"/>
              <w:rPr>
                <w:sz w:val="20"/>
                <w:lang w:val="fr-CA"/>
              </w:rPr>
            </w:pPr>
            <w:r w:rsidRPr="008065A3">
              <w:rPr>
                <w:sz w:val="20"/>
                <w:lang w:val="fr-CA"/>
              </w:rPr>
              <w:t xml:space="preserve">(Juge </w:t>
            </w:r>
            <w:proofErr w:type="spellStart"/>
            <w:r w:rsidRPr="008065A3">
              <w:rPr>
                <w:sz w:val="20"/>
                <w:lang w:val="fr-CA"/>
              </w:rPr>
              <w:t>Tilleman</w:t>
            </w:r>
            <w:proofErr w:type="spellEnd"/>
            <w:r w:rsidRPr="008065A3">
              <w:rPr>
                <w:sz w:val="20"/>
                <w:lang w:val="fr-CA"/>
              </w:rPr>
              <w:t>)</w:t>
            </w:r>
          </w:p>
          <w:p w:rsidR="00043A5E" w:rsidRPr="008065A3" w:rsidRDefault="00043A5E" w:rsidP="00043A5E">
            <w:pPr>
              <w:jc w:val="both"/>
              <w:rPr>
                <w:sz w:val="20"/>
                <w:lang w:val="fr-CA"/>
              </w:rPr>
            </w:pPr>
            <w:hyperlink r:id="rId42" w:history="1">
              <w:r w:rsidRPr="008065A3">
                <w:rPr>
                  <w:rStyle w:val="Hyperlink"/>
                  <w:sz w:val="20"/>
                  <w:lang w:val="fr-CA"/>
                </w:rPr>
                <w:t>2019 ABQB 344</w:t>
              </w:r>
            </w:hyperlink>
          </w:p>
          <w:p w:rsidR="00043A5E" w:rsidRPr="008065A3" w:rsidRDefault="00043A5E" w:rsidP="00043A5E">
            <w:pPr>
              <w:jc w:val="both"/>
              <w:rPr>
                <w:sz w:val="20"/>
                <w:lang w:val="fr-CA"/>
              </w:rPr>
            </w:pPr>
          </w:p>
        </w:tc>
        <w:tc>
          <w:tcPr>
            <w:tcW w:w="243" w:type="pct"/>
          </w:tcPr>
          <w:p w:rsidR="00043A5E" w:rsidRPr="008065A3" w:rsidRDefault="00043A5E" w:rsidP="00043A5E">
            <w:pPr>
              <w:jc w:val="both"/>
              <w:rPr>
                <w:sz w:val="20"/>
                <w:lang w:val="fr-CA"/>
              </w:rPr>
            </w:pPr>
          </w:p>
        </w:tc>
        <w:tc>
          <w:tcPr>
            <w:tcW w:w="2330" w:type="pct"/>
          </w:tcPr>
          <w:p w:rsidR="00043A5E" w:rsidRPr="008065A3" w:rsidRDefault="00043A5E" w:rsidP="00043A5E">
            <w:pPr>
              <w:jc w:val="both"/>
              <w:rPr>
                <w:sz w:val="20"/>
                <w:lang w:val="fr-CA"/>
              </w:rPr>
            </w:pPr>
            <w:r w:rsidRPr="008065A3">
              <w:rPr>
                <w:sz w:val="20"/>
                <w:lang w:val="fr-CA"/>
              </w:rPr>
              <w:t>Déclaration de culpabilité de meurtre au premier degré prononcée.</w:t>
            </w:r>
          </w:p>
          <w:p w:rsidR="00043A5E" w:rsidRPr="008065A3" w:rsidRDefault="00043A5E" w:rsidP="00043A5E">
            <w:pPr>
              <w:jc w:val="both"/>
              <w:rPr>
                <w:sz w:val="20"/>
                <w:lang w:val="fr-CA"/>
              </w:rPr>
            </w:pPr>
          </w:p>
        </w:tc>
      </w:tr>
      <w:tr w:rsidR="00043A5E" w:rsidRPr="008065A3" w:rsidTr="00E3334E">
        <w:tc>
          <w:tcPr>
            <w:tcW w:w="2427" w:type="pct"/>
            <w:gridSpan w:val="2"/>
          </w:tcPr>
          <w:p w:rsidR="00043A5E" w:rsidRPr="008065A3" w:rsidRDefault="00043A5E" w:rsidP="00043A5E">
            <w:pPr>
              <w:jc w:val="both"/>
              <w:rPr>
                <w:sz w:val="20"/>
                <w:lang w:val="fr-CA"/>
              </w:rPr>
            </w:pPr>
            <w:r w:rsidRPr="008065A3">
              <w:rPr>
                <w:sz w:val="20"/>
                <w:lang w:val="fr-CA"/>
              </w:rPr>
              <w:t>1</w:t>
            </w:r>
            <w:r w:rsidRPr="008065A3">
              <w:rPr>
                <w:sz w:val="20"/>
                <w:vertAlign w:val="superscript"/>
                <w:lang w:val="fr-CA"/>
              </w:rPr>
              <w:t>er</w:t>
            </w:r>
            <w:r w:rsidRPr="008065A3">
              <w:rPr>
                <w:sz w:val="20"/>
                <w:lang w:val="fr-CA"/>
              </w:rPr>
              <w:t xml:space="preserve"> juin 2020</w:t>
            </w:r>
          </w:p>
          <w:p w:rsidR="00043A5E" w:rsidRPr="008065A3" w:rsidRDefault="00043A5E" w:rsidP="00043A5E">
            <w:pPr>
              <w:jc w:val="both"/>
              <w:rPr>
                <w:sz w:val="20"/>
                <w:lang w:val="fr-CA"/>
              </w:rPr>
            </w:pPr>
            <w:r w:rsidRPr="008065A3">
              <w:rPr>
                <w:sz w:val="20"/>
                <w:lang w:val="fr-CA"/>
              </w:rPr>
              <w:t>Cour d’appel de l’Alberta (Calgary)</w:t>
            </w:r>
          </w:p>
          <w:p w:rsidR="00043A5E" w:rsidRPr="008065A3" w:rsidRDefault="00043A5E" w:rsidP="00043A5E">
            <w:pPr>
              <w:jc w:val="both"/>
              <w:rPr>
                <w:sz w:val="20"/>
              </w:rPr>
            </w:pPr>
            <w:r w:rsidRPr="008065A3">
              <w:rPr>
                <w:sz w:val="20"/>
              </w:rPr>
              <w:t>(Juges Paperny, O'Ferrall, Hughes)</w:t>
            </w:r>
          </w:p>
          <w:p w:rsidR="00043A5E" w:rsidRPr="008065A3" w:rsidRDefault="00043A5E" w:rsidP="00043A5E">
            <w:pPr>
              <w:jc w:val="both"/>
              <w:rPr>
                <w:sz w:val="20"/>
              </w:rPr>
            </w:pPr>
            <w:hyperlink r:id="rId43" w:history="1">
              <w:r w:rsidRPr="008065A3">
                <w:rPr>
                  <w:rStyle w:val="Hyperlink"/>
                  <w:sz w:val="20"/>
                </w:rPr>
                <w:t>2020 ABCA 221;</w:t>
              </w:r>
            </w:hyperlink>
            <w:r w:rsidRPr="008065A3">
              <w:rPr>
                <w:sz w:val="20"/>
              </w:rPr>
              <w:t xml:space="preserve"> 1901</w:t>
            </w:r>
            <w:r w:rsidRPr="008065A3">
              <w:rPr>
                <w:sz w:val="20"/>
              </w:rPr>
              <w:noBreakHyphen/>
              <w:t>0182</w:t>
            </w:r>
            <w:r w:rsidRPr="008065A3">
              <w:rPr>
                <w:sz w:val="20"/>
              </w:rPr>
              <w:noBreakHyphen/>
              <w:t>A</w:t>
            </w:r>
          </w:p>
          <w:p w:rsidR="00043A5E" w:rsidRPr="008065A3" w:rsidRDefault="00043A5E" w:rsidP="00043A5E">
            <w:pPr>
              <w:jc w:val="both"/>
              <w:rPr>
                <w:sz w:val="20"/>
              </w:rPr>
            </w:pPr>
          </w:p>
        </w:tc>
        <w:tc>
          <w:tcPr>
            <w:tcW w:w="243" w:type="pct"/>
          </w:tcPr>
          <w:p w:rsidR="00043A5E" w:rsidRPr="008065A3" w:rsidRDefault="00043A5E" w:rsidP="00043A5E">
            <w:pPr>
              <w:jc w:val="both"/>
              <w:rPr>
                <w:sz w:val="20"/>
              </w:rPr>
            </w:pPr>
          </w:p>
        </w:tc>
        <w:tc>
          <w:tcPr>
            <w:tcW w:w="2330" w:type="pct"/>
          </w:tcPr>
          <w:p w:rsidR="00043A5E" w:rsidRPr="008065A3" w:rsidRDefault="00043A5E" w:rsidP="00043A5E">
            <w:pPr>
              <w:jc w:val="both"/>
              <w:rPr>
                <w:sz w:val="20"/>
                <w:lang w:val="fr-CA"/>
              </w:rPr>
            </w:pPr>
            <w:r w:rsidRPr="008065A3">
              <w:rPr>
                <w:sz w:val="20"/>
                <w:lang w:val="fr-CA"/>
              </w:rPr>
              <w:t>Appel de la déclaration de culpabilité rejeté.</w:t>
            </w:r>
          </w:p>
          <w:p w:rsidR="00043A5E" w:rsidRPr="008065A3" w:rsidRDefault="00043A5E" w:rsidP="00043A5E">
            <w:pPr>
              <w:jc w:val="both"/>
              <w:rPr>
                <w:sz w:val="20"/>
                <w:lang w:val="fr-CA"/>
              </w:rPr>
            </w:pPr>
          </w:p>
        </w:tc>
      </w:tr>
      <w:tr w:rsidR="00043A5E" w:rsidRPr="008065A3" w:rsidTr="00E3334E">
        <w:tc>
          <w:tcPr>
            <w:tcW w:w="2427" w:type="pct"/>
            <w:gridSpan w:val="2"/>
          </w:tcPr>
          <w:p w:rsidR="00043A5E" w:rsidRPr="008065A3" w:rsidRDefault="00043A5E" w:rsidP="00043A5E">
            <w:pPr>
              <w:jc w:val="both"/>
              <w:rPr>
                <w:sz w:val="20"/>
                <w:lang w:val="fr-CA"/>
              </w:rPr>
            </w:pPr>
            <w:r w:rsidRPr="008065A3">
              <w:rPr>
                <w:sz w:val="20"/>
                <w:lang w:val="fr-CA"/>
              </w:rPr>
              <w:t>23 octobre 2020</w:t>
            </w:r>
          </w:p>
          <w:p w:rsidR="00043A5E" w:rsidRPr="008065A3" w:rsidRDefault="00043A5E" w:rsidP="00043A5E">
            <w:pPr>
              <w:jc w:val="both"/>
              <w:rPr>
                <w:sz w:val="20"/>
                <w:lang w:val="fr-CA"/>
              </w:rPr>
            </w:pPr>
            <w:r w:rsidRPr="008065A3">
              <w:rPr>
                <w:sz w:val="20"/>
                <w:lang w:val="fr-CA"/>
              </w:rPr>
              <w:t>Cour suprême du Canada</w:t>
            </w:r>
          </w:p>
        </w:tc>
        <w:tc>
          <w:tcPr>
            <w:tcW w:w="243" w:type="pct"/>
          </w:tcPr>
          <w:p w:rsidR="00043A5E" w:rsidRPr="008065A3" w:rsidRDefault="00043A5E" w:rsidP="00043A5E">
            <w:pPr>
              <w:jc w:val="both"/>
              <w:rPr>
                <w:sz w:val="20"/>
                <w:lang w:val="fr-CA"/>
              </w:rPr>
            </w:pPr>
          </w:p>
        </w:tc>
        <w:tc>
          <w:tcPr>
            <w:tcW w:w="2330" w:type="pct"/>
          </w:tcPr>
          <w:p w:rsidR="00043A5E" w:rsidRPr="008065A3" w:rsidRDefault="00043A5E" w:rsidP="00043A5E">
            <w:pPr>
              <w:jc w:val="both"/>
              <w:rPr>
                <w:sz w:val="20"/>
                <w:lang w:val="fr-CA"/>
              </w:rPr>
            </w:pPr>
            <w:r w:rsidRPr="008065A3">
              <w:rPr>
                <w:sz w:val="20"/>
                <w:lang w:val="fr-CA"/>
              </w:rPr>
              <w:t xml:space="preserve">Requête en prorogation du délai de signification et de dépôt de la demande d’autorisation d’appel et demande d’autorisation </w:t>
            </w:r>
            <w:proofErr w:type="gramStart"/>
            <w:r w:rsidRPr="008065A3">
              <w:rPr>
                <w:sz w:val="20"/>
                <w:lang w:val="fr-CA"/>
              </w:rPr>
              <w:t>d’appel présentées</w:t>
            </w:r>
            <w:proofErr w:type="gramEnd"/>
            <w:r w:rsidRPr="008065A3">
              <w:rPr>
                <w:sz w:val="20"/>
                <w:lang w:val="fr-CA"/>
              </w:rPr>
              <w:t>.</w:t>
            </w:r>
          </w:p>
        </w:tc>
      </w:tr>
    </w:tbl>
    <w:p w:rsidR="00043A5E" w:rsidRPr="008065A3" w:rsidRDefault="00043A5E" w:rsidP="00043A5E">
      <w:pPr>
        <w:jc w:val="both"/>
        <w:rPr>
          <w:sz w:val="20"/>
          <w:lang w:val="fr-CA"/>
        </w:rPr>
      </w:pPr>
    </w:p>
    <w:p w:rsidR="0047018E" w:rsidRPr="008065A3" w:rsidRDefault="0047018E" w:rsidP="00043A5E">
      <w:pPr>
        <w:jc w:val="both"/>
        <w:rPr>
          <w:sz w:val="20"/>
          <w:lang w:val="fr-CA"/>
        </w:rPr>
      </w:pPr>
      <w:r w:rsidRPr="008065A3">
        <w:rPr>
          <w:sz w:val="20"/>
        </w:rPr>
        <w:pict>
          <v:rect id="_x0000_i1064" style="width:2in;height:1pt" o:hrpct="0" o:hralign="center" o:hrstd="t" o:hrnoshade="t" o:hr="t" fillcolor="black [3213]" stroked="f"/>
        </w:pict>
      </w:r>
    </w:p>
    <w:p w:rsidR="00043A5E" w:rsidRPr="008065A3" w:rsidRDefault="00043A5E" w:rsidP="00043A5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3A5E" w:rsidRPr="008065A3" w:rsidTr="00E3334E">
        <w:tc>
          <w:tcPr>
            <w:tcW w:w="543" w:type="pct"/>
          </w:tcPr>
          <w:p w:rsidR="00043A5E" w:rsidRPr="008065A3" w:rsidRDefault="00043A5E" w:rsidP="00043A5E">
            <w:pPr>
              <w:jc w:val="both"/>
              <w:rPr>
                <w:sz w:val="20"/>
              </w:rPr>
            </w:pPr>
            <w:r w:rsidRPr="008065A3">
              <w:rPr>
                <w:rStyle w:val="SCCFileNumberChar"/>
                <w:sz w:val="20"/>
                <w:szCs w:val="20"/>
              </w:rPr>
              <w:t>39351</w:t>
            </w:r>
          </w:p>
        </w:tc>
        <w:tc>
          <w:tcPr>
            <w:tcW w:w="4457" w:type="pct"/>
            <w:gridSpan w:val="3"/>
          </w:tcPr>
          <w:p w:rsidR="00043A5E" w:rsidRPr="008065A3" w:rsidRDefault="00043A5E" w:rsidP="00043A5E">
            <w:pPr>
              <w:pStyle w:val="SCCLsocParty"/>
              <w:jc w:val="both"/>
              <w:rPr>
                <w:b/>
                <w:sz w:val="20"/>
                <w:szCs w:val="20"/>
                <w:lang w:val="en-US"/>
              </w:rPr>
            </w:pPr>
            <w:r w:rsidRPr="008065A3">
              <w:rPr>
                <w:b/>
                <w:sz w:val="20"/>
                <w:szCs w:val="20"/>
                <w:lang w:val="en-US"/>
              </w:rPr>
              <w:t xml:space="preserve">Chris Hughes v. Horizon Health </w:t>
            </w:r>
            <w:r w:rsidR="0047018E" w:rsidRPr="008065A3">
              <w:rPr>
                <w:b/>
                <w:sz w:val="20"/>
                <w:szCs w:val="20"/>
                <w:lang w:val="en-US"/>
              </w:rPr>
              <w:t>Authority B, doing business as Horizon Health Network and the Saint John Regional Hospital</w:t>
            </w:r>
          </w:p>
          <w:p w:rsidR="00043A5E" w:rsidRPr="008065A3" w:rsidRDefault="00043A5E" w:rsidP="00043A5E">
            <w:pPr>
              <w:jc w:val="both"/>
              <w:rPr>
                <w:sz w:val="20"/>
              </w:rPr>
            </w:pPr>
            <w:r w:rsidRPr="008065A3">
              <w:rPr>
                <w:sz w:val="20"/>
              </w:rPr>
              <w:t>(N.B.) (Civil) (By Leave)</w:t>
            </w:r>
          </w:p>
        </w:tc>
      </w:tr>
      <w:tr w:rsidR="00043A5E" w:rsidRPr="008065A3" w:rsidTr="00E3334E">
        <w:tc>
          <w:tcPr>
            <w:tcW w:w="5000" w:type="pct"/>
            <w:gridSpan w:val="4"/>
          </w:tcPr>
          <w:p w:rsidR="00043A5E" w:rsidRPr="008065A3" w:rsidRDefault="00043A5E" w:rsidP="00043A5E">
            <w:pPr>
              <w:jc w:val="both"/>
              <w:rPr>
                <w:sz w:val="20"/>
              </w:rPr>
            </w:pPr>
            <w:r w:rsidRPr="008065A3">
              <w:rPr>
                <w:i/>
                <w:sz w:val="20"/>
              </w:rPr>
              <w:t>Charter of Rights</w:t>
            </w:r>
            <w:r w:rsidRPr="008065A3">
              <w:rPr>
                <w:sz w:val="20"/>
              </w:rPr>
              <w:t xml:space="preserve"> — Right to security of the person — Judgments and orders — Summary judgment — Applicant alleging that while he was a patient in hospital, he was drugged into a coma</w:t>
            </w:r>
            <w:r w:rsidRPr="008065A3">
              <w:rPr>
                <w:sz w:val="20"/>
              </w:rPr>
              <w:noBreakHyphen/>
              <w:t xml:space="preserve">like state then sexually assaulted by nursing staff — Applicant’s action for damages dismissed on respondent’s motion for summary judgment — Whether applicant’s section 7 </w:t>
            </w:r>
            <w:r w:rsidRPr="008065A3">
              <w:rPr>
                <w:i/>
                <w:sz w:val="20"/>
              </w:rPr>
              <w:t>Charter</w:t>
            </w:r>
            <w:r w:rsidRPr="008065A3">
              <w:rPr>
                <w:sz w:val="20"/>
              </w:rPr>
              <w:t xml:space="preserve"> rights were violated — Whether Court of Appeal addressed the issue of administration of quetiapine to applicant — Whether Court of Appeal dismissed diagnosis of admitting doctor — Whether Court of Appeal failed  to consider lack of duty counsel in New Brunswick and dangerous atmosphere in hospital</w:t>
            </w:r>
          </w:p>
        </w:tc>
      </w:tr>
      <w:tr w:rsidR="00043A5E" w:rsidRPr="008065A3" w:rsidTr="00E3334E">
        <w:tc>
          <w:tcPr>
            <w:tcW w:w="5000" w:type="pct"/>
            <w:gridSpan w:val="4"/>
          </w:tcPr>
          <w:p w:rsidR="00043A5E" w:rsidRPr="008065A3" w:rsidRDefault="00043A5E" w:rsidP="00043A5E">
            <w:pPr>
              <w:jc w:val="both"/>
              <w:rPr>
                <w:sz w:val="20"/>
              </w:rPr>
            </w:pPr>
          </w:p>
        </w:tc>
      </w:tr>
      <w:tr w:rsidR="00043A5E" w:rsidRPr="008065A3" w:rsidTr="00E3334E">
        <w:tc>
          <w:tcPr>
            <w:tcW w:w="5000" w:type="pct"/>
            <w:gridSpan w:val="4"/>
          </w:tcPr>
          <w:p w:rsidR="00043A5E" w:rsidRPr="008065A3" w:rsidRDefault="00043A5E" w:rsidP="0047018E">
            <w:pPr>
              <w:jc w:val="both"/>
              <w:rPr>
                <w:sz w:val="20"/>
              </w:rPr>
            </w:pPr>
            <w:r w:rsidRPr="008065A3">
              <w:rPr>
                <w:sz w:val="20"/>
                <w:lang w:val="en"/>
              </w:rPr>
              <w:t xml:space="preserve">The applicant, Mr. Hughes </w:t>
            </w:r>
            <w:r w:rsidRPr="008065A3">
              <w:rPr>
                <w:sz w:val="20"/>
              </w:rPr>
              <w:t>alleged that while he was a patient in hospital, he was drugged into a coma</w:t>
            </w:r>
            <w:r w:rsidRPr="008065A3">
              <w:rPr>
                <w:sz w:val="20"/>
              </w:rPr>
              <w:noBreakHyphen/>
              <w:t>like state then sexually assaulted by nursing staff</w:t>
            </w:r>
            <w:r w:rsidRPr="008065A3">
              <w:rPr>
                <w:sz w:val="20"/>
                <w:lang w:val="en"/>
              </w:rPr>
              <w:t xml:space="preserve"> of the Regional Health Authority B, which carries on business as Horizon Health </w:t>
            </w:r>
            <w:r w:rsidRPr="008065A3">
              <w:rPr>
                <w:sz w:val="20"/>
                <w:lang w:val="en"/>
              </w:rPr>
              <w:lastRenderedPageBreak/>
              <w:t xml:space="preserve">Network and the Saint John Regional Hospital (collectively “Horizon”). Later, Mr. Hughes maintained that the notes taken by the attending physician, Dr. Keyes, in the emergency unit provided conclusive proof he had been sexually assaulted while he slept. In its investigation, Horizon found no evidence to support Mr. Hughes’ claims. Mr. Hughes reported the alleged assault to the police. The Chief of Police advised Mr. Hughes that neither of its two investigators discovered any evidence to support his allegations. Mr. Hughes commenced an action against the respondent, claiming damages of $1 million for the alleged sexual assault. The respondent defended the claim and brought a motion for summary judgment. </w:t>
            </w:r>
            <w:r w:rsidRPr="008065A3">
              <w:rPr>
                <w:sz w:val="20"/>
              </w:rPr>
              <w:t xml:space="preserve">The motion judge determined that there was no genuine issue for trial, granted the respondent’s motion and dismissed the applicant’s action for damages. </w:t>
            </w:r>
            <w:r w:rsidRPr="008065A3">
              <w:rPr>
                <w:sz w:val="20"/>
                <w:lang w:val="en"/>
              </w:rPr>
              <w:t xml:space="preserve">The motion judge rejected the assertion that Dr. Keyes’ notes proved Mr. Hughes had been assaulted. </w:t>
            </w:r>
            <w:r w:rsidRPr="008065A3">
              <w:rPr>
                <w:sz w:val="20"/>
              </w:rPr>
              <w:t>This decision was upheld on appeal.</w:t>
            </w:r>
          </w:p>
          <w:p w:rsidR="00043A5E" w:rsidRPr="008065A3" w:rsidRDefault="00043A5E" w:rsidP="00043A5E">
            <w:pPr>
              <w:jc w:val="both"/>
              <w:rPr>
                <w:sz w:val="20"/>
              </w:rPr>
            </w:pPr>
          </w:p>
        </w:tc>
      </w:tr>
      <w:tr w:rsidR="00043A5E" w:rsidRPr="008065A3" w:rsidTr="00E3334E">
        <w:tc>
          <w:tcPr>
            <w:tcW w:w="2427" w:type="pct"/>
            <w:gridSpan w:val="2"/>
          </w:tcPr>
          <w:p w:rsidR="00043A5E" w:rsidRPr="008065A3" w:rsidRDefault="00043A5E" w:rsidP="00043A5E">
            <w:pPr>
              <w:jc w:val="both"/>
              <w:rPr>
                <w:sz w:val="20"/>
              </w:rPr>
            </w:pPr>
            <w:r w:rsidRPr="008065A3">
              <w:rPr>
                <w:sz w:val="20"/>
              </w:rPr>
              <w:lastRenderedPageBreak/>
              <w:t>December 18, 2019</w:t>
            </w:r>
          </w:p>
          <w:p w:rsidR="00043A5E" w:rsidRPr="008065A3" w:rsidRDefault="00043A5E" w:rsidP="00043A5E">
            <w:pPr>
              <w:jc w:val="both"/>
              <w:rPr>
                <w:sz w:val="20"/>
              </w:rPr>
            </w:pPr>
            <w:r w:rsidRPr="008065A3">
              <w:rPr>
                <w:sz w:val="20"/>
              </w:rPr>
              <w:t>Court of Queen’s Bench of New Brunswick</w:t>
            </w:r>
          </w:p>
          <w:p w:rsidR="00043A5E" w:rsidRPr="008065A3" w:rsidRDefault="00043A5E" w:rsidP="00043A5E">
            <w:pPr>
              <w:jc w:val="both"/>
              <w:rPr>
                <w:sz w:val="20"/>
              </w:rPr>
            </w:pPr>
            <w:r w:rsidRPr="008065A3">
              <w:rPr>
                <w:sz w:val="20"/>
              </w:rPr>
              <w:t>(McLellan J.)</w:t>
            </w:r>
          </w:p>
          <w:p w:rsidR="00043A5E" w:rsidRPr="008065A3" w:rsidRDefault="00043A5E" w:rsidP="00043A5E">
            <w:pPr>
              <w:jc w:val="both"/>
              <w:rPr>
                <w:sz w:val="20"/>
              </w:rPr>
            </w:pPr>
            <w:r w:rsidRPr="008065A3">
              <w:rPr>
                <w:sz w:val="20"/>
              </w:rPr>
              <w:t>Unreported</w:t>
            </w:r>
          </w:p>
          <w:p w:rsidR="00043A5E" w:rsidRPr="008065A3" w:rsidRDefault="00043A5E" w:rsidP="00043A5E">
            <w:pPr>
              <w:jc w:val="both"/>
              <w:rPr>
                <w:sz w:val="20"/>
              </w:rPr>
            </w:pPr>
          </w:p>
        </w:tc>
        <w:tc>
          <w:tcPr>
            <w:tcW w:w="243" w:type="pct"/>
          </w:tcPr>
          <w:p w:rsidR="00043A5E" w:rsidRPr="008065A3" w:rsidRDefault="00043A5E" w:rsidP="00043A5E">
            <w:pPr>
              <w:jc w:val="both"/>
              <w:rPr>
                <w:sz w:val="20"/>
              </w:rPr>
            </w:pPr>
          </w:p>
        </w:tc>
        <w:tc>
          <w:tcPr>
            <w:tcW w:w="2330" w:type="pct"/>
          </w:tcPr>
          <w:p w:rsidR="00043A5E" w:rsidRPr="008065A3" w:rsidRDefault="00043A5E" w:rsidP="00043A5E">
            <w:pPr>
              <w:jc w:val="both"/>
              <w:rPr>
                <w:sz w:val="20"/>
              </w:rPr>
            </w:pPr>
            <w:r w:rsidRPr="008065A3">
              <w:rPr>
                <w:sz w:val="20"/>
              </w:rPr>
              <w:t>Respondent’s motion for summary judgment granted; Applicant’s action for damages dismissed</w:t>
            </w:r>
          </w:p>
        </w:tc>
      </w:tr>
      <w:tr w:rsidR="00043A5E" w:rsidRPr="008065A3" w:rsidTr="00E3334E">
        <w:tc>
          <w:tcPr>
            <w:tcW w:w="2427" w:type="pct"/>
            <w:gridSpan w:val="2"/>
          </w:tcPr>
          <w:p w:rsidR="00043A5E" w:rsidRPr="008065A3" w:rsidRDefault="00043A5E" w:rsidP="00043A5E">
            <w:pPr>
              <w:jc w:val="both"/>
              <w:rPr>
                <w:sz w:val="20"/>
              </w:rPr>
            </w:pPr>
            <w:r w:rsidRPr="008065A3">
              <w:rPr>
                <w:sz w:val="20"/>
              </w:rPr>
              <w:t>July 30, 2020</w:t>
            </w:r>
          </w:p>
          <w:p w:rsidR="00043A5E" w:rsidRPr="008065A3" w:rsidRDefault="00043A5E" w:rsidP="00043A5E">
            <w:pPr>
              <w:jc w:val="both"/>
              <w:rPr>
                <w:sz w:val="20"/>
              </w:rPr>
            </w:pPr>
            <w:r w:rsidRPr="008065A3">
              <w:rPr>
                <w:sz w:val="20"/>
              </w:rPr>
              <w:t>Court of Appeal of New Brunswick</w:t>
            </w:r>
          </w:p>
          <w:p w:rsidR="00043A5E" w:rsidRPr="008065A3" w:rsidRDefault="00043A5E" w:rsidP="00043A5E">
            <w:pPr>
              <w:jc w:val="both"/>
              <w:rPr>
                <w:sz w:val="20"/>
              </w:rPr>
            </w:pPr>
            <w:r w:rsidRPr="008065A3">
              <w:rPr>
                <w:sz w:val="20"/>
              </w:rPr>
              <w:t>(French, Green and LeBlond JJ.A.)</w:t>
            </w:r>
          </w:p>
          <w:p w:rsidR="00043A5E" w:rsidRPr="008065A3" w:rsidRDefault="00043A5E" w:rsidP="00043A5E">
            <w:pPr>
              <w:jc w:val="both"/>
              <w:rPr>
                <w:sz w:val="20"/>
              </w:rPr>
            </w:pPr>
            <w:hyperlink r:id="rId44" w:history="1">
              <w:r w:rsidRPr="008065A3">
                <w:rPr>
                  <w:rStyle w:val="Hyperlink"/>
                  <w:sz w:val="20"/>
                </w:rPr>
                <w:t>2020 NBCA 53</w:t>
              </w:r>
            </w:hyperlink>
          </w:p>
          <w:p w:rsidR="00043A5E" w:rsidRPr="008065A3" w:rsidRDefault="00043A5E" w:rsidP="00043A5E">
            <w:pPr>
              <w:jc w:val="both"/>
              <w:rPr>
                <w:sz w:val="20"/>
              </w:rPr>
            </w:pPr>
          </w:p>
        </w:tc>
        <w:tc>
          <w:tcPr>
            <w:tcW w:w="243" w:type="pct"/>
          </w:tcPr>
          <w:p w:rsidR="00043A5E" w:rsidRPr="008065A3" w:rsidRDefault="00043A5E" w:rsidP="00043A5E">
            <w:pPr>
              <w:jc w:val="both"/>
              <w:rPr>
                <w:sz w:val="20"/>
              </w:rPr>
            </w:pPr>
          </w:p>
        </w:tc>
        <w:tc>
          <w:tcPr>
            <w:tcW w:w="2330" w:type="pct"/>
          </w:tcPr>
          <w:p w:rsidR="00043A5E" w:rsidRPr="008065A3" w:rsidRDefault="00043A5E" w:rsidP="00043A5E">
            <w:pPr>
              <w:jc w:val="both"/>
              <w:rPr>
                <w:sz w:val="20"/>
              </w:rPr>
            </w:pPr>
            <w:r w:rsidRPr="008065A3">
              <w:rPr>
                <w:sz w:val="20"/>
              </w:rPr>
              <w:t>Applicant’s appeal dismissed</w:t>
            </w:r>
          </w:p>
          <w:p w:rsidR="00043A5E" w:rsidRPr="008065A3" w:rsidRDefault="00043A5E" w:rsidP="00043A5E">
            <w:pPr>
              <w:jc w:val="both"/>
              <w:rPr>
                <w:sz w:val="20"/>
              </w:rPr>
            </w:pPr>
          </w:p>
        </w:tc>
      </w:tr>
      <w:tr w:rsidR="00043A5E" w:rsidRPr="008065A3" w:rsidTr="00E3334E">
        <w:tc>
          <w:tcPr>
            <w:tcW w:w="2427" w:type="pct"/>
            <w:gridSpan w:val="2"/>
          </w:tcPr>
          <w:p w:rsidR="00043A5E" w:rsidRPr="008065A3" w:rsidRDefault="00043A5E" w:rsidP="00043A5E">
            <w:pPr>
              <w:jc w:val="both"/>
              <w:rPr>
                <w:sz w:val="20"/>
              </w:rPr>
            </w:pPr>
            <w:r w:rsidRPr="008065A3">
              <w:rPr>
                <w:sz w:val="20"/>
              </w:rPr>
              <w:t>August 24, 2020</w:t>
            </w:r>
          </w:p>
          <w:p w:rsidR="00043A5E" w:rsidRPr="008065A3" w:rsidRDefault="00043A5E" w:rsidP="00043A5E">
            <w:pPr>
              <w:jc w:val="both"/>
              <w:rPr>
                <w:sz w:val="20"/>
              </w:rPr>
            </w:pPr>
            <w:r w:rsidRPr="008065A3">
              <w:rPr>
                <w:sz w:val="20"/>
              </w:rPr>
              <w:t>Supreme Court of Canada</w:t>
            </w:r>
          </w:p>
        </w:tc>
        <w:tc>
          <w:tcPr>
            <w:tcW w:w="243" w:type="pct"/>
          </w:tcPr>
          <w:p w:rsidR="00043A5E" w:rsidRPr="008065A3" w:rsidRDefault="00043A5E" w:rsidP="00043A5E">
            <w:pPr>
              <w:jc w:val="both"/>
              <w:rPr>
                <w:sz w:val="20"/>
              </w:rPr>
            </w:pPr>
          </w:p>
        </w:tc>
        <w:tc>
          <w:tcPr>
            <w:tcW w:w="2330" w:type="pct"/>
          </w:tcPr>
          <w:p w:rsidR="00043A5E" w:rsidRPr="008065A3" w:rsidRDefault="00043A5E" w:rsidP="00043A5E">
            <w:pPr>
              <w:jc w:val="both"/>
              <w:rPr>
                <w:sz w:val="20"/>
              </w:rPr>
            </w:pPr>
            <w:r w:rsidRPr="008065A3">
              <w:rPr>
                <w:sz w:val="20"/>
              </w:rPr>
              <w:t>Application for leave to appeal filed</w:t>
            </w:r>
          </w:p>
          <w:p w:rsidR="00043A5E" w:rsidRPr="008065A3" w:rsidRDefault="00043A5E" w:rsidP="00043A5E">
            <w:pPr>
              <w:jc w:val="both"/>
              <w:rPr>
                <w:sz w:val="20"/>
              </w:rPr>
            </w:pPr>
          </w:p>
        </w:tc>
      </w:tr>
    </w:tbl>
    <w:p w:rsidR="00043A5E" w:rsidRPr="008065A3" w:rsidRDefault="00043A5E" w:rsidP="00043A5E">
      <w:pPr>
        <w:jc w:val="both"/>
        <w:rPr>
          <w:sz w:val="20"/>
        </w:rPr>
      </w:pPr>
    </w:p>
    <w:p w:rsidR="0047018E" w:rsidRPr="008065A3" w:rsidRDefault="0047018E" w:rsidP="00043A5E">
      <w:pPr>
        <w:jc w:val="both"/>
        <w:rPr>
          <w:sz w:val="20"/>
        </w:rPr>
      </w:pPr>
      <w:r w:rsidRPr="008065A3">
        <w:rPr>
          <w:sz w:val="20"/>
        </w:rPr>
        <w:pict>
          <v:rect id="_x0000_i1065" style="width:2in;height:1pt" o:hrpct="0" o:hralign="center" o:hrstd="t" o:hrnoshade="t" o:hr="t" fillcolor="black [3213]" stroked="f"/>
        </w:pict>
      </w:r>
    </w:p>
    <w:p w:rsidR="0047018E" w:rsidRPr="008065A3" w:rsidRDefault="0047018E" w:rsidP="00043A5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3A5E" w:rsidRPr="008065A3" w:rsidTr="00E3334E">
        <w:tc>
          <w:tcPr>
            <w:tcW w:w="543" w:type="pct"/>
          </w:tcPr>
          <w:p w:rsidR="00043A5E" w:rsidRPr="008065A3" w:rsidRDefault="00043A5E" w:rsidP="00043A5E">
            <w:pPr>
              <w:jc w:val="both"/>
              <w:rPr>
                <w:sz w:val="20"/>
                <w:lang w:val="fr-CA"/>
              </w:rPr>
            </w:pPr>
            <w:r w:rsidRPr="008065A3">
              <w:rPr>
                <w:rStyle w:val="SCCFileNumberChar"/>
                <w:sz w:val="20"/>
                <w:szCs w:val="20"/>
                <w:lang w:val="fr-CA"/>
              </w:rPr>
              <w:t>39351</w:t>
            </w:r>
          </w:p>
        </w:tc>
        <w:tc>
          <w:tcPr>
            <w:tcW w:w="4457" w:type="pct"/>
            <w:gridSpan w:val="3"/>
          </w:tcPr>
          <w:p w:rsidR="00043A5E" w:rsidRPr="008065A3" w:rsidRDefault="00043A5E" w:rsidP="00043A5E">
            <w:pPr>
              <w:pStyle w:val="SCCLsocParty"/>
              <w:jc w:val="both"/>
              <w:rPr>
                <w:b/>
                <w:sz w:val="20"/>
                <w:szCs w:val="20"/>
              </w:rPr>
            </w:pPr>
            <w:r w:rsidRPr="008065A3">
              <w:rPr>
                <w:b/>
                <w:sz w:val="20"/>
                <w:szCs w:val="20"/>
              </w:rPr>
              <w:t xml:space="preserve">Chris Hughes c. </w:t>
            </w:r>
            <w:r w:rsidR="0047018E" w:rsidRPr="008065A3">
              <w:rPr>
                <w:b/>
                <w:sz w:val="20"/>
                <w:szCs w:val="20"/>
              </w:rPr>
              <w:t>Régie régionale de la santé B, faisant affaire sous le nom de Réseau de santé Horizon et Hôpital régional de Saint John</w:t>
            </w:r>
          </w:p>
          <w:p w:rsidR="00043A5E" w:rsidRPr="008065A3" w:rsidRDefault="00043A5E" w:rsidP="00043A5E">
            <w:pPr>
              <w:jc w:val="both"/>
              <w:rPr>
                <w:sz w:val="20"/>
                <w:lang w:val="fr-CA"/>
              </w:rPr>
            </w:pPr>
            <w:r w:rsidRPr="008065A3">
              <w:rPr>
                <w:sz w:val="20"/>
                <w:lang w:val="fr-CA"/>
              </w:rPr>
              <w:t>(N.-B.) (Civile) (Sur autorisation)</w:t>
            </w:r>
          </w:p>
        </w:tc>
      </w:tr>
      <w:tr w:rsidR="00043A5E" w:rsidRPr="008065A3" w:rsidTr="00E3334E">
        <w:tc>
          <w:tcPr>
            <w:tcW w:w="5000" w:type="pct"/>
            <w:gridSpan w:val="4"/>
          </w:tcPr>
          <w:p w:rsidR="00043A5E" w:rsidRPr="008065A3" w:rsidRDefault="00043A5E" w:rsidP="00043A5E">
            <w:pPr>
              <w:jc w:val="both"/>
              <w:rPr>
                <w:sz w:val="20"/>
                <w:lang w:val="fr-CA"/>
              </w:rPr>
            </w:pPr>
            <w:r w:rsidRPr="008065A3">
              <w:rPr>
                <w:i/>
                <w:sz w:val="20"/>
                <w:lang w:val="fr-CA"/>
              </w:rPr>
              <w:t>Charte des droits</w:t>
            </w:r>
            <w:r w:rsidRPr="008065A3">
              <w:rPr>
                <w:sz w:val="20"/>
                <w:lang w:val="fr-CA"/>
              </w:rPr>
              <w:t xml:space="preserve"> — </w:t>
            </w:r>
            <w:r w:rsidRPr="008065A3">
              <w:rPr>
                <w:iCs/>
                <w:sz w:val="20"/>
                <w:lang w:val="fr-FR"/>
              </w:rPr>
              <w:t>Droit à la sécurité de la personne</w:t>
            </w:r>
            <w:r w:rsidRPr="008065A3">
              <w:rPr>
                <w:sz w:val="20"/>
                <w:lang w:val="fr-CA"/>
              </w:rPr>
              <w:t xml:space="preserve"> — Jugements et ordonnances — Jugement sommaire — Le demandeur allègue que pendant son hospitalisation, il a été drogué jusqu’à ce qu’il tombe dans un sommeil comateux, et puis agressé sexuellement par le personnel infirmier — L’action du demandeur en dommages</w:t>
            </w:r>
            <w:r w:rsidRPr="008065A3">
              <w:rPr>
                <w:sz w:val="20"/>
                <w:lang w:val="fr-CA"/>
              </w:rPr>
              <w:noBreakHyphen/>
              <w:t>intérêts est rejetée dans le cadre d’une motion en jugement sommaire présentée par l’intimé — A</w:t>
            </w:r>
            <w:r w:rsidRPr="008065A3">
              <w:rPr>
                <w:sz w:val="20"/>
                <w:lang w:val="fr-CA"/>
              </w:rPr>
              <w:noBreakHyphen/>
              <w:t>t</w:t>
            </w:r>
            <w:r w:rsidRPr="008065A3">
              <w:rPr>
                <w:sz w:val="20"/>
                <w:lang w:val="fr-CA"/>
              </w:rPr>
              <w:noBreakHyphen/>
              <w:t xml:space="preserve">il été porté atteinte aux droits du demandeur protégés par l’article 7 de la </w:t>
            </w:r>
            <w:r w:rsidRPr="008065A3">
              <w:rPr>
                <w:i/>
                <w:sz w:val="20"/>
                <w:lang w:val="fr-CA"/>
              </w:rPr>
              <w:t>Charte </w:t>
            </w:r>
            <w:r w:rsidRPr="008065A3">
              <w:rPr>
                <w:sz w:val="20"/>
                <w:lang w:val="fr-CA"/>
              </w:rPr>
              <w:t>? — La Cour d’appel a</w:t>
            </w:r>
            <w:r w:rsidRPr="008065A3">
              <w:rPr>
                <w:sz w:val="20"/>
                <w:lang w:val="fr-CA"/>
              </w:rPr>
              <w:noBreakHyphen/>
              <w:t>t</w:t>
            </w:r>
            <w:r w:rsidRPr="008065A3">
              <w:rPr>
                <w:sz w:val="20"/>
                <w:lang w:val="fr-CA"/>
              </w:rPr>
              <w:noBreakHyphen/>
              <w:t>elle examiné la question de l’administration de quétiapine au demandeur ? — La Cour d’appel a</w:t>
            </w:r>
            <w:r w:rsidRPr="008065A3">
              <w:rPr>
                <w:sz w:val="20"/>
                <w:lang w:val="fr-CA"/>
              </w:rPr>
              <w:noBreakHyphen/>
              <w:t>t</w:t>
            </w:r>
            <w:r w:rsidRPr="008065A3">
              <w:rPr>
                <w:sz w:val="20"/>
                <w:lang w:val="fr-CA"/>
              </w:rPr>
              <w:noBreakHyphen/>
              <w:t>elle rejeté le diagnostic du médecin recommandant l’admission ? — La Cour d’appel a</w:t>
            </w:r>
            <w:r w:rsidRPr="008065A3">
              <w:rPr>
                <w:sz w:val="20"/>
                <w:lang w:val="fr-CA"/>
              </w:rPr>
              <w:noBreakHyphen/>
              <w:t>t</w:t>
            </w:r>
            <w:r w:rsidRPr="008065A3">
              <w:rPr>
                <w:sz w:val="20"/>
                <w:lang w:val="fr-CA"/>
              </w:rPr>
              <w:noBreakHyphen/>
              <w:t>elle omis d’examiner le manque d’avocats de service au Nouveau</w:t>
            </w:r>
            <w:r w:rsidRPr="008065A3">
              <w:rPr>
                <w:sz w:val="20"/>
                <w:lang w:val="fr-CA"/>
              </w:rPr>
              <w:noBreakHyphen/>
              <w:t>Brunswick et l’atmosphère dangereuse de l’hôpital ?</w:t>
            </w:r>
          </w:p>
        </w:tc>
      </w:tr>
      <w:tr w:rsidR="00043A5E" w:rsidRPr="008065A3" w:rsidTr="00E3334E">
        <w:tc>
          <w:tcPr>
            <w:tcW w:w="5000" w:type="pct"/>
            <w:gridSpan w:val="4"/>
          </w:tcPr>
          <w:p w:rsidR="00043A5E" w:rsidRPr="008065A3" w:rsidRDefault="00043A5E" w:rsidP="00043A5E">
            <w:pPr>
              <w:jc w:val="both"/>
              <w:rPr>
                <w:sz w:val="20"/>
                <w:lang w:val="fr-CA"/>
              </w:rPr>
            </w:pPr>
          </w:p>
        </w:tc>
      </w:tr>
      <w:tr w:rsidR="00043A5E" w:rsidRPr="008065A3" w:rsidTr="00E3334E">
        <w:tc>
          <w:tcPr>
            <w:tcW w:w="5000" w:type="pct"/>
            <w:gridSpan w:val="4"/>
          </w:tcPr>
          <w:p w:rsidR="00043A5E" w:rsidRPr="008065A3" w:rsidRDefault="00043A5E" w:rsidP="0047018E">
            <w:pPr>
              <w:jc w:val="both"/>
              <w:rPr>
                <w:sz w:val="20"/>
                <w:lang w:val="fr-CA"/>
              </w:rPr>
            </w:pPr>
            <w:r w:rsidRPr="008065A3">
              <w:rPr>
                <w:sz w:val="20"/>
                <w:lang w:val="fr-CA"/>
              </w:rPr>
              <w:t>Le demandeur, M. Hughes a allégué que pendant son hospitalisation, il avait été drogué jusqu’à ce qu’il tombe dans un sommeil comateux, et puis agressé sexuellement par le personnel infirmier de la Régie régionale de la santé B, faisant affaire sous le nom de Réseau de santé Horizon et Hôpital régional de Saint John (collectivement, « Horizon »). Plus tard, M. Hughes a fait valoir que les notes prises par le médecin traitant, le Dr Keyes, au service des urgences prouvaient de façon conclusive qu’il avait été agressé sexuellement pendant qu’il dormait. Au cours de son enquête, Horizon n’a trouvé aucun élément de preuve étayant les allégations de M. Hughes. Ce dernier a porté plainte à la police concernant la prétendue agression. Le chef de la police a avisé M. Hughes que ni l’un ni l’autre des deux enquêteurs n’avait découvert de preuve à l’appui de ses allégations. M. Hughes a intenté une action contre l’intimé, réclamant des dommages-intérêts d’un million de dollars pour l’agression sexuelle alléguée. L’intimé a contesté la demande et a présenté une motion en jugement sommaire. Le juge saisi de la motion a conclu qu’il n’existait pas de véritable question nécessitant la tenue d’un procès, a accueilli la motion de l’intimé et a rejeté l’action en dommages-intérêts du demandeur. Le juge de la motion a rejeté l’affirmation selon laquelle les notes du Dr Keyes prouvaient que M. Hughes avait été agressé. Sa décision a été confirmée en appel.</w:t>
            </w:r>
          </w:p>
          <w:p w:rsidR="00043A5E" w:rsidRPr="008065A3" w:rsidRDefault="00043A5E" w:rsidP="00043A5E">
            <w:pPr>
              <w:jc w:val="both"/>
              <w:rPr>
                <w:sz w:val="20"/>
                <w:lang w:val="fr-CA"/>
              </w:rPr>
            </w:pPr>
          </w:p>
        </w:tc>
      </w:tr>
      <w:tr w:rsidR="00043A5E" w:rsidRPr="008065A3" w:rsidTr="00E3334E">
        <w:tc>
          <w:tcPr>
            <w:tcW w:w="2427" w:type="pct"/>
            <w:gridSpan w:val="2"/>
          </w:tcPr>
          <w:p w:rsidR="00043A5E" w:rsidRPr="008065A3" w:rsidRDefault="00043A5E" w:rsidP="00043A5E">
            <w:pPr>
              <w:jc w:val="both"/>
              <w:rPr>
                <w:sz w:val="20"/>
                <w:lang w:val="fr-CA"/>
              </w:rPr>
            </w:pPr>
            <w:r w:rsidRPr="008065A3">
              <w:rPr>
                <w:sz w:val="20"/>
                <w:lang w:val="fr-CA"/>
              </w:rPr>
              <w:t>18 décembre 2019</w:t>
            </w:r>
          </w:p>
          <w:p w:rsidR="00043A5E" w:rsidRPr="008065A3" w:rsidRDefault="00043A5E" w:rsidP="00043A5E">
            <w:pPr>
              <w:jc w:val="both"/>
              <w:rPr>
                <w:sz w:val="20"/>
                <w:lang w:val="fr-CA"/>
              </w:rPr>
            </w:pPr>
            <w:r w:rsidRPr="008065A3">
              <w:rPr>
                <w:sz w:val="20"/>
                <w:lang w:val="fr-CA"/>
              </w:rPr>
              <w:t>Cour du Banc de la Reine du Nouveau</w:t>
            </w:r>
            <w:r w:rsidRPr="008065A3">
              <w:rPr>
                <w:sz w:val="20"/>
                <w:lang w:val="fr-CA"/>
              </w:rPr>
              <w:noBreakHyphen/>
              <w:t>Brunswick</w:t>
            </w:r>
          </w:p>
          <w:p w:rsidR="00043A5E" w:rsidRPr="008065A3" w:rsidRDefault="00043A5E" w:rsidP="00043A5E">
            <w:pPr>
              <w:jc w:val="both"/>
              <w:rPr>
                <w:sz w:val="20"/>
                <w:lang w:val="fr-CA"/>
              </w:rPr>
            </w:pPr>
            <w:r w:rsidRPr="008065A3">
              <w:rPr>
                <w:sz w:val="20"/>
                <w:lang w:val="fr-CA"/>
              </w:rPr>
              <w:t>(Juge McLellan)</w:t>
            </w:r>
          </w:p>
          <w:p w:rsidR="00043A5E" w:rsidRPr="008065A3" w:rsidRDefault="00043A5E" w:rsidP="00043A5E">
            <w:pPr>
              <w:jc w:val="both"/>
              <w:rPr>
                <w:sz w:val="20"/>
                <w:lang w:val="fr-CA"/>
              </w:rPr>
            </w:pPr>
            <w:r w:rsidRPr="008065A3">
              <w:rPr>
                <w:sz w:val="20"/>
                <w:lang w:val="fr-CA"/>
              </w:rPr>
              <w:t>Non publié</w:t>
            </w:r>
          </w:p>
          <w:p w:rsidR="00043A5E" w:rsidRPr="008065A3" w:rsidRDefault="00043A5E" w:rsidP="00043A5E">
            <w:pPr>
              <w:jc w:val="both"/>
              <w:rPr>
                <w:sz w:val="20"/>
                <w:lang w:val="fr-CA"/>
              </w:rPr>
            </w:pPr>
          </w:p>
        </w:tc>
        <w:tc>
          <w:tcPr>
            <w:tcW w:w="243" w:type="pct"/>
          </w:tcPr>
          <w:p w:rsidR="00043A5E" w:rsidRPr="008065A3" w:rsidRDefault="00043A5E" w:rsidP="00043A5E">
            <w:pPr>
              <w:jc w:val="both"/>
              <w:rPr>
                <w:sz w:val="20"/>
                <w:lang w:val="fr-CA"/>
              </w:rPr>
            </w:pPr>
          </w:p>
        </w:tc>
        <w:tc>
          <w:tcPr>
            <w:tcW w:w="2330" w:type="pct"/>
          </w:tcPr>
          <w:p w:rsidR="00043A5E" w:rsidRPr="008065A3" w:rsidRDefault="00043A5E" w:rsidP="00043A5E">
            <w:pPr>
              <w:jc w:val="both"/>
              <w:rPr>
                <w:sz w:val="20"/>
                <w:lang w:val="fr-CA"/>
              </w:rPr>
            </w:pPr>
            <w:r w:rsidRPr="008065A3">
              <w:rPr>
                <w:sz w:val="20"/>
                <w:lang w:val="fr-CA"/>
              </w:rPr>
              <w:t>La motion en jugement sommaire de l’intimé est accueillie; l’action en dommages</w:t>
            </w:r>
            <w:r w:rsidRPr="008065A3">
              <w:rPr>
                <w:sz w:val="20"/>
                <w:lang w:val="fr-CA"/>
              </w:rPr>
              <w:noBreakHyphen/>
              <w:t>intérêts du demandeur est rejetée.</w:t>
            </w:r>
          </w:p>
        </w:tc>
      </w:tr>
      <w:tr w:rsidR="00043A5E" w:rsidRPr="008065A3" w:rsidTr="00E3334E">
        <w:tc>
          <w:tcPr>
            <w:tcW w:w="2427" w:type="pct"/>
            <w:gridSpan w:val="2"/>
          </w:tcPr>
          <w:p w:rsidR="00043A5E" w:rsidRPr="008065A3" w:rsidRDefault="00043A5E" w:rsidP="00043A5E">
            <w:pPr>
              <w:jc w:val="both"/>
              <w:rPr>
                <w:sz w:val="20"/>
                <w:lang w:val="fr-CA"/>
              </w:rPr>
            </w:pPr>
            <w:r w:rsidRPr="008065A3">
              <w:rPr>
                <w:sz w:val="20"/>
                <w:lang w:val="fr-CA"/>
              </w:rPr>
              <w:lastRenderedPageBreak/>
              <w:t>30 juillet 2020</w:t>
            </w:r>
          </w:p>
          <w:p w:rsidR="00043A5E" w:rsidRPr="008065A3" w:rsidRDefault="00043A5E" w:rsidP="00043A5E">
            <w:pPr>
              <w:jc w:val="both"/>
              <w:rPr>
                <w:sz w:val="20"/>
                <w:lang w:val="fr-CA"/>
              </w:rPr>
            </w:pPr>
            <w:r w:rsidRPr="008065A3">
              <w:rPr>
                <w:sz w:val="20"/>
                <w:lang w:val="fr-CA"/>
              </w:rPr>
              <w:t>Cour d’appel du Nouveau</w:t>
            </w:r>
            <w:r w:rsidRPr="008065A3">
              <w:rPr>
                <w:sz w:val="20"/>
                <w:lang w:val="fr-CA"/>
              </w:rPr>
              <w:noBreakHyphen/>
              <w:t>Brunswick</w:t>
            </w:r>
          </w:p>
          <w:p w:rsidR="00043A5E" w:rsidRPr="008065A3" w:rsidRDefault="00043A5E" w:rsidP="00043A5E">
            <w:pPr>
              <w:jc w:val="both"/>
              <w:rPr>
                <w:sz w:val="20"/>
                <w:lang w:val="fr-CA"/>
              </w:rPr>
            </w:pPr>
            <w:r w:rsidRPr="008065A3">
              <w:rPr>
                <w:sz w:val="20"/>
                <w:lang w:val="fr-CA"/>
              </w:rPr>
              <w:t xml:space="preserve">(Juges French, Green et </w:t>
            </w:r>
            <w:proofErr w:type="spellStart"/>
            <w:r w:rsidRPr="008065A3">
              <w:rPr>
                <w:sz w:val="20"/>
                <w:lang w:val="fr-CA"/>
              </w:rPr>
              <w:t>LeBlond</w:t>
            </w:r>
            <w:proofErr w:type="spellEnd"/>
            <w:r w:rsidRPr="008065A3">
              <w:rPr>
                <w:sz w:val="20"/>
                <w:lang w:val="fr-CA"/>
              </w:rPr>
              <w:t>)</w:t>
            </w:r>
          </w:p>
          <w:p w:rsidR="00043A5E" w:rsidRPr="008065A3" w:rsidRDefault="00043A5E" w:rsidP="00043A5E">
            <w:pPr>
              <w:jc w:val="both"/>
              <w:rPr>
                <w:sz w:val="20"/>
                <w:lang w:val="fr-CA"/>
              </w:rPr>
            </w:pPr>
            <w:hyperlink r:id="rId45" w:history="1">
              <w:r w:rsidRPr="008065A3">
                <w:rPr>
                  <w:rStyle w:val="Hyperlink"/>
                  <w:sz w:val="20"/>
                  <w:lang w:val="fr-CA"/>
                </w:rPr>
                <w:t>2020 NBCA 53</w:t>
              </w:r>
            </w:hyperlink>
          </w:p>
          <w:p w:rsidR="00043A5E" w:rsidRPr="008065A3" w:rsidRDefault="00043A5E" w:rsidP="00043A5E">
            <w:pPr>
              <w:jc w:val="both"/>
              <w:rPr>
                <w:sz w:val="20"/>
                <w:lang w:val="fr-CA"/>
              </w:rPr>
            </w:pPr>
          </w:p>
        </w:tc>
        <w:tc>
          <w:tcPr>
            <w:tcW w:w="243" w:type="pct"/>
          </w:tcPr>
          <w:p w:rsidR="00043A5E" w:rsidRPr="008065A3" w:rsidRDefault="00043A5E" w:rsidP="00043A5E">
            <w:pPr>
              <w:jc w:val="both"/>
              <w:rPr>
                <w:sz w:val="20"/>
                <w:lang w:val="fr-CA"/>
              </w:rPr>
            </w:pPr>
          </w:p>
        </w:tc>
        <w:tc>
          <w:tcPr>
            <w:tcW w:w="2330" w:type="pct"/>
          </w:tcPr>
          <w:p w:rsidR="00043A5E" w:rsidRPr="008065A3" w:rsidRDefault="00043A5E" w:rsidP="00043A5E">
            <w:pPr>
              <w:jc w:val="both"/>
              <w:rPr>
                <w:sz w:val="20"/>
                <w:lang w:val="fr-CA"/>
              </w:rPr>
            </w:pPr>
            <w:r w:rsidRPr="008065A3">
              <w:rPr>
                <w:sz w:val="20"/>
                <w:lang w:val="fr-CA"/>
              </w:rPr>
              <w:t>L’appel du demandeur est rejeté.</w:t>
            </w:r>
          </w:p>
          <w:p w:rsidR="00043A5E" w:rsidRPr="008065A3" w:rsidRDefault="00043A5E" w:rsidP="00043A5E">
            <w:pPr>
              <w:jc w:val="both"/>
              <w:rPr>
                <w:sz w:val="20"/>
                <w:lang w:val="fr-CA"/>
              </w:rPr>
            </w:pPr>
          </w:p>
        </w:tc>
      </w:tr>
      <w:tr w:rsidR="00043A5E" w:rsidRPr="008065A3" w:rsidTr="00E3334E">
        <w:tc>
          <w:tcPr>
            <w:tcW w:w="2427" w:type="pct"/>
            <w:gridSpan w:val="2"/>
          </w:tcPr>
          <w:p w:rsidR="00043A5E" w:rsidRPr="008065A3" w:rsidRDefault="00043A5E" w:rsidP="00043A5E">
            <w:pPr>
              <w:jc w:val="both"/>
              <w:rPr>
                <w:sz w:val="20"/>
                <w:lang w:val="fr-CA"/>
              </w:rPr>
            </w:pPr>
            <w:r w:rsidRPr="008065A3">
              <w:rPr>
                <w:sz w:val="20"/>
                <w:lang w:val="fr-CA"/>
              </w:rPr>
              <w:t>24 août 2020</w:t>
            </w:r>
          </w:p>
          <w:p w:rsidR="00043A5E" w:rsidRPr="008065A3" w:rsidRDefault="00043A5E" w:rsidP="00043A5E">
            <w:pPr>
              <w:jc w:val="both"/>
              <w:rPr>
                <w:sz w:val="20"/>
                <w:lang w:val="fr-CA"/>
              </w:rPr>
            </w:pPr>
            <w:r w:rsidRPr="008065A3">
              <w:rPr>
                <w:sz w:val="20"/>
                <w:lang w:val="fr-CA"/>
              </w:rPr>
              <w:t>Cour suprême du Canada</w:t>
            </w:r>
          </w:p>
        </w:tc>
        <w:tc>
          <w:tcPr>
            <w:tcW w:w="243" w:type="pct"/>
          </w:tcPr>
          <w:p w:rsidR="00043A5E" w:rsidRPr="008065A3" w:rsidRDefault="00043A5E" w:rsidP="00043A5E">
            <w:pPr>
              <w:jc w:val="both"/>
              <w:rPr>
                <w:sz w:val="20"/>
                <w:lang w:val="fr-CA"/>
              </w:rPr>
            </w:pPr>
          </w:p>
        </w:tc>
        <w:tc>
          <w:tcPr>
            <w:tcW w:w="2330" w:type="pct"/>
          </w:tcPr>
          <w:p w:rsidR="00043A5E" w:rsidRPr="008065A3" w:rsidRDefault="00043A5E" w:rsidP="00043A5E">
            <w:pPr>
              <w:jc w:val="both"/>
              <w:rPr>
                <w:sz w:val="20"/>
                <w:lang w:val="fr-CA"/>
              </w:rPr>
            </w:pPr>
            <w:r w:rsidRPr="008065A3">
              <w:rPr>
                <w:sz w:val="20"/>
                <w:lang w:val="fr-CA"/>
              </w:rPr>
              <w:t>La demande d’autorisation d’appel est présentée.</w:t>
            </w:r>
          </w:p>
          <w:p w:rsidR="00043A5E" w:rsidRPr="008065A3" w:rsidRDefault="00043A5E" w:rsidP="00043A5E">
            <w:pPr>
              <w:jc w:val="both"/>
              <w:rPr>
                <w:sz w:val="20"/>
                <w:lang w:val="fr-CA"/>
              </w:rPr>
            </w:pPr>
          </w:p>
        </w:tc>
      </w:tr>
    </w:tbl>
    <w:p w:rsidR="00043A5E" w:rsidRPr="008065A3" w:rsidRDefault="00043A5E" w:rsidP="00043A5E">
      <w:pPr>
        <w:jc w:val="both"/>
        <w:rPr>
          <w:sz w:val="20"/>
          <w:lang w:val="fr-CA"/>
        </w:rPr>
      </w:pPr>
    </w:p>
    <w:p w:rsidR="00043A5E" w:rsidRPr="008065A3" w:rsidRDefault="0047018E" w:rsidP="00043A5E">
      <w:pPr>
        <w:jc w:val="both"/>
        <w:rPr>
          <w:sz w:val="20"/>
          <w:lang w:val="fr-CA"/>
        </w:rPr>
      </w:pPr>
      <w:r w:rsidRPr="008065A3">
        <w:rPr>
          <w:sz w:val="20"/>
        </w:rPr>
        <w:pict>
          <v:rect id="_x0000_i1066" style="width:2in;height:1pt" o:hrpct="0" o:hralign="center" o:hrstd="t" o:hrnoshade="t" o:hr="t" fillcolor="black [3213]" stroked="f"/>
        </w:pict>
      </w:r>
    </w:p>
    <w:p w:rsidR="00043A5E" w:rsidRPr="008065A3" w:rsidRDefault="00043A5E" w:rsidP="00043A5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3A5E" w:rsidRPr="008065A3" w:rsidTr="00E3334E">
        <w:tc>
          <w:tcPr>
            <w:tcW w:w="543" w:type="pct"/>
          </w:tcPr>
          <w:p w:rsidR="00043A5E" w:rsidRPr="008065A3" w:rsidRDefault="00043A5E" w:rsidP="00043A5E">
            <w:pPr>
              <w:jc w:val="both"/>
              <w:rPr>
                <w:sz w:val="20"/>
              </w:rPr>
            </w:pPr>
            <w:r w:rsidRPr="008065A3">
              <w:rPr>
                <w:rStyle w:val="SCCFileNumberChar"/>
                <w:sz w:val="20"/>
                <w:szCs w:val="20"/>
              </w:rPr>
              <w:t>39288</w:t>
            </w:r>
          </w:p>
        </w:tc>
        <w:tc>
          <w:tcPr>
            <w:tcW w:w="4457" w:type="pct"/>
            <w:gridSpan w:val="3"/>
          </w:tcPr>
          <w:p w:rsidR="00043A5E" w:rsidRPr="008065A3" w:rsidRDefault="00043A5E" w:rsidP="00043A5E">
            <w:pPr>
              <w:pStyle w:val="SCCLsocParty"/>
              <w:jc w:val="both"/>
              <w:rPr>
                <w:b/>
                <w:sz w:val="20"/>
                <w:szCs w:val="20"/>
                <w:lang w:val="en-US"/>
              </w:rPr>
            </w:pPr>
            <w:r w:rsidRPr="008065A3">
              <w:rPr>
                <w:b/>
                <w:sz w:val="20"/>
                <w:szCs w:val="20"/>
                <w:lang w:val="en-US"/>
              </w:rPr>
              <w:t>Roman Catholic Episcopal Corporation of the Diocese of London in Ontario, John Michael Sherlock, Anthony Daniels v. Irene Deschenes</w:t>
            </w:r>
          </w:p>
          <w:p w:rsidR="00043A5E" w:rsidRPr="008065A3" w:rsidRDefault="00043A5E" w:rsidP="00043A5E">
            <w:pPr>
              <w:jc w:val="both"/>
              <w:rPr>
                <w:sz w:val="20"/>
              </w:rPr>
            </w:pPr>
            <w:r w:rsidRPr="008065A3">
              <w:rPr>
                <w:sz w:val="20"/>
              </w:rPr>
              <w:t>(Ont.) (Civil) (By Leave)</w:t>
            </w:r>
          </w:p>
        </w:tc>
      </w:tr>
      <w:tr w:rsidR="00043A5E" w:rsidRPr="008065A3" w:rsidTr="00E3334E">
        <w:tc>
          <w:tcPr>
            <w:tcW w:w="5000" w:type="pct"/>
            <w:gridSpan w:val="4"/>
          </w:tcPr>
          <w:p w:rsidR="00043A5E" w:rsidRPr="008065A3" w:rsidRDefault="00043A5E" w:rsidP="00043A5E">
            <w:pPr>
              <w:jc w:val="both"/>
              <w:rPr>
                <w:sz w:val="20"/>
              </w:rPr>
            </w:pPr>
            <w:r w:rsidRPr="008065A3">
              <w:rPr>
                <w:sz w:val="20"/>
              </w:rPr>
              <w:t>Contracts — Remedies — Rescission — Innocent misrepresentation — What is the proper legal framework to determine whether an innocent representation justifies rescission of a contract —What degree of materiality is required for an innocent misrepresentation to trigger rescission —Have the lower courts essentially imposed partial rescission — How should the framework for rescission in the instance of innocent misrepresentation be addressed against the principle of finality of settlements?</w:t>
            </w:r>
          </w:p>
        </w:tc>
      </w:tr>
      <w:tr w:rsidR="00043A5E" w:rsidRPr="008065A3" w:rsidTr="00E3334E">
        <w:tc>
          <w:tcPr>
            <w:tcW w:w="5000" w:type="pct"/>
            <w:gridSpan w:val="4"/>
          </w:tcPr>
          <w:p w:rsidR="00043A5E" w:rsidRPr="008065A3" w:rsidRDefault="00043A5E" w:rsidP="00043A5E">
            <w:pPr>
              <w:jc w:val="both"/>
              <w:rPr>
                <w:sz w:val="20"/>
              </w:rPr>
            </w:pPr>
          </w:p>
        </w:tc>
      </w:tr>
      <w:tr w:rsidR="00043A5E" w:rsidRPr="008065A3" w:rsidTr="00E3334E">
        <w:tc>
          <w:tcPr>
            <w:tcW w:w="5000" w:type="pct"/>
            <w:gridSpan w:val="4"/>
          </w:tcPr>
          <w:p w:rsidR="00043A5E" w:rsidRPr="008065A3" w:rsidRDefault="00043A5E" w:rsidP="00043A5E">
            <w:pPr>
              <w:jc w:val="both"/>
              <w:rPr>
                <w:sz w:val="20"/>
              </w:rPr>
            </w:pPr>
            <w:r w:rsidRPr="008065A3">
              <w:rPr>
                <w:sz w:val="20"/>
              </w:rPr>
              <w:t>In 2000, a settlement agreement was reached with respect to allegations of sexual assault by Charles Sylvester, a priest at the Roman Catholic Episcopal Corporation of the Diocese of London in Ontario (the “Diocese”). As part of the settlement agreement, evidence was presented that the Diocese first heard allegations that Mr. Sylvestre abused children in 1989. The settlement included a full and final release in exchange for a cash payment. In 2006, further documentary evidence came to light indicating that the Diocese was notified in 1962 of three separate statements made to police regarding allegations of sexual abuse by Mr. Sylvestre. In 2008 a new action was commenced alleging misrepresentation in the initial settlement. The Diocese brought a motion to strike on the basis of the release. The motion judge concluded that, as an organization, the Diocese knew about the police records at the time the settlement was made and that there had been a unilateral mistake by the Diocese. As a result, the motion judge ordered rescission of the settlement agreement. The Court of Appeal dismissed the subsequent appeal. It held that although the motion judge could not have rescinded the settlement agreement based on unilateral mistake, they must have done so on the basis of innocent misrepresentation instead.</w:t>
            </w:r>
          </w:p>
          <w:p w:rsidR="00043A5E" w:rsidRPr="008065A3" w:rsidRDefault="00043A5E" w:rsidP="00043A5E">
            <w:pPr>
              <w:jc w:val="both"/>
              <w:rPr>
                <w:sz w:val="20"/>
              </w:rPr>
            </w:pPr>
          </w:p>
        </w:tc>
      </w:tr>
      <w:tr w:rsidR="00043A5E" w:rsidRPr="008065A3" w:rsidTr="00E3334E">
        <w:tc>
          <w:tcPr>
            <w:tcW w:w="2427" w:type="pct"/>
            <w:gridSpan w:val="2"/>
          </w:tcPr>
          <w:p w:rsidR="00043A5E" w:rsidRPr="008065A3" w:rsidRDefault="00043A5E" w:rsidP="00043A5E">
            <w:pPr>
              <w:jc w:val="both"/>
              <w:rPr>
                <w:sz w:val="20"/>
              </w:rPr>
            </w:pPr>
            <w:r w:rsidRPr="008065A3">
              <w:rPr>
                <w:sz w:val="20"/>
              </w:rPr>
              <w:t>November 27, 2018</w:t>
            </w:r>
          </w:p>
          <w:p w:rsidR="00043A5E" w:rsidRPr="008065A3" w:rsidRDefault="00043A5E" w:rsidP="00043A5E">
            <w:pPr>
              <w:jc w:val="both"/>
              <w:rPr>
                <w:sz w:val="20"/>
              </w:rPr>
            </w:pPr>
            <w:r w:rsidRPr="008065A3">
              <w:rPr>
                <w:sz w:val="20"/>
              </w:rPr>
              <w:t>Ontario Superior Court of Justice</w:t>
            </w:r>
          </w:p>
          <w:p w:rsidR="00043A5E" w:rsidRPr="008065A3" w:rsidRDefault="00043A5E" w:rsidP="00043A5E">
            <w:pPr>
              <w:jc w:val="both"/>
              <w:rPr>
                <w:sz w:val="20"/>
              </w:rPr>
            </w:pPr>
            <w:r w:rsidRPr="008065A3">
              <w:rPr>
                <w:sz w:val="20"/>
              </w:rPr>
              <w:t>(Aston J.)</w:t>
            </w:r>
          </w:p>
          <w:p w:rsidR="00043A5E" w:rsidRPr="008065A3" w:rsidRDefault="00043A5E" w:rsidP="00043A5E">
            <w:pPr>
              <w:jc w:val="both"/>
              <w:rPr>
                <w:sz w:val="20"/>
              </w:rPr>
            </w:pPr>
            <w:r w:rsidRPr="008065A3">
              <w:rPr>
                <w:sz w:val="20"/>
              </w:rPr>
              <w:t>2018 ONSC 7080</w:t>
            </w:r>
          </w:p>
          <w:p w:rsidR="00043A5E" w:rsidRPr="008065A3" w:rsidRDefault="00043A5E" w:rsidP="00043A5E">
            <w:pPr>
              <w:jc w:val="both"/>
              <w:rPr>
                <w:sz w:val="20"/>
              </w:rPr>
            </w:pPr>
          </w:p>
        </w:tc>
        <w:tc>
          <w:tcPr>
            <w:tcW w:w="243" w:type="pct"/>
          </w:tcPr>
          <w:p w:rsidR="00043A5E" w:rsidRPr="008065A3" w:rsidRDefault="00043A5E" w:rsidP="00043A5E">
            <w:pPr>
              <w:jc w:val="both"/>
              <w:rPr>
                <w:sz w:val="20"/>
              </w:rPr>
            </w:pPr>
          </w:p>
        </w:tc>
        <w:tc>
          <w:tcPr>
            <w:tcW w:w="2330" w:type="pct"/>
          </w:tcPr>
          <w:p w:rsidR="00043A5E" w:rsidRPr="008065A3" w:rsidRDefault="00043A5E" w:rsidP="00043A5E">
            <w:pPr>
              <w:jc w:val="both"/>
              <w:rPr>
                <w:sz w:val="20"/>
              </w:rPr>
            </w:pPr>
            <w:r w:rsidRPr="008065A3">
              <w:rPr>
                <w:sz w:val="20"/>
              </w:rPr>
              <w:t>Settlement agreement rescinded and set aside; Summary judgment granted; Motion to strike dismissed.</w:t>
            </w:r>
          </w:p>
          <w:p w:rsidR="00043A5E" w:rsidRPr="008065A3" w:rsidRDefault="00043A5E" w:rsidP="00043A5E">
            <w:pPr>
              <w:jc w:val="both"/>
              <w:rPr>
                <w:sz w:val="20"/>
              </w:rPr>
            </w:pPr>
          </w:p>
        </w:tc>
      </w:tr>
      <w:tr w:rsidR="00043A5E" w:rsidRPr="008065A3" w:rsidTr="00E3334E">
        <w:tc>
          <w:tcPr>
            <w:tcW w:w="2427" w:type="pct"/>
            <w:gridSpan w:val="2"/>
          </w:tcPr>
          <w:p w:rsidR="00043A5E" w:rsidRPr="008065A3" w:rsidRDefault="00043A5E" w:rsidP="00043A5E">
            <w:pPr>
              <w:jc w:val="both"/>
              <w:rPr>
                <w:sz w:val="20"/>
              </w:rPr>
            </w:pPr>
            <w:r w:rsidRPr="008065A3">
              <w:rPr>
                <w:sz w:val="20"/>
              </w:rPr>
              <w:t>May 20, 2020</w:t>
            </w:r>
          </w:p>
          <w:p w:rsidR="00043A5E" w:rsidRPr="008065A3" w:rsidRDefault="00043A5E" w:rsidP="00043A5E">
            <w:pPr>
              <w:jc w:val="both"/>
              <w:rPr>
                <w:sz w:val="20"/>
              </w:rPr>
            </w:pPr>
            <w:r w:rsidRPr="008065A3">
              <w:rPr>
                <w:sz w:val="20"/>
              </w:rPr>
              <w:t>Court of Appeal for Ontario</w:t>
            </w:r>
          </w:p>
          <w:p w:rsidR="00043A5E" w:rsidRPr="008065A3" w:rsidRDefault="00043A5E" w:rsidP="00043A5E">
            <w:pPr>
              <w:jc w:val="both"/>
              <w:rPr>
                <w:sz w:val="20"/>
              </w:rPr>
            </w:pPr>
            <w:r w:rsidRPr="008065A3">
              <w:rPr>
                <w:sz w:val="20"/>
              </w:rPr>
              <w:t>(</w:t>
            </w:r>
            <w:proofErr w:type="gramStart"/>
            <w:r w:rsidRPr="008065A3">
              <w:rPr>
                <w:sz w:val="20"/>
              </w:rPr>
              <w:t>van</w:t>
            </w:r>
            <w:proofErr w:type="gramEnd"/>
            <w:r w:rsidRPr="008065A3">
              <w:rPr>
                <w:sz w:val="20"/>
              </w:rPr>
              <w:t xml:space="preserve"> Rensburg, Paciocco, and Thorburn JJ.A.)</w:t>
            </w:r>
          </w:p>
          <w:p w:rsidR="00043A5E" w:rsidRPr="008065A3" w:rsidRDefault="00043A5E" w:rsidP="00043A5E">
            <w:pPr>
              <w:jc w:val="both"/>
              <w:rPr>
                <w:sz w:val="20"/>
              </w:rPr>
            </w:pPr>
            <w:hyperlink r:id="rId46" w:history="1">
              <w:r w:rsidRPr="008065A3">
                <w:rPr>
                  <w:rStyle w:val="Hyperlink"/>
                  <w:sz w:val="20"/>
                </w:rPr>
                <w:t>2020 ONCA 304</w:t>
              </w:r>
            </w:hyperlink>
          </w:p>
          <w:p w:rsidR="00043A5E" w:rsidRPr="008065A3" w:rsidRDefault="00043A5E" w:rsidP="00043A5E">
            <w:pPr>
              <w:jc w:val="both"/>
              <w:rPr>
                <w:sz w:val="20"/>
              </w:rPr>
            </w:pPr>
          </w:p>
        </w:tc>
        <w:tc>
          <w:tcPr>
            <w:tcW w:w="243" w:type="pct"/>
          </w:tcPr>
          <w:p w:rsidR="00043A5E" w:rsidRPr="008065A3" w:rsidRDefault="00043A5E" w:rsidP="00043A5E">
            <w:pPr>
              <w:jc w:val="both"/>
              <w:rPr>
                <w:sz w:val="20"/>
              </w:rPr>
            </w:pPr>
          </w:p>
        </w:tc>
        <w:tc>
          <w:tcPr>
            <w:tcW w:w="2330" w:type="pct"/>
          </w:tcPr>
          <w:p w:rsidR="00043A5E" w:rsidRPr="008065A3" w:rsidRDefault="00043A5E" w:rsidP="00043A5E">
            <w:pPr>
              <w:jc w:val="both"/>
              <w:rPr>
                <w:sz w:val="20"/>
              </w:rPr>
            </w:pPr>
            <w:r w:rsidRPr="008065A3">
              <w:rPr>
                <w:sz w:val="20"/>
              </w:rPr>
              <w:t>Appeal dismissed.</w:t>
            </w:r>
          </w:p>
        </w:tc>
      </w:tr>
      <w:tr w:rsidR="00043A5E" w:rsidRPr="008065A3" w:rsidTr="00E3334E">
        <w:tc>
          <w:tcPr>
            <w:tcW w:w="2427" w:type="pct"/>
            <w:gridSpan w:val="2"/>
          </w:tcPr>
          <w:p w:rsidR="00043A5E" w:rsidRPr="008065A3" w:rsidRDefault="00043A5E" w:rsidP="00043A5E">
            <w:pPr>
              <w:jc w:val="both"/>
              <w:rPr>
                <w:sz w:val="20"/>
              </w:rPr>
            </w:pPr>
            <w:r w:rsidRPr="008065A3">
              <w:rPr>
                <w:sz w:val="20"/>
              </w:rPr>
              <w:t>August 14, 2020</w:t>
            </w:r>
          </w:p>
          <w:p w:rsidR="00043A5E" w:rsidRPr="008065A3" w:rsidRDefault="00043A5E" w:rsidP="00043A5E">
            <w:pPr>
              <w:jc w:val="both"/>
              <w:rPr>
                <w:sz w:val="20"/>
              </w:rPr>
            </w:pPr>
            <w:r w:rsidRPr="008065A3">
              <w:rPr>
                <w:sz w:val="20"/>
              </w:rPr>
              <w:t>Supreme Court of Canada</w:t>
            </w:r>
          </w:p>
        </w:tc>
        <w:tc>
          <w:tcPr>
            <w:tcW w:w="243" w:type="pct"/>
          </w:tcPr>
          <w:p w:rsidR="00043A5E" w:rsidRPr="008065A3" w:rsidRDefault="00043A5E" w:rsidP="00043A5E">
            <w:pPr>
              <w:jc w:val="both"/>
              <w:rPr>
                <w:sz w:val="20"/>
              </w:rPr>
            </w:pPr>
          </w:p>
        </w:tc>
        <w:tc>
          <w:tcPr>
            <w:tcW w:w="2330" w:type="pct"/>
          </w:tcPr>
          <w:p w:rsidR="00043A5E" w:rsidRPr="008065A3" w:rsidRDefault="00043A5E" w:rsidP="00043A5E">
            <w:pPr>
              <w:jc w:val="both"/>
              <w:rPr>
                <w:sz w:val="20"/>
              </w:rPr>
            </w:pPr>
            <w:r w:rsidRPr="008065A3">
              <w:rPr>
                <w:sz w:val="20"/>
              </w:rPr>
              <w:t>Application for leave to appeal filed</w:t>
            </w:r>
          </w:p>
          <w:p w:rsidR="00043A5E" w:rsidRPr="008065A3" w:rsidRDefault="00043A5E" w:rsidP="00043A5E">
            <w:pPr>
              <w:jc w:val="both"/>
              <w:rPr>
                <w:sz w:val="20"/>
              </w:rPr>
            </w:pPr>
          </w:p>
        </w:tc>
      </w:tr>
    </w:tbl>
    <w:p w:rsidR="00043A5E" w:rsidRPr="008065A3" w:rsidRDefault="00043A5E" w:rsidP="00043A5E">
      <w:pPr>
        <w:jc w:val="both"/>
        <w:rPr>
          <w:sz w:val="20"/>
        </w:rPr>
      </w:pPr>
    </w:p>
    <w:p w:rsidR="008065A3" w:rsidRPr="008065A3" w:rsidRDefault="008065A3" w:rsidP="00043A5E">
      <w:pPr>
        <w:jc w:val="both"/>
        <w:rPr>
          <w:sz w:val="20"/>
        </w:rPr>
      </w:pPr>
      <w:r w:rsidRPr="008065A3">
        <w:rPr>
          <w:sz w:val="20"/>
        </w:rPr>
        <w:pict>
          <v:rect id="_x0000_i1067" style="width:2in;height:1pt" o:hrpct="0" o:hralign="center" o:hrstd="t" o:hrnoshade="t" o:hr="t" fillcolor="black [3213]" stroked="f"/>
        </w:pict>
      </w:r>
    </w:p>
    <w:p w:rsidR="008065A3" w:rsidRPr="008065A3" w:rsidRDefault="008065A3" w:rsidP="00043A5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3A5E" w:rsidRPr="008065A3" w:rsidTr="00E3334E">
        <w:tc>
          <w:tcPr>
            <w:tcW w:w="543" w:type="pct"/>
          </w:tcPr>
          <w:p w:rsidR="00043A5E" w:rsidRPr="008065A3" w:rsidRDefault="00043A5E" w:rsidP="00043A5E">
            <w:pPr>
              <w:jc w:val="both"/>
              <w:rPr>
                <w:sz w:val="20"/>
                <w:lang w:val="fr-CA"/>
              </w:rPr>
            </w:pPr>
            <w:r w:rsidRPr="008065A3">
              <w:rPr>
                <w:rStyle w:val="SCCFileNumberChar"/>
                <w:sz w:val="20"/>
                <w:szCs w:val="20"/>
                <w:lang w:val="fr-CA"/>
              </w:rPr>
              <w:t>39288</w:t>
            </w:r>
          </w:p>
        </w:tc>
        <w:tc>
          <w:tcPr>
            <w:tcW w:w="4457" w:type="pct"/>
            <w:gridSpan w:val="3"/>
          </w:tcPr>
          <w:p w:rsidR="00043A5E" w:rsidRPr="008065A3" w:rsidRDefault="00043A5E" w:rsidP="00043A5E">
            <w:pPr>
              <w:pStyle w:val="SCCLsocParty"/>
              <w:jc w:val="both"/>
              <w:rPr>
                <w:b/>
                <w:sz w:val="20"/>
                <w:szCs w:val="20"/>
                <w:lang w:val="en-US"/>
              </w:rPr>
            </w:pPr>
            <w:r w:rsidRPr="008065A3">
              <w:rPr>
                <w:b/>
                <w:sz w:val="20"/>
                <w:szCs w:val="20"/>
                <w:lang w:val="en-US"/>
              </w:rPr>
              <w:t>Roman Catholic Episcopal Corporation of the Diocese of London in Ontario, John Michael Sherlock, Anthony Daniels c. Irene Deschenes</w:t>
            </w:r>
          </w:p>
          <w:p w:rsidR="00043A5E" w:rsidRPr="008065A3" w:rsidRDefault="00043A5E" w:rsidP="00043A5E">
            <w:pPr>
              <w:jc w:val="both"/>
              <w:rPr>
                <w:sz w:val="20"/>
                <w:lang w:val="fr-CA"/>
              </w:rPr>
            </w:pPr>
            <w:r w:rsidRPr="008065A3">
              <w:rPr>
                <w:sz w:val="20"/>
                <w:lang w:val="fr-CA"/>
              </w:rPr>
              <w:t>(Ont.) (Civile) (Sur autorisation)</w:t>
            </w:r>
          </w:p>
        </w:tc>
      </w:tr>
      <w:tr w:rsidR="00043A5E" w:rsidRPr="008065A3" w:rsidTr="00E3334E">
        <w:tc>
          <w:tcPr>
            <w:tcW w:w="5000" w:type="pct"/>
            <w:gridSpan w:val="4"/>
          </w:tcPr>
          <w:p w:rsidR="00043A5E" w:rsidRPr="008065A3" w:rsidRDefault="00043A5E" w:rsidP="00043A5E">
            <w:pPr>
              <w:jc w:val="both"/>
              <w:rPr>
                <w:sz w:val="20"/>
                <w:lang w:val="fr-CA"/>
              </w:rPr>
            </w:pPr>
            <w:r w:rsidRPr="008065A3">
              <w:rPr>
                <w:sz w:val="20"/>
                <w:lang w:val="fr-CA"/>
              </w:rPr>
              <w:t>Contrats — Recours — Résiliation — Déclaration inexacte faite de bonne foi — Quel est le cadre juridique approprié permettant de déterminer si une déclaration inexacte faite de bonne foi justifie la résiliation d’un contrat ? — Quel est le degré d’importance requis pour qu’une déclaration inexacte faite de bonne foi puisse déclencher la résiliation du contrat ? — Les juridictions inférieures ont</w:t>
            </w:r>
            <w:r w:rsidRPr="008065A3">
              <w:rPr>
                <w:sz w:val="20"/>
                <w:lang w:val="fr-CA"/>
              </w:rPr>
              <w:noBreakHyphen/>
              <w:t xml:space="preserve">elles essentiellement imposé une résiliation partielle du contrat ? — </w:t>
            </w:r>
            <w:r w:rsidRPr="008065A3">
              <w:rPr>
                <w:sz w:val="20"/>
                <w:lang w:val="fr-CA"/>
              </w:rPr>
              <w:lastRenderedPageBreak/>
              <w:t>De quelle façon le cadre relatif à la résiliation dans le cas d’une déclaration inexacte faite de bonne foi devrait</w:t>
            </w:r>
            <w:r w:rsidRPr="008065A3">
              <w:rPr>
                <w:sz w:val="20"/>
                <w:lang w:val="fr-CA"/>
              </w:rPr>
              <w:noBreakHyphen/>
              <w:t>il être abordé par rapport au principe du caractère définitif des règlements ?</w:t>
            </w:r>
          </w:p>
        </w:tc>
      </w:tr>
      <w:tr w:rsidR="00043A5E" w:rsidRPr="008065A3" w:rsidTr="00E3334E">
        <w:tc>
          <w:tcPr>
            <w:tcW w:w="5000" w:type="pct"/>
            <w:gridSpan w:val="4"/>
          </w:tcPr>
          <w:p w:rsidR="00043A5E" w:rsidRPr="008065A3" w:rsidRDefault="00043A5E" w:rsidP="00043A5E">
            <w:pPr>
              <w:jc w:val="both"/>
              <w:rPr>
                <w:sz w:val="20"/>
                <w:lang w:val="fr-CA"/>
              </w:rPr>
            </w:pPr>
          </w:p>
        </w:tc>
      </w:tr>
      <w:tr w:rsidR="00043A5E" w:rsidRPr="008065A3" w:rsidTr="00E3334E">
        <w:tc>
          <w:tcPr>
            <w:tcW w:w="5000" w:type="pct"/>
            <w:gridSpan w:val="4"/>
          </w:tcPr>
          <w:p w:rsidR="00043A5E" w:rsidRPr="008065A3" w:rsidRDefault="00043A5E" w:rsidP="00043A5E">
            <w:pPr>
              <w:jc w:val="both"/>
              <w:rPr>
                <w:sz w:val="20"/>
                <w:lang w:val="fr-CA"/>
              </w:rPr>
            </w:pPr>
            <w:r w:rsidRPr="008065A3">
              <w:rPr>
                <w:sz w:val="20"/>
                <w:lang w:val="fr-CA"/>
              </w:rPr>
              <w:t>En 2000, une convention de règlement a été conclue à l’égard d’allégations d’agression sexuelle par Charles Sylvester, un prêtre de la Roman Catholic Episcopal Corporation of the Diocese of London in Ontario (le « diocèse »). Dans le cadre de la convention de règlement, des éléments de preuve ont été présentés indiquant que le diocèse avait pris connaissance pour la première fois en 1989 d’allégations que M. Sylvestre avait agressé des enfants. Une renonciation totale et définitive en contrepartie d’un paiement en espèces faisait partie du règlement. En 2006, d’autres éléments de preuve documentaires ont été découverts qui indiquaient que le diocèse avait été notifié en 1962 de trois différentes déclarations faites à la police concernant des allégations d’agression sexuelle par M. Sylvestre. En 2008, une nouvelle action a été intentée dans laquelle on alléguait qu’il y avait eu des déclarations inexactes dans le règlement initial. Le diocèse a présenté une requête en radiation en se fondant sur la renonciation. Le juge saisi de la requête a conclu que, en tant qu’organisation, le diocèse avait pris connaissance des dossiers de la police au moment où le règlement a été conclu et qu’il y avait eu erreur unilatérale de la part du diocèse. Par conséquent, le juge saisi de la requête a ordonné la résiliation de la convention de règlement. La Cour d’appel a rejeté l’appel subséquent. Elle a conclu que même si le juge saisi de la motion ne pouvait résilier la convention de règlement pour cause d’erreur unilatérale, il doit l’avoir fait pour cause de déclaration inexacte faite de bonne foi.</w:t>
            </w:r>
          </w:p>
          <w:p w:rsidR="00043A5E" w:rsidRPr="008065A3" w:rsidRDefault="00043A5E" w:rsidP="00043A5E">
            <w:pPr>
              <w:jc w:val="both"/>
              <w:rPr>
                <w:sz w:val="20"/>
                <w:lang w:val="fr-CA"/>
              </w:rPr>
            </w:pPr>
          </w:p>
        </w:tc>
      </w:tr>
      <w:tr w:rsidR="00043A5E" w:rsidRPr="008065A3" w:rsidTr="00E3334E">
        <w:tc>
          <w:tcPr>
            <w:tcW w:w="2427" w:type="pct"/>
            <w:gridSpan w:val="2"/>
          </w:tcPr>
          <w:p w:rsidR="00043A5E" w:rsidRPr="008065A3" w:rsidRDefault="00043A5E" w:rsidP="00043A5E">
            <w:pPr>
              <w:jc w:val="both"/>
              <w:rPr>
                <w:sz w:val="20"/>
                <w:lang w:val="fr-CA"/>
              </w:rPr>
            </w:pPr>
            <w:r w:rsidRPr="008065A3">
              <w:rPr>
                <w:sz w:val="20"/>
                <w:lang w:val="fr-CA"/>
              </w:rPr>
              <w:t>27 novembre 2018</w:t>
            </w:r>
          </w:p>
          <w:p w:rsidR="00043A5E" w:rsidRPr="008065A3" w:rsidRDefault="00043A5E" w:rsidP="00043A5E">
            <w:pPr>
              <w:jc w:val="both"/>
              <w:rPr>
                <w:sz w:val="20"/>
                <w:lang w:val="fr-CA"/>
              </w:rPr>
            </w:pPr>
            <w:r w:rsidRPr="008065A3">
              <w:rPr>
                <w:sz w:val="20"/>
                <w:lang w:val="fr-CA"/>
              </w:rPr>
              <w:t xml:space="preserve">Cour supérieure de justice de l’Ontario </w:t>
            </w:r>
          </w:p>
          <w:p w:rsidR="00043A5E" w:rsidRPr="008065A3" w:rsidRDefault="00043A5E" w:rsidP="00043A5E">
            <w:pPr>
              <w:jc w:val="both"/>
              <w:rPr>
                <w:sz w:val="20"/>
                <w:lang w:val="fr-CA"/>
              </w:rPr>
            </w:pPr>
            <w:r w:rsidRPr="008065A3">
              <w:rPr>
                <w:sz w:val="20"/>
                <w:lang w:val="fr-CA"/>
              </w:rPr>
              <w:t>(Juge Aston)</w:t>
            </w:r>
          </w:p>
          <w:p w:rsidR="00043A5E" w:rsidRPr="008065A3" w:rsidRDefault="00043A5E" w:rsidP="00043A5E">
            <w:pPr>
              <w:jc w:val="both"/>
              <w:rPr>
                <w:sz w:val="20"/>
                <w:lang w:val="fr-CA"/>
              </w:rPr>
            </w:pPr>
            <w:r w:rsidRPr="008065A3">
              <w:rPr>
                <w:sz w:val="20"/>
                <w:lang w:val="fr-CA"/>
              </w:rPr>
              <w:t>2018 ONSC 7080</w:t>
            </w:r>
          </w:p>
          <w:p w:rsidR="00043A5E" w:rsidRPr="008065A3" w:rsidRDefault="00043A5E" w:rsidP="00043A5E">
            <w:pPr>
              <w:jc w:val="both"/>
              <w:rPr>
                <w:sz w:val="20"/>
                <w:lang w:val="fr-CA"/>
              </w:rPr>
            </w:pPr>
          </w:p>
        </w:tc>
        <w:tc>
          <w:tcPr>
            <w:tcW w:w="243" w:type="pct"/>
          </w:tcPr>
          <w:p w:rsidR="00043A5E" w:rsidRPr="008065A3" w:rsidRDefault="00043A5E" w:rsidP="00043A5E">
            <w:pPr>
              <w:jc w:val="both"/>
              <w:rPr>
                <w:sz w:val="20"/>
                <w:lang w:val="fr-CA"/>
              </w:rPr>
            </w:pPr>
          </w:p>
        </w:tc>
        <w:tc>
          <w:tcPr>
            <w:tcW w:w="2330" w:type="pct"/>
          </w:tcPr>
          <w:p w:rsidR="00043A5E" w:rsidRPr="008065A3" w:rsidRDefault="00043A5E" w:rsidP="00043A5E">
            <w:pPr>
              <w:jc w:val="both"/>
              <w:rPr>
                <w:sz w:val="20"/>
                <w:lang w:val="fr-CA"/>
              </w:rPr>
            </w:pPr>
            <w:r w:rsidRPr="008065A3">
              <w:rPr>
                <w:sz w:val="20"/>
                <w:lang w:val="fr-CA"/>
              </w:rPr>
              <w:t>La convention de règlement est résiliée et annulée; un jugement sommaire est accordé; la requête en radiation est rejetée.</w:t>
            </w:r>
          </w:p>
          <w:p w:rsidR="00043A5E" w:rsidRPr="008065A3" w:rsidRDefault="00043A5E" w:rsidP="00043A5E">
            <w:pPr>
              <w:jc w:val="both"/>
              <w:rPr>
                <w:sz w:val="20"/>
                <w:lang w:val="fr-CA"/>
              </w:rPr>
            </w:pPr>
          </w:p>
        </w:tc>
      </w:tr>
      <w:tr w:rsidR="00043A5E" w:rsidRPr="008065A3" w:rsidTr="00E3334E">
        <w:tc>
          <w:tcPr>
            <w:tcW w:w="2427" w:type="pct"/>
            <w:gridSpan w:val="2"/>
          </w:tcPr>
          <w:p w:rsidR="00043A5E" w:rsidRPr="008065A3" w:rsidRDefault="00043A5E" w:rsidP="00043A5E">
            <w:pPr>
              <w:jc w:val="both"/>
              <w:rPr>
                <w:sz w:val="20"/>
                <w:lang w:val="fr-CA"/>
              </w:rPr>
            </w:pPr>
            <w:r w:rsidRPr="008065A3">
              <w:rPr>
                <w:sz w:val="20"/>
                <w:lang w:val="fr-CA"/>
              </w:rPr>
              <w:t>20 mai 2020</w:t>
            </w:r>
          </w:p>
          <w:p w:rsidR="00043A5E" w:rsidRPr="008065A3" w:rsidRDefault="00043A5E" w:rsidP="00043A5E">
            <w:pPr>
              <w:jc w:val="both"/>
              <w:rPr>
                <w:sz w:val="20"/>
                <w:lang w:val="fr-CA"/>
              </w:rPr>
            </w:pPr>
            <w:r w:rsidRPr="008065A3">
              <w:rPr>
                <w:sz w:val="20"/>
                <w:lang w:val="fr-CA"/>
              </w:rPr>
              <w:t>Cour d’appel de l’Ontario</w:t>
            </w:r>
          </w:p>
          <w:p w:rsidR="00043A5E" w:rsidRPr="008065A3" w:rsidRDefault="00043A5E" w:rsidP="00043A5E">
            <w:pPr>
              <w:jc w:val="both"/>
              <w:rPr>
                <w:sz w:val="20"/>
                <w:lang w:val="fr-CA"/>
              </w:rPr>
            </w:pPr>
            <w:r w:rsidRPr="008065A3">
              <w:rPr>
                <w:sz w:val="20"/>
                <w:lang w:val="fr-CA"/>
              </w:rPr>
              <w:t>(Juges van Rensburg, Paciocco et Thorburn)</w:t>
            </w:r>
          </w:p>
          <w:p w:rsidR="00043A5E" w:rsidRPr="008065A3" w:rsidRDefault="00043A5E" w:rsidP="00043A5E">
            <w:pPr>
              <w:jc w:val="both"/>
              <w:rPr>
                <w:sz w:val="20"/>
                <w:lang w:val="fr-CA"/>
              </w:rPr>
            </w:pPr>
            <w:hyperlink r:id="rId47" w:history="1">
              <w:r w:rsidRPr="008065A3">
                <w:rPr>
                  <w:rStyle w:val="Hyperlink"/>
                  <w:sz w:val="20"/>
                  <w:lang w:val="fr-CA"/>
                </w:rPr>
                <w:t>2020 ONCA 304</w:t>
              </w:r>
            </w:hyperlink>
          </w:p>
          <w:p w:rsidR="00043A5E" w:rsidRPr="008065A3" w:rsidRDefault="00043A5E" w:rsidP="00043A5E">
            <w:pPr>
              <w:jc w:val="both"/>
              <w:rPr>
                <w:sz w:val="20"/>
                <w:lang w:val="fr-CA"/>
              </w:rPr>
            </w:pPr>
          </w:p>
        </w:tc>
        <w:tc>
          <w:tcPr>
            <w:tcW w:w="243" w:type="pct"/>
          </w:tcPr>
          <w:p w:rsidR="00043A5E" w:rsidRPr="008065A3" w:rsidRDefault="00043A5E" w:rsidP="00043A5E">
            <w:pPr>
              <w:jc w:val="both"/>
              <w:rPr>
                <w:sz w:val="20"/>
                <w:lang w:val="fr-CA"/>
              </w:rPr>
            </w:pPr>
          </w:p>
        </w:tc>
        <w:tc>
          <w:tcPr>
            <w:tcW w:w="2330" w:type="pct"/>
          </w:tcPr>
          <w:p w:rsidR="00043A5E" w:rsidRPr="008065A3" w:rsidRDefault="00043A5E" w:rsidP="00043A5E">
            <w:pPr>
              <w:jc w:val="both"/>
              <w:rPr>
                <w:sz w:val="20"/>
                <w:lang w:val="fr-CA"/>
              </w:rPr>
            </w:pPr>
            <w:r w:rsidRPr="008065A3">
              <w:rPr>
                <w:sz w:val="20"/>
                <w:lang w:val="fr-CA"/>
              </w:rPr>
              <w:t>L’appel est rejeté.</w:t>
            </w:r>
          </w:p>
        </w:tc>
      </w:tr>
      <w:tr w:rsidR="00043A5E" w:rsidRPr="008065A3" w:rsidTr="00E3334E">
        <w:tc>
          <w:tcPr>
            <w:tcW w:w="2427" w:type="pct"/>
            <w:gridSpan w:val="2"/>
          </w:tcPr>
          <w:p w:rsidR="00043A5E" w:rsidRPr="008065A3" w:rsidRDefault="00043A5E" w:rsidP="00043A5E">
            <w:pPr>
              <w:jc w:val="both"/>
              <w:rPr>
                <w:sz w:val="20"/>
                <w:lang w:val="fr-CA"/>
              </w:rPr>
            </w:pPr>
            <w:r w:rsidRPr="008065A3">
              <w:rPr>
                <w:sz w:val="20"/>
                <w:lang w:val="fr-CA"/>
              </w:rPr>
              <w:t>14 août 2020</w:t>
            </w:r>
          </w:p>
          <w:p w:rsidR="00043A5E" w:rsidRPr="008065A3" w:rsidRDefault="00043A5E" w:rsidP="00043A5E">
            <w:pPr>
              <w:jc w:val="both"/>
              <w:rPr>
                <w:sz w:val="20"/>
                <w:lang w:val="fr-CA"/>
              </w:rPr>
            </w:pPr>
            <w:r w:rsidRPr="008065A3">
              <w:rPr>
                <w:sz w:val="20"/>
                <w:lang w:val="fr-CA"/>
              </w:rPr>
              <w:t>Cour suprême du Canada</w:t>
            </w:r>
          </w:p>
        </w:tc>
        <w:tc>
          <w:tcPr>
            <w:tcW w:w="243" w:type="pct"/>
          </w:tcPr>
          <w:p w:rsidR="00043A5E" w:rsidRPr="008065A3" w:rsidRDefault="00043A5E" w:rsidP="00043A5E">
            <w:pPr>
              <w:jc w:val="both"/>
              <w:rPr>
                <w:sz w:val="20"/>
                <w:lang w:val="fr-CA"/>
              </w:rPr>
            </w:pPr>
          </w:p>
        </w:tc>
        <w:tc>
          <w:tcPr>
            <w:tcW w:w="2330" w:type="pct"/>
          </w:tcPr>
          <w:p w:rsidR="00043A5E" w:rsidRPr="008065A3" w:rsidRDefault="00043A5E" w:rsidP="00043A5E">
            <w:pPr>
              <w:jc w:val="both"/>
              <w:rPr>
                <w:sz w:val="20"/>
                <w:lang w:val="fr-CA"/>
              </w:rPr>
            </w:pPr>
            <w:r w:rsidRPr="008065A3">
              <w:rPr>
                <w:sz w:val="20"/>
                <w:lang w:val="fr-CA"/>
              </w:rPr>
              <w:t>La demande d’autorisation d’appel est présentée.</w:t>
            </w:r>
          </w:p>
          <w:p w:rsidR="00043A5E" w:rsidRPr="008065A3" w:rsidRDefault="00043A5E" w:rsidP="00043A5E">
            <w:pPr>
              <w:jc w:val="both"/>
              <w:rPr>
                <w:sz w:val="20"/>
                <w:lang w:val="fr-CA"/>
              </w:rPr>
            </w:pPr>
          </w:p>
        </w:tc>
      </w:tr>
    </w:tbl>
    <w:p w:rsidR="00043A5E" w:rsidRPr="008065A3" w:rsidRDefault="00043A5E" w:rsidP="00043A5E">
      <w:pPr>
        <w:jc w:val="both"/>
        <w:rPr>
          <w:sz w:val="20"/>
          <w:lang w:val="fr-CA"/>
        </w:rPr>
      </w:pPr>
    </w:p>
    <w:p w:rsidR="00043A5E" w:rsidRPr="008065A3" w:rsidRDefault="008065A3" w:rsidP="00043A5E">
      <w:pPr>
        <w:widowControl w:val="0"/>
        <w:jc w:val="both"/>
        <w:rPr>
          <w:sz w:val="20"/>
          <w:lang w:val="fr-CA"/>
        </w:rPr>
      </w:pPr>
      <w:r w:rsidRPr="008065A3">
        <w:rPr>
          <w:sz w:val="20"/>
        </w:rPr>
        <w:pict>
          <v:rect id="_x0000_i1068" style="width:2in;height:1pt" o:hrpct="0" o:hralign="center" o:hrstd="t" o:hrnoshade="t" o:hr="t" fillcolor="black [3213]" stroked="f"/>
        </w:pict>
      </w:r>
    </w:p>
    <w:p w:rsidR="00043A5E" w:rsidRPr="008065A3" w:rsidRDefault="00043A5E" w:rsidP="00043A5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3A5E" w:rsidRPr="008065A3" w:rsidTr="00E3334E">
        <w:tc>
          <w:tcPr>
            <w:tcW w:w="543" w:type="pct"/>
          </w:tcPr>
          <w:p w:rsidR="00043A5E" w:rsidRPr="008065A3" w:rsidRDefault="00043A5E" w:rsidP="00043A5E">
            <w:pPr>
              <w:jc w:val="both"/>
              <w:rPr>
                <w:sz w:val="20"/>
              </w:rPr>
            </w:pPr>
            <w:r w:rsidRPr="008065A3">
              <w:rPr>
                <w:rStyle w:val="SCCFileNumberChar"/>
                <w:sz w:val="20"/>
                <w:szCs w:val="20"/>
              </w:rPr>
              <w:t>39264</w:t>
            </w:r>
          </w:p>
        </w:tc>
        <w:tc>
          <w:tcPr>
            <w:tcW w:w="4457" w:type="pct"/>
            <w:gridSpan w:val="3"/>
          </w:tcPr>
          <w:p w:rsidR="00043A5E" w:rsidRPr="008065A3" w:rsidRDefault="00043A5E" w:rsidP="00043A5E">
            <w:pPr>
              <w:pStyle w:val="SCCLsocParty"/>
              <w:jc w:val="both"/>
              <w:rPr>
                <w:b/>
                <w:sz w:val="20"/>
                <w:szCs w:val="20"/>
                <w:lang w:val="en-US"/>
              </w:rPr>
            </w:pPr>
            <w:r w:rsidRPr="008065A3">
              <w:rPr>
                <w:b/>
                <w:sz w:val="20"/>
                <w:szCs w:val="20"/>
                <w:lang w:val="en-US"/>
              </w:rPr>
              <w:t>Ineke Sutherland v. City of Toronto, Mark Siboni</w:t>
            </w:r>
          </w:p>
          <w:p w:rsidR="00043A5E" w:rsidRPr="008065A3" w:rsidRDefault="00043A5E" w:rsidP="00043A5E">
            <w:pPr>
              <w:jc w:val="both"/>
              <w:rPr>
                <w:sz w:val="20"/>
              </w:rPr>
            </w:pPr>
            <w:r w:rsidRPr="008065A3">
              <w:rPr>
                <w:sz w:val="20"/>
              </w:rPr>
              <w:t>(Ont.) (Civil) (By Leave)</w:t>
            </w:r>
          </w:p>
        </w:tc>
      </w:tr>
      <w:tr w:rsidR="00043A5E" w:rsidRPr="008065A3" w:rsidTr="00E3334E">
        <w:tc>
          <w:tcPr>
            <w:tcW w:w="5000" w:type="pct"/>
            <w:gridSpan w:val="4"/>
          </w:tcPr>
          <w:p w:rsidR="00043A5E" w:rsidRPr="008065A3" w:rsidRDefault="00043A5E" w:rsidP="00043A5E">
            <w:pPr>
              <w:jc w:val="both"/>
              <w:rPr>
                <w:sz w:val="20"/>
              </w:rPr>
            </w:pPr>
            <w:r w:rsidRPr="008065A3">
              <w:rPr>
                <w:sz w:val="20"/>
              </w:rPr>
              <w:t xml:space="preserve">Constitutional law — Charter of rights — Right to equality — Reasonable apprehension of bias — Limitation of actions — Applicant owing property taxes to respondent City of Toronto going back to 2003 — Collection costs, interest and other penalties accruing on amounts owing — </w:t>
            </w:r>
            <w:r w:rsidRPr="008065A3">
              <w:rPr>
                <w:color w:val="000000"/>
                <w:sz w:val="20"/>
                <w:shd w:val="clear" w:color="auto" w:fill="FFFFFF"/>
              </w:rPr>
              <w:t xml:space="preserve">Tax arrears certificate registered on title of property in furtherance of conducting tax sale — </w:t>
            </w:r>
            <w:r w:rsidRPr="008065A3">
              <w:rPr>
                <w:sz w:val="20"/>
              </w:rPr>
              <w:t xml:space="preserve">Applicant suing city </w:t>
            </w:r>
            <w:r w:rsidRPr="008065A3">
              <w:rPr>
                <w:color w:val="000000"/>
                <w:sz w:val="20"/>
                <w:shd w:val="clear" w:color="auto" w:fill="FFFFFF"/>
              </w:rPr>
              <w:t>for damages related to handling of dispute</w:t>
            </w:r>
            <w:r w:rsidRPr="008065A3">
              <w:rPr>
                <w:sz w:val="20"/>
              </w:rPr>
              <w:t xml:space="preserve"> — Motion for summary judgment granted in favour of city on basis of claim being statute</w:t>
            </w:r>
            <w:r w:rsidRPr="008065A3">
              <w:rPr>
                <w:sz w:val="20"/>
              </w:rPr>
              <w:noBreakHyphen/>
              <w:t>barred — Does the application for leave to appeal raise an issue of public importance?</w:t>
            </w:r>
          </w:p>
        </w:tc>
      </w:tr>
      <w:tr w:rsidR="00043A5E" w:rsidRPr="008065A3" w:rsidTr="00E3334E">
        <w:tc>
          <w:tcPr>
            <w:tcW w:w="5000" w:type="pct"/>
            <w:gridSpan w:val="4"/>
          </w:tcPr>
          <w:p w:rsidR="00043A5E" w:rsidRPr="008065A3" w:rsidRDefault="00043A5E" w:rsidP="00043A5E">
            <w:pPr>
              <w:jc w:val="both"/>
              <w:rPr>
                <w:sz w:val="20"/>
              </w:rPr>
            </w:pPr>
          </w:p>
        </w:tc>
      </w:tr>
      <w:tr w:rsidR="00043A5E" w:rsidRPr="008065A3" w:rsidTr="00E3334E">
        <w:tc>
          <w:tcPr>
            <w:tcW w:w="5000" w:type="pct"/>
            <w:gridSpan w:val="4"/>
          </w:tcPr>
          <w:p w:rsidR="00043A5E" w:rsidRPr="008065A3" w:rsidRDefault="00043A5E" w:rsidP="00043A5E">
            <w:pPr>
              <w:jc w:val="both"/>
              <w:rPr>
                <w:sz w:val="20"/>
              </w:rPr>
            </w:pPr>
            <w:r w:rsidRPr="008065A3">
              <w:rPr>
                <w:sz w:val="20"/>
              </w:rPr>
              <w:t>The applicant, Ms. Sutherland, is involved in a dispute with the respondent, the City of Toronto, over the payment of property taxes. In 2006, Ms. Sutherland commenced a Small Claims Court action in which she sought an order that her tax account for 2003 had been paid in full. After the commencement of that action, Ms. Sutherland continued to let her property taxes fall into arrears. The Small Claims Court action was dismissed for delay and Ms. Sutherland eventually abandoned her appeal. When the city started collection proceedings, Ms. Sutherland initiated another action, claiming among others that the city’s efforts to collect property tax arrears had caused her damage. The respondents successfully moved for summary judgment dismissing Ms. Sutherland’s action. The motion judge found that, as the root of the claim dated back to tax bills from 2003, 2004, and 2005, the claim was statute</w:t>
            </w:r>
            <w:r w:rsidRPr="008065A3">
              <w:rPr>
                <w:sz w:val="20"/>
              </w:rPr>
              <w:noBreakHyphen/>
              <w:t>barred. The Court of Appeal dismissed Ms. Sutherland’s appeal. It saw no basis to interfere with the motion judge’s conclusions.</w:t>
            </w:r>
          </w:p>
          <w:p w:rsidR="00043A5E" w:rsidRPr="008065A3" w:rsidRDefault="00043A5E" w:rsidP="00043A5E">
            <w:pPr>
              <w:jc w:val="both"/>
              <w:rPr>
                <w:sz w:val="20"/>
              </w:rPr>
            </w:pPr>
          </w:p>
        </w:tc>
      </w:tr>
      <w:tr w:rsidR="00043A5E" w:rsidRPr="008065A3" w:rsidTr="00E3334E">
        <w:tc>
          <w:tcPr>
            <w:tcW w:w="2427" w:type="pct"/>
            <w:gridSpan w:val="2"/>
          </w:tcPr>
          <w:p w:rsidR="00043A5E" w:rsidRPr="008065A3" w:rsidRDefault="00043A5E" w:rsidP="00043A5E">
            <w:pPr>
              <w:jc w:val="both"/>
              <w:rPr>
                <w:sz w:val="20"/>
              </w:rPr>
            </w:pPr>
            <w:r w:rsidRPr="008065A3">
              <w:rPr>
                <w:sz w:val="20"/>
              </w:rPr>
              <w:t>February 27, 2018</w:t>
            </w:r>
          </w:p>
          <w:p w:rsidR="00043A5E" w:rsidRPr="008065A3" w:rsidRDefault="00043A5E" w:rsidP="00043A5E">
            <w:pPr>
              <w:jc w:val="both"/>
              <w:rPr>
                <w:sz w:val="20"/>
              </w:rPr>
            </w:pPr>
            <w:r w:rsidRPr="008065A3">
              <w:rPr>
                <w:sz w:val="20"/>
              </w:rPr>
              <w:t>Ontario Superior Court of Justice</w:t>
            </w:r>
          </w:p>
          <w:p w:rsidR="00043A5E" w:rsidRPr="008065A3" w:rsidRDefault="00043A5E" w:rsidP="00043A5E">
            <w:pPr>
              <w:jc w:val="both"/>
              <w:rPr>
                <w:sz w:val="20"/>
              </w:rPr>
            </w:pPr>
            <w:r w:rsidRPr="008065A3">
              <w:rPr>
                <w:sz w:val="20"/>
              </w:rPr>
              <w:t>(Lederer J.)</w:t>
            </w:r>
          </w:p>
          <w:p w:rsidR="00043A5E" w:rsidRPr="008065A3" w:rsidRDefault="00043A5E" w:rsidP="00043A5E">
            <w:pPr>
              <w:jc w:val="both"/>
              <w:rPr>
                <w:sz w:val="20"/>
              </w:rPr>
            </w:pPr>
            <w:hyperlink r:id="rId48" w:anchor="document" w:history="1">
              <w:r w:rsidRPr="008065A3">
                <w:rPr>
                  <w:rStyle w:val="Hyperlink"/>
                  <w:sz w:val="20"/>
                </w:rPr>
                <w:t>2018 ONSC 1311</w:t>
              </w:r>
            </w:hyperlink>
          </w:p>
          <w:p w:rsidR="00043A5E" w:rsidRPr="008065A3" w:rsidRDefault="00043A5E" w:rsidP="00043A5E">
            <w:pPr>
              <w:jc w:val="both"/>
              <w:rPr>
                <w:sz w:val="20"/>
              </w:rPr>
            </w:pPr>
          </w:p>
        </w:tc>
        <w:tc>
          <w:tcPr>
            <w:tcW w:w="243" w:type="pct"/>
          </w:tcPr>
          <w:p w:rsidR="00043A5E" w:rsidRPr="008065A3" w:rsidRDefault="00043A5E" w:rsidP="00043A5E">
            <w:pPr>
              <w:jc w:val="both"/>
              <w:rPr>
                <w:sz w:val="20"/>
              </w:rPr>
            </w:pPr>
          </w:p>
        </w:tc>
        <w:tc>
          <w:tcPr>
            <w:tcW w:w="2330" w:type="pct"/>
          </w:tcPr>
          <w:p w:rsidR="00043A5E" w:rsidRPr="008065A3" w:rsidRDefault="00043A5E" w:rsidP="00043A5E">
            <w:pPr>
              <w:jc w:val="both"/>
              <w:rPr>
                <w:sz w:val="20"/>
              </w:rPr>
            </w:pPr>
            <w:r w:rsidRPr="008065A3">
              <w:rPr>
                <w:sz w:val="20"/>
              </w:rPr>
              <w:t>Motion for summary judgment granted; claim dismissed</w:t>
            </w:r>
          </w:p>
          <w:p w:rsidR="00043A5E" w:rsidRPr="008065A3" w:rsidRDefault="00043A5E" w:rsidP="00043A5E">
            <w:pPr>
              <w:jc w:val="both"/>
              <w:rPr>
                <w:sz w:val="20"/>
              </w:rPr>
            </w:pPr>
          </w:p>
        </w:tc>
      </w:tr>
      <w:tr w:rsidR="00043A5E" w:rsidRPr="008065A3" w:rsidTr="00E3334E">
        <w:tc>
          <w:tcPr>
            <w:tcW w:w="2427" w:type="pct"/>
            <w:gridSpan w:val="2"/>
          </w:tcPr>
          <w:p w:rsidR="00043A5E" w:rsidRPr="008065A3" w:rsidRDefault="00043A5E" w:rsidP="00043A5E">
            <w:pPr>
              <w:jc w:val="both"/>
              <w:rPr>
                <w:sz w:val="20"/>
              </w:rPr>
            </w:pPr>
            <w:r w:rsidRPr="008065A3">
              <w:rPr>
                <w:sz w:val="20"/>
              </w:rPr>
              <w:lastRenderedPageBreak/>
              <w:t>February 13, 2020</w:t>
            </w:r>
          </w:p>
          <w:p w:rsidR="00043A5E" w:rsidRPr="008065A3" w:rsidRDefault="00043A5E" w:rsidP="00043A5E">
            <w:pPr>
              <w:jc w:val="both"/>
              <w:rPr>
                <w:sz w:val="20"/>
              </w:rPr>
            </w:pPr>
            <w:r w:rsidRPr="008065A3">
              <w:rPr>
                <w:sz w:val="20"/>
              </w:rPr>
              <w:t>Court of Appeal for Ontario</w:t>
            </w:r>
          </w:p>
          <w:p w:rsidR="00043A5E" w:rsidRPr="008065A3" w:rsidRDefault="00043A5E" w:rsidP="00043A5E">
            <w:pPr>
              <w:jc w:val="both"/>
              <w:rPr>
                <w:sz w:val="20"/>
              </w:rPr>
            </w:pPr>
            <w:r w:rsidRPr="008065A3">
              <w:rPr>
                <w:sz w:val="20"/>
              </w:rPr>
              <w:t>(Feldman, Brown and Zarnett JJ.A.)</w:t>
            </w:r>
          </w:p>
          <w:p w:rsidR="00043A5E" w:rsidRPr="008065A3" w:rsidRDefault="00043A5E" w:rsidP="00043A5E">
            <w:pPr>
              <w:jc w:val="both"/>
              <w:rPr>
                <w:sz w:val="20"/>
              </w:rPr>
            </w:pPr>
            <w:r w:rsidRPr="008065A3">
              <w:rPr>
                <w:sz w:val="20"/>
              </w:rPr>
              <w:t>File no. C65218</w:t>
            </w:r>
          </w:p>
          <w:p w:rsidR="00043A5E" w:rsidRPr="008065A3" w:rsidRDefault="00043A5E" w:rsidP="00043A5E">
            <w:pPr>
              <w:jc w:val="both"/>
              <w:rPr>
                <w:sz w:val="20"/>
              </w:rPr>
            </w:pPr>
            <w:hyperlink r:id="rId49" w:history="1">
              <w:r w:rsidRPr="008065A3">
                <w:rPr>
                  <w:rStyle w:val="Hyperlink"/>
                  <w:sz w:val="20"/>
                </w:rPr>
                <w:t>2020 ONCA 122</w:t>
              </w:r>
            </w:hyperlink>
          </w:p>
          <w:p w:rsidR="00043A5E" w:rsidRPr="008065A3" w:rsidRDefault="00043A5E" w:rsidP="00043A5E">
            <w:pPr>
              <w:jc w:val="both"/>
              <w:rPr>
                <w:sz w:val="20"/>
              </w:rPr>
            </w:pPr>
          </w:p>
        </w:tc>
        <w:tc>
          <w:tcPr>
            <w:tcW w:w="243" w:type="pct"/>
          </w:tcPr>
          <w:p w:rsidR="00043A5E" w:rsidRPr="008065A3" w:rsidRDefault="00043A5E" w:rsidP="00043A5E">
            <w:pPr>
              <w:jc w:val="both"/>
              <w:rPr>
                <w:sz w:val="20"/>
              </w:rPr>
            </w:pPr>
          </w:p>
        </w:tc>
        <w:tc>
          <w:tcPr>
            <w:tcW w:w="2330" w:type="pct"/>
          </w:tcPr>
          <w:p w:rsidR="00043A5E" w:rsidRPr="008065A3" w:rsidRDefault="00043A5E" w:rsidP="00043A5E">
            <w:pPr>
              <w:jc w:val="both"/>
              <w:rPr>
                <w:sz w:val="20"/>
              </w:rPr>
            </w:pPr>
            <w:r w:rsidRPr="008065A3">
              <w:rPr>
                <w:sz w:val="20"/>
              </w:rPr>
              <w:t>Appeal dismissed</w:t>
            </w:r>
          </w:p>
          <w:p w:rsidR="00043A5E" w:rsidRPr="008065A3" w:rsidRDefault="00043A5E" w:rsidP="00043A5E">
            <w:pPr>
              <w:jc w:val="both"/>
              <w:rPr>
                <w:sz w:val="20"/>
              </w:rPr>
            </w:pPr>
          </w:p>
        </w:tc>
      </w:tr>
      <w:tr w:rsidR="00043A5E" w:rsidRPr="008065A3" w:rsidTr="00E3334E">
        <w:tc>
          <w:tcPr>
            <w:tcW w:w="2427" w:type="pct"/>
            <w:gridSpan w:val="2"/>
          </w:tcPr>
          <w:p w:rsidR="00043A5E" w:rsidRPr="008065A3" w:rsidRDefault="00043A5E" w:rsidP="00043A5E">
            <w:pPr>
              <w:jc w:val="both"/>
              <w:rPr>
                <w:sz w:val="20"/>
              </w:rPr>
            </w:pPr>
            <w:r w:rsidRPr="008065A3">
              <w:rPr>
                <w:sz w:val="20"/>
              </w:rPr>
              <w:t>April 14, 2020</w:t>
            </w:r>
          </w:p>
          <w:p w:rsidR="00043A5E" w:rsidRPr="008065A3" w:rsidRDefault="00043A5E" w:rsidP="00043A5E">
            <w:pPr>
              <w:jc w:val="both"/>
              <w:rPr>
                <w:sz w:val="20"/>
              </w:rPr>
            </w:pPr>
            <w:r w:rsidRPr="008065A3">
              <w:rPr>
                <w:sz w:val="20"/>
              </w:rPr>
              <w:t>Supreme Court of Canada</w:t>
            </w:r>
          </w:p>
          <w:p w:rsidR="00043A5E" w:rsidRPr="008065A3" w:rsidRDefault="00043A5E" w:rsidP="00043A5E">
            <w:pPr>
              <w:jc w:val="both"/>
              <w:rPr>
                <w:sz w:val="20"/>
              </w:rPr>
            </w:pPr>
          </w:p>
        </w:tc>
        <w:tc>
          <w:tcPr>
            <w:tcW w:w="243" w:type="pct"/>
          </w:tcPr>
          <w:p w:rsidR="00043A5E" w:rsidRPr="008065A3" w:rsidRDefault="00043A5E" w:rsidP="00043A5E">
            <w:pPr>
              <w:jc w:val="both"/>
              <w:rPr>
                <w:sz w:val="20"/>
              </w:rPr>
            </w:pPr>
          </w:p>
        </w:tc>
        <w:tc>
          <w:tcPr>
            <w:tcW w:w="2330" w:type="pct"/>
          </w:tcPr>
          <w:p w:rsidR="00043A5E" w:rsidRPr="008065A3" w:rsidRDefault="00043A5E" w:rsidP="00043A5E">
            <w:pPr>
              <w:jc w:val="both"/>
              <w:rPr>
                <w:sz w:val="20"/>
              </w:rPr>
            </w:pPr>
            <w:r w:rsidRPr="008065A3">
              <w:rPr>
                <w:sz w:val="20"/>
              </w:rPr>
              <w:t>Application for leave to appeal filed</w:t>
            </w:r>
          </w:p>
          <w:p w:rsidR="00043A5E" w:rsidRPr="008065A3" w:rsidRDefault="00043A5E" w:rsidP="00043A5E">
            <w:pPr>
              <w:jc w:val="both"/>
              <w:rPr>
                <w:sz w:val="20"/>
              </w:rPr>
            </w:pPr>
          </w:p>
        </w:tc>
      </w:tr>
      <w:tr w:rsidR="00043A5E" w:rsidRPr="008065A3" w:rsidTr="00E3334E">
        <w:tc>
          <w:tcPr>
            <w:tcW w:w="2427" w:type="pct"/>
            <w:gridSpan w:val="2"/>
          </w:tcPr>
          <w:p w:rsidR="00043A5E" w:rsidRPr="008065A3" w:rsidRDefault="00043A5E" w:rsidP="00043A5E">
            <w:pPr>
              <w:jc w:val="both"/>
              <w:rPr>
                <w:sz w:val="20"/>
              </w:rPr>
            </w:pPr>
            <w:r w:rsidRPr="008065A3">
              <w:rPr>
                <w:sz w:val="20"/>
              </w:rPr>
              <w:t>November 10, 2020</w:t>
            </w:r>
          </w:p>
          <w:p w:rsidR="00043A5E" w:rsidRPr="008065A3" w:rsidRDefault="00043A5E" w:rsidP="00043A5E">
            <w:pPr>
              <w:jc w:val="both"/>
              <w:rPr>
                <w:sz w:val="20"/>
              </w:rPr>
            </w:pPr>
            <w:r w:rsidRPr="008065A3">
              <w:rPr>
                <w:sz w:val="20"/>
              </w:rPr>
              <w:t>Supreme Court of Canada</w:t>
            </w:r>
          </w:p>
        </w:tc>
        <w:tc>
          <w:tcPr>
            <w:tcW w:w="243" w:type="pct"/>
          </w:tcPr>
          <w:p w:rsidR="00043A5E" w:rsidRPr="008065A3" w:rsidRDefault="00043A5E" w:rsidP="00043A5E">
            <w:pPr>
              <w:jc w:val="both"/>
              <w:rPr>
                <w:sz w:val="20"/>
              </w:rPr>
            </w:pPr>
          </w:p>
        </w:tc>
        <w:tc>
          <w:tcPr>
            <w:tcW w:w="2330" w:type="pct"/>
          </w:tcPr>
          <w:p w:rsidR="00043A5E" w:rsidRPr="008065A3" w:rsidRDefault="00043A5E" w:rsidP="00043A5E">
            <w:pPr>
              <w:jc w:val="both"/>
              <w:rPr>
                <w:sz w:val="20"/>
              </w:rPr>
            </w:pPr>
            <w:r w:rsidRPr="008065A3">
              <w:rPr>
                <w:sz w:val="20"/>
              </w:rPr>
              <w:t>Motion for an extension of time to serve and file the response to the application for leave to appeal filed</w:t>
            </w:r>
          </w:p>
        </w:tc>
      </w:tr>
    </w:tbl>
    <w:p w:rsidR="00043A5E" w:rsidRPr="008065A3" w:rsidRDefault="00043A5E" w:rsidP="00043A5E">
      <w:pPr>
        <w:jc w:val="both"/>
        <w:rPr>
          <w:sz w:val="20"/>
        </w:rPr>
      </w:pPr>
    </w:p>
    <w:p w:rsidR="008065A3" w:rsidRPr="008065A3" w:rsidRDefault="008065A3" w:rsidP="00043A5E">
      <w:pPr>
        <w:jc w:val="both"/>
        <w:rPr>
          <w:sz w:val="20"/>
        </w:rPr>
      </w:pPr>
      <w:r w:rsidRPr="008065A3">
        <w:rPr>
          <w:sz w:val="20"/>
        </w:rPr>
        <w:pict>
          <v:rect id="_x0000_i1069" style="width:2in;height:1pt" o:hrpct="0" o:hralign="center" o:hrstd="t" o:hrnoshade="t" o:hr="t" fillcolor="black [3213]" stroked="f"/>
        </w:pict>
      </w:r>
    </w:p>
    <w:p w:rsidR="008065A3" w:rsidRPr="008065A3" w:rsidRDefault="008065A3" w:rsidP="00043A5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3A5E" w:rsidRPr="008065A3" w:rsidTr="00E3334E">
        <w:tc>
          <w:tcPr>
            <w:tcW w:w="543" w:type="pct"/>
          </w:tcPr>
          <w:p w:rsidR="00043A5E" w:rsidRPr="008065A3" w:rsidRDefault="00043A5E" w:rsidP="00043A5E">
            <w:pPr>
              <w:jc w:val="both"/>
              <w:rPr>
                <w:sz w:val="20"/>
                <w:lang w:val="fr-CA"/>
              </w:rPr>
            </w:pPr>
            <w:r w:rsidRPr="008065A3">
              <w:rPr>
                <w:rStyle w:val="SCCFileNumberChar"/>
                <w:sz w:val="20"/>
                <w:szCs w:val="20"/>
                <w:lang w:val="fr-CA"/>
              </w:rPr>
              <w:t>39264</w:t>
            </w:r>
          </w:p>
        </w:tc>
        <w:tc>
          <w:tcPr>
            <w:tcW w:w="4457" w:type="pct"/>
            <w:gridSpan w:val="3"/>
          </w:tcPr>
          <w:p w:rsidR="00043A5E" w:rsidRPr="008065A3" w:rsidRDefault="00043A5E" w:rsidP="00043A5E">
            <w:pPr>
              <w:pStyle w:val="SCCLsocParty"/>
              <w:jc w:val="both"/>
              <w:rPr>
                <w:b/>
                <w:sz w:val="20"/>
                <w:szCs w:val="20"/>
              </w:rPr>
            </w:pPr>
            <w:r w:rsidRPr="008065A3">
              <w:rPr>
                <w:b/>
                <w:sz w:val="20"/>
                <w:szCs w:val="20"/>
              </w:rPr>
              <w:t>Ineke Sutherland c. Ville de Toronto, Mark Siboni</w:t>
            </w:r>
          </w:p>
          <w:p w:rsidR="00043A5E" w:rsidRPr="008065A3" w:rsidRDefault="00043A5E" w:rsidP="00043A5E">
            <w:pPr>
              <w:jc w:val="both"/>
              <w:rPr>
                <w:sz w:val="20"/>
                <w:lang w:val="fr-CA"/>
              </w:rPr>
            </w:pPr>
            <w:r w:rsidRPr="008065A3">
              <w:rPr>
                <w:sz w:val="20"/>
                <w:lang w:val="fr-CA"/>
              </w:rPr>
              <w:t>(Ont.) (Civile) (Sur autorisation)</w:t>
            </w:r>
          </w:p>
        </w:tc>
      </w:tr>
      <w:tr w:rsidR="00043A5E" w:rsidRPr="008065A3" w:rsidTr="00E3334E">
        <w:tc>
          <w:tcPr>
            <w:tcW w:w="5000" w:type="pct"/>
            <w:gridSpan w:val="4"/>
          </w:tcPr>
          <w:p w:rsidR="00043A5E" w:rsidRPr="008065A3" w:rsidRDefault="00043A5E" w:rsidP="00043A5E">
            <w:pPr>
              <w:jc w:val="both"/>
              <w:rPr>
                <w:sz w:val="20"/>
                <w:lang w:val="fr-CA"/>
              </w:rPr>
            </w:pPr>
            <w:r w:rsidRPr="008065A3">
              <w:rPr>
                <w:sz w:val="20"/>
                <w:lang w:val="fr-CA"/>
              </w:rPr>
              <w:t xml:space="preserve">Droit constitutionnel — Charte des droits — Droit à l’égalité — Crainte raisonnable de partialité — Prescription — La demanderesse devait des impôts fonciers à l’intimée, la Ville de Toronto, remontant à l’année 2003 — Les frais de recouvrement, l’intérêt et d’autres pénalités se sont accumulés en surcroît des montants exigibles — </w:t>
            </w:r>
            <w:r w:rsidRPr="008065A3">
              <w:rPr>
                <w:color w:val="000000"/>
                <w:sz w:val="20"/>
                <w:shd w:val="clear" w:color="auto" w:fill="FFFFFF"/>
                <w:lang w:val="fr-CA"/>
              </w:rPr>
              <w:t>Un certificat d’arriérés d’impôts est enregistré relativement au titre de propriété afin de faciliter la tenue d’une vente pour défaut de paiement des impôts fonciers — La demanderesse intente une action contre la ville en dommages</w:t>
            </w:r>
            <w:r w:rsidRPr="008065A3">
              <w:rPr>
                <w:color w:val="000000"/>
                <w:sz w:val="20"/>
                <w:shd w:val="clear" w:color="auto" w:fill="FFFFFF"/>
                <w:lang w:val="fr-CA"/>
              </w:rPr>
              <w:noBreakHyphen/>
              <w:t>intérêts ayant trait à la gestion du différend</w:t>
            </w:r>
            <w:r w:rsidRPr="008065A3">
              <w:rPr>
                <w:sz w:val="20"/>
                <w:lang w:val="fr-CA"/>
              </w:rPr>
              <w:t xml:space="preserve"> — La motion visant à obtenir un jugement sommaire est accueillie en faveur de la ville au motif que la demande est prescrite — La demande d’autorisation d’appel soulève</w:t>
            </w:r>
            <w:r w:rsidRPr="008065A3">
              <w:rPr>
                <w:sz w:val="20"/>
                <w:lang w:val="fr-CA"/>
              </w:rPr>
              <w:noBreakHyphen/>
              <w:t>t</w:t>
            </w:r>
            <w:r w:rsidRPr="008065A3">
              <w:rPr>
                <w:sz w:val="20"/>
                <w:lang w:val="fr-CA"/>
              </w:rPr>
              <w:noBreakHyphen/>
              <w:t>elle une question d’importance publique ?</w:t>
            </w:r>
          </w:p>
        </w:tc>
      </w:tr>
      <w:tr w:rsidR="00043A5E" w:rsidRPr="008065A3" w:rsidTr="00E3334E">
        <w:tc>
          <w:tcPr>
            <w:tcW w:w="5000" w:type="pct"/>
            <w:gridSpan w:val="4"/>
          </w:tcPr>
          <w:p w:rsidR="00043A5E" w:rsidRPr="008065A3" w:rsidRDefault="00043A5E" w:rsidP="00043A5E">
            <w:pPr>
              <w:jc w:val="both"/>
              <w:rPr>
                <w:sz w:val="20"/>
                <w:lang w:val="fr-CA"/>
              </w:rPr>
            </w:pPr>
          </w:p>
        </w:tc>
      </w:tr>
      <w:tr w:rsidR="00043A5E" w:rsidRPr="008065A3" w:rsidTr="00E3334E">
        <w:tc>
          <w:tcPr>
            <w:tcW w:w="5000" w:type="pct"/>
            <w:gridSpan w:val="4"/>
          </w:tcPr>
          <w:p w:rsidR="00043A5E" w:rsidRPr="008065A3" w:rsidRDefault="00043A5E" w:rsidP="00043A5E">
            <w:pPr>
              <w:jc w:val="both"/>
              <w:rPr>
                <w:sz w:val="20"/>
                <w:lang w:val="fr-CA"/>
              </w:rPr>
            </w:pPr>
            <w:r w:rsidRPr="008065A3">
              <w:rPr>
                <w:sz w:val="20"/>
                <w:lang w:val="fr-CA"/>
              </w:rPr>
              <w:t>Un différend relatif au paiement d’impôts fonciers oppose la demanderesse, Mme Sutherland et l’intimée, la Ville de Toronto. En 2006, Mme Sutherland a intenté une action en Cour des petites créances sollicitant une ordonnance indiquant que son compte d’impôt de 2003 avait été intégralement acquitté. Après le début de cette action, Mme Sutherland a continué à accumuler des arrérages quant à ses impôts fonciers. L’action intentée en Cour des petites créances a été rejetée pour cause de retard et Mme Sutherland a éventuellement abandonné son appel. Lorsque la ville a pris des mesures de recouvrement, Mme Sutherland a intenté une autre action, alléguant, entre autres, que les efforts de recouvrement des arriérés d’impôt de la part de la ville lui avaient causé un préjudice. La motion visant à obtenir un jugement sommaire rejetant l’action de Mme Sutherland présentée par les intimés a été accueillie. Le juge saisi de la motion a conclu que, comme les factures d’impôt qui était à l’origine de la demande dataient de 2003, 2004 et 2005, la demande était prescrite. La Cour d’appel a rejeté l’appel de Mme Sutherland. Elle était d’avis qu’aucun motif ne justifiait d’intervenir quant aux conclusions tirées par le juge saisi de la motion.</w:t>
            </w:r>
          </w:p>
          <w:p w:rsidR="00043A5E" w:rsidRPr="008065A3" w:rsidRDefault="00043A5E" w:rsidP="00043A5E">
            <w:pPr>
              <w:jc w:val="both"/>
              <w:rPr>
                <w:sz w:val="20"/>
                <w:lang w:val="fr-CA"/>
              </w:rPr>
            </w:pPr>
          </w:p>
        </w:tc>
      </w:tr>
      <w:tr w:rsidR="00043A5E" w:rsidRPr="008065A3" w:rsidTr="00E3334E">
        <w:tc>
          <w:tcPr>
            <w:tcW w:w="2427" w:type="pct"/>
            <w:gridSpan w:val="2"/>
          </w:tcPr>
          <w:p w:rsidR="00043A5E" w:rsidRPr="008065A3" w:rsidRDefault="00043A5E" w:rsidP="00043A5E">
            <w:pPr>
              <w:jc w:val="both"/>
              <w:rPr>
                <w:sz w:val="20"/>
                <w:lang w:val="fr-CA"/>
              </w:rPr>
            </w:pPr>
            <w:r w:rsidRPr="008065A3">
              <w:rPr>
                <w:sz w:val="20"/>
                <w:lang w:val="fr-CA"/>
              </w:rPr>
              <w:t>27 février 2018</w:t>
            </w:r>
          </w:p>
          <w:p w:rsidR="00043A5E" w:rsidRPr="008065A3" w:rsidRDefault="00043A5E" w:rsidP="00043A5E">
            <w:pPr>
              <w:jc w:val="both"/>
              <w:rPr>
                <w:sz w:val="20"/>
                <w:lang w:val="fr-CA"/>
              </w:rPr>
            </w:pPr>
            <w:r w:rsidRPr="008065A3">
              <w:rPr>
                <w:sz w:val="20"/>
                <w:lang w:val="fr-CA"/>
              </w:rPr>
              <w:t>Cour supérieure de justice de l’Ontario</w:t>
            </w:r>
          </w:p>
          <w:p w:rsidR="00043A5E" w:rsidRPr="008065A3" w:rsidRDefault="00043A5E" w:rsidP="00043A5E">
            <w:pPr>
              <w:jc w:val="both"/>
              <w:rPr>
                <w:sz w:val="20"/>
                <w:lang w:val="fr-CA"/>
              </w:rPr>
            </w:pPr>
            <w:r w:rsidRPr="008065A3">
              <w:rPr>
                <w:sz w:val="20"/>
                <w:lang w:val="fr-CA"/>
              </w:rPr>
              <w:t>(Juge Lederer)</w:t>
            </w:r>
          </w:p>
          <w:p w:rsidR="00043A5E" w:rsidRPr="008065A3" w:rsidRDefault="00043A5E" w:rsidP="00043A5E">
            <w:pPr>
              <w:jc w:val="both"/>
              <w:rPr>
                <w:sz w:val="20"/>
                <w:lang w:val="fr-CA"/>
              </w:rPr>
            </w:pPr>
            <w:hyperlink r:id="rId50" w:anchor="document" w:history="1">
              <w:r w:rsidRPr="008065A3">
                <w:rPr>
                  <w:rStyle w:val="Hyperlink"/>
                  <w:sz w:val="20"/>
                  <w:lang w:val="fr-CA"/>
                </w:rPr>
                <w:t>2018 ONSC 1311</w:t>
              </w:r>
            </w:hyperlink>
          </w:p>
          <w:p w:rsidR="00043A5E" w:rsidRPr="008065A3" w:rsidRDefault="00043A5E" w:rsidP="00043A5E">
            <w:pPr>
              <w:jc w:val="both"/>
              <w:rPr>
                <w:sz w:val="20"/>
                <w:lang w:val="fr-CA"/>
              </w:rPr>
            </w:pPr>
          </w:p>
        </w:tc>
        <w:tc>
          <w:tcPr>
            <w:tcW w:w="243" w:type="pct"/>
          </w:tcPr>
          <w:p w:rsidR="00043A5E" w:rsidRPr="008065A3" w:rsidRDefault="00043A5E" w:rsidP="00043A5E">
            <w:pPr>
              <w:jc w:val="both"/>
              <w:rPr>
                <w:sz w:val="20"/>
                <w:lang w:val="fr-CA"/>
              </w:rPr>
            </w:pPr>
          </w:p>
        </w:tc>
        <w:tc>
          <w:tcPr>
            <w:tcW w:w="2330" w:type="pct"/>
          </w:tcPr>
          <w:p w:rsidR="00043A5E" w:rsidRPr="008065A3" w:rsidRDefault="00043A5E" w:rsidP="00043A5E">
            <w:pPr>
              <w:jc w:val="both"/>
              <w:rPr>
                <w:sz w:val="20"/>
                <w:lang w:val="fr-CA"/>
              </w:rPr>
            </w:pPr>
            <w:r w:rsidRPr="008065A3">
              <w:rPr>
                <w:sz w:val="20"/>
                <w:lang w:val="fr-CA"/>
              </w:rPr>
              <w:t>La motion visant à obtenir un jugement sommaire est accueillie; la demande est rejetée.</w:t>
            </w:r>
          </w:p>
          <w:p w:rsidR="00043A5E" w:rsidRPr="008065A3" w:rsidRDefault="00043A5E" w:rsidP="00043A5E">
            <w:pPr>
              <w:jc w:val="both"/>
              <w:rPr>
                <w:sz w:val="20"/>
                <w:lang w:val="fr-CA"/>
              </w:rPr>
            </w:pPr>
          </w:p>
        </w:tc>
        <w:bookmarkStart w:id="0" w:name="_GoBack"/>
        <w:bookmarkEnd w:id="0"/>
      </w:tr>
      <w:tr w:rsidR="00043A5E" w:rsidRPr="008065A3" w:rsidTr="00E3334E">
        <w:tc>
          <w:tcPr>
            <w:tcW w:w="2427" w:type="pct"/>
            <w:gridSpan w:val="2"/>
          </w:tcPr>
          <w:p w:rsidR="00043A5E" w:rsidRPr="008065A3" w:rsidRDefault="00043A5E" w:rsidP="00043A5E">
            <w:pPr>
              <w:jc w:val="both"/>
              <w:rPr>
                <w:sz w:val="20"/>
                <w:lang w:val="fr-CA"/>
              </w:rPr>
            </w:pPr>
            <w:r w:rsidRPr="008065A3">
              <w:rPr>
                <w:sz w:val="20"/>
                <w:lang w:val="fr-CA"/>
              </w:rPr>
              <w:t>13 février 2020</w:t>
            </w:r>
          </w:p>
          <w:p w:rsidR="00043A5E" w:rsidRPr="008065A3" w:rsidRDefault="00043A5E" w:rsidP="00043A5E">
            <w:pPr>
              <w:jc w:val="both"/>
              <w:rPr>
                <w:sz w:val="20"/>
                <w:lang w:val="fr-CA"/>
              </w:rPr>
            </w:pPr>
            <w:r w:rsidRPr="008065A3">
              <w:rPr>
                <w:sz w:val="20"/>
                <w:lang w:val="fr-CA"/>
              </w:rPr>
              <w:t>Cour d’appel de l’Ontario</w:t>
            </w:r>
          </w:p>
          <w:p w:rsidR="00043A5E" w:rsidRPr="008065A3" w:rsidRDefault="00043A5E" w:rsidP="00043A5E">
            <w:pPr>
              <w:jc w:val="both"/>
              <w:rPr>
                <w:sz w:val="20"/>
                <w:lang w:val="fr-CA"/>
              </w:rPr>
            </w:pPr>
            <w:r w:rsidRPr="008065A3">
              <w:rPr>
                <w:sz w:val="20"/>
                <w:lang w:val="fr-CA"/>
              </w:rPr>
              <w:t>(Juges Feldman, Brown et Zarnett)</w:t>
            </w:r>
          </w:p>
          <w:p w:rsidR="00043A5E" w:rsidRPr="008065A3" w:rsidRDefault="00043A5E" w:rsidP="00043A5E">
            <w:pPr>
              <w:jc w:val="both"/>
              <w:rPr>
                <w:sz w:val="20"/>
                <w:lang w:val="fr-CA"/>
              </w:rPr>
            </w:pPr>
            <w:r w:rsidRPr="008065A3">
              <w:rPr>
                <w:sz w:val="20"/>
                <w:lang w:val="fr-CA"/>
              </w:rPr>
              <w:t>N</w:t>
            </w:r>
            <w:r w:rsidRPr="008065A3">
              <w:rPr>
                <w:sz w:val="20"/>
                <w:vertAlign w:val="superscript"/>
                <w:lang w:val="fr-CA"/>
              </w:rPr>
              <w:t>o</w:t>
            </w:r>
            <w:r w:rsidRPr="008065A3">
              <w:rPr>
                <w:sz w:val="20"/>
                <w:lang w:val="fr-CA"/>
              </w:rPr>
              <w:t xml:space="preserve"> de dossier C65218</w:t>
            </w:r>
          </w:p>
          <w:p w:rsidR="00043A5E" w:rsidRPr="008065A3" w:rsidRDefault="00043A5E" w:rsidP="00043A5E">
            <w:pPr>
              <w:jc w:val="both"/>
              <w:rPr>
                <w:sz w:val="20"/>
                <w:lang w:val="fr-CA"/>
              </w:rPr>
            </w:pPr>
            <w:hyperlink r:id="rId51" w:history="1">
              <w:r w:rsidRPr="008065A3">
                <w:rPr>
                  <w:rStyle w:val="Hyperlink"/>
                  <w:sz w:val="20"/>
                  <w:lang w:val="fr-CA"/>
                </w:rPr>
                <w:t>2020 ONCA 122</w:t>
              </w:r>
            </w:hyperlink>
          </w:p>
          <w:p w:rsidR="00043A5E" w:rsidRPr="008065A3" w:rsidRDefault="00043A5E" w:rsidP="00043A5E">
            <w:pPr>
              <w:jc w:val="both"/>
              <w:rPr>
                <w:sz w:val="20"/>
                <w:lang w:val="fr-CA"/>
              </w:rPr>
            </w:pPr>
          </w:p>
        </w:tc>
        <w:tc>
          <w:tcPr>
            <w:tcW w:w="243" w:type="pct"/>
          </w:tcPr>
          <w:p w:rsidR="00043A5E" w:rsidRPr="008065A3" w:rsidRDefault="00043A5E" w:rsidP="00043A5E">
            <w:pPr>
              <w:jc w:val="both"/>
              <w:rPr>
                <w:sz w:val="20"/>
                <w:lang w:val="fr-CA"/>
              </w:rPr>
            </w:pPr>
          </w:p>
        </w:tc>
        <w:tc>
          <w:tcPr>
            <w:tcW w:w="2330" w:type="pct"/>
          </w:tcPr>
          <w:p w:rsidR="00043A5E" w:rsidRPr="008065A3" w:rsidRDefault="00043A5E" w:rsidP="00043A5E">
            <w:pPr>
              <w:jc w:val="both"/>
              <w:rPr>
                <w:sz w:val="20"/>
                <w:lang w:val="fr-CA"/>
              </w:rPr>
            </w:pPr>
            <w:r w:rsidRPr="008065A3">
              <w:rPr>
                <w:sz w:val="20"/>
                <w:lang w:val="fr-CA"/>
              </w:rPr>
              <w:t>L’appel est rejeté.</w:t>
            </w:r>
          </w:p>
          <w:p w:rsidR="00043A5E" w:rsidRPr="008065A3" w:rsidRDefault="00043A5E" w:rsidP="00043A5E">
            <w:pPr>
              <w:jc w:val="both"/>
              <w:rPr>
                <w:sz w:val="20"/>
                <w:lang w:val="fr-CA"/>
              </w:rPr>
            </w:pPr>
          </w:p>
        </w:tc>
      </w:tr>
      <w:tr w:rsidR="00043A5E" w:rsidRPr="008065A3" w:rsidTr="00E3334E">
        <w:tc>
          <w:tcPr>
            <w:tcW w:w="2427" w:type="pct"/>
            <w:gridSpan w:val="2"/>
          </w:tcPr>
          <w:p w:rsidR="00043A5E" w:rsidRPr="008065A3" w:rsidRDefault="00043A5E" w:rsidP="00043A5E">
            <w:pPr>
              <w:jc w:val="both"/>
              <w:rPr>
                <w:sz w:val="20"/>
                <w:lang w:val="fr-CA"/>
              </w:rPr>
            </w:pPr>
            <w:r w:rsidRPr="008065A3">
              <w:rPr>
                <w:sz w:val="20"/>
                <w:lang w:val="fr-CA"/>
              </w:rPr>
              <w:t>14 avril 2020</w:t>
            </w:r>
          </w:p>
          <w:p w:rsidR="00043A5E" w:rsidRPr="008065A3" w:rsidRDefault="00043A5E" w:rsidP="00043A5E">
            <w:pPr>
              <w:jc w:val="both"/>
              <w:rPr>
                <w:sz w:val="20"/>
                <w:lang w:val="fr-CA"/>
              </w:rPr>
            </w:pPr>
            <w:r w:rsidRPr="008065A3">
              <w:rPr>
                <w:sz w:val="20"/>
                <w:lang w:val="fr-CA"/>
              </w:rPr>
              <w:t>Cour suprême du Canada</w:t>
            </w:r>
          </w:p>
          <w:p w:rsidR="00043A5E" w:rsidRPr="008065A3" w:rsidRDefault="00043A5E" w:rsidP="00043A5E">
            <w:pPr>
              <w:jc w:val="both"/>
              <w:rPr>
                <w:sz w:val="20"/>
                <w:lang w:val="fr-CA"/>
              </w:rPr>
            </w:pPr>
          </w:p>
        </w:tc>
        <w:tc>
          <w:tcPr>
            <w:tcW w:w="243" w:type="pct"/>
          </w:tcPr>
          <w:p w:rsidR="00043A5E" w:rsidRPr="008065A3" w:rsidRDefault="00043A5E" w:rsidP="00043A5E">
            <w:pPr>
              <w:jc w:val="both"/>
              <w:rPr>
                <w:sz w:val="20"/>
                <w:lang w:val="fr-CA"/>
              </w:rPr>
            </w:pPr>
          </w:p>
        </w:tc>
        <w:tc>
          <w:tcPr>
            <w:tcW w:w="2330" w:type="pct"/>
          </w:tcPr>
          <w:p w:rsidR="00043A5E" w:rsidRPr="008065A3" w:rsidRDefault="00043A5E" w:rsidP="00043A5E">
            <w:pPr>
              <w:jc w:val="both"/>
              <w:rPr>
                <w:sz w:val="20"/>
                <w:lang w:val="fr-CA"/>
              </w:rPr>
            </w:pPr>
            <w:r w:rsidRPr="008065A3">
              <w:rPr>
                <w:sz w:val="20"/>
                <w:lang w:val="fr-CA"/>
              </w:rPr>
              <w:t>La demande d’autorisation d’appel est présentée.</w:t>
            </w:r>
          </w:p>
          <w:p w:rsidR="00043A5E" w:rsidRPr="008065A3" w:rsidRDefault="00043A5E" w:rsidP="00043A5E">
            <w:pPr>
              <w:jc w:val="both"/>
              <w:rPr>
                <w:sz w:val="20"/>
                <w:lang w:val="fr-CA"/>
              </w:rPr>
            </w:pPr>
          </w:p>
        </w:tc>
      </w:tr>
      <w:tr w:rsidR="00043A5E" w:rsidRPr="008065A3" w:rsidTr="00E3334E">
        <w:tc>
          <w:tcPr>
            <w:tcW w:w="2427" w:type="pct"/>
            <w:gridSpan w:val="2"/>
          </w:tcPr>
          <w:p w:rsidR="00043A5E" w:rsidRPr="008065A3" w:rsidRDefault="00043A5E" w:rsidP="00043A5E">
            <w:pPr>
              <w:jc w:val="both"/>
              <w:rPr>
                <w:sz w:val="20"/>
                <w:lang w:val="fr-CA"/>
              </w:rPr>
            </w:pPr>
            <w:r w:rsidRPr="008065A3">
              <w:rPr>
                <w:sz w:val="20"/>
                <w:lang w:val="fr-CA"/>
              </w:rPr>
              <w:lastRenderedPageBreak/>
              <w:t>10 novembre 2020</w:t>
            </w:r>
          </w:p>
          <w:p w:rsidR="00043A5E" w:rsidRPr="008065A3" w:rsidRDefault="00043A5E" w:rsidP="00043A5E">
            <w:pPr>
              <w:jc w:val="both"/>
              <w:rPr>
                <w:sz w:val="20"/>
                <w:lang w:val="fr-CA"/>
              </w:rPr>
            </w:pPr>
            <w:r w:rsidRPr="008065A3">
              <w:rPr>
                <w:sz w:val="20"/>
                <w:lang w:val="fr-CA"/>
              </w:rPr>
              <w:t>Cour suprême du Canada</w:t>
            </w:r>
          </w:p>
          <w:p w:rsidR="00043A5E" w:rsidRPr="008065A3" w:rsidRDefault="00043A5E" w:rsidP="00043A5E">
            <w:pPr>
              <w:jc w:val="both"/>
              <w:rPr>
                <w:sz w:val="20"/>
                <w:lang w:val="fr-CA"/>
              </w:rPr>
            </w:pPr>
          </w:p>
        </w:tc>
        <w:tc>
          <w:tcPr>
            <w:tcW w:w="243" w:type="pct"/>
          </w:tcPr>
          <w:p w:rsidR="00043A5E" w:rsidRPr="008065A3" w:rsidRDefault="00043A5E" w:rsidP="00043A5E">
            <w:pPr>
              <w:jc w:val="both"/>
              <w:rPr>
                <w:sz w:val="20"/>
                <w:lang w:val="fr-CA"/>
              </w:rPr>
            </w:pPr>
          </w:p>
        </w:tc>
        <w:tc>
          <w:tcPr>
            <w:tcW w:w="2330" w:type="pct"/>
          </w:tcPr>
          <w:p w:rsidR="00043A5E" w:rsidRPr="008065A3" w:rsidRDefault="00043A5E" w:rsidP="00043A5E">
            <w:pPr>
              <w:jc w:val="both"/>
              <w:rPr>
                <w:sz w:val="20"/>
                <w:lang w:val="fr-CA"/>
              </w:rPr>
            </w:pPr>
            <w:r w:rsidRPr="008065A3">
              <w:rPr>
                <w:sz w:val="20"/>
                <w:lang w:val="fr-CA"/>
              </w:rPr>
              <w:t>La requête en prorogation du délai de signification et de dépôt de la réponse à la demande d'autorisation d'appel est déposée.</w:t>
            </w:r>
          </w:p>
        </w:tc>
      </w:tr>
    </w:tbl>
    <w:p w:rsidR="008C3C00" w:rsidRPr="008065A3" w:rsidRDefault="008C3C00" w:rsidP="00C13AB4">
      <w:pPr>
        <w:widowControl w:val="0"/>
        <w:jc w:val="both"/>
        <w:rPr>
          <w:sz w:val="20"/>
          <w:lang w:val="fr-CA"/>
        </w:rPr>
      </w:pPr>
    </w:p>
    <w:p w:rsidR="008C3C00" w:rsidRPr="008065A3" w:rsidRDefault="00E3334E" w:rsidP="00C13AB4">
      <w:pPr>
        <w:widowControl w:val="0"/>
        <w:jc w:val="both"/>
        <w:rPr>
          <w:sz w:val="20"/>
        </w:rPr>
      </w:pPr>
      <w:r w:rsidRPr="008065A3">
        <w:rPr>
          <w:sz w:val="20"/>
        </w:rPr>
        <w:pict>
          <v:rect id="_x0000_i1036" style="width:2in;height:1pt" o:hrpct="0" o:hralign="center" o:hrstd="t" o:hrnoshade="t" o:hr="t" fillcolor="black [3213]" stroked="f"/>
        </w:pict>
      </w:r>
    </w:p>
    <w:p w:rsidR="008C3C00" w:rsidRPr="008065A3" w:rsidRDefault="008C3C00" w:rsidP="00C13AB4">
      <w:pPr>
        <w:widowControl w:val="0"/>
        <w:jc w:val="both"/>
        <w:rPr>
          <w:sz w:val="20"/>
        </w:rPr>
      </w:pPr>
    </w:p>
    <w:p w:rsidR="005C7161" w:rsidRPr="008065A3" w:rsidRDefault="005C7161" w:rsidP="006A22CA">
      <w:pPr>
        <w:ind w:left="142" w:hanging="142"/>
        <w:jc w:val="both"/>
        <w:rPr>
          <w:sz w:val="20"/>
        </w:rPr>
      </w:pPr>
    </w:p>
    <w:p w:rsidR="00FD3FA0" w:rsidRPr="008065A3" w:rsidRDefault="00FD3FA0" w:rsidP="006A22CA">
      <w:pPr>
        <w:ind w:left="142" w:hanging="142"/>
        <w:jc w:val="both"/>
        <w:rPr>
          <w:sz w:val="20"/>
        </w:rPr>
      </w:pPr>
    </w:p>
    <w:p w:rsidR="00D3344A" w:rsidRPr="008065A3" w:rsidRDefault="00D3344A" w:rsidP="00D3344A">
      <w:pPr>
        <w:widowControl w:val="0"/>
        <w:outlineLvl w:val="0"/>
      </w:pPr>
      <w:r w:rsidRPr="008065A3">
        <w:t xml:space="preserve">Supreme Court of Canada / Cour suprême du </w:t>
      </w:r>
      <w:proofErr w:type="gramStart"/>
      <w:r w:rsidRPr="008065A3">
        <w:t>Canad</w:t>
      </w:r>
      <w:r w:rsidR="00EE289F" w:rsidRPr="008065A3">
        <w:t>a</w:t>
      </w:r>
      <w:r w:rsidRPr="008065A3">
        <w:t xml:space="preserve"> :</w:t>
      </w:r>
      <w:proofErr w:type="gramEnd"/>
    </w:p>
    <w:p w:rsidR="00D3344A" w:rsidRPr="008065A3" w:rsidRDefault="00E3334E" w:rsidP="00D3344A">
      <w:pPr>
        <w:widowControl w:val="0"/>
        <w:outlineLvl w:val="0"/>
        <w:rPr>
          <w:u w:val="single"/>
        </w:rPr>
      </w:pPr>
      <w:hyperlink r:id="rId52" w:history="1">
        <w:r w:rsidR="009B7391" w:rsidRPr="008065A3">
          <w:rPr>
            <w:rStyle w:val="Hyperlink"/>
          </w:rPr>
          <w:t>comments-commentaires@scc-csc.ca</w:t>
        </w:r>
      </w:hyperlink>
    </w:p>
    <w:p w:rsidR="00D3344A" w:rsidRPr="008065A3" w:rsidRDefault="0065588C" w:rsidP="00D3344A">
      <w:pPr>
        <w:widowControl w:val="0"/>
        <w:outlineLvl w:val="0"/>
      </w:pPr>
      <w:r w:rsidRPr="008065A3">
        <w:t>613-</w:t>
      </w:r>
      <w:r w:rsidR="00D3344A" w:rsidRPr="008065A3">
        <w:t>995-4330</w:t>
      </w:r>
    </w:p>
    <w:p w:rsidR="00497B5E" w:rsidRPr="008065A3" w:rsidRDefault="00497B5E" w:rsidP="00497B5E">
      <w:pPr>
        <w:widowControl w:val="0"/>
        <w:rPr>
          <w:sz w:val="20"/>
        </w:rPr>
      </w:pPr>
    </w:p>
    <w:p w:rsidR="00F6251B" w:rsidRPr="006E558B" w:rsidRDefault="003F43E6" w:rsidP="00F6251B">
      <w:pPr>
        <w:pStyle w:val="Footer"/>
        <w:jc w:val="center"/>
      </w:pPr>
      <w:r w:rsidRPr="008065A3">
        <w:t>- 30 -</w:t>
      </w:r>
    </w:p>
    <w:sectPr w:rsidR="00F6251B" w:rsidRPr="006E558B" w:rsidSect="00E62F93">
      <w:headerReference w:type="even" r:id="rId53"/>
      <w:headerReference w:type="default" r:id="rId54"/>
      <w:footerReference w:type="even" r:id="rId55"/>
      <w:footerReference w:type="default" r:id="rId56"/>
      <w:headerReference w:type="first" r:id="rId57"/>
      <w:footerReference w:type="first" r:id="rId58"/>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34E" w:rsidRDefault="00E3334E" w:rsidP="0034178A">
      <w:r>
        <w:separator/>
      </w:r>
    </w:p>
  </w:endnote>
  <w:endnote w:type="continuationSeparator" w:id="0">
    <w:p w:rsidR="00E3334E" w:rsidRDefault="00E3334E"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4E" w:rsidRDefault="00E333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4E" w:rsidRPr="009F77F0" w:rsidRDefault="00E3334E"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4E" w:rsidRDefault="00E33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34E" w:rsidRDefault="00E3334E" w:rsidP="0034178A">
      <w:r>
        <w:separator/>
      </w:r>
    </w:p>
  </w:footnote>
  <w:footnote w:type="continuationSeparator" w:id="0">
    <w:p w:rsidR="00E3334E" w:rsidRDefault="00E3334E"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4E" w:rsidRDefault="00E333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4E" w:rsidRDefault="00E333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4E" w:rsidRDefault="00E333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2AA1"/>
    <w:multiLevelType w:val="hybridMultilevel"/>
    <w:tmpl w:val="5D40C488"/>
    <w:lvl w:ilvl="0" w:tplc="DD1C1D66">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30168"/>
    <w:multiLevelType w:val="hybridMultilevel"/>
    <w:tmpl w:val="2B64F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B4CCB"/>
    <w:multiLevelType w:val="hybridMultilevel"/>
    <w:tmpl w:val="96BC1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305FB"/>
    <w:multiLevelType w:val="hybridMultilevel"/>
    <w:tmpl w:val="A6EAF2B0"/>
    <w:lvl w:ilvl="0" w:tplc="1324CB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617AE"/>
    <w:multiLevelType w:val="hybridMultilevel"/>
    <w:tmpl w:val="3350EE4C"/>
    <w:lvl w:ilvl="0" w:tplc="5D620E9E">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90573"/>
    <w:multiLevelType w:val="hybridMultilevel"/>
    <w:tmpl w:val="6C3A54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C396547"/>
    <w:multiLevelType w:val="hybridMultilevel"/>
    <w:tmpl w:val="7C8C6F2C"/>
    <w:lvl w:ilvl="0" w:tplc="6B82C7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3D65"/>
    <w:multiLevelType w:val="hybridMultilevel"/>
    <w:tmpl w:val="4294757C"/>
    <w:lvl w:ilvl="0" w:tplc="AC62D5D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A4EFA"/>
    <w:multiLevelType w:val="hybridMultilevel"/>
    <w:tmpl w:val="421209BC"/>
    <w:lvl w:ilvl="0" w:tplc="F5CC30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35C5F"/>
    <w:multiLevelType w:val="hybridMultilevel"/>
    <w:tmpl w:val="62F6FD16"/>
    <w:lvl w:ilvl="0" w:tplc="BCEE850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13234"/>
    <w:multiLevelType w:val="hybridMultilevel"/>
    <w:tmpl w:val="449A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E47A7"/>
    <w:multiLevelType w:val="hybridMultilevel"/>
    <w:tmpl w:val="07EEB1CC"/>
    <w:lvl w:ilvl="0" w:tplc="68EA51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5579B"/>
    <w:multiLevelType w:val="hybridMultilevel"/>
    <w:tmpl w:val="7804C5B6"/>
    <w:lvl w:ilvl="0" w:tplc="8D1CF112">
      <w:start w:val="9"/>
      <w:numFmt w:val="decimal"/>
      <w:lvlText w:val="%1."/>
      <w:lvlJc w:val="left"/>
      <w:pPr>
        <w:ind w:left="720" w:hanging="360"/>
      </w:pPr>
      <w:rPr>
        <w:rFonts w:hint="default"/>
        <w:b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C6E766C"/>
    <w:multiLevelType w:val="hybridMultilevel"/>
    <w:tmpl w:val="F59294E0"/>
    <w:lvl w:ilvl="0" w:tplc="E21856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35751"/>
    <w:multiLevelType w:val="hybridMultilevel"/>
    <w:tmpl w:val="00840858"/>
    <w:lvl w:ilvl="0" w:tplc="99A6208A">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8A3B2B"/>
    <w:multiLevelType w:val="hybridMultilevel"/>
    <w:tmpl w:val="238E4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722FE"/>
    <w:multiLevelType w:val="hybridMultilevel"/>
    <w:tmpl w:val="8A767CF0"/>
    <w:lvl w:ilvl="0" w:tplc="8A0C68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FC168C"/>
    <w:multiLevelType w:val="hybridMultilevel"/>
    <w:tmpl w:val="E04667A2"/>
    <w:lvl w:ilvl="0" w:tplc="0CFA4778">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9C641E"/>
    <w:multiLevelType w:val="hybridMultilevel"/>
    <w:tmpl w:val="2684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E527BC"/>
    <w:multiLevelType w:val="hybridMultilevel"/>
    <w:tmpl w:val="BAC6E870"/>
    <w:lvl w:ilvl="0" w:tplc="9A38E51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2A781D"/>
    <w:multiLevelType w:val="hybridMultilevel"/>
    <w:tmpl w:val="59FA57E6"/>
    <w:lvl w:ilvl="0" w:tplc="9E8002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94D10"/>
    <w:multiLevelType w:val="hybridMultilevel"/>
    <w:tmpl w:val="5190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47616A"/>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7483B"/>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F6080B"/>
    <w:multiLevelType w:val="hybridMultilevel"/>
    <w:tmpl w:val="772A2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314585"/>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6103EBE"/>
    <w:multiLevelType w:val="hybridMultilevel"/>
    <w:tmpl w:val="842AABD2"/>
    <w:lvl w:ilvl="0" w:tplc="15385E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2A0413"/>
    <w:multiLevelType w:val="hybridMultilevel"/>
    <w:tmpl w:val="AB1CF54C"/>
    <w:lvl w:ilvl="0" w:tplc="E490F57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17199"/>
    <w:multiLevelType w:val="hybridMultilevel"/>
    <w:tmpl w:val="64C65B84"/>
    <w:lvl w:ilvl="0" w:tplc="6674EB6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07717"/>
    <w:multiLevelType w:val="hybridMultilevel"/>
    <w:tmpl w:val="208ABB5C"/>
    <w:lvl w:ilvl="0" w:tplc="30EAF0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6D0492"/>
    <w:multiLevelType w:val="hybridMultilevel"/>
    <w:tmpl w:val="50647618"/>
    <w:lvl w:ilvl="0" w:tplc="AF42260E">
      <w:start w:val="3"/>
      <w:numFmt w:val="decimal"/>
      <w:lvlText w:val="%1."/>
      <w:lvlJc w:val="left"/>
      <w:pPr>
        <w:ind w:left="720" w:hanging="360"/>
      </w:pPr>
      <w:rPr>
        <w:rFonts w:hint="default"/>
        <w:b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76A30A20"/>
    <w:multiLevelType w:val="hybridMultilevel"/>
    <w:tmpl w:val="9808DF6A"/>
    <w:lvl w:ilvl="0" w:tplc="8E10A7DC">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4E2AB4"/>
    <w:multiLevelType w:val="hybridMultilevel"/>
    <w:tmpl w:val="163448CA"/>
    <w:lvl w:ilvl="0" w:tplc="00006A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BA563F"/>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DC305A6"/>
    <w:multiLevelType w:val="hybridMultilevel"/>
    <w:tmpl w:val="8A64C412"/>
    <w:lvl w:ilvl="0" w:tplc="8D22EFB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18"/>
  </w:num>
  <w:num w:numId="5">
    <w:abstractNumId w:val="36"/>
  </w:num>
  <w:num w:numId="6">
    <w:abstractNumId w:val="26"/>
  </w:num>
  <w:num w:numId="7">
    <w:abstractNumId w:val="12"/>
  </w:num>
  <w:num w:numId="8">
    <w:abstractNumId w:val="35"/>
  </w:num>
  <w:num w:numId="9">
    <w:abstractNumId w:val="4"/>
  </w:num>
  <w:num w:numId="10">
    <w:abstractNumId w:val="31"/>
  </w:num>
  <w:num w:numId="11">
    <w:abstractNumId w:val="15"/>
  </w:num>
  <w:num w:numId="12">
    <w:abstractNumId w:val="17"/>
  </w:num>
  <w:num w:numId="13">
    <w:abstractNumId w:val="24"/>
  </w:num>
  <w:num w:numId="14">
    <w:abstractNumId w:val="23"/>
  </w:num>
  <w:num w:numId="15">
    <w:abstractNumId w:val="28"/>
  </w:num>
  <w:num w:numId="16">
    <w:abstractNumId w:val="30"/>
  </w:num>
  <w:num w:numId="17">
    <w:abstractNumId w:val="5"/>
  </w:num>
  <w:num w:numId="18">
    <w:abstractNumId w:val="34"/>
  </w:num>
  <w:num w:numId="19">
    <w:abstractNumId w:val="20"/>
  </w:num>
  <w:num w:numId="20">
    <w:abstractNumId w:val="1"/>
  </w:num>
  <w:num w:numId="21">
    <w:abstractNumId w:val="0"/>
  </w:num>
  <w:num w:numId="22">
    <w:abstractNumId w:val="14"/>
  </w:num>
  <w:num w:numId="23">
    <w:abstractNumId w:val="29"/>
  </w:num>
  <w:num w:numId="24">
    <w:abstractNumId w:val="8"/>
  </w:num>
  <w:num w:numId="25">
    <w:abstractNumId w:val="27"/>
  </w:num>
  <w:num w:numId="26">
    <w:abstractNumId w:val="9"/>
  </w:num>
  <w:num w:numId="27">
    <w:abstractNumId w:val="13"/>
  </w:num>
  <w:num w:numId="28">
    <w:abstractNumId w:val="16"/>
  </w:num>
  <w:num w:numId="29">
    <w:abstractNumId w:val="2"/>
  </w:num>
  <w:num w:numId="30">
    <w:abstractNumId w:val="11"/>
  </w:num>
  <w:num w:numId="31">
    <w:abstractNumId w:val="22"/>
  </w:num>
  <w:num w:numId="32">
    <w:abstractNumId w:val="21"/>
  </w:num>
  <w:num w:numId="33">
    <w:abstractNumId w:val="32"/>
  </w:num>
  <w:num w:numId="34">
    <w:abstractNumId w:val="19"/>
  </w:num>
  <w:num w:numId="35">
    <w:abstractNumId w:val="25"/>
  </w:num>
  <w:num w:numId="36">
    <w:abstractNumId w:val="33"/>
  </w:num>
  <w:num w:numId="3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37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D0C49"/>
    <w:rsid w:val="002D0F70"/>
    <w:rsid w:val="002D1469"/>
    <w:rsid w:val="002D2333"/>
    <w:rsid w:val="002D2553"/>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18E"/>
    <w:rsid w:val="004706A0"/>
    <w:rsid w:val="0047103A"/>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A17"/>
    <w:rsid w:val="006A7D6E"/>
    <w:rsid w:val="006A7FA7"/>
    <w:rsid w:val="006B0417"/>
    <w:rsid w:val="006B0634"/>
    <w:rsid w:val="006B0F9B"/>
    <w:rsid w:val="006B1837"/>
    <w:rsid w:val="006B1C34"/>
    <w:rsid w:val="006B1FDC"/>
    <w:rsid w:val="006B1FF1"/>
    <w:rsid w:val="006B2896"/>
    <w:rsid w:val="006B293F"/>
    <w:rsid w:val="006B34DE"/>
    <w:rsid w:val="006B35F3"/>
    <w:rsid w:val="006B40C1"/>
    <w:rsid w:val="006B5F49"/>
    <w:rsid w:val="006B60A2"/>
    <w:rsid w:val="006B6490"/>
    <w:rsid w:val="006B6A20"/>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BA2"/>
    <w:rsid w:val="00804FE6"/>
    <w:rsid w:val="008050F8"/>
    <w:rsid w:val="00805224"/>
    <w:rsid w:val="0080556B"/>
    <w:rsid w:val="00805FD6"/>
    <w:rsid w:val="008065A3"/>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D1B"/>
    <w:rsid w:val="008163BE"/>
    <w:rsid w:val="008164A8"/>
    <w:rsid w:val="00816C1F"/>
    <w:rsid w:val="008174AD"/>
    <w:rsid w:val="00820876"/>
    <w:rsid w:val="0082143F"/>
    <w:rsid w:val="0082159A"/>
    <w:rsid w:val="00821718"/>
    <w:rsid w:val="00822064"/>
    <w:rsid w:val="008220AD"/>
    <w:rsid w:val="00822738"/>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2C7E"/>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3670"/>
    <w:rsid w:val="008B392A"/>
    <w:rsid w:val="008B3E82"/>
    <w:rsid w:val="008B4157"/>
    <w:rsid w:val="008B4A24"/>
    <w:rsid w:val="008B51DE"/>
    <w:rsid w:val="008B5AFF"/>
    <w:rsid w:val="008B5E0B"/>
    <w:rsid w:val="008B758A"/>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0D77"/>
    <w:rsid w:val="00BB134D"/>
    <w:rsid w:val="00BB2A4D"/>
    <w:rsid w:val="00BB2F5F"/>
    <w:rsid w:val="00BB3A0C"/>
    <w:rsid w:val="00BB3D35"/>
    <w:rsid w:val="00BB3D7A"/>
    <w:rsid w:val="00BB3DB6"/>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C9B"/>
    <w:rsid w:val="00CE6109"/>
    <w:rsid w:val="00CE6260"/>
    <w:rsid w:val="00CE62A5"/>
    <w:rsid w:val="00CE633C"/>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5BB"/>
    <w:rsid w:val="00DA6D82"/>
    <w:rsid w:val="00DA70A5"/>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D9"/>
    <w:rsid w:val="00DC1FC3"/>
    <w:rsid w:val="00DC2393"/>
    <w:rsid w:val="00DC23B0"/>
    <w:rsid w:val="00DC2400"/>
    <w:rsid w:val="00DC246B"/>
    <w:rsid w:val="00DC2998"/>
    <w:rsid w:val="00DC2AD7"/>
    <w:rsid w:val="00DC2CDA"/>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50167"/>
    <w:rsid w:val="00E5097C"/>
    <w:rsid w:val="00E50EAA"/>
    <w:rsid w:val="00E513DE"/>
    <w:rsid w:val="00E51879"/>
    <w:rsid w:val="00E51DDA"/>
    <w:rsid w:val="00E52A08"/>
    <w:rsid w:val="00E5361B"/>
    <w:rsid w:val="00E5366E"/>
    <w:rsid w:val="00E537AB"/>
    <w:rsid w:val="00E544E3"/>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9361" TargetMode="External"/><Relationship Id="rId18" Type="http://schemas.openxmlformats.org/officeDocument/2006/relationships/hyperlink" Target="https://www.canlii.org/en/bc/bcca/doc/2018/2018bcca254/2018bcca254.html?autocompleteStr=2018%20bcca%20254&amp;autocompletePos=1" TargetMode="External"/><Relationship Id="rId26" Type="http://schemas.openxmlformats.org/officeDocument/2006/relationships/hyperlink" Target="https://www.canlii.org/en/on/onsc/doc/2019/2019onsc3041/2019onsc3041.html" TargetMode="External"/><Relationship Id="rId39" Type="http://schemas.openxmlformats.org/officeDocument/2006/relationships/hyperlink" Target="https://www.canlii.org/en/on/onca/doc/2020/2020onca536/2020onca536.html?autocompleteStr=2020%20onca%20536&amp;autocompletePos=1" TargetMode="External"/><Relationship Id="rId21" Type="http://schemas.openxmlformats.org/officeDocument/2006/relationships/hyperlink" Target="https://www.canlii.org/fr/qc/qcca/doc/2020/2020qcca204/2020qcca204.html" TargetMode="External"/><Relationship Id="rId34" Type="http://schemas.openxmlformats.org/officeDocument/2006/relationships/hyperlink" Target="https://www.canlii.org/en/qc/qccs/doc/2018/2018qccs5284/2018qccs5284.pdf" TargetMode="External"/><Relationship Id="rId42" Type="http://schemas.openxmlformats.org/officeDocument/2006/relationships/hyperlink" Target="https://www.canlii.org/en/ab/abqb/doc/2019/2019abqb344/2019abqb344.html" TargetMode="External"/><Relationship Id="rId47" Type="http://schemas.openxmlformats.org/officeDocument/2006/relationships/hyperlink" Target="https://www.canlii.org/en/on/onca/doc/2020/2020onca304/2020onca304.html?resultIndex=1" TargetMode="External"/><Relationship Id="rId50" Type="http://schemas.openxmlformats.org/officeDocument/2006/relationships/hyperlink" Target="https://www.canlii.org/en/on/onsc/doc/2018/2018onsc1311/2018onsc1311.html?autocompleteStr=sutherland%20toronto&amp;autocompletePos=1"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cc-csc.ca/case-dossier/info/sum-som-eng.aspx?cas=39375" TargetMode="External"/><Relationship Id="rId17" Type="http://schemas.openxmlformats.org/officeDocument/2006/relationships/hyperlink" Target="https://www.scc-csc.ca/case-dossier/info/sum-som-eng.aspx?cas=39264" TargetMode="External"/><Relationship Id="rId25" Type="http://schemas.openxmlformats.org/officeDocument/2006/relationships/hyperlink" Target="https://www.canlii.org/en/on/onca/doc/2020/2020onca487/2020onca487.html?autocompleteStr=2020%20ONCA%20487&amp;autocompletePos=1" TargetMode="External"/><Relationship Id="rId33" Type="http://schemas.openxmlformats.org/officeDocument/2006/relationships/hyperlink" Target="https://www.canlii.org/fr/qc/qcca/doc/2020/2020qcca970/2020qcca970.pdf" TargetMode="External"/><Relationship Id="rId38" Type="http://schemas.openxmlformats.org/officeDocument/2006/relationships/hyperlink" Target="https://www.canlii.org/en/on/onsc/doc/2018/2018onsc7523/2018onsc7523.html?resultIndex=1" TargetMode="External"/><Relationship Id="rId46" Type="http://schemas.openxmlformats.org/officeDocument/2006/relationships/hyperlink" Target="https://www.canlii.org/en/on/onca/doc/2020/2020onca304/2020onca304.html?resultIndex=1"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c-csc.ca/case-dossier/info/sum-som-eng.aspx?cas=39288" TargetMode="External"/><Relationship Id="rId20" Type="http://schemas.openxmlformats.org/officeDocument/2006/relationships/hyperlink" Target="https://www.canlii.org/fr/qc/qccs/doc/2019/2019qccs4246/2019qccs4246.html?autocompleteStr=berardini%20acc&amp;autocompletePos=2" TargetMode="External"/><Relationship Id="rId29" Type="http://schemas.openxmlformats.org/officeDocument/2006/relationships/hyperlink" Target="https://www.canlii.org/en/sk/skca/doc/2020/2020skca74/2020skca74.html" TargetMode="External"/><Relationship Id="rId41" Type="http://schemas.openxmlformats.org/officeDocument/2006/relationships/hyperlink" Target="https://www.canlii.org/en/ab/abca/doc/2020/2020abca221/2020abca221.html?resultIndex=1"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362" TargetMode="External"/><Relationship Id="rId24" Type="http://schemas.openxmlformats.org/officeDocument/2006/relationships/hyperlink" Target="https://www.canlii.org/en/on/onsc/doc/2019/2019onsc3041/2019onsc3041.html" TargetMode="External"/><Relationship Id="rId32" Type="http://schemas.openxmlformats.org/officeDocument/2006/relationships/hyperlink" Target="https://www.canlii.org/en/qc/qccs/doc/2018/2018qccs5284/2018qccs5284.pdf" TargetMode="External"/><Relationship Id="rId37" Type="http://schemas.openxmlformats.org/officeDocument/2006/relationships/hyperlink" Target="https://www.canlii.org/en/on/onca/doc/2020/2020onca536/2020onca536.html?autocompleteStr=2020%20onca%20536&amp;autocompletePos=1" TargetMode="External"/><Relationship Id="rId40" Type="http://schemas.openxmlformats.org/officeDocument/2006/relationships/hyperlink" Target="https://www.canlii.org/en/ab/abqb/doc/2019/2019abqb344/2019abqb344.html" TargetMode="External"/><Relationship Id="rId45" Type="http://schemas.openxmlformats.org/officeDocument/2006/relationships/hyperlink" Target="http://canlii.ca/t/j8zq0"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c-csc.ca/case-dossier/info/sum-som-eng.aspx?cas=39351" TargetMode="External"/><Relationship Id="rId23" Type="http://schemas.openxmlformats.org/officeDocument/2006/relationships/hyperlink" Target="https://www.canlii.org/fr/qc/qcca/doc/2020/2020qcca204/2020qcca204.html" TargetMode="External"/><Relationship Id="rId28" Type="http://schemas.openxmlformats.org/officeDocument/2006/relationships/hyperlink" Target="https://www.canlii.org/en/sk/skqb/doc/2018/2018skqb272/2018skqb272.html" TargetMode="External"/><Relationship Id="rId36" Type="http://schemas.openxmlformats.org/officeDocument/2006/relationships/hyperlink" Target="https://www.canlii.org/en/on/onsc/doc/2018/2018onsc7523/2018onsc7523.html?resultIndex=1" TargetMode="External"/><Relationship Id="rId49" Type="http://schemas.openxmlformats.org/officeDocument/2006/relationships/hyperlink" Target="https://www.canlii.org/en/on/onca/doc/2020/2020onca122/2020onca122.html" TargetMode="External"/><Relationship Id="rId57" Type="http://schemas.openxmlformats.org/officeDocument/2006/relationships/header" Target="header3.xml"/><Relationship Id="rId10" Type="http://schemas.openxmlformats.org/officeDocument/2006/relationships/hyperlink" Target="https://www.scc-csc.ca/case-dossier/info/sum-som-eng.aspx?cas=39358" TargetMode="External"/><Relationship Id="rId19" Type="http://schemas.openxmlformats.org/officeDocument/2006/relationships/hyperlink" Target="https://www.canlii.org/en/bc/bcca/doc/2018/2018bcca254/2018bcca254.html?autocompleteStr=2018%20bcca%20254&amp;autocompletePos=1" TargetMode="External"/><Relationship Id="rId31" Type="http://schemas.openxmlformats.org/officeDocument/2006/relationships/hyperlink" Target="https://www.canlii.org/en/sk/skca/doc/2020/2020skca74/2020skca74.html" TargetMode="External"/><Relationship Id="rId44" Type="http://schemas.openxmlformats.org/officeDocument/2006/relationships/hyperlink" Target="http://canlii.ca/t/j8zq0" TargetMode="External"/><Relationship Id="rId52" Type="http://schemas.openxmlformats.org/officeDocument/2006/relationships/hyperlink" Target="mailto:comments-commentaires@scc-csc.ca"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fra.aspx?cas=39369" TargetMode="External"/><Relationship Id="rId14" Type="http://schemas.openxmlformats.org/officeDocument/2006/relationships/hyperlink" Target="https://www.scc-csc.ca/case-dossier/info/sum-som-eng.aspx?cas=39366" TargetMode="External"/><Relationship Id="rId22" Type="http://schemas.openxmlformats.org/officeDocument/2006/relationships/hyperlink" Target="https://www.canlii.org/fr/qc/qccs/doc/2019/2019qccs4246/2019qccs4246.html?autocompleteStr=berardini%20acc&amp;autocompletePos=2" TargetMode="External"/><Relationship Id="rId27" Type="http://schemas.openxmlformats.org/officeDocument/2006/relationships/hyperlink" Target="https://www.canlii.org/en/on/onca/doc/2020/2020onca487/2020onca487.html?autocompleteStr=2020%20ONCA%20487&amp;autocompletePos=1" TargetMode="External"/><Relationship Id="rId30" Type="http://schemas.openxmlformats.org/officeDocument/2006/relationships/hyperlink" Target="https://www.canlii.org/en/sk/skqb/doc/2018/2018skqb272/2018skqb272.html" TargetMode="External"/><Relationship Id="rId35" Type="http://schemas.openxmlformats.org/officeDocument/2006/relationships/hyperlink" Target="https://www.canlii.org/fr/qc/qcca/doc/2020/2020qcca970/2020qcca970.pdf" TargetMode="External"/><Relationship Id="rId43" Type="http://schemas.openxmlformats.org/officeDocument/2006/relationships/hyperlink" Target="https://www.canlii.org/en/ab/abca/doc/2020/2020abca221/2020abca221.html?resultIndex=1" TargetMode="External"/><Relationship Id="rId48" Type="http://schemas.openxmlformats.org/officeDocument/2006/relationships/hyperlink" Target="https://www.canlii.org/en/on/onsc/doc/2018/2018onsc1311/2018onsc1311.html?autocompleteStr=sutherland%20toronto&amp;autocompletePos=1" TargetMode="External"/><Relationship Id="rId56" Type="http://schemas.openxmlformats.org/officeDocument/2006/relationships/footer" Target="footer2.xml"/><Relationship Id="rId8" Type="http://schemas.openxmlformats.org/officeDocument/2006/relationships/hyperlink" Target="https://www.scc-csc.ca/case-dossier/info/sum-som-eng.aspx?cas=39247" TargetMode="External"/><Relationship Id="rId51" Type="http://schemas.openxmlformats.org/officeDocument/2006/relationships/hyperlink" Target="https://www.canlii.org/en/on/onca/doc/2020/2020onca122/2020onca122.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C0576-C283-46CE-AA00-13E72821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9264</Words>
  <Characters>52806</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61947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2021-02-05T18:49:00Z</dcterms:modified>
</cp:coreProperties>
</file>