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441F2A" w:rsidRDefault="000E391F" w:rsidP="000E391F">
      <w:pPr>
        <w:pStyle w:val="Header"/>
        <w:jc w:val="center"/>
        <w:rPr>
          <w:b/>
          <w:sz w:val="32"/>
        </w:rPr>
      </w:pPr>
      <w:r w:rsidRPr="00441F2A">
        <w:rPr>
          <w:b/>
          <w:sz w:val="32"/>
        </w:rPr>
        <w:t>Supreme Court of Canada / Cour suprême du Canada</w:t>
      </w:r>
    </w:p>
    <w:p w:rsidR="000E391F" w:rsidRPr="00441F2A" w:rsidRDefault="000E391F" w:rsidP="000E391F">
      <w:pPr>
        <w:widowControl w:val="0"/>
      </w:pPr>
    </w:p>
    <w:p w:rsidR="000E391F" w:rsidRPr="00441F2A" w:rsidRDefault="000E391F" w:rsidP="000E391F">
      <w:pPr>
        <w:widowControl w:val="0"/>
        <w:rPr>
          <w:i/>
        </w:rPr>
      </w:pPr>
    </w:p>
    <w:p w:rsidR="006F2579" w:rsidRPr="00441F2A" w:rsidRDefault="006F2579" w:rsidP="006F2579">
      <w:pPr>
        <w:widowControl w:val="0"/>
        <w:rPr>
          <w:i/>
          <w:sz w:val="20"/>
        </w:rPr>
      </w:pPr>
      <w:r w:rsidRPr="00441F2A">
        <w:rPr>
          <w:i/>
          <w:sz w:val="20"/>
        </w:rPr>
        <w:t>(</w:t>
      </w:r>
      <w:r w:rsidR="003240B6" w:rsidRPr="00441F2A">
        <w:rPr>
          <w:i/>
          <w:sz w:val="20"/>
        </w:rPr>
        <w:t>L</w:t>
      </w:r>
      <w:r w:rsidRPr="00441F2A">
        <w:rPr>
          <w:i/>
          <w:sz w:val="20"/>
        </w:rPr>
        <w:t>e français suit)</w:t>
      </w:r>
    </w:p>
    <w:p w:rsidR="006F2579" w:rsidRPr="00441F2A" w:rsidRDefault="006F2579" w:rsidP="006F2579">
      <w:pPr>
        <w:widowControl w:val="0"/>
      </w:pPr>
    </w:p>
    <w:p w:rsidR="006F2579" w:rsidRPr="00441F2A" w:rsidRDefault="00B07908" w:rsidP="006F2579">
      <w:pPr>
        <w:widowControl w:val="0"/>
        <w:jc w:val="center"/>
        <w:rPr>
          <w:b/>
        </w:rPr>
      </w:pPr>
      <w:r w:rsidRPr="00441F2A">
        <w:fldChar w:fldCharType="begin"/>
      </w:r>
      <w:r w:rsidR="006F2579" w:rsidRPr="00441F2A">
        <w:instrText xml:space="preserve"> SEQ CHAPTER \h \r 1</w:instrText>
      </w:r>
      <w:r w:rsidRPr="00441F2A">
        <w:fldChar w:fldCharType="end"/>
      </w:r>
      <w:r w:rsidR="006F2579" w:rsidRPr="00441F2A">
        <w:rPr>
          <w:b/>
        </w:rPr>
        <w:t>JUDGMENT</w:t>
      </w:r>
      <w:r w:rsidR="00B17AAC" w:rsidRPr="00441F2A">
        <w:rPr>
          <w:b/>
        </w:rPr>
        <w:t>S</w:t>
      </w:r>
      <w:r w:rsidR="006F2579" w:rsidRPr="00441F2A">
        <w:rPr>
          <w:b/>
        </w:rPr>
        <w:t xml:space="preserve"> TO B</w:t>
      </w:r>
      <w:r w:rsidR="00001846" w:rsidRPr="00441F2A">
        <w:rPr>
          <w:b/>
        </w:rPr>
        <w:t>E RENDERED IN LE</w:t>
      </w:r>
      <w:r w:rsidR="00A0288A" w:rsidRPr="00441F2A">
        <w:rPr>
          <w:b/>
        </w:rPr>
        <w:t>A</w:t>
      </w:r>
      <w:r w:rsidR="00001846" w:rsidRPr="00441F2A">
        <w:rPr>
          <w:b/>
        </w:rPr>
        <w:t>VE APPLICATION</w:t>
      </w:r>
      <w:r w:rsidR="00511288" w:rsidRPr="00441F2A">
        <w:rPr>
          <w:b/>
        </w:rPr>
        <w:t>S</w:t>
      </w:r>
    </w:p>
    <w:p w:rsidR="006F2579" w:rsidRPr="00441F2A" w:rsidRDefault="006F2579" w:rsidP="006F2579">
      <w:pPr>
        <w:widowControl w:val="0"/>
      </w:pPr>
    </w:p>
    <w:p w:rsidR="006F2579" w:rsidRPr="00441F2A" w:rsidRDefault="00A750A1" w:rsidP="006F2579">
      <w:pPr>
        <w:widowControl w:val="0"/>
      </w:pPr>
      <w:r w:rsidRPr="00441F2A">
        <w:rPr>
          <w:b/>
        </w:rPr>
        <w:t>April</w:t>
      </w:r>
      <w:r w:rsidR="00A15B66" w:rsidRPr="00441F2A">
        <w:rPr>
          <w:b/>
        </w:rPr>
        <w:t xml:space="preserve"> </w:t>
      </w:r>
      <w:r w:rsidRPr="00441F2A">
        <w:rPr>
          <w:b/>
        </w:rPr>
        <w:t>6</w:t>
      </w:r>
      <w:r w:rsidR="004441C7" w:rsidRPr="00441F2A">
        <w:rPr>
          <w:b/>
        </w:rPr>
        <w:t>,</w:t>
      </w:r>
      <w:r w:rsidR="006F2579" w:rsidRPr="00441F2A">
        <w:rPr>
          <w:b/>
        </w:rPr>
        <w:t xml:space="preserve"> </w:t>
      </w:r>
      <w:r w:rsidR="0054689F" w:rsidRPr="00441F2A">
        <w:rPr>
          <w:b/>
        </w:rPr>
        <w:t>20</w:t>
      </w:r>
      <w:r w:rsidR="00526754" w:rsidRPr="00441F2A">
        <w:rPr>
          <w:b/>
        </w:rPr>
        <w:t>2</w:t>
      </w:r>
      <w:r w:rsidR="0068416C" w:rsidRPr="00441F2A">
        <w:rPr>
          <w:b/>
        </w:rPr>
        <w:t>1</w:t>
      </w:r>
    </w:p>
    <w:p w:rsidR="006F2579" w:rsidRPr="00441F2A" w:rsidRDefault="00674F39" w:rsidP="006F2579">
      <w:pPr>
        <w:widowControl w:val="0"/>
        <w:rPr>
          <w:b/>
        </w:rPr>
      </w:pPr>
      <w:r w:rsidRPr="00441F2A">
        <w:rPr>
          <w:b/>
        </w:rPr>
        <w:t>For immediate release</w:t>
      </w:r>
    </w:p>
    <w:p w:rsidR="006F2579" w:rsidRPr="00441F2A" w:rsidRDefault="006F2579" w:rsidP="006F2579">
      <w:pPr>
        <w:widowControl w:val="0"/>
      </w:pPr>
    </w:p>
    <w:p w:rsidR="006F2579" w:rsidRPr="00441F2A" w:rsidRDefault="006F2579" w:rsidP="006F2579">
      <w:pPr>
        <w:widowControl w:val="0"/>
        <w:rPr>
          <w:lang w:val="fr-CA"/>
        </w:rPr>
      </w:pPr>
      <w:r w:rsidRPr="00441F2A">
        <w:rPr>
          <w:b/>
        </w:rPr>
        <w:t>OTTAWA</w:t>
      </w:r>
      <w:r w:rsidRPr="00441F2A">
        <w:t xml:space="preserve"> – The Supreme Court of Canad</w:t>
      </w:r>
      <w:r w:rsidR="006246E4" w:rsidRPr="00441F2A">
        <w:t>a</w:t>
      </w:r>
      <w:r w:rsidRPr="00441F2A">
        <w:t xml:space="preserve"> announced today that judgment in the following </w:t>
      </w:r>
      <w:r w:rsidR="00DB6199" w:rsidRPr="00441F2A">
        <w:t xml:space="preserve">leave applications </w:t>
      </w:r>
      <w:r w:rsidRPr="00441F2A">
        <w:t xml:space="preserve">will be delivered at 9:45 a.m. </w:t>
      </w:r>
      <w:r w:rsidR="00E05816" w:rsidRPr="00441F2A">
        <w:t>E</w:t>
      </w:r>
      <w:r w:rsidR="0098345D" w:rsidRPr="00441F2A">
        <w:t>D</w:t>
      </w:r>
      <w:r w:rsidR="00E05816" w:rsidRPr="00441F2A">
        <w:t>T</w:t>
      </w:r>
      <w:r w:rsidRPr="00441F2A">
        <w:t xml:space="preserve"> on </w:t>
      </w:r>
      <w:r w:rsidR="0068416C" w:rsidRPr="00441F2A">
        <w:t>Thursday</w:t>
      </w:r>
      <w:r w:rsidRPr="00441F2A">
        <w:t xml:space="preserve">, </w:t>
      </w:r>
      <w:r w:rsidR="009E0BD3" w:rsidRPr="00441F2A">
        <w:t>April</w:t>
      </w:r>
      <w:r w:rsidR="00455912" w:rsidRPr="00441F2A">
        <w:t xml:space="preserve"> </w:t>
      </w:r>
      <w:r w:rsidR="00A750A1" w:rsidRPr="00441F2A">
        <w:t>8</w:t>
      </w:r>
      <w:r w:rsidR="007E112F" w:rsidRPr="00441F2A">
        <w:t>,</w:t>
      </w:r>
      <w:r w:rsidR="002F38D7" w:rsidRPr="00441F2A">
        <w:t xml:space="preserve"> </w:t>
      </w:r>
      <w:r w:rsidR="006648D1" w:rsidRPr="00441F2A">
        <w:t>20</w:t>
      </w:r>
      <w:r w:rsidR="00526754" w:rsidRPr="00441F2A">
        <w:t>2</w:t>
      </w:r>
      <w:r w:rsidR="00DD65CF" w:rsidRPr="00441F2A">
        <w:t>1</w:t>
      </w:r>
      <w:r w:rsidRPr="00441F2A">
        <w:t xml:space="preserve">. </w:t>
      </w:r>
      <w:r w:rsidRPr="00441F2A">
        <w:rPr>
          <w:lang w:val="fr-CA"/>
        </w:rPr>
        <w:t>This list is subject to chang</w:t>
      </w:r>
      <w:r w:rsidR="00192F7F" w:rsidRPr="00441F2A">
        <w:rPr>
          <w:lang w:val="fr-CA"/>
        </w:rPr>
        <w:t>e</w:t>
      </w:r>
      <w:r w:rsidRPr="00441F2A">
        <w:rPr>
          <w:lang w:val="fr-CA"/>
        </w:rPr>
        <w:t>.</w:t>
      </w:r>
    </w:p>
    <w:p w:rsidR="00FF5AA4" w:rsidRPr="00441F2A" w:rsidRDefault="00FF5AA4" w:rsidP="006F2579">
      <w:pPr>
        <w:widowControl w:val="0"/>
        <w:rPr>
          <w:lang w:val="fr-CA"/>
        </w:rPr>
      </w:pPr>
    </w:p>
    <w:p w:rsidR="00B43418" w:rsidRPr="00441F2A" w:rsidRDefault="00B43418" w:rsidP="006F2579">
      <w:pPr>
        <w:widowControl w:val="0"/>
        <w:rPr>
          <w:lang w:val="fr-CA"/>
        </w:rPr>
      </w:pPr>
    </w:p>
    <w:p w:rsidR="006F2579" w:rsidRPr="00441F2A" w:rsidRDefault="006F2579" w:rsidP="006F2579">
      <w:pPr>
        <w:widowControl w:val="0"/>
        <w:jc w:val="center"/>
        <w:rPr>
          <w:lang w:val="fr-CA"/>
        </w:rPr>
      </w:pPr>
      <w:r w:rsidRPr="00441F2A">
        <w:rPr>
          <w:b/>
          <w:lang w:val="fr-CA"/>
        </w:rPr>
        <w:t>PROCHAIN</w:t>
      </w:r>
      <w:r w:rsidR="00B17AAC" w:rsidRPr="00441F2A">
        <w:rPr>
          <w:b/>
          <w:lang w:val="fr-CA"/>
        </w:rPr>
        <w:t>S</w:t>
      </w:r>
      <w:r w:rsidRPr="00441F2A">
        <w:rPr>
          <w:b/>
          <w:lang w:val="fr-CA"/>
        </w:rPr>
        <w:t xml:space="preserve"> JUGEMENT</w:t>
      </w:r>
      <w:r w:rsidR="00B17AAC" w:rsidRPr="00441F2A">
        <w:rPr>
          <w:b/>
          <w:lang w:val="fr-CA"/>
        </w:rPr>
        <w:t>S</w:t>
      </w:r>
      <w:r w:rsidR="00001846" w:rsidRPr="00441F2A">
        <w:rPr>
          <w:b/>
          <w:lang w:val="fr-CA"/>
        </w:rPr>
        <w:t xml:space="preserve"> SUR DEMANDE</w:t>
      </w:r>
      <w:r w:rsidR="00B17AAC" w:rsidRPr="00441F2A">
        <w:rPr>
          <w:b/>
          <w:lang w:val="fr-CA"/>
        </w:rPr>
        <w:t>S</w:t>
      </w:r>
      <w:r w:rsidRPr="00441F2A">
        <w:rPr>
          <w:b/>
          <w:lang w:val="fr-CA"/>
        </w:rPr>
        <w:t xml:space="preserve"> D’AUTORISATION</w:t>
      </w:r>
    </w:p>
    <w:p w:rsidR="006F2579" w:rsidRPr="00441F2A" w:rsidRDefault="006F2579" w:rsidP="006F2579">
      <w:pPr>
        <w:widowControl w:val="0"/>
        <w:rPr>
          <w:lang w:val="fr-CA"/>
        </w:rPr>
      </w:pPr>
    </w:p>
    <w:p w:rsidR="006F2579" w:rsidRPr="00441F2A" w:rsidRDefault="006F2579" w:rsidP="006F2579">
      <w:pPr>
        <w:widowControl w:val="0"/>
        <w:rPr>
          <w:lang w:val="fr-CA"/>
        </w:rPr>
      </w:pPr>
      <w:r w:rsidRPr="00441F2A">
        <w:rPr>
          <w:b/>
          <w:lang w:val="fr-CA"/>
        </w:rPr>
        <w:t>Le</w:t>
      </w:r>
      <w:r w:rsidR="00957A76" w:rsidRPr="00441F2A">
        <w:rPr>
          <w:b/>
          <w:lang w:val="fr-CA"/>
        </w:rPr>
        <w:t xml:space="preserve"> </w:t>
      </w:r>
      <w:r w:rsidR="00A750A1" w:rsidRPr="00441F2A">
        <w:rPr>
          <w:b/>
          <w:lang w:val="fr-CA"/>
        </w:rPr>
        <w:t>6</w:t>
      </w:r>
      <w:r w:rsidR="00825246" w:rsidRPr="00441F2A">
        <w:rPr>
          <w:b/>
          <w:lang w:val="fr-CA"/>
        </w:rPr>
        <w:t xml:space="preserve"> a</w:t>
      </w:r>
      <w:r w:rsidR="00A750A1" w:rsidRPr="00441F2A">
        <w:rPr>
          <w:b/>
          <w:lang w:val="fr-CA"/>
        </w:rPr>
        <w:t>vril</w:t>
      </w:r>
      <w:r w:rsidR="00A151D1" w:rsidRPr="00441F2A">
        <w:rPr>
          <w:b/>
          <w:lang w:val="fr-CA"/>
        </w:rPr>
        <w:t xml:space="preserve"> 20</w:t>
      </w:r>
      <w:r w:rsidR="00526754" w:rsidRPr="00441F2A">
        <w:rPr>
          <w:b/>
          <w:lang w:val="fr-CA"/>
        </w:rPr>
        <w:t>2</w:t>
      </w:r>
      <w:r w:rsidR="0068416C" w:rsidRPr="00441F2A">
        <w:rPr>
          <w:b/>
          <w:lang w:val="fr-CA"/>
        </w:rPr>
        <w:t>1</w:t>
      </w:r>
    </w:p>
    <w:p w:rsidR="006F2579" w:rsidRPr="00441F2A" w:rsidRDefault="006F2579" w:rsidP="006F2579">
      <w:pPr>
        <w:widowControl w:val="0"/>
        <w:rPr>
          <w:b/>
          <w:lang w:val="fr-CA"/>
        </w:rPr>
      </w:pPr>
      <w:r w:rsidRPr="00441F2A">
        <w:rPr>
          <w:b/>
          <w:lang w:val="fr-CA"/>
        </w:rPr>
        <w:t>Pour diffusion immédiate</w:t>
      </w:r>
    </w:p>
    <w:p w:rsidR="006F2579" w:rsidRPr="00441F2A" w:rsidRDefault="006F2579" w:rsidP="006F2579">
      <w:pPr>
        <w:widowControl w:val="0"/>
        <w:rPr>
          <w:lang w:val="fr-CA"/>
        </w:rPr>
      </w:pPr>
    </w:p>
    <w:p w:rsidR="006F2579" w:rsidRPr="00441F2A" w:rsidRDefault="006F2579" w:rsidP="006F2579">
      <w:pPr>
        <w:widowControl w:val="0"/>
        <w:rPr>
          <w:lang w:val="fr-CA"/>
        </w:rPr>
      </w:pPr>
      <w:r w:rsidRPr="00441F2A">
        <w:rPr>
          <w:b/>
          <w:lang w:val="fr-CA"/>
        </w:rPr>
        <w:t>OTTAWA</w:t>
      </w:r>
      <w:r w:rsidRPr="00441F2A">
        <w:rPr>
          <w:lang w:val="fr-CA"/>
        </w:rPr>
        <w:t xml:space="preserve"> – La Cour suprême du Canada annonce que jugement ser</w:t>
      </w:r>
      <w:r w:rsidR="004259F9" w:rsidRPr="00441F2A">
        <w:rPr>
          <w:lang w:val="fr-CA"/>
        </w:rPr>
        <w:t>a</w:t>
      </w:r>
      <w:r w:rsidRPr="00441F2A">
        <w:rPr>
          <w:lang w:val="fr-CA"/>
        </w:rPr>
        <w:t xml:space="preserve"> rendu dans l</w:t>
      </w:r>
      <w:r w:rsidR="008600ED" w:rsidRPr="00441F2A">
        <w:rPr>
          <w:lang w:val="fr-CA"/>
        </w:rPr>
        <w:t>es</w:t>
      </w:r>
      <w:r w:rsidRPr="00441F2A">
        <w:rPr>
          <w:lang w:val="fr-CA"/>
        </w:rPr>
        <w:t xml:space="preserve"> demande</w:t>
      </w:r>
      <w:r w:rsidR="008600ED" w:rsidRPr="00441F2A">
        <w:rPr>
          <w:lang w:val="fr-CA"/>
        </w:rPr>
        <w:t>s</w:t>
      </w:r>
      <w:r w:rsidRPr="00441F2A">
        <w:rPr>
          <w:lang w:val="fr-CA"/>
        </w:rPr>
        <w:t xml:space="preserve"> d</w:t>
      </w:r>
      <w:r w:rsidR="00001846" w:rsidRPr="00441F2A">
        <w:rPr>
          <w:lang w:val="fr-CA"/>
        </w:rPr>
        <w:t>’autorisation suivante</w:t>
      </w:r>
      <w:r w:rsidR="008600ED" w:rsidRPr="00441F2A">
        <w:rPr>
          <w:lang w:val="fr-CA"/>
        </w:rPr>
        <w:t>s</w:t>
      </w:r>
      <w:r w:rsidRPr="00441F2A">
        <w:rPr>
          <w:lang w:val="fr-CA"/>
        </w:rPr>
        <w:t xml:space="preserve"> le </w:t>
      </w:r>
      <w:r w:rsidR="0068416C" w:rsidRPr="00441F2A">
        <w:rPr>
          <w:lang w:val="fr-CA"/>
        </w:rPr>
        <w:t>jeudi</w:t>
      </w:r>
      <w:r w:rsidRPr="00441F2A">
        <w:rPr>
          <w:lang w:val="fr-CA"/>
        </w:rPr>
        <w:t xml:space="preserve"> </w:t>
      </w:r>
      <w:r w:rsidR="00A750A1" w:rsidRPr="00441F2A">
        <w:rPr>
          <w:lang w:val="fr-CA"/>
        </w:rPr>
        <w:t>8</w:t>
      </w:r>
      <w:r w:rsidR="009E0BD3" w:rsidRPr="00441F2A">
        <w:rPr>
          <w:lang w:val="fr-CA"/>
        </w:rPr>
        <w:t xml:space="preserve"> </w:t>
      </w:r>
      <w:r w:rsidR="00825246" w:rsidRPr="00441F2A">
        <w:rPr>
          <w:lang w:val="fr-CA"/>
        </w:rPr>
        <w:t>a</w:t>
      </w:r>
      <w:r w:rsidR="009E0BD3" w:rsidRPr="00441F2A">
        <w:rPr>
          <w:lang w:val="fr-CA"/>
        </w:rPr>
        <w:t>v</w:t>
      </w:r>
      <w:r w:rsidR="00825246" w:rsidRPr="00441F2A">
        <w:rPr>
          <w:lang w:val="fr-CA"/>
        </w:rPr>
        <w:t>r</w:t>
      </w:r>
      <w:r w:rsidR="009E0BD3" w:rsidRPr="00441F2A">
        <w:rPr>
          <w:lang w:val="fr-CA"/>
        </w:rPr>
        <w:t>il</w:t>
      </w:r>
      <w:r w:rsidR="00694391" w:rsidRPr="00441F2A">
        <w:rPr>
          <w:lang w:val="fr-CA"/>
        </w:rPr>
        <w:t xml:space="preserve"> 2</w:t>
      </w:r>
      <w:r w:rsidR="006648D1" w:rsidRPr="00441F2A">
        <w:rPr>
          <w:lang w:val="fr-CA"/>
        </w:rPr>
        <w:t>0</w:t>
      </w:r>
      <w:r w:rsidR="00526754" w:rsidRPr="00441F2A">
        <w:rPr>
          <w:lang w:val="fr-CA"/>
        </w:rPr>
        <w:t>2</w:t>
      </w:r>
      <w:r w:rsidR="0068416C" w:rsidRPr="00441F2A">
        <w:rPr>
          <w:lang w:val="fr-CA"/>
        </w:rPr>
        <w:t>1</w:t>
      </w:r>
      <w:r w:rsidRPr="00441F2A">
        <w:rPr>
          <w:lang w:val="fr-CA"/>
        </w:rPr>
        <w:t xml:space="preserve">, à 9 h 45 </w:t>
      </w:r>
      <w:r w:rsidR="000627A2" w:rsidRPr="00441F2A">
        <w:rPr>
          <w:lang w:val="fr-CA"/>
        </w:rPr>
        <w:t>H</w:t>
      </w:r>
      <w:r w:rsidR="0098345D" w:rsidRPr="00441F2A">
        <w:rPr>
          <w:lang w:val="fr-CA"/>
        </w:rPr>
        <w:t>A</w:t>
      </w:r>
      <w:r w:rsidRPr="00441F2A">
        <w:rPr>
          <w:lang w:val="fr-CA"/>
        </w:rPr>
        <w:t>E. Cette liste est sujette à modifications.</w:t>
      </w:r>
    </w:p>
    <w:p w:rsidR="0080556B" w:rsidRPr="00441F2A" w:rsidRDefault="0080556B" w:rsidP="009B14F4">
      <w:pPr>
        <w:widowControl w:val="0"/>
        <w:jc w:val="both"/>
        <w:rPr>
          <w:sz w:val="20"/>
          <w:lang w:val="fr-CA"/>
        </w:rPr>
      </w:pPr>
    </w:p>
    <w:p w:rsidR="00867C61" w:rsidRPr="00441F2A" w:rsidRDefault="008A1AC7" w:rsidP="009B14F4">
      <w:pPr>
        <w:widowControl w:val="0"/>
        <w:jc w:val="both"/>
        <w:rPr>
          <w:sz w:val="20"/>
        </w:rPr>
      </w:pPr>
      <w:r w:rsidRPr="00441F2A">
        <w:rPr>
          <w:sz w:val="20"/>
        </w:rPr>
        <w:pict>
          <v:rect id="_x0000_i1025" style="width:2in;height:1pt" o:hrpct="0" o:hralign="center" o:hrstd="t" o:hrnoshade="t" o:hr="t" fillcolor="black [3213]" stroked="f"/>
        </w:pict>
      </w:r>
    </w:p>
    <w:p w:rsidR="004A6E51" w:rsidRPr="00441F2A" w:rsidRDefault="004A6E51" w:rsidP="004A6E51">
      <w:pPr>
        <w:contextualSpacing/>
        <w:rPr>
          <w:sz w:val="20"/>
          <w:lang w:val="fr-CA"/>
        </w:rPr>
      </w:pPr>
    </w:p>
    <w:p w:rsidR="004270FF" w:rsidRPr="00441F2A" w:rsidRDefault="004270FF" w:rsidP="004270FF">
      <w:pPr>
        <w:pStyle w:val="ListParagraph"/>
        <w:numPr>
          <w:ilvl w:val="0"/>
          <w:numId w:val="6"/>
        </w:numPr>
        <w:ind w:left="357" w:hanging="357"/>
        <w:rPr>
          <w:sz w:val="20"/>
          <w:lang w:val="fr-CA"/>
        </w:rPr>
      </w:pPr>
      <w:r w:rsidRPr="00441F2A">
        <w:rPr>
          <w:i/>
          <w:sz w:val="20"/>
          <w:lang w:val="fr-CA"/>
        </w:rPr>
        <w:t xml:space="preserve">Bryan Pascal Rancourt c. Sa Majesté la Reine </w:t>
      </w:r>
      <w:r w:rsidRPr="00441F2A">
        <w:rPr>
          <w:sz w:val="20"/>
          <w:lang w:val="fr-CA"/>
        </w:rPr>
        <w:t>(Qc) (Criminelle) (Autorisation) (</w:t>
      </w:r>
      <w:hyperlink r:id="rId8" w:history="1">
        <w:r w:rsidRPr="00441F2A">
          <w:rPr>
            <w:rStyle w:val="Hyperlink"/>
            <w:sz w:val="20"/>
            <w:szCs w:val="20"/>
            <w:lang w:val="fr-CA"/>
          </w:rPr>
          <w:t>39</w:t>
        </w:r>
        <w:r w:rsidR="00ED0CA9" w:rsidRPr="00441F2A">
          <w:rPr>
            <w:rStyle w:val="Hyperlink"/>
            <w:sz w:val="20"/>
            <w:szCs w:val="20"/>
            <w:lang w:val="fr-CA"/>
          </w:rPr>
          <w:t>395</w:t>
        </w:r>
      </w:hyperlink>
      <w:r w:rsidRPr="00441F2A">
        <w:rPr>
          <w:sz w:val="20"/>
          <w:lang w:val="fr-CA"/>
        </w:rPr>
        <w:t>)</w:t>
      </w:r>
    </w:p>
    <w:p w:rsidR="004270FF" w:rsidRPr="00441F2A" w:rsidRDefault="004270FF" w:rsidP="004270FF">
      <w:pPr>
        <w:widowControl w:val="0"/>
        <w:autoSpaceDE w:val="0"/>
        <w:autoSpaceDN w:val="0"/>
        <w:adjustRightInd w:val="0"/>
        <w:ind w:left="357" w:hanging="357"/>
        <w:rPr>
          <w:sz w:val="20"/>
          <w:lang w:val="fr-CA"/>
        </w:rPr>
      </w:pPr>
    </w:p>
    <w:p w:rsidR="004270FF" w:rsidRPr="00441F2A" w:rsidRDefault="004270FF" w:rsidP="004270FF">
      <w:pPr>
        <w:pStyle w:val="ListParagraph"/>
        <w:numPr>
          <w:ilvl w:val="0"/>
          <w:numId w:val="6"/>
        </w:numPr>
        <w:ind w:left="357" w:hanging="357"/>
        <w:rPr>
          <w:sz w:val="20"/>
        </w:rPr>
      </w:pPr>
      <w:r w:rsidRPr="00441F2A">
        <w:rPr>
          <w:i/>
          <w:sz w:val="20"/>
        </w:rPr>
        <w:t xml:space="preserve">Aleksandr Plehanov v. Her Majesty the Queen </w:t>
      </w:r>
      <w:r w:rsidRPr="00441F2A">
        <w:rPr>
          <w:sz w:val="20"/>
        </w:rPr>
        <w:t>(B.C.) (Criminal) (By Leave) (</w:t>
      </w:r>
      <w:hyperlink r:id="rId9" w:history="1">
        <w:r w:rsidRPr="00441F2A">
          <w:rPr>
            <w:rStyle w:val="Hyperlink"/>
            <w:sz w:val="20"/>
            <w:szCs w:val="20"/>
          </w:rPr>
          <w:t>39</w:t>
        </w:r>
        <w:r w:rsidR="00ED0CA9" w:rsidRPr="00441F2A">
          <w:rPr>
            <w:rStyle w:val="Hyperlink"/>
            <w:sz w:val="20"/>
            <w:szCs w:val="20"/>
          </w:rPr>
          <w:t>463</w:t>
        </w:r>
      </w:hyperlink>
      <w:r w:rsidRPr="00441F2A">
        <w:rPr>
          <w:sz w:val="20"/>
        </w:rPr>
        <w:t>)</w:t>
      </w:r>
    </w:p>
    <w:p w:rsidR="004270FF" w:rsidRPr="00441F2A" w:rsidRDefault="004270FF" w:rsidP="004270FF">
      <w:pPr>
        <w:widowControl w:val="0"/>
        <w:autoSpaceDE w:val="0"/>
        <w:autoSpaceDN w:val="0"/>
        <w:adjustRightInd w:val="0"/>
        <w:ind w:left="357" w:hanging="357"/>
        <w:rPr>
          <w:sz w:val="20"/>
        </w:rPr>
      </w:pPr>
    </w:p>
    <w:p w:rsidR="004270FF" w:rsidRPr="00441F2A" w:rsidRDefault="004270FF" w:rsidP="004270FF">
      <w:pPr>
        <w:pStyle w:val="ListParagraph"/>
        <w:numPr>
          <w:ilvl w:val="0"/>
          <w:numId w:val="6"/>
        </w:numPr>
        <w:ind w:left="357" w:hanging="357"/>
        <w:rPr>
          <w:sz w:val="20"/>
        </w:rPr>
      </w:pPr>
      <w:r w:rsidRPr="00441F2A">
        <w:rPr>
          <w:i/>
          <w:sz w:val="20"/>
        </w:rPr>
        <w:t xml:space="preserve">Gary Curtis v. Canadian Human Rights Commission, </w:t>
      </w:r>
      <w:r w:rsidR="00ED0CA9" w:rsidRPr="00441F2A">
        <w:rPr>
          <w:i/>
          <w:sz w:val="20"/>
        </w:rPr>
        <w:t>et al.</w:t>
      </w:r>
      <w:r w:rsidRPr="00441F2A">
        <w:rPr>
          <w:sz w:val="20"/>
        </w:rPr>
        <w:t xml:space="preserve"> (F.C.) (Civil) (By Leave) (</w:t>
      </w:r>
      <w:hyperlink r:id="rId10" w:history="1">
        <w:r w:rsidRPr="00441F2A">
          <w:rPr>
            <w:rStyle w:val="Hyperlink"/>
            <w:sz w:val="20"/>
            <w:szCs w:val="20"/>
          </w:rPr>
          <w:t>39</w:t>
        </w:r>
        <w:r w:rsidR="00ED0CA9" w:rsidRPr="00441F2A">
          <w:rPr>
            <w:rStyle w:val="Hyperlink"/>
            <w:sz w:val="20"/>
            <w:szCs w:val="20"/>
          </w:rPr>
          <w:t>495</w:t>
        </w:r>
      </w:hyperlink>
      <w:r w:rsidRPr="00441F2A">
        <w:rPr>
          <w:sz w:val="20"/>
        </w:rPr>
        <w:t>)</w:t>
      </w:r>
    </w:p>
    <w:p w:rsidR="004270FF" w:rsidRPr="00441F2A" w:rsidRDefault="004270FF" w:rsidP="004270FF">
      <w:pPr>
        <w:widowControl w:val="0"/>
        <w:autoSpaceDE w:val="0"/>
        <w:autoSpaceDN w:val="0"/>
        <w:adjustRightInd w:val="0"/>
        <w:ind w:left="357" w:hanging="357"/>
        <w:contextualSpacing/>
        <w:rPr>
          <w:sz w:val="20"/>
        </w:rPr>
      </w:pPr>
    </w:p>
    <w:p w:rsidR="004270FF" w:rsidRPr="00441F2A" w:rsidRDefault="004270FF" w:rsidP="004270FF">
      <w:pPr>
        <w:pStyle w:val="ListParagraph"/>
        <w:numPr>
          <w:ilvl w:val="0"/>
          <w:numId w:val="6"/>
        </w:numPr>
        <w:ind w:left="357" w:hanging="357"/>
        <w:rPr>
          <w:sz w:val="20"/>
        </w:rPr>
      </w:pPr>
      <w:r w:rsidRPr="00441F2A">
        <w:rPr>
          <w:i/>
          <w:sz w:val="20"/>
        </w:rPr>
        <w:t xml:space="preserve">Delta Hospice Society v. Sharon Farrish, </w:t>
      </w:r>
      <w:r w:rsidR="00ED0CA9" w:rsidRPr="00441F2A">
        <w:rPr>
          <w:i/>
          <w:sz w:val="20"/>
        </w:rPr>
        <w:t>et al.</w:t>
      </w:r>
      <w:r w:rsidRPr="00441F2A">
        <w:rPr>
          <w:sz w:val="20"/>
        </w:rPr>
        <w:t xml:space="preserve"> (B.C.) (Civil) (By Leave) (</w:t>
      </w:r>
      <w:hyperlink r:id="rId11" w:history="1">
        <w:r w:rsidRPr="00441F2A">
          <w:rPr>
            <w:rStyle w:val="Hyperlink"/>
            <w:sz w:val="20"/>
            <w:szCs w:val="20"/>
          </w:rPr>
          <w:t>39</w:t>
        </w:r>
        <w:r w:rsidR="00ED0CA9" w:rsidRPr="00441F2A">
          <w:rPr>
            <w:rStyle w:val="Hyperlink"/>
            <w:sz w:val="20"/>
            <w:szCs w:val="20"/>
          </w:rPr>
          <w:t>504</w:t>
        </w:r>
      </w:hyperlink>
      <w:r w:rsidRPr="00441F2A">
        <w:rPr>
          <w:sz w:val="20"/>
        </w:rPr>
        <w:t>)</w:t>
      </w:r>
    </w:p>
    <w:p w:rsidR="002A4053" w:rsidRPr="00441F2A" w:rsidRDefault="002A4053" w:rsidP="002A4053">
      <w:pPr>
        <w:rPr>
          <w:sz w:val="20"/>
        </w:rPr>
      </w:pPr>
    </w:p>
    <w:p w:rsidR="0057402C" w:rsidRPr="00441F2A" w:rsidRDefault="008A1AC7" w:rsidP="009B14F4">
      <w:pPr>
        <w:widowControl w:val="0"/>
        <w:jc w:val="both"/>
        <w:rPr>
          <w:sz w:val="20"/>
        </w:rPr>
      </w:pPr>
      <w:r w:rsidRPr="00441F2A">
        <w:rPr>
          <w:sz w:val="20"/>
        </w:rPr>
        <w:pict>
          <v:rect id="_x0000_i1026" style="width:2in;height:1pt" o:hrpct="0" o:hralign="center" o:hrstd="t" o:hrnoshade="t" o:hr="t" fillcolor="black [3213]" stroked="f"/>
        </w:pict>
      </w:r>
    </w:p>
    <w:p w:rsidR="009E0BD3" w:rsidRPr="00441F2A" w:rsidRDefault="009E0BD3" w:rsidP="006B097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B3A42" w:rsidRPr="00441F2A" w:rsidTr="000B3A42">
        <w:tc>
          <w:tcPr>
            <w:tcW w:w="543" w:type="pct"/>
          </w:tcPr>
          <w:p w:rsidR="000B3A42" w:rsidRPr="00441F2A" w:rsidRDefault="000B3A42" w:rsidP="000B3A42">
            <w:pPr>
              <w:jc w:val="both"/>
              <w:rPr>
                <w:sz w:val="20"/>
                <w:lang w:val="en-CA"/>
              </w:rPr>
            </w:pPr>
            <w:r w:rsidRPr="00441F2A">
              <w:rPr>
                <w:rStyle w:val="SCCFileNumberChar"/>
                <w:sz w:val="20"/>
                <w:szCs w:val="20"/>
              </w:rPr>
              <w:t>39395</w:t>
            </w:r>
          </w:p>
        </w:tc>
        <w:tc>
          <w:tcPr>
            <w:tcW w:w="4457" w:type="pct"/>
            <w:gridSpan w:val="3"/>
          </w:tcPr>
          <w:p w:rsidR="000B3A42" w:rsidRPr="00441F2A" w:rsidRDefault="000B3A42" w:rsidP="000B3A42">
            <w:pPr>
              <w:pStyle w:val="SCCLsocParty"/>
              <w:jc w:val="both"/>
              <w:rPr>
                <w:b/>
                <w:sz w:val="20"/>
                <w:szCs w:val="20"/>
                <w:lang w:val="en-CA"/>
              </w:rPr>
            </w:pPr>
            <w:r w:rsidRPr="00441F2A">
              <w:rPr>
                <w:b/>
                <w:sz w:val="20"/>
                <w:szCs w:val="20"/>
                <w:lang w:val="en-CA"/>
              </w:rPr>
              <w:t>Bryan Pascal Rancourt v. Her Majesty the Queen</w:t>
            </w:r>
          </w:p>
          <w:p w:rsidR="000B3A42" w:rsidRPr="00441F2A" w:rsidRDefault="000B3A42" w:rsidP="000B3A42">
            <w:pPr>
              <w:jc w:val="both"/>
              <w:rPr>
                <w:sz w:val="20"/>
                <w:lang w:val="en-CA"/>
              </w:rPr>
            </w:pPr>
            <w:r w:rsidRPr="00441F2A">
              <w:rPr>
                <w:sz w:val="20"/>
                <w:lang w:val="en-CA"/>
              </w:rPr>
              <w:t>(Que.) (Criminal) (By Leave)</w:t>
            </w:r>
          </w:p>
        </w:tc>
      </w:tr>
      <w:tr w:rsidR="000B3A42" w:rsidRPr="00441F2A" w:rsidTr="000B3A42">
        <w:tc>
          <w:tcPr>
            <w:tcW w:w="5000" w:type="pct"/>
            <w:gridSpan w:val="4"/>
          </w:tcPr>
          <w:p w:rsidR="000B3A42" w:rsidRPr="00441F2A" w:rsidRDefault="000B3A42" w:rsidP="000B3A42">
            <w:pPr>
              <w:jc w:val="both"/>
              <w:rPr>
                <w:sz w:val="20"/>
                <w:lang w:val="en-CA"/>
              </w:rPr>
            </w:pPr>
            <w:r w:rsidRPr="00441F2A">
              <w:rPr>
                <w:sz w:val="20"/>
                <w:lang w:val="en-CA"/>
              </w:rPr>
              <w:t>Criminal law — Offences — Elements of offence — Criminal harassment — Fear for one’s safety — Whether Quebec Court of Appeal erred in law in interpreting words “fear[ing</w:t>
            </w:r>
            <w:r w:rsidRPr="00441F2A">
              <w:rPr>
                <w:rFonts w:asciiTheme="minorBidi" w:hAnsiTheme="minorBidi"/>
                <w:sz w:val="20"/>
                <w:lang w:val="en-CA"/>
              </w:rPr>
              <w:t>]</w:t>
            </w:r>
            <w:r w:rsidRPr="00441F2A">
              <w:rPr>
                <w:sz w:val="20"/>
                <w:lang w:val="en-CA"/>
              </w:rPr>
              <w:t xml:space="preserve"> for their safety or the safety of anyone known to them” used in context of criminal harassment in section 264(1) of </w:t>
            </w:r>
            <w:r w:rsidRPr="00441F2A">
              <w:rPr>
                <w:i/>
                <w:sz w:val="20"/>
                <w:lang w:val="en-CA"/>
              </w:rPr>
              <w:t xml:space="preserve">Criminal Code </w:t>
            </w:r>
            <w:r w:rsidRPr="00441F2A">
              <w:rPr>
                <w:sz w:val="20"/>
                <w:lang w:val="en-CA"/>
              </w:rPr>
              <w:t xml:space="preserve">—  Whether Quebec Court of Appeal erred in law in concluding that trial judge had been justified in “inferring from evidence” that complainant had genuinely feared for her safety, which is essential element of offence of criminal harassment provided for in section 264(1) of </w:t>
            </w:r>
            <w:r w:rsidRPr="00441F2A">
              <w:rPr>
                <w:i/>
                <w:sz w:val="20"/>
                <w:lang w:val="en-CA"/>
              </w:rPr>
              <w:t>Criminal Code</w:t>
            </w:r>
            <w:r w:rsidRPr="00441F2A">
              <w:rPr>
                <w:sz w:val="20"/>
                <w:lang w:val="en-CA"/>
              </w:rPr>
              <w:t>, even though this was not shown by her testimony and evidence as a whole — Whether Quebec Court of Appeal erred in law in concluding that [</w:t>
            </w:r>
            <w:r w:rsidRPr="00441F2A">
              <w:rPr>
                <w:smallCaps/>
                <w:sz w:val="20"/>
                <w:lang w:val="en-CA"/>
              </w:rPr>
              <w:t>translation</w:t>
            </w:r>
            <w:r w:rsidRPr="00441F2A">
              <w:rPr>
                <w:rFonts w:asciiTheme="minorBidi" w:hAnsiTheme="minorBidi"/>
                <w:sz w:val="20"/>
                <w:lang w:val="en-CA"/>
              </w:rPr>
              <w:t>]</w:t>
            </w:r>
            <w:r w:rsidRPr="00441F2A">
              <w:rPr>
                <w:sz w:val="20"/>
                <w:lang w:val="en-CA"/>
              </w:rPr>
              <w:t xml:space="preserve"> “ the appeal judge overstepped the limits of his power of intervention” in setting aside verdict of criminal harassment on basis that there was no evidence that complainant had subjectively feared for her safety — </w:t>
            </w:r>
            <w:r w:rsidRPr="00441F2A">
              <w:rPr>
                <w:i/>
                <w:sz w:val="20"/>
                <w:lang w:val="en-CA"/>
              </w:rPr>
              <w:t>Criminal Code</w:t>
            </w:r>
            <w:r w:rsidRPr="00441F2A">
              <w:rPr>
                <w:sz w:val="20"/>
                <w:lang w:val="en-CA"/>
              </w:rPr>
              <w:t>, R.S.C. 1985, c. C</w:t>
            </w:r>
            <w:r w:rsidRPr="00441F2A">
              <w:rPr>
                <w:sz w:val="20"/>
                <w:lang w:val="en-CA"/>
              </w:rPr>
              <w:noBreakHyphen/>
              <w:t xml:space="preserve">46, s. 264(1). </w:t>
            </w:r>
          </w:p>
        </w:tc>
      </w:tr>
      <w:tr w:rsidR="000B3A42" w:rsidRPr="00441F2A" w:rsidTr="000B3A42">
        <w:tc>
          <w:tcPr>
            <w:tcW w:w="5000" w:type="pct"/>
            <w:gridSpan w:val="4"/>
          </w:tcPr>
          <w:p w:rsidR="000B3A42" w:rsidRPr="00441F2A" w:rsidRDefault="000B3A42" w:rsidP="000B3A42">
            <w:pPr>
              <w:jc w:val="both"/>
              <w:rPr>
                <w:sz w:val="20"/>
                <w:lang w:val="en-CA"/>
              </w:rPr>
            </w:pPr>
          </w:p>
        </w:tc>
      </w:tr>
      <w:tr w:rsidR="000B3A42" w:rsidRPr="00441F2A" w:rsidTr="000B3A42">
        <w:tc>
          <w:tcPr>
            <w:tcW w:w="5000" w:type="pct"/>
            <w:gridSpan w:val="4"/>
          </w:tcPr>
          <w:p w:rsidR="000B3A42" w:rsidRPr="00441F2A" w:rsidRDefault="000B3A42" w:rsidP="000B3A42">
            <w:pPr>
              <w:pStyle w:val="paragraphe"/>
              <w:spacing w:before="0" w:beforeAutospacing="0" w:after="0" w:afterAutospacing="0"/>
              <w:jc w:val="both"/>
              <w:rPr>
                <w:sz w:val="20"/>
                <w:szCs w:val="20"/>
                <w:lang w:val="en-CA"/>
              </w:rPr>
            </w:pPr>
            <w:r w:rsidRPr="00441F2A">
              <w:rPr>
                <w:sz w:val="20"/>
                <w:szCs w:val="20"/>
                <w:lang w:val="en-CA"/>
              </w:rPr>
              <w:t xml:space="preserve">The applicant, Bryan Pascal Rancourt, and the complainant went out together for over three years. After the complainant decided to put an end to their relationship, she received a number of messages from the applicant, as well as anonymous letters and telephone calls. She complained about him to the police. As a result, charges of criminal harassment of and harassing communications to her </w:t>
            </w:r>
            <w:proofErr w:type="gramStart"/>
            <w:r w:rsidRPr="00441F2A">
              <w:rPr>
                <w:sz w:val="20"/>
                <w:szCs w:val="20"/>
                <w:lang w:val="en-CA"/>
              </w:rPr>
              <w:t>were laid</w:t>
            </w:r>
            <w:proofErr w:type="gramEnd"/>
            <w:r w:rsidRPr="00441F2A">
              <w:rPr>
                <w:sz w:val="20"/>
                <w:szCs w:val="20"/>
                <w:lang w:val="en-CA"/>
              </w:rPr>
              <w:t xml:space="preserve"> against the applicant by summary procedure.</w:t>
            </w:r>
          </w:p>
          <w:p w:rsidR="000B3A42" w:rsidRPr="00441F2A" w:rsidRDefault="000B3A42" w:rsidP="000B3A42">
            <w:pPr>
              <w:pStyle w:val="paragraphe"/>
              <w:spacing w:before="0" w:beforeAutospacing="0" w:after="0" w:afterAutospacing="0"/>
              <w:jc w:val="both"/>
              <w:rPr>
                <w:sz w:val="20"/>
                <w:szCs w:val="20"/>
                <w:lang w:val="en-CA"/>
              </w:rPr>
            </w:pPr>
          </w:p>
          <w:p w:rsidR="000B3A42" w:rsidRPr="00441F2A" w:rsidRDefault="000B3A42" w:rsidP="000B3A42">
            <w:pPr>
              <w:jc w:val="both"/>
              <w:rPr>
                <w:sz w:val="20"/>
                <w:lang w:val="en-CA"/>
              </w:rPr>
            </w:pPr>
            <w:r w:rsidRPr="00441F2A">
              <w:rPr>
                <w:sz w:val="20"/>
                <w:lang w:val="en-CA"/>
              </w:rPr>
              <w:lastRenderedPageBreak/>
              <w:t xml:space="preserve">The Court of Québec found the applicant guilty of both offences. Regarding the offence of criminal harassment, the trial judge found that the complainant had had subjective reasons to fear for her safety and that </w:t>
            </w:r>
            <w:proofErr w:type="gramStart"/>
            <w:r w:rsidRPr="00441F2A">
              <w:rPr>
                <w:sz w:val="20"/>
                <w:lang w:val="en-CA"/>
              </w:rPr>
              <w:t>her</w:t>
            </w:r>
            <w:proofErr w:type="gramEnd"/>
            <w:r w:rsidRPr="00441F2A">
              <w:rPr>
                <w:sz w:val="20"/>
                <w:lang w:val="en-CA"/>
              </w:rPr>
              <w:t xml:space="preserve"> fear was objectively justified, because a reasonable person would also have feared for their safety. The Quebec Superior Court allowed the applicant’s appeal in part by setting aside the verdict of guilty of criminal harassment. The appeal judge held that, while it is true that a person suffering from anxiety could easily fear for their safety, that did not mean that the complainant in this case had feared for hers. The respondent appealed that decision. The Quebec Court of Appeal unanimously allowed the appeal and restored the verdict of guilty of criminal harassment. In the Court of Appeal’s view, the Superior Court appeal judge had overstepped the limits of his power of intervention in concluding that the evidence did not show that the complainant had feared for her safety. </w:t>
            </w:r>
          </w:p>
          <w:p w:rsidR="000B3A42" w:rsidRPr="00441F2A" w:rsidRDefault="000B3A42" w:rsidP="000B3A42">
            <w:pPr>
              <w:jc w:val="both"/>
              <w:rPr>
                <w:sz w:val="20"/>
                <w:lang w:val="en-CA"/>
              </w:rPr>
            </w:pPr>
          </w:p>
        </w:tc>
      </w:tr>
      <w:tr w:rsidR="000B3A42" w:rsidRPr="00441F2A" w:rsidTr="000B3A42">
        <w:tc>
          <w:tcPr>
            <w:tcW w:w="2427" w:type="pct"/>
            <w:gridSpan w:val="2"/>
          </w:tcPr>
          <w:p w:rsidR="000B3A42" w:rsidRPr="00441F2A" w:rsidRDefault="000B3A42" w:rsidP="000B3A42">
            <w:pPr>
              <w:jc w:val="both"/>
              <w:rPr>
                <w:sz w:val="20"/>
                <w:lang w:val="en-CA"/>
              </w:rPr>
            </w:pPr>
            <w:r w:rsidRPr="00441F2A">
              <w:rPr>
                <w:sz w:val="20"/>
                <w:lang w:val="en-CA"/>
              </w:rPr>
              <w:lastRenderedPageBreak/>
              <w:t>September 9, 2015</w:t>
            </w:r>
          </w:p>
          <w:p w:rsidR="000B3A42" w:rsidRPr="00441F2A" w:rsidRDefault="000B3A42" w:rsidP="000B3A42">
            <w:pPr>
              <w:jc w:val="both"/>
              <w:rPr>
                <w:sz w:val="20"/>
                <w:lang w:val="en-CA"/>
              </w:rPr>
            </w:pPr>
            <w:r w:rsidRPr="00441F2A">
              <w:rPr>
                <w:sz w:val="20"/>
                <w:lang w:val="en-CA"/>
              </w:rPr>
              <w:t>Court of Québec</w:t>
            </w:r>
          </w:p>
          <w:p w:rsidR="000B3A42" w:rsidRPr="00441F2A" w:rsidRDefault="000B3A42" w:rsidP="000B3A42">
            <w:pPr>
              <w:jc w:val="both"/>
              <w:rPr>
                <w:sz w:val="20"/>
                <w:lang w:val="en-CA"/>
              </w:rPr>
            </w:pPr>
            <w:r w:rsidRPr="00441F2A">
              <w:rPr>
                <w:sz w:val="20"/>
                <w:lang w:val="en-CA"/>
              </w:rPr>
              <w:t>(Judge Fabi)</w:t>
            </w:r>
          </w:p>
          <w:p w:rsidR="000B3A42" w:rsidRPr="00441F2A" w:rsidRDefault="008A1AC7" w:rsidP="000B3A42">
            <w:pPr>
              <w:jc w:val="both"/>
              <w:rPr>
                <w:sz w:val="20"/>
                <w:lang w:val="en-CA"/>
              </w:rPr>
            </w:pPr>
            <w:hyperlink r:id="rId12" w:history="1">
              <w:r w:rsidR="000B3A42" w:rsidRPr="00441F2A">
                <w:rPr>
                  <w:rStyle w:val="Hyperlink"/>
                  <w:sz w:val="20"/>
                  <w:lang w:val="en-CA"/>
                </w:rPr>
                <w:t>2015 QCCQ 9639</w:t>
              </w:r>
            </w:hyperlink>
          </w:p>
          <w:p w:rsidR="000B3A42" w:rsidRPr="00441F2A" w:rsidRDefault="000B3A42" w:rsidP="000B3A42">
            <w:pPr>
              <w:jc w:val="both"/>
              <w:rPr>
                <w:sz w:val="20"/>
                <w:lang w:val="en-CA"/>
              </w:rPr>
            </w:pPr>
          </w:p>
        </w:tc>
        <w:tc>
          <w:tcPr>
            <w:tcW w:w="243" w:type="pct"/>
          </w:tcPr>
          <w:p w:rsidR="000B3A42" w:rsidRPr="00441F2A" w:rsidRDefault="000B3A42" w:rsidP="000B3A42">
            <w:pPr>
              <w:jc w:val="both"/>
              <w:rPr>
                <w:sz w:val="20"/>
                <w:lang w:val="en-CA"/>
              </w:rPr>
            </w:pPr>
          </w:p>
        </w:tc>
        <w:tc>
          <w:tcPr>
            <w:tcW w:w="2330" w:type="pct"/>
          </w:tcPr>
          <w:p w:rsidR="000B3A42" w:rsidRPr="00441F2A" w:rsidRDefault="000B3A42" w:rsidP="000B3A42">
            <w:pPr>
              <w:jc w:val="both"/>
              <w:rPr>
                <w:sz w:val="20"/>
                <w:lang w:val="en-CA"/>
              </w:rPr>
            </w:pPr>
            <w:r w:rsidRPr="00441F2A">
              <w:rPr>
                <w:sz w:val="20"/>
                <w:lang w:val="en-CA"/>
              </w:rPr>
              <w:t>Finding of guilty on two counts: criminal harassment and harassing communications</w:t>
            </w:r>
          </w:p>
          <w:p w:rsidR="000B3A42" w:rsidRPr="00441F2A" w:rsidRDefault="000B3A42" w:rsidP="000B3A42">
            <w:pPr>
              <w:jc w:val="both"/>
              <w:rPr>
                <w:sz w:val="20"/>
                <w:lang w:val="en-CA"/>
              </w:rPr>
            </w:pPr>
          </w:p>
        </w:tc>
      </w:tr>
      <w:tr w:rsidR="000B3A42" w:rsidRPr="00441F2A" w:rsidTr="000B3A42">
        <w:tc>
          <w:tcPr>
            <w:tcW w:w="2427" w:type="pct"/>
            <w:gridSpan w:val="2"/>
          </w:tcPr>
          <w:p w:rsidR="000B3A42" w:rsidRPr="00441F2A" w:rsidRDefault="000B3A42" w:rsidP="000B3A42">
            <w:pPr>
              <w:jc w:val="both"/>
              <w:rPr>
                <w:sz w:val="20"/>
                <w:lang w:val="en-CA"/>
              </w:rPr>
            </w:pPr>
            <w:r w:rsidRPr="00441F2A">
              <w:rPr>
                <w:sz w:val="20"/>
                <w:lang w:val="en-CA"/>
              </w:rPr>
              <w:t>July 5, 2018</w:t>
            </w:r>
          </w:p>
          <w:p w:rsidR="000B3A42" w:rsidRPr="00441F2A" w:rsidRDefault="000B3A42" w:rsidP="000B3A42">
            <w:pPr>
              <w:jc w:val="both"/>
              <w:rPr>
                <w:sz w:val="20"/>
                <w:lang w:val="en-CA"/>
              </w:rPr>
            </w:pPr>
            <w:r w:rsidRPr="00441F2A">
              <w:rPr>
                <w:sz w:val="20"/>
                <w:lang w:val="en-CA"/>
              </w:rPr>
              <w:t>Quebec Superior Court</w:t>
            </w:r>
          </w:p>
          <w:p w:rsidR="000B3A42" w:rsidRPr="00441F2A" w:rsidRDefault="000B3A42" w:rsidP="000B3A42">
            <w:pPr>
              <w:jc w:val="both"/>
              <w:rPr>
                <w:sz w:val="20"/>
                <w:lang w:val="en-CA"/>
              </w:rPr>
            </w:pPr>
            <w:r w:rsidRPr="00441F2A">
              <w:rPr>
                <w:sz w:val="20"/>
                <w:lang w:val="en-CA"/>
              </w:rPr>
              <w:t>(Dumas J.)</w:t>
            </w:r>
          </w:p>
          <w:p w:rsidR="000B3A42" w:rsidRPr="00441F2A" w:rsidRDefault="000B3A42" w:rsidP="000B3A42">
            <w:pPr>
              <w:jc w:val="both"/>
              <w:rPr>
                <w:sz w:val="20"/>
                <w:lang w:val="en-CA"/>
              </w:rPr>
            </w:pPr>
            <w:r w:rsidRPr="00441F2A">
              <w:rPr>
                <w:sz w:val="20"/>
                <w:lang w:val="en-CA"/>
              </w:rPr>
              <w:t>450</w:t>
            </w:r>
            <w:r w:rsidRPr="00441F2A">
              <w:rPr>
                <w:sz w:val="20"/>
                <w:lang w:val="en-CA"/>
              </w:rPr>
              <w:noBreakHyphen/>
              <w:t>36</w:t>
            </w:r>
            <w:r w:rsidRPr="00441F2A">
              <w:rPr>
                <w:sz w:val="20"/>
                <w:lang w:val="en-CA"/>
              </w:rPr>
              <w:noBreakHyphen/>
              <w:t>000997</w:t>
            </w:r>
            <w:r w:rsidRPr="00441F2A">
              <w:rPr>
                <w:sz w:val="20"/>
                <w:lang w:val="en-CA"/>
              </w:rPr>
              <w:noBreakHyphen/>
              <w:t>156</w:t>
            </w:r>
          </w:p>
          <w:p w:rsidR="000B3A42" w:rsidRPr="00441F2A" w:rsidRDefault="000B3A42" w:rsidP="000B3A42">
            <w:pPr>
              <w:jc w:val="both"/>
              <w:rPr>
                <w:sz w:val="20"/>
                <w:lang w:val="en-CA"/>
              </w:rPr>
            </w:pPr>
          </w:p>
        </w:tc>
        <w:tc>
          <w:tcPr>
            <w:tcW w:w="243" w:type="pct"/>
          </w:tcPr>
          <w:p w:rsidR="000B3A42" w:rsidRPr="00441F2A" w:rsidRDefault="000B3A42" w:rsidP="000B3A42">
            <w:pPr>
              <w:jc w:val="both"/>
              <w:rPr>
                <w:sz w:val="20"/>
                <w:lang w:val="en-CA"/>
              </w:rPr>
            </w:pPr>
          </w:p>
        </w:tc>
        <w:tc>
          <w:tcPr>
            <w:tcW w:w="2330" w:type="pct"/>
          </w:tcPr>
          <w:p w:rsidR="000B3A42" w:rsidRPr="00441F2A" w:rsidRDefault="000B3A42" w:rsidP="000B3A42">
            <w:pPr>
              <w:jc w:val="both"/>
              <w:rPr>
                <w:sz w:val="20"/>
                <w:lang w:val="en-CA"/>
              </w:rPr>
            </w:pPr>
            <w:r w:rsidRPr="00441F2A">
              <w:rPr>
                <w:sz w:val="20"/>
                <w:lang w:val="en-CA"/>
              </w:rPr>
              <w:t>Applicant’s appeal allowed in part; acquittal on count of criminal harassment</w:t>
            </w:r>
          </w:p>
          <w:p w:rsidR="000B3A42" w:rsidRPr="00441F2A" w:rsidRDefault="000B3A42" w:rsidP="000B3A42">
            <w:pPr>
              <w:jc w:val="both"/>
              <w:rPr>
                <w:sz w:val="20"/>
                <w:lang w:val="en-CA"/>
              </w:rPr>
            </w:pPr>
          </w:p>
        </w:tc>
      </w:tr>
      <w:tr w:rsidR="000B3A42" w:rsidRPr="00441F2A" w:rsidTr="000B3A42">
        <w:tc>
          <w:tcPr>
            <w:tcW w:w="2427" w:type="pct"/>
            <w:gridSpan w:val="2"/>
          </w:tcPr>
          <w:p w:rsidR="000B3A42" w:rsidRPr="00441F2A" w:rsidRDefault="000B3A42" w:rsidP="000B3A42">
            <w:pPr>
              <w:jc w:val="both"/>
              <w:rPr>
                <w:sz w:val="20"/>
                <w:lang w:val="en-CA"/>
              </w:rPr>
            </w:pPr>
            <w:r w:rsidRPr="00441F2A">
              <w:rPr>
                <w:sz w:val="20"/>
                <w:lang w:val="en-CA"/>
              </w:rPr>
              <w:t>July 15, 2020</w:t>
            </w:r>
          </w:p>
          <w:p w:rsidR="000B3A42" w:rsidRPr="00441F2A" w:rsidRDefault="000B3A42" w:rsidP="000B3A42">
            <w:pPr>
              <w:jc w:val="both"/>
              <w:rPr>
                <w:sz w:val="20"/>
                <w:lang w:val="en-CA"/>
              </w:rPr>
            </w:pPr>
            <w:r w:rsidRPr="00441F2A">
              <w:rPr>
                <w:sz w:val="20"/>
                <w:lang w:val="en-CA"/>
              </w:rPr>
              <w:t>Quebec Court of Appeal (Montréal)</w:t>
            </w:r>
          </w:p>
          <w:p w:rsidR="000B3A42" w:rsidRPr="00441F2A" w:rsidRDefault="000B3A42" w:rsidP="000B3A42">
            <w:pPr>
              <w:jc w:val="both"/>
              <w:rPr>
                <w:sz w:val="20"/>
                <w:lang w:val="en-CA"/>
              </w:rPr>
            </w:pPr>
            <w:r w:rsidRPr="00441F2A">
              <w:rPr>
                <w:sz w:val="20"/>
                <w:lang w:val="en-CA"/>
              </w:rPr>
              <w:t>(Marcotte, Hamilton and Fournier JJ.A.)</w:t>
            </w:r>
          </w:p>
          <w:p w:rsidR="000B3A42" w:rsidRPr="00441F2A" w:rsidRDefault="008A1AC7" w:rsidP="000B3A42">
            <w:pPr>
              <w:jc w:val="both"/>
              <w:rPr>
                <w:sz w:val="20"/>
                <w:lang w:val="en-CA"/>
              </w:rPr>
            </w:pPr>
            <w:hyperlink r:id="rId13" w:history="1">
              <w:r w:rsidR="000B3A42" w:rsidRPr="00441F2A">
                <w:rPr>
                  <w:rStyle w:val="Hyperlink"/>
                  <w:sz w:val="20"/>
                  <w:lang w:val="en-CA"/>
                </w:rPr>
                <w:t>2020 QCCA 933</w:t>
              </w:r>
            </w:hyperlink>
          </w:p>
          <w:p w:rsidR="000B3A42" w:rsidRPr="00441F2A" w:rsidRDefault="000B3A42" w:rsidP="000B3A42">
            <w:pPr>
              <w:jc w:val="both"/>
              <w:rPr>
                <w:sz w:val="20"/>
                <w:lang w:val="en-CA"/>
              </w:rPr>
            </w:pPr>
          </w:p>
        </w:tc>
        <w:tc>
          <w:tcPr>
            <w:tcW w:w="243" w:type="pct"/>
          </w:tcPr>
          <w:p w:rsidR="000B3A42" w:rsidRPr="00441F2A" w:rsidRDefault="000B3A42" w:rsidP="000B3A42">
            <w:pPr>
              <w:jc w:val="both"/>
              <w:rPr>
                <w:sz w:val="20"/>
                <w:lang w:val="en-CA"/>
              </w:rPr>
            </w:pPr>
          </w:p>
        </w:tc>
        <w:tc>
          <w:tcPr>
            <w:tcW w:w="2330" w:type="pct"/>
          </w:tcPr>
          <w:p w:rsidR="000B3A42" w:rsidRPr="00441F2A" w:rsidRDefault="000B3A42" w:rsidP="000B3A42">
            <w:pPr>
              <w:jc w:val="both"/>
              <w:rPr>
                <w:sz w:val="20"/>
                <w:lang w:val="en-CA"/>
              </w:rPr>
            </w:pPr>
            <w:r w:rsidRPr="00441F2A">
              <w:rPr>
                <w:sz w:val="20"/>
                <w:lang w:val="en-CA"/>
              </w:rPr>
              <w:t xml:space="preserve">Respondent’s appeal allowed; Superior Court’s judgment set aside and guilty verdict entered by Court of Québec restored </w:t>
            </w:r>
          </w:p>
          <w:p w:rsidR="000B3A42" w:rsidRPr="00441F2A" w:rsidRDefault="000B3A42" w:rsidP="000B3A42">
            <w:pPr>
              <w:jc w:val="both"/>
              <w:rPr>
                <w:sz w:val="20"/>
                <w:lang w:val="en-CA"/>
              </w:rPr>
            </w:pPr>
          </w:p>
        </w:tc>
      </w:tr>
      <w:tr w:rsidR="000B3A42" w:rsidRPr="00441F2A" w:rsidTr="000B3A42">
        <w:tc>
          <w:tcPr>
            <w:tcW w:w="2427" w:type="pct"/>
            <w:gridSpan w:val="2"/>
          </w:tcPr>
          <w:p w:rsidR="000B3A42" w:rsidRPr="00441F2A" w:rsidRDefault="000B3A42" w:rsidP="000B3A42">
            <w:pPr>
              <w:jc w:val="both"/>
              <w:rPr>
                <w:sz w:val="20"/>
                <w:lang w:val="en-CA"/>
              </w:rPr>
            </w:pPr>
            <w:r w:rsidRPr="00441F2A">
              <w:rPr>
                <w:sz w:val="20"/>
                <w:lang w:val="en-CA"/>
              </w:rPr>
              <w:t>November 12, 2020</w:t>
            </w:r>
          </w:p>
          <w:p w:rsidR="000B3A42" w:rsidRPr="00441F2A" w:rsidRDefault="000B3A42" w:rsidP="000B3A42">
            <w:pPr>
              <w:jc w:val="both"/>
              <w:rPr>
                <w:sz w:val="20"/>
                <w:lang w:val="en-CA"/>
              </w:rPr>
            </w:pPr>
            <w:r w:rsidRPr="00441F2A">
              <w:rPr>
                <w:sz w:val="20"/>
                <w:lang w:val="en-CA"/>
              </w:rPr>
              <w:t>Supreme Court of Canada</w:t>
            </w:r>
          </w:p>
        </w:tc>
        <w:tc>
          <w:tcPr>
            <w:tcW w:w="243" w:type="pct"/>
          </w:tcPr>
          <w:p w:rsidR="000B3A42" w:rsidRPr="00441F2A" w:rsidRDefault="000B3A42" w:rsidP="000B3A42">
            <w:pPr>
              <w:jc w:val="both"/>
              <w:rPr>
                <w:sz w:val="20"/>
                <w:lang w:val="en-CA"/>
              </w:rPr>
            </w:pPr>
          </w:p>
        </w:tc>
        <w:tc>
          <w:tcPr>
            <w:tcW w:w="2330" w:type="pct"/>
          </w:tcPr>
          <w:p w:rsidR="000B3A42" w:rsidRPr="00441F2A" w:rsidRDefault="000B3A42" w:rsidP="000B3A42">
            <w:pPr>
              <w:jc w:val="both"/>
              <w:rPr>
                <w:sz w:val="20"/>
                <w:lang w:val="en-CA"/>
              </w:rPr>
            </w:pPr>
            <w:r w:rsidRPr="00441F2A">
              <w:rPr>
                <w:sz w:val="20"/>
                <w:lang w:val="en-CA"/>
              </w:rPr>
              <w:t>Motion to extend time and application for leave to appeal filed</w:t>
            </w:r>
          </w:p>
        </w:tc>
      </w:tr>
    </w:tbl>
    <w:p w:rsidR="000B3A42" w:rsidRPr="00441F2A" w:rsidRDefault="000B3A42" w:rsidP="000B3A42">
      <w:pPr>
        <w:jc w:val="both"/>
        <w:rPr>
          <w:sz w:val="20"/>
          <w:lang w:val="en-CA"/>
        </w:rPr>
      </w:pPr>
    </w:p>
    <w:p w:rsidR="000B3A42" w:rsidRPr="00441F2A" w:rsidRDefault="008A1AC7" w:rsidP="000B3A42">
      <w:pPr>
        <w:jc w:val="both"/>
        <w:rPr>
          <w:sz w:val="20"/>
          <w:lang w:val="en-CA"/>
        </w:rPr>
      </w:pPr>
      <w:r w:rsidRPr="00441F2A">
        <w:rPr>
          <w:sz w:val="20"/>
        </w:rPr>
        <w:pict>
          <v:rect id="_x0000_i1031" style="width:2in;height:1pt" o:hrpct="0" o:hralign="center" o:hrstd="t" o:hrnoshade="t" o:hr="t" fillcolor="black [3213]" stroked="f"/>
        </w:pict>
      </w:r>
    </w:p>
    <w:p w:rsidR="000B3A42" w:rsidRPr="00441F2A" w:rsidRDefault="000B3A42" w:rsidP="000B3A42">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B3A42" w:rsidRPr="00441F2A" w:rsidTr="000B3A42">
        <w:tc>
          <w:tcPr>
            <w:tcW w:w="543" w:type="pct"/>
          </w:tcPr>
          <w:p w:rsidR="000B3A42" w:rsidRPr="00441F2A" w:rsidRDefault="000B3A42" w:rsidP="000B3A42">
            <w:pPr>
              <w:jc w:val="both"/>
              <w:rPr>
                <w:sz w:val="20"/>
              </w:rPr>
            </w:pPr>
            <w:r w:rsidRPr="00441F2A">
              <w:rPr>
                <w:rStyle w:val="SCCFileNumberChar"/>
                <w:sz w:val="20"/>
                <w:szCs w:val="20"/>
              </w:rPr>
              <w:t>39395</w:t>
            </w:r>
          </w:p>
        </w:tc>
        <w:tc>
          <w:tcPr>
            <w:tcW w:w="4457" w:type="pct"/>
            <w:gridSpan w:val="3"/>
          </w:tcPr>
          <w:p w:rsidR="000B3A42" w:rsidRPr="00441F2A" w:rsidRDefault="000B3A42" w:rsidP="000B3A42">
            <w:pPr>
              <w:pStyle w:val="SCCLsocParty"/>
              <w:jc w:val="both"/>
              <w:rPr>
                <w:b/>
                <w:sz w:val="20"/>
                <w:szCs w:val="20"/>
              </w:rPr>
            </w:pPr>
            <w:r w:rsidRPr="00441F2A">
              <w:rPr>
                <w:b/>
                <w:sz w:val="20"/>
                <w:szCs w:val="20"/>
              </w:rPr>
              <w:t>Bryan Pascal Rancourt c. Sa Majesté la Reine</w:t>
            </w:r>
          </w:p>
          <w:p w:rsidR="000B3A42" w:rsidRPr="00441F2A" w:rsidRDefault="000B3A42" w:rsidP="000B3A42">
            <w:pPr>
              <w:jc w:val="both"/>
              <w:rPr>
                <w:sz w:val="20"/>
              </w:rPr>
            </w:pPr>
            <w:r w:rsidRPr="00441F2A">
              <w:rPr>
                <w:sz w:val="20"/>
              </w:rPr>
              <w:t>(Qc) (Criminelle) (Autorisation)</w:t>
            </w:r>
          </w:p>
        </w:tc>
      </w:tr>
      <w:tr w:rsidR="000B3A42" w:rsidRPr="00441F2A" w:rsidTr="000B3A42">
        <w:tc>
          <w:tcPr>
            <w:tcW w:w="5000" w:type="pct"/>
            <w:gridSpan w:val="4"/>
          </w:tcPr>
          <w:p w:rsidR="000B3A42" w:rsidRPr="00441F2A" w:rsidRDefault="000B3A42" w:rsidP="000B3A42">
            <w:pPr>
              <w:jc w:val="both"/>
              <w:rPr>
                <w:sz w:val="20"/>
                <w:lang w:val="fr-CA"/>
              </w:rPr>
            </w:pPr>
            <w:r w:rsidRPr="00441F2A">
              <w:rPr>
                <w:sz w:val="20"/>
                <w:lang w:val="fr-CA"/>
              </w:rPr>
              <w:t>Droit criminel — Infractions — Éléments de l’infraction — Harcèlement criminel — Crainte pour sa sécurité — La Cour d’appel du Québec a</w:t>
            </w:r>
            <w:r w:rsidRPr="00441F2A">
              <w:rPr>
                <w:sz w:val="20"/>
                <w:lang w:val="fr-CA"/>
              </w:rPr>
              <w:noBreakHyphen/>
              <w:t>t</w:t>
            </w:r>
            <w:r w:rsidRPr="00441F2A">
              <w:rPr>
                <w:sz w:val="20"/>
                <w:lang w:val="fr-CA"/>
              </w:rPr>
              <w:noBreakHyphen/>
              <w:t xml:space="preserve">elle erré en droit dans son interprétation du concept de « crainte à sa sécurité ou celle d’une de ses connaissances » en matière de harcèlement criminel sous le paragraphe 264(1) du </w:t>
            </w:r>
            <w:r w:rsidRPr="00441F2A">
              <w:rPr>
                <w:i/>
                <w:sz w:val="20"/>
                <w:lang w:val="fr-CA"/>
              </w:rPr>
              <w:t>Code criminel</w:t>
            </w:r>
            <w:r w:rsidRPr="00441F2A">
              <w:rPr>
                <w:sz w:val="20"/>
                <w:lang w:val="fr-CA"/>
              </w:rPr>
              <w:t>? — La Cour d’appel du Québec a</w:t>
            </w:r>
            <w:r w:rsidRPr="00441F2A">
              <w:rPr>
                <w:sz w:val="20"/>
                <w:lang w:val="fr-CA"/>
              </w:rPr>
              <w:noBreakHyphen/>
              <w:t>t</w:t>
            </w:r>
            <w:r w:rsidRPr="00441F2A">
              <w:rPr>
                <w:sz w:val="20"/>
                <w:lang w:val="fr-CA"/>
              </w:rPr>
              <w:noBreakHyphen/>
              <w:t xml:space="preserve">elle erré en droit lorsqu’elle conclut que la juge du procès était justifiée « d’inférer de la preuve » que la plaignante éprouvait une véritable crainte pour sa sécurité, élément essentiel sous l’infraction de harcèlement criminel prévue au paragraphe 264(1) du </w:t>
            </w:r>
            <w:r w:rsidRPr="00441F2A">
              <w:rPr>
                <w:i/>
                <w:sz w:val="20"/>
                <w:lang w:val="fr-CA"/>
              </w:rPr>
              <w:t>Code criminel</w:t>
            </w:r>
            <w:r w:rsidRPr="00441F2A">
              <w:rPr>
                <w:sz w:val="20"/>
                <w:lang w:val="fr-CA"/>
              </w:rPr>
              <w:t>, alors que son témoignage et la preuve dans son ensemble ne le révélaient pas? — La Cour d’appel du Québec a</w:t>
            </w:r>
            <w:r w:rsidRPr="00441F2A">
              <w:rPr>
                <w:sz w:val="20"/>
                <w:lang w:val="fr-CA"/>
              </w:rPr>
              <w:noBreakHyphen/>
              <w:t>t</w:t>
            </w:r>
            <w:r w:rsidRPr="00441F2A">
              <w:rPr>
                <w:sz w:val="20"/>
                <w:lang w:val="fr-CA"/>
              </w:rPr>
              <w:noBreakHyphen/>
              <w:t xml:space="preserve">elle commis une erreur de droit lorsqu’elle conclut que « le juge d’appel a outrepassé les limites de son pouvoir d’intervention » en écartant le verdict de harcèlement criminel au motif qu’il n’y avait pas de preuve d’une crainte subjective de la plaignante pour sa sécurité? — </w:t>
            </w:r>
            <w:r w:rsidRPr="00441F2A">
              <w:rPr>
                <w:i/>
                <w:sz w:val="20"/>
                <w:lang w:val="fr-CA"/>
              </w:rPr>
              <w:t>Code criminel</w:t>
            </w:r>
            <w:r w:rsidRPr="00441F2A">
              <w:rPr>
                <w:sz w:val="20"/>
                <w:lang w:val="fr-CA"/>
              </w:rPr>
              <w:t>, L.R.C. 1985, c. C</w:t>
            </w:r>
            <w:r w:rsidRPr="00441F2A">
              <w:rPr>
                <w:sz w:val="20"/>
                <w:lang w:val="fr-CA"/>
              </w:rPr>
              <w:noBreakHyphen/>
              <w:t xml:space="preserve">46, art. 264(1). </w:t>
            </w:r>
          </w:p>
        </w:tc>
      </w:tr>
      <w:tr w:rsidR="000B3A42" w:rsidRPr="00441F2A" w:rsidTr="000B3A42">
        <w:tc>
          <w:tcPr>
            <w:tcW w:w="5000" w:type="pct"/>
            <w:gridSpan w:val="4"/>
          </w:tcPr>
          <w:p w:rsidR="000B3A42" w:rsidRPr="00441F2A" w:rsidRDefault="000B3A42" w:rsidP="000B3A42">
            <w:pPr>
              <w:jc w:val="both"/>
              <w:rPr>
                <w:sz w:val="20"/>
                <w:lang w:val="fr-CA"/>
              </w:rPr>
            </w:pPr>
          </w:p>
        </w:tc>
      </w:tr>
      <w:tr w:rsidR="000B3A42" w:rsidRPr="00441F2A" w:rsidTr="000B3A42">
        <w:tc>
          <w:tcPr>
            <w:tcW w:w="5000" w:type="pct"/>
            <w:gridSpan w:val="4"/>
          </w:tcPr>
          <w:p w:rsidR="000B3A42" w:rsidRPr="00441F2A" w:rsidRDefault="000B3A42" w:rsidP="000B3A42">
            <w:pPr>
              <w:pStyle w:val="paragraphe"/>
              <w:spacing w:before="0" w:beforeAutospacing="0" w:after="0" w:afterAutospacing="0"/>
              <w:jc w:val="both"/>
              <w:rPr>
                <w:sz w:val="20"/>
                <w:szCs w:val="20"/>
                <w:lang w:val="fr-FR"/>
              </w:rPr>
            </w:pPr>
            <w:r w:rsidRPr="00441F2A">
              <w:rPr>
                <w:sz w:val="20"/>
                <w:szCs w:val="20"/>
                <w:lang w:val="fr-CA"/>
              </w:rPr>
              <w:t xml:space="preserve">Le demandeur, Bryan Pascal Rancourt, </w:t>
            </w:r>
            <w:r w:rsidRPr="00441F2A">
              <w:rPr>
                <w:sz w:val="20"/>
                <w:szCs w:val="20"/>
                <w:lang w:val="fr-FR"/>
              </w:rPr>
              <w:t xml:space="preserve">et la plaignante se sont fréquentés pendant une période de plus de trois ans. Après que la plaignante décide de mettre un terme à leur relation, elle reçoit plusieurs messages du demandeur ainsi que des lettres anonymes et appels téléphoniques. La plaignante porte plainte aux policiers contre le demandeur. Ce dernier fait donc face à des accusations, </w:t>
            </w:r>
            <w:r w:rsidRPr="00441F2A">
              <w:rPr>
                <w:sz w:val="20"/>
                <w:szCs w:val="20"/>
                <w:lang w:val="fr-CA"/>
              </w:rPr>
              <w:t xml:space="preserve">par voie de poursuite sommaire, </w:t>
            </w:r>
            <w:r w:rsidRPr="00441F2A">
              <w:rPr>
                <w:sz w:val="20"/>
                <w:szCs w:val="20"/>
                <w:lang w:val="fr-FR"/>
              </w:rPr>
              <w:t>de harcèlement criminel et de communications harcelantes à son égard.</w:t>
            </w:r>
          </w:p>
          <w:p w:rsidR="000B3A42" w:rsidRPr="00441F2A" w:rsidRDefault="000B3A42" w:rsidP="000B3A42">
            <w:pPr>
              <w:pStyle w:val="paragraphe"/>
              <w:spacing w:before="0" w:beforeAutospacing="0" w:after="0" w:afterAutospacing="0"/>
              <w:jc w:val="both"/>
              <w:rPr>
                <w:sz w:val="20"/>
                <w:szCs w:val="20"/>
                <w:lang w:val="fr-FR"/>
              </w:rPr>
            </w:pPr>
          </w:p>
          <w:p w:rsidR="000B3A42" w:rsidRPr="00441F2A" w:rsidRDefault="000B3A42" w:rsidP="000B3A42">
            <w:pPr>
              <w:jc w:val="both"/>
              <w:rPr>
                <w:sz w:val="20"/>
                <w:lang w:val="fr-CA"/>
              </w:rPr>
            </w:pPr>
            <w:r w:rsidRPr="00441F2A">
              <w:rPr>
                <w:sz w:val="20"/>
                <w:lang w:val="fr-FR"/>
              </w:rPr>
              <w:t xml:space="preserve">La Cour du Québec déclare le demandeur coupable des deux infractions. En ce qui concerne l’infraction de harcèlement criminel, la juge d’instance est d’avis que la </w:t>
            </w:r>
            <w:r w:rsidRPr="00441F2A">
              <w:rPr>
                <w:sz w:val="20"/>
                <w:lang w:val="fr-CA"/>
              </w:rPr>
              <w:t xml:space="preserve">plaignante </w:t>
            </w:r>
            <w:proofErr w:type="gramStart"/>
            <w:r w:rsidRPr="00441F2A">
              <w:rPr>
                <w:sz w:val="20"/>
                <w:lang w:val="fr-CA"/>
              </w:rPr>
              <w:t>a</w:t>
            </w:r>
            <w:proofErr w:type="gramEnd"/>
            <w:r w:rsidRPr="00441F2A">
              <w:rPr>
                <w:sz w:val="20"/>
                <w:lang w:val="fr-CA"/>
              </w:rPr>
              <w:t xml:space="preserve"> des raisons subjectives de craindre pour sa sécurité et que cette crainte se justifie objectivement puisqu’une personne raisonnable aurait également craint pour sa sécurité. La Cour supérieure du Québec accueille en partie l’appel du demandeur en cassant le verdict de culpabilité de harcèlement criminel. Selon le juge d’appel, bien qu’il soit vrai qu’une personne anxieuse pourrait facilement craindre pour sa sécurité, cela ne signifie pas qu’en l’espèce, la plaignante ait craint pour sa sécurité. L’intimée porte en appel cette décision. La Cour d’appel du Québec accueille l’appel à l’unanimité et rétablit le verdict de culpabilité </w:t>
            </w:r>
            <w:r w:rsidRPr="00441F2A">
              <w:rPr>
                <w:sz w:val="20"/>
                <w:lang w:val="fr-CA"/>
              </w:rPr>
              <w:lastRenderedPageBreak/>
              <w:t xml:space="preserve">de harcèlement criminel. Selon la Cour d’appel, le juge d’appel à la Cour supérieure a outrepassé les limites de son pouvoir d’intervention en concluant que la preuve ne démontre pas que la plaignante a craint pour sa sécurité. </w:t>
            </w:r>
          </w:p>
          <w:p w:rsidR="000B3A42" w:rsidRPr="00441F2A" w:rsidRDefault="000B3A42" w:rsidP="000B3A42">
            <w:pPr>
              <w:jc w:val="both"/>
              <w:rPr>
                <w:sz w:val="20"/>
                <w:lang w:val="fr-CA"/>
              </w:rPr>
            </w:pPr>
          </w:p>
        </w:tc>
      </w:tr>
      <w:tr w:rsidR="000B3A42" w:rsidRPr="00441F2A" w:rsidTr="000B3A42">
        <w:tc>
          <w:tcPr>
            <w:tcW w:w="2427" w:type="pct"/>
            <w:gridSpan w:val="2"/>
          </w:tcPr>
          <w:p w:rsidR="000B3A42" w:rsidRPr="00441F2A" w:rsidRDefault="000B3A42" w:rsidP="000B3A42">
            <w:pPr>
              <w:jc w:val="both"/>
              <w:rPr>
                <w:sz w:val="20"/>
                <w:lang w:val="fr-CA"/>
              </w:rPr>
            </w:pPr>
            <w:r w:rsidRPr="00441F2A">
              <w:rPr>
                <w:sz w:val="20"/>
                <w:lang w:val="fr-CA"/>
              </w:rPr>
              <w:lastRenderedPageBreak/>
              <w:t>Le 9 septembre 2015</w:t>
            </w:r>
          </w:p>
          <w:p w:rsidR="000B3A42" w:rsidRPr="00441F2A" w:rsidRDefault="000B3A42" w:rsidP="000B3A42">
            <w:pPr>
              <w:jc w:val="both"/>
              <w:rPr>
                <w:sz w:val="20"/>
                <w:lang w:val="fr-CA"/>
              </w:rPr>
            </w:pPr>
            <w:r w:rsidRPr="00441F2A">
              <w:rPr>
                <w:sz w:val="20"/>
                <w:lang w:val="fr-CA"/>
              </w:rPr>
              <w:t>Cour du Québec</w:t>
            </w:r>
          </w:p>
          <w:p w:rsidR="000B3A42" w:rsidRPr="00441F2A" w:rsidRDefault="000B3A42" w:rsidP="000B3A42">
            <w:pPr>
              <w:jc w:val="both"/>
              <w:rPr>
                <w:sz w:val="20"/>
                <w:lang w:val="fr-CA"/>
              </w:rPr>
            </w:pPr>
            <w:r w:rsidRPr="00441F2A">
              <w:rPr>
                <w:sz w:val="20"/>
                <w:lang w:val="fr-CA"/>
              </w:rPr>
              <w:t>(La juge Fabi)</w:t>
            </w:r>
          </w:p>
          <w:p w:rsidR="000B3A42" w:rsidRPr="00441F2A" w:rsidRDefault="008A1AC7" w:rsidP="000B3A42">
            <w:pPr>
              <w:jc w:val="both"/>
              <w:rPr>
                <w:sz w:val="20"/>
              </w:rPr>
            </w:pPr>
            <w:hyperlink r:id="rId14" w:history="1">
              <w:r w:rsidR="000B3A42" w:rsidRPr="00441F2A">
                <w:rPr>
                  <w:rStyle w:val="Hyperlink"/>
                  <w:sz w:val="20"/>
                </w:rPr>
                <w:t>2015 QCCQ 9639</w:t>
              </w:r>
            </w:hyperlink>
          </w:p>
          <w:p w:rsidR="000B3A42" w:rsidRPr="00441F2A" w:rsidRDefault="000B3A42" w:rsidP="000B3A42">
            <w:pPr>
              <w:jc w:val="both"/>
              <w:rPr>
                <w:sz w:val="20"/>
              </w:rPr>
            </w:pPr>
          </w:p>
        </w:tc>
        <w:tc>
          <w:tcPr>
            <w:tcW w:w="243" w:type="pct"/>
          </w:tcPr>
          <w:p w:rsidR="000B3A42" w:rsidRPr="00441F2A" w:rsidRDefault="000B3A42" w:rsidP="000B3A42">
            <w:pPr>
              <w:jc w:val="both"/>
              <w:rPr>
                <w:sz w:val="20"/>
              </w:rPr>
            </w:pPr>
          </w:p>
        </w:tc>
        <w:tc>
          <w:tcPr>
            <w:tcW w:w="2330" w:type="pct"/>
          </w:tcPr>
          <w:p w:rsidR="000B3A42" w:rsidRPr="00441F2A" w:rsidRDefault="000B3A42" w:rsidP="000B3A42">
            <w:pPr>
              <w:jc w:val="both"/>
              <w:rPr>
                <w:sz w:val="20"/>
                <w:lang w:val="fr-CA"/>
              </w:rPr>
            </w:pPr>
            <w:r w:rsidRPr="00441F2A">
              <w:rPr>
                <w:sz w:val="20"/>
                <w:lang w:val="fr-CA"/>
              </w:rPr>
              <w:t xml:space="preserve">Déclaration de culpabilité pour deux chefs d’accusations : harcèlement criminel et communications harcelantes </w:t>
            </w:r>
          </w:p>
          <w:p w:rsidR="000B3A42" w:rsidRPr="00441F2A" w:rsidRDefault="000B3A42" w:rsidP="000B3A42">
            <w:pPr>
              <w:jc w:val="both"/>
              <w:rPr>
                <w:sz w:val="20"/>
                <w:lang w:val="fr-CA"/>
              </w:rPr>
            </w:pPr>
          </w:p>
        </w:tc>
      </w:tr>
      <w:tr w:rsidR="000B3A42" w:rsidRPr="00441F2A" w:rsidTr="000B3A42">
        <w:tc>
          <w:tcPr>
            <w:tcW w:w="2427" w:type="pct"/>
            <w:gridSpan w:val="2"/>
          </w:tcPr>
          <w:p w:rsidR="000B3A42" w:rsidRPr="00441F2A" w:rsidRDefault="000B3A42" w:rsidP="000B3A42">
            <w:pPr>
              <w:jc w:val="both"/>
              <w:rPr>
                <w:sz w:val="20"/>
                <w:lang w:val="fr-CA"/>
              </w:rPr>
            </w:pPr>
            <w:r w:rsidRPr="00441F2A">
              <w:rPr>
                <w:sz w:val="20"/>
                <w:lang w:val="fr-CA"/>
              </w:rPr>
              <w:t>Le 5 juillet 2018</w:t>
            </w:r>
          </w:p>
          <w:p w:rsidR="000B3A42" w:rsidRPr="00441F2A" w:rsidRDefault="000B3A42" w:rsidP="000B3A42">
            <w:pPr>
              <w:jc w:val="both"/>
              <w:rPr>
                <w:sz w:val="20"/>
                <w:lang w:val="fr-CA"/>
              </w:rPr>
            </w:pPr>
            <w:r w:rsidRPr="00441F2A">
              <w:rPr>
                <w:sz w:val="20"/>
                <w:lang w:val="fr-CA"/>
              </w:rPr>
              <w:t>Cour supérieure du Québec</w:t>
            </w:r>
          </w:p>
          <w:p w:rsidR="000B3A42" w:rsidRPr="00441F2A" w:rsidRDefault="000B3A42" w:rsidP="000B3A42">
            <w:pPr>
              <w:jc w:val="both"/>
              <w:rPr>
                <w:sz w:val="20"/>
              </w:rPr>
            </w:pPr>
            <w:r w:rsidRPr="00441F2A">
              <w:rPr>
                <w:sz w:val="20"/>
              </w:rPr>
              <w:t>(Le juge Dumas)</w:t>
            </w:r>
          </w:p>
          <w:p w:rsidR="000B3A42" w:rsidRPr="00441F2A" w:rsidRDefault="000B3A42" w:rsidP="000B3A42">
            <w:pPr>
              <w:jc w:val="both"/>
              <w:rPr>
                <w:sz w:val="20"/>
              </w:rPr>
            </w:pPr>
            <w:r w:rsidRPr="00441F2A">
              <w:rPr>
                <w:sz w:val="20"/>
              </w:rPr>
              <w:t>450</w:t>
            </w:r>
            <w:r w:rsidRPr="00441F2A">
              <w:rPr>
                <w:sz w:val="20"/>
              </w:rPr>
              <w:noBreakHyphen/>
              <w:t>36</w:t>
            </w:r>
            <w:r w:rsidRPr="00441F2A">
              <w:rPr>
                <w:sz w:val="20"/>
              </w:rPr>
              <w:noBreakHyphen/>
              <w:t>000997</w:t>
            </w:r>
            <w:r w:rsidRPr="00441F2A">
              <w:rPr>
                <w:sz w:val="20"/>
              </w:rPr>
              <w:noBreakHyphen/>
              <w:t>156</w:t>
            </w:r>
          </w:p>
          <w:p w:rsidR="000B3A42" w:rsidRPr="00441F2A" w:rsidRDefault="000B3A42" w:rsidP="000B3A42">
            <w:pPr>
              <w:jc w:val="both"/>
              <w:rPr>
                <w:sz w:val="20"/>
              </w:rPr>
            </w:pPr>
          </w:p>
        </w:tc>
        <w:tc>
          <w:tcPr>
            <w:tcW w:w="243" w:type="pct"/>
          </w:tcPr>
          <w:p w:rsidR="000B3A42" w:rsidRPr="00441F2A" w:rsidRDefault="000B3A42" w:rsidP="000B3A42">
            <w:pPr>
              <w:jc w:val="both"/>
              <w:rPr>
                <w:sz w:val="20"/>
              </w:rPr>
            </w:pPr>
          </w:p>
        </w:tc>
        <w:tc>
          <w:tcPr>
            <w:tcW w:w="2330" w:type="pct"/>
          </w:tcPr>
          <w:p w:rsidR="000B3A42" w:rsidRPr="00441F2A" w:rsidRDefault="000B3A42" w:rsidP="000B3A42">
            <w:pPr>
              <w:jc w:val="both"/>
              <w:rPr>
                <w:sz w:val="20"/>
                <w:lang w:val="fr-CA"/>
              </w:rPr>
            </w:pPr>
            <w:r w:rsidRPr="00441F2A">
              <w:rPr>
                <w:sz w:val="20"/>
                <w:lang w:val="fr-CA"/>
              </w:rPr>
              <w:t xml:space="preserve">Appel du demandeur accueilli en partie; acquittement du chef de harcèlement criminel </w:t>
            </w:r>
          </w:p>
          <w:p w:rsidR="000B3A42" w:rsidRPr="00441F2A" w:rsidRDefault="000B3A42" w:rsidP="000B3A42">
            <w:pPr>
              <w:jc w:val="both"/>
              <w:rPr>
                <w:sz w:val="20"/>
                <w:lang w:val="fr-CA"/>
              </w:rPr>
            </w:pPr>
          </w:p>
        </w:tc>
      </w:tr>
      <w:tr w:rsidR="000B3A42" w:rsidRPr="00441F2A" w:rsidTr="000B3A42">
        <w:tc>
          <w:tcPr>
            <w:tcW w:w="2427" w:type="pct"/>
            <w:gridSpan w:val="2"/>
          </w:tcPr>
          <w:p w:rsidR="000B3A42" w:rsidRPr="00441F2A" w:rsidRDefault="000B3A42" w:rsidP="000B3A42">
            <w:pPr>
              <w:jc w:val="both"/>
              <w:rPr>
                <w:sz w:val="20"/>
                <w:lang w:val="fr-CA"/>
              </w:rPr>
            </w:pPr>
            <w:r w:rsidRPr="00441F2A">
              <w:rPr>
                <w:sz w:val="20"/>
                <w:lang w:val="fr-CA"/>
              </w:rPr>
              <w:t>Le 15 juillet 2020</w:t>
            </w:r>
          </w:p>
          <w:p w:rsidR="000B3A42" w:rsidRPr="00441F2A" w:rsidRDefault="000B3A42" w:rsidP="000B3A42">
            <w:pPr>
              <w:jc w:val="both"/>
              <w:rPr>
                <w:sz w:val="20"/>
                <w:lang w:val="fr-CA"/>
              </w:rPr>
            </w:pPr>
            <w:r w:rsidRPr="00441F2A">
              <w:rPr>
                <w:sz w:val="20"/>
                <w:lang w:val="fr-CA"/>
              </w:rPr>
              <w:t>Cour d’appel du Québec (Montréal)</w:t>
            </w:r>
          </w:p>
          <w:p w:rsidR="000B3A42" w:rsidRPr="00441F2A" w:rsidRDefault="000B3A42" w:rsidP="000B3A42">
            <w:pPr>
              <w:jc w:val="both"/>
              <w:rPr>
                <w:sz w:val="20"/>
                <w:lang w:val="fr-CA"/>
              </w:rPr>
            </w:pPr>
            <w:r w:rsidRPr="00441F2A">
              <w:rPr>
                <w:sz w:val="20"/>
                <w:lang w:val="fr-CA"/>
              </w:rPr>
              <w:t xml:space="preserve">(Les juges </w:t>
            </w:r>
            <w:proofErr w:type="gramStart"/>
            <w:r w:rsidRPr="00441F2A">
              <w:rPr>
                <w:sz w:val="20"/>
                <w:lang w:val="fr-CA"/>
              </w:rPr>
              <w:t>Marcotte</w:t>
            </w:r>
            <w:proofErr w:type="gramEnd"/>
            <w:r w:rsidRPr="00441F2A">
              <w:rPr>
                <w:sz w:val="20"/>
                <w:lang w:val="fr-CA"/>
              </w:rPr>
              <w:t>, Hamilton et Fournier)</w:t>
            </w:r>
          </w:p>
          <w:p w:rsidR="000B3A42" w:rsidRPr="00441F2A" w:rsidRDefault="008A1AC7" w:rsidP="000B3A42">
            <w:pPr>
              <w:jc w:val="both"/>
              <w:rPr>
                <w:sz w:val="20"/>
              </w:rPr>
            </w:pPr>
            <w:hyperlink r:id="rId15" w:history="1">
              <w:r w:rsidR="000B3A42" w:rsidRPr="00441F2A">
                <w:rPr>
                  <w:rStyle w:val="Hyperlink"/>
                  <w:sz w:val="20"/>
                </w:rPr>
                <w:t>2020 QCCA 933</w:t>
              </w:r>
            </w:hyperlink>
          </w:p>
          <w:p w:rsidR="000B3A42" w:rsidRPr="00441F2A" w:rsidRDefault="000B3A42" w:rsidP="000B3A42">
            <w:pPr>
              <w:jc w:val="both"/>
              <w:rPr>
                <w:sz w:val="20"/>
              </w:rPr>
            </w:pPr>
          </w:p>
        </w:tc>
        <w:tc>
          <w:tcPr>
            <w:tcW w:w="243" w:type="pct"/>
          </w:tcPr>
          <w:p w:rsidR="000B3A42" w:rsidRPr="00441F2A" w:rsidRDefault="000B3A42" w:rsidP="000B3A42">
            <w:pPr>
              <w:jc w:val="both"/>
              <w:rPr>
                <w:sz w:val="20"/>
              </w:rPr>
            </w:pPr>
          </w:p>
        </w:tc>
        <w:tc>
          <w:tcPr>
            <w:tcW w:w="2330" w:type="pct"/>
          </w:tcPr>
          <w:p w:rsidR="000B3A42" w:rsidRPr="00441F2A" w:rsidRDefault="000B3A42" w:rsidP="000B3A42">
            <w:pPr>
              <w:jc w:val="both"/>
              <w:rPr>
                <w:sz w:val="20"/>
                <w:lang w:val="fr-CA"/>
              </w:rPr>
            </w:pPr>
            <w:r w:rsidRPr="00441F2A">
              <w:rPr>
                <w:sz w:val="20"/>
                <w:lang w:val="fr-CA"/>
              </w:rPr>
              <w:t xml:space="preserve">Appel de l’intimée accueilli; jugement rendu par la Cour supérieure cassé et verdict de culpabilité rendu par la Cour du Québec rétablit </w:t>
            </w:r>
          </w:p>
          <w:p w:rsidR="000B3A42" w:rsidRPr="00441F2A" w:rsidRDefault="000B3A42" w:rsidP="000B3A42">
            <w:pPr>
              <w:jc w:val="both"/>
              <w:rPr>
                <w:sz w:val="20"/>
                <w:lang w:val="fr-CA"/>
              </w:rPr>
            </w:pPr>
          </w:p>
        </w:tc>
      </w:tr>
      <w:tr w:rsidR="000B3A42" w:rsidRPr="00441F2A" w:rsidTr="000B3A42">
        <w:tc>
          <w:tcPr>
            <w:tcW w:w="2427" w:type="pct"/>
            <w:gridSpan w:val="2"/>
          </w:tcPr>
          <w:p w:rsidR="000B3A42" w:rsidRPr="00441F2A" w:rsidRDefault="000B3A42" w:rsidP="000B3A42">
            <w:pPr>
              <w:jc w:val="both"/>
              <w:rPr>
                <w:sz w:val="20"/>
                <w:lang w:val="fr-CA"/>
              </w:rPr>
            </w:pPr>
            <w:r w:rsidRPr="00441F2A">
              <w:rPr>
                <w:sz w:val="20"/>
                <w:lang w:val="fr-CA"/>
              </w:rPr>
              <w:t>Le 12 novembre 2020</w:t>
            </w:r>
          </w:p>
          <w:p w:rsidR="000B3A42" w:rsidRPr="00441F2A" w:rsidRDefault="000B3A42" w:rsidP="000B3A42">
            <w:pPr>
              <w:jc w:val="both"/>
              <w:rPr>
                <w:sz w:val="20"/>
                <w:lang w:val="fr-CA"/>
              </w:rPr>
            </w:pPr>
            <w:r w:rsidRPr="00441F2A">
              <w:rPr>
                <w:sz w:val="20"/>
                <w:lang w:val="fr-CA"/>
              </w:rPr>
              <w:t>Cour suprême du Canada</w:t>
            </w:r>
          </w:p>
        </w:tc>
        <w:tc>
          <w:tcPr>
            <w:tcW w:w="243" w:type="pct"/>
          </w:tcPr>
          <w:p w:rsidR="000B3A42" w:rsidRPr="00441F2A" w:rsidRDefault="000B3A42" w:rsidP="000B3A42">
            <w:pPr>
              <w:jc w:val="both"/>
              <w:rPr>
                <w:sz w:val="20"/>
                <w:lang w:val="fr-CA"/>
              </w:rPr>
            </w:pPr>
          </w:p>
        </w:tc>
        <w:tc>
          <w:tcPr>
            <w:tcW w:w="2330" w:type="pct"/>
          </w:tcPr>
          <w:p w:rsidR="000B3A42" w:rsidRPr="00441F2A" w:rsidRDefault="000B3A42" w:rsidP="000B3A42">
            <w:pPr>
              <w:jc w:val="both"/>
              <w:rPr>
                <w:sz w:val="20"/>
                <w:lang w:val="fr-CA"/>
              </w:rPr>
            </w:pPr>
            <w:r w:rsidRPr="00441F2A">
              <w:rPr>
                <w:sz w:val="20"/>
                <w:lang w:val="fr-CA"/>
              </w:rPr>
              <w:t xml:space="preserve">Requête en prorogation de délai et demande d’autorisation </w:t>
            </w:r>
            <w:proofErr w:type="gramStart"/>
            <w:r w:rsidRPr="00441F2A">
              <w:rPr>
                <w:sz w:val="20"/>
                <w:lang w:val="fr-CA"/>
              </w:rPr>
              <w:t>d’appel déposées</w:t>
            </w:r>
            <w:proofErr w:type="gramEnd"/>
          </w:p>
        </w:tc>
      </w:tr>
    </w:tbl>
    <w:p w:rsidR="000B3A42" w:rsidRDefault="000B3A42" w:rsidP="000B3A42">
      <w:pPr>
        <w:jc w:val="both"/>
        <w:rPr>
          <w:sz w:val="20"/>
          <w:lang w:val="fr-CA"/>
        </w:rPr>
      </w:pPr>
    </w:p>
    <w:p w:rsidR="008A1AC7" w:rsidRPr="00441F2A" w:rsidRDefault="008A1AC7" w:rsidP="000B3A42">
      <w:pPr>
        <w:jc w:val="both"/>
        <w:rPr>
          <w:sz w:val="20"/>
          <w:lang w:val="fr-CA"/>
        </w:rPr>
      </w:pPr>
      <w:r w:rsidRPr="00441F2A">
        <w:rPr>
          <w:sz w:val="20"/>
        </w:rPr>
        <w:pict>
          <v:rect id="_x0000_i1032" style="width:2in;height:1pt" o:hrpct="0" o:hralign="center" o:hrstd="t" o:hrnoshade="t" o:hr="t" fillcolor="black [3213]" stroked="f"/>
        </w:pict>
      </w:r>
    </w:p>
    <w:p w:rsidR="009E0BD3" w:rsidRPr="00441F2A" w:rsidRDefault="009E0BD3" w:rsidP="000B3A4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B3A42" w:rsidRPr="00441F2A" w:rsidTr="00E95A6A">
        <w:tc>
          <w:tcPr>
            <w:tcW w:w="543" w:type="pct"/>
          </w:tcPr>
          <w:p w:rsidR="000B3A42" w:rsidRPr="00441F2A" w:rsidRDefault="000B3A42" w:rsidP="000B3A42">
            <w:pPr>
              <w:jc w:val="both"/>
              <w:rPr>
                <w:sz w:val="20"/>
              </w:rPr>
            </w:pPr>
            <w:r w:rsidRPr="00441F2A">
              <w:rPr>
                <w:rStyle w:val="SCCFileNumberChar"/>
                <w:sz w:val="20"/>
                <w:szCs w:val="20"/>
              </w:rPr>
              <w:t>39463</w:t>
            </w:r>
          </w:p>
        </w:tc>
        <w:tc>
          <w:tcPr>
            <w:tcW w:w="4457" w:type="pct"/>
            <w:gridSpan w:val="3"/>
          </w:tcPr>
          <w:p w:rsidR="000B3A42" w:rsidRPr="00441F2A" w:rsidRDefault="000B3A42" w:rsidP="000B3A42">
            <w:pPr>
              <w:pStyle w:val="SCCLsocParty"/>
              <w:jc w:val="both"/>
              <w:rPr>
                <w:b/>
                <w:sz w:val="20"/>
                <w:szCs w:val="20"/>
                <w:lang w:val="en-US"/>
              </w:rPr>
            </w:pPr>
            <w:r w:rsidRPr="00441F2A">
              <w:rPr>
                <w:b/>
                <w:sz w:val="20"/>
                <w:szCs w:val="20"/>
                <w:lang w:val="en-US"/>
              </w:rPr>
              <w:t>Aleksandr Plehanov v. Her Majesty the Queen</w:t>
            </w:r>
          </w:p>
          <w:p w:rsidR="000B3A42" w:rsidRPr="00441F2A" w:rsidRDefault="000B3A42" w:rsidP="000B3A42">
            <w:pPr>
              <w:jc w:val="both"/>
              <w:rPr>
                <w:sz w:val="20"/>
              </w:rPr>
            </w:pPr>
            <w:r w:rsidRPr="00441F2A">
              <w:rPr>
                <w:sz w:val="20"/>
              </w:rPr>
              <w:t>(B.C.) (Criminal) (By Leave)</w:t>
            </w:r>
          </w:p>
        </w:tc>
      </w:tr>
      <w:tr w:rsidR="000B3A42" w:rsidRPr="00441F2A" w:rsidTr="00E95A6A">
        <w:tc>
          <w:tcPr>
            <w:tcW w:w="5000" w:type="pct"/>
            <w:gridSpan w:val="4"/>
          </w:tcPr>
          <w:p w:rsidR="000B3A42" w:rsidRPr="00441F2A" w:rsidRDefault="000B3A42" w:rsidP="000B3A42">
            <w:pPr>
              <w:pStyle w:val="SCCBanSummary"/>
              <w:rPr>
                <w:sz w:val="20"/>
                <w:szCs w:val="20"/>
              </w:rPr>
            </w:pPr>
            <w:r w:rsidRPr="00441F2A">
              <w:rPr>
                <w:sz w:val="20"/>
                <w:szCs w:val="20"/>
              </w:rPr>
              <w:t>(Publication ban in case)</w:t>
            </w:r>
          </w:p>
          <w:p w:rsidR="000B3A42" w:rsidRPr="00441F2A" w:rsidRDefault="000B3A42" w:rsidP="000B3A42">
            <w:pPr>
              <w:jc w:val="both"/>
              <w:rPr>
                <w:sz w:val="20"/>
              </w:rPr>
            </w:pPr>
          </w:p>
        </w:tc>
      </w:tr>
      <w:tr w:rsidR="000B3A42" w:rsidRPr="00441F2A" w:rsidTr="00E95A6A">
        <w:tc>
          <w:tcPr>
            <w:tcW w:w="5000" w:type="pct"/>
            <w:gridSpan w:val="4"/>
          </w:tcPr>
          <w:p w:rsidR="000B3A42" w:rsidRPr="00441F2A" w:rsidRDefault="000B3A42" w:rsidP="000B3A42">
            <w:pPr>
              <w:jc w:val="both"/>
              <w:rPr>
                <w:sz w:val="20"/>
              </w:rPr>
            </w:pPr>
            <w:r w:rsidRPr="00441F2A">
              <w:rPr>
                <w:sz w:val="20"/>
              </w:rPr>
              <w:t>Criminal law — Offences — Sexual assault — Appeals — Unreasonable verdict — Ineffective assistance of counsel — Whether the length of the trial process, sentencing and appeal process amounts to cruel and unusual punishment — Whether trial judge erred in convicting the applicant — Whether Court of Appeal erred in dismissing the applicant’s appeal — Whether there is a lower burden of proof in cases involving children —Whether the applicant received ineffective assistance of counsel at trial.</w:t>
            </w:r>
          </w:p>
          <w:p w:rsidR="000B3A42" w:rsidRPr="00441F2A" w:rsidRDefault="000B3A42" w:rsidP="000B3A42">
            <w:pPr>
              <w:jc w:val="both"/>
              <w:rPr>
                <w:sz w:val="20"/>
              </w:rPr>
            </w:pPr>
          </w:p>
        </w:tc>
      </w:tr>
      <w:tr w:rsidR="000B3A42" w:rsidRPr="00441F2A" w:rsidTr="00E95A6A">
        <w:tc>
          <w:tcPr>
            <w:tcW w:w="5000" w:type="pct"/>
            <w:gridSpan w:val="4"/>
          </w:tcPr>
          <w:p w:rsidR="000B3A42" w:rsidRPr="00441F2A" w:rsidRDefault="000B3A42" w:rsidP="000B3A42">
            <w:pPr>
              <w:jc w:val="both"/>
              <w:rPr>
                <w:sz w:val="20"/>
              </w:rPr>
            </w:pPr>
            <w:r w:rsidRPr="00441F2A">
              <w:rPr>
                <w:sz w:val="20"/>
              </w:rPr>
              <w:t xml:space="preserve">The applicant, Mr. Plehanov, was charged with sexual touching contrary to s. 151 of the </w:t>
            </w:r>
            <w:r w:rsidRPr="00441F2A">
              <w:rPr>
                <w:i/>
                <w:sz w:val="20"/>
              </w:rPr>
              <w:t>Criminal Code</w:t>
            </w:r>
            <w:r w:rsidRPr="00441F2A">
              <w:rPr>
                <w:sz w:val="20"/>
              </w:rPr>
              <w:t>, R.S.C. 1985, c. C</w:t>
            </w:r>
            <w:r w:rsidRPr="00441F2A">
              <w:rPr>
                <w:sz w:val="20"/>
              </w:rPr>
              <w:noBreakHyphen/>
              <w:t>46, and sexual assault contrary to s. 271. The complainant, who was six years old at the time of the events, and her father testified at trial. The applicant acknowledged touching the complainant, but argued that he had caught the complainant while she was falling, and any touching had been accidental. The trial judge found the complainant and her father to be credible and reliable, despite differences in their evidence. He convicted the applicant of sexual assault, but acquitted him of sexual touching, finding that the specific intent required for that offence had not been proven.</w:t>
            </w:r>
          </w:p>
          <w:p w:rsidR="000B3A42" w:rsidRPr="00441F2A" w:rsidRDefault="000B3A42" w:rsidP="000B3A42">
            <w:pPr>
              <w:jc w:val="both"/>
              <w:rPr>
                <w:sz w:val="20"/>
              </w:rPr>
            </w:pPr>
          </w:p>
          <w:p w:rsidR="000B3A42" w:rsidRPr="00441F2A" w:rsidRDefault="000B3A42" w:rsidP="000B3A42">
            <w:pPr>
              <w:jc w:val="both"/>
              <w:rPr>
                <w:sz w:val="20"/>
              </w:rPr>
            </w:pPr>
            <w:r w:rsidRPr="00441F2A">
              <w:rPr>
                <w:sz w:val="20"/>
              </w:rPr>
              <w:t>The applicant appealed his conviction on the following grounds: the ineffective assistance of his trial counsel; the trial judge’s failure to declare a mistrial following the publication of a newspaper article about the applicant; and the verdict was unreasonable due to inconsistencies in the Crown’s evidence. The Court of Appeal for British Columbia unanimously dismissed the appeal. It held that the applicant had not proven the conduct which formed the basis of his allegation of ineffective assistance of counsel. The Court of Appeal also saw no merit in the applicant’s argument to the effect that trial counsel should have brought an application for mistrial or to re</w:t>
            </w:r>
            <w:r w:rsidRPr="00441F2A">
              <w:rPr>
                <w:sz w:val="20"/>
              </w:rPr>
              <w:noBreakHyphen/>
              <w:t xml:space="preserve">open the trial following the publication of the article, or that the trial judge should have raised the issue of his own accord. Finally, the Court of Appeal did not agree that the verdict was unreasonable, and held that it was open to the trial judge to make the findings of fact that he did. </w:t>
            </w:r>
          </w:p>
          <w:p w:rsidR="000B3A42" w:rsidRPr="00441F2A" w:rsidRDefault="000B3A42" w:rsidP="000B3A42">
            <w:pPr>
              <w:jc w:val="both"/>
              <w:rPr>
                <w:sz w:val="20"/>
              </w:rPr>
            </w:pPr>
          </w:p>
        </w:tc>
      </w:tr>
      <w:tr w:rsidR="000B3A42" w:rsidRPr="00441F2A" w:rsidTr="00E95A6A">
        <w:tc>
          <w:tcPr>
            <w:tcW w:w="2427" w:type="pct"/>
            <w:gridSpan w:val="2"/>
          </w:tcPr>
          <w:p w:rsidR="000B3A42" w:rsidRPr="00441F2A" w:rsidRDefault="000B3A42" w:rsidP="000B3A42">
            <w:pPr>
              <w:jc w:val="both"/>
              <w:rPr>
                <w:sz w:val="20"/>
                <w:lang w:eastAsia="en-CA"/>
              </w:rPr>
            </w:pPr>
            <w:r w:rsidRPr="00441F2A">
              <w:rPr>
                <w:sz w:val="20"/>
                <w:lang w:eastAsia="en-CA"/>
              </w:rPr>
              <w:t>January 8, 2016</w:t>
            </w:r>
          </w:p>
          <w:p w:rsidR="000B3A42" w:rsidRPr="00441F2A" w:rsidRDefault="000B3A42" w:rsidP="000B3A42">
            <w:pPr>
              <w:jc w:val="both"/>
              <w:rPr>
                <w:sz w:val="20"/>
                <w:lang w:eastAsia="en-CA"/>
              </w:rPr>
            </w:pPr>
            <w:r w:rsidRPr="00441F2A">
              <w:rPr>
                <w:sz w:val="20"/>
                <w:lang w:eastAsia="en-CA"/>
              </w:rPr>
              <w:t>Supreme Court of British Columbia</w:t>
            </w:r>
          </w:p>
          <w:p w:rsidR="000B3A42" w:rsidRPr="00441F2A" w:rsidRDefault="000B3A42" w:rsidP="000B3A42">
            <w:pPr>
              <w:jc w:val="both"/>
              <w:rPr>
                <w:sz w:val="20"/>
                <w:lang w:eastAsia="en-CA"/>
              </w:rPr>
            </w:pPr>
            <w:r w:rsidRPr="00441F2A">
              <w:rPr>
                <w:sz w:val="20"/>
                <w:lang w:eastAsia="en-CA"/>
              </w:rPr>
              <w:t>(Blok J.)</w:t>
            </w:r>
          </w:p>
          <w:p w:rsidR="000B3A42" w:rsidRPr="00441F2A" w:rsidRDefault="008A1AC7" w:rsidP="000B3A42">
            <w:pPr>
              <w:jc w:val="both"/>
              <w:rPr>
                <w:sz w:val="20"/>
                <w:lang w:eastAsia="en-CA"/>
              </w:rPr>
            </w:pPr>
            <w:hyperlink r:id="rId16" w:history="1">
              <w:r w:rsidR="000B3A42" w:rsidRPr="00441F2A">
                <w:rPr>
                  <w:color w:val="0000FF" w:themeColor="hyperlink"/>
                  <w:sz w:val="20"/>
                  <w:u w:val="single"/>
                  <w:lang w:eastAsia="en-CA"/>
                </w:rPr>
                <w:t>2016 BCSC 322</w:t>
              </w:r>
            </w:hyperlink>
          </w:p>
          <w:p w:rsidR="000B3A42" w:rsidRPr="00441F2A" w:rsidRDefault="000B3A42" w:rsidP="000B3A42">
            <w:pPr>
              <w:jc w:val="both"/>
              <w:rPr>
                <w:sz w:val="20"/>
              </w:rPr>
            </w:pPr>
          </w:p>
        </w:tc>
        <w:tc>
          <w:tcPr>
            <w:tcW w:w="243" w:type="pct"/>
          </w:tcPr>
          <w:p w:rsidR="000B3A42" w:rsidRPr="00441F2A" w:rsidRDefault="000B3A42" w:rsidP="000B3A42">
            <w:pPr>
              <w:jc w:val="both"/>
              <w:rPr>
                <w:sz w:val="20"/>
              </w:rPr>
            </w:pPr>
          </w:p>
        </w:tc>
        <w:tc>
          <w:tcPr>
            <w:tcW w:w="2330" w:type="pct"/>
          </w:tcPr>
          <w:p w:rsidR="000B3A42" w:rsidRPr="00441F2A" w:rsidRDefault="000B3A42" w:rsidP="000B3A42">
            <w:pPr>
              <w:jc w:val="both"/>
              <w:rPr>
                <w:sz w:val="20"/>
                <w:lang w:eastAsia="en-CA"/>
              </w:rPr>
            </w:pPr>
            <w:r w:rsidRPr="00441F2A">
              <w:rPr>
                <w:sz w:val="20"/>
                <w:lang w:eastAsia="en-CA"/>
              </w:rPr>
              <w:t xml:space="preserve">Applicant found guilty of sexual assault (s. 271 of the </w:t>
            </w:r>
            <w:r w:rsidRPr="00441F2A">
              <w:rPr>
                <w:i/>
                <w:sz w:val="20"/>
                <w:lang w:eastAsia="en-CA"/>
              </w:rPr>
              <w:t>Criminal Code</w:t>
            </w:r>
            <w:r w:rsidRPr="00441F2A">
              <w:rPr>
                <w:sz w:val="20"/>
                <w:lang w:eastAsia="en-CA"/>
              </w:rPr>
              <w:t>)</w:t>
            </w:r>
          </w:p>
          <w:p w:rsidR="000B3A42" w:rsidRPr="00441F2A" w:rsidRDefault="000B3A42" w:rsidP="000B3A42">
            <w:pPr>
              <w:jc w:val="both"/>
              <w:rPr>
                <w:sz w:val="20"/>
              </w:rPr>
            </w:pPr>
          </w:p>
        </w:tc>
      </w:tr>
      <w:tr w:rsidR="000B3A42" w:rsidRPr="00441F2A" w:rsidTr="00E95A6A">
        <w:tc>
          <w:tcPr>
            <w:tcW w:w="2427" w:type="pct"/>
            <w:gridSpan w:val="2"/>
          </w:tcPr>
          <w:p w:rsidR="000B3A42" w:rsidRPr="00441F2A" w:rsidRDefault="000B3A42" w:rsidP="000B3A42">
            <w:pPr>
              <w:jc w:val="both"/>
              <w:rPr>
                <w:sz w:val="20"/>
                <w:lang w:eastAsia="en-CA"/>
              </w:rPr>
            </w:pPr>
            <w:r w:rsidRPr="00441F2A">
              <w:rPr>
                <w:sz w:val="20"/>
                <w:lang w:eastAsia="en-CA"/>
              </w:rPr>
              <w:t>December 19, 2019</w:t>
            </w:r>
          </w:p>
          <w:p w:rsidR="000B3A42" w:rsidRPr="00441F2A" w:rsidRDefault="000B3A42" w:rsidP="000B3A42">
            <w:pPr>
              <w:jc w:val="both"/>
              <w:rPr>
                <w:sz w:val="20"/>
                <w:lang w:eastAsia="en-CA"/>
              </w:rPr>
            </w:pPr>
            <w:r w:rsidRPr="00441F2A">
              <w:rPr>
                <w:sz w:val="20"/>
                <w:lang w:eastAsia="en-CA"/>
              </w:rPr>
              <w:t>Court of Appeal for British Columbia (Vancouver)</w:t>
            </w:r>
          </w:p>
          <w:p w:rsidR="000B3A42" w:rsidRPr="00441F2A" w:rsidRDefault="000B3A42" w:rsidP="000B3A42">
            <w:pPr>
              <w:jc w:val="both"/>
              <w:rPr>
                <w:sz w:val="20"/>
                <w:lang w:eastAsia="en-CA"/>
              </w:rPr>
            </w:pPr>
            <w:r w:rsidRPr="00441F2A">
              <w:rPr>
                <w:sz w:val="20"/>
                <w:lang w:eastAsia="en-CA"/>
              </w:rPr>
              <w:t>(Frankel, Willcock and Fenlon JJ.A.)</w:t>
            </w:r>
          </w:p>
          <w:p w:rsidR="000B3A42" w:rsidRPr="00441F2A" w:rsidRDefault="008A1AC7" w:rsidP="000B3A42">
            <w:pPr>
              <w:jc w:val="both"/>
              <w:rPr>
                <w:sz w:val="20"/>
                <w:lang w:eastAsia="en-CA"/>
              </w:rPr>
            </w:pPr>
            <w:hyperlink r:id="rId17" w:history="1">
              <w:r w:rsidR="000B3A42" w:rsidRPr="00441F2A">
                <w:rPr>
                  <w:color w:val="0000FF" w:themeColor="hyperlink"/>
                  <w:sz w:val="20"/>
                  <w:u w:val="single"/>
                  <w:lang w:eastAsia="en-CA"/>
                </w:rPr>
                <w:t>2019 BCCA 462</w:t>
              </w:r>
            </w:hyperlink>
          </w:p>
          <w:p w:rsidR="000B3A42" w:rsidRPr="00441F2A" w:rsidRDefault="000B3A42" w:rsidP="000B3A42">
            <w:pPr>
              <w:jc w:val="both"/>
              <w:rPr>
                <w:sz w:val="20"/>
              </w:rPr>
            </w:pPr>
          </w:p>
        </w:tc>
        <w:tc>
          <w:tcPr>
            <w:tcW w:w="243" w:type="pct"/>
          </w:tcPr>
          <w:p w:rsidR="000B3A42" w:rsidRPr="00441F2A" w:rsidRDefault="000B3A42" w:rsidP="000B3A42">
            <w:pPr>
              <w:jc w:val="both"/>
              <w:rPr>
                <w:sz w:val="20"/>
              </w:rPr>
            </w:pPr>
          </w:p>
        </w:tc>
        <w:tc>
          <w:tcPr>
            <w:tcW w:w="2330" w:type="pct"/>
          </w:tcPr>
          <w:p w:rsidR="000B3A42" w:rsidRPr="00441F2A" w:rsidRDefault="000B3A42" w:rsidP="000B3A42">
            <w:pPr>
              <w:jc w:val="both"/>
              <w:rPr>
                <w:sz w:val="20"/>
                <w:lang w:eastAsia="en-CA"/>
              </w:rPr>
            </w:pPr>
            <w:r w:rsidRPr="00441F2A">
              <w:rPr>
                <w:sz w:val="20"/>
                <w:lang w:eastAsia="en-CA"/>
              </w:rPr>
              <w:t>Applicant’s conviction appeal dismissed</w:t>
            </w:r>
          </w:p>
          <w:p w:rsidR="000B3A42" w:rsidRPr="00441F2A" w:rsidRDefault="000B3A42" w:rsidP="000B3A42">
            <w:pPr>
              <w:jc w:val="both"/>
              <w:rPr>
                <w:sz w:val="20"/>
              </w:rPr>
            </w:pPr>
          </w:p>
        </w:tc>
      </w:tr>
      <w:tr w:rsidR="000B3A42" w:rsidRPr="00441F2A" w:rsidTr="00E95A6A">
        <w:tc>
          <w:tcPr>
            <w:tcW w:w="2427" w:type="pct"/>
            <w:gridSpan w:val="2"/>
          </w:tcPr>
          <w:p w:rsidR="000B3A42" w:rsidRPr="00441F2A" w:rsidRDefault="000B3A42" w:rsidP="000B3A42">
            <w:pPr>
              <w:jc w:val="both"/>
              <w:rPr>
                <w:sz w:val="20"/>
              </w:rPr>
            </w:pPr>
            <w:r w:rsidRPr="00441F2A">
              <w:rPr>
                <w:sz w:val="20"/>
              </w:rPr>
              <w:t>September 24, 2020</w:t>
            </w:r>
          </w:p>
          <w:p w:rsidR="000B3A42" w:rsidRPr="00441F2A" w:rsidRDefault="000B3A42" w:rsidP="000B3A42">
            <w:pPr>
              <w:jc w:val="both"/>
              <w:rPr>
                <w:sz w:val="20"/>
              </w:rPr>
            </w:pPr>
            <w:r w:rsidRPr="00441F2A">
              <w:rPr>
                <w:sz w:val="20"/>
              </w:rPr>
              <w:t>Supreme Court of Canada</w:t>
            </w:r>
          </w:p>
        </w:tc>
        <w:tc>
          <w:tcPr>
            <w:tcW w:w="243" w:type="pct"/>
          </w:tcPr>
          <w:p w:rsidR="000B3A42" w:rsidRPr="00441F2A" w:rsidRDefault="000B3A42" w:rsidP="000B3A42">
            <w:pPr>
              <w:jc w:val="both"/>
              <w:rPr>
                <w:sz w:val="20"/>
              </w:rPr>
            </w:pPr>
          </w:p>
        </w:tc>
        <w:tc>
          <w:tcPr>
            <w:tcW w:w="2330" w:type="pct"/>
          </w:tcPr>
          <w:p w:rsidR="000B3A42" w:rsidRPr="00441F2A" w:rsidRDefault="000B3A42" w:rsidP="000B3A42">
            <w:pPr>
              <w:jc w:val="both"/>
              <w:rPr>
                <w:sz w:val="20"/>
              </w:rPr>
            </w:pPr>
            <w:r w:rsidRPr="00441F2A">
              <w:rPr>
                <w:sz w:val="20"/>
              </w:rPr>
              <w:t>Application for leave to appeal filed</w:t>
            </w:r>
          </w:p>
          <w:p w:rsidR="000B3A42" w:rsidRPr="00441F2A" w:rsidRDefault="000B3A42" w:rsidP="000B3A42">
            <w:pPr>
              <w:jc w:val="both"/>
              <w:rPr>
                <w:sz w:val="20"/>
              </w:rPr>
            </w:pPr>
          </w:p>
        </w:tc>
      </w:tr>
    </w:tbl>
    <w:p w:rsidR="000B3A42" w:rsidRPr="00441F2A" w:rsidRDefault="000B3A42" w:rsidP="000B3A42">
      <w:pPr>
        <w:jc w:val="both"/>
        <w:rPr>
          <w:sz w:val="20"/>
        </w:rPr>
      </w:pPr>
    </w:p>
    <w:p w:rsidR="00EB6EB3" w:rsidRPr="00441F2A" w:rsidRDefault="008A1AC7" w:rsidP="000B3A42">
      <w:pPr>
        <w:jc w:val="both"/>
        <w:rPr>
          <w:sz w:val="20"/>
        </w:rPr>
      </w:pPr>
      <w:r w:rsidRPr="00441F2A">
        <w:rPr>
          <w:sz w:val="20"/>
        </w:rPr>
        <w:pict>
          <v:rect id="_x0000_i1033" style="width:2in;height:1pt" o:hrpct="0" o:hralign="center" o:hrstd="t" o:hrnoshade="t" o:hr="t" fillcolor="black [3213]" stroked="f"/>
        </w:pict>
      </w:r>
    </w:p>
    <w:p w:rsidR="00EB6EB3" w:rsidRPr="00441F2A" w:rsidRDefault="00EB6EB3" w:rsidP="000B3A4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B3A42" w:rsidRPr="00441F2A" w:rsidTr="00E95A6A">
        <w:tc>
          <w:tcPr>
            <w:tcW w:w="543" w:type="pct"/>
          </w:tcPr>
          <w:p w:rsidR="000B3A42" w:rsidRPr="00441F2A" w:rsidRDefault="000B3A42" w:rsidP="000B3A42">
            <w:pPr>
              <w:jc w:val="both"/>
              <w:rPr>
                <w:sz w:val="20"/>
                <w:lang w:val="fr-CA"/>
              </w:rPr>
            </w:pPr>
            <w:r w:rsidRPr="00441F2A">
              <w:rPr>
                <w:rStyle w:val="SCCFileNumberChar"/>
                <w:sz w:val="20"/>
                <w:szCs w:val="20"/>
                <w:lang w:val="fr-CA"/>
              </w:rPr>
              <w:t>39463</w:t>
            </w:r>
          </w:p>
        </w:tc>
        <w:tc>
          <w:tcPr>
            <w:tcW w:w="4457" w:type="pct"/>
            <w:gridSpan w:val="3"/>
          </w:tcPr>
          <w:p w:rsidR="000B3A42" w:rsidRPr="00441F2A" w:rsidRDefault="000B3A42" w:rsidP="000B3A42">
            <w:pPr>
              <w:pStyle w:val="SCCLsocParty"/>
              <w:jc w:val="both"/>
              <w:rPr>
                <w:b/>
                <w:sz w:val="20"/>
                <w:szCs w:val="20"/>
              </w:rPr>
            </w:pPr>
            <w:r w:rsidRPr="00441F2A">
              <w:rPr>
                <w:b/>
                <w:sz w:val="20"/>
                <w:szCs w:val="20"/>
              </w:rPr>
              <w:t>Aleksandr Plehanov c. Sa Majesté la Reine</w:t>
            </w:r>
          </w:p>
          <w:p w:rsidR="000B3A42" w:rsidRPr="00441F2A" w:rsidRDefault="000B3A42" w:rsidP="000B3A42">
            <w:pPr>
              <w:jc w:val="both"/>
              <w:rPr>
                <w:sz w:val="20"/>
                <w:lang w:val="fr-CA"/>
              </w:rPr>
            </w:pPr>
            <w:r w:rsidRPr="00441F2A">
              <w:rPr>
                <w:sz w:val="20"/>
                <w:lang w:val="fr-CA"/>
              </w:rPr>
              <w:t>(C.-B.) (Criminelle) (Sur autorisation)</w:t>
            </w:r>
          </w:p>
        </w:tc>
      </w:tr>
      <w:tr w:rsidR="000B3A42" w:rsidRPr="00441F2A" w:rsidTr="00E95A6A">
        <w:tc>
          <w:tcPr>
            <w:tcW w:w="5000" w:type="pct"/>
            <w:gridSpan w:val="4"/>
          </w:tcPr>
          <w:p w:rsidR="000B3A42" w:rsidRPr="00441F2A" w:rsidRDefault="000B3A42" w:rsidP="000B3A42">
            <w:pPr>
              <w:pStyle w:val="SCCBanSummary"/>
              <w:rPr>
                <w:sz w:val="20"/>
                <w:szCs w:val="20"/>
                <w:lang w:val="fr-CA"/>
              </w:rPr>
            </w:pPr>
            <w:r w:rsidRPr="00441F2A">
              <w:rPr>
                <w:sz w:val="20"/>
                <w:szCs w:val="20"/>
                <w:lang w:val="fr-CA"/>
              </w:rPr>
              <w:t>(Ordonnance de non-publication dans le dossier)</w:t>
            </w:r>
          </w:p>
          <w:p w:rsidR="000B3A42" w:rsidRPr="00441F2A" w:rsidRDefault="000B3A42" w:rsidP="000B3A42">
            <w:pPr>
              <w:jc w:val="both"/>
              <w:rPr>
                <w:sz w:val="20"/>
                <w:lang w:val="fr-CA"/>
              </w:rPr>
            </w:pPr>
          </w:p>
        </w:tc>
      </w:tr>
      <w:tr w:rsidR="000B3A42" w:rsidRPr="00441F2A" w:rsidTr="00E95A6A">
        <w:tc>
          <w:tcPr>
            <w:tcW w:w="5000" w:type="pct"/>
            <w:gridSpan w:val="4"/>
          </w:tcPr>
          <w:p w:rsidR="000B3A42" w:rsidRPr="00441F2A" w:rsidRDefault="000B3A42" w:rsidP="000B3A42">
            <w:pPr>
              <w:jc w:val="both"/>
              <w:rPr>
                <w:sz w:val="20"/>
                <w:lang w:val="fr-CA"/>
              </w:rPr>
            </w:pPr>
            <w:r w:rsidRPr="00441F2A">
              <w:rPr>
                <w:sz w:val="20"/>
                <w:lang w:val="fr-CA"/>
              </w:rPr>
              <w:t>Droit criminel — Infractions — Agression sexuelle — Appels — Verdict déraisonnable — Assistance ineffective de l’avocat — La durée de l’instruction du procès, de la procédure de détermination de la peine et d’appel constitue</w:t>
            </w:r>
            <w:r w:rsidRPr="00441F2A">
              <w:rPr>
                <w:sz w:val="20"/>
                <w:lang w:val="fr-CA"/>
              </w:rPr>
              <w:noBreakHyphen/>
              <w:t>t</w:t>
            </w:r>
            <w:r w:rsidRPr="00441F2A">
              <w:rPr>
                <w:sz w:val="20"/>
                <w:lang w:val="fr-CA"/>
              </w:rPr>
              <w:noBreakHyphen/>
              <w:t>elle une peine cruelle et inusitée? — Le juge du procès a</w:t>
            </w:r>
            <w:r w:rsidRPr="00441F2A">
              <w:rPr>
                <w:sz w:val="20"/>
                <w:lang w:val="fr-CA"/>
              </w:rPr>
              <w:noBreakHyphen/>
              <w:t>t</w:t>
            </w:r>
            <w:r w:rsidRPr="00441F2A">
              <w:rPr>
                <w:sz w:val="20"/>
                <w:lang w:val="fr-CA"/>
              </w:rPr>
              <w:noBreakHyphen/>
              <w:t>il commis une erreur en déclarant le demandeur coupable? — La Cour d’appel a</w:t>
            </w:r>
            <w:r w:rsidRPr="00441F2A">
              <w:rPr>
                <w:sz w:val="20"/>
                <w:lang w:val="fr-CA"/>
              </w:rPr>
              <w:noBreakHyphen/>
              <w:t>t</w:t>
            </w:r>
            <w:r w:rsidRPr="00441F2A">
              <w:rPr>
                <w:sz w:val="20"/>
                <w:lang w:val="fr-CA"/>
              </w:rPr>
              <w:noBreakHyphen/>
              <w:t>elle commis une erreur en rejetant l’appel du demandeur? — Le fardeau de la preuve est</w:t>
            </w:r>
            <w:r w:rsidRPr="00441F2A">
              <w:rPr>
                <w:sz w:val="20"/>
                <w:lang w:val="fr-CA"/>
              </w:rPr>
              <w:noBreakHyphen/>
              <w:t>il plus léger dans le cadre d’affaires mettant en cause des enfants? — Le demandeur a</w:t>
            </w:r>
            <w:r w:rsidRPr="00441F2A">
              <w:rPr>
                <w:sz w:val="20"/>
                <w:lang w:val="fr-CA"/>
              </w:rPr>
              <w:noBreakHyphen/>
              <w:t>t</w:t>
            </w:r>
            <w:r w:rsidRPr="00441F2A">
              <w:rPr>
                <w:sz w:val="20"/>
                <w:lang w:val="fr-CA"/>
              </w:rPr>
              <w:noBreakHyphen/>
              <w:t>il reçu une assistance ineffective de la part de son avocate lors du procès?</w:t>
            </w:r>
          </w:p>
          <w:p w:rsidR="000B3A42" w:rsidRPr="00441F2A" w:rsidRDefault="000B3A42" w:rsidP="000B3A42">
            <w:pPr>
              <w:jc w:val="both"/>
              <w:rPr>
                <w:sz w:val="20"/>
                <w:lang w:val="fr-CA"/>
              </w:rPr>
            </w:pPr>
          </w:p>
        </w:tc>
      </w:tr>
      <w:tr w:rsidR="000B3A42" w:rsidRPr="00441F2A" w:rsidTr="00E95A6A">
        <w:tc>
          <w:tcPr>
            <w:tcW w:w="5000" w:type="pct"/>
            <w:gridSpan w:val="4"/>
          </w:tcPr>
          <w:p w:rsidR="000B3A42" w:rsidRPr="00441F2A" w:rsidRDefault="000B3A42" w:rsidP="000B3A42">
            <w:pPr>
              <w:jc w:val="both"/>
              <w:rPr>
                <w:sz w:val="20"/>
                <w:lang w:val="fr-CA"/>
              </w:rPr>
            </w:pPr>
            <w:r w:rsidRPr="00441F2A">
              <w:rPr>
                <w:sz w:val="20"/>
                <w:lang w:val="fr-CA"/>
              </w:rPr>
              <w:t xml:space="preserve">Le demandeur, M. Plehanov, a été accusé de contacts sexuels en contravention de l’art. 151 du </w:t>
            </w:r>
            <w:r w:rsidRPr="00441F2A">
              <w:rPr>
                <w:i/>
                <w:sz w:val="20"/>
                <w:lang w:val="fr-CA"/>
              </w:rPr>
              <w:t>Code criminel</w:t>
            </w:r>
            <w:r w:rsidRPr="00441F2A">
              <w:rPr>
                <w:sz w:val="20"/>
                <w:lang w:val="fr-CA"/>
              </w:rPr>
              <w:t>, L.R.C. 1985, ch. C</w:t>
            </w:r>
            <w:r w:rsidRPr="00441F2A">
              <w:rPr>
                <w:sz w:val="20"/>
                <w:lang w:val="fr-CA"/>
              </w:rPr>
              <w:noBreakHyphen/>
              <w:t>46, et d’agression sexuelle en contravention de l’art. 271. La plaignante, qui avait six ans au moment des faits en cause, et son père ont témoigné au procès. Le demandeur a reconnu que des contacts avaient eu lieu entre lui et la plaignante, mais a fait valoir que ceux</w:t>
            </w:r>
            <w:r w:rsidRPr="00441F2A">
              <w:rPr>
                <w:sz w:val="20"/>
                <w:lang w:val="fr-CA"/>
              </w:rPr>
              <w:noBreakHyphen/>
              <w:t>ci étaient survenus lorsqu’il avait attrapé la plaignante alors qu’elle faisait une chute, et que tout contact était accidentel. Le juge du procès a estimé que les témoignages de la plaignante et de son père étaient crédibles et fiables, malgré les différences entre ceux</w:t>
            </w:r>
            <w:r w:rsidRPr="00441F2A">
              <w:rPr>
                <w:sz w:val="20"/>
                <w:lang w:val="fr-CA"/>
              </w:rPr>
              <w:noBreakHyphen/>
              <w:t>ci. Il a déclaré l’accusé coupable d’agression sexuelle, mais l’a acquitté de contacts sexuels, concluant que l’intention spécifique requise pour cette infraction n’avait pas été démontrée.</w:t>
            </w:r>
          </w:p>
          <w:p w:rsidR="000B3A42" w:rsidRPr="00441F2A" w:rsidRDefault="000B3A42" w:rsidP="000B3A42">
            <w:pPr>
              <w:jc w:val="both"/>
              <w:rPr>
                <w:sz w:val="20"/>
                <w:lang w:val="fr-CA"/>
              </w:rPr>
            </w:pPr>
          </w:p>
          <w:p w:rsidR="000B3A42" w:rsidRPr="00441F2A" w:rsidRDefault="000B3A42" w:rsidP="000B3A42">
            <w:pPr>
              <w:jc w:val="both"/>
              <w:rPr>
                <w:sz w:val="20"/>
                <w:lang w:val="fr-CA"/>
              </w:rPr>
            </w:pPr>
            <w:r w:rsidRPr="00441F2A">
              <w:rPr>
                <w:sz w:val="20"/>
                <w:lang w:val="fr-CA"/>
              </w:rPr>
              <w:t>Le demandeur a fait appel de la déclaration de culpabilité pour les motifs suivants : l’assistance ineffective de son avocate au procès; le défaut du juge du procès de prononcer la nullité du procès à la suite de la publication d’un article de journal au sujet du demandeur; le caractère déraisonnable du verdict en raison des incohérences dans la preuve présentée par le ministère public. La Cour d’appel de la Colombie</w:t>
            </w:r>
            <w:r w:rsidRPr="00441F2A">
              <w:rPr>
                <w:sz w:val="20"/>
                <w:lang w:val="fr-CA"/>
              </w:rPr>
              <w:noBreakHyphen/>
              <w:t xml:space="preserve">Britannique a rejeté l’appel à l’unanimité. Elle a statué que le demandeur n’avait pas réussi à établir la preuve de la conduite sur laquelle il avait fondé l’allégation d’assistance ineffective de l’avocate. La Cour d’appel a également considéré sans fondement l’argument du demandeur portant que son avocate au procès aurait dû demander la nullité ou la réouverture du procès à la suite de la publication de l’article, ou que le juge du procès aurait dû soulever la question de son propre chef. Enfin, la Cour d’appel n’était pas d’accord pour dire que le verdict était déraisonnable, et a statué qu’il était loisible au juge du procès de tirer les conclusions de fait qu’il a tirées. </w:t>
            </w:r>
          </w:p>
          <w:p w:rsidR="000B3A42" w:rsidRPr="00441F2A" w:rsidRDefault="000B3A42" w:rsidP="000B3A42">
            <w:pPr>
              <w:jc w:val="both"/>
              <w:rPr>
                <w:sz w:val="20"/>
                <w:lang w:val="fr-CA"/>
              </w:rPr>
            </w:pPr>
          </w:p>
        </w:tc>
      </w:tr>
      <w:tr w:rsidR="000B3A42" w:rsidRPr="00441F2A" w:rsidTr="00E95A6A">
        <w:tc>
          <w:tcPr>
            <w:tcW w:w="2427" w:type="pct"/>
            <w:gridSpan w:val="2"/>
          </w:tcPr>
          <w:p w:rsidR="000B3A42" w:rsidRPr="00441F2A" w:rsidRDefault="000B3A42" w:rsidP="000B3A42">
            <w:pPr>
              <w:jc w:val="both"/>
              <w:rPr>
                <w:sz w:val="20"/>
                <w:lang w:val="fr-CA" w:eastAsia="en-CA"/>
              </w:rPr>
            </w:pPr>
            <w:r w:rsidRPr="00441F2A">
              <w:rPr>
                <w:sz w:val="20"/>
                <w:lang w:val="fr-CA" w:eastAsia="en-CA"/>
              </w:rPr>
              <w:t>8 janvier 2016</w:t>
            </w:r>
          </w:p>
          <w:p w:rsidR="000B3A42" w:rsidRPr="00441F2A" w:rsidRDefault="000B3A42" w:rsidP="000B3A42">
            <w:pPr>
              <w:jc w:val="both"/>
              <w:rPr>
                <w:sz w:val="20"/>
                <w:lang w:val="fr-CA" w:eastAsia="en-CA"/>
              </w:rPr>
            </w:pPr>
            <w:r w:rsidRPr="00441F2A">
              <w:rPr>
                <w:sz w:val="20"/>
                <w:lang w:val="fr-CA" w:eastAsia="en-CA"/>
              </w:rPr>
              <w:t>Cour suprême de la Colombie</w:t>
            </w:r>
            <w:r w:rsidRPr="00441F2A">
              <w:rPr>
                <w:sz w:val="20"/>
                <w:lang w:val="fr-CA" w:eastAsia="en-CA"/>
              </w:rPr>
              <w:noBreakHyphen/>
              <w:t>Britannique (Juge Blok)</w:t>
            </w:r>
          </w:p>
          <w:p w:rsidR="000B3A42" w:rsidRPr="00441F2A" w:rsidRDefault="008A1AC7" w:rsidP="000B3A42">
            <w:pPr>
              <w:jc w:val="both"/>
              <w:rPr>
                <w:sz w:val="20"/>
                <w:lang w:val="fr-CA" w:eastAsia="en-CA"/>
              </w:rPr>
            </w:pPr>
            <w:hyperlink r:id="rId18" w:history="1">
              <w:r w:rsidR="000B3A42" w:rsidRPr="00441F2A">
                <w:rPr>
                  <w:color w:val="0000FF" w:themeColor="hyperlink"/>
                  <w:sz w:val="20"/>
                  <w:u w:val="single"/>
                  <w:lang w:val="fr-CA" w:eastAsia="en-CA"/>
                </w:rPr>
                <w:t>2016 BCSC 322</w:t>
              </w:r>
            </w:hyperlink>
          </w:p>
          <w:p w:rsidR="000B3A42" w:rsidRPr="00441F2A" w:rsidRDefault="000B3A42" w:rsidP="000B3A42">
            <w:pPr>
              <w:jc w:val="both"/>
              <w:rPr>
                <w:sz w:val="20"/>
                <w:lang w:val="fr-CA"/>
              </w:rPr>
            </w:pPr>
          </w:p>
        </w:tc>
        <w:tc>
          <w:tcPr>
            <w:tcW w:w="243" w:type="pct"/>
          </w:tcPr>
          <w:p w:rsidR="000B3A42" w:rsidRPr="00441F2A" w:rsidRDefault="000B3A42" w:rsidP="000B3A42">
            <w:pPr>
              <w:jc w:val="both"/>
              <w:rPr>
                <w:sz w:val="20"/>
                <w:lang w:val="fr-CA"/>
              </w:rPr>
            </w:pPr>
          </w:p>
        </w:tc>
        <w:tc>
          <w:tcPr>
            <w:tcW w:w="2330" w:type="pct"/>
          </w:tcPr>
          <w:p w:rsidR="000B3A42" w:rsidRPr="00441F2A" w:rsidRDefault="000B3A42" w:rsidP="000B3A42">
            <w:pPr>
              <w:jc w:val="both"/>
              <w:rPr>
                <w:sz w:val="20"/>
                <w:lang w:val="fr-CA" w:eastAsia="en-CA"/>
              </w:rPr>
            </w:pPr>
            <w:r w:rsidRPr="00441F2A">
              <w:rPr>
                <w:sz w:val="20"/>
                <w:lang w:val="fr-CA" w:eastAsia="en-CA"/>
              </w:rPr>
              <w:t xml:space="preserve">Le demandeur est déclaré coupable d’agression sexuelle (art. 271 du </w:t>
            </w:r>
            <w:r w:rsidRPr="00441F2A">
              <w:rPr>
                <w:i/>
                <w:sz w:val="20"/>
                <w:lang w:val="fr-CA" w:eastAsia="en-CA"/>
              </w:rPr>
              <w:t>Code criminel</w:t>
            </w:r>
            <w:r w:rsidRPr="00441F2A">
              <w:rPr>
                <w:sz w:val="20"/>
                <w:lang w:val="fr-CA" w:eastAsia="en-CA"/>
              </w:rPr>
              <w:t>).</w:t>
            </w:r>
          </w:p>
          <w:p w:rsidR="000B3A42" w:rsidRPr="00441F2A" w:rsidRDefault="000B3A42" w:rsidP="000B3A42">
            <w:pPr>
              <w:jc w:val="both"/>
              <w:rPr>
                <w:sz w:val="20"/>
                <w:lang w:val="fr-CA"/>
              </w:rPr>
            </w:pPr>
          </w:p>
        </w:tc>
      </w:tr>
      <w:tr w:rsidR="000B3A42" w:rsidRPr="00441F2A" w:rsidTr="00E95A6A">
        <w:tc>
          <w:tcPr>
            <w:tcW w:w="2427" w:type="pct"/>
            <w:gridSpan w:val="2"/>
          </w:tcPr>
          <w:p w:rsidR="000B3A42" w:rsidRPr="00441F2A" w:rsidRDefault="000B3A42" w:rsidP="000B3A42">
            <w:pPr>
              <w:jc w:val="both"/>
              <w:rPr>
                <w:sz w:val="20"/>
                <w:lang w:val="fr-CA" w:eastAsia="en-CA"/>
              </w:rPr>
            </w:pPr>
            <w:r w:rsidRPr="00441F2A">
              <w:rPr>
                <w:sz w:val="20"/>
                <w:lang w:val="fr-CA" w:eastAsia="en-CA"/>
              </w:rPr>
              <w:t>19 décembre 2019</w:t>
            </w:r>
          </w:p>
          <w:p w:rsidR="000B3A42" w:rsidRPr="00441F2A" w:rsidRDefault="000B3A42" w:rsidP="000B3A42">
            <w:pPr>
              <w:jc w:val="both"/>
              <w:rPr>
                <w:sz w:val="20"/>
                <w:lang w:val="fr-CA" w:eastAsia="en-CA"/>
              </w:rPr>
            </w:pPr>
            <w:r w:rsidRPr="00441F2A">
              <w:rPr>
                <w:sz w:val="20"/>
                <w:lang w:val="fr-CA" w:eastAsia="en-CA"/>
              </w:rPr>
              <w:t>Cour d’appel de la Colombie</w:t>
            </w:r>
            <w:r w:rsidRPr="00441F2A">
              <w:rPr>
                <w:sz w:val="20"/>
                <w:lang w:val="fr-CA" w:eastAsia="en-CA"/>
              </w:rPr>
              <w:noBreakHyphen/>
              <w:t>Britannique (Vancouver)</w:t>
            </w:r>
          </w:p>
          <w:p w:rsidR="000B3A42" w:rsidRPr="00441F2A" w:rsidRDefault="000B3A42" w:rsidP="000B3A42">
            <w:pPr>
              <w:jc w:val="both"/>
              <w:rPr>
                <w:sz w:val="20"/>
                <w:lang w:val="fr-CA" w:eastAsia="en-CA"/>
              </w:rPr>
            </w:pPr>
            <w:r w:rsidRPr="00441F2A">
              <w:rPr>
                <w:sz w:val="20"/>
                <w:lang w:val="fr-CA" w:eastAsia="en-CA"/>
              </w:rPr>
              <w:t xml:space="preserve">(Juges </w:t>
            </w:r>
            <w:proofErr w:type="spellStart"/>
            <w:r w:rsidRPr="00441F2A">
              <w:rPr>
                <w:sz w:val="20"/>
                <w:lang w:val="fr-CA" w:eastAsia="en-CA"/>
              </w:rPr>
              <w:t>Frankel</w:t>
            </w:r>
            <w:proofErr w:type="spellEnd"/>
            <w:r w:rsidRPr="00441F2A">
              <w:rPr>
                <w:sz w:val="20"/>
                <w:lang w:val="fr-CA" w:eastAsia="en-CA"/>
              </w:rPr>
              <w:t>, Willcock et Fenlon)</w:t>
            </w:r>
          </w:p>
          <w:p w:rsidR="000B3A42" w:rsidRPr="00441F2A" w:rsidRDefault="008A1AC7" w:rsidP="000B3A42">
            <w:pPr>
              <w:jc w:val="both"/>
              <w:rPr>
                <w:sz w:val="20"/>
                <w:lang w:val="fr-CA" w:eastAsia="en-CA"/>
              </w:rPr>
            </w:pPr>
            <w:hyperlink r:id="rId19" w:history="1">
              <w:r w:rsidR="000B3A42" w:rsidRPr="00441F2A">
                <w:rPr>
                  <w:color w:val="0000FF" w:themeColor="hyperlink"/>
                  <w:sz w:val="20"/>
                  <w:u w:val="single"/>
                  <w:lang w:val="fr-CA" w:eastAsia="en-CA"/>
                </w:rPr>
                <w:t>2019 BCCA 462</w:t>
              </w:r>
            </w:hyperlink>
          </w:p>
          <w:p w:rsidR="000B3A42" w:rsidRPr="00441F2A" w:rsidRDefault="000B3A42" w:rsidP="000B3A42">
            <w:pPr>
              <w:jc w:val="both"/>
              <w:rPr>
                <w:sz w:val="20"/>
                <w:lang w:val="fr-CA"/>
              </w:rPr>
            </w:pPr>
          </w:p>
        </w:tc>
        <w:tc>
          <w:tcPr>
            <w:tcW w:w="243" w:type="pct"/>
          </w:tcPr>
          <w:p w:rsidR="000B3A42" w:rsidRPr="00441F2A" w:rsidRDefault="000B3A42" w:rsidP="000B3A42">
            <w:pPr>
              <w:jc w:val="both"/>
              <w:rPr>
                <w:sz w:val="20"/>
                <w:lang w:val="fr-CA"/>
              </w:rPr>
            </w:pPr>
          </w:p>
        </w:tc>
        <w:tc>
          <w:tcPr>
            <w:tcW w:w="2330" w:type="pct"/>
          </w:tcPr>
          <w:p w:rsidR="000B3A42" w:rsidRPr="00441F2A" w:rsidRDefault="000B3A42" w:rsidP="000B3A42">
            <w:pPr>
              <w:jc w:val="both"/>
              <w:rPr>
                <w:sz w:val="20"/>
                <w:lang w:val="fr-CA" w:eastAsia="en-CA"/>
              </w:rPr>
            </w:pPr>
            <w:r w:rsidRPr="00441F2A">
              <w:rPr>
                <w:sz w:val="20"/>
                <w:lang w:val="fr-CA" w:eastAsia="en-CA"/>
              </w:rPr>
              <w:t>L’appel de la déclaration de culpabilité du demandeur est rejeté.</w:t>
            </w:r>
          </w:p>
          <w:p w:rsidR="000B3A42" w:rsidRPr="00441F2A" w:rsidRDefault="000B3A42" w:rsidP="000B3A42">
            <w:pPr>
              <w:jc w:val="both"/>
              <w:rPr>
                <w:sz w:val="20"/>
                <w:lang w:val="fr-CA"/>
              </w:rPr>
            </w:pPr>
          </w:p>
        </w:tc>
      </w:tr>
      <w:tr w:rsidR="000B3A42" w:rsidRPr="00441F2A" w:rsidTr="00E95A6A">
        <w:tc>
          <w:tcPr>
            <w:tcW w:w="2427" w:type="pct"/>
            <w:gridSpan w:val="2"/>
          </w:tcPr>
          <w:p w:rsidR="000B3A42" w:rsidRPr="00441F2A" w:rsidRDefault="000B3A42" w:rsidP="000B3A42">
            <w:pPr>
              <w:jc w:val="both"/>
              <w:rPr>
                <w:sz w:val="20"/>
                <w:lang w:val="fr-CA"/>
              </w:rPr>
            </w:pPr>
            <w:r w:rsidRPr="00441F2A">
              <w:rPr>
                <w:sz w:val="20"/>
                <w:lang w:val="fr-CA"/>
              </w:rPr>
              <w:t>24 septembre 2020</w:t>
            </w:r>
          </w:p>
          <w:p w:rsidR="000B3A42" w:rsidRPr="00441F2A" w:rsidRDefault="000B3A42" w:rsidP="000B3A42">
            <w:pPr>
              <w:jc w:val="both"/>
              <w:rPr>
                <w:sz w:val="20"/>
                <w:lang w:val="fr-CA"/>
              </w:rPr>
            </w:pPr>
            <w:r w:rsidRPr="00441F2A">
              <w:rPr>
                <w:sz w:val="20"/>
                <w:lang w:val="fr-CA"/>
              </w:rPr>
              <w:t>Cour suprême du Canada</w:t>
            </w:r>
          </w:p>
        </w:tc>
        <w:tc>
          <w:tcPr>
            <w:tcW w:w="243" w:type="pct"/>
          </w:tcPr>
          <w:p w:rsidR="000B3A42" w:rsidRPr="00441F2A" w:rsidRDefault="000B3A42" w:rsidP="000B3A42">
            <w:pPr>
              <w:jc w:val="both"/>
              <w:rPr>
                <w:sz w:val="20"/>
                <w:lang w:val="fr-CA"/>
              </w:rPr>
            </w:pPr>
          </w:p>
        </w:tc>
        <w:tc>
          <w:tcPr>
            <w:tcW w:w="2330" w:type="pct"/>
          </w:tcPr>
          <w:p w:rsidR="000B3A42" w:rsidRPr="00441F2A" w:rsidRDefault="000B3A42" w:rsidP="000B3A42">
            <w:pPr>
              <w:jc w:val="both"/>
              <w:rPr>
                <w:sz w:val="20"/>
                <w:lang w:val="fr-CA"/>
              </w:rPr>
            </w:pPr>
            <w:r w:rsidRPr="00441F2A">
              <w:rPr>
                <w:sz w:val="20"/>
                <w:lang w:val="fr-CA"/>
              </w:rPr>
              <w:t>La demande d’autorisation d’appel est présentée.</w:t>
            </w:r>
          </w:p>
          <w:p w:rsidR="000B3A42" w:rsidRPr="00441F2A" w:rsidRDefault="000B3A42" w:rsidP="000B3A42">
            <w:pPr>
              <w:jc w:val="both"/>
              <w:rPr>
                <w:sz w:val="20"/>
                <w:lang w:val="fr-CA"/>
              </w:rPr>
            </w:pPr>
          </w:p>
        </w:tc>
      </w:tr>
    </w:tbl>
    <w:p w:rsidR="000B3A42" w:rsidRPr="00441F2A" w:rsidRDefault="000B3A42" w:rsidP="000B3A42">
      <w:pPr>
        <w:jc w:val="both"/>
        <w:rPr>
          <w:sz w:val="20"/>
          <w:lang w:val="fr-CA"/>
        </w:rPr>
      </w:pPr>
    </w:p>
    <w:p w:rsidR="009E0BD3" w:rsidRPr="00441F2A" w:rsidRDefault="008A1AC7" w:rsidP="000B3A42">
      <w:pPr>
        <w:widowControl w:val="0"/>
        <w:jc w:val="both"/>
        <w:rPr>
          <w:sz w:val="20"/>
          <w:lang w:val="fr-CA"/>
        </w:rPr>
      </w:pPr>
      <w:r w:rsidRPr="00441F2A">
        <w:rPr>
          <w:sz w:val="20"/>
        </w:rPr>
        <w:pict>
          <v:rect id="_x0000_i1034" style="width:2in;height:1pt" o:hrpct="0" o:hralign="center" o:hrstd="t" o:hrnoshade="t" o:hr="t" fillcolor="black [3213]" stroked="f"/>
        </w:pict>
      </w:r>
    </w:p>
    <w:p w:rsidR="00EB6EB3" w:rsidRPr="00441F2A" w:rsidRDefault="00EB6EB3" w:rsidP="000B3A4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B3A42" w:rsidRPr="00441F2A" w:rsidTr="00E95A6A">
        <w:tc>
          <w:tcPr>
            <w:tcW w:w="543" w:type="pct"/>
          </w:tcPr>
          <w:p w:rsidR="000B3A42" w:rsidRPr="00441F2A" w:rsidRDefault="000B3A42" w:rsidP="000B3A42">
            <w:pPr>
              <w:jc w:val="both"/>
              <w:rPr>
                <w:sz w:val="20"/>
              </w:rPr>
            </w:pPr>
            <w:r w:rsidRPr="00441F2A">
              <w:rPr>
                <w:rStyle w:val="SCCFileNumberChar"/>
                <w:sz w:val="20"/>
                <w:szCs w:val="20"/>
              </w:rPr>
              <w:t>39495</w:t>
            </w:r>
          </w:p>
        </w:tc>
        <w:tc>
          <w:tcPr>
            <w:tcW w:w="4457" w:type="pct"/>
            <w:gridSpan w:val="3"/>
          </w:tcPr>
          <w:p w:rsidR="000B3A42" w:rsidRPr="00441F2A" w:rsidRDefault="000B3A42" w:rsidP="000B3A42">
            <w:pPr>
              <w:pStyle w:val="SCCLsocParty"/>
              <w:jc w:val="both"/>
              <w:rPr>
                <w:b/>
                <w:sz w:val="20"/>
                <w:szCs w:val="20"/>
                <w:lang w:val="en-US"/>
              </w:rPr>
            </w:pPr>
            <w:r w:rsidRPr="00441F2A">
              <w:rPr>
                <w:b/>
                <w:sz w:val="20"/>
                <w:szCs w:val="20"/>
                <w:lang w:val="en-US"/>
              </w:rPr>
              <w:t>Gary Curtis v. Canadian Human Rights Commission, Bank of Nova Scotia</w:t>
            </w:r>
          </w:p>
          <w:p w:rsidR="000B3A42" w:rsidRPr="00441F2A" w:rsidRDefault="000B3A42" w:rsidP="000B3A42">
            <w:pPr>
              <w:jc w:val="both"/>
              <w:rPr>
                <w:sz w:val="20"/>
              </w:rPr>
            </w:pPr>
            <w:r w:rsidRPr="00441F2A">
              <w:rPr>
                <w:sz w:val="20"/>
              </w:rPr>
              <w:t>(F</w:t>
            </w:r>
            <w:r w:rsidR="00EB6EB3" w:rsidRPr="00441F2A">
              <w:rPr>
                <w:sz w:val="20"/>
              </w:rPr>
              <w:t>.</w:t>
            </w:r>
            <w:r w:rsidRPr="00441F2A">
              <w:rPr>
                <w:sz w:val="20"/>
              </w:rPr>
              <w:t>C</w:t>
            </w:r>
            <w:r w:rsidR="00EB6EB3" w:rsidRPr="00441F2A">
              <w:rPr>
                <w:sz w:val="20"/>
              </w:rPr>
              <w:t>.</w:t>
            </w:r>
            <w:r w:rsidRPr="00441F2A">
              <w:rPr>
                <w:sz w:val="20"/>
              </w:rPr>
              <w:t>) (Civil) (By Leave)</w:t>
            </w:r>
          </w:p>
        </w:tc>
      </w:tr>
      <w:tr w:rsidR="000B3A42" w:rsidRPr="00441F2A" w:rsidTr="00E95A6A">
        <w:tc>
          <w:tcPr>
            <w:tcW w:w="5000" w:type="pct"/>
            <w:gridSpan w:val="4"/>
          </w:tcPr>
          <w:p w:rsidR="000B3A42" w:rsidRPr="00441F2A" w:rsidRDefault="000B3A42" w:rsidP="000B3A42">
            <w:pPr>
              <w:jc w:val="both"/>
              <w:rPr>
                <w:sz w:val="20"/>
              </w:rPr>
            </w:pPr>
            <w:r w:rsidRPr="00441F2A">
              <w:rPr>
                <w:i/>
                <w:sz w:val="20"/>
              </w:rPr>
              <w:t>Charter of Rights</w:t>
            </w:r>
            <w:r w:rsidRPr="00441F2A">
              <w:rPr>
                <w:sz w:val="20"/>
              </w:rPr>
              <w:t xml:space="preserve"> — Right of equality — Fundamental justice — Civil procedure — Costs —Judgments and orders — Interlocutory orders — Applicant denied several proposed amendments to his application for a writ of mandamus — Whether legislation can block an individual from seeking a remedy through the Federal Court of Appeal for a breach of his ss. 7 and 15 </w:t>
            </w:r>
            <w:r w:rsidRPr="00441F2A">
              <w:rPr>
                <w:i/>
                <w:sz w:val="20"/>
              </w:rPr>
              <w:t>Charter</w:t>
            </w:r>
            <w:r w:rsidRPr="00441F2A">
              <w:rPr>
                <w:sz w:val="20"/>
              </w:rPr>
              <w:t xml:space="preserve"> rights — Whether legislation can block an individual from seeking access to justice and equal justice and equal benefit in a Federal body/agency? — Whether lower courts denied applicant right to be heard and right of access to equal justice — Whether applicant entitled to oral hearing</w:t>
            </w:r>
          </w:p>
        </w:tc>
      </w:tr>
      <w:tr w:rsidR="000B3A42" w:rsidRPr="00441F2A" w:rsidTr="00E95A6A">
        <w:tc>
          <w:tcPr>
            <w:tcW w:w="5000" w:type="pct"/>
            <w:gridSpan w:val="4"/>
          </w:tcPr>
          <w:p w:rsidR="000B3A42" w:rsidRPr="00441F2A" w:rsidRDefault="000B3A42" w:rsidP="000B3A42">
            <w:pPr>
              <w:jc w:val="both"/>
              <w:rPr>
                <w:sz w:val="20"/>
              </w:rPr>
            </w:pPr>
          </w:p>
        </w:tc>
      </w:tr>
      <w:tr w:rsidR="000B3A42" w:rsidRPr="00441F2A" w:rsidTr="00E95A6A">
        <w:tc>
          <w:tcPr>
            <w:tcW w:w="5000" w:type="pct"/>
            <w:gridSpan w:val="4"/>
          </w:tcPr>
          <w:p w:rsidR="000B3A42" w:rsidRPr="00441F2A" w:rsidRDefault="000B3A42" w:rsidP="000B3A42">
            <w:pPr>
              <w:jc w:val="both"/>
              <w:rPr>
                <w:sz w:val="20"/>
              </w:rPr>
            </w:pPr>
            <w:r w:rsidRPr="00441F2A">
              <w:rPr>
                <w:sz w:val="20"/>
              </w:rPr>
              <w:t>Mr. Curtis had been employed by the respondent Bank of Nova Scotia for many years. After he left his employment there, he launched several proceedings against the Bank and also filed a complaint with the Canadian Human Rights Commission, alleging adverse differential treatment and termination of employment based on race and colour. In July of 2018, he filed a notice of application with the Federal Court, seeking an order for a writ of mandamus to compel the Commission to investigate his complaint and to appoint a neutral party as an investigator.</w:t>
            </w:r>
          </w:p>
          <w:p w:rsidR="000B3A42" w:rsidRPr="00441F2A" w:rsidRDefault="000B3A42" w:rsidP="000B3A42">
            <w:pPr>
              <w:jc w:val="both"/>
              <w:rPr>
                <w:sz w:val="20"/>
              </w:rPr>
            </w:pPr>
          </w:p>
          <w:p w:rsidR="000B3A42" w:rsidRPr="00441F2A" w:rsidRDefault="000B3A42" w:rsidP="000B3A42">
            <w:pPr>
              <w:jc w:val="both"/>
              <w:rPr>
                <w:sz w:val="20"/>
              </w:rPr>
            </w:pPr>
            <w:r w:rsidRPr="00441F2A">
              <w:rPr>
                <w:sz w:val="20"/>
              </w:rPr>
              <w:t>In October 2018, Mr. Curtis and the Commission filed motions for interlocutory orders. Mr. Curtis moved to be permitted to make significant amendments to his application, to add new forms of relief against the Bank and the Commission and adding several new parties. The Commission moved for an order allowing to be removed as respondent. The Prothonotary allowed certain amendments to be made to the application but disallowed proposed amendments involving relief against the Bank. The Commission was permitted to withdraw its motion without costs.  Mr. Curtis was ordered to pay costs to the Bank. Mr. Curtis’ appeal from that decision was dismissed with costs. His further appeal to the Federal Court of Appeal was dismissed with costs.</w:t>
            </w:r>
          </w:p>
          <w:p w:rsidR="000B3A42" w:rsidRPr="00441F2A" w:rsidRDefault="000B3A42" w:rsidP="000B3A42">
            <w:pPr>
              <w:jc w:val="both"/>
              <w:rPr>
                <w:sz w:val="20"/>
              </w:rPr>
            </w:pPr>
          </w:p>
        </w:tc>
      </w:tr>
      <w:tr w:rsidR="000B3A42" w:rsidRPr="00441F2A" w:rsidTr="00E95A6A">
        <w:tc>
          <w:tcPr>
            <w:tcW w:w="2427" w:type="pct"/>
            <w:gridSpan w:val="2"/>
          </w:tcPr>
          <w:p w:rsidR="000B3A42" w:rsidRPr="00441F2A" w:rsidRDefault="000B3A42" w:rsidP="000B3A42">
            <w:pPr>
              <w:jc w:val="both"/>
              <w:rPr>
                <w:sz w:val="20"/>
              </w:rPr>
            </w:pPr>
            <w:r w:rsidRPr="00441F2A">
              <w:rPr>
                <w:sz w:val="20"/>
              </w:rPr>
              <w:t>November 15, 2018</w:t>
            </w:r>
          </w:p>
          <w:p w:rsidR="000B3A42" w:rsidRPr="00441F2A" w:rsidRDefault="000B3A42" w:rsidP="000B3A42">
            <w:pPr>
              <w:jc w:val="both"/>
              <w:rPr>
                <w:sz w:val="20"/>
              </w:rPr>
            </w:pPr>
            <w:r w:rsidRPr="00441F2A">
              <w:rPr>
                <w:sz w:val="20"/>
              </w:rPr>
              <w:t>Federal Court</w:t>
            </w:r>
          </w:p>
          <w:p w:rsidR="000B3A42" w:rsidRPr="00441F2A" w:rsidRDefault="000B3A42" w:rsidP="000B3A42">
            <w:pPr>
              <w:jc w:val="both"/>
              <w:rPr>
                <w:sz w:val="20"/>
              </w:rPr>
            </w:pPr>
            <w:r w:rsidRPr="00441F2A">
              <w:rPr>
                <w:sz w:val="20"/>
              </w:rPr>
              <w:t>(Aalto, Prothonotary)</w:t>
            </w:r>
          </w:p>
          <w:p w:rsidR="000B3A42" w:rsidRPr="00441F2A" w:rsidRDefault="000B3A42" w:rsidP="000B3A42">
            <w:pPr>
              <w:jc w:val="both"/>
              <w:rPr>
                <w:sz w:val="20"/>
              </w:rPr>
            </w:pPr>
            <w:r w:rsidRPr="00441F2A">
              <w:rPr>
                <w:sz w:val="20"/>
              </w:rPr>
              <w:t>Unreported</w:t>
            </w:r>
          </w:p>
          <w:p w:rsidR="000B3A42" w:rsidRPr="00441F2A" w:rsidRDefault="000B3A42" w:rsidP="000B3A42">
            <w:pPr>
              <w:jc w:val="both"/>
              <w:rPr>
                <w:sz w:val="20"/>
              </w:rPr>
            </w:pPr>
          </w:p>
        </w:tc>
        <w:tc>
          <w:tcPr>
            <w:tcW w:w="243" w:type="pct"/>
          </w:tcPr>
          <w:p w:rsidR="000B3A42" w:rsidRPr="00441F2A" w:rsidRDefault="000B3A42" w:rsidP="000B3A42">
            <w:pPr>
              <w:jc w:val="both"/>
              <w:rPr>
                <w:sz w:val="20"/>
              </w:rPr>
            </w:pPr>
          </w:p>
        </w:tc>
        <w:tc>
          <w:tcPr>
            <w:tcW w:w="2330" w:type="pct"/>
          </w:tcPr>
          <w:p w:rsidR="000B3A42" w:rsidRPr="00441F2A" w:rsidRDefault="000B3A42" w:rsidP="000B3A42">
            <w:pPr>
              <w:jc w:val="both"/>
              <w:rPr>
                <w:sz w:val="20"/>
              </w:rPr>
            </w:pPr>
            <w:r w:rsidRPr="00441F2A">
              <w:rPr>
                <w:sz w:val="20"/>
              </w:rPr>
              <w:t>Applicant’s motion to amend application for writ of mandamus granted in part; Commission permitted to withdraw its motion to be removed as respondent;  Applicant ordered to pay costs</w:t>
            </w:r>
          </w:p>
        </w:tc>
      </w:tr>
      <w:tr w:rsidR="000B3A42" w:rsidRPr="00441F2A" w:rsidTr="00E95A6A">
        <w:tc>
          <w:tcPr>
            <w:tcW w:w="2427" w:type="pct"/>
            <w:gridSpan w:val="2"/>
          </w:tcPr>
          <w:p w:rsidR="000B3A42" w:rsidRPr="00441F2A" w:rsidRDefault="000B3A42" w:rsidP="000B3A42">
            <w:pPr>
              <w:jc w:val="both"/>
              <w:rPr>
                <w:sz w:val="20"/>
              </w:rPr>
            </w:pPr>
            <w:r w:rsidRPr="00441F2A">
              <w:rPr>
                <w:sz w:val="20"/>
              </w:rPr>
              <w:t>January 14, 2019</w:t>
            </w:r>
          </w:p>
          <w:p w:rsidR="000B3A42" w:rsidRPr="00441F2A" w:rsidRDefault="000B3A42" w:rsidP="000B3A42">
            <w:pPr>
              <w:jc w:val="both"/>
              <w:rPr>
                <w:sz w:val="20"/>
              </w:rPr>
            </w:pPr>
            <w:r w:rsidRPr="00441F2A">
              <w:rPr>
                <w:sz w:val="20"/>
              </w:rPr>
              <w:t>Federal Court</w:t>
            </w:r>
          </w:p>
          <w:p w:rsidR="000B3A42" w:rsidRPr="00441F2A" w:rsidRDefault="000B3A42" w:rsidP="000B3A42">
            <w:pPr>
              <w:jc w:val="both"/>
              <w:rPr>
                <w:sz w:val="20"/>
              </w:rPr>
            </w:pPr>
            <w:r w:rsidRPr="00441F2A">
              <w:rPr>
                <w:sz w:val="20"/>
              </w:rPr>
              <w:t>(Gleeson J.)</w:t>
            </w:r>
          </w:p>
          <w:p w:rsidR="000B3A42" w:rsidRPr="00441F2A" w:rsidRDefault="008A1AC7" w:rsidP="000B3A42">
            <w:pPr>
              <w:jc w:val="both"/>
              <w:rPr>
                <w:sz w:val="20"/>
              </w:rPr>
            </w:pPr>
            <w:hyperlink r:id="rId20" w:history="1">
              <w:r w:rsidR="000B3A42" w:rsidRPr="00441F2A">
                <w:rPr>
                  <w:rStyle w:val="Hyperlink"/>
                  <w:sz w:val="20"/>
                </w:rPr>
                <w:t>2019 FC 43</w:t>
              </w:r>
            </w:hyperlink>
          </w:p>
          <w:p w:rsidR="000B3A42" w:rsidRPr="00441F2A" w:rsidRDefault="000B3A42" w:rsidP="000B3A42">
            <w:pPr>
              <w:jc w:val="both"/>
              <w:rPr>
                <w:sz w:val="20"/>
              </w:rPr>
            </w:pPr>
          </w:p>
        </w:tc>
        <w:tc>
          <w:tcPr>
            <w:tcW w:w="243" w:type="pct"/>
          </w:tcPr>
          <w:p w:rsidR="000B3A42" w:rsidRPr="00441F2A" w:rsidRDefault="000B3A42" w:rsidP="000B3A42">
            <w:pPr>
              <w:jc w:val="both"/>
              <w:rPr>
                <w:sz w:val="20"/>
              </w:rPr>
            </w:pPr>
          </w:p>
        </w:tc>
        <w:tc>
          <w:tcPr>
            <w:tcW w:w="2330" w:type="pct"/>
          </w:tcPr>
          <w:p w:rsidR="000B3A42" w:rsidRPr="00441F2A" w:rsidRDefault="000B3A42" w:rsidP="000B3A42">
            <w:pPr>
              <w:jc w:val="both"/>
              <w:rPr>
                <w:sz w:val="20"/>
              </w:rPr>
            </w:pPr>
            <w:r w:rsidRPr="00441F2A">
              <w:rPr>
                <w:sz w:val="20"/>
              </w:rPr>
              <w:t>Applicant’s appeal dismissed with costs</w:t>
            </w:r>
          </w:p>
          <w:p w:rsidR="000B3A42" w:rsidRPr="00441F2A" w:rsidRDefault="000B3A42" w:rsidP="000B3A42">
            <w:pPr>
              <w:jc w:val="both"/>
              <w:rPr>
                <w:sz w:val="20"/>
              </w:rPr>
            </w:pPr>
          </w:p>
        </w:tc>
      </w:tr>
      <w:tr w:rsidR="000B3A42" w:rsidRPr="00441F2A" w:rsidTr="00E95A6A">
        <w:tc>
          <w:tcPr>
            <w:tcW w:w="2427" w:type="pct"/>
            <w:gridSpan w:val="2"/>
          </w:tcPr>
          <w:p w:rsidR="000B3A42" w:rsidRPr="00441F2A" w:rsidRDefault="000B3A42" w:rsidP="000B3A42">
            <w:pPr>
              <w:jc w:val="both"/>
              <w:rPr>
                <w:sz w:val="20"/>
              </w:rPr>
            </w:pPr>
            <w:r w:rsidRPr="00441F2A">
              <w:rPr>
                <w:sz w:val="20"/>
              </w:rPr>
              <w:t>September 25, 2020</w:t>
            </w:r>
          </w:p>
          <w:p w:rsidR="000B3A42" w:rsidRPr="00441F2A" w:rsidRDefault="000B3A42" w:rsidP="000B3A42">
            <w:pPr>
              <w:jc w:val="both"/>
              <w:rPr>
                <w:sz w:val="20"/>
              </w:rPr>
            </w:pPr>
            <w:r w:rsidRPr="00441F2A">
              <w:rPr>
                <w:sz w:val="20"/>
              </w:rPr>
              <w:t>Federal Court of Appeal</w:t>
            </w:r>
          </w:p>
          <w:p w:rsidR="000B3A42" w:rsidRPr="00441F2A" w:rsidRDefault="000B3A42" w:rsidP="000B3A42">
            <w:pPr>
              <w:jc w:val="both"/>
              <w:rPr>
                <w:sz w:val="20"/>
              </w:rPr>
            </w:pPr>
            <w:r w:rsidRPr="00441F2A">
              <w:rPr>
                <w:sz w:val="20"/>
              </w:rPr>
              <w:t>(Webb, Woods and Rivoalen JJ.A.)</w:t>
            </w:r>
          </w:p>
          <w:p w:rsidR="000B3A42" w:rsidRPr="00441F2A" w:rsidRDefault="008A1AC7" w:rsidP="000B3A42">
            <w:pPr>
              <w:jc w:val="both"/>
              <w:rPr>
                <w:sz w:val="20"/>
              </w:rPr>
            </w:pPr>
            <w:hyperlink r:id="rId21" w:history="1">
              <w:r w:rsidR="000B3A42" w:rsidRPr="00441F2A">
                <w:rPr>
                  <w:rStyle w:val="Hyperlink"/>
                  <w:sz w:val="20"/>
                </w:rPr>
                <w:t>2020 FCA 149</w:t>
              </w:r>
            </w:hyperlink>
          </w:p>
          <w:p w:rsidR="000B3A42" w:rsidRPr="00441F2A" w:rsidRDefault="000B3A42" w:rsidP="000B3A42">
            <w:pPr>
              <w:jc w:val="both"/>
              <w:rPr>
                <w:sz w:val="20"/>
              </w:rPr>
            </w:pPr>
          </w:p>
        </w:tc>
        <w:tc>
          <w:tcPr>
            <w:tcW w:w="243" w:type="pct"/>
          </w:tcPr>
          <w:p w:rsidR="000B3A42" w:rsidRPr="00441F2A" w:rsidRDefault="000B3A42" w:rsidP="000B3A42">
            <w:pPr>
              <w:jc w:val="both"/>
              <w:rPr>
                <w:sz w:val="20"/>
              </w:rPr>
            </w:pPr>
          </w:p>
        </w:tc>
        <w:tc>
          <w:tcPr>
            <w:tcW w:w="2330" w:type="pct"/>
          </w:tcPr>
          <w:p w:rsidR="000B3A42" w:rsidRPr="00441F2A" w:rsidRDefault="000B3A42" w:rsidP="000B3A42">
            <w:pPr>
              <w:jc w:val="both"/>
              <w:rPr>
                <w:sz w:val="20"/>
              </w:rPr>
            </w:pPr>
            <w:r w:rsidRPr="00441F2A">
              <w:rPr>
                <w:sz w:val="20"/>
              </w:rPr>
              <w:t>Applicant’s appeal dismissed with costs</w:t>
            </w:r>
          </w:p>
          <w:p w:rsidR="000B3A42" w:rsidRPr="00441F2A" w:rsidRDefault="000B3A42" w:rsidP="000B3A42">
            <w:pPr>
              <w:jc w:val="both"/>
              <w:rPr>
                <w:sz w:val="20"/>
              </w:rPr>
            </w:pPr>
          </w:p>
        </w:tc>
      </w:tr>
      <w:tr w:rsidR="000B3A42" w:rsidRPr="00441F2A" w:rsidTr="00E95A6A">
        <w:tc>
          <w:tcPr>
            <w:tcW w:w="2427" w:type="pct"/>
            <w:gridSpan w:val="2"/>
          </w:tcPr>
          <w:p w:rsidR="000B3A42" w:rsidRPr="00441F2A" w:rsidRDefault="000B3A42" w:rsidP="000B3A42">
            <w:pPr>
              <w:jc w:val="both"/>
              <w:rPr>
                <w:sz w:val="20"/>
              </w:rPr>
            </w:pPr>
            <w:r w:rsidRPr="00441F2A">
              <w:rPr>
                <w:sz w:val="20"/>
              </w:rPr>
              <w:t>November 24, 2020</w:t>
            </w:r>
          </w:p>
          <w:p w:rsidR="000B3A42" w:rsidRPr="00441F2A" w:rsidRDefault="000B3A42" w:rsidP="000B3A42">
            <w:pPr>
              <w:jc w:val="both"/>
              <w:rPr>
                <w:sz w:val="20"/>
              </w:rPr>
            </w:pPr>
            <w:r w:rsidRPr="00441F2A">
              <w:rPr>
                <w:sz w:val="20"/>
              </w:rPr>
              <w:t>Supreme Court of Canada</w:t>
            </w:r>
          </w:p>
        </w:tc>
        <w:tc>
          <w:tcPr>
            <w:tcW w:w="243" w:type="pct"/>
          </w:tcPr>
          <w:p w:rsidR="000B3A42" w:rsidRPr="00441F2A" w:rsidRDefault="000B3A42" w:rsidP="000B3A42">
            <w:pPr>
              <w:jc w:val="both"/>
              <w:rPr>
                <w:sz w:val="20"/>
              </w:rPr>
            </w:pPr>
          </w:p>
        </w:tc>
        <w:tc>
          <w:tcPr>
            <w:tcW w:w="2330" w:type="pct"/>
          </w:tcPr>
          <w:p w:rsidR="000B3A42" w:rsidRPr="00441F2A" w:rsidRDefault="000B3A42" w:rsidP="000B3A42">
            <w:pPr>
              <w:jc w:val="both"/>
              <w:rPr>
                <w:sz w:val="20"/>
              </w:rPr>
            </w:pPr>
            <w:r w:rsidRPr="00441F2A">
              <w:rPr>
                <w:sz w:val="20"/>
              </w:rPr>
              <w:t>Application for leave to appeal filed</w:t>
            </w:r>
          </w:p>
          <w:p w:rsidR="000B3A42" w:rsidRPr="00441F2A" w:rsidRDefault="000B3A42" w:rsidP="000B3A42">
            <w:pPr>
              <w:jc w:val="both"/>
              <w:rPr>
                <w:sz w:val="20"/>
              </w:rPr>
            </w:pPr>
          </w:p>
        </w:tc>
      </w:tr>
    </w:tbl>
    <w:p w:rsidR="000B3A42" w:rsidRPr="00441F2A" w:rsidRDefault="000B3A42" w:rsidP="000B3A42">
      <w:pPr>
        <w:jc w:val="both"/>
        <w:rPr>
          <w:sz w:val="20"/>
        </w:rPr>
      </w:pPr>
    </w:p>
    <w:p w:rsidR="00EB6EB3" w:rsidRPr="00441F2A" w:rsidRDefault="008A1AC7" w:rsidP="000B3A42">
      <w:pPr>
        <w:jc w:val="both"/>
        <w:rPr>
          <w:sz w:val="20"/>
        </w:rPr>
      </w:pPr>
      <w:r w:rsidRPr="00441F2A">
        <w:rPr>
          <w:sz w:val="20"/>
        </w:rPr>
        <w:pict>
          <v:rect id="_x0000_i1035" style="width:2in;height:1pt" o:hrpct="0" o:hralign="center" o:hrstd="t" o:hrnoshade="t" o:hr="t" fillcolor="black [3213]" stroked="f"/>
        </w:pict>
      </w:r>
    </w:p>
    <w:p w:rsidR="00EB6EB3" w:rsidRPr="00441F2A" w:rsidRDefault="00EB6EB3" w:rsidP="000B3A4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B3A42" w:rsidRPr="00441F2A" w:rsidTr="00E95A6A">
        <w:tc>
          <w:tcPr>
            <w:tcW w:w="543" w:type="pct"/>
          </w:tcPr>
          <w:p w:rsidR="000B3A42" w:rsidRPr="00441F2A" w:rsidRDefault="000B3A42" w:rsidP="000B3A42">
            <w:pPr>
              <w:jc w:val="both"/>
              <w:rPr>
                <w:sz w:val="20"/>
                <w:lang w:val="fr-CA"/>
              </w:rPr>
            </w:pPr>
            <w:r w:rsidRPr="00441F2A">
              <w:rPr>
                <w:rStyle w:val="SCCFileNumberChar"/>
                <w:sz w:val="20"/>
                <w:szCs w:val="20"/>
                <w:lang w:val="fr-CA"/>
              </w:rPr>
              <w:t>39495</w:t>
            </w:r>
          </w:p>
        </w:tc>
        <w:tc>
          <w:tcPr>
            <w:tcW w:w="4457" w:type="pct"/>
            <w:gridSpan w:val="3"/>
          </w:tcPr>
          <w:p w:rsidR="000B3A42" w:rsidRPr="00441F2A" w:rsidRDefault="000B3A42" w:rsidP="000B3A42">
            <w:pPr>
              <w:pStyle w:val="SCCLsocParty"/>
              <w:jc w:val="both"/>
              <w:rPr>
                <w:b/>
                <w:sz w:val="20"/>
                <w:szCs w:val="20"/>
              </w:rPr>
            </w:pPr>
            <w:r w:rsidRPr="00441F2A">
              <w:rPr>
                <w:b/>
                <w:sz w:val="20"/>
                <w:szCs w:val="20"/>
              </w:rPr>
              <w:t>Gary Curtis c. Commission canadienne des droits de la personne, Banque de Nouvelle-Écosse</w:t>
            </w:r>
          </w:p>
          <w:p w:rsidR="000B3A42" w:rsidRPr="00441F2A" w:rsidRDefault="000B3A42" w:rsidP="000B3A42">
            <w:pPr>
              <w:jc w:val="both"/>
              <w:rPr>
                <w:sz w:val="20"/>
                <w:lang w:val="fr-CA"/>
              </w:rPr>
            </w:pPr>
            <w:r w:rsidRPr="00441F2A">
              <w:rPr>
                <w:sz w:val="20"/>
                <w:lang w:val="fr-CA"/>
              </w:rPr>
              <w:t>(C</w:t>
            </w:r>
            <w:r w:rsidR="00EB6EB3" w:rsidRPr="00441F2A">
              <w:rPr>
                <w:sz w:val="20"/>
                <w:lang w:val="fr-CA"/>
              </w:rPr>
              <w:t>.</w:t>
            </w:r>
            <w:r w:rsidRPr="00441F2A">
              <w:rPr>
                <w:sz w:val="20"/>
                <w:lang w:val="fr-CA"/>
              </w:rPr>
              <w:t>F</w:t>
            </w:r>
            <w:r w:rsidR="00EB6EB3" w:rsidRPr="00441F2A">
              <w:rPr>
                <w:sz w:val="20"/>
                <w:lang w:val="fr-CA"/>
              </w:rPr>
              <w:t>.</w:t>
            </w:r>
            <w:r w:rsidRPr="00441F2A">
              <w:rPr>
                <w:sz w:val="20"/>
                <w:lang w:val="fr-CA"/>
              </w:rPr>
              <w:t>) (Civile) (Sur autorisation)</w:t>
            </w:r>
          </w:p>
        </w:tc>
      </w:tr>
      <w:tr w:rsidR="000B3A42" w:rsidRPr="00441F2A" w:rsidTr="00E95A6A">
        <w:tc>
          <w:tcPr>
            <w:tcW w:w="5000" w:type="pct"/>
            <w:gridSpan w:val="4"/>
          </w:tcPr>
          <w:p w:rsidR="000B3A42" w:rsidRPr="00441F2A" w:rsidRDefault="000B3A42" w:rsidP="000B3A42">
            <w:pPr>
              <w:jc w:val="both"/>
              <w:rPr>
                <w:sz w:val="20"/>
                <w:lang w:val="fr-CA"/>
              </w:rPr>
            </w:pPr>
            <w:r w:rsidRPr="00441F2A">
              <w:rPr>
                <w:i/>
                <w:sz w:val="20"/>
                <w:lang w:val="fr-CA"/>
              </w:rPr>
              <w:t>Charte des droits</w:t>
            </w:r>
            <w:r w:rsidRPr="00441F2A">
              <w:rPr>
                <w:sz w:val="20"/>
                <w:lang w:val="fr-CA"/>
              </w:rPr>
              <w:t xml:space="preserve"> — Droit à l’égalité — Justice fondamentale — Procédure civile — Dépens — Jugements et ordonnances — Ordonnances interlocutoires — Le demandeur s’est vu refuser plusieurs modifications qu’il proposait apporter à sa demande de bref de mandamus — Une loi peut-elle empêcher quelqu’un de s’adresser à la Cour d’appel fédérale afin d’obtenir une réparation pour atteinte aux droits que lui garantissent les art. 7 et 15 de la </w:t>
            </w:r>
            <w:r w:rsidRPr="00441F2A">
              <w:rPr>
                <w:i/>
                <w:sz w:val="20"/>
                <w:lang w:val="fr-CA"/>
              </w:rPr>
              <w:t>Charte</w:t>
            </w:r>
            <w:r w:rsidRPr="00441F2A">
              <w:rPr>
                <w:sz w:val="20"/>
                <w:lang w:val="fr-CA"/>
              </w:rPr>
              <w:t>? — Une loi peut</w:t>
            </w:r>
            <w:r w:rsidRPr="00441F2A">
              <w:rPr>
                <w:sz w:val="20"/>
                <w:lang w:val="fr-CA"/>
              </w:rPr>
              <w:noBreakHyphen/>
              <w:t>elle empêcher quelqu’un de demander accès à la justice, justice égalitaire et accès au même bénéfice de la loi devant un organisme fédéral? — Les tribunaux inférieurs ont-ils privé le demandeur de son droit d’être entendu et de son droit d’accès à la justice égalitaire? — Le demandeur a-t-il le droit d’être entendu par voie d’audience?</w:t>
            </w:r>
          </w:p>
        </w:tc>
      </w:tr>
      <w:tr w:rsidR="000B3A42" w:rsidRPr="00441F2A" w:rsidTr="00E95A6A">
        <w:tc>
          <w:tcPr>
            <w:tcW w:w="5000" w:type="pct"/>
            <w:gridSpan w:val="4"/>
          </w:tcPr>
          <w:p w:rsidR="000B3A42" w:rsidRPr="00441F2A" w:rsidRDefault="000B3A42" w:rsidP="000B3A42">
            <w:pPr>
              <w:jc w:val="both"/>
              <w:rPr>
                <w:sz w:val="20"/>
                <w:lang w:val="fr-CA"/>
              </w:rPr>
            </w:pPr>
          </w:p>
        </w:tc>
      </w:tr>
      <w:tr w:rsidR="000B3A42" w:rsidRPr="00441F2A" w:rsidTr="00E95A6A">
        <w:tc>
          <w:tcPr>
            <w:tcW w:w="5000" w:type="pct"/>
            <w:gridSpan w:val="4"/>
          </w:tcPr>
          <w:p w:rsidR="000B3A42" w:rsidRPr="00441F2A" w:rsidRDefault="000B3A42" w:rsidP="000B3A42">
            <w:pPr>
              <w:jc w:val="both"/>
              <w:rPr>
                <w:sz w:val="20"/>
                <w:lang w:val="fr-CA"/>
              </w:rPr>
            </w:pPr>
            <w:r w:rsidRPr="00441F2A">
              <w:rPr>
                <w:sz w:val="20"/>
                <w:lang w:val="fr-CA"/>
              </w:rPr>
              <w:t>M. Curtis a été au service de l’intimée, la Banque de Nouvelle-Écosse pendant de nombreuses années. Après avoir quitté son emploi auprès de cette banque, il a intenté plusieurs poursuites contre la Banque et a également déposé une plainte auprès de la Commission canadienne des droits de la personne pour cause de traitement différentiel désavantageux et licenciement au motif de la race et de la couleur. En juillet 2018, il a déposé, auprès de la Cour fédérale, un avis de requête visant une demande de bref de mandamus pour pouvoir contraindre la Commission à examiner sa plainte et à nommer une partie neutre en tant qu’enquêteur.</w:t>
            </w:r>
          </w:p>
          <w:p w:rsidR="000B3A42" w:rsidRPr="00441F2A" w:rsidRDefault="000B3A42" w:rsidP="000B3A42">
            <w:pPr>
              <w:jc w:val="both"/>
              <w:rPr>
                <w:sz w:val="20"/>
                <w:lang w:val="fr-CA"/>
              </w:rPr>
            </w:pPr>
          </w:p>
          <w:p w:rsidR="000B3A42" w:rsidRPr="00441F2A" w:rsidRDefault="000B3A42" w:rsidP="000B3A42">
            <w:pPr>
              <w:jc w:val="both"/>
              <w:rPr>
                <w:sz w:val="20"/>
                <w:lang w:val="fr-CA"/>
              </w:rPr>
            </w:pPr>
            <w:r w:rsidRPr="00441F2A">
              <w:rPr>
                <w:sz w:val="20"/>
                <w:lang w:val="fr-CA"/>
              </w:rPr>
              <w:t>En octobre 2018, M. Curtis et la Commission ont présenté des requêtes sollicitant des ordonnances interlocutoires. M. Curtis a demandé la permission d’apporter d’importants changements à sa demande, d’ajouter de nouvelles formes de réparations visant la Banque et la Commission et d’ajouter de nombreuses nouvelles parties. La Commission a demandé une ordonnance visant à être exclue comme partie intimée. Le protonotaire a autorisé l’apport de certaines modifications à la demande, mais a rejeté les modifications qui étaient proposées à l’égard des réparations visant la Banque. Il a été permis à la Commission de retirer sa requête, sans dépens. M. Curtis a été condamné au paiement des dépens de la Banque. L’appel interjeté par M. Curtis à l’encontre de cette décision a été rejeté avec dépens. Son appel subséquent à la Cour d’appel fédérale a été rejeté avec dépens.</w:t>
            </w:r>
          </w:p>
          <w:p w:rsidR="000B3A42" w:rsidRPr="00441F2A" w:rsidRDefault="000B3A42" w:rsidP="000B3A42">
            <w:pPr>
              <w:jc w:val="both"/>
              <w:rPr>
                <w:sz w:val="20"/>
                <w:lang w:val="fr-CA"/>
              </w:rPr>
            </w:pPr>
          </w:p>
        </w:tc>
      </w:tr>
      <w:tr w:rsidR="000B3A42" w:rsidRPr="00441F2A" w:rsidTr="00E95A6A">
        <w:tc>
          <w:tcPr>
            <w:tcW w:w="2427" w:type="pct"/>
            <w:gridSpan w:val="2"/>
          </w:tcPr>
          <w:p w:rsidR="000B3A42" w:rsidRPr="00441F2A" w:rsidRDefault="000B3A42" w:rsidP="000B3A42">
            <w:pPr>
              <w:jc w:val="both"/>
              <w:rPr>
                <w:sz w:val="20"/>
                <w:lang w:val="fr-CA"/>
              </w:rPr>
            </w:pPr>
            <w:r w:rsidRPr="00441F2A">
              <w:rPr>
                <w:sz w:val="20"/>
                <w:lang w:val="fr-CA"/>
              </w:rPr>
              <w:t>15 novembre 2018</w:t>
            </w:r>
          </w:p>
          <w:p w:rsidR="000B3A42" w:rsidRPr="00441F2A" w:rsidRDefault="000B3A42" w:rsidP="000B3A42">
            <w:pPr>
              <w:jc w:val="both"/>
              <w:rPr>
                <w:sz w:val="20"/>
                <w:lang w:val="fr-CA"/>
              </w:rPr>
            </w:pPr>
            <w:r w:rsidRPr="00441F2A">
              <w:rPr>
                <w:sz w:val="20"/>
                <w:lang w:val="fr-CA"/>
              </w:rPr>
              <w:t>Cour fédérale</w:t>
            </w:r>
          </w:p>
          <w:p w:rsidR="000B3A42" w:rsidRPr="00441F2A" w:rsidRDefault="000B3A42" w:rsidP="000B3A42">
            <w:pPr>
              <w:jc w:val="both"/>
              <w:rPr>
                <w:sz w:val="20"/>
                <w:lang w:val="fr-CA"/>
              </w:rPr>
            </w:pPr>
            <w:r w:rsidRPr="00441F2A">
              <w:rPr>
                <w:sz w:val="20"/>
                <w:lang w:val="fr-CA"/>
              </w:rPr>
              <w:t>(Protonotaire Aalto)</w:t>
            </w:r>
          </w:p>
          <w:p w:rsidR="000B3A42" w:rsidRPr="00441F2A" w:rsidRDefault="000B3A42" w:rsidP="000B3A42">
            <w:pPr>
              <w:jc w:val="both"/>
              <w:rPr>
                <w:sz w:val="20"/>
                <w:lang w:val="fr-CA"/>
              </w:rPr>
            </w:pPr>
            <w:r w:rsidRPr="00441F2A">
              <w:rPr>
                <w:sz w:val="20"/>
                <w:lang w:val="fr-CA"/>
              </w:rPr>
              <w:t>Non publié</w:t>
            </w:r>
          </w:p>
          <w:p w:rsidR="000B3A42" w:rsidRPr="00441F2A" w:rsidRDefault="000B3A42" w:rsidP="000B3A42">
            <w:pPr>
              <w:jc w:val="both"/>
              <w:rPr>
                <w:sz w:val="20"/>
                <w:lang w:val="fr-CA"/>
              </w:rPr>
            </w:pPr>
          </w:p>
        </w:tc>
        <w:tc>
          <w:tcPr>
            <w:tcW w:w="243" w:type="pct"/>
          </w:tcPr>
          <w:p w:rsidR="000B3A42" w:rsidRPr="00441F2A" w:rsidRDefault="000B3A42" w:rsidP="000B3A42">
            <w:pPr>
              <w:jc w:val="both"/>
              <w:rPr>
                <w:sz w:val="20"/>
                <w:lang w:val="fr-CA"/>
              </w:rPr>
            </w:pPr>
          </w:p>
        </w:tc>
        <w:tc>
          <w:tcPr>
            <w:tcW w:w="2330" w:type="pct"/>
          </w:tcPr>
          <w:p w:rsidR="000B3A42" w:rsidRPr="00441F2A" w:rsidRDefault="000B3A42" w:rsidP="000B3A42">
            <w:pPr>
              <w:jc w:val="both"/>
              <w:rPr>
                <w:sz w:val="20"/>
                <w:lang w:val="fr-CA"/>
              </w:rPr>
            </w:pPr>
            <w:r w:rsidRPr="00441F2A">
              <w:rPr>
                <w:sz w:val="20"/>
                <w:lang w:val="fr-CA"/>
              </w:rPr>
              <w:t>La requête du demandeur en modification de la demande de bref de mandamus est accueillie en partie; il est permis à la Commission de retirer sa requête visant à être exclue comme partie intimée; il est ordonné au demandeur de payer les dépens.</w:t>
            </w:r>
          </w:p>
        </w:tc>
      </w:tr>
      <w:tr w:rsidR="000B3A42" w:rsidRPr="00441F2A" w:rsidTr="00E95A6A">
        <w:tc>
          <w:tcPr>
            <w:tcW w:w="2427" w:type="pct"/>
            <w:gridSpan w:val="2"/>
          </w:tcPr>
          <w:p w:rsidR="000B3A42" w:rsidRPr="00441F2A" w:rsidRDefault="000B3A42" w:rsidP="000B3A42">
            <w:pPr>
              <w:jc w:val="both"/>
              <w:rPr>
                <w:sz w:val="20"/>
                <w:lang w:val="fr-CA"/>
              </w:rPr>
            </w:pPr>
            <w:r w:rsidRPr="00441F2A">
              <w:rPr>
                <w:sz w:val="20"/>
                <w:lang w:val="fr-CA"/>
              </w:rPr>
              <w:t>14 janvier 2019</w:t>
            </w:r>
          </w:p>
          <w:p w:rsidR="000B3A42" w:rsidRPr="00441F2A" w:rsidRDefault="000B3A42" w:rsidP="000B3A42">
            <w:pPr>
              <w:jc w:val="both"/>
              <w:rPr>
                <w:sz w:val="20"/>
                <w:lang w:val="fr-CA"/>
              </w:rPr>
            </w:pPr>
            <w:r w:rsidRPr="00441F2A">
              <w:rPr>
                <w:sz w:val="20"/>
                <w:lang w:val="fr-CA"/>
              </w:rPr>
              <w:t>Cour fédérale</w:t>
            </w:r>
          </w:p>
          <w:p w:rsidR="000B3A42" w:rsidRPr="00441F2A" w:rsidRDefault="000B3A42" w:rsidP="000B3A42">
            <w:pPr>
              <w:jc w:val="both"/>
              <w:rPr>
                <w:sz w:val="20"/>
                <w:lang w:val="fr-CA"/>
              </w:rPr>
            </w:pPr>
            <w:r w:rsidRPr="00441F2A">
              <w:rPr>
                <w:sz w:val="20"/>
                <w:lang w:val="fr-CA"/>
              </w:rPr>
              <w:t>(Juge Gleeson)</w:t>
            </w:r>
          </w:p>
          <w:p w:rsidR="000B3A42" w:rsidRPr="00441F2A" w:rsidRDefault="008A1AC7" w:rsidP="000B3A42">
            <w:pPr>
              <w:jc w:val="both"/>
              <w:rPr>
                <w:sz w:val="20"/>
                <w:lang w:val="fr-CA"/>
              </w:rPr>
            </w:pPr>
            <w:hyperlink r:id="rId22" w:history="1">
              <w:r w:rsidR="000B3A42" w:rsidRPr="00441F2A">
                <w:rPr>
                  <w:rStyle w:val="Hyperlink"/>
                  <w:sz w:val="20"/>
                  <w:lang w:val="fr-CA"/>
                </w:rPr>
                <w:t>2019 FC 43</w:t>
              </w:r>
            </w:hyperlink>
          </w:p>
          <w:p w:rsidR="000B3A42" w:rsidRPr="00441F2A" w:rsidRDefault="000B3A42" w:rsidP="000B3A42">
            <w:pPr>
              <w:jc w:val="both"/>
              <w:rPr>
                <w:sz w:val="20"/>
                <w:lang w:val="fr-CA"/>
              </w:rPr>
            </w:pPr>
          </w:p>
        </w:tc>
        <w:tc>
          <w:tcPr>
            <w:tcW w:w="243" w:type="pct"/>
          </w:tcPr>
          <w:p w:rsidR="000B3A42" w:rsidRPr="00441F2A" w:rsidRDefault="000B3A42" w:rsidP="000B3A42">
            <w:pPr>
              <w:jc w:val="both"/>
              <w:rPr>
                <w:sz w:val="20"/>
                <w:lang w:val="fr-CA"/>
              </w:rPr>
            </w:pPr>
          </w:p>
        </w:tc>
        <w:tc>
          <w:tcPr>
            <w:tcW w:w="2330" w:type="pct"/>
          </w:tcPr>
          <w:p w:rsidR="000B3A42" w:rsidRPr="00441F2A" w:rsidRDefault="000B3A42" w:rsidP="000B3A42">
            <w:pPr>
              <w:jc w:val="both"/>
              <w:rPr>
                <w:sz w:val="20"/>
                <w:lang w:val="fr-CA"/>
              </w:rPr>
            </w:pPr>
            <w:r w:rsidRPr="00441F2A">
              <w:rPr>
                <w:sz w:val="20"/>
                <w:lang w:val="fr-CA"/>
              </w:rPr>
              <w:t>L’appel du demandeur est rejeté avec dépens.</w:t>
            </w:r>
          </w:p>
          <w:p w:rsidR="000B3A42" w:rsidRPr="00441F2A" w:rsidRDefault="000B3A42" w:rsidP="000B3A42">
            <w:pPr>
              <w:jc w:val="both"/>
              <w:rPr>
                <w:sz w:val="20"/>
                <w:lang w:val="fr-CA"/>
              </w:rPr>
            </w:pPr>
          </w:p>
        </w:tc>
      </w:tr>
      <w:tr w:rsidR="000B3A42" w:rsidRPr="00441F2A" w:rsidTr="00E95A6A">
        <w:tc>
          <w:tcPr>
            <w:tcW w:w="2427" w:type="pct"/>
            <w:gridSpan w:val="2"/>
          </w:tcPr>
          <w:p w:rsidR="000B3A42" w:rsidRPr="00441F2A" w:rsidRDefault="000B3A42" w:rsidP="000B3A42">
            <w:pPr>
              <w:jc w:val="both"/>
              <w:rPr>
                <w:sz w:val="20"/>
                <w:lang w:val="fr-CA"/>
              </w:rPr>
            </w:pPr>
            <w:r w:rsidRPr="00441F2A">
              <w:rPr>
                <w:sz w:val="20"/>
                <w:lang w:val="fr-CA"/>
              </w:rPr>
              <w:t>25 septembre 2020</w:t>
            </w:r>
          </w:p>
          <w:p w:rsidR="000B3A42" w:rsidRPr="00441F2A" w:rsidRDefault="000B3A42" w:rsidP="000B3A42">
            <w:pPr>
              <w:jc w:val="both"/>
              <w:rPr>
                <w:sz w:val="20"/>
                <w:lang w:val="fr-CA"/>
              </w:rPr>
            </w:pPr>
            <w:r w:rsidRPr="00441F2A">
              <w:rPr>
                <w:sz w:val="20"/>
                <w:lang w:val="fr-CA"/>
              </w:rPr>
              <w:t xml:space="preserve">Cour d’appel fédérale </w:t>
            </w:r>
          </w:p>
          <w:p w:rsidR="000B3A42" w:rsidRPr="00441F2A" w:rsidRDefault="000B3A42" w:rsidP="000B3A42">
            <w:pPr>
              <w:jc w:val="both"/>
              <w:rPr>
                <w:sz w:val="20"/>
                <w:lang w:val="fr-CA"/>
              </w:rPr>
            </w:pPr>
            <w:r w:rsidRPr="00441F2A">
              <w:rPr>
                <w:sz w:val="20"/>
                <w:lang w:val="fr-CA"/>
              </w:rPr>
              <w:t>(Juges Webb, Woods et Rivoalen)</w:t>
            </w:r>
          </w:p>
          <w:p w:rsidR="000B3A42" w:rsidRPr="00441F2A" w:rsidRDefault="008A1AC7" w:rsidP="000B3A42">
            <w:pPr>
              <w:jc w:val="both"/>
              <w:rPr>
                <w:sz w:val="20"/>
                <w:lang w:val="fr-CA"/>
              </w:rPr>
            </w:pPr>
            <w:hyperlink r:id="rId23" w:history="1">
              <w:r w:rsidR="000B3A42" w:rsidRPr="00441F2A">
                <w:rPr>
                  <w:rStyle w:val="Hyperlink"/>
                  <w:sz w:val="20"/>
                  <w:lang w:val="fr-CA"/>
                </w:rPr>
                <w:t>2020 FCA 149</w:t>
              </w:r>
            </w:hyperlink>
          </w:p>
          <w:p w:rsidR="000B3A42" w:rsidRPr="00441F2A" w:rsidRDefault="000B3A42" w:rsidP="000B3A42">
            <w:pPr>
              <w:jc w:val="both"/>
              <w:rPr>
                <w:sz w:val="20"/>
                <w:lang w:val="fr-CA"/>
              </w:rPr>
            </w:pPr>
          </w:p>
        </w:tc>
        <w:tc>
          <w:tcPr>
            <w:tcW w:w="243" w:type="pct"/>
          </w:tcPr>
          <w:p w:rsidR="000B3A42" w:rsidRPr="00441F2A" w:rsidRDefault="000B3A42" w:rsidP="000B3A42">
            <w:pPr>
              <w:jc w:val="both"/>
              <w:rPr>
                <w:sz w:val="20"/>
                <w:lang w:val="fr-CA"/>
              </w:rPr>
            </w:pPr>
          </w:p>
        </w:tc>
        <w:tc>
          <w:tcPr>
            <w:tcW w:w="2330" w:type="pct"/>
          </w:tcPr>
          <w:p w:rsidR="000B3A42" w:rsidRPr="00441F2A" w:rsidRDefault="000B3A42" w:rsidP="000B3A42">
            <w:pPr>
              <w:jc w:val="both"/>
              <w:rPr>
                <w:sz w:val="20"/>
                <w:lang w:val="fr-CA"/>
              </w:rPr>
            </w:pPr>
            <w:r w:rsidRPr="00441F2A">
              <w:rPr>
                <w:sz w:val="20"/>
                <w:lang w:val="fr-CA"/>
              </w:rPr>
              <w:t>L’appel du demandeur est rejeté avec dépens.</w:t>
            </w:r>
          </w:p>
          <w:p w:rsidR="000B3A42" w:rsidRPr="00441F2A" w:rsidRDefault="000B3A42" w:rsidP="000B3A42">
            <w:pPr>
              <w:jc w:val="both"/>
              <w:rPr>
                <w:sz w:val="20"/>
                <w:lang w:val="fr-CA"/>
              </w:rPr>
            </w:pPr>
          </w:p>
        </w:tc>
      </w:tr>
      <w:tr w:rsidR="000B3A42" w:rsidRPr="00441F2A" w:rsidTr="00E95A6A">
        <w:tc>
          <w:tcPr>
            <w:tcW w:w="2427" w:type="pct"/>
            <w:gridSpan w:val="2"/>
          </w:tcPr>
          <w:p w:rsidR="000B3A42" w:rsidRPr="00441F2A" w:rsidRDefault="000B3A42" w:rsidP="000B3A42">
            <w:pPr>
              <w:jc w:val="both"/>
              <w:rPr>
                <w:sz w:val="20"/>
                <w:lang w:val="fr-CA"/>
              </w:rPr>
            </w:pPr>
            <w:r w:rsidRPr="00441F2A">
              <w:rPr>
                <w:sz w:val="20"/>
                <w:lang w:val="fr-CA"/>
              </w:rPr>
              <w:t>24 novembre 2020</w:t>
            </w:r>
          </w:p>
          <w:p w:rsidR="000B3A42" w:rsidRPr="00441F2A" w:rsidRDefault="000B3A42" w:rsidP="000B3A42">
            <w:pPr>
              <w:jc w:val="both"/>
              <w:rPr>
                <w:sz w:val="20"/>
                <w:lang w:val="fr-CA"/>
              </w:rPr>
            </w:pPr>
            <w:r w:rsidRPr="00441F2A">
              <w:rPr>
                <w:sz w:val="20"/>
                <w:lang w:val="fr-CA"/>
              </w:rPr>
              <w:t>Cour suprême du Canada</w:t>
            </w:r>
          </w:p>
        </w:tc>
        <w:tc>
          <w:tcPr>
            <w:tcW w:w="243" w:type="pct"/>
          </w:tcPr>
          <w:p w:rsidR="000B3A42" w:rsidRPr="00441F2A" w:rsidRDefault="000B3A42" w:rsidP="000B3A42">
            <w:pPr>
              <w:jc w:val="both"/>
              <w:rPr>
                <w:sz w:val="20"/>
                <w:lang w:val="fr-CA"/>
              </w:rPr>
            </w:pPr>
          </w:p>
        </w:tc>
        <w:tc>
          <w:tcPr>
            <w:tcW w:w="2330" w:type="pct"/>
          </w:tcPr>
          <w:p w:rsidR="000B3A42" w:rsidRPr="00441F2A" w:rsidRDefault="000B3A42" w:rsidP="000B3A42">
            <w:pPr>
              <w:jc w:val="both"/>
              <w:rPr>
                <w:sz w:val="20"/>
                <w:lang w:val="fr-CA"/>
              </w:rPr>
            </w:pPr>
            <w:r w:rsidRPr="00441F2A">
              <w:rPr>
                <w:sz w:val="20"/>
                <w:lang w:val="fr-CA"/>
              </w:rPr>
              <w:t>La demande d’autorisation d’appel est présentée.</w:t>
            </w:r>
          </w:p>
          <w:p w:rsidR="000B3A42" w:rsidRPr="00441F2A" w:rsidRDefault="000B3A42" w:rsidP="000B3A42">
            <w:pPr>
              <w:jc w:val="both"/>
              <w:rPr>
                <w:sz w:val="20"/>
                <w:lang w:val="fr-CA"/>
              </w:rPr>
            </w:pPr>
          </w:p>
        </w:tc>
      </w:tr>
    </w:tbl>
    <w:p w:rsidR="000B3A42" w:rsidRPr="00441F2A" w:rsidRDefault="000B3A42" w:rsidP="000B3A42">
      <w:pPr>
        <w:jc w:val="both"/>
        <w:rPr>
          <w:sz w:val="20"/>
          <w:lang w:val="fr-CA"/>
        </w:rPr>
      </w:pPr>
    </w:p>
    <w:p w:rsidR="009E0BD3" w:rsidRPr="00441F2A" w:rsidRDefault="008A1AC7" w:rsidP="000B3A42">
      <w:pPr>
        <w:widowControl w:val="0"/>
        <w:jc w:val="both"/>
        <w:rPr>
          <w:sz w:val="20"/>
          <w:lang w:val="fr-CA"/>
        </w:rPr>
      </w:pPr>
      <w:r w:rsidRPr="00441F2A">
        <w:rPr>
          <w:sz w:val="20"/>
        </w:rPr>
        <w:pict>
          <v:rect id="_x0000_i1036" style="width:2in;height:1pt" o:hrpct="0" o:hralign="center" o:hrstd="t" o:hrnoshade="t" o:hr="t" fillcolor="black [3213]" stroked="f"/>
        </w:pict>
      </w:r>
    </w:p>
    <w:p w:rsidR="00EB6EB3" w:rsidRPr="00441F2A" w:rsidRDefault="00EB6EB3" w:rsidP="000B3A4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B3A42" w:rsidRPr="00441F2A" w:rsidTr="00E95A6A">
        <w:tc>
          <w:tcPr>
            <w:tcW w:w="543" w:type="pct"/>
          </w:tcPr>
          <w:p w:rsidR="000B3A42" w:rsidRPr="00441F2A" w:rsidRDefault="000B3A42" w:rsidP="000B3A42">
            <w:pPr>
              <w:jc w:val="both"/>
              <w:rPr>
                <w:sz w:val="20"/>
              </w:rPr>
            </w:pPr>
            <w:r w:rsidRPr="00441F2A">
              <w:rPr>
                <w:rStyle w:val="SCCFileNumberChar"/>
                <w:sz w:val="20"/>
                <w:szCs w:val="20"/>
              </w:rPr>
              <w:t>39504</w:t>
            </w:r>
          </w:p>
        </w:tc>
        <w:tc>
          <w:tcPr>
            <w:tcW w:w="4457" w:type="pct"/>
            <w:gridSpan w:val="3"/>
          </w:tcPr>
          <w:p w:rsidR="000B3A42" w:rsidRPr="00441F2A" w:rsidRDefault="000B3A42" w:rsidP="000B3A42">
            <w:pPr>
              <w:pStyle w:val="SCCLsocParty"/>
              <w:jc w:val="both"/>
              <w:rPr>
                <w:b/>
                <w:sz w:val="20"/>
                <w:szCs w:val="20"/>
                <w:lang w:val="en-US"/>
              </w:rPr>
            </w:pPr>
            <w:r w:rsidRPr="00441F2A">
              <w:rPr>
                <w:b/>
                <w:sz w:val="20"/>
                <w:szCs w:val="20"/>
                <w:lang w:val="en-US"/>
              </w:rPr>
              <w:t>Delta Hospice Society v. Sharon Farrish, Christopher Pettypiece, James Levin, Attorney General of British Columbia</w:t>
            </w:r>
          </w:p>
          <w:p w:rsidR="000B3A42" w:rsidRPr="00441F2A" w:rsidRDefault="000B3A42" w:rsidP="000B3A42">
            <w:pPr>
              <w:jc w:val="both"/>
              <w:rPr>
                <w:sz w:val="20"/>
              </w:rPr>
            </w:pPr>
            <w:r w:rsidRPr="00441F2A">
              <w:rPr>
                <w:sz w:val="20"/>
              </w:rPr>
              <w:t>(B.C.) (Civil) (By Leave)</w:t>
            </w:r>
          </w:p>
        </w:tc>
      </w:tr>
      <w:tr w:rsidR="000B3A42" w:rsidRPr="00441F2A" w:rsidTr="00E95A6A">
        <w:tc>
          <w:tcPr>
            <w:tcW w:w="5000" w:type="pct"/>
            <w:gridSpan w:val="4"/>
          </w:tcPr>
          <w:p w:rsidR="000B3A42" w:rsidRPr="00441F2A" w:rsidRDefault="000B3A42" w:rsidP="000B3A42">
            <w:pPr>
              <w:jc w:val="both"/>
              <w:rPr>
                <w:sz w:val="20"/>
              </w:rPr>
            </w:pPr>
            <w:r w:rsidRPr="00441F2A">
              <w:rPr>
                <w:i/>
                <w:sz w:val="20"/>
              </w:rPr>
              <w:t>Charter of Rights and Freedoms</w:t>
            </w:r>
            <w:r w:rsidRPr="00441F2A">
              <w:rPr>
                <w:sz w:val="20"/>
              </w:rPr>
              <w:t xml:space="preserve"> — Freedom of Association — Freedom of conscience — Courts — Directors of society formed under </w:t>
            </w:r>
            <w:r w:rsidRPr="00441F2A">
              <w:rPr>
                <w:i/>
                <w:spacing w:val="-1"/>
                <w:sz w:val="20"/>
              </w:rPr>
              <w:t xml:space="preserve">Societies Act, </w:t>
            </w:r>
            <w:r w:rsidRPr="00441F2A">
              <w:rPr>
                <w:spacing w:val="-1"/>
                <w:sz w:val="20"/>
              </w:rPr>
              <w:t xml:space="preserve">S.B.C. 2016, c. 18, deny membership applications </w:t>
            </w:r>
            <w:r w:rsidRPr="00441F2A">
              <w:rPr>
                <w:sz w:val="20"/>
              </w:rPr>
              <w:t xml:space="preserve">— Jurisdiction of superior court to hear petition challenging director’s membership decisions — Power of directors to reject membership applications — Whether Society’s purposes pursuant to its constitution is a judiciable question for court to determine — Whether judicial order made pursuant to statute is subject to </w:t>
            </w:r>
            <w:r w:rsidRPr="00441F2A">
              <w:rPr>
                <w:i/>
                <w:sz w:val="20"/>
              </w:rPr>
              <w:t>Charter</w:t>
            </w:r>
            <w:r w:rsidRPr="00441F2A">
              <w:rPr>
                <w:sz w:val="20"/>
              </w:rPr>
              <w:t xml:space="preserve"> scrutiny?</w:t>
            </w:r>
          </w:p>
        </w:tc>
      </w:tr>
      <w:tr w:rsidR="000B3A42" w:rsidRPr="00441F2A" w:rsidTr="00E95A6A">
        <w:tc>
          <w:tcPr>
            <w:tcW w:w="5000" w:type="pct"/>
            <w:gridSpan w:val="4"/>
          </w:tcPr>
          <w:p w:rsidR="000B3A42" w:rsidRPr="00441F2A" w:rsidRDefault="000B3A42" w:rsidP="000B3A42">
            <w:pPr>
              <w:jc w:val="both"/>
              <w:rPr>
                <w:sz w:val="20"/>
              </w:rPr>
            </w:pPr>
          </w:p>
        </w:tc>
      </w:tr>
      <w:tr w:rsidR="000B3A42" w:rsidRPr="00441F2A" w:rsidTr="00E95A6A">
        <w:tc>
          <w:tcPr>
            <w:tcW w:w="5000" w:type="pct"/>
            <w:gridSpan w:val="4"/>
          </w:tcPr>
          <w:p w:rsidR="000B3A42" w:rsidRPr="00441F2A" w:rsidRDefault="000B3A42" w:rsidP="000B3A42">
            <w:pPr>
              <w:jc w:val="both"/>
              <w:rPr>
                <w:spacing w:val="-2"/>
                <w:sz w:val="20"/>
              </w:rPr>
            </w:pPr>
            <w:r w:rsidRPr="00441F2A">
              <w:rPr>
                <w:spacing w:val="-1"/>
                <w:sz w:val="20"/>
              </w:rPr>
              <w:t>Delta Hospice Society is a non</w:t>
            </w:r>
            <w:r w:rsidRPr="00441F2A">
              <w:rPr>
                <w:spacing w:val="-1"/>
                <w:sz w:val="20"/>
              </w:rPr>
              <w:noBreakHyphen/>
              <w:t xml:space="preserve">profit society under the </w:t>
            </w:r>
            <w:r w:rsidRPr="00441F2A">
              <w:rPr>
                <w:i/>
                <w:spacing w:val="-1"/>
                <w:sz w:val="20"/>
              </w:rPr>
              <w:t xml:space="preserve">Societies Act, </w:t>
            </w:r>
            <w:r w:rsidRPr="00441F2A">
              <w:rPr>
                <w:spacing w:val="-1"/>
                <w:sz w:val="20"/>
              </w:rPr>
              <w:t xml:space="preserve">S.B.C. 2016, c. 18, with a Constitution and Bylaws. It operates a palliative care hospice and a support center for dying persons. The Fraser Health Authority </w:t>
            </w:r>
            <w:r w:rsidRPr="00441F2A">
              <w:rPr>
                <w:sz w:val="20"/>
              </w:rPr>
              <w:t xml:space="preserve">is requiring palliative care hospices including Delta Hospice Society to make </w:t>
            </w:r>
            <w:r w:rsidRPr="00441F2A">
              <w:rPr>
                <w:spacing w:val="-1"/>
                <w:sz w:val="20"/>
              </w:rPr>
              <w:t>medically</w:t>
            </w:r>
            <w:r w:rsidRPr="00441F2A">
              <w:rPr>
                <w:spacing w:val="-1"/>
                <w:sz w:val="20"/>
              </w:rPr>
              <w:noBreakHyphen/>
              <w:t xml:space="preserve">assisted dying services </w:t>
            </w:r>
            <w:r w:rsidRPr="00441F2A">
              <w:rPr>
                <w:sz w:val="20"/>
              </w:rPr>
              <w:t>available unless they are a religious or faith</w:t>
            </w:r>
            <w:r w:rsidRPr="00441F2A">
              <w:rPr>
                <w:sz w:val="20"/>
              </w:rPr>
              <w:noBreakHyphen/>
              <w:t>based organization. Delta Hospice Society’s Board of Directors called an Extraordinary General Meeting to have the members vote on proposed changes to its Constitution and Bylaws that will bring it within the exemption for religious or faith</w:t>
            </w:r>
            <w:r w:rsidRPr="00441F2A">
              <w:rPr>
                <w:sz w:val="20"/>
              </w:rPr>
              <w:noBreakHyphen/>
              <w:t xml:space="preserve">based organization. In advance of the </w:t>
            </w:r>
            <w:r w:rsidRPr="00441F2A">
              <w:rPr>
                <w:spacing w:val="-2"/>
                <w:sz w:val="20"/>
              </w:rPr>
              <w:t>Extraordinary General Meeting</w:t>
            </w:r>
            <w:r w:rsidRPr="00441F2A">
              <w:rPr>
                <w:sz w:val="20"/>
              </w:rPr>
              <w:t xml:space="preserve">, Directors of the Board denied </w:t>
            </w:r>
            <w:r w:rsidRPr="00441F2A">
              <w:rPr>
                <w:spacing w:val="-1"/>
                <w:sz w:val="20"/>
              </w:rPr>
              <w:t xml:space="preserve">310 </w:t>
            </w:r>
            <w:r w:rsidRPr="00441F2A">
              <w:rPr>
                <w:spacing w:val="-2"/>
                <w:sz w:val="20"/>
              </w:rPr>
              <w:t>membership</w:t>
            </w:r>
            <w:r w:rsidRPr="00441F2A">
              <w:rPr>
                <w:sz w:val="20"/>
              </w:rPr>
              <w:t xml:space="preserve"> applications</w:t>
            </w:r>
            <w:r w:rsidRPr="00441F2A">
              <w:rPr>
                <w:spacing w:val="-2"/>
                <w:sz w:val="20"/>
              </w:rPr>
              <w:t xml:space="preserve"> from persons </w:t>
            </w:r>
            <w:r w:rsidRPr="00441F2A">
              <w:rPr>
                <w:sz w:val="20"/>
              </w:rPr>
              <w:t xml:space="preserve">whom they could not confirm are willing or reasonably likely to vote against providing </w:t>
            </w:r>
            <w:r w:rsidRPr="00441F2A">
              <w:rPr>
                <w:spacing w:val="-1"/>
                <w:sz w:val="20"/>
              </w:rPr>
              <w:t>medically-assisted dying services</w:t>
            </w:r>
            <w:r w:rsidRPr="00441F2A">
              <w:rPr>
                <w:sz w:val="20"/>
              </w:rPr>
              <w:t xml:space="preserve">. Members of Delta Hospice Society petitioned the Supreme Court of British Columbia for relief under the </w:t>
            </w:r>
            <w:r w:rsidRPr="00441F2A">
              <w:rPr>
                <w:i/>
                <w:sz w:val="20"/>
              </w:rPr>
              <w:t>Societies Act</w:t>
            </w:r>
            <w:r w:rsidRPr="00441F2A">
              <w:rPr>
                <w:sz w:val="20"/>
              </w:rPr>
              <w:t xml:space="preserve">, challenging the membership application decisions. The court granted declaratory relief. In part, it cancelled the </w:t>
            </w:r>
            <w:r w:rsidRPr="00441F2A">
              <w:rPr>
                <w:spacing w:val="-2"/>
                <w:sz w:val="20"/>
              </w:rPr>
              <w:t>Extraordinary General Meeting and ordered that Delta Hospice Society’s Register of members must be rectified to include the names of the applicants who were denied membership. The Court of Appeal dismissed an appeal.</w:t>
            </w:r>
          </w:p>
          <w:p w:rsidR="000B3A42" w:rsidRPr="00441F2A" w:rsidRDefault="000B3A42" w:rsidP="000B3A42">
            <w:pPr>
              <w:widowControl w:val="0"/>
              <w:kinsoku w:val="0"/>
              <w:overflowPunct w:val="0"/>
              <w:jc w:val="both"/>
              <w:textAlignment w:val="baseline"/>
              <w:rPr>
                <w:sz w:val="20"/>
              </w:rPr>
            </w:pPr>
          </w:p>
        </w:tc>
      </w:tr>
      <w:tr w:rsidR="000B3A42" w:rsidRPr="00441F2A" w:rsidTr="00E95A6A">
        <w:tc>
          <w:tcPr>
            <w:tcW w:w="2427" w:type="pct"/>
            <w:gridSpan w:val="2"/>
          </w:tcPr>
          <w:p w:rsidR="000B3A42" w:rsidRPr="00441F2A" w:rsidRDefault="000B3A42" w:rsidP="000B3A42">
            <w:pPr>
              <w:jc w:val="both"/>
              <w:rPr>
                <w:sz w:val="20"/>
              </w:rPr>
            </w:pPr>
            <w:r w:rsidRPr="00441F2A">
              <w:rPr>
                <w:sz w:val="20"/>
              </w:rPr>
              <w:t>June 12, 2020</w:t>
            </w:r>
          </w:p>
          <w:p w:rsidR="000B3A42" w:rsidRPr="00441F2A" w:rsidRDefault="000B3A42" w:rsidP="000B3A42">
            <w:pPr>
              <w:jc w:val="both"/>
              <w:rPr>
                <w:sz w:val="20"/>
              </w:rPr>
            </w:pPr>
            <w:r w:rsidRPr="00441F2A">
              <w:rPr>
                <w:sz w:val="20"/>
              </w:rPr>
              <w:t>Supreme Court of British Columbia</w:t>
            </w:r>
          </w:p>
          <w:p w:rsidR="000B3A42" w:rsidRPr="00441F2A" w:rsidRDefault="000B3A42" w:rsidP="000B3A42">
            <w:pPr>
              <w:jc w:val="both"/>
              <w:rPr>
                <w:sz w:val="20"/>
              </w:rPr>
            </w:pPr>
            <w:r w:rsidRPr="00441F2A">
              <w:rPr>
                <w:sz w:val="20"/>
              </w:rPr>
              <w:t>(Fitzpatrick J.)</w:t>
            </w:r>
          </w:p>
          <w:p w:rsidR="000B3A42" w:rsidRPr="00441F2A" w:rsidRDefault="008A1AC7" w:rsidP="000B3A42">
            <w:pPr>
              <w:jc w:val="both"/>
              <w:rPr>
                <w:sz w:val="20"/>
              </w:rPr>
            </w:pPr>
            <w:hyperlink r:id="rId24" w:history="1">
              <w:r w:rsidR="000B3A42" w:rsidRPr="00441F2A">
                <w:rPr>
                  <w:rStyle w:val="Hyperlink"/>
                  <w:sz w:val="20"/>
                </w:rPr>
                <w:t>2020 BCSC 968</w:t>
              </w:r>
            </w:hyperlink>
          </w:p>
        </w:tc>
        <w:tc>
          <w:tcPr>
            <w:tcW w:w="243" w:type="pct"/>
          </w:tcPr>
          <w:p w:rsidR="000B3A42" w:rsidRPr="00441F2A" w:rsidRDefault="000B3A42" w:rsidP="000B3A42">
            <w:pPr>
              <w:jc w:val="both"/>
              <w:rPr>
                <w:sz w:val="20"/>
              </w:rPr>
            </w:pPr>
          </w:p>
        </w:tc>
        <w:tc>
          <w:tcPr>
            <w:tcW w:w="2330" w:type="pct"/>
          </w:tcPr>
          <w:p w:rsidR="000B3A42" w:rsidRPr="00441F2A" w:rsidRDefault="000B3A42" w:rsidP="000B3A42">
            <w:pPr>
              <w:jc w:val="both"/>
              <w:rPr>
                <w:spacing w:val="-2"/>
                <w:sz w:val="20"/>
              </w:rPr>
            </w:pPr>
            <w:r w:rsidRPr="00441F2A">
              <w:rPr>
                <w:sz w:val="20"/>
              </w:rPr>
              <w:t>Declaratory relief granted,</w:t>
            </w:r>
            <w:r w:rsidRPr="00441F2A">
              <w:rPr>
                <w:spacing w:val="-1"/>
                <w:sz w:val="20"/>
              </w:rPr>
              <w:t xml:space="preserve"> </w:t>
            </w:r>
            <w:r w:rsidRPr="00441F2A">
              <w:rPr>
                <w:spacing w:val="-2"/>
                <w:sz w:val="20"/>
              </w:rPr>
              <w:t>Extraordinary General Meeting cancelled, Register of members ordered to be rectified to include denied memberships</w:t>
            </w:r>
          </w:p>
          <w:p w:rsidR="000B3A42" w:rsidRPr="00441F2A" w:rsidRDefault="000B3A42" w:rsidP="000B3A42">
            <w:pPr>
              <w:jc w:val="both"/>
              <w:rPr>
                <w:sz w:val="20"/>
              </w:rPr>
            </w:pPr>
          </w:p>
        </w:tc>
      </w:tr>
      <w:tr w:rsidR="000B3A42" w:rsidRPr="00441F2A" w:rsidTr="00E95A6A">
        <w:tc>
          <w:tcPr>
            <w:tcW w:w="2427" w:type="pct"/>
            <w:gridSpan w:val="2"/>
          </w:tcPr>
          <w:p w:rsidR="000B3A42" w:rsidRPr="00441F2A" w:rsidRDefault="000B3A42" w:rsidP="000B3A42">
            <w:pPr>
              <w:jc w:val="both"/>
              <w:rPr>
                <w:sz w:val="20"/>
              </w:rPr>
            </w:pPr>
            <w:r w:rsidRPr="00441F2A">
              <w:rPr>
                <w:sz w:val="20"/>
              </w:rPr>
              <w:t>November 13, 2020</w:t>
            </w:r>
          </w:p>
          <w:p w:rsidR="000B3A42" w:rsidRPr="00441F2A" w:rsidRDefault="000B3A42" w:rsidP="000B3A42">
            <w:pPr>
              <w:jc w:val="both"/>
              <w:rPr>
                <w:sz w:val="20"/>
              </w:rPr>
            </w:pPr>
            <w:r w:rsidRPr="00441F2A">
              <w:rPr>
                <w:sz w:val="20"/>
              </w:rPr>
              <w:t xml:space="preserve">Court of Appeal for British Columbia </w:t>
            </w:r>
          </w:p>
          <w:p w:rsidR="000B3A42" w:rsidRPr="00441F2A" w:rsidRDefault="000B3A42" w:rsidP="000B3A42">
            <w:pPr>
              <w:jc w:val="both"/>
              <w:rPr>
                <w:sz w:val="20"/>
              </w:rPr>
            </w:pPr>
            <w:r w:rsidRPr="00441F2A">
              <w:rPr>
                <w:sz w:val="20"/>
              </w:rPr>
              <w:t>(Vancouver)</w:t>
            </w:r>
          </w:p>
          <w:p w:rsidR="000B3A42" w:rsidRPr="00441F2A" w:rsidRDefault="000B3A42" w:rsidP="000B3A42">
            <w:pPr>
              <w:jc w:val="both"/>
              <w:rPr>
                <w:sz w:val="20"/>
              </w:rPr>
            </w:pPr>
            <w:r w:rsidRPr="00441F2A">
              <w:rPr>
                <w:sz w:val="20"/>
              </w:rPr>
              <w:t>(Newbury, DeWitt</w:t>
            </w:r>
            <w:r w:rsidRPr="00441F2A">
              <w:rPr>
                <w:sz w:val="20"/>
              </w:rPr>
              <w:noBreakHyphen/>
              <w:t>Van Oosten, Voith JJ.A.)</w:t>
            </w:r>
          </w:p>
          <w:p w:rsidR="000B3A42" w:rsidRPr="00441F2A" w:rsidRDefault="008A1AC7" w:rsidP="000B3A42">
            <w:pPr>
              <w:jc w:val="both"/>
              <w:rPr>
                <w:sz w:val="20"/>
              </w:rPr>
            </w:pPr>
            <w:hyperlink r:id="rId25" w:history="1">
              <w:r w:rsidR="000B3A42" w:rsidRPr="00441F2A">
                <w:rPr>
                  <w:rStyle w:val="Hyperlink"/>
                  <w:sz w:val="20"/>
                </w:rPr>
                <w:t>2020 BCCA 312</w:t>
              </w:r>
            </w:hyperlink>
            <w:r w:rsidR="000B3A42" w:rsidRPr="00441F2A">
              <w:rPr>
                <w:sz w:val="20"/>
              </w:rPr>
              <w:t>; CA46892</w:t>
            </w:r>
          </w:p>
          <w:p w:rsidR="000B3A42" w:rsidRPr="00441F2A" w:rsidRDefault="000B3A42" w:rsidP="000B3A42">
            <w:pPr>
              <w:jc w:val="both"/>
              <w:rPr>
                <w:sz w:val="20"/>
              </w:rPr>
            </w:pPr>
          </w:p>
        </w:tc>
        <w:tc>
          <w:tcPr>
            <w:tcW w:w="243" w:type="pct"/>
          </w:tcPr>
          <w:p w:rsidR="000B3A42" w:rsidRPr="00441F2A" w:rsidRDefault="000B3A42" w:rsidP="000B3A42">
            <w:pPr>
              <w:jc w:val="both"/>
              <w:rPr>
                <w:sz w:val="20"/>
              </w:rPr>
            </w:pPr>
          </w:p>
        </w:tc>
        <w:tc>
          <w:tcPr>
            <w:tcW w:w="2330" w:type="pct"/>
          </w:tcPr>
          <w:p w:rsidR="000B3A42" w:rsidRPr="00441F2A" w:rsidRDefault="000B3A42" w:rsidP="000B3A42">
            <w:pPr>
              <w:jc w:val="both"/>
              <w:rPr>
                <w:sz w:val="20"/>
              </w:rPr>
            </w:pPr>
            <w:r w:rsidRPr="00441F2A">
              <w:rPr>
                <w:sz w:val="20"/>
              </w:rPr>
              <w:t>Appeal dismissed</w:t>
            </w:r>
          </w:p>
          <w:p w:rsidR="000B3A42" w:rsidRPr="00441F2A" w:rsidRDefault="000B3A42" w:rsidP="000B3A42">
            <w:pPr>
              <w:jc w:val="both"/>
              <w:rPr>
                <w:sz w:val="20"/>
              </w:rPr>
            </w:pPr>
          </w:p>
        </w:tc>
      </w:tr>
      <w:tr w:rsidR="000B3A42" w:rsidRPr="00441F2A" w:rsidTr="00E95A6A">
        <w:tc>
          <w:tcPr>
            <w:tcW w:w="2427" w:type="pct"/>
            <w:gridSpan w:val="2"/>
          </w:tcPr>
          <w:p w:rsidR="000B3A42" w:rsidRPr="00441F2A" w:rsidRDefault="000B3A42" w:rsidP="000B3A42">
            <w:pPr>
              <w:jc w:val="both"/>
              <w:rPr>
                <w:sz w:val="20"/>
              </w:rPr>
            </w:pPr>
            <w:r w:rsidRPr="00441F2A">
              <w:rPr>
                <w:sz w:val="20"/>
              </w:rPr>
              <w:t>December 21, 2020</w:t>
            </w:r>
          </w:p>
          <w:p w:rsidR="000B3A42" w:rsidRPr="00441F2A" w:rsidRDefault="000B3A42" w:rsidP="000B3A42">
            <w:pPr>
              <w:jc w:val="both"/>
              <w:rPr>
                <w:sz w:val="20"/>
              </w:rPr>
            </w:pPr>
            <w:r w:rsidRPr="00441F2A">
              <w:rPr>
                <w:sz w:val="20"/>
              </w:rPr>
              <w:t>Supreme Court of Canada</w:t>
            </w:r>
          </w:p>
        </w:tc>
        <w:tc>
          <w:tcPr>
            <w:tcW w:w="243" w:type="pct"/>
          </w:tcPr>
          <w:p w:rsidR="000B3A42" w:rsidRPr="00441F2A" w:rsidRDefault="000B3A42" w:rsidP="000B3A42">
            <w:pPr>
              <w:jc w:val="both"/>
              <w:rPr>
                <w:sz w:val="20"/>
              </w:rPr>
            </w:pPr>
          </w:p>
        </w:tc>
        <w:tc>
          <w:tcPr>
            <w:tcW w:w="2330" w:type="pct"/>
          </w:tcPr>
          <w:p w:rsidR="000B3A42" w:rsidRPr="00441F2A" w:rsidRDefault="000B3A42" w:rsidP="000B3A42">
            <w:pPr>
              <w:jc w:val="both"/>
              <w:rPr>
                <w:sz w:val="20"/>
              </w:rPr>
            </w:pPr>
            <w:r w:rsidRPr="00441F2A">
              <w:rPr>
                <w:sz w:val="20"/>
              </w:rPr>
              <w:t>Application for leave to appeal filed</w:t>
            </w:r>
          </w:p>
          <w:p w:rsidR="000B3A42" w:rsidRPr="00441F2A" w:rsidRDefault="000B3A42" w:rsidP="000B3A42">
            <w:pPr>
              <w:jc w:val="both"/>
              <w:rPr>
                <w:sz w:val="20"/>
              </w:rPr>
            </w:pPr>
          </w:p>
        </w:tc>
      </w:tr>
    </w:tbl>
    <w:p w:rsidR="000B3A42" w:rsidRPr="00441F2A" w:rsidRDefault="000B3A42" w:rsidP="000B3A42">
      <w:pPr>
        <w:jc w:val="both"/>
        <w:rPr>
          <w:sz w:val="20"/>
        </w:rPr>
      </w:pPr>
    </w:p>
    <w:p w:rsidR="00EB6EB3" w:rsidRPr="00441F2A" w:rsidRDefault="008A1AC7" w:rsidP="000B3A42">
      <w:pPr>
        <w:jc w:val="both"/>
        <w:rPr>
          <w:sz w:val="20"/>
        </w:rPr>
      </w:pPr>
      <w:bookmarkStart w:id="0" w:name="_GoBack"/>
      <w:bookmarkEnd w:id="0"/>
      <w:r w:rsidRPr="00441F2A">
        <w:rPr>
          <w:sz w:val="20"/>
        </w:rPr>
        <w:pict>
          <v:rect id="_x0000_i1037" style="width:2in;height:1pt" o:hrpct="0" o:hralign="center" o:hrstd="t" o:hrnoshade="t" o:hr="t" fillcolor="black [3213]" stroked="f"/>
        </w:pict>
      </w:r>
    </w:p>
    <w:p w:rsidR="00EB6EB3" w:rsidRPr="00441F2A" w:rsidRDefault="00EB6EB3" w:rsidP="000B3A4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B3A42" w:rsidRPr="00441F2A" w:rsidTr="00E95A6A">
        <w:tc>
          <w:tcPr>
            <w:tcW w:w="543" w:type="pct"/>
          </w:tcPr>
          <w:p w:rsidR="000B3A42" w:rsidRPr="00441F2A" w:rsidRDefault="000B3A42" w:rsidP="000B3A42">
            <w:pPr>
              <w:jc w:val="both"/>
              <w:rPr>
                <w:sz w:val="20"/>
                <w:lang w:val="fr-CA"/>
              </w:rPr>
            </w:pPr>
            <w:r w:rsidRPr="00441F2A">
              <w:rPr>
                <w:rStyle w:val="SCCFileNumberChar"/>
                <w:sz w:val="20"/>
                <w:szCs w:val="20"/>
                <w:lang w:val="fr-CA"/>
              </w:rPr>
              <w:t>39504</w:t>
            </w:r>
          </w:p>
        </w:tc>
        <w:tc>
          <w:tcPr>
            <w:tcW w:w="4457" w:type="pct"/>
            <w:gridSpan w:val="3"/>
          </w:tcPr>
          <w:p w:rsidR="000B3A42" w:rsidRPr="00441F2A" w:rsidRDefault="000B3A42" w:rsidP="000B3A42">
            <w:pPr>
              <w:pStyle w:val="SCCLsocParty"/>
              <w:jc w:val="both"/>
              <w:rPr>
                <w:b/>
                <w:sz w:val="20"/>
                <w:szCs w:val="20"/>
              </w:rPr>
            </w:pPr>
            <w:r w:rsidRPr="00441F2A">
              <w:rPr>
                <w:b/>
                <w:sz w:val="20"/>
                <w:szCs w:val="20"/>
              </w:rPr>
              <w:t>Delta Hospice Society c. Sharon Farrish, Christopher Pettypiece, James Levin, Procureur général de la Colombie-Britannique</w:t>
            </w:r>
          </w:p>
          <w:p w:rsidR="000B3A42" w:rsidRPr="00441F2A" w:rsidRDefault="000B3A42" w:rsidP="000B3A42">
            <w:pPr>
              <w:jc w:val="both"/>
              <w:rPr>
                <w:sz w:val="20"/>
                <w:lang w:val="fr-CA"/>
              </w:rPr>
            </w:pPr>
            <w:r w:rsidRPr="00441F2A">
              <w:rPr>
                <w:sz w:val="20"/>
                <w:lang w:val="fr-CA"/>
              </w:rPr>
              <w:t>(C.-B.) (Civile) (Sur autorisation)</w:t>
            </w:r>
          </w:p>
        </w:tc>
      </w:tr>
      <w:tr w:rsidR="000B3A42" w:rsidRPr="00441F2A" w:rsidTr="00E95A6A">
        <w:tc>
          <w:tcPr>
            <w:tcW w:w="5000" w:type="pct"/>
            <w:gridSpan w:val="4"/>
          </w:tcPr>
          <w:p w:rsidR="000B3A42" w:rsidRPr="00441F2A" w:rsidRDefault="000B3A42" w:rsidP="000B3A42">
            <w:pPr>
              <w:jc w:val="both"/>
              <w:rPr>
                <w:sz w:val="20"/>
                <w:lang w:val="fr-CA"/>
              </w:rPr>
            </w:pPr>
            <w:r w:rsidRPr="00441F2A">
              <w:rPr>
                <w:i/>
                <w:sz w:val="20"/>
                <w:lang w:val="fr-CA"/>
              </w:rPr>
              <w:t>Charte des droits et libertés</w:t>
            </w:r>
            <w:r w:rsidRPr="00441F2A">
              <w:rPr>
                <w:sz w:val="20"/>
                <w:lang w:val="fr-CA"/>
              </w:rPr>
              <w:t xml:space="preserve"> — Liberté d’association — Droit de conscience — Tribunaux — Les administrateurs d’une société constituée en vertu de la </w:t>
            </w:r>
            <w:r w:rsidRPr="00441F2A">
              <w:rPr>
                <w:i/>
                <w:spacing w:val="-1"/>
                <w:sz w:val="20"/>
                <w:lang w:val="fr-CA"/>
              </w:rPr>
              <w:t xml:space="preserve">Societies Act, </w:t>
            </w:r>
            <w:r w:rsidRPr="00441F2A">
              <w:rPr>
                <w:spacing w:val="-1"/>
                <w:sz w:val="20"/>
                <w:lang w:val="fr-CA"/>
              </w:rPr>
              <w:t xml:space="preserve">S.B.C. 2016, c. 18, rejettent des demandes d’adhésion </w:t>
            </w:r>
            <w:r w:rsidRPr="00441F2A">
              <w:rPr>
                <w:sz w:val="20"/>
                <w:lang w:val="fr-CA"/>
              </w:rPr>
              <w:t>— Compétence de la cour supérieure pour entendre la demande contestant les décisions des administrateurs quant à l’adhésion — Pouvoir des administrateurs de rejeter les demandes d’adhésion — Relève</w:t>
            </w:r>
            <w:r w:rsidRPr="00441F2A">
              <w:rPr>
                <w:sz w:val="20"/>
                <w:lang w:val="fr-CA"/>
              </w:rPr>
              <w:noBreakHyphen/>
              <w:t>t</w:t>
            </w:r>
            <w:r w:rsidRPr="00441F2A">
              <w:rPr>
                <w:sz w:val="20"/>
                <w:lang w:val="fr-CA"/>
              </w:rPr>
              <w:noBreakHyphen/>
              <w:t>il de la compétence des tribunaux de trancher une question portant sur les objectifs de la société aux termes de son acte constitutif? — Une ordonnance judiciaire rendue en application d’une loi peut</w:t>
            </w:r>
            <w:r w:rsidRPr="00441F2A">
              <w:rPr>
                <w:sz w:val="20"/>
                <w:lang w:val="fr-CA"/>
              </w:rPr>
              <w:noBreakHyphen/>
              <w:t xml:space="preserve">elle être assujettie à un examen fondé sur la </w:t>
            </w:r>
            <w:r w:rsidRPr="00441F2A">
              <w:rPr>
                <w:i/>
                <w:sz w:val="20"/>
                <w:lang w:val="fr-CA"/>
              </w:rPr>
              <w:t>Charte</w:t>
            </w:r>
            <w:r w:rsidRPr="00441F2A">
              <w:rPr>
                <w:sz w:val="20"/>
                <w:lang w:val="fr-CA"/>
              </w:rPr>
              <w:t>?</w:t>
            </w:r>
          </w:p>
        </w:tc>
      </w:tr>
      <w:tr w:rsidR="000B3A42" w:rsidRPr="00441F2A" w:rsidTr="00E95A6A">
        <w:tc>
          <w:tcPr>
            <w:tcW w:w="5000" w:type="pct"/>
            <w:gridSpan w:val="4"/>
          </w:tcPr>
          <w:p w:rsidR="000B3A42" w:rsidRPr="00441F2A" w:rsidRDefault="000B3A42" w:rsidP="000B3A42">
            <w:pPr>
              <w:jc w:val="both"/>
              <w:rPr>
                <w:sz w:val="20"/>
                <w:lang w:val="fr-CA"/>
              </w:rPr>
            </w:pPr>
          </w:p>
        </w:tc>
      </w:tr>
      <w:tr w:rsidR="000B3A42" w:rsidRPr="00441F2A" w:rsidTr="00E95A6A">
        <w:tc>
          <w:tcPr>
            <w:tcW w:w="5000" w:type="pct"/>
            <w:gridSpan w:val="4"/>
          </w:tcPr>
          <w:p w:rsidR="000B3A42" w:rsidRPr="00441F2A" w:rsidRDefault="000B3A42" w:rsidP="000B3A42">
            <w:pPr>
              <w:jc w:val="both"/>
              <w:rPr>
                <w:sz w:val="20"/>
                <w:lang w:val="fr-CA"/>
              </w:rPr>
            </w:pPr>
            <w:r w:rsidRPr="00441F2A">
              <w:rPr>
                <w:spacing w:val="-1"/>
                <w:sz w:val="20"/>
                <w:lang w:val="fr-CA"/>
              </w:rPr>
              <w:t xml:space="preserve">Delta Hospice Society est une société à but non lucratif constituée en vertu de la </w:t>
            </w:r>
            <w:r w:rsidRPr="00441F2A">
              <w:rPr>
                <w:i/>
                <w:spacing w:val="-1"/>
                <w:sz w:val="20"/>
                <w:lang w:val="fr-CA"/>
              </w:rPr>
              <w:t xml:space="preserve">Societies Act, </w:t>
            </w:r>
            <w:r w:rsidRPr="00441F2A">
              <w:rPr>
                <w:spacing w:val="-1"/>
                <w:sz w:val="20"/>
                <w:lang w:val="fr-CA"/>
              </w:rPr>
              <w:t xml:space="preserve">S.B.C. 2016, c. 18, qui est dotée d’un acte constitutif et de règlements administratifs. Elle exploite un centre de soins palliatifs et un centre de soutien pour les personnes mourantes. La Fraser Health Authority exige des centres </w:t>
            </w:r>
            <w:r w:rsidRPr="00441F2A">
              <w:rPr>
                <w:sz w:val="20"/>
                <w:lang w:val="fr-CA"/>
              </w:rPr>
              <w:t>de soins palliatifs, dont la Delta Hospice Society, qu’ils rendent disponibles des services d’aide médicale à mourir, à moins d’être une organisation fondée sur la religion ou sur la foi. Le conseil d’administration de la Delta Hospice Society a convoqué une assemblée générale extraordinaire des membres pour soumettre au vote les modifications proposées à l’acte constitutif et aux règlements administratifs de la société pour faire en sorte que celle-ci puisse bénéficier de l’exemption relative aux organisations fondées sur la religion ou la foi. Avant l’assemblée générale e</w:t>
            </w:r>
            <w:r w:rsidRPr="00441F2A">
              <w:rPr>
                <w:spacing w:val="-2"/>
                <w:sz w:val="20"/>
                <w:lang w:val="fr-CA"/>
              </w:rPr>
              <w:t>xtraordinaire</w:t>
            </w:r>
            <w:r w:rsidRPr="00441F2A">
              <w:rPr>
                <w:sz w:val="20"/>
                <w:lang w:val="fr-CA"/>
              </w:rPr>
              <w:t xml:space="preserve">, les administrateurs ont rejeté </w:t>
            </w:r>
            <w:r w:rsidRPr="00441F2A">
              <w:rPr>
                <w:spacing w:val="-1"/>
                <w:sz w:val="20"/>
                <w:lang w:val="fr-CA"/>
              </w:rPr>
              <w:t xml:space="preserve">310 demandes d’adhésion de personnes pour lesquelles ils ne pouvaient </w:t>
            </w:r>
            <w:r w:rsidRPr="00441F2A">
              <w:rPr>
                <w:sz w:val="20"/>
                <w:lang w:val="fr-CA"/>
              </w:rPr>
              <w:t xml:space="preserve">confirmer qu’elles étaient disposées à voter contre la prestation de services d’aide médicale à mourir ou susceptible de le faire. Les membres de la Delta Hospice Society ont demandé réparation en vertu de la </w:t>
            </w:r>
            <w:r w:rsidRPr="00441F2A">
              <w:rPr>
                <w:i/>
                <w:sz w:val="20"/>
                <w:lang w:val="fr-CA"/>
              </w:rPr>
              <w:t>Societies Act</w:t>
            </w:r>
            <w:r w:rsidRPr="00441F2A">
              <w:rPr>
                <w:sz w:val="20"/>
                <w:lang w:val="fr-CA"/>
              </w:rPr>
              <w:t xml:space="preserve"> auprès de la Cour suprême de la Colombie</w:t>
            </w:r>
            <w:r w:rsidRPr="00441F2A">
              <w:rPr>
                <w:sz w:val="20"/>
                <w:lang w:val="fr-CA"/>
              </w:rPr>
              <w:noBreakHyphen/>
              <w:t>Britannique, contestant les décisions relatives aux demandes d’adhésion. La cour a accordé une réparation sous forme de jugement déclaratoire. Elle a notamment annulé l’assemblée générale e</w:t>
            </w:r>
            <w:r w:rsidRPr="00441F2A">
              <w:rPr>
                <w:spacing w:val="-2"/>
                <w:sz w:val="20"/>
                <w:lang w:val="fr-CA"/>
              </w:rPr>
              <w:t>xtraordinaire et a ordonné que le registre des membres de la Delta Hospice Society soit corrigé afin d’y inclure les noms des demandeurs dont on avait rejeté la demande d’adhésion. La Cour d’appel a rejeté l’appel.</w:t>
            </w:r>
          </w:p>
          <w:p w:rsidR="000B3A42" w:rsidRPr="00441F2A" w:rsidRDefault="000B3A42" w:rsidP="000B3A42">
            <w:pPr>
              <w:widowControl w:val="0"/>
              <w:kinsoku w:val="0"/>
              <w:overflowPunct w:val="0"/>
              <w:jc w:val="both"/>
              <w:textAlignment w:val="baseline"/>
              <w:rPr>
                <w:sz w:val="20"/>
                <w:lang w:val="fr-CA"/>
              </w:rPr>
            </w:pPr>
          </w:p>
        </w:tc>
      </w:tr>
      <w:tr w:rsidR="000B3A42" w:rsidRPr="00441F2A" w:rsidTr="00E95A6A">
        <w:tc>
          <w:tcPr>
            <w:tcW w:w="2427" w:type="pct"/>
            <w:gridSpan w:val="2"/>
          </w:tcPr>
          <w:p w:rsidR="000B3A42" w:rsidRPr="00441F2A" w:rsidRDefault="000B3A42" w:rsidP="000B3A42">
            <w:pPr>
              <w:jc w:val="both"/>
              <w:rPr>
                <w:sz w:val="20"/>
                <w:lang w:val="fr-CA"/>
              </w:rPr>
            </w:pPr>
            <w:r w:rsidRPr="00441F2A">
              <w:rPr>
                <w:sz w:val="20"/>
                <w:lang w:val="fr-CA"/>
              </w:rPr>
              <w:t>12 juin 2020</w:t>
            </w:r>
          </w:p>
          <w:p w:rsidR="000B3A42" w:rsidRPr="00441F2A" w:rsidRDefault="000B3A42" w:rsidP="000B3A42">
            <w:pPr>
              <w:jc w:val="both"/>
              <w:rPr>
                <w:sz w:val="20"/>
                <w:lang w:val="fr-CA"/>
              </w:rPr>
            </w:pPr>
            <w:r w:rsidRPr="00441F2A">
              <w:rPr>
                <w:sz w:val="20"/>
                <w:lang w:val="fr-CA"/>
              </w:rPr>
              <w:t>Cour suprême de la Colombie</w:t>
            </w:r>
            <w:r w:rsidRPr="00441F2A">
              <w:rPr>
                <w:sz w:val="20"/>
                <w:lang w:val="fr-CA"/>
              </w:rPr>
              <w:noBreakHyphen/>
              <w:t>Britannique (Juge Fitzpatrick)</w:t>
            </w:r>
          </w:p>
          <w:p w:rsidR="000B3A42" w:rsidRPr="00441F2A" w:rsidRDefault="008A1AC7" w:rsidP="000B3A42">
            <w:pPr>
              <w:jc w:val="both"/>
              <w:rPr>
                <w:sz w:val="20"/>
                <w:lang w:val="fr-CA"/>
              </w:rPr>
            </w:pPr>
            <w:hyperlink r:id="rId26" w:history="1">
              <w:r w:rsidR="000B3A42" w:rsidRPr="00441F2A">
                <w:rPr>
                  <w:rStyle w:val="Hyperlink"/>
                  <w:sz w:val="20"/>
                  <w:lang w:val="fr-CA"/>
                </w:rPr>
                <w:t>2020 BCSC 968</w:t>
              </w:r>
            </w:hyperlink>
          </w:p>
        </w:tc>
        <w:tc>
          <w:tcPr>
            <w:tcW w:w="243" w:type="pct"/>
          </w:tcPr>
          <w:p w:rsidR="000B3A42" w:rsidRPr="00441F2A" w:rsidRDefault="000B3A42" w:rsidP="000B3A42">
            <w:pPr>
              <w:jc w:val="both"/>
              <w:rPr>
                <w:sz w:val="20"/>
                <w:lang w:val="fr-CA"/>
              </w:rPr>
            </w:pPr>
          </w:p>
        </w:tc>
        <w:tc>
          <w:tcPr>
            <w:tcW w:w="2330" w:type="pct"/>
          </w:tcPr>
          <w:p w:rsidR="000B3A42" w:rsidRPr="00441F2A" w:rsidRDefault="000B3A42" w:rsidP="000B3A42">
            <w:pPr>
              <w:jc w:val="both"/>
              <w:rPr>
                <w:spacing w:val="-2"/>
                <w:sz w:val="20"/>
                <w:lang w:val="fr-CA"/>
              </w:rPr>
            </w:pPr>
            <w:r w:rsidRPr="00441F2A">
              <w:rPr>
                <w:sz w:val="20"/>
                <w:lang w:val="fr-CA"/>
              </w:rPr>
              <w:t>Une réparation sous forme de jugement déclaratoire est accordée, l’assemblée générale extraordinaire est annulée</w:t>
            </w:r>
            <w:r w:rsidRPr="00441F2A">
              <w:rPr>
                <w:spacing w:val="-2"/>
                <w:sz w:val="20"/>
                <w:lang w:val="fr-CA"/>
              </w:rPr>
              <w:t>, il est ordonné que le registre des membres soit corrigé afin d’y inclure les demandes d’adhésion rejetées.</w:t>
            </w:r>
          </w:p>
          <w:p w:rsidR="000B3A42" w:rsidRPr="00441F2A" w:rsidRDefault="000B3A42" w:rsidP="000B3A42">
            <w:pPr>
              <w:jc w:val="both"/>
              <w:rPr>
                <w:sz w:val="20"/>
                <w:lang w:val="fr-CA"/>
              </w:rPr>
            </w:pPr>
          </w:p>
        </w:tc>
      </w:tr>
      <w:tr w:rsidR="000B3A42" w:rsidRPr="00441F2A" w:rsidTr="00E95A6A">
        <w:tc>
          <w:tcPr>
            <w:tcW w:w="2427" w:type="pct"/>
            <w:gridSpan w:val="2"/>
          </w:tcPr>
          <w:p w:rsidR="000B3A42" w:rsidRPr="00441F2A" w:rsidRDefault="000B3A42" w:rsidP="000B3A42">
            <w:pPr>
              <w:jc w:val="both"/>
              <w:rPr>
                <w:sz w:val="20"/>
                <w:lang w:val="fr-CA"/>
              </w:rPr>
            </w:pPr>
            <w:r w:rsidRPr="00441F2A">
              <w:rPr>
                <w:sz w:val="20"/>
                <w:lang w:val="fr-CA"/>
              </w:rPr>
              <w:t>13 novembre 2020</w:t>
            </w:r>
          </w:p>
          <w:p w:rsidR="000B3A42" w:rsidRPr="00441F2A" w:rsidRDefault="000B3A42" w:rsidP="000B3A42">
            <w:pPr>
              <w:jc w:val="both"/>
              <w:rPr>
                <w:sz w:val="20"/>
                <w:lang w:val="fr-CA"/>
              </w:rPr>
            </w:pPr>
            <w:r w:rsidRPr="00441F2A">
              <w:rPr>
                <w:sz w:val="20"/>
                <w:lang w:val="fr-CA"/>
              </w:rPr>
              <w:t>Cour d’appel de la Colombie</w:t>
            </w:r>
            <w:r w:rsidRPr="00441F2A">
              <w:rPr>
                <w:sz w:val="20"/>
                <w:lang w:val="fr-CA"/>
              </w:rPr>
              <w:noBreakHyphen/>
              <w:t>Britannique</w:t>
            </w:r>
          </w:p>
          <w:p w:rsidR="000B3A42" w:rsidRPr="00441F2A" w:rsidRDefault="000B3A42" w:rsidP="000B3A42">
            <w:pPr>
              <w:jc w:val="both"/>
              <w:rPr>
                <w:sz w:val="20"/>
              </w:rPr>
            </w:pPr>
            <w:r w:rsidRPr="00441F2A">
              <w:rPr>
                <w:sz w:val="20"/>
              </w:rPr>
              <w:t>(Vancouver)</w:t>
            </w:r>
          </w:p>
          <w:p w:rsidR="000B3A42" w:rsidRPr="00441F2A" w:rsidRDefault="000B3A42" w:rsidP="000B3A42">
            <w:pPr>
              <w:jc w:val="both"/>
              <w:rPr>
                <w:sz w:val="20"/>
              </w:rPr>
            </w:pPr>
            <w:r w:rsidRPr="00441F2A">
              <w:rPr>
                <w:sz w:val="20"/>
              </w:rPr>
              <w:t>(Juges Newbury, DeWitt</w:t>
            </w:r>
            <w:r w:rsidRPr="00441F2A">
              <w:rPr>
                <w:sz w:val="20"/>
              </w:rPr>
              <w:noBreakHyphen/>
              <w:t>Van Oosten, Voith)</w:t>
            </w:r>
          </w:p>
          <w:p w:rsidR="000B3A42" w:rsidRPr="00441F2A" w:rsidRDefault="008A1AC7" w:rsidP="000B3A42">
            <w:pPr>
              <w:jc w:val="both"/>
              <w:rPr>
                <w:sz w:val="20"/>
              </w:rPr>
            </w:pPr>
            <w:hyperlink r:id="rId27" w:history="1">
              <w:r w:rsidR="000B3A42" w:rsidRPr="00441F2A">
                <w:rPr>
                  <w:rStyle w:val="Hyperlink"/>
                  <w:sz w:val="20"/>
                </w:rPr>
                <w:t>2020 BCCA 312</w:t>
              </w:r>
            </w:hyperlink>
            <w:r w:rsidR="000B3A42" w:rsidRPr="00441F2A">
              <w:rPr>
                <w:sz w:val="20"/>
              </w:rPr>
              <w:t>; CA46892</w:t>
            </w:r>
          </w:p>
          <w:p w:rsidR="000B3A42" w:rsidRPr="00441F2A" w:rsidRDefault="000B3A42" w:rsidP="000B3A42">
            <w:pPr>
              <w:jc w:val="both"/>
              <w:rPr>
                <w:sz w:val="20"/>
              </w:rPr>
            </w:pPr>
          </w:p>
        </w:tc>
        <w:tc>
          <w:tcPr>
            <w:tcW w:w="243" w:type="pct"/>
          </w:tcPr>
          <w:p w:rsidR="000B3A42" w:rsidRPr="00441F2A" w:rsidRDefault="000B3A42" w:rsidP="000B3A42">
            <w:pPr>
              <w:jc w:val="both"/>
              <w:rPr>
                <w:sz w:val="20"/>
              </w:rPr>
            </w:pPr>
          </w:p>
        </w:tc>
        <w:tc>
          <w:tcPr>
            <w:tcW w:w="2330" w:type="pct"/>
          </w:tcPr>
          <w:p w:rsidR="000B3A42" w:rsidRPr="00441F2A" w:rsidRDefault="000B3A42" w:rsidP="000B3A42">
            <w:pPr>
              <w:jc w:val="both"/>
              <w:rPr>
                <w:sz w:val="20"/>
                <w:lang w:val="fr-CA"/>
              </w:rPr>
            </w:pPr>
            <w:r w:rsidRPr="00441F2A">
              <w:rPr>
                <w:sz w:val="20"/>
                <w:lang w:val="fr-CA"/>
              </w:rPr>
              <w:t>L’appel est rejeté.</w:t>
            </w:r>
          </w:p>
          <w:p w:rsidR="000B3A42" w:rsidRPr="00441F2A" w:rsidRDefault="000B3A42" w:rsidP="000B3A42">
            <w:pPr>
              <w:jc w:val="both"/>
              <w:rPr>
                <w:sz w:val="20"/>
                <w:lang w:val="fr-CA"/>
              </w:rPr>
            </w:pPr>
          </w:p>
        </w:tc>
      </w:tr>
      <w:tr w:rsidR="000B3A42" w:rsidRPr="00441F2A" w:rsidTr="00E95A6A">
        <w:tc>
          <w:tcPr>
            <w:tcW w:w="2427" w:type="pct"/>
            <w:gridSpan w:val="2"/>
          </w:tcPr>
          <w:p w:rsidR="000B3A42" w:rsidRPr="00441F2A" w:rsidRDefault="000B3A42" w:rsidP="000B3A42">
            <w:pPr>
              <w:jc w:val="both"/>
              <w:rPr>
                <w:sz w:val="20"/>
                <w:lang w:val="fr-CA"/>
              </w:rPr>
            </w:pPr>
            <w:r w:rsidRPr="00441F2A">
              <w:rPr>
                <w:sz w:val="20"/>
                <w:lang w:val="fr-CA"/>
              </w:rPr>
              <w:t>21 décembre 2020</w:t>
            </w:r>
          </w:p>
          <w:p w:rsidR="000B3A42" w:rsidRPr="00441F2A" w:rsidRDefault="000B3A42" w:rsidP="000B3A42">
            <w:pPr>
              <w:jc w:val="both"/>
              <w:rPr>
                <w:sz w:val="20"/>
                <w:lang w:val="fr-CA"/>
              </w:rPr>
            </w:pPr>
            <w:r w:rsidRPr="00441F2A">
              <w:rPr>
                <w:sz w:val="20"/>
                <w:lang w:val="fr-CA"/>
              </w:rPr>
              <w:t>Cour suprême du Canada</w:t>
            </w:r>
          </w:p>
        </w:tc>
        <w:tc>
          <w:tcPr>
            <w:tcW w:w="243" w:type="pct"/>
          </w:tcPr>
          <w:p w:rsidR="000B3A42" w:rsidRPr="00441F2A" w:rsidRDefault="000B3A42" w:rsidP="000B3A42">
            <w:pPr>
              <w:jc w:val="both"/>
              <w:rPr>
                <w:sz w:val="20"/>
                <w:lang w:val="fr-CA"/>
              </w:rPr>
            </w:pPr>
          </w:p>
        </w:tc>
        <w:tc>
          <w:tcPr>
            <w:tcW w:w="2330" w:type="pct"/>
          </w:tcPr>
          <w:p w:rsidR="000B3A42" w:rsidRPr="00441F2A" w:rsidRDefault="000B3A42" w:rsidP="000B3A42">
            <w:pPr>
              <w:jc w:val="both"/>
              <w:rPr>
                <w:sz w:val="20"/>
                <w:lang w:val="fr-CA"/>
              </w:rPr>
            </w:pPr>
            <w:r w:rsidRPr="00441F2A">
              <w:rPr>
                <w:sz w:val="20"/>
                <w:lang w:val="fr-CA"/>
              </w:rPr>
              <w:t>La demande d’autorisation d’appel est présentée.</w:t>
            </w:r>
          </w:p>
          <w:p w:rsidR="000B3A42" w:rsidRPr="00441F2A" w:rsidRDefault="000B3A42" w:rsidP="000B3A42">
            <w:pPr>
              <w:jc w:val="both"/>
              <w:rPr>
                <w:sz w:val="20"/>
                <w:lang w:val="fr-CA"/>
              </w:rPr>
            </w:pPr>
          </w:p>
        </w:tc>
      </w:tr>
    </w:tbl>
    <w:p w:rsidR="00832A5F" w:rsidRPr="00441F2A" w:rsidRDefault="00832A5F" w:rsidP="00EC12AF">
      <w:pPr>
        <w:widowControl w:val="0"/>
        <w:jc w:val="both"/>
        <w:rPr>
          <w:sz w:val="20"/>
          <w:lang w:val="fr-CA"/>
        </w:rPr>
      </w:pPr>
    </w:p>
    <w:p w:rsidR="008C3C00" w:rsidRPr="00441F2A" w:rsidRDefault="008A1AC7" w:rsidP="00C13AB4">
      <w:pPr>
        <w:widowControl w:val="0"/>
        <w:jc w:val="both"/>
        <w:rPr>
          <w:sz w:val="20"/>
        </w:rPr>
      </w:pPr>
      <w:r w:rsidRPr="00441F2A">
        <w:rPr>
          <w:sz w:val="20"/>
        </w:rPr>
        <w:pict>
          <v:rect id="_x0000_i1027" style="width:2in;height:1pt" o:hrpct="0" o:hralign="center" o:hrstd="t" o:hrnoshade="t" o:hr="t" fillcolor="black [3213]" stroked="f"/>
        </w:pict>
      </w:r>
    </w:p>
    <w:p w:rsidR="008C3C00" w:rsidRPr="00441F2A" w:rsidRDefault="008C3C00" w:rsidP="00C13AB4">
      <w:pPr>
        <w:widowControl w:val="0"/>
        <w:jc w:val="both"/>
        <w:rPr>
          <w:sz w:val="20"/>
        </w:rPr>
      </w:pPr>
    </w:p>
    <w:p w:rsidR="005C7161" w:rsidRPr="00441F2A" w:rsidRDefault="005C7161" w:rsidP="006A22CA">
      <w:pPr>
        <w:ind w:left="142" w:hanging="142"/>
        <w:jc w:val="both"/>
        <w:rPr>
          <w:sz w:val="20"/>
        </w:rPr>
      </w:pPr>
    </w:p>
    <w:p w:rsidR="00FD3FA0" w:rsidRPr="00441F2A" w:rsidRDefault="00FD3FA0" w:rsidP="006A22CA">
      <w:pPr>
        <w:ind w:left="142" w:hanging="142"/>
        <w:jc w:val="both"/>
        <w:rPr>
          <w:sz w:val="20"/>
        </w:rPr>
      </w:pPr>
    </w:p>
    <w:p w:rsidR="00D3344A" w:rsidRPr="00441F2A" w:rsidRDefault="00D3344A" w:rsidP="00D3344A">
      <w:pPr>
        <w:widowControl w:val="0"/>
        <w:outlineLvl w:val="0"/>
      </w:pPr>
      <w:r w:rsidRPr="00441F2A">
        <w:t xml:space="preserve">Supreme Court of Canada / Cour suprême du </w:t>
      </w:r>
      <w:proofErr w:type="gramStart"/>
      <w:r w:rsidRPr="00441F2A">
        <w:t>Canad</w:t>
      </w:r>
      <w:r w:rsidR="00EE289F" w:rsidRPr="00441F2A">
        <w:t>a</w:t>
      </w:r>
      <w:r w:rsidRPr="00441F2A">
        <w:t xml:space="preserve"> :</w:t>
      </w:r>
      <w:proofErr w:type="gramEnd"/>
    </w:p>
    <w:p w:rsidR="00D3344A" w:rsidRPr="00441F2A" w:rsidRDefault="008A1AC7" w:rsidP="00D3344A">
      <w:pPr>
        <w:widowControl w:val="0"/>
        <w:outlineLvl w:val="0"/>
        <w:rPr>
          <w:u w:val="single"/>
        </w:rPr>
      </w:pPr>
      <w:hyperlink r:id="rId28" w:history="1">
        <w:r w:rsidR="009B7391" w:rsidRPr="00441F2A">
          <w:rPr>
            <w:rStyle w:val="Hyperlink"/>
          </w:rPr>
          <w:t>comments-commentaires@scc-csc.ca</w:t>
        </w:r>
      </w:hyperlink>
    </w:p>
    <w:p w:rsidR="00D3344A" w:rsidRPr="00441F2A" w:rsidRDefault="0065588C" w:rsidP="00D3344A">
      <w:pPr>
        <w:widowControl w:val="0"/>
        <w:outlineLvl w:val="0"/>
      </w:pPr>
      <w:r w:rsidRPr="00441F2A">
        <w:t>613-</w:t>
      </w:r>
      <w:r w:rsidR="00D3344A" w:rsidRPr="00441F2A">
        <w:t>995-4330</w:t>
      </w:r>
    </w:p>
    <w:p w:rsidR="00497B5E" w:rsidRPr="00441F2A" w:rsidRDefault="00497B5E" w:rsidP="00497B5E">
      <w:pPr>
        <w:widowControl w:val="0"/>
        <w:rPr>
          <w:sz w:val="20"/>
        </w:rPr>
      </w:pPr>
    </w:p>
    <w:p w:rsidR="00F6251B" w:rsidRPr="006E558B" w:rsidRDefault="003F43E6" w:rsidP="00F6251B">
      <w:pPr>
        <w:pStyle w:val="Footer"/>
        <w:jc w:val="center"/>
      </w:pPr>
      <w:r w:rsidRPr="00441F2A">
        <w:t>- 30 -</w:t>
      </w:r>
    </w:p>
    <w:sectPr w:rsidR="00F6251B" w:rsidRPr="006E558B" w:rsidSect="00E62F93">
      <w:headerReference w:type="even" r:id="rId29"/>
      <w:headerReference w:type="default" r:id="rId30"/>
      <w:footerReference w:type="even" r:id="rId31"/>
      <w:footerReference w:type="default" r:id="rId32"/>
      <w:headerReference w:type="first" r:id="rId33"/>
      <w:footerReference w:type="first" r:id="rId34"/>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296" w:rsidRDefault="00220296" w:rsidP="0034178A">
      <w:r>
        <w:separator/>
      </w:r>
    </w:p>
  </w:endnote>
  <w:endnote w:type="continuationSeparator" w:id="0">
    <w:p w:rsidR="00220296" w:rsidRDefault="0022029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96" w:rsidRDefault="002202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96" w:rsidRPr="009F77F0" w:rsidRDefault="00220296"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96" w:rsidRDefault="00220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296" w:rsidRDefault="00220296" w:rsidP="0034178A">
      <w:r>
        <w:separator/>
      </w:r>
    </w:p>
  </w:footnote>
  <w:footnote w:type="continuationSeparator" w:id="0">
    <w:p w:rsidR="00220296" w:rsidRDefault="00220296"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96" w:rsidRDefault="00220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96" w:rsidRDefault="002202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96" w:rsidRDefault="00220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97CB7"/>
    <w:multiLevelType w:val="hybridMultilevel"/>
    <w:tmpl w:val="8ED4C39C"/>
    <w:lvl w:ilvl="0" w:tplc="0C348DA4">
      <w:start w:val="14"/>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685579B"/>
    <w:multiLevelType w:val="hybridMultilevel"/>
    <w:tmpl w:val="A3523420"/>
    <w:lvl w:ilvl="0" w:tplc="233C2542">
      <w:start w:val="11"/>
      <w:numFmt w:val="decimal"/>
      <w:lvlText w:val="%1."/>
      <w:lvlJc w:val="left"/>
      <w:pPr>
        <w:ind w:left="540" w:hanging="360"/>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30D7996"/>
    <w:multiLevelType w:val="hybridMultilevel"/>
    <w:tmpl w:val="8BCE0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726A8"/>
    <w:multiLevelType w:val="hybridMultilevel"/>
    <w:tmpl w:val="5986F94A"/>
    <w:lvl w:ilvl="0" w:tplc="1FE865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3A252B"/>
    <w:multiLevelType w:val="hybridMultilevel"/>
    <w:tmpl w:val="FA6CBB5A"/>
    <w:lvl w:ilvl="0" w:tplc="1D4EA6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41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36B"/>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6629"/>
    <w:rsid w:val="00087808"/>
    <w:rsid w:val="000879BA"/>
    <w:rsid w:val="00087CEF"/>
    <w:rsid w:val="00090151"/>
    <w:rsid w:val="0009046F"/>
    <w:rsid w:val="00090A95"/>
    <w:rsid w:val="00090D30"/>
    <w:rsid w:val="00091FFC"/>
    <w:rsid w:val="00093575"/>
    <w:rsid w:val="00093693"/>
    <w:rsid w:val="00093B7C"/>
    <w:rsid w:val="00093DFA"/>
    <w:rsid w:val="00093FF5"/>
    <w:rsid w:val="00094C56"/>
    <w:rsid w:val="00095627"/>
    <w:rsid w:val="00095945"/>
    <w:rsid w:val="00095A2E"/>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3A42"/>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C7E22"/>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3D7B"/>
    <w:rsid w:val="001E4522"/>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333"/>
    <w:rsid w:val="002D2553"/>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1EC"/>
    <w:rsid w:val="003104EE"/>
    <w:rsid w:val="003106DE"/>
    <w:rsid w:val="00311663"/>
    <w:rsid w:val="00311B59"/>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0FF"/>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1F2A"/>
    <w:rsid w:val="00442540"/>
    <w:rsid w:val="0044307B"/>
    <w:rsid w:val="004431F9"/>
    <w:rsid w:val="00443484"/>
    <w:rsid w:val="00443B1B"/>
    <w:rsid w:val="00444072"/>
    <w:rsid w:val="004440D4"/>
    <w:rsid w:val="004441C7"/>
    <w:rsid w:val="00444204"/>
    <w:rsid w:val="004446E5"/>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860"/>
    <w:rsid w:val="00531932"/>
    <w:rsid w:val="00531C3D"/>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943"/>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A20"/>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2878"/>
    <w:rsid w:val="00893B95"/>
    <w:rsid w:val="008941B2"/>
    <w:rsid w:val="0089486E"/>
    <w:rsid w:val="00894DEA"/>
    <w:rsid w:val="00895941"/>
    <w:rsid w:val="00896875"/>
    <w:rsid w:val="008A0D44"/>
    <w:rsid w:val="008A1084"/>
    <w:rsid w:val="008A1AC7"/>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C9B"/>
    <w:rsid w:val="00CE6109"/>
    <w:rsid w:val="00CE6260"/>
    <w:rsid w:val="00CE62A5"/>
    <w:rsid w:val="00CE633C"/>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D9"/>
    <w:rsid w:val="00DC1FC3"/>
    <w:rsid w:val="00DC2393"/>
    <w:rsid w:val="00DC23B0"/>
    <w:rsid w:val="00DC2400"/>
    <w:rsid w:val="00DC246B"/>
    <w:rsid w:val="00DC2998"/>
    <w:rsid w:val="00DC2AD7"/>
    <w:rsid w:val="00DC2CDA"/>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96A"/>
    <w:rsid w:val="00E45E6B"/>
    <w:rsid w:val="00E465FE"/>
    <w:rsid w:val="00E46B19"/>
    <w:rsid w:val="00E476B7"/>
    <w:rsid w:val="00E47A35"/>
    <w:rsid w:val="00E47A7A"/>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6EB3"/>
    <w:rsid w:val="00EB722E"/>
    <w:rsid w:val="00EB733C"/>
    <w:rsid w:val="00EC091F"/>
    <w:rsid w:val="00EC0E72"/>
    <w:rsid w:val="00EC12AF"/>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6001"/>
    <w:rsid w:val="00EC61E5"/>
    <w:rsid w:val="00EC63BD"/>
    <w:rsid w:val="00EC6654"/>
    <w:rsid w:val="00EC67A3"/>
    <w:rsid w:val="00EC6FC0"/>
    <w:rsid w:val="00EC7EEF"/>
    <w:rsid w:val="00ED0CA9"/>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395" TargetMode="External"/><Relationship Id="rId13" Type="http://schemas.openxmlformats.org/officeDocument/2006/relationships/hyperlink" Target="https://canlii.ca/t/j8ppj" TargetMode="External"/><Relationship Id="rId18" Type="http://schemas.openxmlformats.org/officeDocument/2006/relationships/hyperlink" Target="https://canlii.ca/t/gngl3" TargetMode="External"/><Relationship Id="rId26" Type="http://schemas.openxmlformats.org/officeDocument/2006/relationships/hyperlink" Target="https://www.canlii.org/en/bc/bcsc/doc/2020/2020bcsc968/2020bcsc968.html?resultIndex=1" TargetMode="External"/><Relationship Id="rId3" Type="http://schemas.openxmlformats.org/officeDocument/2006/relationships/styles" Target="styles.xml"/><Relationship Id="rId21" Type="http://schemas.openxmlformats.org/officeDocument/2006/relationships/hyperlink" Target="http://c-doc.domain.scc-csc.gc.ca/L25/01/05/%3chttps:/canlii.ca/t/j9t6q%3e,"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anlii.ca/t/glmqd" TargetMode="External"/><Relationship Id="rId17" Type="http://schemas.openxmlformats.org/officeDocument/2006/relationships/hyperlink" Target="https://canlii.ca/t/j46xr" TargetMode="External"/><Relationship Id="rId25" Type="http://schemas.openxmlformats.org/officeDocument/2006/relationships/hyperlink" Target="https://www.canlii.org/en/bc/bcca/doc/2020/2020bcca312/2020bcca312.html?resultIndex=1"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canlii.ca/t/gngl3" TargetMode="External"/><Relationship Id="rId20" Type="http://schemas.openxmlformats.org/officeDocument/2006/relationships/hyperlink" Target="https://canlii.ca/t/hx2j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504" TargetMode="External"/><Relationship Id="rId24" Type="http://schemas.openxmlformats.org/officeDocument/2006/relationships/hyperlink" Target="https://www.canlii.org/en/bc/bcsc/doc/2020/2020bcsc968/2020bcsc968.html?resultIndex=1"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anlii.ca/t/j8ppj" TargetMode="External"/><Relationship Id="rId23" Type="http://schemas.openxmlformats.org/officeDocument/2006/relationships/hyperlink" Target="https://www.canlii.org/en/ca/fca/doc/2020/2020fca149/2020fca149.html?resultIndex=1" TargetMode="External"/><Relationship Id="rId28" Type="http://schemas.openxmlformats.org/officeDocument/2006/relationships/hyperlink" Target="mailto:comments-commentaires@scc-csc.ca" TargetMode="External"/><Relationship Id="rId36" Type="http://schemas.openxmlformats.org/officeDocument/2006/relationships/theme" Target="theme/theme1.xml"/><Relationship Id="rId10" Type="http://schemas.openxmlformats.org/officeDocument/2006/relationships/hyperlink" Target="https://www.scc-csc.ca/case-dossier/info/sum-som-eng.aspx?cas=39495" TargetMode="External"/><Relationship Id="rId19" Type="http://schemas.openxmlformats.org/officeDocument/2006/relationships/hyperlink" Target="https://canlii.ca/t/j46x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c-csc.ca/case-dossier/info/sum-som-eng.aspx?cas=39463" TargetMode="External"/><Relationship Id="rId14" Type="http://schemas.openxmlformats.org/officeDocument/2006/relationships/hyperlink" Target="https://canlii.ca/t/glmqd" TargetMode="External"/><Relationship Id="rId22" Type="http://schemas.openxmlformats.org/officeDocument/2006/relationships/hyperlink" Target="https://canlii.ca/t/hx2jp" TargetMode="External"/><Relationship Id="rId27" Type="http://schemas.openxmlformats.org/officeDocument/2006/relationships/hyperlink" Target="https://www.canlii.org/en/bc/bcca/doc/2020/2020bcca312/2020bcca312.html?resultIndex=1"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26F97-2778-4C49-807A-E149FF58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3928</Words>
  <Characters>22391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26267</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2021-04-06T11:58:00Z</dcterms:modified>
</cp:coreProperties>
</file>