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459F0" w:rsidRDefault="000E391F" w:rsidP="000E391F">
      <w:pPr>
        <w:pStyle w:val="Header"/>
        <w:jc w:val="center"/>
        <w:rPr>
          <w:b/>
          <w:sz w:val="32"/>
        </w:rPr>
      </w:pPr>
      <w:r w:rsidRPr="007459F0">
        <w:rPr>
          <w:b/>
          <w:sz w:val="32"/>
        </w:rPr>
        <w:t>Supreme Court of Canada / Cour suprême du Canada</w:t>
      </w:r>
    </w:p>
    <w:p w:rsidR="000E391F" w:rsidRPr="007459F0" w:rsidRDefault="000E391F" w:rsidP="000E391F">
      <w:pPr>
        <w:widowControl w:val="0"/>
      </w:pPr>
    </w:p>
    <w:p w:rsidR="000E391F" w:rsidRPr="007459F0" w:rsidRDefault="000E391F" w:rsidP="000E391F">
      <w:pPr>
        <w:widowControl w:val="0"/>
        <w:rPr>
          <w:i/>
        </w:rPr>
      </w:pPr>
    </w:p>
    <w:p w:rsidR="006F2579" w:rsidRPr="007459F0" w:rsidRDefault="006F2579" w:rsidP="006F2579">
      <w:pPr>
        <w:widowControl w:val="0"/>
        <w:rPr>
          <w:i/>
          <w:sz w:val="20"/>
        </w:rPr>
      </w:pPr>
      <w:r w:rsidRPr="007459F0">
        <w:rPr>
          <w:i/>
          <w:sz w:val="20"/>
        </w:rPr>
        <w:t>(</w:t>
      </w:r>
      <w:r w:rsidR="003240B6" w:rsidRPr="007459F0">
        <w:rPr>
          <w:i/>
          <w:sz w:val="20"/>
        </w:rPr>
        <w:t>L</w:t>
      </w:r>
      <w:r w:rsidRPr="007459F0">
        <w:rPr>
          <w:i/>
          <w:sz w:val="20"/>
        </w:rPr>
        <w:t>e français suit)</w:t>
      </w:r>
    </w:p>
    <w:p w:rsidR="006F2579" w:rsidRPr="007459F0" w:rsidRDefault="006F2579" w:rsidP="006F2579">
      <w:pPr>
        <w:widowControl w:val="0"/>
      </w:pPr>
    </w:p>
    <w:p w:rsidR="006F2579" w:rsidRPr="007459F0" w:rsidRDefault="00B07908" w:rsidP="006F2579">
      <w:pPr>
        <w:widowControl w:val="0"/>
        <w:jc w:val="center"/>
        <w:rPr>
          <w:b/>
        </w:rPr>
      </w:pPr>
      <w:r w:rsidRPr="007459F0">
        <w:fldChar w:fldCharType="begin"/>
      </w:r>
      <w:r w:rsidR="006F2579" w:rsidRPr="007459F0">
        <w:instrText xml:space="preserve"> SEQ CHAPTER \h \r 1</w:instrText>
      </w:r>
      <w:r w:rsidRPr="007459F0">
        <w:fldChar w:fldCharType="end"/>
      </w:r>
      <w:r w:rsidR="006F2579" w:rsidRPr="007459F0">
        <w:rPr>
          <w:b/>
        </w:rPr>
        <w:t>JUDGMENT</w:t>
      </w:r>
      <w:r w:rsidR="00B17AAC" w:rsidRPr="007459F0">
        <w:rPr>
          <w:b/>
        </w:rPr>
        <w:t>S</w:t>
      </w:r>
      <w:r w:rsidR="006F2579" w:rsidRPr="007459F0">
        <w:rPr>
          <w:b/>
        </w:rPr>
        <w:t xml:space="preserve"> TO B</w:t>
      </w:r>
      <w:r w:rsidR="00001846" w:rsidRPr="007459F0">
        <w:rPr>
          <w:b/>
        </w:rPr>
        <w:t>E RENDERED IN LE</w:t>
      </w:r>
      <w:r w:rsidR="00A0288A" w:rsidRPr="007459F0">
        <w:rPr>
          <w:b/>
        </w:rPr>
        <w:t>A</w:t>
      </w:r>
      <w:r w:rsidR="00001846" w:rsidRPr="007459F0">
        <w:rPr>
          <w:b/>
        </w:rPr>
        <w:t>VE APPLICATION</w:t>
      </w:r>
      <w:r w:rsidR="00511288" w:rsidRPr="007459F0">
        <w:rPr>
          <w:b/>
        </w:rPr>
        <w:t>S</w:t>
      </w:r>
    </w:p>
    <w:p w:rsidR="006F2579" w:rsidRPr="007459F0" w:rsidRDefault="006F2579" w:rsidP="006F2579">
      <w:pPr>
        <w:widowControl w:val="0"/>
      </w:pPr>
    </w:p>
    <w:p w:rsidR="006F2579" w:rsidRPr="007459F0" w:rsidRDefault="00B2235C" w:rsidP="006F2579">
      <w:pPr>
        <w:widowControl w:val="0"/>
      </w:pPr>
      <w:r w:rsidRPr="007459F0">
        <w:rPr>
          <w:b/>
        </w:rPr>
        <w:t>May</w:t>
      </w:r>
      <w:r w:rsidR="00A15B66" w:rsidRPr="007459F0">
        <w:rPr>
          <w:b/>
        </w:rPr>
        <w:t xml:space="preserve"> </w:t>
      </w:r>
      <w:r w:rsidR="0058226F" w:rsidRPr="007459F0">
        <w:rPr>
          <w:b/>
        </w:rPr>
        <w:t>10</w:t>
      </w:r>
      <w:r w:rsidR="004441C7" w:rsidRPr="007459F0">
        <w:rPr>
          <w:b/>
        </w:rPr>
        <w:t>,</w:t>
      </w:r>
      <w:r w:rsidR="006F2579" w:rsidRPr="007459F0">
        <w:rPr>
          <w:b/>
        </w:rPr>
        <w:t xml:space="preserve"> </w:t>
      </w:r>
      <w:r w:rsidR="0054689F" w:rsidRPr="007459F0">
        <w:rPr>
          <w:b/>
        </w:rPr>
        <w:t>20</w:t>
      </w:r>
      <w:r w:rsidR="00526754" w:rsidRPr="007459F0">
        <w:rPr>
          <w:b/>
        </w:rPr>
        <w:t>2</w:t>
      </w:r>
      <w:r w:rsidR="0068416C" w:rsidRPr="007459F0">
        <w:rPr>
          <w:b/>
        </w:rPr>
        <w:t>1</w:t>
      </w:r>
    </w:p>
    <w:p w:rsidR="006F2579" w:rsidRPr="007459F0" w:rsidRDefault="00674F39" w:rsidP="006F2579">
      <w:pPr>
        <w:widowControl w:val="0"/>
        <w:rPr>
          <w:b/>
        </w:rPr>
      </w:pPr>
      <w:r w:rsidRPr="007459F0">
        <w:rPr>
          <w:b/>
        </w:rPr>
        <w:t>For immediate release</w:t>
      </w:r>
    </w:p>
    <w:p w:rsidR="006F2579" w:rsidRPr="007459F0" w:rsidRDefault="006F2579" w:rsidP="006F2579">
      <w:pPr>
        <w:widowControl w:val="0"/>
      </w:pPr>
    </w:p>
    <w:p w:rsidR="006F2579" w:rsidRPr="007459F0" w:rsidRDefault="006F2579" w:rsidP="006F2579">
      <w:pPr>
        <w:widowControl w:val="0"/>
        <w:rPr>
          <w:lang w:val="fr-CA"/>
        </w:rPr>
      </w:pPr>
      <w:r w:rsidRPr="007459F0">
        <w:rPr>
          <w:b/>
        </w:rPr>
        <w:t>OTTAWA</w:t>
      </w:r>
      <w:r w:rsidRPr="007459F0">
        <w:t xml:space="preserve"> – The Supreme Court of Canad</w:t>
      </w:r>
      <w:r w:rsidR="006246E4" w:rsidRPr="007459F0">
        <w:t>a</w:t>
      </w:r>
      <w:r w:rsidRPr="007459F0">
        <w:t xml:space="preserve"> announced today that judgment in the following </w:t>
      </w:r>
      <w:r w:rsidR="00DB6199" w:rsidRPr="007459F0">
        <w:t xml:space="preserve">leave applications </w:t>
      </w:r>
      <w:r w:rsidRPr="007459F0">
        <w:t xml:space="preserve">will be delivered at 9:45 a.m. </w:t>
      </w:r>
      <w:r w:rsidR="00E05816" w:rsidRPr="007459F0">
        <w:t>E</w:t>
      </w:r>
      <w:r w:rsidR="0098345D" w:rsidRPr="007459F0">
        <w:t>D</w:t>
      </w:r>
      <w:r w:rsidR="00E05816" w:rsidRPr="007459F0">
        <w:t>T</w:t>
      </w:r>
      <w:r w:rsidRPr="007459F0">
        <w:t xml:space="preserve"> on </w:t>
      </w:r>
      <w:r w:rsidR="0068416C" w:rsidRPr="007459F0">
        <w:t>Thursday</w:t>
      </w:r>
      <w:r w:rsidRPr="007459F0">
        <w:t xml:space="preserve">, </w:t>
      </w:r>
      <w:r w:rsidR="00B2235C" w:rsidRPr="007459F0">
        <w:t>May</w:t>
      </w:r>
      <w:r w:rsidR="00455912" w:rsidRPr="007459F0">
        <w:t xml:space="preserve"> </w:t>
      </w:r>
      <w:r w:rsidR="0058226F" w:rsidRPr="007459F0">
        <w:t>13</w:t>
      </w:r>
      <w:r w:rsidR="007E112F" w:rsidRPr="007459F0">
        <w:t>,</w:t>
      </w:r>
      <w:r w:rsidR="002F38D7" w:rsidRPr="007459F0">
        <w:t xml:space="preserve"> </w:t>
      </w:r>
      <w:r w:rsidR="006648D1" w:rsidRPr="007459F0">
        <w:t>20</w:t>
      </w:r>
      <w:r w:rsidR="00526754" w:rsidRPr="007459F0">
        <w:t>2</w:t>
      </w:r>
      <w:r w:rsidR="00DD65CF" w:rsidRPr="007459F0">
        <w:t>1</w:t>
      </w:r>
      <w:r w:rsidRPr="007459F0">
        <w:t xml:space="preserve">. </w:t>
      </w:r>
      <w:r w:rsidRPr="007459F0">
        <w:rPr>
          <w:lang w:val="fr-CA"/>
        </w:rPr>
        <w:t>This list is subject to chang</w:t>
      </w:r>
      <w:r w:rsidR="00192F7F" w:rsidRPr="007459F0">
        <w:rPr>
          <w:lang w:val="fr-CA"/>
        </w:rPr>
        <w:t>e</w:t>
      </w:r>
      <w:r w:rsidRPr="007459F0">
        <w:rPr>
          <w:lang w:val="fr-CA"/>
        </w:rPr>
        <w:t>.</w:t>
      </w:r>
    </w:p>
    <w:p w:rsidR="00FF5AA4" w:rsidRPr="007459F0" w:rsidRDefault="00FF5AA4" w:rsidP="006F2579">
      <w:pPr>
        <w:widowControl w:val="0"/>
        <w:rPr>
          <w:lang w:val="fr-CA"/>
        </w:rPr>
      </w:pPr>
    </w:p>
    <w:p w:rsidR="00B43418" w:rsidRPr="007459F0" w:rsidRDefault="00B43418" w:rsidP="006F2579">
      <w:pPr>
        <w:widowControl w:val="0"/>
        <w:rPr>
          <w:lang w:val="fr-CA"/>
        </w:rPr>
      </w:pPr>
    </w:p>
    <w:p w:rsidR="006F2579" w:rsidRPr="007459F0" w:rsidRDefault="006F2579" w:rsidP="006F2579">
      <w:pPr>
        <w:widowControl w:val="0"/>
        <w:jc w:val="center"/>
        <w:rPr>
          <w:lang w:val="fr-CA"/>
        </w:rPr>
      </w:pPr>
      <w:r w:rsidRPr="007459F0">
        <w:rPr>
          <w:b/>
          <w:lang w:val="fr-CA"/>
        </w:rPr>
        <w:t>PROCHAIN</w:t>
      </w:r>
      <w:r w:rsidR="00B17AAC" w:rsidRPr="007459F0">
        <w:rPr>
          <w:b/>
          <w:lang w:val="fr-CA"/>
        </w:rPr>
        <w:t>S</w:t>
      </w:r>
      <w:r w:rsidRPr="007459F0">
        <w:rPr>
          <w:b/>
          <w:lang w:val="fr-CA"/>
        </w:rPr>
        <w:t xml:space="preserve"> JUGEMENT</w:t>
      </w:r>
      <w:r w:rsidR="00B17AAC" w:rsidRPr="007459F0">
        <w:rPr>
          <w:b/>
          <w:lang w:val="fr-CA"/>
        </w:rPr>
        <w:t>S</w:t>
      </w:r>
      <w:r w:rsidR="00001846" w:rsidRPr="007459F0">
        <w:rPr>
          <w:b/>
          <w:lang w:val="fr-CA"/>
        </w:rPr>
        <w:t xml:space="preserve"> SUR DEMANDE</w:t>
      </w:r>
      <w:r w:rsidR="00B17AAC" w:rsidRPr="007459F0">
        <w:rPr>
          <w:b/>
          <w:lang w:val="fr-CA"/>
        </w:rPr>
        <w:t>S</w:t>
      </w:r>
      <w:r w:rsidRPr="007459F0">
        <w:rPr>
          <w:b/>
          <w:lang w:val="fr-CA"/>
        </w:rPr>
        <w:t xml:space="preserve"> D’AUTORISATION</w:t>
      </w:r>
    </w:p>
    <w:p w:rsidR="006F2579" w:rsidRPr="007459F0" w:rsidRDefault="006F2579" w:rsidP="006F2579">
      <w:pPr>
        <w:widowControl w:val="0"/>
        <w:rPr>
          <w:lang w:val="fr-CA"/>
        </w:rPr>
      </w:pPr>
    </w:p>
    <w:p w:rsidR="006F2579" w:rsidRPr="007459F0" w:rsidRDefault="006F2579" w:rsidP="006F2579">
      <w:pPr>
        <w:widowControl w:val="0"/>
        <w:rPr>
          <w:lang w:val="fr-CA"/>
        </w:rPr>
      </w:pPr>
      <w:r w:rsidRPr="007459F0">
        <w:rPr>
          <w:b/>
          <w:lang w:val="fr-CA"/>
        </w:rPr>
        <w:t>Le</w:t>
      </w:r>
      <w:r w:rsidR="00957A76" w:rsidRPr="007459F0">
        <w:rPr>
          <w:b/>
          <w:lang w:val="fr-CA"/>
        </w:rPr>
        <w:t xml:space="preserve"> </w:t>
      </w:r>
      <w:r w:rsidR="0058226F" w:rsidRPr="007459F0">
        <w:rPr>
          <w:b/>
          <w:lang w:val="fr-CA"/>
        </w:rPr>
        <w:t>10</w:t>
      </w:r>
      <w:r w:rsidR="00825246" w:rsidRPr="007459F0">
        <w:rPr>
          <w:b/>
          <w:lang w:val="fr-CA"/>
        </w:rPr>
        <w:t xml:space="preserve"> </w:t>
      </w:r>
      <w:r w:rsidR="00B2235C" w:rsidRPr="007459F0">
        <w:rPr>
          <w:b/>
          <w:lang w:val="fr-CA"/>
        </w:rPr>
        <w:t>mai</w:t>
      </w:r>
      <w:r w:rsidR="00A151D1" w:rsidRPr="007459F0">
        <w:rPr>
          <w:b/>
          <w:lang w:val="fr-CA"/>
        </w:rPr>
        <w:t xml:space="preserve"> 20</w:t>
      </w:r>
      <w:r w:rsidR="00526754" w:rsidRPr="007459F0">
        <w:rPr>
          <w:b/>
          <w:lang w:val="fr-CA"/>
        </w:rPr>
        <w:t>2</w:t>
      </w:r>
      <w:r w:rsidR="0068416C" w:rsidRPr="007459F0">
        <w:rPr>
          <w:b/>
          <w:lang w:val="fr-CA"/>
        </w:rPr>
        <w:t>1</w:t>
      </w:r>
    </w:p>
    <w:p w:rsidR="006F2579" w:rsidRPr="007459F0" w:rsidRDefault="006F2579" w:rsidP="006F2579">
      <w:pPr>
        <w:widowControl w:val="0"/>
        <w:rPr>
          <w:b/>
          <w:lang w:val="fr-CA"/>
        </w:rPr>
      </w:pPr>
      <w:r w:rsidRPr="007459F0">
        <w:rPr>
          <w:b/>
          <w:lang w:val="fr-CA"/>
        </w:rPr>
        <w:t>Pour diffusion immédiate</w:t>
      </w:r>
    </w:p>
    <w:p w:rsidR="006F2579" w:rsidRPr="007459F0" w:rsidRDefault="006F2579" w:rsidP="006F2579">
      <w:pPr>
        <w:widowControl w:val="0"/>
        <w:rPr>
          <w:lang w:val="fr-CA"/>
        </w:rPr>
      </w:pPr>
    </w:p>
    <w:p w:rsidR="006F2579" w:rsidRPr="007459F0" w:rsidRDefault="006F2579" w:rsidP="006F2579">
      <w:pPr>
        <w:widowControl w:val="0"/>
        <w:rPr>
          <w:lang w:val="fr-CA"/>
        </w:rPr>
      </w:pPr>
      <w:r w:rsidRPr="007459F0">
        <w:rPr>
          <w:b/>
          <w:lang w:val="fr-CA"/>
        </w:rPr>
        <w:t>OTTAWA</w:t>
      </w:r>
      <w:r w:rsidRPr="007459F0">
        <w:rPr>
          <w:lang w:val="fr-CA"/>
        </w:rPr>
        <w:t xml:space="preserve"> – La Cour suprême du Canada annonce que jugement ser</w:t>
      </w:r>
      <w:r w:rsidR="004259F9" w:rsidRPr="007459F0">
        <w:rPr>
          <w:lang w:val="fr-CA"/>
        </w:rPr>
        <w:t>a</w:t>
      </w:r>
      <w:r w:rsidRPr="007459F0">
        <w:rPr>
          <w:lang w:val="fr-CA"/>
        </w:rPr>
        <w:t xml:space="preserve"> rendu dans l</w:t>
      </w:r>
      <w:r w:rsidR="008600ED" w:rsidRPr="007459F0">
        <w:rPr>
          <w:lang w:val="fr-CA"/>
        </w:rPr>
        <w:t>es</w:t>
      </w:r>
      <w:r w:rsidRPr="007459F0">
        <w:rPr>
          <w:lang w:val="fr-CA"/>
        </w:rPr>
        <w:t xml:space="preserve"> demande</w:t>
      </w:r>
      <w:r w:rsidR="008600ED" w:rsidRPr="007459F0">
        <w:rPr>
          <w:lang w:val="fr-CA"/>
        </w:rPr>
        <w:t>s</w:t>
      </w:r>
      <w:r w:rsidRPr="007459F0">
        <w:rPr>
          <w:lang w:val="fr-CA"/>
        </w:rPr>
        <w:t xml:space="preserve"> d</w:t>
      </w:r>
      <w:r w:rsidR="00001846" w:rsidRPr="007459F0">
        <w:rPr>
          <w:lang w:val="fr-CA"/>
        </w:rPr>
        <w:t>’autorisation suivante</w:t>
      </w:r>
      <w:r w:rsidR="008600ED" w:rsidRPr="007459F0">
        <w:rPr>
          <w:lang w:val="fr-CA"/>
        </w:rPr>
        <w:t>s</w:t>
      </w:r>
      <w:r w:rsidRPr="007459F0">
        <w:rPr>
          <w:lang w:val="fr-CA"/>
        </w:rPr>
        <w:t xml:space="preserve"> le </w:t>
      </w:r>
      <w:r w:rsidR="0068416C" w:rsidRPr="007459F0">
        <w:rPr>
          <w:lang w:val="fr-CA"/>
        </w:rPr>
        <w:t>jeudi</w:t>
      </w:r>
      <w:r w:rsidRPr="007459F0">
        <w:rPr>
          <w:lang w:val="fr-CA"/>
        </w:rPr>
        <w:t xml:space="preserve"> </w:t>
      </w:r>
      <w:r w:rsidR="0058226F" w:rsidRPr="007459F0">
        <w:rPr>
          <w:lang w:val="fr-CA"/>
        </w:rPr>
        <w:t>13</w:t>
      </w:r>
      <w:r w:rsidR="009E0BD3" w:rsidRPr="007459F0">
        <w:rPr>
          <w:lang w:val="fr-CA"/>
        </w:rPr>
        <w:t xml:space="preserve"> </w:t>
      </w:r>
      <w:r w:rsidR="00B2235C" w:rsidRPr="007459F0">
        <w:rPr>
          <w:lang w:val="fr-CA"/>
        </w:rPr>
        <w:t>mai</w:t>
      </w:r>
      <w:r w:rsidR="00694391" w:rsidRPr="007459F0">
        <w:rPr>
          <w:lang w:val="fr-CA"/>
        </w:rPr>
        <w:t xml:space="preserve"> 2</w:t>
      </w:r>
      <w:r w:rsidR="006648D1" w:rsidRPr="007459F0">
        <w:rPr>
          <w:lang w:val="fr-CA"/>
        </w:rPr>
        <w:t>0</w:t>
      </w:r>
      <w:r w:rsidR="00526754" w:rsidRPr="007459F0">
        <w:rPr>
          <w:lang w:val="fr-CA"/>
        </w:rPr>
        <w:t>2</w:t>
      </w:r>
      <w:r w:rsidR="0068416C" w:rsidRPr="007459F0">
        <w:rPr>
          <w:lang w:val="fr-CA"/>
        </w:rPr>
        <w:t>1</w:t>
      </w:r>
      <w:r w:rsidRPr="007459F0">
        <w:rPr>
          <w:lang w:val="fr-CA"/>
        </w:rPr>
        <w:t xml:space="preserve">, à 9 h 45 </w:t>
      </w:r>
      <w:r w:rsidR="000627A2" w:rsidRPr="007459F0">
        <w:rPr>
          <w:lang w:val="fr-CA"/>
        </w:rPr>
        <w:t>H</w:t>
      </w:r>
      <w:r w:rsidR="0098345D" w:rsidRPr="007459F0">
        <w:rPr>
          <w:lang w:val="fr-CA"/>
        </w:rPr>
        <w:t>A</w:t>
      </w:r>
      <w:r w:rsidRPr="007459F0">
        <w:rPr>
          <w:lang w:val="fr-CA"/>
        </w:rPr>
        <w:t>E. Cette liste est sujette à modifications.</w:t>
      </w:r>
    </w:p>
    <w:p w:rsidR="0080556B" w:rsidRPr="007459F0" w:rsidRDefault="0080556B" w:rsidP="009B14F4">
      <w:pPr>
        <w:widowControl w:val="0"/>
        <w:jc w:val="both"/>
        <w:rPr>
          <w:sz w:val="20"/>
          <w:lang w:val="fr-CA"/>
        </w:rPr>
      </w:pPr>
    </w:p>
    <w:p w:rsidR="00867C61" w:rsidRPr="007459F0" w:rsidRDefault="007459F0" w:rsidP="009B14F4">
      <w:pPr>
        <w:widowControl w:val="0"/>
        <w:jc w:val="both"/>
        <w:rPr>
          <w:sz w:val="20"/>
        </w:rPr>
      </w:pPr>
      <w:r w:rsidRPr="007459F0">
        <w:rPr>
          <w:sz w:val="20"/>
        </w:rPr>
        <w:pict>
          <v:rect id="_x0000_i1025" style="width:2in;height:1pt" o:hrpct="0" o:hralign="center" o:hrstd="t" o:hrnoshade="t" o:hr="t" fillcolor="black [3213]" stroked="f"/>
        </w:pict>
      </w:r>
    </w:p>
    <w:p w:rsidR="004A6E51" w:rsidRPr="007459F0" w:rsidRDefault="004A6E51" w:rsidP="000E2E04">
      <w:pPr>
        <w:ind w:left="357" w:hanging="357"/>
        <w:contextualSpacing/>
        <w:rPr>
          <w:sz w:val="20"/>
          <w:lang w:val="fr-CA"/>
        </w:rPr>
      </w:pPr>
    </w:p>
    <w:p w:rsidR="000E2E04" w:rsidRPr="007459F0" w:rsidRDefault="000E2E04" w:rsidP="000E2E04">
      <w:pPr>
        <w:pStyle w:val="ListParagraph"/>
        <w:numPr>
          <w:ilvl w:val="0"/>
          <w:numId w:val="21"/>
        </w:numPr>
        <w:tabs>
          <w:tab w:val="left" w:pos="360"/>
        </w:tabs>
        <w:ind w:left="357" w:hanging="357"/>
        <w:rPr>
          <w:sz w:val="20"/>
        </w:rPr>
      </w:pPr>
      <w:r w:rsidRPr="007459F0">
        <w:rPr>
          <w:i/>
          <w:sz w:val="20"/>
        </w:rPr>
        <w:t xml:space="preserve">Ashley Suzanne Barendregt v. Geoff Bradley Grebliunas </w:t>
      </w:r>
      <w:r w:rsidRPr="007459F0">
        <w:rPr>
          <w:sz w:val="20"/>
        </w:rPr>
        <w:t xml:space="preserve">(B.C.) (Civil) (By Leave) </w:t>
      </w:r>
      <w:r w:rsidRPr="007459F0">
        <w:rPr>
          <w:sz w:val="20"/>
          <w:lang w:val="fr-CA"/>
        </w:rPr>
        <w:t>(</w:t>
      </w:r>
      <w:hyperlink r:id="rId8" w:history="1">
        <w:r w:rsidRPr="007459F0">
          <w:rPr>
            <w:rStyle w:val="Hyperlink"/>
            <w:sz w:val="20"/>
            <w:szCs w:val="20"/>
            <w:lang w:val="fr-CA"/>
          </w:rPr>
          <w:t>39533</w:t>
        </w:r>
      </w:hyperlink>
      <w:r w:rsidRPr="007459F0">
        <w:rPr>
          <w:sz w:val="20"/>
          <w:lang w:val="fr-CA"/>
        </w:rPr>
        <w:t>)</w:t>
      </w:r>
    </w:p>
    <w:p w:rsidR="0058226F" w:rsidRPr="007459F0" w:rsidRDefault="0058226F" w:rsidP="000E2E04">
      <w:pPr>
        <w:ind w:left="357" w:hanging="357"/>
        <w:contextualSpacing/>
        <w:rPr>
          <w:sz w:val="20"/>
        </w:rPr>
      </w:pPr>
    </w:p>
    <w:p w:rsidR="000E2E04" w:rsidRPr="007459F0" w:rsidRDefault="000E2E04" w:rsidP="000E2E04">
      <w:pPr>
        <w:pStyle w:val="ListParagraph"/>
        <w:numPr>
          <w:ilvl w:val="0"/>
          <w:numId w:val="21"/>
        </w:numPr>
        <w:ind w:left="357" w:hanging="357"/>
        <w:rPr>
          <w:sz w:val="20"/>
        </w:rPr>
      </w:pPr>
      <w:r w:rsidRPr="007459F0">
        <w:rPr>
          <w:i/>
          <w:sz w:val="20"/>
        </w:rPr>
        <w:t xml:space="preserve">Rollingson Racing Stables Ltd., et al. v. Horse Racing Alberta, et al. </w:t>
      </w:r>
      <w:r w:rsidRPr="007459F0">
        <w:rPr>
          <w:sz w:val="20"/>
        </w:rPr>
        <w:t>(Alta.) (Civil) (By Leave) (</w:t>
      </w:r>
      <w:hyperlink r:id="rId9" w:history="1">
        <w:r w:rsidRPr="007459F0">
          <w:rPr>
            <w:rStyle w:val="Hyperlink"/>
            <w:sz w:val="20"/>
            <w:szCs w:val="20"/>
          </w:rPr>
          <w:t>39536</w:t>
        </w:r>
      </w:hyperlink>
      <w:r w:rsidRPr="007459F0">
        <w:rPr>
          <w:sz w:val="20"/>
        </w:rPr>
        <w:t>)</w:t>
      </w:r>
    </w:p>
    <w:p w:rsidR="001F5D0F" w:rsidRPr="007459F0" w:rsidRDefault="001F5D0F" w:rsidP="001F5D0F">
      <w:pPr>
        <w:widowControl w:val="0"/>
        <w:autoSpaceDE w:val="0"/>
        <w:autoSpaceDN w:val="0"/>
        <w:adjustRightInd w:val="0"/>
        <w:jc w:val="both"/>
        <w:rPr>
          <w:rFonts w:eastAsia="Calibri"/>
          <w:sz w:val="20"/>
        </w:rPr>
      </w:pPr>
    </w:p>
    <w:p w:rsidR="0057402C" w:rsidRPr="007459F0" w:rsidRDefault="007459F0" w:rsidP="009B14F4">
      <w:pPr>
        <w:widowControl w:val="0"/>
        <w:jc w:val="both"/>
        <w:rPr>
          <w:sz w:val="20"/>
        </w:rPr>
      </w:pPr>
      <w:r w:rsidRPr="007459F0">
        <w:rPr>
          <w:sz w:val="20"/>
        </w:rPr>
        <w:pict>
          <v:rect id="_x0000_i1026" style="width:2in;height:1pt" o:hrpct="0" o:hralign="center" o:hrstd="t" o:hrnoshade="t" o:hr="t" fillcolor="black [3213]" stroked="f"/>
        </w:pict>
      </w:r>
    </w:p>
    <w:p w:rsidR="00B2235C" w:rsidRPr="007459F0" w:rsidRDefault="00B2235C"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9F0" w:rsidRPr="007459F0" w:rsidTr="00E95A6A">
        <w:tc>
          <w:tcPr>
            <w:tcW w:w="543" w:type="pct"/>
          </w:tcPr>
          <w:p w:rsidR="007459F0" w:rsidRPr="007459F0" w:rsidRDefault="007459F0" w:rsidP="007459F0">
            <w:pPr>
              <w:jc w:val="both"/>
              <w:rPr>
                <w:sz w:val="20"/>
              </w:rPr>
            </w:pPr>
            <w:r w:rsidRPr="007459F0">
              <w:rPr>
                <w:rStyle w:val="SCCFileNumberChar"/>
                <w:sz w:val="20"/>
                <w:szCs w:val="20"/>
              </w:rPr>
              <w:t>39533</w:t>
            </w:r>
          </w:p>
        </w:tc>
        <w:tc>
          <w:tcPr>
            <w:tcW w:w="4457" w:type="pct"/>
            <w:gridSpan w:val="3"/>
          </w:tcPr>
          <w:p w:rsidR="007459F0" w:rsidRPr="007459F0" w:rsidRDefault="007459F0" w:rsidP="007459F0">
            <w:pPr>
              <w:pStyle w:val="SCCLsocParty"/>
              <w:jc w:val="both"/>
              <w:rPr>
                <w:b/>
                <w:sz w:val="20"/>
                <w:szCs w:val="20"/>
                <w:lang w:val="en-US"/>
              </w:rPr>
            </w:pPr>
            <w:r w:rsidRPr="007459F0">
              <w:rPr>
                <w:b/>
                <w:sz w:val="20"/>
                <w:szCs w:val="20"/>
                <w:lang w:val="en-US"/>
              </w:rPr>
              <w:t>Ashley Suzanne Barendregt v. Geoff Bradley Grebliunas</w:t>
            </w:r>
          </w:p>
          <w:p w:rsidR="007459F0" w:rsidRPr="007459F0" w:rsidRDefault="007459F0" w:rsidP="007459F0">
            <w:pPr>
              <w:jc w:val="both"/>
              <w:rPr>
                <w:sz w:val="20"/>
              </w:rPr>
            </w:pPr>
            <w:r w:rsidRPr="007459F0">
              <w:rPr>
                <w:sz w:val="20"/>
              </w:rPr>
              <w:t>(B.C.) (Civil) (By Leave)</w:t>
            </w:r>
          </w:p>
        </w:tc>
      </w:tr>
      <w:tr w:rsidR="007459F0" w:rsidRPr="007459F0" w:rsidTr="00E95A6A">
        <w:tc>
          <w:tcPr>
            <w:tcW w:w="5000" w:type="pct"/>
            <w:gridSpan w:val="4"/>
          </w:tcPr>
          <w:p w:rsidR="007459F0" w:rsidRPr="007459F0" w:rsidRDefault="007459F0" w:rsidP="007459F0">
            <w:pPr>
              <w:jc w:val="both"/>
              <w:rPr>
                <w:sz w:val="20"/>
              </w:rPr>
            </w:pPr>
            <w:r w:rsidRPr="007459F0">
              <w:rPr>
                <w:sz w:val="20"/>
              </w:rPr>
              <w:t xml:space="preserve">Family law — Custody — Mobility rights — Evidence — New evidence — Court of Appeal overturning trial judge’s decision to allow mother of children to relocate with them to distant community close to her family — Court of Appeal allowing admission of father’s new evidence of financial improvements occurring since hearing of appeal and overturning relocation order — Whether the conditions under which new evidence may be admitted are unclear, particularly in custody disputes — How should the </w:t>
            </w:r>
            <w:r w:rsidRPr="007459F0">
              <w:rPr>
                <w:i/>
                <w:sz w:val="20"/>
              </w:rPr>
              <w:t xml:space="preserve">Palmer </w:t>
            </w:r>
            <w:r w:rsidRPr="007459F0">
              <w:rPr>
                <w:sz w:val="20"/>
              </w:rPr>
              <w:t xml:space="preserve">test to admit fresh or new evidence be applied in the “slightly relaxed” conditions of custody cases? —Whether a different test should be applied to applications involving “fresh” evidence as opposed to “new” evidence? — </w:t>
            </w:r>
            <w:r w:rsidRPr="007459F0">
              <w:rPr>
                <w:i/>
                <w:iCs/>
                <w:sz w:val="20"/>
                <w:lang w:val="en"/>
              </w:rPr>
              <w:t>Palmer v. The Queen</w:t>
            </w:r>
            <w:r w:rsidRPr="007459F0">
              <w:rPr>
                <w:sz w:val="20"/>
                <w:lang w:val="en"/>
              </w:rPr>
              <w:t>, [1980] 1 S.C.R. 759.</w:t>
            </w:r>
          </w:p>
        </w:tc>
      </w:tr>
      <w:tr w:rsidR="007459F0" w:rsidRPr="007459F0" w:rsidTr="00E95A6A">
        <w:tc>
          <w:tcPr>
            <w:tcW w:w="5000" w:type="pct"/>
            <w:gridSpan w:val="4"/>
          </w:tcPr>
          <w:p w:rsidR="007459F0" w:rsidRPr="007459F0" w:rsidRDefault="007459F0" w:rsidP="007459F0">
            <w:pPr>
              <w:jc w:val="both"/>
              <w:rPr>
                <w:sz w:val="20"/>
              </w:rPr>
            </w:pPr>
          </w:p>
        </w:tc>
      </w:tr>
      <w:tr w:rsidR="007459F0" w:rsidRPr="007459F0" w:rsidTr="00E95A6A">
        <w:tc>
          <w:tcPr>
            <w:tcW w:w="2427" w:type="pct"/>
            <w:gridSpan w:val="2"/>
          </w:tcPr>
          <w:p w:rsidR="007459F0" w:rsidRPr="007459F0" w:rsidRDefault="007459F0" w:rsidP="007459F0">
            <w:pPr>
              <w:jc w:val="both"/>
              <w:rPr>
                <w:sz w:val="20"/>
              </w:rPr>
            </w:pPr>
            <w:r w:rsidRPr="007459F0">
              <w:rPr>
                <w:sz w:val="20"/>
              </w:rPr>
              <w:t>December 18, 2019</w:t>
            </w:r>
          </w:p>
          <w:p w:rsidR="007459F0" w:rsidRPr="007459F0" w:rsidRDefault="007459F0" w:rsidP="007459F0">
            <w:pPr>
              <w:jc w:val="both"/>
              <w:rPr>
                <w:sz w:val="20"/>
              </w:rPr>
            </w:pPr>
            <w:r w:rsidRPr="007459F0">
              <w:rPr>
                <w:sz w:val="20"/>
              </w:rPr>
              <w:t>Supreme Court of British Columbia</w:t>
            </w:r>
          </w:p>
          <w:p w:rsidR="007459F0" w:rsidRPr="007459F0" w:rsidRDefault="007459F0" w:rsidP="007459F0">
            <w:pPr>
              <w:jc w:val="both"/>
              <w:rPr>
                <w:sz w:val="20"/>
              </w:rPr>
            </w:pPr>
            <w:r w:rsidRPr="007459F0">
              <w:rPr>
                <w:sz w:val="20"/>
              </w:rPr>
              <w:t>(Saunders J.)</w:t>
            </w:r>
          </w:p>
          <w:p w:rsidR="007459F0" w:rsidRPr="007459F0" w:rsidRDefault="007459F0" w:rsidP="007459F0">
            <w:pPr>
              <w:jc w:val="both"/>
              <w:rPr>
                <w:rStyle w:val="Hyperlink"/>
                <w:sz w:val="20"/>
              </w:rPr>
            </w:pPr>
            <w:hyperlink r:id="rId10" w:history="1">
              <w:r w:rsidRPr="007459F0">
                <w:rPr>
                  <w:rStyle w:val="Hyperlink"/>
                  <w:sz w:val="20"/>
                </w:rPr>
                <w:t>2019 BCSC 2192</w:t>
              </w:r>
            </w:hyperlink>
          </w:p>
          <w:p w:rsidR="007459F0" w:rsidRPr="007459F0" w:rsidRDefault="007459F0" w:rsidP="007459F0">
            <w:pPr>
              <w:jc w:val="both"/>
              <w:rPr>
                <w:sz w:val="20"/>
              </w:rPr>
            </w:pPr>
          </w:p>
        </w:tc>
        <w:tc>
          <w:tcPr>
            <w:tcW w:w="243" w:type="pct"/>
          </w:tcPr>
          <w:p w:rsidR="007459F0" w:rsidRPr="007459F0" w:rsidRDefault="007459F0" w:rsidP="007459F0">
            <w:pPr>
              <w:jc w:val="both"/>
              <w:rPr>
                <w:sz w:val="20"/>
              </w:rPr>
            </w:pPr>
          </w:p>
        </w:tc>
        <w:tc>
          <w:tcPr>
            <w:tcW w:w="2330" w:type="pct"/>
          </w:tcPr>
          <w:p w:rsidR="007459F0" w:rsidRPr="007459F0" w:rsidRDefault="007459F0" w:rsidP="007459F0">
            <w:pPr>
              <w:jc w:val="both"/>
              <w:rPr>
                <w:sz w:val="20"/>
              </w:rPr>
            </w:pPr>
            <w:r w:rsidRPr="007459F0">
              <w:rPr>
                <w:sz w:val="20"/>
              </w:rPr>
              <w:t>Order allowing mother to relocate with children</w:t>
            </w:r>
          </w:p>
          <w:p w:rsidR="007459F0" w:rsidRPr="007459F0" w:rsidRDefault="007459F0" w:rsidP="007459F0">
            <w:pPr>
              <w:jc w:val="both"/>
              <w:rPr>
                <w:sz w:val="20"/>
              </w:rPr>
            </w:pPr>
          </w:p>
          <w:p w:rsidR="007459F0" w:rsidRPr="007459F0" w:rsidRDefault="007459F0" w:rsidP="007459F0">
            <w:pPr>
              <w:jc w:val="both"/>
              <w:rPr>
                <w:sz w:val="20"/>
              </w:rPr>
            </w:pPr>
          </w:p>
        </w:tc>
      </w:tr>
      <w:tr w:rsidR="007459F0" w:rsidRPr="007459F0" w:rsidTr="00E95A6A">
        <w:tc>
          <w:tcPr>
            <w:tcW w:w="2427" w:type="pct"/>
            <w:gridSpan w:val="2"/>
          </w:tcPr>
          <w:p w:rsidR="007459F0" w:rsidRPr="007459F0" w:rsidRDefault="007459F0" w:rsidP="007459F0">
            <w:pPr>
              <w:jc w:val="both"/>
              <w:rPr>
                <w:sz w:val="20"/>
              </w:rPr>
            </w:pPr>
            <w:r w:rsidRPr="007459F0">
              <w:rPr>
                <w:sz w:val="20"/>
              </w:rPr>
              <w:t>January 13, 2021</w:t>
            </w:r>
          </w:p>
          <w:p w:rsidR="007459F0" w:rsidRPr="007459F0" w:rsidRDefault="007459F0" w:rsidP="007459F0">
            <w:pPr>
              <w:jc w:val="both"/>
              <w:rPr>
                <w:sz w:val="20"/>
              </w:rPr>
            </w:pPr>
            <w:r w:rsidRPr="007459F0">
              <w:rPr>
                <w:sz w:val="20"/>
              </w:rPr>
              <w:t>Court of Appeal for British Columbia (Vancouver)</w:t>
            </w:r>
          </w:p>
          <w:p w:rsidR="007459F0" w:rsidRPr="007459F0" w:rsidRDefault="007459F0" w:rsidP="007459F0">
            <w:pPr>
              <w:jc w:val="both"/>
              <w:rPr>
                <w:sz w:val="20"/>
              </w:rPr>
            </w:pPr>
            <w:r w:rsidRPr="007459F0">
              <w:rPr>
                <w:sz w:val="20"/>
              </w:rPr>
              <w:t>(Newbury, DeWitt</w:t>
            </w:r>
            <w:r w:rsidRPr="007459F0">
              <w:rPr>
                <w:sz w:val="20"/>
              </w:rPr>
              <w:noBreakHyphen/>
              <w:t>Van Oosten and Voith JJ.A.)</w:t>
            </w:r>
          </w:p>
          <w:p w:rsidR="007459F0" w:rsidRPr="007459F0" w:rsidRDefault="007459F0" w:rsidP="007459F0">
            <w:pPr>
              <w:jc w:val="both"/>
              <w:rPr>
                <w:sz w:val="20"/>
              </w:rPr>
            </w:pPr>
            <w:hyperlink r:id="rId11" w:history="1">
              <w:r w:rsidRPr="007459F0">
                <w:rPr>
                  <w:rStyle w:val="Hyperlink"/>
                  <w:sz w:val="20"/>
                </w:rPr>
                <w:t>2021 BCCA 11</w:t>
              </w:r>
            </w:hyperlink>
          </w:p>
          <w:p w:rsidR="007459F0" w:rsidRPr="007459F0" w:rsidRDefault="007459F0" w:rsidP="007459F0">
            <w:pPr>
              <w:jc w:val="both"/>
              <w:rPr>
                <w:sz w:val="20"/>
              </w:rPr>
            </w:pPr>
          </w:p>
        </w:tc>
        <w:tc>
          <w:tcPr>
            <w:tcW w:w="243" w:type="pct"/>
          </w:tcPr>
          <w:p w:rsidR="007459F0" w:rsidRPr="007459F0" w:rsidRDefault="007459F0" w:rsidP="007459F0">
            <w:pPr>
              <w:jc w:val="both"/>
              <w:rPr>
                <w:sz w:val="20"/>
              </w:rPr>
            </w:pPr>
          </w:p>
        </w:tc>
        <w:tc>
          <w:tcPr>
            <w:tcW w:w="2330" w:type="pct"/>
          </w:tcPr>
          <w:p w:rsidR="007459F0" w:rsidRPr="007459F0" w:rsidRDefault="007459F0" w:rsidP="007459F0">
            <w:pPr>
              <w:jc w:val="both"/>
              <w:rPr>
                <w:sz w:val="20"/>
              </w:rPr>
            </w:pPr>
            <w:r w:rsidRPr="007459F0">
              <w:rPr>
                <w:sz w:val="20"/>
              </w:rPr>
              <w:t>Father’s appeal allowed</w:t>
            </w:r>
          </w:p>
          <w:p w:rsidR="007459F0" w:rsidRPr="007459F0" w:rsidRDefault="007459F0" w:rsidP="007459F0">
            <w:pPr>
              <w:jc w:val="both"/>
              <w:rPr>
                <w:sz w:val="20"/>
              </w:rPr>
            </w:pPr>
          </w:p>
        </w:tc>
      </w:tr>
      <w:tr w:rsidR="007459F0" w:rsidRPr="007459F0" w:rsidTr="00E95A6A">
        <w:tc>
          <w:tcPr>
            <w:tcW w:w="2427" w:type="pct"/>
            <w:gridSpan w:val="2"/>
          </w:tcPr>
          <w:p w:rsidR="007459F0" w:rsidRPr="007459F0" w:rsidRDefault="007459F0" w:rsidP="007459F0">
            <w:pPr>
              <w:jc w:val="both"/>
              <w:rPr>
                <w:sz w:val="20"/>
              </w:rPr>
            </w:pPr>
            <w:r w:rsidRPr="007459F0">
              <w:rPr>
                <w:sz w:val="20"/>
              </w:rPr>
              <w:lastRenderedPageBreak/>
              <w:t>February 12, 2021</w:t>
            </w:r>
          </w:p>
          <w:p w:rsidR="007459F0" w:rsidRPr="007459F0" w:rsidRDefault="007459F0" w:rsidP="007459F0">
            <w:pPr>
              <w:jc w:val="both"/>
              <w:rPr>
                <w:sz w:val="20"/>
              </w:rPr>
            </w:pPr>
            <w:r w:rsidRPr="007459F0">
              <w:rPr>
                <w:sz w:val="20"/>
              </w:rPr>
              <w:t>Supreme Court of Canada</w:t>
            </w:r>
          </w:p>
          <w:p w:rsidR="007459F0" w:rsidRPr="007459F0" w:rsidRDefault="007459F0" w:rsidP="007459F0">
            <w:pPr>
              <w:jc w:val="both"/>
              <w:rPr>
                <w:sz w:val="20"/>
              </w:rPr>
            </w:pPr>
            <w:r w:rsidRPr="007459F0">
              <w:rPr>
                <w:sz w:val="20"/>
              </w:rPr>
              <w:t>(Karakatsanis J.)</w:t>
            </w:r>
          </w:p>
          <w:p w:rsidR="007459F0" w:rsidRPr="007459F0" w:rsidRDefault="007459F0" w:rsidP="007459F0">
            <w:pPr>
              <w:jc w:val="both"/>
              <w:rPr>
                <w:sz w:val="20"/>
              </w:rPr>
            </w:pPr>
          </w:p>
        </w:tc>
        <w:tc>
          <w:tcPr>
            <w:tcW w:w="243" w:type="pct"/>
          </w:tcPr>
          <w:p w:rsidR="007459F0" w:rsidRPr="007459F0" w:rsidRDefault="007459F0" w:rsidP="007459F0">
            <w:pPr>
              <w:jc w:val="both"/>
              <w:rPr>
                <w:sz w:val="20"/>
              </w:rPr>
            </w:pPr>
          </w:p>
        </w:tc>
        <w:tc>
          <w:tcPr>
            <w:tcW w:w="2330" w:type="pct"/>
          </w:tcPr>
          <w:p w:rsidR="007459F0" w:rsidRPr="007459F0" w:rsidRDefault="007459F0" w:rsidP="007459F0">
            <w:pPr>
              <w:jc w:val="both"/>
              <w:rPr>
                <w:sz w:val="20"/>
              </w:rPr>
            </w:pPr>
            <w:r w:rsidRPr="007459F0">
              <w:rPr>
                <w:sz w:val="20"/>
              </w:rPr>
              <w:t>Mother’s motion for stay granted</w:t>
            </w:r>
          </w:p>
        </w:tc>
      </w:tr>
      <w:tr w:rsidR="007459F0" w:rsidRPr="007459F0" w:rsidTr="00E95A6A">
        <w:tc>
          <w:tcPr>
            <w:tcW w:w="2427" w:type="pct"/>
            <w:gridSpan w:val="2"/>
          </w:tcPr>
          <w:p w:rsidR="007459F0" w:rsidRPr="007459F0" w:rsidRDefault="007459F0" w:rsidP="007459F0">
            <w:pPr>
              <w:jc w:val="both"/>
              <w:rPr>
                <w:sz w:val="20"/>
              </w:rPr>
            </w:pPr>
            <w:r w:rsidRPr="007459F0">
              <w:rPr>
                <w:sz w:val="20"/>
              </w:rPr>
              <w:t>March 1, 2021</w:t>
            </w:r>
          </w:p>
          <w:p w:rsidR="007459F0" w:rsidRPr="007459F0" w:rsidRDefault="007459F0" w:rsidP="007459F0">
            <w:pPr>
              <w:jc w:val="both"/>
              <w:rPr>
                <w:sz w:val="20"/>
              </w:rPr>
            </w:pPr>
            <w:r w:rsidRPr="007459F0">
              <w:rPr>
                <w:sz w:val="20"/>
              </w:rPr>
              <w:t>Supreme Court of Canada</w:t>
            </w:r>
          </w:p>
        </w:tc>
        <w:tc>
          <w:tcPr>
            <w:tcW w:w="243" w:type="pct"/>
          </w:tcPr>
          <w:p w:rsidR="007459F0" w:rsidRPr="007459F0" w:rsidRDefault="007459F0" w:rsidP="007459F0">
            <w:pPr>
              <w:jc w:val="both"/>
              <w:rPr>
                <w:sz w:val="20"/>
              </w:rPr>
            </w:pPr>
          </w:p>
        </w:tc>
        <w:tc>
          <w:tcPr>
            <w:tcW w:w="2330" w:type="pct"/>
          </w:tcPr>
          <w:p w:rsidR="007459F0" w:rsidRPr="007459F0" w:rsidRDefault="007459F0" w:rsidP="007459F0">
            <w:pPr>
              <w:jc w:val="both"/>
              <w:rPr>
                <w:sz w:val="20"/>
              </w:rPr>
            </w:pPr>
            <w:r w:rsidRPr="007459F0">
              <w:rPr>
                <w:sz w:val="20"/>
              </w:rPr>
              <w:t>Application for leave to appeal filed</w:t>
            </w:r>
          </w:p>
          <w:p w:rsidR="007459F0" w:rsidRPr="007459F0" w:rsidRDefault="007459F0" w:rsidP="007459F0">
            <w:pPr>
              <w:jc w:val="both"/>
              <w:rPr>
                <w:sz w:val="20"/>
              </w:rPr>
            </w:pPr>
          </w:p>
        </w:tc>
      </w:tr>
    </w:tbl>
    <w:p w:rsidR="007459F0" w:rsidRPr="007459F0" w:rsidRDefault="007459F0" w:rsidP="007459F0">
      <w:pPr>
        <w:jc w:val="both"/>
        <w:rPr>
          <w:sz w:val="20"/>
        </w:rPr>
      </w:pPr>
    </w:p>
    <w:p w:rsidR="007459F0" w:rsidRPr="007459F0" w:rsidRDefault="007459F0" w:rsidP="007459F0">
      <w:pPr>
        <w:jc w:val="both"/>
        <w:rPr>
          <w:sz w:val="20"/>
        </w:rPr>
      </w:pPr>
      <w:r w:rsidRPr="007459F0">
        <w:rPr>
          <w:sz w:val="20"/>
        </w:rPr>
        <w:pict>
          <v:rect id="_x0000_i1030" style="width:2in;height:1pt" o:hrpct="0" o:hralign="center" o:hrstd="t" o:hrnoshade="t" o:hr="t" fillcolor="black [3213]" stroked="f"/>
        </w:pict>
      </w:r>
    </w:p>
    <w:p w:rsidR="007459F0" w:rsidRPr="007459F0" w:rsidRDefault="007459F0" w:rsidP="007459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9F0" w:rsidRPr="007459F0" w:rsidTr="00E95A6A">
        <w:tc>
          <w:tcPr>
            <w:tcW w:w="543" w:type="pct"/>
          </w:tcPr>
          <w:p w:rsidR="007459F0" w:rsidRPr="007459F0" w:rsidRDefault="007459F0" w:rsidP="007459F0">
            <w:pPr>
              <w:jc w:val="both"/>
              <w:rPr>
                <w:sz w:val="20"/>
                <w:lang w:val="fr-CA"/>
              </w:rPr>
            </w:pPr>
            <w:r w:rsidRPr="007459F0">
              <w:rPr>
                <w:rStyle w:val="SCCFileNumberChar"/>
                <w:sz w:val="20"/>
                <w:szCs w:val="20"/>
                <w:lang w:val="fr-CA"/>
              </w:rPr>
              <w:t>39533</w:t>
            </w:r>
          </w:p>
        </w:tc>
        <w:tc>
          <w:tcPr>
            <w:tcW w:w="4457" w:type="pct"/>
            <w:gridSpan w:val="3"/>
          </w:tcPr>
          <w:p w:rsidR="007459F0" w:rsidRPr="007459F0" w:rsidRDefault="007459F0" w:rsidP="007459F0">
            <w:pPr>
              <w:pStyle w:val="SCCLsocParty"/>
              <w:jc w:val="both"/>
              <w:rPr>
                <w:b/>
                <w:sz w:val="20"/>
                <w:szCs w:val="20"/>
                <w:lang w:val="en-US"/>
              </w:rPr>
            </w:pPr>
            <w:r w:rsidRPr="007459F0">
              <w:rPr>
                <w:b/>
                <w:sz w:val="20"/>
                <w:szCs w:val="20"/>
                <w:lang w:val="en-US"/>
              </w:rPr>
              <w:t>Ashley Suzanne Barendregt c. Geoff Bradley Grebliunas</w:t>
            </w:r>
          </w:p>
          <w:p w:rsidR="007459F0" w:rsidRPr="007459F0" w:rsidRDefault="007459F0" w:rsidP="007459F0">
            <w:pPr>
              <w:jc w:val="both"/>
              <w:rPr>
                <w:sz w:val="20"/>
                <w:lang w:val="fr-CA"/>
              </w:rPr>
            </w:pPr>
            <w:r w:rsidRPr="007459F0">
              <w:rPr>
                <w:sz w:val="20"/>
                <w:lang w:val="fr-CA"/>
              </w:rPr>
              <w:t>(C.-B.) (Civile) (Sur autorisation)</w:t>
            </w:r>
          </w:p>
        </w:tc>
      </w:tr>
      <w:tr w:rsidR="007459F0" w:rsidRPr="007459F0" w:rsidTr="00E95A6A">
        <w:tc>
          <w:tcPr>
            <w:tcW w:w="5000" w:type="pct"/>
            <w:gridSpan w:val="4"/>
          </w:tcPr>
          <w:p w:rsidR="007459F0" w:rsidRPr="007459F0" w:rsidRDefault="007459F0" w:rsidP="007459F0">
            <w:pPr>
              <w:jc w:val="both"/>
              <w:rPr>
                <w:sz w:val="20"/>
                <w:lang w:val="fr-CA"/>
              </w:rPr>
            </w:pPr>
            <w:r w:rsidRPr="007459F0">
              <w:rPr>
                <w:sz w:val="20"/>
                <w:lang w:val="fr-CA"/>
              </w:rPr>
              <w:t>Droit de la famille — Garde — Droit de circulation et d’établissement — Preuve — Nouveaux éléments de preuve — La Cour d’appel a infirmé la décision du juge de première instance permettant à la mère de déménager avec les enfants pour s’établir dans une communauté éloignée près de sa famille — La Cour d’appel a admis les nouveaux éléments de preuve présentés par le père quant aux améliorations sur le plan financier qui avaient eu lieu depuis l’audition de l’appel, et a infirmé l’ordonnance autorisant le déménagement — Les conditions dans lesquelles de nouveaux éléments de preuve peuvent être admis manquent</w:t>
            </w:r>
            <w:r w:rsidRPr="007459F0">
              <w:rPr>
                <w:sz w:val="20"/>
                <w:lang w:val="fr-CA"/>
              </w:rPr>
              <w:noBreakHyphen/>
              <w:t xml:space="preserve">elles de clarté, surtout dans le cadre de litiges sur la garde? — De quelle façon le critère établi dans l’arrêt </w:t>
            </w:r>
            <w:r w:rsidRPr="007459F0">
              <w:rPr>
                <w:i/>
                <w:sz w:val="20"/>
                <w:lang w:val="fr-CA"/>
              </w:rPr>
              <w:t>Palmer</w:t>
            </w:r>
            <w:r w:rsidRPr="007459F0">
              <w:rPr>
                <w:sz w:val="20"/>
                <w:lang w:val="fr-CA"/>
              </w:rPr>
              <w:t xml:space="preserve"> en vue d’admettre une preuve nouvelle ou de nouveaux éléments de preuve devrait</w:t>
            </w:r>
            <w:r w:rsidRPr="007459F0">
              <w:rPr>
                <w:sz w:val="20"/>
                <w:lang w:val="fr-CA"/>
              </w:rPr>
              <w:noBreakHyphen/>
              <w:t>il s’appliquer dans les conditions « légèrement assouplies » des affaires concernant la garde d’enfants? — Convient</w:t>
            </w:r>
            <w:r w:rsidRPr="007459F0">
              <w:rPr>
                <w:sz w:val="20"/>
                <w:lang w:val="fr-CA"/>
              </w:rPr>
              <w:noBreakHyphen/>
              <w:t>il d’appliquer un critère différent aux demandes présentant une « preuve nouvelle » (</w:t>
            </w:r>
            <w:r w:rsidRPr="007459F0">
              <w:rPr>
                <w:i/>
                <w:sz w:val="20"/>
                <w:lang w:val="fr-CA"/>
              </w:rPr>
              <w:t>fresh evidence</w:t>
            </w:r>
            <w:r w:rsidRPr="007459F0">
              <w:rPr>
                <w:sz w:val="20"/>
                <w:lang w:val="fr-CA"/>
              </w:rPr>
              <w:t>) par rapport à celles présentant de « nouveaux éléments de preuve » (</w:t>
            </w:r>
            <w:r w:rsidRPr="007459F0">
              <w:rPr>
                <w:i/>
                <w:sz w:val="20"/>
                <w:lang w:val="fr-CA"/>
              </w:rPr>
              <w:t>new evidence</w:t>
            </w:r>
            <w:r w:rsidRPr="007459F0">
              <w:rPr>
                <w:sz w:val="20"/>
                <w:lang w:val="fr-CA"/>
              </w:rPr>
              <w:t xml:space="preserve">)? — </w:t>
            </w:r>
            <w:r w:rsidRPr="007459F0">
              <w:rPr>
                <w:i/>
                <w:iCs/>
                <w:sz w:val="20"/>
                <w:lang w:val="fr-CA"/>
              </w:rPr>
              <w:t>Palmer c. la Reine</w:t>
            </w:r>
            <w:r w:rsidRPr="007459F0">
              <w:rPr>
                <w:sz w:val="20"/>
                <w:lang w:val="fr-CA"/>
              </w:rPr>
              <w:t>, [1980] 1 R.C.S. 759.</w:t>
            </w:r>
          </w:p>
        </w:tc>
      </w:tr>
      <w:tr w:rsidR="007459F0" w:rsidRPr="007459F0" w:rsidTr="00E95A6A">
        <w:tc>
          <w:tcPr>
            <w:tcW w:w="5000" w:type="pct"/>
            <w:gridSpan w:val="4"/>
          </w:tcPr>
          <w:p w:rsidR="007459F0" w:rsidRPr="007459F0" w:rsidRDefault="007459F0" w:rsidP="007459F0">
            <w:pPr>
              <w:jc w:val="both"/>
              <w:rPr>
                <w:sz w:val="20"/>
                <w:lang w:val="fr-CA"/>
              </w:rPr>
            </w:pPr>
          </w:p>
        </w:tc>
      </w:tr>
      <w:tr w:rsidR="007459F0" w:rsidRPr="007459F0" w:rsidTr="00E95A6A">
        <w:tc>
          <w:tcPr>
            <w:tcW w:w="2427" w:type="pct"/>
            <w:gridSpan w:val="2"/>
          </w:tcPr>
          <w:p w:rsidR="007459F0" w:rsidRPr="007459F0" w:rsidRDefault="007459F0" w:rsidP="007459F0">
            <w:pPr>
              <w:jc w:val="both"/>
              <w:rPr>
                <w:sz w:val="20"/>
                <w:lang w:val="fr-CA"/>
              </w:rPr>
            </w:pPr>
            <w:r w:rsidRPr="007459F0">
              <w:rPr>
                <w:sz w:val="20"/>
                <w:lang w:val="fr-CA"/>
              </w:rPr>
              <w:t>18 décembre 2019</w:t>
            </w:r>
          </w:p>
          <w:p w:rsidR="007459F0" w:rsidRPr="007459F0" w:rsidRDefault="007459F0" w:rsidP="007459F0">
            <w:pPr>
              <w:jc w:val="both"/>
              <w:rPr>
                <w:sz w:val="20"/>
                <w:lang w:val="fr-CA"/>
              </w:rPr>
            </w:pPr>
            <w:r w:rsidRPr="007459F0">
              <w:rPr>
                <w:sz w:val="20"/>
                <w:lang w:val="fr-CA"/>
              </w:rPr>
              <w:t>Cour suprême de la Colombie</w:t>
            </w:r>
            <w:r w:rsidRPr="007459F0">
              <w:rPr>
                <w:sz w:val="20"/>
                <w:lang w:val="fr-CA"/>
              </w:rPr>
              <w:noBreakHyphen/>
              <w:t>Britannique</w:t>
            </w:r>
          </w:p>
          <w:p w:rsidR="007459F0" w:rsidRPr="007459F0" w:rsidRDefault="007459F0" w:rsidP="007459F0">
            <w:pPr>
              <w:jc w:val="both"/>
              <w:rPr>
                <w:sz w:val="20"/>
                <w:lang w:val="fr-CA"/>
              </w:rPr>
            </w:pPr>
            <w:r w:rsidRPr="007459F0">
              <w:rPr>
                <w:sz w:val="20"/>
                <w:lang w:val="fr-CA"/>
              </w:rPr>
              <w:t>(juge Saunders)</w:t>
            </w:r>
          </w:p>
          <w:p w:rsidR="007459F0" w:rsidRPr="007459F0" w:rsidRDefault="007459F0" w:rsidP="007459F0">
            <w:pPr>
              <w:jc w:val="both"/>
              <w:rPr>
                <w:rStyle w:val="Hyperlink"/>
                <w:sz w:val="20"/>
                <w:lang w:val="fr-CA"/>
              </w:rPr>
            </w:pPr>
            <w:hyperlink r:id="rId12" w:history="1">
              <w:r w:rsidRPr="007459F0">
                <w:rPr>
                  <w:rStyle w:val="Hyperlink"/>
                  <w:sz w:val="20"/>
                  <w:lang w:val="fr-CA"/>
                </w:rPr>
                <w:t>2019 BCSC 2192</w:t>
              </w:r>
            </w:hyperlink>
          </w:p>
          <w:p w:rsidR="007459F0" w:rsidRPr="007459F0" w:rsidRDefault="007459F0" w:rsidP="007459F0">
            <w:pPr>
              <w:jc w:val="both"/>
              <w:rPr>
                <w:sz w:val="20"/>
                <w:lang w:val="fr-CA"/>
              </w:rPr>
            </w:pPr>
          </w:p>
        </w:tc>
        <w:tc>
          <w:tcPr>
            <w:tcW w:w="243" w:type="pct"/>
          </w:tcPr>
          <w:p w:rsidR="007459F0" w:rsidRPr="007459F0" w:rsidRDefault="007459F0" w:rsidP="007459F0">
            <w:pPr>
              <w:jc w:val="both"/>
              <w:rPr>
                <w:sz w:val="20"/>
                <w:lang w:val="fr-CA"/>
              </w:rPr>
            </w:pPr>
          </w:p>
        </w:tc>
        <w:tc>
          <w:tcPr>
            <w:tcW w:w="2330" w:type="pct"/>
          </w:tcPr>
          <w:p w:rsidR="007459F0" w:rsidRPr="007459F0" w:rsidRDefault="007459F0" w:rsidP="007459F0">
            <w:pPr>
              <w:jc w:val="both"/>
              <w:rPr>
                <w:sz w:val="20"/>
                <w:lang w:val="fr-CA"/>
              </w:rPr>
            </w:pPr>
            <w:r w:rsidRPr="007459F0">
              <w:rPr>
                <w:sz w:val="20"/>
                <w:lang w:val="fr-CA"/>
              </w:rPr>
              <w:t>Une ordonnance autorisant le déménagement de la mère et des enfants est rendue.</w:t>
            </w:r>
          </w:p>
          <w:p w:rsidR="007459F0" w:rsidRPr="007459F0" w:rsidRDefault="007459F0" w:rsidP="007459F0">
            <w:pPr>
              <w:jc w:val="both"/>
              <w:rPr>
                <w:sz w:val="20"/>
                <w:lang w:val="fr-CA"/>
              </w:rPr>
            </w:pPr>
          </w:p>
          <w:p w:rsidR="007459F0" w:rsidRPr="007459F0" w:rsidRDefault="007459F0" w:rsidP="007459F0">
            <w:pPr>
              <w:jc w:val="both"/>
              <w:rPr>
                <w:sz w:val="20"/>
                <w:lang w:val="fr-CA"/>
              </w:rPr>
            </w:pPr>
          </w:p>
        </w:tc>
      </w:tr>
      <w:tr w:rsidR="007459F0" w:rsidRPr="007459F0" w:rsidTr="00E95A6A">
        <w:tc>
          <w:tcPr>
            <w:tcW w:w="2427" w:type="pct"/>
            <w:gridSpan w:val="2"/>
          </w:tcPr>
          <w:p w:rsidR="007459F0" w:rsidRPr="007459F0" w:rsidRDefault="007459F0" w:rsidP="007459F0">
            <w:pPr>
              <w:jc w:val="both"/>
              <w:rPr>
                <w:sz w:val="20"/>
                <w:lang w:val="fr-CA"/>
              </w:rPr>
            </w:pPr>
            <w:r w:rsidRPr="007459F0">
              <w:rPr>
                <w:sz w:val="20"/>
                <w:lang w:val="fr-CA"/>
              </w:rPr>
              <w:t>13 janvier 2021</w:t>
            </w:r>
          </w:p>
          <w:p w:rsidR="007459F0" w:rsidRPr="007459F0" w:rsidRDefault="007459F0" w:rsidP="007459F0">
            <w:pPr>
              <w:jc w:val="both"/>
              <w:rPr>
                <w:sz w:val="20"/>
                <w:lang w:val="fr-CA"/>
              </w:rPr>
            </w:pPr>
            <w:r w:rsidRPr="007459F0">
              <w:rPr>
                <w:sz w:val="20"/>
                <w:lang w:val="fr-CA"/>
              </w:rPr>
              <w:t>Cour d’appel de la Colombie</w:t>
            </w:r>
            <w:r w:rsidRPr="007459F0">
              <w:rPr>
                <w:sz w:val="20"/>
                <w:lang w:val="fr-CA"/>
              </w:rPr>
              <w:noBreakHyphen/>
              <w:t>Britannique (Vancouver)</w:t>
            </w:r>
          </w:p>
          <w:p w:rsidR="007459F0" w:rsidRPr="007459F0" w:rsidRDefault="007459F0" w:rsidP="007459F0">
            <w:pPr>
              <w:jc w:val="both"/>
              <w:rPr>
                <w:sz w:val="20"/>
                <w:lang w:val="fr-CA"/>
              </w:rPr>
            </w:pPr>
            <w:r w:rsidRPr="007459F0">
              <w:rPr>
                <w:sz w:val="20"/>
                <w:lang w:val="fr-CA"/>
              </w:rPr>
              <w:t>(juges Newbury, DeWitt</w:t>
            </w:r>
            <w:r w:rsidRPr="007459F0">
              <w:rPr>
                <w:sz w:val="20"/>
                <w:lang w:val="fr-CA"/>
              </w:rPr>
              <w:noBreakHyphen/>
              <w:t>Van Oosten et Voith)</w:t>
            </w:r>
          </w:p>
          <w:p w:rsidR="007459F0" w:rsidRPr="007459F0" w:rsidRDefault="007459F0" w:rsidP="007459F0">
            <w:pPr>
              <w:jc w:val="both"/>
              <w:rPr>
                <w:sz w:val="20"/>
                <w:lang w:val="fr-CA"/>
              </w:rPr>
            </w:pPr>
            <w:hyperlink r:id="rId13" w:history="1">
              <w:r w:rsidRPr="007459F0">
                <w:rPr>
                  <w:rStyle w:val="Hyperlink"/>
                  <w:sz w:val="20"/>
                  <w:lang w:val="fr-CA"/>
                </w:rPr>
                <w:t>2021 BCCA 11</w:t>
              </w:r>
            </w:hyperlink>
          </w:p>
          <w:p w:rsidR="007459F0" w:rsidRPr="007459F0" w:rsidRDefault="007459F0" w:rsidP="007459F0">
            <w:pPr>
              <w:jc w:val="both"/>
              <w:rPr>
                <w:sz w:val="20"/>
                <w:lang w:val="fr-CA"/>
              </w:rPr>
            </w:pPr>
          </w:p>
        </w:tc>
        <w:tc>
          <w:tcPr>
            <w:tcW w:w="243" w:type="pct"/>
          </w:tcPr>
          <w:p w:rsidR="007459F0" w:rsidRPr="007459F0" w:rsidRDefault="007459F0" w:rsidP="007459F0">
            <w:pPr>
              <w:jc w:val="both"/>
              <w:rPr>
                <w:sz w:val="20"/>
                <w:lang w:val="fr-CA"/>
              </w:rPr>
            </w:pPr>
          </w:p>
        </w:tc>
        <w:tc>
          <w:tcPr>
            <w:tcW w:w="2330" w:type="pct"/>
          </w:tcPr>
          <w:p w:rsidR="007459F0" w:rsidRPr="007459F0" w:rsidRDefault="007459F0" w:rsidP="007459F0">
            <w:pPr>
              <w:jc w:val="both"/>
              <w:rPr>
                <w:sz w:val="20"/>
                <w:lang w:val="fr-CA"/>
              </w:rPr>
            </w:pPr>
            <w:r w:rsidRPr="007459F0">
              <w:rPr>
                <w:sz w:val="20"/>
                <w:lang w:val="fr-CA"/>
              </w:rPr>
              <w:t>L’appel du père est accueilli.</w:t>
            </w:r>
          </w:p>
          <w:p w:rsidR="007459F0" w:rsidRPr="007459F0" w:rsidRDefault="007459F0" w:rsidP="007459F0">
            <w:pPr>
              <w:jc w:val="both"/>
              <w:rPr>
                <w:sz w:val="20"/>
                <w:lang w:val="fr-CA"/>
              </w:rPr>
            </w:pPr>
          </w:p>
        </w:tc>
      </w:tr>
      <w:tr w:rsidR="007459F0" w:rsidRPr="007459F0" w:rsidTr="00E95A6A">
        <w:tc>
          <w:tcPr>
            <w:tcW w:w="2427" w:type="pct"/>
            <w:gridSpan w:val="2"/>
          </w:tcPr>
          <w:p w:rsidR="007459F0" w:rsidRPr="007459F0" w:rsidRDefault="007459F0" w:rsidP="007459F0">
            <w:pPr>
              <w:jc w:val="both"/>
              <w:rPr>
                <w:sz w:val="20"/>
                <w:lang w:val="fr-CA"/>
              </w:rPr>
            </w:pPr>
            <w:r w:rsidRPr="007459F0">
              <w:rPr>
                <w:sz w:val="20"/>
                <w:lang w:val="fr-CA"/>
              </w:rPr>
              <w:t>12 février 2021</w:t>
            </w:r>
          </w:p>
          <w:p w:rsidR="007459F0" w:rsidRPr="007459F0" w:rsidRDefault="007459F0" w:rsidP="007459F0">
            <w:pPr>
              <w:jc w:val="both"/>
              <w:rPr>
                <w:sz w:val="20"/>
                <w:lang w:val="fr-CA"/>
              </w:rPr>
            </w:pPr>
            <w:r w:rsidRPr="007459F0">
              <w:rPr>
                <w:sz w:val="20"/>
                <w:lang w:val="fr-CA"/>
              </w:rPr>
              <w:t>Cour suprême du Canada</w:t>
            </w:r>
          </w:p>
          <w:p w:rsidR="007459F0" w:rsidRPr="007459F0" w:rsidRDefault="007459F0" w:rsidP="007459F0">
            <w:pPr>
              <w:jc w:val="both"/>
              <w:rPr>
                <w:sz w:val="20"/>
                <w:lang w:val="fr-CA"/>
              </w:rPr>
            </w:pPr>
            <w:r w:rsidRPr="007459F0">
              <w:rPr>
                <w:sz w:val="20"/>
                <w:lang w:val="fr-CA"/>
              </w:rPr>
              <w:t>(juge Karakatsanis)</w:t>
            </w:r>
          </w:p>
          <w:p w:rsidR="007459F0" w:rsidRPr="007459F0" w:rsidRDefault="007459F0" w:rsidP="007459F0">
            <w:pPr>
              <w:jc w:val="both"/>
              <w:rPr>
                <w:sz w:val="20"/>
                <w:lang w:val="fr-CA"/>
              </w:rPr>
            </w:pPr>
          </w:p>
        </w:tc>
        <w:tc>
          <w:tcPr>
            <w:tcW w:w="243" w:type="pct"/>
          </w:tcPr>
          <w:p w:rsidR="007459F0" w:rsidRPr="007459F0" w:rsidRDefault="007459F0" w:rsidP="007459F0">
            <w:pPr>
              <w:jc w:val="both"/>
              <w:rPr>
                <w:sz w:val="20"/>
                <w:lang w:val="fr-CA"/>
              </w:rPr>
            </w:pPr>
          </w:p>
        </w:tc>
        <w:tc>
          <w:tcPr>
            <w:tcW w:w="2330" w:type="pct"/>
          </w:tcPr>
          <w:p w:rsidR="007459F0" w:rsidRPr="007459F0" w:rsidRDefault="007459F0" w:rsidP="007459F0">
            <w:pPr>
              <w:jc w:val="both"/>
              <w:rPr>
                <w:sz w:val="20"/>
                <w:lang w:val="fr-CA"/>
              </w:rPr>
            </w:pPr>
            <w:r w:rsidRPr="007459F0">
              <w:rPr>
                <w:sz w:val="20"/>
                <w:lang w:val="fr-CA"/>
              </w:rPr>
              <w:t>La requête en sursis présentée par la mère est accueillie.</w:t>
            </w:r>
          </w:p>
        </w:tc>
      </w:tr>
      <w:tr w:rsidR="007459F0" w:rsidRPr="007459F0" w:rsidTr="00E95A6A">
        <w:tc>
          <w:tcPr>
            <w:tcW w:w="2427" w:type="pct"/>
            <w:gridSpan w:val="2"/>
          </w:tcPr>
          <w:p w:rsidR="007459F0" w:rsidRPr="007459F0" w:rsidRDefault="007459F0" w:rsidP="007459F0">
            <w:pPr>
              <w:jc w:val="both"/>
              <w:rPr>
                <w:sz w:val="20"/>
                <w:lang w:val="fr-CA"/>
              </w:rPr>
            </w:pPr>
            <w:r w:rsidRPr="007459F0">
              <w:rPr>
                <w:sz w:val="20"/>
                <w:lang w:val="fr-CA"/>
              </w:rPr>
              <w:t>1</w:t>
            </w:r>
            <w:r w:rsidRPr="007459F0">
              <w:rPr>
                <w:sz w:val="20"/>
                <w:vertAlign w:val="superscript"/>
                <w:lang w:val="fr-CA"/>
              </w:rPr>
              <w:t>er</w:t>
            </w:r>
            <w:r w:rsidRPr="007459F0">
              <w:rPr>
                <w:sz w:val="20"/>
                <w:lang w:val="fr-CA"/>
              </w:rPr>
              <w:t xml:space="preserve"> mars 2021</w:t>
            </w:r>
          </w:p>
          <w:p w:rsidR="007459F0" w:rsidRPr="007459F0" w:rsidRDefault="007459F0" w:rsidP="007459F0">
            <w:pPr>
              <w:jc w:val="both"/>
              <w:rPr>
                <w:sz w:val="20"/>
                <w:lang w:val="fr-CA"/>
              </w:rPr>
            </w:pPr>
            <w:r w:rsidRPr="007459F0">
              <w:rPr>
                <w:sz w:val="20"/>
                <w:lang w:val="fr-CA"/>
              </w:rPr>
              <w:t>Cour suprême du Canada</w:t>
            </w:r>
          </w:p>
        </w:tc>
        <w:tc>
          <w:tcPr>
            <w:tcW w:w="243" w:type="pct"/>
          </w:tcPr>
          <w:p w:rsidR="007459F0" w:rsidRPr="007459F0" w:rsidRDefault="007459F0" w:rsidP="007459F0">
            <w:pPr>
              <w:jc w:val="both"/>
              <w:rPr>
                <w:sz w:val="20"/>
                <w:lang w:val="fr-CA"/>
              </w:rPr>
            </w:pPr>
          </w:p>
        </w:tc>
        <w:tc>
          <w:tcPr>
            <w:tcW w:w="2330" w:type="pct"/>
          </w:tcPr>
          <w:p w:rsidR="007459F0" w:rsidRPr="007459F0" w:rsidRDefault="007459F0" w:rsidP="007459F0">
            <w:pPr>
              <w:jc w:val="both"/>
              <w:rPr>
                <w:sz w:val="20"/>
                <w:lang w:val="fr-CA"/>
              </w:rPr>
            </w:pPr>
            <w:r w:rsidRPr="007459F0">
              <w:rPr>
                <w:sz w:val="20"/>
                <w:lang w:val="fr-CA"/>
              </w:rPr>
              <w:t>La demande d’autorisation d’appel est présentée.</w:t>
            </w:r>
          </w:p>
          <w:p w:rsidR="007459F0" w:rsidRPr="007459F0" w:rsidRDefault="007459F0" w:rsidP="007459F0">
            <w:pPr>
              <w:jc w:val="both"/>
              <w:rPr>
                <w:sz w:val="20"/>
                <w:lang w:val="fr-CA"/>
              </w:rPr>
            </w:pPr>
          </w:p>
        </w:tc>
      </w:tr>
    </w:tbl>
    <w:p w:rsidR="007459F0" w:rsidRPr="007459F0" w:rsidRDefault="007459F0" w:rsidP="007459F0">
      <w:pPr>
        <w:jc w:val="both"/>
        <w:rPr>
          <w:sz w:val="20"/>
          <w:lang w:val="fr-CA"/>
        </w:rPr>
      </w:pPr>
    </w:p>
    <w:p w:rsidR="007459F0" w:rsidRPr="007459F0" w:rsidRDefault="007459F0" w:rsidP="007459F0">
      <w:pPr>
        <w:jc w:val="both"/>
        <w:rPr>
          <w:sz w:val="20"/>
          <w:lang w:val="fr-CA"/>
        </w:rPr>
      </w:pPr>
      <w:r w:rsidRPr="007459F0">
        <w:rPr>
          <w:sz w:val="20"/>
        </w:rPr>
        <w:pict>
          <v:rect id="_x0000_i1031" style="width:2in;height:1pt" o:hrpct="0" o:hralign="center" o:hrstd="t" o:hrnoshade="t" o:hr="t" fillcolor="black [3213]" stroked="f"/>
        </w:pict>
      </w:r>
    </w:p>
    <w:p w:rsidR="007459F0" w:rsidRPr="007459F0" w:rsidRDefault="007459F0" w:rsidP="007459F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9F0" w:rsidRPr="007459F0" w:rsidTr="00E95A6A">
        <w:tc>
          <w:tcPr>
            <w:tcW w:w="543" w:type="pct"/>
          </w:tcPr>
          <w:p w:rsidR="007459F0" w:rsidRPr="007459F0" w:rsidRDefault="007459F0" w:rsidP="007459F0">
            <w:pPr>
              <w:jc w:val="both"/>
              <w:rPr>
                <w:sz w:val="20"/>
              </w:rPr>
            </w:pPr>
            <w:r w:rsidRPr="007459F0">
              <w:rPr>
                <w:rStyle w:val="SCCFileNumberChar"/>
                <w:sz w:val="20"/>
                <w:szCs w:val="20"/>
              </w:rPr>
              <w:t>39536</w:t>
            </w:r>
          </w:p>
        </w:tc>
        <w:tc>
          <w:tcPr>
            <w:tcW w:w="4457" w:type="pct"/>
            <w:gridSpan w:val="3"/>
          </w:tcPr>
          <w:p w:rsidR="007459F0" w:rsidRPr="007459F0" w:rsidRDefault="007459F0" w:rsidP="007459F0">
            <w:pPr>
              <w:pStyle w:val="SCCLsocParty"/>
              <w:jc w:val="both"/>
              <w:rPr>
                <w:b/>
                <w:sz w:val="20"/>
                <w:szCs w:val="20"/>
                <w:lang w:val="en-US"/>
              </w:rPr>
            </w:pPr>
            <w:r w:rsidRPr="007459F0">
              <w:rPr>
                <w:b/>
                <w:sz w:val="20"/>
                <w:szCs w:val="20"/>
                <w:lang w:val="en-US"/>
              </w:rPr>
              <w:t>Rollingson Racing Stables Ltd., Rick Wiest, Clayton Wiest, Randy Howg, Robertino Diodoro v. Horse Racing Alberta, Horse Racing Alberta Appeal Tribunal, Her Majesty the Queen in Right of the Province of Alberta by the President of the Treasury Board and Minister of Finance, Harold W. Veale Professional Corporation (operating as Sycamore Stables)</w:t>
            </w:r>
          </w:p>
          <w:p w:rsidR="007459F0" w:rsidRPr="007459F0" w:rsidRDefault="007459F0" w:rsidP="007459F0">
            <w:pPr>
              <w:pStyle w:val="SCCLsocSubfileSeparator"/>
              <w:rPr>
                <w:sz w:val="20"/>
                <w:szCs w:val="20"/>
              </w:rPr>
            </w:pPr>
            <w:r w:rsidRPr="007459F0">
              <w:rPr>
                <w:sz w:val="20"/>
                <w:szCs w:val="20"/>
              </w:rPr>
              <w:t>- and between -</w:t>
            </w:r>
          </w:p>
          <w:p w:rsidR="007459F0" w:rsidRPr="007459F0" w:rsidRDefault="007459F0" w:rsidP="007459F0">
            <w:pPr>
              <w:pStyle w:val="SCCLsocParty"/>
              <w:jc w:val="both"/>
              <w:rPr>
                <w:b/>
                <w:sz w:val="20"/>
                <w:szCs w:val="20"/>
                <w:lang w:val="en-US"/>
              </w:rPr>
            </w:pPr>
            <w:r w:rsidRPr="007459F0">
              <w:rPr>
                <w:b/>
                <w:sz w:val="20"/>
                <w:szCs w:val="20"/>
                <w:lang w:val="en-US"/>
              </w:rPr>
              <w:t>Rollingson Racing Stables Ltd., Rick Wiest, Clayton Wiest, Randy Howg, Robertino Diodoro v. Harold W. Veale Professional Corporation (operating as Sycamore Stables), Horse Racing Alberta Appeal Tribunal, Horse Racing Alberta, Riversedge Racing Stables Ltd.</w:t>
            </w:r>
          </w:p>
          <w:p w:rsidR="007459F0" w:rsidRPr="007459F0" w:rsidRDefault="007459F0" w:rsidP="007459F0">
            <w:pPr>
              <w:jc w:val="both"/>
              <w:rPr>
                <w:sz w:val="20"/>
              </w:rPr>
            </w:pPr>
            <w:r w:rsidRPr="007459F0">
              <w:rPr>
                <w:sz w:val="20"/>
              </w:rPr>
              <w:t>(Alta.) (Civil) (By Leave)</w:t>
            </w:r>
          </w:p>
        </w:tc>
      </w:tr>
      <w:tr w:rsidR="007459F0" w:rsidRPr="007459F0" w:rsidTr="00E95A6A">
        <w:tc>
          <w:tcPr>
            <w:tcW w:w="5000" w:type="pct"/>
            <w:gridSpan w:val="4"/>
          </w:tcPr>
          <w:p w:rsidR="007459F0" w:rsidRPr="007459F0" w:rsidRDefault="007459F0" w:rsidP="007459F0">
            <w:pPr>
              <w:jc w:val="both"/>
              <w:rPr>
                <w:sz w:val="20"/>
              </w:rPr>
            </w:pPr>
            <w:r w:rsidRPr="007459F0">
              <w:rPr>
                <w:sz w:val="20"/>
              </w:rPr>
              <w:t xml:space="preserve">Administrative law — Boards and tribunals — Jurisdiction — Quorum — Judicial Review —Standards of review — Whether appeal tribunal met quorum requirement of s. 23(9) of </w:t>
            </w:r>
            <w:r w:rsidRPr="007459F0">
              <w:rPr>
                <w:i/>
                <w:sz w:val="20"/>
              </w:rPr>
              <w:t>Horse Racing Alberta Act</w:t>
            </w:r>
            <w:r w:rsidRPr="007459F0">
              <w:rPr>
                <w:sz w:val="20"/>
              </w:rPr>
              <w:t>, RSA 2000, c. H</w:t>
            </w:r>
            <w:r w:rsidRPr="007459F0">
              <w:rPr>
                <w:sz w:val="20"/>
              </w:rPr>
              <w:noBreakHyphen/>
              <w:t xml:space="preserve">11.3 and in accordance with ss. 20(7) and (8) of </w:t>
            </w:r>
            <w:r w:rsidRPr="007459F0">
              <w:rPr>
                <w:i/>
                <w:sz w:val="20"/>
              </w:rPr>
              <w:t>Interpretation Act</w:t>
            </w:r>
            <w:r w:rsidRPr="007459F0">
              <w:rPr>
                <w:sz w:val="20"/>
              </w:rPr>
              <w:t>, RSA 2000, c. I</w:t>
            </w:r>
            <w:r w:rsidRPr="007459F0">
              <w:rPr>
                <w:sz w:val="20"/>
              </w:rPr>
              <w:noBreakHyphen/>
              <w:t xml:space="preserve">8 — Whether appeal tribunal could </w:t>
            </w:r>
            <w:r w:rsidRPr="007459F0">
              <w:rPr>
                <w:sz w:val="20"/>
              </w:rPr>
              <w:lastRenderedPageBreak/>
              <w:t>reasonably conclude a Ministerial Order permitted former member of appeal tribunal to count toward quorum requirement — Standard of review applicable to interpretation of legislative quorum requirements.</w:t>
            </w:r>
          </w:p>
        </w:tc>
      </w:tr>
      <w:tr w:rsidR="007459F0" w:rsidRPr="007459F0" w:rsidTr="00E95A6A">
        <w:tc>
          <w:tcPr>
            <w:tcW w:w="5000" w:type="pct"/>
            <w:gridSpan w:val="4"/>
          </w:tcPr>
          <w:p w:rsidR="007459F0" w:rsidRPr="007459F0" w:rsidRDefault="007459F0" w:rsidP="007459F0">
            <w:pPr>
              <w:jc w:val="both"/>
              <w:rPr>
                <w:sz w:val="20"/>
              </w:rPr>
            </w:pPr>
          </w:p>
        </w:tc>
      </w:tr>
      <w:tr w:rsidR="007459F0" w:rsidRPr="007459F0" w:rsidTr="00E95A6A">
        <w:tc>
          <w:tcPr>
            <w:tcW w:w="5000" w:type="pct"/>
            <w:gridSpan w:val="4"/>
          </w:tcPr>
          <w:p w:rsidR="007459F0" w:rsidRPr="007459F0" w:rsidRDefault="007459F0" w:rsidP="007459F0">
            <w:pPr>
              <w:jc w:val="both"/>
              <w:rPr>
                <w:sz w:val="20"/>
              </w:rPr>
            </w:pPr>
            <w:r w:rsidRPr="007459F0">
              <w:rPr>
                <w:sz w:val="20"/>
              </w:rPr>
              <w:t xml:space="preserve">A horse owned by Rollingson Racing Stables Ltd. and others finished in first place at the Canadian Derby in 2017. A Board of Stewards dismissed a complaint alleging disqualifying interference brought by Harold W. Veale Professional Corporation. Harold W. Veale Professional Corporation appealed to an Appeal Tribunal established under the </w:t>
            </w:r>
            <w:r w:rsidRPr="007459F0">
              <w:rPr>
                <w:i/>
                <w:sz w:val="20"/>
              </w:rPr>
              <w:t>Horse Racing Alberta Act</w:t>
            </w:r>
            <w:r w:rsidRPr="007459F0">
              <w:rPr>
                <w:sz w:val="20"/>
              </w:rPr>
              <w:t>, RSA 2000, c. H</w:t>
            </w:r>
            <w:r w:rsidRPr="007459F0">
              <w:rPr>
                <w:sz w:val="20"/>
              </w:rPr>
              <w:noBreakHyphen/>
              <w:t xml:space="preserve">11.3. Two members of the Appeal Tribunal constitute a quorum under s. 23(9) of the </w:t>
            </w:r>
            <w:r w:rsidRPr="007459F0">
              <w:rPr>
                <w:i/>
                <w:sz w:val="20"/>
              </w:rPr>
              <w:t>Horse Racing Alberta Act</w:t>
            </w:r>
            <w:r w:rsidRPr="007459F0">
              <w:rPr>
                <w:sz w:val="20"/>
              </w:rPr>
              <w:t xml:space="preserve">. Two members heard the appeal and </w:t>
            </w:r>
            <w:r w:rsidRPr="007459F0">
              <w:rPr>
                <w:spacing w:val="-2"/>
                <w:sz w:val="20"/>
              </w:rPr>
              <w:t>reserved their decision</w:t>
            </w:r>
            <w:r w:rsidRPr="007459F0">
              <w:rPr>
                <w:sz w:val="20"/>
              </w:rPr>
              <w:t xml:space="preserve">. </w:t>
            </w:r>
            <w:r w:rsidRPr="007459F0">
              <w:rPr>
                <w:spacing w:val="-2"/>
                <w:sz w:val="20"/>
              </w:rPr>
              <w:t>One member’s appointment to the Appeal Tribunal was rescinded while the decision was under reserve. T</w:t>
            </w:r>
            <w:r w:rsidRPr="007459F0">
              <w:rPr>
                <w:sz w:val="20"/>
              </w:rPr>
              <w:t xml:space="preserve">he Minister of Finance later issued a Ministerial Order permitting that member to participate in the delivery of decisions, including the preparation of written reasons, in appeals that she had heard while a member. The Appeal Tribunal released a decision declaring the Rollingson Racing Stables Ltd.’s horse disqualified and Harold W. Veale Professional Corporation’s horse </w:t>
            </w:r>
            <w:r w:rsidRPr="007459F0">
              <w:rPr>
                <w:spacing w:val="-2"/>
                <w:sz w:val="20"/>
              </w:rPr>
              <w:t>a joint winner of the d</w:t>
            </w:r>
            <w:r w:rsidRPr="007459F0">
              <w:rPr>
                <w:sz w:val="20"/>
              </w:rPr>
              <w:t>erby. The Court of Queen’s Bench dismissed an application for judicial review and the Court of Appeal dismissed an appeal.</w:t>
            </w:r>
          </w:p>
          <w:p w:rsidR="007459F0" w:rsidRPr="007459F0" w:rsidRDefault="007459F0" w:rsidP="007459F0">
            <w:pPr>
              <w:jc w:val="both"/>
              <w:rPr>
                <w:sz w:val="20"/>
              </w:rPr>
            </w:pPr>
          </w:p>
        </w:tc>
      </w:tr>
      <w:tr w:rsidR="007459F0" w:rsidRPr="007459F0" w:rsidTr="00E95A6A">
        <w:tc>
          <w:tcPr>
            <w:tcW w:w="2427" w:type="pct"/>
            <w:gridSpan w:val="2"/>
          </w:tcPr>
          <w:p w:rsidR="007459F0" w:rsidRPr="007459F0" w:rsidRDefault="007459F0" w:rsidP="007459F0">
            <w:pPr>
              <w:jc w:val="both"/>
              <w:rPr>
                <w:sz w:val="20"/>
              </w:rPr>
            </w:pPr>
            <w:r w:rsidRPr="007459F0">
              <w:rPr>
                <w:sz w:val="20"/>
              </w:rPr>
              <w:t>August 13, 2019</w:t>
            </w:r>
          </w:p>
          <w:p w:rsidR="007459F0" w:rsidRPr="007459F0" w:rsidRDefault="007459F0" w:rsidP="007459F0">
            <w:pPr>
              <w:jc w:val="both"/>
              <w:rPr>
                <w:sz w:val="20"/>
              </w:rPr>
            </w:pPr>
            <w:r w:rsidRPr="007459F0">
              <w:rPr>
                <w:sz w:val="20"/>
              </w:rPr>
              <w:t>Court of Queen’s Bench of Alberta</w:t>
            </w:r>
          </w:p>
          <w:p w:rsidR="007459F0" w:rsidRPr="007459F0" w:rsidRDefault="007459F0" w:rsidP="007459F0">
            <w:pPr>
              <w:jc w:val="both"/>
              <w:rPr>
                <w:sz w:val="20"/>
              </w:rPr>
            </w:pPr>
            <w:r w:rsidRPr="007459F0">
              <w:rPr>
                <w:sz w:val="20"/>
              </w:rPr>
              <w:t>(Ross J.)</w:t>
            </w:r>
          </w:p>
          <w:p w:rsidR="007459F0" w:rsidRPr="007459F0" w:rsidRDefault="007459F0" w:rsidP="007459F0">
            <w:pPr>
              <w:jc w:val="both"/>
              <w:rPr>
                <w:sz w:val="20"/>
              </w:rPr>
            </w:pPr>
            <w:hyperlink r:id="rId14" w:history="1">
              <w:r w:rsidRPr="007459F0">
                <w:rPr>
                  <w:rStyle w:val="Hyperlink"/>
                  <w:sz w:val="20"/>
                </w:rPr>
                <w:t>2019 ABQB 632</w:t>
              </w:r>
            </w:hyperlink>
          </w:p>
          <w:p w:rsidR="007459F0" w:rsidRPr="007459F0" w:rsidRDefault="007459F0" w:rsidP="007459F0">
            <w:pPr>
              <w:jc w:val="both"/>
              <w:rPr>
                <w:sz w:val="20"/>
              </w:rPr>
            </w:pPr>
          </w:p>
        </w:tc>
        <w:tc>
          <w:tcPr>
            <w:tcW w:w="243" w:type="pct"/>
          </w:tcPr>
          <w:p w:rsidR="007459F0" w:rsidRPr="007459F0" w:rsidRDefault="007459F0" w:rsidP="007459F0">
            <w:pPr>
              <w:jc w:val="both"/>
              <w:rPr>
                <w:sz w:val="20"/>
              </w:rPr>
            </w:pPr>
          </w:p>
        </w:tc>
        <w:tc>
          <w:tcPr>
            <w:tcW w:w="2330" w:type="pct"/>
          </w:tcPr>
          <w:p w:rsidR="007459F0" w:rsidRPr="007459F0" w:rsidRDefault="007459F0" w:rsidP="007459F0">
            <w:pPr>
              <w:jc w:val="both"/>
              <w:rPr>
                <w:sz w:val="20"/>
              </w:rPr>
            </w:pPr>
            <w:r w:rsidRPr="007459F0">
              <w:rPr>
                <w:sz w:val="20"/>
              </w:rPr>
              <w:t>Application for judicial review dismissed</w:t>
            </w:r>
          </w:p>
          <w:p w:rsidR="007459F0" w:rsidRPr="007459F0" w:rsidRDefault="007459F0" w:rsidP="007459F0">
            <w:pPr>
              <w:jc w:val="both"/>
              <w:rPr>
                <w:sz w:val="20"/>
              </w:rPr>
            </w:pPr>
          </w:p>
        </w:tc>
      </w:tr>
      <w:tr w:rsidR="007459F0" w:rsidRPr="007459F0" w:rsidTr="00E95A6A">
        <w:tc>
          <w:tcPr>
            <w:tcW w:w="2427" w:type="pct"/>
            <w:gridSpan w:val="2"/>
          </w:tcPr>
          <w:p w:rsidR="007459F0" w:rsidRPr="007459F0" w:rsidRDefault="007459F0" w:rsidP="007459F0">
            <w:pPr>
              <w:jc w:val="both"/>
              <w:rPr>
                <w:sz w:val="20"/>
              </w:rPr>
            </w:pPr>
            <w:r w:rsidRPr="007459F0">
              <w:rPr>
                <w:sz w:val="20"/>
              </w:rPr>
              <w:t>November 23, 2020</w:t>
            </w:r>
          </w:p>
          <w:p w:rsidR="007459F0" w:rsidRPr="007459F0" w:rsidRDefault="007459F0" w:rsidP="007459F0">
            <w:pPr>
              <w:jc w:val="both"/>
              <w:rPr>
                <w:sz w:val="20"/>
              </w:rPr>
            </w:pPr>
            <w:r w:rsidRPr="007459F0">
              <w:rPr>
                <w:sz w:val="20"/>
              </w:rPr>
              <w:t>Court of Appeal of Alberta (Edmonton)</w:t>
            </w:r>
          </w:p>
          <w:p w:rsidR="007459F0" w:rsidRPr="007459F0" w:rsidRDefault="007459F0" w:rsidP="007459F0">
            <w:pPr>
              <w:jc w:val="both"/>
              <w:rPr>
                <w:sz w:val="20"/>
              </w:rPr>
            </w:pPr>
            <w:r w:rsidRPr="007459F0">
              <w:rPr>
                <w:sz w:val="20"/>
              </w:rPr>
              <w:t>(Martin, Khullar, Pentelechuck JJ.A.)</w:t>
            </w:r>
          </w:p>
          <w:p w:rsidR="007459F0" w:rsidRPr="007459F0" w:rsidRDefault="007459F0" w:rsidP="007459F0">
            <w:pPr>
              <w:jc w:val="both"/>
              <w:rPr>
                <w:sz w:val="20"/>
                <w:lang w:val="en"/>
              </w:rPr>
            </w:pPr>
            <w:hyperlink r:id="rId15" w:history="1">
              <w:r w:rsidRPr="007459F0">
                <w:rPr>
                  <w:rStyle w:val="Hyperlink"/>
                  <w:sz w:val="20"/>
                </w:rPr>
                <w:t>2020 ABCA 419</w:t>
              </w:r>
            </w:hyperlink>
            <w:r w:rsidRPr="007459F0">
              <w:rPr>
                <w:sz w:val="20"/>
              </w:rPr>
              <w:t xml:space="preserve">; </w:t>
            </w:r>
            <w:r w:rsidRPr="007459F0">
              <w:rPr>
                <w:sz w:val="20"/>
                <w:lang w:val="en"/>
              </w:rPr>
              <w:t>1903</w:t>
            </w:r>
            <w:r w:rsidRPr="007459F0">
              <w:rPr>
                <w:sz w:val="20"/>
                <w:lang w:val="en"/>
              </w:rPr>
              <w:noBreakHyphen/>
              <w:t>0229</w:t>
            </w:r>
            <w:r w:rsidRPr="007459F0">
              <w:rPr>
                <w:sz w:val="20"/>
                <w:lang w:val="en"/>
              </w:rPr>
              <w:noBreakHyphen/>
              <w:t>AC</w:t>
            </w:r>
          </w:p>
          <w:p w:rsidR="007459F0" w:rsidRPr="007459F0" w:rsidRDefault="007459F0" w:rsidP="007459F0">
            <w:pPr>
              <w:jc w:val="both"/>
              <w:rPr>
                <w:sz w:val="20"/>
              </w:rPr>
            </w:pPr>
          </w:p>
        </w:tc>
        <w:tc>
          <w:tcPr>
            <w:tcW w:w="243" w:type="pct"/>
          </w:tcPr>
          <w:p w:rsidR="007459F0" w:rsidRPr="007459F0" w:rsidRDefault="007459F0" w:rsidP="007459F0">
            <w:pPr>
              <w:jc w:val="both"/>
              <w:rPr>
                <w:sz w:val="20"/>
              </w:rPr>
            </w:pPr>
          </w:p>
        </w:tc>
        <w:tc>
          <w:tcPr>
            <w:tcW w:w="2330" w:type="pct"/>
          </w:tcPr>
          <w:p w:rsidR="007459F0" w:rsidRPr="007459F0" w:rsidRDefault="007459F0" w:rsidP="007459F0">
            <w:pPr>
              <w:jc w:val="both"/>
              <w:rPr>
                <w:sz w:val="20"/>
              </w:rPr>
            </w:pPr>
            <w:r w:rsidRPr="007459F0">
              <w:rPr>
                <w:sz w:val="20"/>
              </w:rPr>
              <w:t>Appeal dismissed</w:t>
            </w:r>
          </w:p>
          <w:p w:rsidR="007459F0" w:rsidRPr="007459F0" w:rsidRDefault="007459F0" w:rsidP="007459F0">
            <w:pPr>
              <w:jc w:val="both"/>
              <w:rPr>
                <w:sz w:val="20"/>
              </w:rPr>
            </w:pPr>
          </w:p>
        </w:tc>
      </w:tr>
      <w:tr w:rsidR="007459F0" w:rsidRPr="007459F0" w:rsidTr="00E95A6A">
        <w:tc>
          <w:tcPr>
            <w:tcW w:w="2427" w:type="pct"/>
            <w:gridSpan w:val="2"/>
          </w:tcPr>
          <w:p w:rsidR="007459F0" w:rsidRPr="007459F0" w:rsidRDefault="007459F0" w:rsidP="007459F0">
            <w:pPr>
              <w:jc w:val="both"/>
              <w:rPr>
                <w:sz w:val="20"/>
              </w:rPr>
            </w:pPr>
            <w:r w:rsidRPr="007459F0">
              <w:rPr>
                <w:sz w:val="20"/>
              </w:rPr>
              <w:t>January 20, 2021</w:t>
            </w:r>
          </w:p>
          <w:p w:rsidR="007459F0" w:rsidRPr="007459F0" w:rsidRDefault="007459F0" w:rsidP="007459F0">
            <w:pPr>
              <w:jc w:val="both"/>
              <w:rPr>
                <w:sz w:val="20"/>
              </w:rPr>
            </w:pPr>
            <w:r w:rsidRPr="007459F0">
              <w:rPr>
                <w:sz w:val="20"/>
              </w:rPr>
              <w:t>Supreme Court of Canada</w:t>
            </w:r>
          </w:p>
        </w:tc>
        <w:tc>
          <w:tcPr>
            <w:tcW w:w="243" w:type="pct"/>
          </w:tcPr>
          <w:p w:rsidR="007459F0" w:rsidRPr="007459F0" w:rsidRDefault="007459F0" w:rsidP="007459F0">
            <w:pPr>
              <w:jc w:val="both"/>
              <w:rPr>
                <w:sz w:val="20"/>
              </w:rPr>
            </w:pPr>
          </w:p>
        </w:tc>
        <w:tc>
          <w:tcPr>
            <w:tcW w:w="2330" w:type="pct"/>
          </w:tcPr>
          <w:p w:rsidR="007459F0" w:rsidRPr="007459F0" w:rsidRDefault="007459F0" w:rsidP="007459F0">
            <w:pPr>
              <w:jc w:val="both"/>
              <w:rPr>
                <w:sz w:val="20"/>
              </w:rPr>
            </w:pPr>
            <w:r w:rsidRPr="007459F0">
              <w:rPr>
                <w:sz w:val="20"/>
              </w:rPr>
              <w:t>Application for leave to appeal filed</w:t>
            </w:r>
          </w:p>
          <w:p w:rsidR="007459F0" w:rsidRPr="007459F0" w:rsidRDefault="007459F0" w:rsidP="007459F0">
            <w:pPr>
              <w:jc w:val="both"/>
              <w:rPr>
                <w:sz w:val="20"/>
              </w:rPr>
            </w:pPr>
          </w:p>
        </w:tc>
      </w:tr>
    </w:tbl>
    <w:p w:rsidR="007459F0" w:rsidRPr="007459F0" w:rsidRDefault="007459F0" w:rsidP="007459F0">
      <w:pPr>
        <w:jc w:val="both"/>
        <w:rPr>
          <w:sz w:val="20"/>
        </w:rPr>
      </w:pPr>
    </w:p>
    <w:p w:rsidR="007459F0" w:rsidRPr="007459F0" w:rsidRDefault="007459F0" w:rsidP="007459F0">
      <w:pPr>
        <w:jc w:val="both"/>
        <w:rPr>
          <w:sz w:val="20"/>
        </w:rPr>
      </w:pPr>
      <w:r w:rsidRPr="007459F0">
        <w:rPr>
          <w:sz w:val="20"/>
        </w:rPr>
        <w:pict>
          <v:rect id="_x0000_i1032" style="width:2in;height:1pt" o:hrpct="0" o:hralign="center" o:hrstd="t" o:hrnoshade="t" o:hr="t" fillcolor="black [3213]" stroked="f"/>
        </w:pict>
      </w:r>
    </w:p>
    <w:p w:rsidR="007459F0" w:rsidRPr="007459F0" w:rsidRDefault="007459F0" w:rsidP="007459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59F0" w:rsidRPr="007459F0" w:rsidTr="00E95A6A">
        <w:tc>
          <w:tcPr>
            <w:tcW w:w="543" w:type="pct"/>
          </w:tcPr>
          <w:p w:rsidR="007459F0" w:rsidRPr="007459F0" w:rsidRDefault="007459F0" w:rsidP="007459F0">
            <w:pPr>
              <w:jc w:val="both"/>
              <w:rPr>
                <w:sz w:val="20"/>
                <w:lang w:val="fr-CA"/>
              </w:rPr>
            </w:pPr>
            <w:r w:rsidRPr="007459F0">
              <w:rPr>
                <w:rStyle w:val="SCCFileNumberChar"/>
                <w:sz w:val="20"/>
                <w:szCs w:val="20"/>
                <w:lang w:val="fr-CA"/>
              </w:rPr>
              <w:t>39536</w:t>
            </w:r>
          </w:p>
        </w:tc>
        <w:tc>
          <w:tcPr>
            <w:tcW w:w="4457" w:type="pct"/>
            <w:gridSpan w:val="3"/>
          </w:tcPr>
          <w:p w:rsidR="007459F0" w:rsidRPr="007459F0" w:rsidRDefault="007459F0" w:rsidP="007459F0">
            <w:pPr>
              <w:pStyle w:val="SCCLsocParty"/>
              <w:jc w:val="both"/>
              <w:rPr>
                <w:b/>
                <w:sz w:val="20"/>
                <w:szCs w:val="20"/>
              </w:rPr>
            </w:pPr>
            <w:r w:rsidRPr="007459F0">
              <w:rPr>
                <w:b/>
                <w:sz w:val="20"/>
                <w:szCs w:val="20"/>
              </w:rPr>
              <w:t>Rollingson Racing Stables Ltd., Rick Wiest, Clayton Wiest, Randy Howg, Robertino Diodoro c. Horse Racing Alberta, Horse Racing Alberta Appeal Tribunal, Sa Majesté la Reine du chef de la province de l’Alberta, représentée par le président du Conseil du Trésor et le ministre des Finances, Harold W. Veale Professional Corporation (faisant affaire sous la raison sociale Sycamore Stables)</w:t>
            </w:r>
          </w:p>
          <w:p w:rsidR="007459F0" w:rsidRPr="007459F0" w:rsidRDefault="007459F0" w:rsidP="007459F0">
            <w:pPr>
              <w:pStyle w:val="SCCLsocSubfileSeparator"/>
              <w:rPr>
                <w:sz w:val="20"/>
                <w:szCs w:val="20"/>
                <w:lang w:val="fr-CA"/>
              </w:rPr>
            </w:pPr>
            <w:r w:rsidRPr="007459F0">
              <w:rPr>
                <w:sz w:val="20"/>
                <w:szCs w:val="20"/>
                <w:lang w:val="fr-CA"/>
              </w:rPr>
              <w:t>- et entre -</w:t>
            </w:r>
          </w:p>
          <w:p w:rsidR="007459F0" w:rsidRPr="007459F0" w:rsidRDefault="007459F0" w:rsidP="007459F0">
            <w:pPr>
              <w:pStyle w:val="SCCLsocParty"/>
              <w:jc w:val="both"/>
              <w:rPr>
                <w:b/>
                <w:sz w:val="20"/>
                <w:szCs w:val="20"/>
              </w:rPr>
            </w:pPr>
            <w:r w:rsidRPr="007459F0">
              <w:rPr>
                <w:b/>
                <w:sz w:val="20"/>
                <w:szCs w:val="20"/>
              </w:rPr>
              <w:t>Rollingson Racing Stables Ltd., Rick Wiest, Clayton Wiest, Randy Howg, Robertino Diodoro c. Harold W. Veale Professional Corporation (faisant affaire sous la raison sociale Sycamore Stables), Horse Racing Alberta Appeal Tribunal, Horse Racing Alberta, Riversedge Racing Stables Ltd.</w:t>
            </w:r>
          </w:p>
          <w:p w:rsidR="007459F0" w:rsidRPr="007459F0" w:rsidRDefault="007459F0" w:rsidP="007459F0">
            <w:pPr>
              <w:jc w:val="both"/>
              <w:rPr>
                <w:sz w:val="20"/>
                <w:lang w:val="fr-CA"/>
              </w:rPr>
            </w:pPr>
            <w:r w:rsidRPr="007459F0">
              <w:rPr>
                <w:sz w:val="20"/>
                <w:lang w:val="fr-CA"/>
              </w:rPr>
              <w:t>(Alb.) (Civile) (Sur autorisation)</w:t>
            </w:r>
          </w:p>
        </w:tc>
      </w:tr>
      <w:tr w:rsidR="007459F0" w:rsidRPr="007459F0" w:rsidTr="00E95A6A">
        <w:tc>
          <w:tcPr>
            <w:tcW w:w="5000" w:type="pct"/>
            <w:gridSpan w:val="4"/>
          </w:tcPr>
          <w:p w:rsidR="007459F0" w:rsidRPr="007459F0" w:rsidRDefault="007459F0" w:rsidP="007459F0">
            <w:pPr>
              <w:jc w:val="both"/>
              <w:rPr>
                <w:sz w:val="20"/>
                <w:lang w:val="fr-CA"/>
              </w:rPr>
            </w:pPr>
            <w:r w:rsidRPr="007459F0">
              <w:rPr>
                <w:sz w:val="20"/>
                <w:lang w:val="fr-CA"/>
              </w:rPr>
              <w:t>Droit administratif — Organismes et tribunaux — Compétence — Quorum — Contrôle judiciaire — Normes de contrôle — Le tribunal d’appel a</w:t>
            </w:r>
            <w:r w:rsidRPr="007459F0">
              <w:rPr>
                <w:sz w:val="20"/>
                <w:lang w:val="fr-CA"/>
              </w:rPr>
              <w:noBreakHyphen/>
              <w:t>t</w:t>
            </w:r>
            <w:r w:rsidRPr="007459F0">
              <w:rPr>
                <w:sz w:val="20"/>
                <w:lang w:val="fr-CA"/>
              </w:rPr>
              <w:noBreakHyphen/>
              <w:t xml:space="preserve">il respecté les exigences relatives au quorum prévues au </w:t>
            </w:r>
            <w:proofErr w:type="spellStart"/>
            <w:r w:rsidRPr="007459F0">
              <w:rPr>
                <w:sz w:val="20"/>
                <w:lang w:val="fr-CA"/>
              </w:rPr>
              <w:t>par</w:t>
            </w:r>
            <w:proofErr w:type="spellEnd"/>
            <w:r w:rsidRPr="007459F0">
              <w:rPr>
                <w:sz w:val="20"/>
                <w:lang w:val="fr-CA"/>
              </w:rPr>
              <w:t xml:space="preserve">. 23(9) de la </w:t>
            </w:r>
            <w:r w:rsidRPr="007459F0">
              <w:rPr>
                <w:i/>
                <w:sz w:val="20"/>
                <w:lang w:val="fr-CA"/>
              </w:rPr>
              <w:t>Horse Racing Alberta Act</w:t>
            </w:r>
            <w:r w:rsidRPr="007459F0">
              <w:rPr>
                <w:sz w:val="20"/>
                <w:lang w:val="fr-CA"/>
              </w:rPr>
              <w:t>, RSA 2000, c. H</w:t>
            </w:r>
            <w:r w:rsidRPr="007459F0">
              <w:rPr>
                <w:sz w:val="20"/>
                <w:lang w:val="fr-CA"/>
              </w:rPr>
              <w:noBreakHyphen/>
              <w:t xml:space="preserve">11.3 et conformément aux </w:t>
            </w:r>
            <w:proofErr w:type="spellStart"/>
            <w:r w:rsidRPr="007459F0">
              <w:rPr>
                <w:sz w:val="20"/>
                <w:lang w:val="fr-CA"/>
              </w:rPr>
              <w:t>par</w:t>
            </w:r>
            <w:proofErr w:type="spellEnd"/>
            <w:r w:rsidRPr="007459F0">
              <w:rPr>
                <w:sz w:val="20"/>
                <w:lang w:val="fr-CA"/>
              </w:rPr>
              <w:t xml:space="preserve">. 20(7) et 20(8) de la </w:t>
            </w:r>
            <w:r w:rsidRPr="007459F0">
              <w:rPr>
                <w:i/>
                <w:sz w:val="20"/>
                <w:lang w:val="fr-CA"/>
              </w:rPr>
              <w:t>Interpretation Act</w:t>
            </w:r>
            <w:r w:rsidRPr="007459F0">
              <w:rPr>
                <w:sz w:val="20"/>
                <w:lang w:val="fr-CA"/>
              </w:rPr>
              <w:t>, RSA 2000, c. I</w:t>
            </w:r>
            <w:r w:rsidRPr="007459F0">
              <w:rPr>
                <w:sz w:val="20"/>
                <w:lang w:val="fr-CA"/>
              </w:rPr>
              <w:noBreakHyphen/>
              <w:t>8? — Le tribunal d’appel pouvait</w:t>
            </w:r>
            <w:r w:rsidRPr="007459F0">
              <w:rPr>
                <w:sz w:val="20"/>
                <w:lang w:val="fr-CA"/>
              </w:rPr>
              <w:noBreakHyphen/>
              <w:t xml:space="preserve">il raisonnablement conclure qu’un décret ministériel permettait de compter </w:t>
            </w:r>
            <w:proofErr w:type="gramStart"/>
            <w:r w:rsidRPr="007459F0">
              <w:rPr>
                <w:sz w:val="20"/>
                <w:lang w:val="fr-CA"/>
              </w:rPr>
              <w:t>une ancienne</w:t>
            </w:r>
            <w:proofErr w:type="gramEnd"/>
            <w:r w:rsidRPr="007459F0">
              <w:rPr>
                <w:sz w:val="20"/>
                <w:lang w:val="fr-CA"/>
              </w:rPr>
              <w:t xml:space="preserve"> membre du tribunal d’appel aux fins des exigences relatives au quorum? — Norme de contrôle applicable dans le cadre de l’interprétation des exigences législatives relatives au quorum</w:t>
            </w:r>
          </w:p>
        </w:tc>
      </w:tr>
      <w:tr w:rsidR="007459F0" w:rsidRPr="007459F0" w:rsidTr="00E95A6A">
        <w:tc>
          <w:tcPr>
            <w:tcW w:w="5000" w:type="pct"/>
            <w:gridSpan w:val="4"/>
          </w:tcPr>
          <w:p w:rsidR="007459F0" w:rsidRPr="007459F0" w:rsidRDefault="007459F0" w:rsidP="007459F0">
            <w:pPr>
              <w:jc w:val="both"/>
              <w:rPr>
                <w:sz w:val="20"/>
                <w:lang w:val="fr-CA"/>
              </w:rPr>
            </w:pPr>
          </w:p>
        </w:tc>
      </w:tr>
      <w:tr w:rsidR="007459F0" w:rsidRPr="007459F0" w:rsidTr="00E95A6A">
        <w:tc>
          <w:tcPr>
            <w:tcW w:w="5000" w:type="pct"/>
            <w:gridSpan w:val="4"/>
          </w:tcPr>
          <w:p w:rsidR="007459F0" w:rsidRPr="007459F0" w:rsidRDefault="007459F0" w:rsidP="007459F0">
            <w:pPr>
              <w:jc w:val="both"/>
              <w:rPr>
                <w:sz w:val="20"/>
                <w:lang w:val="fr-CA"/>
              </w:rPr>
            </w:pPr>
            <w:r w:rsidRPr="007459F0">
              <w:rPr>
                <w:sz w:val="20"/>
                <w:lang w:val="fr-CA"/>
              </w:rPr>
              <w:t xml:space="preserve">Un cheval appartenant à Rollingson Racing Stables Ltd. et à d’autres est arrivé en première place lors du Canadian Derby en 2017. Un conseil des commissaires a rejeté une plainte, présentée par Harold W. Veale Professional Corporation, portant qu’il y avait eu de l'interférence menant à la disqualification. Harold W. Veale Professional Corporation a interjeté appel devant le tribunal d’appel établi en vertu de la </w:t>
            </w:r>
            <w:r w:rsidRPr="007459F0">
              <w:rPr>
                <w:i/>
                <w:sz w:val="20"/>
                <w:lang w:val="fr-CA"/>
              </w:rPr>
              <w:t>Horse Racing Alberta Act</w:t>
            </w:r>
            <w:r w:rsidRPr="007459F0">
              <w:rPr>
                <w:sz w:val="20"/>
                <w:lang w:val="fr-CA"/>
              </w:rPr>
              <w:t>, RSA 2000, c. H</w:t>
            </w:r>
            <w:r w:rsidRPr="007459F0">
              <w:rPr>
                <w:sz w:val="20"/>
                <w:lang w:val="fr-CA"/>
              </w:rPr>
              <w:noBreakHyphen/>
              <w:t xml:space="preserve">11.3. Deux membres du tribunal d’appel constituent un quorum aux termes du par. 23(9) de la </w:t>
            </w:r>
            <w:r w:rsidRPr="007459F0">
              <w:rPr>
                <w:i/>
                <w:sz w:val="20"/>
                <w:lang w:val="fr-CA"/>
              </w:rPr>
              <w:t>Horse Racing Alberta Act</w:t>
            </w:r>
            <w:r w:rsidRPr="007459F0">
              <w:rPr>
                <w:sz w:val="20"/>
                <w:lang w:val="fr-CA"/>
              </w:rPr>
              <w:t xml:space="preserve">. Deux membres ont entendu l’appel et ont mis l’affaire en délibéré. La nomination d’une des deux </w:t>
            </w:r>
            <w:r w:rsidRPr="007459F0">
              <w:rPr>
                <w:spacing w:val="-2"/>
                <w:sz w:val="20"/>
                <w:lang w:val="fr-CA"/>
              </w:rPr>
              <w:t>membres du Tribunal d’appel a été annulée pendant que l’affaire était en délibéré. Le m</w:t>
            </w:r>
            <w:r w:rsidRPr="007459F0">
              <w:rPr>
                <w:sz w:val="20"/>
                <w:lang w:val="fr-CA"/>
              </w:rPr>
              <w:t xml:space="preserve">inistre des Finances </w:t>
            </w:r>
            <w:proofErr w:type="gramStart"/>
            <w:r w:rsidRPr="007459F0">
              <w:rPr>
                <w:sz w:val="20"/>
                <w:lang w:val="fr-CA"/>
              </w:rPr>
              <w:t>a</w:t>
            </w:r>
            <w:proofErr w:type="gramEnd"/>
            <w:r w:rsidRPr="007459F0">
              <w:rPr>
                <w:sz w:val="20"/>
                <w:lang w:val="fr-CA"/>
              </w:rPr>
              <w:t xml:space="preserve"> plus tard </w:t>
            </w:r>
            <w:r w:rsidRPr="007459F0">
              <w:rPr>
                <w:sz w:val="20"/>
                <w:lang w:val="fr-CA"/>
              </w:rPr>
              <w:lastRenderedPageBreak/>
              <w:t>pris un décret permettant à cette membre de participer au processus décisionnel, notamment la préparation des motifs écrits, dans le cadre d’appels qu’elle avait entendus lorsqu’elle était encore membre. Le Tribunal d’appel a publié sa décision déclarant que le cheval de Rollingson Racing Stables Ltd. était disqualifié et que le cheval d’Harold W. Veale Professional Corporation était l’un des vainqueurs du</w:t>
            </w:r>
            <w:r w:rsidRPr="007459F0">
              <w:rPr>
                <w:spacing w:val="-2"/>
                <w:sz w:val="20"/>
                <w:lang w:val="fr-CA"/>
              </w:rPr>
              <w:t xml:space="preserve"> d</w:t>
            </w:r>
            <w:r w:rsidRPr="007459F0">
              <w:rPr>
                <w:sz w:val="20"/>
                <w:lang w:val="fr-CA"/>
              </w:rPr>
              <w:t>erby. La Cour du Banc de la Reine a rejeté la demande de contrôle judiciaire et la Cour d’appel a rejeté l’appel.</w:t>
            </w:r>
          </w:p>
          <w:p w:rsidR="007459F0" w:rsidRPr="007459F0" w:rsidRDefault="007459F0" w:rsidP="007459F0">
            <w:pPr>
              <w:jc w:val="both"/>
              <w:rPr>
                <w:sz w:val="20"/>
                <w:lang w:val="fr-CA"/>
              </w:rPr>
            </w:pPr>
          </w:p>
        </w:tc>
      </w:tr>
      <w:tr w:rsidR="007459F0" w:rsidRPr="007459F0" w:rsidTr="00E95A6A">
        <w:tc>
          <w:tcPr>
            <w:tcW w:w="2427" w:type="pct"/>
            <w:gridSpan w:val="2"/>
          </w:tcPr>
          <w:p w:rsidR="007459F0" w:rsidRPr="007459F0" w:rsidRDefault="007459F0" w:rsidP="007459F0">
            <w:pPr>
              <w:jc w:val="both"/>
              <w:rPr>
                <w:sz w:val="20"/>
                <w:lang w:val="fr-CA"/>
              </w:rPr>
            </w:pPr>
            <w:r w:rsidRPr="007459F0">
              <w:rPr>
                <w:sz w:val="20"/>
                <w:lang w:val="fr-CA"/>
              </w:rPr>
              <w:lastRenderedPageBreak/>
              <w:t>13 août 2019</w:t>
            </w:r>
          </w:p>
          <w:p w:rsidR="007459F0" w:rsidRPr="007459F0" w:rsidRDefault="007459F0" w:rsidP="007459F0">
            <w:pPr>
              <w:jc w:val="both"/>
              <w:rPr>
                <w:sz w:val="20"/>
                <w:lang w:val="fr-CA"/>
              </w:rPr>
            </w:pPr>
            <w:r w:rsidRPr="007459F0">
              <w:rPr>
                <w:sz w:val="20"/>
                <w:lang w:val="fr-CA"/>
              </w:rPr>
              <w:t>Cour du Banc de la Reine de l’Alberta</w:t>
            </w:r>
          </w:p>
          <w:p w:rsidR="007459F0" w:rsidRPr="007459F0" w:rsidRDefault="007459F0" w:rsidP="007459F0">
            <w:pPr>
              <w:jc w:val="both"/>
              <w:rPr>
                <w:sz w:val="20"/>
                <w:lang w:val="fr-CA"/>
              </w:rPr>
            </w:pPr>
            <w:r w:rsidRPr="007459F0">
              <w:rPr>
                <w:sz w:val="20"/>
                <w:lang w:val="fr-CA"/>
              </w:rPr>
              <w:t>(juge Ross)</w:t>
            </w:r>
          </w:p>
          <w:p w:rsidR="007459F0" w:rsidRPr="007459F0" w:rsidRDefault="007459F0" w:rsidP="007459F0">
            <w:pPr>
              <w:jc w:val="both"/>
              <w:rPr>
                <w:sz w:val="20"/>
                <w:lang w:val="fr-CA"/>
              </w:rPr>
            </w:pPr>
            <w:hyperlink r:id="rId16" w:history="1">
              <w:r w:rsidRPr="007459F0">
                <w:rPr>
                  <w:rStyle w:val="Hyperlink"/>
                  <w:sz w:val="20"/>
                  <w:lang w:val="fr-CA"/>
                </w:rPr>
                <w:t>2019 ABQB 632</w:t>
              </w:r>
            </w:hyperlink>
          </w:p>
          <w:p w:rsidR="007459F0" w:rsidRPr="007459F0" w:rsidRDefault="007459F0" w:rsidP="007459F0">
            <w:pPr>
              <w:jc w:val="both"/>
              <w:rPr>
                <w:sz w:val="20"/>
                <w:lang w:val="fr-CA"/>
              </w:rPr>
            </w:pPr>
          </w:p>
        </w:tc>
        <w:tc>
          <w:tcPr>
            <w:tcW w:w="243" w:type="pct"/>
          </w:tcPr>
          <w:p w:rsidR="007459F0" w:rsidRPr="007459F0" w:rsidRDefault="007459F0" w:rsidP="007459F0">
            <w:pPr>
              <w:jc w:val="both"/>
              <w:rPr>
                <w:sz w:val="20"/>
                <w:lang w:val="fr-CA"/>
              </w:rPr>
            </w:pPr>
          </w:p>
        </w:tc>
        <w:tc>
          <w:tcPr>
            <w:tcW w:w="2330" w:type="pct"/>
          </w:tcPr>
          <w:p w:rsidR="007459F0" w:rsidRPr="007459F0" w:rsidRDefault="007459F0" w:rsidP="007459F0">
            <w:pPr>
              <w:jc w:val="both"/>
              <w:rPr>
                <w:sz w:val="20"/>
                <w:lang w:val="fr-CA"/>
              </w:rPr>
            </w:pPr>
            <w:r w:rsidRPr="007459F0">
              <w:rPr>
                <w:sz w:val="20"/>
                <w:lang w:val="fr-CA"/>
              </w:rPr>
              <w:t>La demande de contrôle judiciaire est rejetée.</w:t>
            </w:r>
          </w:p>
          <w:p w:rsidR="007459F0" w:rsidRPr="007459F0" w:rsidRDefault="007459F0" w:rsidP="007459F0">
            <w:pPr>
              <w:jc w:val="both"/>
              <w:rPr>
                <w:sz w:val="20"/>
                <w:lang w:val="fr-CA"/>
              </w:rPr>
            </w:pPr>
          </w:p>
        </w:tc>
      </w:tr>
      <w:tr w:rsidR="007459F0" w:rsidRPr="007459F0" w:rsidTr="00E95A6A">
        <w:tc>
          <w:tcPr>
            <w:tcW w:w="2427" w:type="pct"/>
            <w:gridSpan w:val="2"/>
          </w:tcPr>
          <w:p w:rsidR="007459F0" w:rsidRPr="007459F0" w:rsidRDefault="007459F0" w:rsidP="007459F0">
            <w:pPr>
              <w:jc w:val="both"/>
              <w:rPr>
                <w:sz w:val="20"/>
                <w:lang w:val="fr-CA"/>
              </w:rPr>
            </w:pPr>
            <w:r w:rsidRPr="007459F0">
              <w:rPr>
                <w:sz w:val="20"/>
                <w:lang w:val="fr-CA"/>
              </w:rPr>
              <w:t>23 novembre 2020</w:t>
            </w:r>
          </w:p>
          <w:p w:rsidR="007459F0" w:rsidRPr="007459F0" w:rsidRDefault="007459F0" w:rsidP="007459F0">
            <w:pPr>
              <w:jc w:val="both"/>
              <w:rPr>
                <w:sz w:val="20"/>
                <w:lang w:val="fr-CA"/>
              </w:rPr>
            </w:pPr>
            <w:r w:rsidRPr="007459F0">
              <w:rPr>
                <w:sz w:val="20"/>
                <w:lang w:val="fr-CA"/>
              </w:rPr>
              <w:t>Cour d’appel de l’Alberta (Edmonton)</w:t>
            </w:r>
          </w:p>
          <w:p w:rsidR="007459F0" w:rsidRPr="007459F0" w:rsidRDefault="007459F0" w:rsidP="007459F0">
            <w:pPr>
              <w:jc w:val="both"/>
              <w:rPr>
                <w:sz w:val="20"/>
              </w:rPr>
            </w:pPr>
            <w:r w:rsidRPr="007459F0">
              <w:rPr>
                <w:sz w:val="20"/>
              </w:rPr>
              <w:t>(juges Martin, Khullar, Pentelechuck)</w:t>
            </w:r>
          </w:p>
          <w:p w:rsidR="007459F0" w:rsidRPr="007459F0" w:rsidRDefault="007459F0" w:rsidP="007459F0">
            <w:pPr>
              <w:jc w:val="both"/>
              <w:rPr>
                <w:sz w:val="20"/>
              </w:rPr>
            </w:pPr>
            <w:hyperlink r:id="rId17" w:history="1">
              <w:r w:rsidRPr="007459F0">
                <w:rPr>
                  <w:rStyle w:val="Hyperlink"/>
                  <w:sz w:val="20"/>
                </w:rPr>
                <w:t>2020 ABCA 419</w:t>
              </w:r>
            </w:hyperlink>
            <w:r w:rsidRPr="007459F0">
              <w:rPr>
                <w:sz w:val="20"/>
              </w:rPr>
              <w:t>; 1903</w:t>
            </w:r>
            <w:r w:rsidRPr="007459F0">
              <w:rPr>
                <w:sz w:val="20"/>
              </w:rPr>
              <w:noBreakHyphen/>
              <w:t>0229</w:t>
            </w:r>
            <w:r w:rsidRPr="007459F0">
              <w:rPr>
                <w:sz w:val="20"/>
              </w:rPr>
              <w:noBreakHyphen/>
              <w:t>AC</w:t>
            </w:r>
          </w:p>
          <w:p w:rsidR="007459F0" w:rsidRPr="007459F0" w:rsidRDefault="007459F0" w:rsidP="007459F0">
            <w:pPr>
              <w:jc w:val="both"/>
              <w:rPr>
                <w:sz w:val="20"/>
              </w:rPr>
            </w:pPr>
          </w:p>
        </w:tc>
        <w:tc>
          <w:tcPr>
            <w:tcW w:w="243" w:type="pct"/>
          </w:tcPr>
          <w:p w:rsidR="007459F0" w:rsidRPr="007459F0" w:rsidRDefault="007459F0" w:rsidP="007459F0">
            <w:pPr>
              <w:jc w:val="both"/>
              <w:rPr>
                <w:sz w:val="20"/>
              </w:rPr>
            </w:pPr>
          </w:p>
        </w:tc>
        <w:tc>
          <w:tcPr>
            <w:tcW w:w="2330" w:type="pct"/>
          </w:tcPr>
          <w:p w:rsidR="007459F0" w:rsidRPr="007459F0" w:rsidRDefault="007459F0" w:rsidP="007459F0">
            <w:pPr>
              <w:jc w:val="both"/>
              <w:rPr>
                <w:sz w:val="20"/>
                <w:lang w:val="fr-CA"/>
              </w:rPr>
            </w:pPr>
            <w:r w:rsidRPr="007459F0">
              <w:rPr>
                <w:sz w:val="20"/>
                <w:lang w:val="fr-CA"/>
              </w:rPr>
              <w:t>L’appel est rejeté.</w:t>
            </w:r>
          </w:p>
          <w:p w:rsidR="007459F0" w:rsidRPr="007459F0" w:rsidRDefault="007459F0" w:rsidP="007459F0">
            <w:pPr>
              <w:jc w:val="both"/>
              <w:rPr>
                <w:sz w:val="20"/>
                <w:lang w:val="fr-CA"/>
              </w:rPr>
            </w:pPr>
          </w:p>
        </w:tc>
      </w:tr>
      <w:tr w:rsidR="007459F0" w:rsidRPr="007459F0" w:rsidTr="00E95A6A">
        <w:tc>
          <w:tcPr>
            <w:tcW w:w="2427" w:type="pct"/>
            <w:gridSpan w:val="2"/>
          </w:tcPr>
          <w:p w:rsidR="007459F0" w:rsidRPr="007459F0" w:rsidRDefault="007459F0" w:rsidP="007459F0">
            <w:pPr>
              <w:jc w:val="both"/>
              <w:rPr>
                <w:sz w:val="20"/>
                <w:lang w:val="fr-CA"/>
              </w:rPr>
            </w:pPr>
            <w:r w:rsidRPr="007459F0">
              <w:rPr>
                <w:sz w:val="20"/>
                <w:lang w:val="fr-CA"/>
              </w:rPr>
              <w:t>20 janvier 2021</w:t>
            </w:r>
          </w:p>
          <w:p w:rsidR="007459F0" w:rsidRPr="007459F0" w:rsidRDefault="007459F0" w:rsidP="007459F0">
            <w:pPr>
              <w:jc w:val="both"/>
              <w:rPr>
                <w:sz w:val="20"/>
                <w:lang w:val="fr-CA"/>
              </w:rPr>
            </w:pPr>
            <w:r w:rsidRPr="007459F0">
              <w:rPr>
                <w:sz w:val="20"/>
                <w:lang w:val="fr-CA"/>
              </w:rPr>
              <w:t>Cour suprême du Canada</w:t>
            </w:r>
          </w:p>
        </w:tc>
        <w:tc>
          <w:tcPr>
            <w:tcW w:w="243" w:type="pct"/>
          </w:tcPr>
          <w:p w:rsidR="007459F0" w:rsidRPr="007459F0" w:rsidRDefault="007459F0" w:rsidP="007459F0">
            <w:pPr>
              <w:jc w:val="both"/>
              <w:rPr>
                <w:sz w:val="20"/>
                <w:lang w:val="fr-CA"/>
              </w:rPr>
            </w:pPr>
          </w:p>
        </w:tc>
        <w:tc>
          <w:tcPr>
            <w:tcW w:w="2330" w:type="pct"/>
          </w:tcPr>
          <w:p w:rsidR="007459F0" w:rsidRPr="007459F0" w:rsidRDefault="007459F0" w:rsidP="007459F0">
            <w:pPr>
              <w:jc w:val="both"/>
              <w:rPr>
                <w:sz w:val="20"/>
                <w:lang w:val="fr-CA"/>
              </w:rPr>
            </w:pPr>
            <w:r w:rsidRPr="007459F0">
              <w:rPr>
                <w:sz w:val="20"/>
                <w:lang w:val="fr-CA"/>
              </w:rPr>
              <w:t>La demande d’autorisation d’appel est présentée.</w:t>
            </w:r>
          </w:p>
          <w:p w:rsidR="007459F0" w:rsidRPr="007459F0" w:rsidRDefault="007459F0" w:rsidP="007459F0">
            <w:pPr>
              <w:jc w:val="both"/>
              <w:rPr>
                <w:sz w:val="20"/>
                <w:lang w:val="fr-CA"/>
              </w:rPr>
            </w:pPr>
          </w:p>
        </w:tc>
      </w:tr>
    </w:tbl>
    <w:p w:rsidR="00832A5F" w:rsidRPr="007459F0" w:rsidRDefault="00832A5F" w:rsidP="00EC12AF">
      <w:pPr>
        <w:widowControl w:val="0"/>
        <w:jc w:val="both"/>
        <w:rPr>
          <w:sz w:val="20"/>
          <w:lang w:val="fr-CA"/>
        </w:rPr>
      </w:pPr>
    </w:p>
    <w:p w:rsidR="008C3C00" w:rsidRPr="007459F0" w:rsidRDefault="007459F0" w:rsidP="00C13AB4">
      <w:pPr>
        <w:widowControl w:val="0"/>
        <w:jc w:val="both"/>
        <w:rPr>
          <w:sz w:val="20"/>
        </w:rPr>
      </w:pPr>
      <w:r w:rsidRPr="007459F0">
        <w:rPr>
          <w:sz w:val="20"/>
        </w:rPr>
        <w:pict>
          <v:rect id="_x0000_i1027" style="width:2in;height:1pt" o:hrpct="0" o:hralign="center" o:hrstd="t" o:hrnoshade="t" o:hr="t" fillcolor="black [3213]" stroked="f"/>
        </w:pict>
      </w:r>
    </w:p>
    <w:p w:rsidR="008C3C00" w:rsidRPr="007459F0" w:rsidRDefault="008C3C00" w:rsidP="00C13AB4">
      <w:pPr>
        <w:widowControl w:val="0"/>
        <w:jc w:val="both"/>
        <w:rPr>
          <w:sz w:val="20"/>
        </w:rPr>
      </w:pPr>
    </w:p>
    <w:p w:rsidR="005C7161" w:rsidRPr="007459F0" w:rsidRDefault="005C7161" w:rsidP="006A22CA">
      <w:pPr>
        <w:ind w:left="142" w:hanging="142"/>
        <w:jc w:val="both"/>
        <w:rPr>
          <w:sz w:val="20"/>
        </w:rPr>
      </w:pPr>
    </w:p>
    <w:p w:rsidR="00FD3FA0" w:rsidRPr="007459F0" w:rsidRDefault="00FD3FA0" w:rsidP="006A22CA">
      <w:pPr>
        <w:ind w:left="142" w:hanging="142"/>
        <w:jc w:val="both"/>
        <w:rPr>
          <w:sz w:val="20"/>
        </w:rPr>
      </w:pPr>
    </w:p>
    <w:p w:rsidR="00D3344A" w:rsidRPr="007459F0" w:rsidRDefault="00D3344A" w:rsidP="00D3344A">
      <w:pPr>
        <w:widowControl w:val="0"/>
        <w:outlineLvl w:val="0"/>
      </w:pPr>
      <w:r w:rsidRPr="007459F0">
        <w:t xml:space="preserve">Supreme Court of Canada / Cour suprême du </w:t>
      </w:r>
      <w:proofErr w:type="gramStart"/>
      <w:r w:rsidRPr="007459F0">
        <w:t>Canad</w:t>
      </w:r>
      <w:r w:rsidR="00EE289F" w:rsidRPr="007459F0">
        <w:t>a</w:t>
      </w:r>
      <w:r w:rsidRPr="007459F0">
        <w:t xml:space="preserve"> :</w:t>
      </w:r>
      <w:proofErr w:type="gramEnd"/>
    </w:p>
    <w:p w:rsidR="00D3344A" w:rsidRPr="007459F0" w:rsidRDefault="007459F0" w:rsidP="00D3344A">
      <w:pPr>
        <w:widowControl w:val="0"/>
        <w:outlineLvl w:val="0"/>
        <w:rPr>
          <w:u w:val="single"/>
        </w:rPr>
      </w:pPr>
      <w:hyperlink r:id="rId18" w:history="1">
        <w:r w:rsidR="009B7391" w:rsidRPr="007459F0">
          <w:rPr>
            <w:rStyle w:val="Hyperlink"/>
          </w:rPr>
          <w:t>comments-commentaires@scc-csc.ca</w:t>
        </w:r>
      </w:hyperlink>
    </w:p>
    <w:p w:rsidR="00D3344A" w:rsidRPr="007459F0" w:rsidRDefault="0065588C" w:rsidP="00D3344A">
      <w:pPr>
        <w:widowControl w:val="0"/>
        <w:outlineLvl w:val="0"/>
      </w:pPr>
      <w:r w:rsidRPr="007459F0">
        <w:t>613-</w:t>
      </w:r>
      <w:r w:rsidR="00D3344A" w:rsidRPr="007459F0">
        <w:t>995-4330</w:t>
      </w:r>
    </w:p>
    <w:p w:rsidR="00497B5E" w:rsidRPr="007459F0" w:rsidRDefault="00497B5E" w:rsidP="00497B5E">
      <w:pPr>
        <w:widowControl w:val="0"/>
        <w:rPr>
          <w:sz w:val="20"/>
        </w:rPr>
      </w:pPr>
    </w:p>
    <w:p w:rsidR="00F6251B" w:rsidRPr="006E558B" w:rsidRDefault="003F43E6" w:rsidP="00F6251B">
      <w:pPr>
        <w:pStyle w:val="Footer"/>
        <w:jc w:val="center"/>
      </w:pPr>
      <w:r w:rsidRPr="007459F0">
        <w:t>- 30 -</w:t>
      </w:r>
      <w:bookmarkStart w:id="0" w:name="_GoBack"/>
      <w:bookmarkEnd w:id="0"/>
    </w:p>
    <w:sectPr w:rsidR="00F6251B" w:rsidRPr="006E558B" w:rsidSect="00E62F93">
      <w:headerReference w:type="even" r:id="rId19"/>
      <w:headerReference w:type="default" r:id="rId20"/>
      <w:footerReference w:type="even" r:id="rId21"/>
      <w:footerReference w:type="default" r:id="rId22"/>
      <w:headerReference w:type="first" r:id="rId23"/>
      <w:footerReference w:type="first" r:id="rId2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77" w:rsidRDefault="00CE4877" w:rsidP="0034178A">
      <w:r>
        <w:separator/>
      </w:r>
    </w:p>
  </w:endnote>
  <w:endnote w:type="continuationSeparator" w:id="0">
    <w:p w:rsidR="00CE4877" w:rsidRDefault="00CE487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Pr="009F77F0" w:rsidRDefault="00CE487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77" w:rsidRDefault="00CE4877" w:rsidP="0034178A">
      <w:r>
        <w:separator/>
      </w:r>
    </w:p>
  </w:footnote>
  <w:footnote w:type="continuationSeparator" w:id="0">
    <w:p w:rsidR="00CE4877" w:rsidRDefault="00CE487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11"/>
  </w:num>
  <w:num w:numId="5">
    <w:abstractNumId w:val="19"/>
  </w:num>
  <w:num w:numId="6">
    <w:abstractNumId w:val="10"/>
  </w:num>
  <w:num w:numId="7">
    <w:abstractNumId w:val="13"/>
  </w:num>
  <w:num w:numId="8">
    <w:abstractNumId w:val="6"/>
  </w:num>
  <w:num w:numId="9">
    <w:abstractNumId w:val="0"/>
  </w:num>
  <w:num w:numId="10">
    <w:abstractNumId w:val="16"/>
  </w:num>
  <w:num w:numId="11">
    <w:abstractNumId w:val="9"/>
  </w:num>
  <w:num w:numId="12">
    <w:abstractNumId w:val="8"/>
  </w:num>
  <w:num w:numId="13">
    <w:abstractNumId w:val="7"/>
  </w:num>
  <w:num w:numId="14">
    <w:abstractNumId w:val="20"/>
  </w:num>
  <w:num w:numId="15">
    <w:abstractNumId w:val="12"/>
  </w:num>
  <w:num w:numId="16">
    <w:abstractNumId w:val="1"/>
  </w:num>
  <w:num w:numId="17">
    <w:abstractNumId w:val="2"/>
  </w:num>
  <w:num w:numId="18">
    <w:abstractNumId w:val="15"/>
  </w:num>
  <w:num w:numId="19">
    <w:abstractNumId w:val="18"/>
  </w:num>
  <w:num w:numId="20">
    <w:abstractNumId w:val="14"/>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3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533" TargetMode="External"/><Relationship Id="rId13" Type="http://schemas.openxmlformats.org/officeDocument/2006/relationships/hyperlink" Target="https://canlii.ca/t/jckfl"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nlii.ca/t/j47p7" TargetMode="External"/><Relationship Id="rId17" Type="http://schemas.openxmlformats.org/officeDocument/2006/relationships/hyperlink" Target="https://www.canlii.org/en/ab/abca/doc/2020/2020abca419/2020abca419.html?resultIndex=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ab/abqb/doc/2019/2019abqb632/2019abqb632.html?resultIndex=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ckf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en/ab/abca/doc/2020/2020abca419/2020abca419.html?resultIndex=1" TargetMode="External"/><Relationship Id="rId23" Type="http://schemas.openxmlformats.org/officeDocument/2006/relationships/header" Target="header3.xml"/><Relationship Id="rId10" Type="http://schemas.openxmlformats.org/officeDocument/2006/relationships/hyperlink" Target="https://canlii.ca/t/j47p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9536" TargetMode="External"/><Relationship Id="rId14" Type="http://schemas.openxmlformats.org/officeDocument/2006/relationships/hyperlink" Target="https://www.canlii.org/en/ab/abqb/doc/2019/2019abqb632/2019abqb632.html?resultIndex=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2635-8158-4621-9549-F5B7E317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2021-05-05T14:43:00Z</dcterms:modified>
</cp:coreProperties>
</file>