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B4BA2" w:rsidRDefault="000E391F" w:rsidP="000E391F">
      <w:pPr>
        <w:pStyle w:val="Header"/>
        <w:jc w:val="center"/>
        <w:rPr>
          <w:b/>
          <w:sz w:val="32"/>
        </w:rPr>
      </w:pPr>
      <w:r w:rsidRPr="000B4BA2">
        <w:rPr>
          <w:b/>
          <w:sz w:val="32"/>
        </w:rPr>
        <w:t>Supreme Court of Canada / Cour suprême du Canada</w:t>
      </w:r>
    </w:p>
    <w:p w:rsidR="000E391F" w:rsidRPr="000B4BA2" w:rsidRDefault="000E391F" w:rsidP="000E391F">
      <w:pPr>
        <w:widowControl w:val="0"/>
      </w:pPr>
    </w:p>
    <w:p w:rsidR="000E391F" w:rsidRPr="000B4BA2" w:rsidRDefault="000E391F" w:rsidP="000E391F">
      <w:pPr>
        <w:widowControl w:val="0"/>
        <w:rPr>
          <w:i/>
        </w:rPr>
      </w:pPr>
    </w:p>
    <w:p w:rsidR="006F2579" w:rsidRPr="000B4BA2" w:rsidRDefault="006F2579" w:rsidP="006F2579">
      <w:pPr>
        <w:widowControl w:val="0"/>
        <w:rPr>
          <w:i/>
          <w:sz w:val="20"/>
        </w:rPr>
      </w:pPr>
      <w:r w:rsidRPr="000B4BA2">
        <w:rPr>
          <w:i/>
          <w:sz w:val="20"/>
        </w:rPr>
        <w:t>(</w:t>
      </w:r>
      <w:r w:rsidR="003240B6" w:rsidRPr="000B4BA2">
        <w:rPr>
          <w:i/>
          <w:sz w:val="20"/>
        </w:rPr>
        <w:t>L</w:t>
      </w:r>
      <w:r w:rsidRPr="000B4BA2">
        <w:rPr>
          <w:i/>
          <w:sz w:val="20"/>
        </w:rPr>
        <w:t>e français suit)</w:t>
      </w:r>
    </w:p>
    <w:p w:rsidR="006F2579" w:rsidRPr="000B4BA2" w:rsidRDefault="006F2579" w:rsidP="006F2579">
      <w:pPr>
        <w:widowControl w:val="0"/>
      </w:pPr>
    </w:p>
    <w:p w:rsidR="006F2579" w:rsidRPr="000B4BA2" w:rsidRDefault="00B07908" w:rsidP="006F2579">
      <w:pPr>
        <w:widowControl w:val="0"/>
        <w:jc w:val="center"/>
        <w:rPr>
          <w:b/>
        </w:rPr>
      </w:pPr>
      <w:r w:rsidRPr="000B4BA2">
        <w:fldChar w:fldCharType="begin"/>
      </w:r>
      <w:r w:rsidR="006F2579" w:rsidRPr="000B4BA2">
        <w:instrText xml:space="preserve"> SEQ CHAPTER \h \r 1</w:instrText>
      </w:r>
      <w:r w:rsidRPr="000B4BA2">
        <w:fldChar w:fldCharType="end"/>
      </w:r>
      <w:r w:rsidR="006F2579" w:rsidRPr="000B4BA2">
        <w:rPr>
          <w:b/>
        </w:rPr>
        <w:t>JUDGMENT</w:t>
      </w:r>
      <w:r w:rsidR="00B17AAC" w:rsidRPr="000B4BA2">
        <w:rPr>
          <w:b/>
        </w:rPr>
        <w:t>S</w:t>
      </w:r>
      <w:r w:rsidR="006F2579" w:rsidRPr="000B4BA2">
        <w:rPr>
          <w:b/>
        </w:rPr>
        <w:t xml:space="preserve"> TO B</w:t>
      </w:r>
      <w:r w:rsidR="00001846" w:rsidRPr="000B4BA2">
        <w:rPr>
          <w:b/>
        </w:rPr>
        <w:t>E RENDERED IN LE</w:t>
      </w:r>
      <w:r w:rsidR="00A0288A" w:rsidRPr="000B4BA2">
        <w:rPr>
          <w:b/>
        </w:rPr>
        <w:t>A</w:t>
      </w:r>
      <w:r w:rsidR="00001846" w:rsidRPr="000B4BA2">
        <w:rPr>
          <w:b/>
        </w:rPr>
        <w:t>VE APPLICATION</w:t>
      </w:r>
      <w:r w:rsidR="00511288" w:rsidRPr="000B4BA2">
        <w:rPr>
          <w:b/>
        </w:rPr>
        <w:t>S</w:t>
      </w:r>
    </w:p>
    <w:p w:rsidR="006F2579" w:rsidRPr="000B4BA2" w:rsidRDefault="006F2579" w:rsidP="006F2579">
      <w:pPr>
        <w:widowControl w:val="0"/>
      </w:pPr>
    </w:p>
    <w:p w:rsidR="006F2579" w:rsidRPr="000B4BA2" w:rsidRDefault="006416FE" w:rsidP="006F2579">
      <w:pPr>
        <w:widowControl w:val="0"/>
      </w:pPr>
      <w:r w:rsidRPr="000B4BA2">
        <w:rPr>
          <w:b/>
        </w:rPr>
        <w:t>June</w:t>
      </w:r>
      <w:r w:rsidR="00A15B66" w:rsidRPr="000B4BA2">
        <w:rPr>
          <w:b/>
        </w:rPr>
        <w:t xml:space="preserve"> </w:t>
      </w:r>
      <w:r w:rsidRPr="000B4BA2">
        <w:rPr>
          <w:b/>
        </w:rPr>
        <w:t>7</w:t>
      </w:r>
      <w:r w:rsidR="004441C7" w:rsidRPr="000B4BA2">
        <w:rPr>
          <w:b/>
        </w:rPr>
        <w:t>,</w:t>
      </w:r>
      <w:r w:rsidR="006F2579" w:rsidRPr="000B4BA2">
        <w:rPr>
          <w:b/>
        </w:rPr>
        <w:t xml:space="preserve"> </w:t>
      </w:r>
      <w:r w:rsidR="0054689F" w:rsidRPr="000B4BA2">
        <w:rPr>
          <w:b/>
        </w:rPr>
        <w:t>20</w:t>
      </w:r>
      <w:r w:rsidR="00526754" w:rsidRPr="000B4BA2">
        <w:rPr>
          <w:b/>
        </w:rPr>
        <w:t>2</w:t>
      </w:r>
      <w:r w:rsidR="0068416C" w:rsidRPr="000B4BA2">
        <w:rPr>
          <w:b/>
        </w:rPr>
        <w:t>1</w:t>
      </w:r>
    </w:p>
    <w:p w:rsidR="006F2579" w:rsidRPr="000B4BA2" w:rsidRDefault="00674F39" w:rsidP="006F2579">
      <w:pPr>
        <w:widowControl w:val="0"/>
        <w:rPr>
          <w:b/>
        </w:rPr>
      </w:pPr>
      <w:r w:rsidRPr="000B4BA2">
        <w:rPr>
          <w:b/>
        </w:rPr>
        <w:t>For immediate release</w:t>
      </w:r>
    </w:p>
    <w:p w:rsidR="006F2579" w:rsidRPr="000B4BA2" w:rsidRDefault="006F2579" w:rsidP="006F2579">
      <w:pPr>
        <w:widowControl w:val="0"/>
      </w:pPr>
    </w:p>
    <w:p w:rsidR="006F2579" w:rsidRPr="000B4BA2" w:rsidRDefault="006F2579" w:rsidP="006F2579">
      <w:pPr>
        <w:widowControl w:val="0"/>
        <w:rPr>
          <w:lang w:val="fr-CA"/>
        </w:rPr>
      </w:pPr>
      <w:r w:rsidRPr="000B4BA2">
        <w:rPr>
          <w:b/>
        </w:rPr>
        <w:t>OTTAWA</w:t>
      </w:r>
      <w:r w:rsidRPr="000B4BA2">
        <w:t xml:space="preserve"> – The Supreme Court of Canad</w:t>
      </w:r>
      <w:r w:rsidR="006246E4" w:rsidRPr="000B4BA2">
        <w:t>a</w:t>
      </w:r>
      <w:r w:rsidRPr="000B4BA2">
        <w:t xml:space="preserve"> announced today that judgment in the following </w:t>
      </w:r>
      <w:r w:rsidR="00DB6199" w:rsidRPr="000B4BA2">
        <w:t xml:space="preserve">leave applications </w:t>
      </w:r>
      <w:r w:rsidRPr="000B4BA2">
        <w:t xml:space="preserve">will be delivered at 9:45 a.m. </w:t>
      </w:r>
      <w:r w:rsidR="00E05816" w:rsidRPr="000B4BA2">
        <w:t>E</w:t>
      </w:r>
      <w:r w:rsidR="0098345D" w:rsidRPr="000B4BA2">
        <w:t>D</w:t>
      </w:r>
      <w:r w:rsidR="00E05816" w:rsidRPr="000B4BA2">
        <w:t>T</w:t>
      </w:r>
      <w:r w:rsidRPr="000B4BA2">
        <w:t xml:space="preserve"> on </w:t>
      </w:r>
      <w:r w:rsidR="0068416C" w:rsidRPr="000B4BA2">
        <w:t>Thursday</w:t>
      </w:r>
      <w:r w:rsidRPr="000B4BA2">
        <w:t xml:space="preserve">, </w:t>
      </w:r>
      <w:r w:rsidR="00D9171F" w:rsidRPr="000B4BA2">
        <w:t>June</w:t>
      </w:r>
      <w:r w:rsidR="00455912" w:rsidRPr="000B4BA2">
        <w:t xml:space="preserve"> </w:t>
      </w:r>
      <w:r w:rsidR="006416FE" w:rsidRPr="000B4BA2">
        <w:t>10</w:t>
      </w:r>
      <w:r w:rsidR="007E112F" w:rsidRPr="000B4BA2">
        <w:t>,</w:t>
      </w:r>
      <w:r w:rsidR="002F38D7" w:rsidRPr="000B4BA2">
        <w:t xml:space="preserve"> </w:t>
      </w:r>
      <w:r w:rsidR="006648D1" w:rsidRPr="000B4BA2">
        <w:t>20</w:t>
      </w:r>
      <w:r w:rsidR="00526754" w:rsidRPr="000B4BA2">
        <w:t>2</w:t>
      </w:r>
      <w:r w:rsidR="00DD65CF" w:rsidRPr="000B4BA2">
        <w:t>1</w:t>
      </w:r>
      <w:r w:rsidRPr="000B4BA2">
        <w:t xml:space="preserve">. </w:t>
      </w:r>
      <w:r w:rsidRPr="000B4BA2">
        <w:rPr>
          <w:lang w:val="fr-CA"/>
        </w:rPr>
        <w:t>This list is subject to chang</w:t>
      </w:r>
      <w:r w:rsidR="00192F7F" w:rsidRPr="000B4BA2">
        <w:rPr>
          <w:lang w:val="fr-CA"/>
        </w:rPr>
        <w:t>e</w:t>
      </w:r>
      <w:r w:rsidRPr="000B4BA2">
        <w:rPr>
          <w:lang w:val="fr-CA"/>
        </w:rPr>
        <w:t>.</w:t>
      </w:r>
    </w:p>
    <w:p w:rsidR="00FF5AA4" w:rsidRPr="000B4BA2" w:rsidRDefault="00FF5AA4" w:rsidP="006F2579">
      <w:pPr>
        <w:widowControl w:val="0"/>
        <w:rPr>
          <w:lang w:val="fr-CA"/>
        </w:rPr>
      </w:pPr>
    </w:p>
    <w:p w:rsidR="00B43418" w:rsidRPr="000B4BA2" w:rsidRDefault="00B43418" w:rsidP="006F2579">
      <w:pPr>
        <w:widowControl w:val="0"/>
        <w:rPr>
          <w:lang w:val="fr-CA"/>
        </w:rPr>
      </w:pPr>
    </w:p>
    <w:p w:rsidR="006F2579" w:rsidRPr="000B4BA2" w:rsidRDefault="006F2579" w:rsidP="006F2579">
      <w:pPr>
        <w:widowControl w:val="0"/>
        <w:jc w:val="center"/>
        <w:rPr>
          <w:lang w:val="fr-CA"/>
        </w:rPr>
      </w:pPr>
      <w:r w:rsidRPr="000B4BA2">
        <w:rPr>
          <w:b/>
          <w:lang w:val="fr-CA"/>
        </w:rPr>
        <w:t>PROCHAIN</w:t>
      </w:r>
      <w:r w:rsidR="00B17AAC" w:rsidRPr="000B4BA2">
        <w:rPr>
          <w:b/>
          <w:lang w:val="fr-CA"/>
        </w:rPr>
        <w:t>S</w:t>
      </w:r>
      <w:r w:rsidRPr="000B4BA2">
        <w:rPr>
          <w:b/>
          <w:lang w:val="fr-CA"/>
        </w:rPr>
        <w:t xml:space="preserve"> JUGEMENT</w:t>
      </w:r>
      <w:r w:rsidR="00B17AAC" w:rsidRPr="000B4BA2">
        <w:rPr>
          <w:b/>
          <w:lang w:val="fr-CA"/>
        </w:rPr>
        <w:t>S</w:t>
      </w:r>
      <w:r w:rsidR="00001846" w:rsidRPr="000B4BA2">
        <w:rPr>
          <w:b/>
          <w:lang w:val="fr-CA"/>
        </w:rPr>
        <w:t xml:space="preserve"> SUR DEMANDE</w:t>
      </w:r>
      <w:r w:rsidR="00B17AAC" w:rsidRPr="000B4BA2">
        <w:rPr>
          <w:b/>
          <w:lang w:val="fr-CA"/>
        </w:rPr>
        <w:t>S</w:t>
      </w:r>
      <w:r w:rsidRPr="000B4BA2">
        <w:rPr>
          <w:b/>
          <w:lang w:val="fr-CA"/>
        </w:rPr>
        <w:t xml:space="preserve"> D’AUTORISATION</w:t>
      </w:r>
    </w:p>
    <w:p w:rsidR="006F2579" w:rsidRPr="000B4BA2" w:rsidRDefault="006F2579" w:rsidP="006F2579">
      <w:pPr>
        <w:widowControl w:val="0"/>
        <w:rPr>
          <w:lang w:val="fr-CA"/>
        </w:rPr>
      </w:pPr>
    </w:p>
    <w:p w:rsidR="006F2579" w:rsidRPr="000B4BA2" w:rsidRDefault="006F2579" w:rsidP="006F2579">
      <w:pPr>
        <w:widowControl w:val="0"/>
        <w:rPr>
          <w:lang w:val="fr-CA"/>
        </w:rPr>
      </w:pPr>
      <w:r w:rsidRPr="000B4BA2">
        <w:rPr>
          <w:b/>
          <w:lang w:val="fr-CA"/>
        </w:rPr>
        <w:t>Le</w:t>
      </w:r>
      <w:r w:rsidR="00957A76" w:rsidRPr="000B4BA2">
        <w:rPr>
          <w:b/>
          <w:lang w:val="fr-CA"/>
        </w:rPr>
        <w:t xml:space="preserve"> </w:t>
      </w:r>
      <w:r w:rsidR="006416FE" w:rsidRPr="000B4BA2">
        <w:rPr>
          <w:b/>
          <w:lang w:val="fr-CA"/>
        </w:rPr>
        <w:t>7</w:t>
      </w:r>
      <w:r w:rsidR="00825246" w:rsidRPr="000B4BA2">
        <w:rPr>
          <w:b/>
          <w:lang w:val="fr-CA"/>
        </w:rPr>
        <w:t xml:space="preserve"> </w:t>
      </w:r>
      <w:r w:rsidR="006416FE" w:rsidRPr="000B4BA2">
        <w:rPr>
          <w:b/>
          <w:lang w:val="fr-CA"/>
        </w:rPr>
        <w:t>juin</w:t>
      </w:r>
      <w:r w:rsidR="00A151D1" w:rsidRPr="000B4BA2">
        <w:rPr>
          <w:b/>
          <w:lang w:val="fr-CA"/>
        </w:rPr>
        <w:t xml:space="preserve"> 20</w:t>
      </w:r>
      <w:r w:rsidR="00526754" w:rsidRPr="000B4BA2">
        <w:rPr>
          <w:b/>
          <w:lang w:val="fr-CA"/>
        </w:rPr>
        <w:t>2</w:t>
      </w:r>
      <w:r w:rsidR="0068416C" w:rsidRPr="000B4BA2">
        <w:rPr>
          <w:b/>
          <w:lang w:val="fr-CA"/>
        </w:rPr>
        <w:t>1</w:t>
      </w:r>
    </w:p>
    <w:p w:rsidR="006F2579" w:rsidRPr="000B4BA2" w:rsidRDefault="006F2579" w:rsidP="006F2579">
      <w:pPr>
        <w:widowControl w:val="0"/>
        <w:rPr>
          <w:b/>
          <w:lang w:val="fr-CA"/>
        </w:rPr>
      </w:pPr>
      <w:r w:rsidRPr="000B4BA2">
        <w:rPr>
          <w:b/>
          <w:lang w:val="fr-CA"/>
        </w:rPr>
        <w:t>Pour diffusion immédiate</w:t>
      </w:r>
    </w:p>
    <w:p w:rsidR="006F2579" w:rsidRPr="000B4BA2" w:rsidRDefault="006F2579" w:rsidP="006F2579">
      <w:pPr>
        <w:widowControl w:val="0"/>
        <w:rPr>
          <w:lang w:val="fr-CA"/>
        </w:rPr>
      </w:pPr>
    </w:p>
    <w:p w:rsidR="006F2579" w:rsidRPr="000B4BA2" w:rsidRDefault="006F2579" w:rsidP="006F2579">
      <w:pPr>
        <w:widowControl w:val="0"/>
        <w:rPr>
          <w:lang w:val="fr-CA"/>
        </w:rPr>
      </w:pPr>
      <w:r w:rsidRPr="000B4BA2">
        <w:rPr>
          <w:b/>
          <w:lang w:val="fr-CA"/>
        </w:rPr>
        <w:t>OTTAWA</w:t>
      </w:r>
      <w:r w:rsidRPr="000B4BA2">
        <w:rPr>
          <w:lang w:val="fr-CA"/>
        </w:rPr>
        <w:t xml:space="preserve"> – La Cour suprême du Canada annonce que jugement ser</w:t>
      </w:r>
      <w:r w:rsidR="004259F9" w:rsidRPr="000B4BA2">
        <w:rPr>
          <w:lang w:val="fr-CA"/>
        </w:rPr>
        <w:t>a</w:t>
      </w:r>
      <w:r w:rsidRPr="000B4BA2">
        <w:rPr>
          <w:lang w:val="fr-CA"/>
        </w:rPr>
        <w:t xml:space="preserve"> rendu dans l</w:t>
      </w:r>
      <w:r w:rsidR="008600ED" w:rsidRPr="000B4BA2">
        <w:rPr>
          <w:lang w:val="fr-CA"/>
        </w:rPr>
        <w:t>es</w:t>
      </w:r>
      <w:r w:rsidRPr="000B4BA2">
        <w:rPr>
          <w:lang w:val="fr-CA"/>
        </w:rPr>
        <w:t xml:space="preserve"> demande</w:t>
      </w:r>
      <w:r w:rsidR="008600ED" w:rsidRPr="000B4BA2">
        <w:rPr>
          <w:lang w:val="fr-CA"/>
        </w:rPr>
        <w:t>s</w:t>
      </w:r>
      <w:r w:rsidRPr="000B4BA2">
        <w:rPr>
          <w:lang w:val="fr-CA"/>
        </w:rPr>
        <w:t xml:space="preserve"> d</w:t>
      </w:r>
      <w:r w:rsidR="00001846" w:rsidRPr="000B4BA2">
        <w:rPr>
          <w:lang w:val="fr-CA"/>
        </w:rPr>
        <w:t>’autorisation suivante</w:t>
      </w:r>
      <w:r w:rsidR="008600ED" w:rsidRPr="000B4BA2">
        <w:rPr>
          <w:lang w:val="fr-CA"/>
        </w:rPr>
        <w:t>s</w:t>
      </w:r>
      <w:r w:rsidRPr="000B4BA2">
        <w:rPr>
          <w:lang w:val="fr-CA"/>
        </w:rPr>
        <w:t xml:space="preserve"> le </w:t>
      </w:r>
      <w:r w:rsidR="0068416C" w:rsidRPr="000B4BA2">
        <w:rPr>
          <w:lang w:val="fr-CA"/>
        </w:rPr>
        <w:t>jeudi</w:t>
      </w:r>
      <w:r w:rsidRPr="000B4BA2">
        <w:rPr>
          <w:lang w:val="fr-CA"/>
        </w:rPr>
        <w:t xml:space="preserve"> </w:t>
      </w:r>
      <w:r w:rsidR="006416FE" w:rsidRPr="000B4BA2">
        <w:rPr>
          <w:lang w:val="fr-CA"/>
        </w:rPr>
        <w:t>10</w:t>
      </w:r>
      <w:r w:rsidR="009E0BD3" w:rsidRPr="000B4BA2">
        <w:rPr>
          <w:lang w:val="fr-CA"/>
        </w:rPr>
        <w:t xml:space="preserve"> </w:t>
      </w:r>
      <w:r w:rsidR="00D9171F" w:rsidRPr="000B4BA2">
        <w:rPr>
          <w:lang w:val="fr-CA"/>
        </w:rPr>
        <w:t>juin</w:t>
      </w:r>
      <w:r w:rsidR="00694391" w:rsidRPr="000B4BA2">
        <w:rPr>
          <w:lang w:val="fr-CA"/>
        </w:rPr>
        <w:t xml:space="preserve"> 2</w:t>
      </w:r>
      <w:r w:rsidR="006648D1" w:rsidRPr="000B4BA2">
        <w:rPr>
          <w:lang w:val="fr-CA"/>
        </w:rPr>
        <w:t>0</w:t>
      </w:r>
      <w:r w:rsidR="00526754" w:rsidRPr="000B4BA2">
        <w:rPr>
          <w:lang w:val="fr-CA"/>
        </w:rPr>
        <w:t>2</w:t>
      </w:r>
      <w:r w:rsidR="0068416C" w:rsidRPr="000B4BA2">
        <w:rPr>
          <w:lang w:val="fr-CA"/>
        </w:rPr>
        <w:t>1</w:t>
      </w:r>
      <w:r w:rsidRPr="000B4BA2">
        <w:rPr>
          <w:lang w:val="fr-CA"/>
        </w:rPr>
        <w:t xml:space="preserve">, à 9 h 45 </w:t>
      </w:r>
      <w:r w:rsidR="000627A2" w:rsidRPr="000B4BA2">
        <w:rPr>
          <w:lang w:val="fr-CA"/>
        </w:rPr>
        <w:t>H</w:t>
      </w:r>
      <w:r w:rsidR="0098345D" w:rsidRPr="000B4BA2">
        <w:rPr>
          <w:lang w:val="fr-CA"/>
        </w:rPr>
        <w:t>A</w:t>
      </w:r>
      <w:r w:rsidRPr="000B4BA2">
        <w:rPr>
          <w:lang w:val="fr-CA"/>
        </w:rPr>
        <w:t>E. Cette liste est sujette à modification</w:t>
      </w:r>
      <w:r w:rsidR="00130ADB" w:rsidRPr="000B4BA2">
        <w:rPr>
          <w:lang w:val="fr-CA"/>
        </w:rPr>
        <w:t>s</w:t>
      </w:r>
      <w:r w:rsidRPr="000B4BA2">
        <w:rPr>
          <w:lang w:val="fr-CA"/>
        </w:rPr>
        <w:t>.</w:t>
      </w:r>
    </w:p>
    <w:p w:rsidR="0080556B" w:rsidRPr="000B4BA2" w:rsidRDefault="0080556B" w:rsidP="009B14F4">
      <w:pPr>
        <w:widowControl w:val="0"/>
        <w:jc w:val="both"/>
        <w:rPr>
          <w:sz w:val="20"/>
          <w:lang w:val="fr-CA"/>
        </w:rPr>
      </w:pPr>
    </w:p>
    <w:p w:rsidR="00867C61" w:rsidRPr="000B4BA2" w:rsidRDefault="000B4BA2" w:rsidP="009B14F4">
      <w:pPr>
        <w:widowControl w:val="0"/>
        <w:jc w:val="both"/>
        <w:rPr>
          <w:sz w:val="20"/>
        </w:rPr>
      </w:pPr>
      <w:r w:rsidRPr="000B4BA2">
        <w:rPr>
          <w:sz w:val="20"/>
        </w:rPr>
        <w:pict>
          <v:rect id="_x0000_i1025" style="width:2in;height:1pt" o:hrpct="0" o:hralign="center" o:hrstd="t" o:hrnoshade="t" o:hr="t" fillcolor="black [3213]" stroked="f"/>
        </w:pict>
      </w:r>
    </w:p>
    <w:p w:rsidR="004A6E51" w:rsidRPr="000B4BA2" w:rsidRDefault="004A6E51" w:rsidP="000E2E04">
      <w:pPr>
        <w:ind w:left="357" w:hanging="357"/>
        <w:contextualSpacing/>
        <w:rPr>
          <w:sz w:val="20"/>
          <w:lang w:val="fr-CA"/>
        </w:rPr>
      </w:pPr>
    </w:p>
    <w:p w:rsidR="00C744F7" w:rsidRPr="000B4BA2" w:rsidRDefault="00C744F7" w:rsidP="00C744F7">
      <w:pPr>
        <w:pStyle w:val="ListParagraph"/>
        <w:numPr>
          <w:ilvl w:val="0"/>
          <w:numId w:val="34"/>
        </w:numPr>
        <w:ind w:left="357" w:hanging="357"/>
        <w:rPr>
          <w:rStyle w:val="SCCAppellantInfoAppellantInfoChar"/>
          <w:sz w:val="20"/>
          <w:szCs w:val="20"/>
          <w:lang w:val="fr-CA"/>
        </w:rPr>
      </w:pPr>
      <w:r w:rsidRPr="000B4BA2">
        <w:rPr>
          <w:i/>
          <w:color w:val="333333"/>
          <w:sz w:val="20"/>
          <w:lang w:val="fr-CA"/>
        </w:rPr>
        <w:t xml:space="preserve">Caisse Desjardins de Limoilou c. Procureur général du Canada, et al. </w:t>
      </w:r>
      <w:r w:rsidRPr="000B4BA2">
        <w:rPr>
          <w:color w:val="333333"/>
          <w:sz w:val="20"/>
          <w:lang w:val="fr-CA"/>
        </w:rPr>
        <w:t xml:space="preserve">(Qc) (Civile) (Autorisation) </w:t>
      </w:r>
      <w:r w:rsidRPr="000B4BA2">
        <w:rPr>
          <w:sz w:val="20"/>
          <w:lang w:val="fr-CA"/>
        </w:rPr>
        <w:t>(</w:t>
      </w:r>
      <w:hyperlink r:id="rId8" w:history="1">
        <w:r w:rsidRPr="000B4BA2">
          <w:rPr>
            <w:rStyle w:val="Hyperlink"/>
            <w:sz w:val="20"/>
            <w:szCs w:val="20"/>
            <w:lang w:val="fr-CA"/>
          </w:rPr>
          <w:t>395</w:t>
        </w:r>
        <w:r w:rsidR="0038604A" w:rsidRPr="000B4BA2">
          <w:rPr>
            <w:rStyle w:val="Hyperlink"/>
            <w:sz w:val="20"/>
            <w:szCs w:val="20"/>
            <w:lang w:val="fr-CA"/>
          </w:rPr>
          <w:t>7</w:t>
        </w:r>
        <w:r w:rsidRPr="000B4BA2">
          <w:rPr>
            <w:rStyle w:val="Hyperlink"/>
            <w:sz w:val="20"/>
            <w:szCs w:val="20"/>
            <w:lang w:val="fr-CA"/>
          </w:rPr>
          <w:t>3</w:t>
        </w:r>
      </w:hyperlink>
      <w:r w:rsidRPr="000B4BA2">
        <w:rPr>
          <w:sz w:val="20"/>
          <w:lang w:val="fr-CA"/>
        </w:rPr>
        <w:t>)</w:t>
      </w:r>
    </w:p>
    <w:p w:rsidR="006416FE" w:rsidRPr="000B4BA2" w:rsidRDefault="006416FE" w:rsidP="00C744F7">
      <w:pPr>
        <w:ind w:left="357" w:hanging="357"/>
        <w:contextualSpacing/>
        <w:rPr>
          <w:sz w:val="20"/>
          <w:lang w:val="fr-CA"/>
        </w:rPr>
      </w:pPr>
    </w:p>
    <w:p w:rsidR="00C744F7" w:rsidRPr="000B4BA2" w:rsidRDefault="00C744F7" w:rsidP="00C744F7">
      <w:pPr>
        <w:pStyle w:val="ListParagraph"/>
        <w:numPr>
          <w:ilvl w:val="0"/>
          <w:numId w:val="34"/>
        </w:numPr>
        <w:ind w:left="357" w:hanging="357"/>
        <w:rPr>
          <w:i/>
          <w:sz w:val="20"/>
        </w:rPr>
      </w:pPr>
      <w:r w:rsidRPr="000B4BA2">
        <w:rPr>
          <w:i/>
          <w:sz w:val="20"/>
        </w:rPr>
        <w:t xml:space="preserve">Peace River Hydro Partners, et al. v. Petrowest Corporation, et al. </w:t>
      </w:r>
      <w:r w:rsidRPr="000B4BA2">
        <w:rPr>
          <w:sz w:val="20"/>
        </w:rPr>
        <w:t>(B.C.) (Civil) (By Leave) (</w:t>
      </w:r>
      <w:hyperlink r:id="rId9" w:history="1">
        <w:r w:rsidRPr="000B4BA2">
          <w:rPr>
            <w:rStyle w:val="Hyperlink"/>
            <w:sz w:val="20"/>
            <w:szCs w:val="20"/>
          </w:rPr>
          <w:t>395</w:t>
        </w:r>
        <w:r w:rsidR="0038604A" w:rsidRPr="000B4BA2">
          <w:rPr>
            <w:rStyle w:val="Hyperlink"/>
            <w:sz w:val="20"/>
            <w:szCs w:val="20"/>
          </w:rPr>
          <w:t>47</w:t>
        </w:r>
      </w:hyperlink>
      <w:r w:rsidRPr="000B4BA2">
        <w:rPr>
          <w:sz w:val="20"/>
        </w:rPr>
        <w:t>)</w:t>
      </w:r>
    </w:p>
    <w:p w:rsidR="006416FE" w:rsidRPr="000B4BA2" w:rsidRDefault="006416FE" w:rsidP="00C744F7">
      <w:pPr>
        <w:ind w:left="357" w:hanging="357"/>
        <w:contextualSpacing/>
        <w:rPr>
          <w:sz w:val="20"/>
        </w:rPr>
      </w:pPr>
    </w:p>
    <w:p w:rsidR="00C744F7" w:rsidRPr="000B4BA2" w:rsidRDefault="00C744F7" w:rsidP="00C744F7">
      <w:pPr>
        <w:pStyle w:val="ListParagraph"/>
        <w:numPr>
          <w:ilvl w:val="0"/>
          <w:numId w:val="34"/>
        </w:numPr>
        <w:ind w:left="357" w:hanging="357"/>
        <w:rPr>
          <w:sz w:val="20"/>
        </w:rPr>
      </w:pPr>
      <w:r w:rsidRPr="000B4BA2">
        <w:rPr>
          <w:i/>
          <w:sz w:val="20"/>
          <w:lang w:val="fr-CA"/>
        </w:rPr>
        <w:t xml:space="preserve">Noella Hébert v. Bruce Wenham, </w:t>
      </w:r>
      <w:r w:rsidR="0038604A" w:rsidRPr="000B4BA2">
        <w:rPr>
          <w:i/>
          <w:sz w:val="20"/>
          <w:lang w:val="fr-CA"/>
        </w:rPr>
        <w:t>et al.</w:t>
      </w:r>
      <w:r w:rsidRPr="000B4BA2">
        <w:rPr>
          <w:sz w:val="20"/>
          <w:lang w:val="fr-CA"/>
        </w:rPr>
        <w:t xml:space="preserve"> </w:t>
      </w:r>
      <w:r w:rsidRPr="000B4BA2">
        <w:rPr>
          <w:sz w:val="20"/>
        </w:rPr>
        <w:t>(F.C.) (Civil) (By Leave) (</w:t>
      </w:r>
      <w:hyperlink r:id="rId10" w:history="1">
        <w:r w:rsidRPr="000B4BA2">
          <w:rPr>
            <w:rStyle w:val="Hyperlink"/>
            <w:sz w:val="20"/>
            <w:szCs w:val="20"/>
          </w:rPr>
          <w:t>395</w:t>
        </w:r>
        <w:r w:rsidR="0038604A" w:rsidRPr="000B4BA2">
          <w:rPr>
            <w:rStyle w:val="Hyperlink"/>
            <w:sz w:val="20"/>
            <w:szCs w:val="20"/>
          </w:rPr>
          <w:t>1</w:t>
        </w:r>
        <w:r w:rsidRPr="000B4BA2">
          <w:rPr>
            <w:rStyle w:val="Hyperlink"/>
            <w:sz w:val="20"/>
            <w:szCs w:val="20"/>
          </w:rPr>
          <w:t>8</w:t>
        </w:r>
      </w:hyperlink>
      <w:r w:rsidRPr="000B4BA2">
        <w:rPr>
          <w:sz w:val="20"/>
        </w:rPr>
        <w:t>)</w:t>
      </w:r>
    </w:p>
    <w:p w:rsidR="00C744F7" w:rsidRPr="000B4BA2" w:rsidRDefault="00C744F7" w:rsidP="00C744F7">
      <w:pPr>
        <w:widowControl w:val="0"/>
        <w:autoSpaceDE w:val="0"/>
        <w:autoSpaceDN w:val="0"/>
        <w:adjustRightInd w:val="0"/>
        <w:ind w:left="357" w:hanging="357"/>
        <w:rPr>
          <w:sz w:val="20"/>
        </w:rPr>
      </w:pPr>
    </w:p>
    <w:p w:rsidR="00C744F7" w:rsidRPr="000B4BA2" w:rsidRDefault="00C744F7" w:rsidP="00C744F7">
      <w:pPr>
        <w:pStyle w:val="ListParagraph"/>
        <w:numPr>
          <w:ilvl w:val="0"/>
          <w:numId w:val="34"/>
        </w:numPr>
        <w:ind w:left="357" w:hanging="357"/>
        <w:rPr>
          <w:sz w:val="20"/>
        </w:rPr>
      </w:pPr>
      <w:r w:rsidRPr="000B4BA2">
        <w:rPr>
          <w:i/>
          <w:sz w:val="20"/>
        </w:rPr>
        <w:t>Ralph Abdel Deyab v. Her Majesty the Queen</w:t>
      </w:r>
      <w:r w:rsidRPr="000B4BA2">
        <w:rPr>
          <w:sz w:val="20"/>
        </w:rPr>
        <w:t xml:space="preserve"> (F.C.) (Civil) (By Leave) (</w:t>
      </w:r>
      <w:hyperlink r:id="rId11" w:history="1">
        <w:r w:rsidRPr="000B4BA2">
          <w:rPr>
            <w:rStyle w:val="Hyperlink"/>
            <w:sz w:val="20"/>
            <w:szCs w:val="20"/>
          </w:rPr>
          <w:t>3958</w:t>
        </w:r>
        <w:r w:rsidR="0038604A" w:rsidRPr="000B4BA2">
          <w:rPr>
            <w:rStyle w:val="Hyperlink"/>
            <w:sz w:val="20"/>
            <w:szCs w:val="20"/>
          </w:rPr>
          <w:t>7</w:t>
        </w:r>
      </w:hyperlink>
      <w:r w:rsidRPr="000B4BA2">
        <w:rPr>
          <w:sz w:val="20"/>
        </w:rPr>
        <w:t>)</w:t>
      </w:r>
    </w:p>
    <w:p w:rsidR="00FC13B1" w:rsidRPr="000B4BA2" w:rsidRDefault="00FC13B1" w:rsidP="000E2E04">
      <w:pPr>
        <w:ind w:left="357" w:hanging="357"/>
        <w:contextualSpacing/>
        <w:rPr>
          <w:sz w:val="20"/>
          <w:lang w:val="fr-CA"/>
        </w:rPr>
      </w:pPr>
    </w:p>
    <w:p w:rsidR="0057402C" w:rsidRPr="000B4BA2" w:rsidRDefault="000B4BA2" w:rsidP="009B14F4">
      <w:pPr>
        <w:widowControl w:val="0"/>
        <w:jc w:val="both"/>
        <w:rPr>
          <w:sz w:val="20"/>
        </w:rPr>
      </w:pPr>
      <w:r w:rsidRPr="000B4BA2">
        <w:rPr>
          <w:sz w:val="20"/>
        </w:rPr>
        <w:pict>
          <v:rect id="_x0000_i1026" style="width:2in;height:1pt" o:hrpct="0" o:hralign="center" o:hrstd="t" o:hrnoshade="t" o:hr="t" fillcolor="black [3213]" stroked="f"/>
        </w:pict>
      </w:r>
    </w:p>
    <w:p w:rsidR="00FC13B1" w:rsidRPr="000B4BA2" w:rsidRDefault="00FC13B1"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64"/>
        <w:gridCol w:w="4307"/>
      </w:tblGrid>
      <w:tr w:rsidR="00B16C39" w:rsidRPr="000B4BA2" w:rsidTr="00E95A6A">
        <w:tc>
          <w:tcPr>
            <w:tcW w:w="543" w:type="pct"/>
          </w:tcPr>
          <w:p w:rsidR="00B16C39" w:rsidRPr="000B4BA2" w:rsidRDefault="00B16C39" w:rsidP="00B16C39">
            <w:pPr>
              <w:jc w:val="both"/>
              <w:rPr>
                <w:sz w:val="20"/>
                <w:lang w:val="en-CA"/>
              </w:rPr>
            </w:pPr>
            <w:r w:rsidRPr="000B4BA2">
              <w:rPr>
                <w:rStyle w:val="SCCFileNumberChar"/>
                <w:sz w:val="20"/>
                <w:szCs w:val="20"/>
              </w:rPr>
              <w:t>39573</w:t>
            </w:r>
          </w:p>
        </w:tc>
        <w:tc>
          <w:tcPr>
            <w:tcW w:w="4457" w:type="pct"/>
            <w:gridSpan w:val="3"/>
          </w:tcPr>
          <w:p w:rsidR="00B16C39" w:rsidRPr="000B4BA2" w:rsidRDefault="00B16C39" w:rsidP="00B16C39">
            <w:pPr>
              <w:pStyle w:val="SCCLsocParty"/>
              <w:jc w:val="both"/>
              <w:rPr>
                <w:b/>
                <w:sz w:val="20"/>
                <w:szCs w:val="20"/>
              </w:rPr>
            </w:pPr>
            <w:r w:rsidRPr="000B4BA2">
              <w:rPr>
                <w:b/>
                <w:sz w:val="20"/>
                <w:szCs w:val="20"/>
              </w:rPr>
              <w:t>Caisse Desjardins de Limoilou v. Attorney General of Canada, Gagnon Sénéchal Coulombe inc., Huissiers de justice</w:t>
            </w:r>
          </w:p>
          <w:p w:rsidR="00B16C39" w:rsidRPr="000B4BA2" w:rsidRDefault="00B16C39" w:rsidP="00B16C39">
            <w:pPr>
              <w:jc w:val="both"/>
              <w:rPr>
                <w:sz w:val="20"/>
                <w:lang w:val="en-CA"/>
              </w:rPr>
            </w:pPr>
            <w:r w:rsidRPr="000B4BA2">
              <w:rPr>
                <w:sz w:val="20"/>
                <w:lang w:val="en-CA"/>
              </w:rPr>
              <w:t>(Que.) (Civil) (By Leave)</w:t>
            </w:r>
          </w:p>
        </w:tc>
      </w:tr>
      <w:tr w:rsidR="00B16C39" w:rsidRPr="000B4BA2" w:rsidTr="00E95A6A">
        <w:tc>
          <w:tcPr>
            <w:tcW w:w="5000" w:type="pct"/>
            <w:gridSpan w:val="4"/>
          </w:tcPr>
          <w:p w:rsidR="00B16C39" w:rsidRPr="000B4BA2" w:rsidRDefault="00B16C39" w:rsidP="00B16C39">
            <w:pPr>
              <w:jc w:val="both"/>
              <w:rPr>
                <w:sz w:val="20"/>
                <w:lang w:val="en-CA"/>
              </w:rPr>
            </w:pPr>
            <w:proofErr w:type="gramStart"/>
            <w:r w:rsidRPr="000B4BA2">
              <w:rPr>
                <w:sz w:val="20"/>
                <w:lang w:val="en-CA"/>
              </w:rPr>
              <w:t xml:space="preserve">Taxation — Income tax — Deductions subject to trust — Hypothecs — Priorities — Order of collocation — Value of prescribed security interest — Statutory interpretation — Meaning of words “rights of the secured creditor securing the obligation” — Failure by employer to remit to Canada Revenue Agency source deductions withheld from earnings of its employees — Deemed trust for benefit of Her Majesty — Employer also defaulting on hypothec, leading to sale of its immovable under judicial authority — Hypothecary creditor contesting collocation scheme after sale under judicial authority — Method for calculating hypothecary creditor’s prescribed security interest — Whether suretyship held by hypothecary creditor constitutes security within meaning of </w:t>
            </w:r>
            <w:r w:rsidRPr="000B4BA2">
              <w:rPr>
                <w:i/>
                <w:sz w:val="20"/>
                <w:lang w:val="en-CA"/>
              </w:rPr>
              <w:t>Income Tax Regulations</w:t>
            </w:r>
            <w:r w:rsidRPr="000B4BA2">
              <w:rPr>
                <w:sz w:val="20"/>
                <w:lang w:val="en-CA"/>
              </w:rPr>
              <w:t xml:space="preserve"> and </w:t>
            </w:r>
            <w:r w:rsidRPr="000B4BA2">
              <w:rPr>
                <w:i/>
                <w:sz w:val="20"/>
                <w:lang w:val="en-CA"/>
              </w:rPr>
              <w:t>Income Tax Act</w:t>
            </w:r>
            <w:r w:rsidRPr="000B4BA2">
              <w:rPr>
                <w:sz w:val="20"/>
                <w:lang w:val="en-CA"/>
              </w:rPr>
              <w:t xml:space="preserve">, thereby reducing amount of its priority — Whether section 2201(2) of </w:t>
            </w:r>
            <w:r w:rsidRPr="000B4BA2">
              <w:rPr>
                <w:i/>
                <w:sz w:val="20"/>
                <w:lang w:val="en-CA"/>
              </w:rPr>
              <w:t>Income Tax Regulations</w:t>
            </w:r>
            <w:r w:rsidRPr="000B4BA2">
              <w:rPr>
                <w:sz w:val="20"/>
                <w:lang w:val="en-CA"/>
              </w:rPr>
              <w:t xml:space="preserve"> grants discretion that exceeds application of reasonable and sufficient discretion — </w:t>
            </w:r>
            <w:r w:rsidRPr="000B4BA2">
              <w:rPr>
                <w:i/>
                <w:sz w:val="20"/>
                <w:lang w:val="en-CA"/>
              </w:rPr>
              <w:t>Income Tax Act</w:t>
            </w:r>
            <w:r w:rsidRPr="000B4BA2">
              <w:rPr>
                <w:sz w:val="20"/>
                <w:lang w:val="en-CA"/>
              </w:rPr>
              <w:t xml:space="preserve">, R.S.C. 1985, c. 1 (5th Supp.), s. 227(4) and (4.1) — </w:t>
            </w:r>
            <w:r w:rsidRPr="000B4BA2">
              <w:rPr>
                <w:i/>
                <w:sz w:val="20"/>
                <w:lang w:val="en-CA"/>
              </w:rPr>
              <w:t>Income Tax Regulations</w:t>
            </w:r>
            <w:r w:rsidRPr="000B4BA2">
              <w:rPr>
                <w:sz w:val="20"/>
                <w:lang w:val="en-CA"/>
              </w:rPr>
              <w:t>, C.R.C., c. 945, s. 2201(1) and (2).</w:t>
            </w:r>
            <w:proofErr w:type="gramEnd"/>
            <w:r w:rsidRPr="000B4BA2">
              <w:rPr>
                <w:sz w:val="20"/>
                <w:lang w:val="en-CA"/>
              </w:rPr>
              <w:t xml:space="preserve">  </w:t>
            </w:r>
          </w:p>
        </w:tc>
      </w:tr>
      <w:tr w:rsidR="00B16C39" w:rsidRPr="000B4BA2" w:rsidTr="00E95A6A">
        <w:tc>
          <w:tcPr>
            <w:tcW w:w="5000" w:type="pct"/>
            <w:gridSpan w:val="4"/>
          </w:tcPr>
          <w:p w:rsidR="00B16C39" w:rsidRPr="000B4BA2" w:rsidRDefault="00B16C39" w:rsidP="00B16C39">
            <w:pPr>
              <w:jc w:val="both"/>
              <w:rPr>
                <w:sz w:val="20"/>
                <w:lang w:val="en-CA"/>
              </w:rPr>
            </w:pPr>
          </w:p>
        </w:tc>
      </w:tr>
      <w:tr w:rsidR="00B16C39" w:rsidRPr="000B4BA2" w:rsidTr="00E95A6A">
        <w:tc>
          <w:tcPr>
            <w:tcW w:w="5000" w:type="pct"/>
            <w:gridSpan w:val="4"/>
          </w:tcPr>
          <w:p w:rsidR="00B16C39" w:rsidRPr="000B4BA2" w:rsidRDefault="00B16C39" w:rsidP="00B16C39">
            <w:pPr>
              <w:jc w:val="both"/>
              <w:rPr>
                <w:sz w:val="20"/>
                <w:lang w:val="en-CA"/>
              </w:rPr>
            </w:pPr>
            <w:r w:rsidRPr="000B4BA2">
              <w:rPr>
                <w:sz w:val="20"/>
                <w:lang w:val="en-CA"/>
              </w:rPr>
              <w:lastRenderedPageBreak/>
              <w:t xml:space="preserve">The deemed trust mechanism provided for in section 227(4.1) of the </w:t>
            </w:r>
            <w:r w:rsidRPr="000B4BA2">
              <w:rPr>
                <w:i/>
                <w:sz w:val="20"/>
                <w:lang w:val="en-CA"/>
              </w:rPr>
              <w:t>Income Tax Act</w:t>
            </w:r>
            <w:r w:rsidRPr="000B4BA2">
              <w:rPr>
                <w:sz w:val="20"/>
                <w:lang w:val="en-CA"/>
              </w:rPr>
              <w:t xml:space="preserve">, R.S.C. 1985, c. 1 (5th Supp.) (“ITA”), gives Her Majesty a means to recover payroll deductions on a priority basis in relation to any other secured creditor. A narrow class of secured creditors is exempted from that priority by the prescribed security interest (“PSI”) exception under section 227(4.2) of the ITA. The effect of this exception is that creditors holding an immovable hypothec retain their priority of rank up to the amount of the PSI calculated in accordance with section 2201 of the </w:t>
            </w:r>
            <w:r w:rsidRPr="000B4BA2">
              <w:rPr>
                <w:i/>
                <w:sz w:val="20"/>
                <w:lang w:val="en-CA"/>
              </w:rPr>
              <w:t>Income Tax Regulations</w:t>
            </w:r>
            <w:r w:rsidRPr="000B4BA2">
              <w:rPr>
                <w:sz w:val="20"/>
                <w:lang w:val="en-CA"/>
              </w:rPr>
              <w:t xml:space="preserve">, C.R.C., </w:t>
            </w:r>
            <w:proofErr w:type="gramStart"/>
            <w:r w:rsidRPr="000B4BA2">
              <w:rPr>
                <w:sz w:val="20"/>
                <w:lang w:val="en-CA"/>
              </w:rPr>
              <w:t>c</w:t>
            </w:r>
            <w:proofErr w:type="gramEnd"/>
            <w:r w:rsidRPr="000B4BA2">
              <w:rPr>
                <w:sz w:val="20"/>
                <w:lang w:val="en-CA"/>
              </w:rPr>
              <w:t xml:space="preserve">. 945. The courts below had to determine the amount of the PSI of a secured creditor whose claim was to </w:t>
            </w:r>
            <w:proofErr w:type="gramStart"/>
            <w:r w:rsidRPr="000B4BA2">
              <w:rPr>
                <w:sz w:val="20"/>
                <w:lang w:val="en-CA"/>
              </w:rPr>
              <w:t>be given</w:t>
            </w:r>
            <w:proofErr w:type="gramEnd"/>
            <w:r w:rsidRPr="000B4BA2">
              <w:rPr>
                <w:sz w:val="20"/>
                <w:lang w:val="en-CA"/>
              </w:rPr>
              <w:t xml:space="preserve"> priority in the collocation over that of the government. The Superior Court did not take the value of the secured creditor’s suretyship into account in calculating the PSI amount. It concluded that a personal security is not a “righ[t] of the secured creditor securing the obligation” within the meaning of the ITA and the </w:t>
            </w:r>
            <w:r w:rsidRPr="000B4BA2">
              <w:rPr>
                <w:i/>
                <w:sz w:val="20"/>
                <w:lang w:val="en-CA"/>
              </w:rPr>
              <w:t>Regulations</w:t>
            </w:r>
            <w:r w:rsidRPr="000B4BA2">
              <w:rPr>
                <w:sz w:val="20"/>
                <w:lang w:val="en-CA"/>
              </w:rPr>
              <w:t>. The Court of Appeal reversed that conclusion. In its view, the ordinary meaning of the words “rights of the secured creditor” applies to all patrimonial rights of the secured creditor securing the obligation, including a suretyship.</w:t>
            </w:r>
          </w:p>
          <w:p w:rsidR="00B16C39" w:rsidRPr="000B4BA2" w:rsidRDefault="00B16C39" w:rsidP="00B16C39">
            <w:pPr>
              <w:jc w:val="both"/>
              <w:rPr>
                <w:sz w:val="20"/>
                <w:lang w:val="en-CA"/>
              </w:rPr>
            </w:pPr>
          </w:p>
        </w:tc>
      </w:tr>
      <w:tr w:rsidR="00B16C39" w:rsidRPr="000B4BA2" w:rsidTr="007444C1">
        <w:tc>
          <w:tcPr>
            <w:tcW w:w="2427" w:type="pct"/>
            <w:gridSpan w:val="2"/>
          </w:tcPr>
          <w:p w:rsidR="00B16C39" w:rsidRPr="000B4BA2" w:rsidRDefault="00B16C39" w:rsidP="00B16C39">
            <w:pPr>
              <w:jc w:val="both"/>
              <w:rPr>
                <w:sz w:val="20"/>
                <w:lang w:val="en-CA"/>
              </w:rPr>
            </w:pPr>
            <w:r w:rsidRPr="000B4BA2">
              <w:rPr>
                <w:sz w:val="20"/>
                <w:lang w:val="en-CA"/>
              </w:rPr>
              <w:t>August 27, 2018</w:t>
            </w:r>
          </w:p>
          <w:p w:rsidR="00B16C39" w:rsidRPr="000B4BA2" w:rsidRDefault="00B16C39" w:rsidP="00B16C39">
            <w:pPr>
              <w:jc w:val="both"/>
              <w:rPr>
                <w:sz w:val="20"/>
                <w:lang w:val="en-CA"/>
              </w:rPr>
            </w:pPr>
            <w:r w:rsidRPr="000B4BA2">
              <w:rPr>
                <w:sz w:val="20"/>
                <w:lang w:val="en-CA"/>
              </w:rPr>
              <w:t>Quebec Superior Court</w:t>
            </w:r>
          </w:p>
          <w:p w:rsidR="00B16C39" w:rsidRPr="000B4BA2" w:rsidRDefault="00B16C39" w:rsidP="00B16C39">
            <w:pPr>
              <w:jc w:val="both"/>
              <w:rPr>
                <w:sz w:val="20"/>
                <w:lang w:val="en-CA"/>
              </w:rPr>
            </w:pPr>
            <w:r w:rsidRPr="000B4BA2">
              <w:rPr>
                <w:sz w:val="20"/>
                <w:lang w:val="en-CA"/>
              </w:rPr>
              <w:t>(April J.)</w:t>
            </w:r>
          </w:p>
          <w:p w:rsidR="00B16C39" w:rsidRPr="000B4BA2" w:rsidRDefault="00B16C39" w:rsidP="00B16C39">
            <w:pPr>
              <w:jc w:val="both"/>
              <w:rPr>
                <w:sz w:val="20"/>
                <w:lang w:val="en-CA"/>
              </w:rPr>
            </w:pPr>
            <w:r w:rsidRPr="000B4BA2">
              <w:rPr>
                <w:sz w:val="20"/>
                <w:lang w:val="en-CA"/>
              </w:rPr>
              <w:t>File No. 200</w:t>
            </w:r>
            <w:r w:rsidRPr="000B4BA2">
              <w:rPr>
                <w:sz w:val="20"/>
                <w:lang w:val="en-CA"/>
              </w:rPr>
              <w:noBreakHyphen/>
              <w:t>17</w:t>
            </w:r>
            <w:r w:rsidRPr="000B4BA2">
              <w:rPr>
                <w:sz w:val="20"/>
                <w:lang w:val="en-CA"/>
              </w:rPr>
              <w:noBreakHyphen/>
              <w:t>023145</w:t>
            </w:r>
            <w:r w:rsidRPr="000B4BA2">
              <w:rPr>
                <w:sz w:val="20"/>
                <w:lang w:val="en-CA"/>
              </w:rPr>
              <w:noBreakHyphen/>
              <w:t>154</w:t>
            </w:r>
          </w:p>
          <w:p w:rsidR="00B16C39" w:rsidRPr="000B4BA2" w:rsidRDefault="000B4BA2" w:rsidP="00B16C39">
            <w:pPr>
              <w:jc w:val="both"/>
              <w:rPr>
                <w:sz w:val="20"/>
                <w:lang w:val="en-CA"/>
              </w:rPr>
            </w:pPr>
            <w:hyperlink r:id="rId12" w:history="1">
              <w:r w:rsidR="00B16C39" w:rsidRPr="000B4BA2">
                <w:rPr>
                  <w:rStyle w:val="Hyperlink"/>
                  <w:sz w:val="20"/>
                  <w:lang w:val="en-CA"/>
                </w:rPr>
                <w:t>2018 QCCS 4517</w:t>
              </w:r>
            </w:hyperlink>
          </w:p>
        </w:tc>
        <w:tc>
          <w:tcPr>
            <w:tcW w:w="250" w:type="pct"/>
          </w:tcPr>
          <w:p w:rsidR="00B16C39" w:rsidRPr="000B4BA2" w:rsidRDefault="00B16C39" w:rsidP="00B16C39">
            <w:pPr>
              <w:jc w:val="both"/>
              <w:rPr>
                <w:sz w:val="20"/>
                <w:lang w:val="en-CA"/>
              </w:rPr>
            </w:pPr>
          </w:p>
        </w:tc>
        <w:tc>
          <w:tcPr>
            <w:tcW w:w="2324" w:type="pct"/>
          </w:tcPr>
          <w:p w:rsidR="00B16C39" w:rsidRPr="000B4BA2" w:rsidRDefault="00B16C39" w:rsidP="00B16C39">
            <w:pPr>
              <w:jc w:val="both"/>
              <w:rPr>
                <w:sz w:val="20"/>
                <w:lang w:val="en-CA"/>
              </w:rPr>
            </w:pPr>
            <w:r w:rsidRPr="000B4BA2">
              <w:rPr>
                <w:sz w:val="20"/>
                <w:lang w:val="en-CA"/>
              </w:rPr>
              <w:t>Contestation of collocation scheme granted; Variation of order of collocation to give priority of rank to hypothecary creditor over deemed trust of government up to amount of its prescribed security interest, or $152,303.13 (not taking amount of suretyship into account), ordered.</w:t>
            </w:r>
          </w:p>
          <w:p w:rsidR="00B16C39" w:rsidRPr="000B4BA2" w:rsidRDefault="00B16C39" w:rsidP="00B16C39">
            <w:pPr>
              <w:jc w:val="both"/>
              <w:rPr>
                <w:sz w:val="20"/>
                <w:lang w:val="en-CA"/>
              </w:rPr>
            </w:pPr>
          </w:p>
        </w:tc>
      </w:tr>
      <w:tr w:rsidR="00B16C39" w:rsidRPr="000B4BA2" w:rsidTr="007444C1">
        <w:tc>
          <w:tcPr>
            <w:tcW w:w="2427" w:type="pct"/>
            <w:gridSpan w:val="2"/>
          </w:tcPr>
          <w:p w:rsidR="00B16C39" w:rsidRPr="000B4BA2" w:rsidRDefault="00B16C39" w:rsidP="00B16C39">
            <w:pPr>
              <w:jc w:val="both"/>
              <w:rPr>
                <w:sz w:val="20"/>
                <w:lang w:val="en-CA"/>
              </w:rPr>
            </w:pPr>
            <w:r w:rsidRPr="000B4BA2">
              <w:rPr>
                <w:sz w:val="20"/>
                <w:lang w:val="en-CA"/>
              </w:rPr>
              <w:t>December 3, 2020</w:t>
            </w:r>
          </w:p>
          <w:p w:rsidR="00B16C39" w:rsidRPr="000B4BA2" w:rsidRDefault="00B16C39" w:rsidP="00B16C39">
            <w:pPr>
              <w:jc w:val="both"/>
              <w:rPr>
                <w:sz w:val="20"/>
                <w:lang w:val="en-CA"/>
              </w:rPr>
            </w:pPr>
            <w:r w:rsidRPr="000B4BA2">
              <w:rPr>
                <w:sz w:val="20"/>
                <w:lang w:val="en-CA"/>
              </w:rPr>
              <w:t>Quebec Court of Appeal (Québec)</w:t>
            </w:r>
          </w:p>
          <w:p w:rsidR="00B16C39" w:rsidRPr="000B4BA2" w:rsidRDefault="00B16C39" w:rsidP="00B16C39">
            <w:pPr>
              <w:jc w:val="both"/>
              <w:rPr>
                <w:sz w:val="20"/>
                <w:lang w:val="en-CA"/>
              </w:rPr>
            </w:pPr>
            <w:r w:rsidRPr="000B4BA2">
              <w:rPr>
                <w:sz w:val="20"/>
                <w:lang w:val="en-CA"/>
              </w:rPr>
              <w:t>(Thibault, Bich and Gagné JJ.A.)</w:t>
            </w:r>
          </w:p>
          <w:p w:rsidR="00B16C39" w:rsidRPr="000B4BA2" w:rsidRDefault="00B16C39" w:rsidP="00B16C39">
            <w:pPr>
              <w:jc w:val="both"/>
              <w:rPr>
                <w:sz w:val="20"/>
                <w:lang w:val="en-CA"/>
              </w:rPr>
            </w:pPr>
            <w:r w:rsidRPr="000B4BA2">
              <w:rPr>
                <w:sz w:val="20"/>
                <w:lang w:val="en-CA"/>
              </w:rPr>
              <w:t>File No. 200</w:t>
            </w:r>
            <w:r w:rsidRPr="000B4BA2">
              <w:rPr>
                <w:sz w:val="20"/>
                <w:lang w:val="en-CA"/>
              </w:rPr>
              <w:noBreakHyphen/>
              <w:t>09</w:t>
            </w:r>
            <w:r w:rsidRPr="000B4BA2">
              <w:rPr>
                <w:sz w:val="20"/>
                <w:lang w:val="en-CA"/>
              </w:rPr>
              <w:noBreakHyphen/>
              <w:t>009862</w:t>
            </w:r>
            <w:r w:rsidRPr="000B4BA2">
              <w:rPr>
                <w:sz w:val="20"/>
                <w:lang w:val="en-CA"/>
              </w:rPr>
              <w:noBreakHyphen/>
              <w:t>183</w:t>
            </w:r>
          </w:p>
          <w:p w:rsidR="00B16C39" w:rsidRPr="000B4BA2" w:rsidRDefault="000B4BA2" w:rsidP="00B16C39">
            <w:pPr>
              <w:jc w:val="both"/>
              <w:rPr>
                <w:sz w:val="20"/>
                <w:lang w:val="en-CA"/>
              </w:rPr>
            </w:pPr>
            <w:hyperlink r:id="rId13" w:history="1">
              <w:r w:rsidR="00B16C39" w:rsidRPr="000B4BA2">
                <w:rPr>
                  <w:rStyle w:val="Hyperlink"/>
                  <w:sz w:val="20"/>
                  <w:lang w:val="en-CA"/>
                </w:rPr>
                <w:t>2020 QCCA 1612</w:t>
              </w:r>
            </w:hyperlink>
            <w:r w:rsidR="00B16C39" w:rsidRPr="000B4BA2">
              <w:rPr>
                <w:sz w:val="20"/>
                <w:lang w:val="en-CA"/>
              </w:rPr>
              <w:t xml:space="preserve"> </w:t>
            </w:r>
          </w:p>
        </w:tc>
        <w:tc>
          <w:tcPr>
            <w:tcW w:w="250" w:type="pct"/>
          </w:tcPr>
          <w:p w:rsidR="00B16C39" w:rsidRPr="000B4BA2" w:rsidRDefault="00B16C39" w:rsidP="00B16C39">
            <w:pPr>
              <w:jc w:val="both"/>
              <w:rPr>
                <w:sz w:val="20"/>
                <w:lang w:val="en-CA"/>
              </w:rPr>
            </w:pPr>
          </w:p>
        </w:tc>
        <w:tc>
          <w:tcPr>
            <w:tcW w:w="2324" w:type="pct"/>
          </w:tcPr>
          <w:p w:rsidR="00B16C39" w:rsidRPr="000B4BA2" w:rsidRDefault="00B16C39" w:rsidP="00B16C39">
            <w:pPr>
              <w:jc w:val="both"/>
              <w:rPr>
                <w:sz w:val="20"/>
                <w:lang w:val="en-CA"/>
              </w:rPr>
            </w:pPr>
            <w:r w:rsidRPr="000B4BA2">
              <w:rPr>
                <w:sz w:val="20"/>
                <w:lang w:val="en-CA"/>
              </w:rPr>
              <w:t>Appeal allowed in part; Paragraphs 37 and 39 of Superior Court’s judgment struck out; Variation of order of collocation to give priority of rank to hypothecary creditor over deemed trust of government up to amount of its prescribed security interest, or $103,906.63 (taking amount of suretyship into account), ordered; Incidental appeal dismissed.</w:t>
            </w:r>
          </w:p>
          <w:p w:rsidR="00B16C39" w:rsidRPr="000B4BA2" w:rsidRDefault="00B16C39" w:rsidP="00B16C39">
            <w:pPr>
              <w:jc w:val="both"/>
              <w:rPr>
                <w:sz w:val="20"/>
                <w:lang w:val="en-CA"/>
              </w:rPr>
            </w:pPr>
          </w:p>
        </w:tc>
      </w:tr>
      <w:tr w:rsidR="00B16C39" w:rsidRPr="000B4BA2" w:rsidTr="007444C1">
        <w:tc>
          <w:tcPr>
            <w:tcW w:w="2427" w:type="pct"/>
            <w:gridSpan w:val="2"/>
          </w:tcPr>
          <w:p w:rsidR="00B16C39" w:rsidRPr="000B4BA2" w:rsidRDefault="00B16C39" w:rsidP="00B16C39">
            <w:pPr>
              <w:jc w:val="both"/>
              <w:rPr>
                <w:sz w:val="20"/>
                <w:lang w:val="en-CA"/>
              </w:rPr>
            </w:pPr>
            <w:r w:rsidRPr="000B4BA2">
              <w:rPr>
                <w:sz w:val="20"/>
                <w:lang w:val="en-CA"/>
              </w:rPr>
              <w:t>February 1, 2021</w:t>
            </w:r>
          </w:p>
          <w:p w:rsidR="00B16C39" w:rsidRPr="000B4BA2" w:rsidRDefault="00B16C39" w:rsidP="00B16C39">
            <w:pPr>
              <w:jc w:val="both"/>
              <w:rPr>
                <w:sz w:val="20"/>
                <w:lang w:val="en-CA"/>
              </w:rPr>
            </w:pPr>
            <w:r w:rsidRPr="000B4BA2">
              <w:rPr>
                <w:sz w:val="20"/>
                <w:lang w:val="en-CA"/>
              </w:rPr>
              <w:t>Supreme Court of Canada</w:t>
            </w:r>
          </w:p>
        </w:tc>
        <w:tc>
          <w:tcPr>
            <w:tcW w:w="250" w:type="pct"/>
          </w:tcPr>
          <w:p w:rsidR="00B16C39" w:rsidRPr="000B4BA2" w:rsidRDefault="00B16C39" w:rsidP="00B16C39">
            <w:pPr>
              <w:jc w:val="both"/>
              <w:rPr>
                <w:sz w:val="20"/>
                <w:lang w:val="en-CA"/>
              </w:rPr>
            </w:pPr>
          </w:p>
        </w:tc>
        <w:tc>
          <w:tcPr>
            <w:tcW w:w="2324" w:type="pct"/>
          </w:tcPr>
          <w:p w:rsidR="00B16C39" w:rsidRPr="000B4BA2" w:rsidRDefault="00B16C39" w:rsidP="00B16C39">
            <w:pPr>
              <w:jc w:val="both"/>
              <w:rPr>
                <w:sz w:val="20"/>
                <w:lang w:val="en-CA"/>
              </w:rPr>
            </w:pPr>
            <w:r w:rsidRPr="000B4BA2">
              <w:rPr>
                <w:sz w:val="20"/>
                <w:lang w:val="en-CA"/>
              </w:rPr>
              <w:t>Application for leave to appeal filed</w:t>
            </w:r>
          </w:p>
          <w:p w:rsidR="00B16C39" w:rsidRPr="000B4BA2" w:rsidRDefault="00B16C39" w:rsidP="00B16C39">
            <w:pPr>
              <w:jc w:val="both"/>
              <w:rPr>
                <w:sz w:val="20"/>
                <w:lang w:val="en-CA"/>
              </w:rPr>
            </w:pPr>
          </w:p>
        </w:tc>
      </w:tr>
    </w:tbl>
    <w:p w:rsidR="00B16C39" w:rsidRPr="000B4BA2" w:rsidRDefault="00B16C39" w:rsidP="00B16C39">
      <w:pPr>
        <w:jc w:val="both"/>
        <w:rPr>
          <w:sz w:val="20"/>
          <w:lang w:val="en-CA"/>
        </w:rPr>
      </w:pPr>
    </w:p>
    <w:p w:rsidR="00B16C39" w:rsidRPr="000B4BA2" w:rsidRDefault="000B4BA2" w:rsidP="00B16C39">
      <w:pPr>
        <w:jc w:val="both"/>
        <w:rPr>
          <w:sz w:val="20"/>
          <w:lang w:val="en-CA"/>
        </w:rPr>
      </w:pPr>
      <w:r w:rsidRPr="000B4BA2">
        <w:rPr>
          <w:sz w:val="20"/>
        </w:rPr>
        <w:pict>
          <v:rect id="_x0000_i1027" style="width:2in;height:1pt" o:hrpct="0" o:hralign="center" o:hrstd="t" o:hrnoshade="t" o:hr="t" fillcolor="black [3213]" stroked="f"/>
        </w:pict>
      </w:r>
    </w:p>
    <w:p w:rsidR="00B16C39" w:rsidRPr="000B4BA2" w:rsidRDefault="00B16C39" w:rsidP="00B16C3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C39" w:rsidRPr="000B4BA2" w:rsidTr="00E95A6A">
        <w:tc>
          <w:tcPr>
            <w:tcW w:w="543" w:type="pct"/>
          </w:tcPr>
          <w:p w:rsidR="00B16C39" w:rsidRPr="000B4BA2" w:rsidRDefault="00B16C39" w:rsidP="00B16C39">
            <w:pPr>
              <w:jc w:val="both"/>
              <w:rPr>
                <w:sz w:val="20"/>
              </w:rPr>
            </w:pPr>
            <w:r w:rsidRPr="000B4BA2">
              <w:rPr>
                <w:rStyle w:val="SCCFileNumberChar"/>
                <w:sz w:val="20"/>
                <w:szCs w:val="20"/>
              </w:rPr>
              <w:t>39573</w:t>
            </w:r>
          </w:p>
        </w:tc>
        <w:tc>
          <w:tcPr>
            <w:tcW w:w="4457" w:type="pct"/>
            <w:gridSpan w:val="3"/>
          </w:tcPr>
          <w:p w:rsidR="00B16C39" w:rsidRPr="000B4BA2" w:rsidRDefault="00B16C39" w:rsidP="00B16C39">
            <w:pPr>
              <w:pStyle w:val="SCCLsocParty"/>
              <w:jc w:val="both"/>
              <w:rPr>
                <w:b/>
                <w:sz w:val="20"/>
                <w:szCs w:val="20"/>
              </w:rPr>
            </w:pPr>
            <w:r w:rsidRPr="000B4BA2">
              <w:rPr>
                <w:b/>
                <w:sz w:val="20"/>
                <w:szCs w:val="20"/>
              </w:rPr>
              <w:t>Caisse Desjardins de Limoilou c. Procureur général du Canada, Gagnon Sénéchal Coulombe inc., Huissiers de justice</w:t>
            </w:r>
          </w:p>
          <w:p w:rsidR="00B16C39" w:rsidRPr="000B4BA2" w:rsidRDefault="00B16C39" w:rsidP="00B16C39">
            <w:pPr>
              <w:jc w:val="both"/>
              <w:rPr>
                <w:sz w:val="20"/>
              </w:rPr>
            </w:pPr>
            <w:r w:rsidRPr="000B4BA2">
              <w:rPr>
                <w:sz w:val="20"/>
              </w:rPr>
              <w:t>(Qc) (Civile) (Autorisation)</w:t>
            </w:r>
          </w:p>
        </w:tc>
      </w:tr>
      <w:tr w:rsidR="00B16C39" w:rsidRPr="000B4BA2" w:rsidTr="00E95A6A">
        <w:tc>
          <w:tcPr>
            <w:tcW w:w="5000" w:type="pct"/>
            <w:gridSpan w:val="4"/>
          </w:tcPr>
          <w:p w:rsidR="00B16C39" w:rsidRPr="000B4BA2" w:rsidRDefault="00B16C39" w:rsidP="00B16C39">
            <w:pPr>
              <w:jc w:val="both"/>
              <w:rPr>
                <w:sz w:val="20"/>
                <w:lang w:val="fr-CA"/>
              </w:rPr>
            </w:pPr>
            <w:r w:rsidRPr="000B4BA2">
              <w:rPr>
                <w:sz w:val="20"/>
                <w:lang w:val="fr-CA"/>
              </w:rPr>
              <w:t>Droit fiscal — Impôt sur le revenu — Déductions assujetties à une fiducie — Hypothèques — Priorités — Ordre de collocation — Valeur de la garantie visée par règlement — Interprétation statutaire — Sens de l’expression « droits du créancier garanti garantissant l’obligation » — Défaut de l’employeur de remettre à l’Agence du revenu du Canada des déductions à la source prélevées sur la rémunération de ses employés — Fiducie réputée établie au bénéfice de Sa Majesté — Employeur faisant aussi défaut en vertu d’une hypothèque donnant lieu à vente en justice de son immeuble — Créancière hypothécaire contestant état de collocation suivant vente en justice — Méthode de calcul de la garantie visée par règlement de la créancière hypothécaire — Le cautionnement détenu par la créancière hypothécaire constitue</w:t>
            </w:r>
            <w:r w:rsidRPr="000B4BA2">
              <w:rPr>
                <w:sz w:val="20"/>
                <w:lang w:val="fr-CA"/>
              </w:rPr>
              <w:noBreakHyphen/>
              <w:t>t</w:t>
            </w:r>
            <w:r w:rsidRPr="000B4BA2">
              <w:rPr>
                <w:sz w:val="20"/>
                <w:lang w:val="fr-CA"/>
              </w:rPr>
              <w:noBreakHyphen/>
              <w:t xml:space="preserve">il une garantie au sens du </w:t>
            </w:r>
            <w:r w:rsidRPr="000B4BA2">
              <w:rPr>
                <w:i/>
                <w:sz w:val="20"/>
                <w:lang w:val="fr-CA"/>
              </w:rPr>
              <w:t>Règlement de l’impôt sur le revenu</w:t>
            </w:r>
            <w:r w:rsidRPr="000B4BA2">
              <w:rPr>
                <w:sz w:val="20"/>
                <w:lang w:val="fr-CA"/>
              </w:rPr>
              <w:t xml:space="preserve"> et de la </w:t>
            </w:r>
            <w:r w:rsidRPr="000B4BA2">
              <w:rPr>
                <w:i/>
                <w:sz w:val="20"/>
                <w:lang w:val="fr-CA"/>
              </w:rPr>
              <w:t>Loi de l’impôt sur le revenu</w:t>
            </w:r>
            <w:r w:rsidRPr="000B4BA2">
              <w:rPr>
                <w:sz w:val="20"/>
                <w:lang w:val="fr-CA"/>
              </w:rPr>
              <w:t xml:space="preserve">, de sorte à réduire le montant de sa priorité? — Le paragraphe 2201(2) du </w:t>
            </w:r>
            <w:r w:rsidRPr="000B4BA2">
              <w:rPr>
                <w:i/>
                <w:sz w:val="20"/>
                <w:lang w:val="fr-CA"/>
              </w:rPr>
              <w:t>Règlement de l’impôt sur le revenu</w:t>
            </w:r>
            <w:r w:rsidRPr="000B4BA2">
              <w:rPr>
                <w:sz w:val="20"/>
                <w:lang w:val="fr-CA"/>
              </w:rPr>
              <w:t xml:space="preserve"> est</w:t>
            </w:r>
            <w:r w:rsidRPr="000B4BA2">
              <w:rPr>
                <w:sz w:val="20"/>
                <w:lang w:val="fr-CA"/>
              </w:rPr>
              <w:noBreakHyphen/>
              <w:t xml:space="preserve">il attributif d’un pouvoir discrétionnaire qui outrepasse l’application d’une discrétion raisonnable et suffisante? — </w:t>
            </w:r>
            <w:r w:rsidRPr="000B4BA2">
              <w:rPr>
                <w:i/>
                <w:sz w:val="20"/>
                <w:lang w:val="fr-CA"/>
              </w:rPr>
              <w:t>Loi de l’impôt sur le revenu</w:t>
            </w:r>
            <w:r w:rsidRPr="000B4BA2">
              <w:rPr>
                <w:sz w:val="20"/>
                <w:lang w:val="fr-CA"/>
              </w:rPr>
              <w:t xml:space="preserve">, L.R.C. 1985, c. 1 (5e suppl.), par. 227(4) et (4.1) — </w:t>
            </w:r>
            <w:r w:rsidRPr="000B4BA2">
              <w:rPr>
                <w:i/>
                <w:sz w:val="20"/>
                <w:lang w:val="fr-CA"/>
              </w:rPr>
              <w:t>Règlement de l’impôt sur le revenu</w:t>
            </w:r>
            <w:r w:rsidRPr="000B4BA2">
              <w:rPr>
                <w:sz w:val="20"/>
                <w:lang w:val="fr-CA"/>
              </w:rPr>
              <w:t xml:space="preserve">, C.R.C., c. 945, par. 22201(1) et (2).  </w:t>
            </w:r>
          </w:p>
        </w:tc>
      </w:tr>
      <w:tr w:rsidR="00B16C39" w:rsidRPr="000B4BA2" w:rsidTr="00E95A6A">
        <w:tc>
          <w:tcPr>
            <w:tcW w:w="5000" w:type="pct"/>
            <w:gridSpan w:val="4"/>
          </w:tcPr>
          <w:p w:rsidR="00B16C39" w:rsidRPr="000B4BA2" w:rsidRDefault="00B16C39" w:rsidP="00B16C39">
            <w:pPr>
              <w:jc w:val="both"/>
              <w:rPr>
                <w:sz w:val="20"/>
                <w:lang w:val="fr-CA"/>
              </w:rPr>
            </w:pPr>
          </w:p>
        </w:tc>
      </w:tr>
      <w:tr w:rsidR="00B16C39" w:rsidRPr="000B4BA2" w:rsidTr="00E95A6A">
        <w:tc>
          <w:tcPr>
            <w:tcW w:w="5000" w:type="pct"/>
            <w:gridSpan w:val="4"/>
          </w:tcPr>
          <w:p w:rsidR="00B16C39" w:rsidRPr="000B4BA2" w:rsidRDefault="00B16C39" w:rsidP="00B16C39">
            <w:pPr>
              <w:jc w:val="both"/>
              <w:rPr>
                <w:sz w:val="20"/>
                <w:lang w:val="fr-CA"/>
              </w:rPr>
            </w:pPr>
            <w:r w:rsidRPr="000B4BA2">
              <w:rPr>
                <w:sz w:val="20"/>
                <w:lang w:val="fr-CA"/>
              </w:rPr>
              <w:t xml:space="preserve">Le mécanisme de la fiducie réputée du paragraphe 227(4.1) de la </w:t>
            </w:r>
            <w:r w:rsidRPr="000B4BA2">
              <w:rPr>
                <w:i/>
                <w:sz w:val="20"/>
                <w:lang w:val="fr-CA"/>
              </w:rPr>
              <w:t>Loi de l’impôt sur le revenu</w:t>
            </w:r>
            <w:r w:rsidRPr="000B4BA2">
              <w:rPr>
                <w:sz w:val="20"/>
                <w:lang w:val="fr-CA"/>
              </w:rPr>
              <w:t xml:space="preserve">, L.R.C. 1985, c. 1 (5e suppl.) (« LIR »), dote Sa Majesté d’un outil de recouvrement lui permettant de recouvrer les retenues sur les salaires de façon prioritaire à tout autre créancier garanti. Une catégorie restreinte de créanciers garantis déroge à cette priorité, en raison de l’exception de la garantie visée par règlement (« GVR ») prévue au paragraphe 227(4.2) de la LIR. L’exception énonce que les créanciers qui détiennent une hypothèque immobilière conservent leur priorité de rang jusqu’à concurrence du montant de la GVR calculé conformément à l’application de l’article 2201 du </w:t>
            </w:r>
            <w:r w:rsidRPr="000B4BA2">
              <w:rPr>
                <w:i/>
                <w:sz w:val="20"/>
                <w:lang w:val="fr-CA"/>
              </w:rPr>
              <w:t>Règlement de l’impôt sur le revenu</w:t>
            </w:r>
            <w:r w:rsidRPr="000B4BA2">
              <w:rPr>
                <w:sz w:val="20"/>
                <w:lang w:val="fr-CA"/>
              </w:rPr>
              <w:t xml:space="preserve">, C.R.C., c. 945. Devant les instances inférieures, il était question de déterminer le montant </w:t>
            </w:r>
            <w:r w:rsidRPr="000B4BA2">
              <w:rPr>
                <w:sz w:val="20"/>
                <w:lang w:val="fr-CA"/>
              </w:rPr>
              <w:lastRenderedPageBreak/>
              <w:t xml:space="preserve">de la GVR d’un créancier garanti à être colloqué prioritairement à la créance de l’État. La Cour supérieure a calculé la GVR sans égard à la valeur du cautionnement du créancier garanti. Pour la cour, une sûreté personnelle n’est pas un « droi[t] du créancier garanti garantissant l’obligation » au sens de la LIR et du </w:t>
            </w:r>
            <w:r w:rsidRPr="000B4BA2">
              <w:rPr>
                <w:i/>
                <w:sz w:val="20"/>
                <w:lang w:val="fr-CA"/>
              </w:rPr>
              <w:t>Règlement</w:t>
            </w:r>
            <w:r w:rsidRPr="000B4BA2">
              <w:rPr>
                <w:sz w:val="20"/>
                <w:lang w:val="fr-CA"/>
              </w:rPr>
              <w:t>. La Cour d’appel a renversé cette conclusion. Selon elle, le sens ordinaire des mots « droits du créancier garanti » vise tous les droits patrimoniaux du créancier garanti garantissant l’obligation, incluant le cautionnement.</w:t>
            </w:r>
          </w:p>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lastRenderedPageBreak/>
              <w:t>Le 27 août 2018</w:t>
            </w:r>
          </w:p>
          <w:p w:rsidR="00B16C39" w:rsidRPr="000B4BA2" w:rsidRDefault="00B16C39" w:rsidP="00B16C39">
            <w:pPr>
              <w:jc w:val="both"/>
              <w:rPr>
                <w:sz w:val="20"/>
                <w:lang w:val="fr-CA"/>
              </w:rPr>
            </w:pPr>
            <w:r w:rsidRPr="000B4BA2">
              <w:rPr>
                <w:sz w:val="20"/>
                <w:lang w:val="fr-CA"/>
              </w:rPr>
              <w:t>Cour supérieure du Québec</w:t>
            </w:r>
          </w:p>
          <w:p w:rsidR="00B16C39" w:rsidRPr="000B4BA2" w:rsidRDefault="00B16C39" w:rsidP="00B16C39">
            <w:pPr>
              <w:jc w:val="both"/>
              <w:rPr>
                <w:sz w:val="20"/>
                <w:lang w:val="fr-CA"/>
              </w:rPr>
            </w:pPr>
            <w:r w:rsidRPr="000B4BA2">
              <w:rPr>
                <w:sz w:val="20"/>
                <w:lang w:val="fr-CA"/>
              </w:rPr>
              <w:t>(la juge April)</w:t>
            </w:r>
          </w:p>
          <w:p w:rsidR="00B16C39" w:rsidRPr="000B4BA2" w:rsidRDefault="00B16C39" w:rsidP="00B16C39">
            <w:pPr>
              <w:jc w:val="both"/>
              <w:rPr>
                <w:sz w:val="20"/>
                <w:lang w:val="fr-CA"/>
              </w:rPr>
            </w:pPr>
            <w:r w:rsidRPr="000B4BA2">
              <w:rPr>
                <w:sz w:val="20"/>
                <w:lang w:val="fr-CA"/>
              </w:rPr>
              <w:t>No. dossier 200</w:t>
            </w:r>
            <w:r w:rsidRPr="000B4BA2">
              <w:rPr>
                <w:sz w:val="20"/>
                <w:lang w:val="fr-CA"/>
              </w:rPr>
              <w:noBreakHyphen/>
              <w:t>17</w:t>
            </w:r>
            <w:r w:rsidRPr="000B4BA2">
              <w:rPr>
                <w:sz w:val="20"/>
                <w:lang w:val="fr-CA"/>
              </w:rPr>
              <w:noBreakHyphen/>
              <w:t>023145</w:t>
            </w:r>
            <w:r w:rsidRPr="000B4BA2">
              <w:rPr>
                <w:sz w:val="20"/>
                <w:lang w:val="fr-CA"/>
              </w:rPr>
              <w:noBreakHyphen/>
              <w:t>154</w:t>
            </w:r>
          </w:p>
          <w:p w:rsidR="00B16C39" w:rsidRPr="000B4BA2" w:rsidRDefault="000B4BA2" w:rsidP="00B16C39">
            <w:pPr>
              <w:jc w:val="both"/>
              <w:rPr>
                <w:sz w:val="20"/>
              </w:rPr>
            </w:pPr>
            <w:hyperlink r:id="rId14" w:history="1">
              <w:r w:rsidR="00B16C39" w:rsidRPr="000B4BA2">
                <w:rPr>
                  <w:rStyle w:val="Hyperlink"/>
                  <w:sz w:val="20"/>
                </w:rPr>
                <w:t>2018 QCCS 4517</w:t>
              </w:r>
            </w:hyperlink>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lang w:val="fr-CA"/>
              </w:rPr>
            </w:pPr>
            <w:r w:rsidRPr="000B4BA2">
              <w:rPr>
                <w:sz w:val="20"/>
                <w:lang w:val="fr-CA"/>
              </w:rPr>
              <w:t>Contestation de l’état de collocation accueillie; Modification de l’ordre de collocation de façon à donner priorité de rang à la créancière hypothécaire par rapport à la fiducie réputée de l’État, jusqu’à concurrence du montant de sa garantie visée par règlement, à savoir 152 303,13 $ (sans égard à la valeur du cautionnement), ordonnée.</w:t>
            </w:r>
          </w:p>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Le 3 décembre 2020</w:t>
            </w:r>
          </w:p>
          <w:p w:rsidR="00B16C39" w:rsidRPr="000B4BA2" w:rsidRDefault="00B16C39" w:rsidP="00B16C39">
            <w:pPr>
              <w:jc w:val="both"/>
              <w:rPr>
                <w:sz w:val="20"/>
                <w:lang w:val="fr-CA"/>
              </w:rPr>
            </w:pPr>
            <w:r w:rsidRPr="000B4BA2">
              <w:rPr>
                <w:sz w:val="20"/>
                <w:lang w:val="fr-CA"/>
              </w:rPr>
              <w:t>Cour d’appel du Québec (Québec)</w:t>
            </w:r>
          </w:p>
          <w:p w:rsidR="00B16C39" w:rsidRPr="000B4BA2" w:rsidRDefault="00B16C39" w:rsidP="00B16C39">
            <w:pPr>
              <w:jc w:val="both"/>
              <w:rPr>
                <w:sz w:val="20"/>
                <w:lang w:val="fr-CA"/>
              </w:rPr>
            </w:pPr>
            <w:r w:rsidRPr="000B4BA2">
              <w:rPr>
                <w:sz w:val="20"/>
                <w:lang w:val="fr-CA"/>
              </w:rPr>
              <w:t>(les juges Thibault, Bich et Gagné)</w:t>
            </w:r>
          </w:p>
          <w:p w:rsidR="00B16C39" w:rsidRPr="000B4BA2" w:rsidRDefault="00B16C39" w:rsidP="00B16C39">
            <w:pPr>
              <w:jc w:val="both"/>
              <w:rPr>
                <w:sz w:val="20"/>
              </w:rPr>
            </w:pPr>
            <w:r w:rsidRPr="000B4BA2">
              <w:rPr>
                <w:sz w:val="20"/>
              </w:rPr>
              <w:t>No. dossier 200</w:t>
            </w:r>
            <w:r w:rsidRPr="000B4BA2">
              <w:rPr>
                <w:sz w:val="20"/>
              </w:rPr>
              <w:noBreakHyphen/>
              <w:t>09</w:t>
            </w:r>
            <w:r w:rsidRPr="000B4BA2">
              <w:rPr>
                <w:sz w:val="20"/>
              </w:rPr>
              <w:noBreakHyphen/>
              <w:t>009862</w:t>
            </w:r>
            <w:r w:rsidRPr="000B4BA2">
              <w:rPr>
                <w:sz w:val="20"/>
              </w:rPr>
              <w:noBreakHyphen/>
              <w:t>183</w:t>
            </w:r>
          </w:p>
          <w:p w:rsidR="00B16C39" w:rsidRPr="000B4BA2" w:rsidRDefault="000B4BA2" w:rsidP="00B16C39">
            <w:pPr>
              <w:jc w:val="both"/>
              <w:rPr>
                <w:sz w:val="20"/>
              </w:rPr>
            </w:pPr>
            <w:hyperlink r:id="rId15" w:history="1">
              <w:r w:rsidR="00B16C39" w:rsidRPr="000B4BA2">
                <w:rPr>
                  <w:rStyle w:val="Hyperlink"/>
                  <w:sz w:val="20"/>
                </w:rPr>
                <w:t>2020 QCCA 1612</w:t>
              </w:r>
            </w:hyperlink>
            <w:r w:rsidR="00B16C39" w:rsidRPr="000B4BA2">
              <w:rPr>
                <w:sz w:val="20"/>
              </w:rPr>
              <w:t xml:space="preserve"> </w:t>
            </w: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lang w:val="fr-CA"/>
              </w:rPr>
            </w:pPr>
            <w:r w:rsidRPr="000B4BA2">
              <w:rPr>
                <w:sz w:val="20"/>
                <w:lang w:val="fr-CA"/>
              </w:rPr>
              <w:t>Appel accueilli en partie; Paragraphes 37 et 39 du jugement entrepris infirmés; Modification de l’ordre de collocation de façon à donner priorité de rang à la créancière hypothécaire par rapport à la fiducie réputée de l’État, jusqu’à concurrence du montant de sa garantie visée par règlement, à savoir 103 906,63 $ (avec égard à la valeur du cautionnement), ordonnée; Appel incident rejeté.</w:t>
            </w:r>
          </w:p>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Le 1 février 2021</w:t>
            </w:r>
          </w:p>
          <w:p w:rsidR="00B16C39" w:rsidRPr="000B4BA2" w:rsidRDefault="00B16C39" w:rsidP="00B16C39">
            <w:pPr>
              <w:jc w:val="both"/>
              <w:rPr>
                <w:sz w:val="20"/>
                <w:lang w:val="fr-CA"/>
              </w:rPr>
            </w:pPr>
            <w:r w:rsidRPr="000B4BA2">
              <w:rPr>
                <w:sz w:val="20"/>
                <w:lang w:val="fr-CA"/>
              </w:rPr>
              <w:t>Cour suprême du Canada</w:t>
            </w: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rPr>
            </w:pPr>
            <w:r w:rsidRPr="000B4BA2">
              <w:rPr>
                <w:sz w:val="20"/>
              </w:rPr>
              <w:t>Demande d’autorisation d’appel déposée</w:t>
            </w:r>
          </w:p>
          <w:p w:rsidR="00B16C39" w:rsidRPr="000B4BA2" w:rsidRDefault="00B16C39" w:rsidP="00B16C39">
            <w:pPr>
              <w:jc w:val="both"/>
              <w:rPr>
                <w:sz w:val="20"/>
              </w:rPr>
            </w:pPr>
          </w:p>
        </w:tc>
      </w:tr>
    </w:tbl>
    <w:p w:rsidR="00B16C39" w:rsidRPr="000B4BA2" w:rsidRDefault="00B16C39" w:rsidP="00B16C39">
      <w:pPr>
        <w:jc w:val="both"/>
        <w:rPr>
          <w:sz w:val="20"/>
        </w:rPr>
      </w:pPr>
    </w:p>
    <w:p w:rsidR="006416FE" w:rsidRPr="000B4BA2" w:rsidRDefault="000B4BA2" w:rsidP="00B16C39">
      <w:pPr>
        <w:widowControl w:val="0"/>
        <w:jc w:val="both"/>
        <w:rPr>
          <w:sz w:val="20"/>
        </w:rPr>
      </w:pPr>
      <w:r w:rsidRPr="000B4BA2">
        <w:rPr>
          <w:sz w:val="20"/>
        </w:rPr>
        <w:pict>
          <v:rect id="_x0000_i1028" style="width:2in;height:1pt" o:hrpct="0" o:hralign="center" o:hrstd="t" o:hrnoshade="t" o:hr="t" fillcolor="black [3213]" stroked="f"/>
        </w:pict>
      </w:r>
    </w:p>
    <w:p w:rsidR="006416FE" w:rsidRPr="000B4BA2" w:rsidRDefault="006416FE" w:rsidP="00B16C3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C39" w:rsidRPr="000B4BA2" w:rsidTr="00E95A6A">
        <w:tc>
          <w:tcPr>
            <w:tcW w:w="543" w:type="pct"/>
          </w:tcPr>
          <w:p w:rsidR="00B16C39" w:rsidRPr="000B4BA2" w:rsidRDefault="00B16C39" w:rsidP="00B16C39">
            <w:pPr>
              <w:jc w:val="both"/>
              <w:rPr>
                <w:sz w:val="20"/>
              </w:rPr>
            </w:pPr>
            <w:r w:rsidRPr="000B4BA2">
              <w:rPr>
                <w:rStyle w:val="SCCFileNumberChar"/>
                <w:sz w:val="20"/>
                <w:szCs w:val="20"/>
              </w:rPr>
              <w:t>39547</w:t>
            </w:r>
          </w:p>
        </w:tc>
        <w:tc>
          <w:tcPr>
            <w:tcW w:w="4457" w:type="pct"/>
            <w:gridSpan w:val="3"/>
          </w:tcPr>
          <w:p w:rsidR="00B16C39" w:rsidRPr="000B4BA2" w:rsidRDefault="00B16C39" w:rsidP="00B16C39">
            <w:pPr>
              <w:pStyle w:val="SCCLsocParty"/>
              <w:jc w:val="both"/>
              <w:rPr>
                <w:b/>
                <w:sz w:val="20"/>
                <w:szCs w:val="20"/>
                <w:lang w:val="en-US"/>
              </w:rPr>
            </w:pPr>
            <w:r w:rsidRPr="000B4BA2">
              <w:rPr>
                <w:b/>
                <w:sz w:val="20"/>
                <w:szCs w:val="20"/>
                <w:lang w:val="en-US"/>
              </w:rPr>
              <w:t>Peace River Hydro Partners, Acciona Infrastructure Canada Inc., Samsung C&amp;T Canada Ltd., Acciona Infraestructuras S.A., and Samsung C&amp;T Corporation v. Petrowest Corporation, Petrowest Civil Services LP by its general partner, Petrowest GP Ltd., carrying on business as RBEE Crushing, Petrowest Construction LP by its general partner Petrowest GP Ltd., carrying on business as Quigley Contracting,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Trans Carrier Ltd.</w:t>
            </w:r>
          </w:p>
          <w:p w:rsidR="00B16C39" w:rsidRPr="000B4BA2" w:rsidRDefault="00B16C39" w:rsidP="00B16C39">
            <w:pPr>
              <w:jc w:val="both"/>
              <w:rPr>
                <w:sz w:val="20"/>
              </w:rPr>
            </w:pPr>
            <w:r w:rsidRPr="000B4BA2">
              <w:rPr>
                <w:sz w:val="20"/>
              </w:rPr>
              <w:t>(B.C.) (Civil) (By Leave)</w:t>
            </w:r>
          </w:p>
        </w:tc>
      </w:tr>
      <w:tr w:rsidR="00B16C39" w:rsidRPr="000B4BA2" w:rsidTr="00E95A6A">
        <w:tc>
          <w:tcPr>
            <w:tcW w:w="5000" w:type="pct"/>
            <w:gridSpan w:val="4"/>
          </w:tcPr>
          <w:p w:rsidR="00B16C39" w:rsidRPr="000B4BA2" w:rsidRDefault="00B16C39" w:rsidP="00B16C39">
            <w:pPr>
              <w:jc w:val="both"/>
              <w:rPr>
                <w:sz w:val="20"/>
              </w:rPr>
            </w:pPr>
            <w:r w:rsidRPr="000B4BA2">
              <w:rPr>
                <w:sz w:val="20"/>
              </w:rPr>
              <w:t>Bankruptcy and insolvency — Receiver — Commercial law — Contracts — Doctrine of separability — Whether receivers enforcing contractual agreements that contain arbitration clauses are bound as parties to arbitration clauses — Whether doctrine of separability allows disclaiming arbitration agreements while pursuing rights under same agreements?</w:t>
            </w:r>
          </w:p>
          <w:p w:rsidR="00B16C39" w:rsidRPr="000B4BA2" w:rsidRDefault="00B16C39" w:rsidP="00B16C39">
            <w:pPr>
              <w:jc w:val="both"/>
              <w:rPr>
                <w:sz w:val="20"/>
              </w:rPr>
            </w:pPr>
          </w:p>
        </w:tc>
      </w:tr>
      <w:tr w:rsidR="00B16C39" w:rsidRPr="000B4BA2" w:rsidTr="00E95A6A">
        <w:tc>
          <w:tcPr>
            <w:tcW w:w="5000" w:type="pct"/>
            <w:gridSpan w:val="4"/>
          </w:tcPr>
          <w:p w:rsidR="00B16C39" w:rsidRPr="000B4BA2" w:rsidRDefault="00B16C39" w:rsidP="00B16C39">
            <w:pPr>
              <w:jc w:val="both"/>
              <w:rPr>
                <w:sz w:val="20"/>
              </w:rPr>
            </w:pPr>
            <w:r w:rsidRPr="000B4BA2">
              <w:rPr>
                <w:sz w:val="20"/>
              </w:rPr>
              <w:t xml:space="preserve">Petrowest Corporation and affiliated companies are in receivership. Their receiver and manager commenced an action against Peace River Hydro Partners, et al., claiming amounts owed pursuant to agreements that contain arbitration clauses. Peace River Hydro Partners, et al., applied under s. 15 of the </w:t>
            </w:r>
            <w:r w:rsidRPr="000B4BA2">
              <w:rPr>
                <w:i/>
                <w:sz w:val="20"/>
              </w:rPr>
              <w:t xml:space="preserve">Arbitration Act, </w:t>
            </w:r>
            <w:r w:rsidRPr="000B4BA2">
              <w:rPr>
                <w:sz w:val="20"/>
              </w:rPr>
              <w:t xml:space="preserve">R.S.B.C. 1996, </w:t>
            </w:r>
            <w:proofErr w:type="gramStart"/>
            <w:r w:rsidRPr="000B4BA2">
              <w:rPr>
                <w:sz w:val="20"/>
              </w:rPr>
              <w:t>c</w:t>
            </w:r>
            <w:proofErr w:type="gramEnd"/>
            <w:r w:rsidRPr="000B4BA2">
              <w:rPr>
                <w:sz w:val="20"/>
              </w:rPr>
              <w:t xml:space="preserve">. 55, to stay the action in favour of arbitrations. The motions judge dismissed the application. The Court of Appeal dismissed an appeal. </w:t>
            </w:r>
          </w:p>
        </w:tc>
      </w:tr>
      <w:tr w:rsidR="00B16C39" w:rsidRPr="000B4BA2" w:rsidTr="00E95A6A">
        <w:tc>
          <w:tcPr>
            <w:tcW w:w="5000" w:type="pct"/>
            <w:gridSpan w:val="4"/>
          </w:tcPr>
          <w:p w:rsidR="00B16C39" w:rsidRPr="000B4BA2" w:rsidRDefault="00B16C39" w:rsidP="00B16C39">
            <w:pPr>
              <w:jc w:val="both"/>
              <w:rPr>
                <w:sz w:val="20"/>
              </w:rPr>
            </w:pPr>
          </w:p>
        </w:tc>
      </w:tr>
      <w:tr w:rsidR="00B16C39" w:rsidRPr="000B4BA2" w:rsidTr="00E95A6A">
        <w:tc>
          <w:tcPr>
            <w:tcW w:w="2427" w:type="pct"/>
            <w:gridSpan w:val="2"/>
          </w:tcPr>
          <w:p w:rsidR="00B16C39" w:rsidRPr="000B4BA2" w:rsidRDefault="00B16C39" w:rsidP="00B16C39">
            <w:pPr>
              <w:jc w:val="both"/>
              <w:rPr>
                <w:sz w:val="20"/>
              </w:rPr>
            </w:pPr>
            <w:r w:rsidRPr="000B4BA2">
              <w:rPr>
                <w:sz w:val="20"/>
              </w:rPr>
              <w:t>December 20, 2019</w:t>
            </w:r>
          </w:p>
          <w:p w:rsidR="00B16C39" w:rsidRPr="000B4BA2" w:rsidRDefault="00B16C39" w:rsidP="00B16C39">
            <w:pPr>
              <w:jc w:val="both"/>
              <w:rPr>
                <w:sz w:val="20"/>
              </w:rPr>
            </w:pPr>
            <w:r w:rsidRPr="000B4BA2">
              <w:rPr>
                <w:sz w:val="20"/>
              </w:rPr>
              <w:t>Supreme Court of British Columbia</w:t>
            </w:r>
          </w:p>
          <w:p w:rsidR="00B16C39" w:rsidRPr="000B4BA2" w:rsidRDefault="00B16C39" w:rsidP="00B16C39">
            <w:pPr>
              <w:jc w:val="both"/>
              <w:rPr>
                <w:sz w:val="20"/>
              </w:rPr>
            </w:pPr>
            <w:r w:rsidRPr="000B4BA2">
              <w:rPr>
                <w:sz w:val="20"/>
              </w:rPr>
              <w:t>(Iyer J.)</w:t>
            </w:r>
          </w:p>
          <w:p w:rsidR="00B16C39" w:rsidRPr="000B4BA2" w:rsidRDefault="000B4BA2" w:rsidP="00B16C39">
            <w:pPr>
              <w:jc w:val="both"/>
              <w:rPr>
                <w:sz w:val="20"/>
              </w:rPr>
            </w:pPr>
            <w:hyperlink r:id="rId16" w:history="1">
              <w:r w:rsidR="00B16C39" w:rsidRPr="000B4BA2">
                <w:rPr>
                  <w:rStyle w:val="Hyperlink"/>
                  <w:sz w:val="20"/>
                </w:rPr>
                <w:t>2019 BCSC 2221</w:t>
              </w:r>
            </w:hyperlink>
          </w:p>
          <w:p w:rsidR="00B16C39" w:rsidRPr="000B4BA2" w:rsidRDefault="00B16C39" w:rsidP="00B16C39">
            <w:pPr>
              <w:jc w:val="both"/>
              <w:rPr>
                <w:sz w:val="20"/>
              </w:rPr>
            </w:pP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Declaration of entitlement to disclaim arbitration agreements</w:t>
            </w:r>
          </w:p>
          <w:p w:rsidR="00B16C39" w:rsidRPr="000B4BA2" w:rsidRDefault="00B16C39" w:rsidP="00B16C39">
            <w:pPr>
              <w:jc w:val="both"/>
              <w:rPr>
                <w:sz w:val="20"/>
              </w:rPr>
            </w:pPr>
          </w:p>
        </w:tc>
      </w:tr>
      <w:tr w:rsidR="00B16C39" w:rsidRPr="000B4BA2" w:rsidTr="00E95A6A">
        <w:tc>
          <w:tcPr>
            <w:tcW w:w="2427" w:type="pct"/>
            <w:gridSpan w:val="2"/>
          </w:tcPr>
          <w:p w:rsidR="00B16C39" w:rsidRPr="000B4BA2" w:rsidRDefault="00B16C39" w:rsidP="00B16C39">
            <w:pPr>
              <w:jc w:val="both"/>
              <w:rPr>
                <w:sz w:val="20"/>
              </w:rPr>
            </w:pPr>
            <w:r w:rsidRPr="000B4BA2">
              <w:rPr>
                <w:sz w:val="20"/>
              </w:rPr>
              <w:t>November 30, 2020</w:t>
            </w:r>
          </w:p>
          <w:p w:rsidR="00B16C39" w:rsidRPr="000B4BA2" w:rsidRDefault="00B16C39" w:rsidP="00B16C39">
            <w:pPr>
              <w:jc w:val="both"/>
              <w:rPr>
                <w:sz w:val="20"/>
              </w:rPr>
            </w:pPr>
            <w:r w:rsidRPr="000B4BA2">
              <w:rPr>
                <w:sz w:val="20"/>
              </w:rPr>
              <w:t xml:space="preserve">Court of Appeal for British Columbia </w:t>
            </w:r>
          </w:p>
          <w:p w:rsidR="00B16C39" w:rsidRPr="000B4BA2" w:rsidRDefault="00B16C39" w:rsidP="00B16C39">
            <w:pPr>
              <w:jc w:val="both"/>
              <w:rPr>
                <w:sz w:val="20"/>
                <w:lang w:val="fr-FR"/>
              </w:rPr>
            </w:pPr>
            <w:r w:rsidRPr="000B4BA2">
              <w:rPr>
                <w:sz w:val="20"/>
                <w:lang w:val="fr-FR"/>
              </w:rPr>
              <w:t>(Vancouver)</w:t>
            </w:r>
          </w:p>
          <w:p w:rsidR="00B16C39" w:rsidRPr="000B4BA2" w:rsidRDefault="00B16C39" w:rsidP="00B16C39">
            <w:pPr>
              <w:jc w:val="both"/>
              <w:rPr>
                <w:sz w:val="20"/>
                <w:lang w:val="fr-FR"/>
              </w:rPr>
            </w:pPr>
            <w:r w:rsidRPr="000B4BA2">
              <w:rPr>
                <w:sz w:val="20"/>
                <w:lang w:val="fr-FR"/>
              </w:rPr>
              <w:t>(Bennett, Dickson, Grauer JJ.A.)</w:t>
            </w:r>
          </w:p>
          <w:p w:rsidR="00B16C39" w:rsidRPr="000B4BA2" w:rsidRDefault="000B4BA2" w:rsidP="00B16C39">
            <w:pPr>
              <w:jc w:val="both"/>
              <w:rPr>
                <w:sz w:val="20"/>
              </w:rPr>
            </w:pPr>
            <w:hyperlink r:id="rId17" w:history="1">
              <w:r w:rsidR="00B16C39" w:rsidRPr="000B4BA2">
                <w:rPr>
                  <w:rStyle w:val="Hyperlink"/>
                  <w:sz w:val="20"/>
                </w:rPr>
                <w:t>2020 BCCA 339</w:t>
              </w:r>
            </w:hyperlink>
            <w:r w:rsidR="00B16C39" w:rsidRPr="000B4BA2">
              <w:rPr>
                <w:sz w:val="20"/>
              </w:rPr>
              <w:t xml:space="preserve">; CA46638 </w:t>
            </w:r>
          </w:p>
          <w:p w:rsidR="00B16C39" w:rsidRPr="000B4BA2" w:rsidRDefault="00B16C39" w:rsidP="00B16C39">
            <w:pPr>
              <w:jc w:val="both"/>
              <w:rPr>
                <w:sz w:val="20"/>
              </w:rPr>
            </w:pP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Appeal dismissed</w:t>
            </w:r>
          </w:p>
          <w:p w:rsidR="00B16C39" w:rsidRPr="000B4BA2" w:rsidRDefault="00B16C39" w:rsidP="00B16C39">
            <w:pPr>
              <w:jc w:val="both"/>
              <w:rPr>
                <w:sz w:val="20"/>
              </w:rPr>
            </w:pPr>
          </w:p>
        </w:tc>
      </w:tr>
      <w:tr w:rsidR="00B16C39" w:rsidRPr="000B4BA2" w:rsidTr="00E95A6A">
        <w:tc>
          <w:tcPr>
            <w:tcW w:w="2427" w:type="pct"/>
            <w:gridSpan w:val="2"/>
          </w:tcPr>
          <w:p w:rsidR="00B16C39" w:rsidRPr="000B4BA2" w:rsidRDefault="00B16C39" w:rsidP="00B16C39">
            <w:pPr>
              <w:jc w:val="both"/>
              <w:rPr>
                <w:sz w:val="20"/>
              </w:rPr>
            </w:pPr>
            <w:r w:rsidRPr="000B4BA2">
              <w:rPr>
                <w:sz w:val="20"/>
              </w:rPr>
              <w:t>January 29, 2021</w:t>
            </w:r>
          </w:p>
          <w:p w:rsidR="00B16C39" w:rsidRPr="000B4BA2" w:rsidRDefault="00B16C39" w:rsidP="00B16C39">
            <w:pPr>
              <w:jc w:val="both"/>
              <w:rPr>
                <w:sz w:val="20"/>
              </w:rPr>
            </w:pPr>
            <w:r w:rsidRPr="000B4BA2">
              <w:rPr>
                <w:sz w:val="20"/>
              </w:rPr>
              <w:t>Supreme Court of Canada</w:t>
            </w:r>
          </w:p>
          <w:p w:rsidR="00B16C39" w:rsidRPr="000B4BA2" w:rsidRDefault="00B16C39" w:rsidP="00B16C39">
            <w:pPr>
              <w:jc w:val="both"/>
              <w:rPr>
                <w:sz w:val="20"/>
              </w:rPr>
            </w:pP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Application for leave to appeal filed</w:t>
            </w:r>
          </w:p>
          <w:p w:rsidR="00B16C39" w:rsidRPr="000B4BA2" w:rsidRDefault="00B16C39" w:rsidP="00B16C39">
            <w:pPr>
              <w:jc w:val="both"/>
              <w:rPr>
                <w:sz w:val="20"/>
              </w:rPr>
            </w:pPr>
          </w:p>
        </w:tc>
      </w:tr>
      <w:tr w:rsidR="00B16C39" w:rsidRPr="000B4BA2" w:rsidTr="00E95A6A">
        <w:tc>
          <w:tcPr>
            <w:tcW w:w="2427" w:type="pct"/>
            <w:gridSpan w:val="2"/>
          </w:tcPr>
          <w:p w:rsidR="00B16C39" w:rsidRPr="000B4BA2" w:rsidRDefault="00B16C39" w:rsidP="00B16C39">
            <w:pPr>
              <w:jc w:val="both"/>
              <w:rPr>
                <w:sz w:val="20"/>
              </w:rPr>
            </w:pPr>
            <w:r w:rsidRPr="000B4BA2">
              <w:rPr>
                <w:sz w:val="20"/>
              </w:rPr>
              <w:t xml:space="preserve">March 3, 2021 </w:t>
            </w:r>
          </w:p>
          <w:p w:rsidR="00B16C39" w:rsidRPr="000B4BA2" w:rsidRDefault="00B16C39" w:rsidP="00B16C39">
            <w:pPr>
              <w:jc w:val="both"/>
              <w:rPr>
                <w:sz w:val="20"/>
              </w:rPr>
            </w:pPr>
            <w:r w:rsidRPr="000B4BA2">
              <w:rPr>
                <w:sz w:val="20"/>
              </w:rPr>
              <w:t>Supreme Court of Canada</w:t>
            </w: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Motion for leave to intervene filed</w:t>
            </w:r>
          </w:p>
        </w:tc>
      </w:tr>
    </w:tbl>
    <w:p w:rsidR="00B16C39" w:rsidRPr="000B4BA2" w:rsidRDefault="00B16C39" w:rsidP="00B16C39">
      <w:pPr>
        <w:jc w:val="both"/>
        <w:rPr>
          <w:sz w:val="20"/>
        </w:rPr>
      </w:pPr>
    </w:p>
    <w:p w:rsidR="00B16C39" w:rsidRPr="000B4BA2" w:rsidRDefault="000B4BA2" w:rsidP="00B16C39">
      <w:pPr>
        <w:jc w:val="both"/>
        <w:rPr>
          <w:sz w:val="20"/>
        </w:rPr>
      </w:pPr>
      <w:r w:rsidRPr="000B4BA2">
        <w:rPr>
          <w:sz w:val="20"/>
        </w:rPr>
        <w:pict>
          <v:rect id="_x0000_i1029" style="width:2in;height:1pt" o:hrpct="0" o:hralign="center" o:hrstd="t" o:hrnoshade="t" o:hr="t" fillcolor="black [3213]" stroked="f"/>
        </w:pict>
      </w:r>
    </w:p>
    <w:p w:rsidR="00B16C39" w:rsidRPr="000B4BA2" w:rsidRDefault="00B16C39" w:rsidP="00B16C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C39" w:rsidRPr="000B4BA2" w:rsidTr="00E95A6A">
        <w:tc>
          <w:tcPr>
            <w:tcW w:w="543" w:type="pct"/>
          </w:tcPr>
          <w:p w:rsidR="00B16C39" w:rsidRPr="000B4BA2" w:rsidRDefault="00B16C39" w:rsidP="00B16C39">
            <w:pPr>
              <w:jc w:val="both"/>
              <w:rPr>
                <w:sz w:val="20"/>
                <w:lang w:val="fr-CA"/>
              </w:rPr>
            </w:pPr>
            <w:r w:rsidRPr="000B4BA2">
              <w:rPr>
                <w:rStyle w:val="SCCFileNumberChar"/>
                <w:sz w:val="20"/>
                <w:szCs w:val="20"/>
                <w:lang w:val="fr-CA"/>
              </w:rPr>
              <w:t>39547</w:t>
            </w:r>
          </w:p>
        </w:tc>
        <w:tc>
          <w:tcPr>
            <w:tcW w:w="4457" w:type="pct"/>
            <w:gridSpan w:val="3"/>
          </w:tcPr>
          <w:p w:rsidR="00B16C39" w:rsidRPr="000B4BA2" w:rsidRDefault="00B16C39" w:rsidP="00B16C39">
            <w:pPr>
              <w:pStyle w:val="SCCLsocParty"/>
              <w:jc w:val="both"/>
              <w:rPr>
                <w:b/>
                <w:sz w:val="20"/>
                <w:szCs w:val="20"/>
              </w:rPr>
            </w:pPr>
            <w:r w:rsidRPr="000B4BA2">
              <w:rPr>
                <w:b/>
                <w:sz w:val="20"/>
                <w:szCs w:val="20"/>
              </w:rPr>
              <w:t>Peace River Hydro Partners, Acciona Infrastructure Canada Inc., Samsung C&amp;T Canada Ltd., Acciona Infraestructuras S.A., et Samsung C&amp;T Corporation c. Petrowest Corporation, Petrowest Civil Services LP représentée par sa commanditée, Petrowest GP Ltd., faisant affaire sous le nom de RBEE Crushing, Petrowest Construction LP représentée par sa commanditée Petrowest GP Ltd., faisant affaire sous le nom de Quigley Contracting, Petrowest Services Rentals LP représentée par sa commanditée Petrowest GP Ltd., faisant affaire sous le nom de Nu-Northern Tractor Rentals, Petrowest GP Ltd., en sa qualité de commanditée de Petrowest Civil Services LP, Petrowest Construction LP et Petrowest Services Rentals LP, Trans Carrier Ltd., et Ernst &amp; Young Inc. en sa qualité de séquestre et d’administrateur nommé par le tribunal de Petrowest Corporation, Petrowest Civil Services LP, Petrowest Construction LP, Petrowest Services Rentals LP, Petrowest GP Ltd. et Trans Carrier Ltd.</w:t>
            </w:r>
          </w:p>
          <w:p w:rsidR="00B16C39" w:rsidRPr="000B4BA2" w:rsidRDefault="00B16C39" w:rsidP="00B16C39">
            <w:pPr>
              <w:jc w:val="both"/>
              <w:rPr>
                <w:sz w:val="20"/>
                <w:lang w:val="fr-CA"/>
              </w:rPr>
            </w:pPr>
            <w:r w:rsidRPr="000B4BA2">
              <w:rPr>
                <w:sz w:val="20"/>
                <w:lang w:val="fr-CA"/>
              </w:rPr>
              <w:t>(C.-B.) (Civile) (Sur autorisation)</w:t>
            </w:r>
          </w:p>
        </w:tc>
      </w:tr>
      <w:tr w:rsidR="00B16C39" w:rsidRPr="000B4BA2" w:rsidTr="00E95A6A">
        <w:tc>
          <w:tcPr>
            <w:tcW w:w="5000" w:type="pct"/>
            <w:gridSpan w:val="4"/>
          </w:tcPr>
          <w:p w:rsidR="00B16C39" w:rsidRPr="000B4BA2" w:rsidRDefault="00B16C39" w:rsidP="00B16C39">
            <w:pPr>
              <w:jc w:val="both"/>
              <w:rPr>
                <w:sz w:val="20"/>
                <w:lang w:val="fr-CA"/>
              </w:rPr>
            </w:pPr>
            <w:r w:rsidRPr="000B4BA2">
              <w:rPr>
                <w:sz w:val="20"/>
                <w:lang w:val="fr-CA"/>
              </w:rPr>
              <w:t>Faillite et insolvabilité — Séquestre — Droit commercial — Contrats — Principe de la divisibilité — Les séquestres qui exécutent des ententes contractuelles renfermant des clauses d’arbitrage sont</w:t>
            </w:r>
            <w:r w:rsidRPr="000B4BA2">
              <w:rPr>
                <w:sz w:val="20"/>
                <w:lang w:val="fr-CA"/>
              </w:rPr>
              <w:noBreakHyphen/>
              <w:t>ils liés, en tant que parties, par ces dernières? — Le principe de la divisibilité permet</w:t>
            </w:r>
            <w:r w:rsidRPr="000B4BA2">
              <w:rPr>
                <w:sz w:val="20"/>
                <w:lang w:val="fr-CA"/>
              </w:rPr>
              <w:noBreakHyphen/>
              <w:t>il de renoncer aux conventions d’arbitrage tout en se prévalant des droits en vertu de ces mêmes conventions?</w:t>
            </w:r>
          </w:p>
          <w:p w:rsidR="00B16C39" w:rsidRPr="000B4BA2" w:rsidRDefault="00B16C39" w:rsidP="00B16C39">
            <w:pPr>
              <w:jc w:val="both"/>
              <w:rPr>
                <w:sz w:val="20"/>
                <w:lang w:val="fr-CA"/>
              </w:rPr>
            </w:pPr>
          </w:p>
        </w:tc>
      </w:tr>
      <w:tr w:rsidR="00B16C39" w:rsidRPr="000B4BA2" w:rsidTr="00E95A6A">
        <w:tc>
          <w:tcPr>
            <w:tcW w:w="5000" w:type="pct"/>
            <w:gridSpan w:val="4"/>
          </w:tcPr>
          <w:p w:rsidR="00B16C39" w:rsidRPr="000B4BA2" w:rsidRDefault="00B16C39" w:rsidP="00B16C39">
            <w:pPr>
              <w:jc w:val="both"/>
              <w:rPr>
                <w:sz w:val="20"/>
                <w:lang w:val="fr-CA"/>
              </w:rPr>
            </w:pPr>
            <w:r w:rsidRPr="000B4BA2">
              <w:rPr>
                <w:sz w:val="20"/>
                <w:lang w:val="fr-CA"/>
              </w:rPr>
              <w:t xml:space="preserve">Petrowest Corporation et des sociétés affiliées ont été mises sous séquestre. Leur séquestre et administrateur a intenté une action contre Peace River Hydro Partners, et autres, réclamant des sommes dues aux termes d’ententes qui renferment des clauses d’arbitrage. Peace River Hydro Partners, et autres ont demandé un sursis de l’action en faveur de procédures arbitrales conformément à l’art. 15 de </w:t>
            </w:r>
            <w:proofErr w:type="gramStart"/>
            <w:r w:rsidRPr="000B4BA2">
              <w:rPr>
                <w:sz w:val="20"/>
                <w:lang w:val="fr-CA"/>
              </w:rPr>
              <w:t xml:space="preserve">la </w:t>
            </w:r>
            <w:r w:rsidRPr="000B4BA2">
              <w:rPr>
                <w:i/>
                <w:sz w:val="20"/>
                <w:lang w:val="fr-CA"/>
              </w:rPr>
              <w:t>Arbitration</w:t>
            </w:r>
            <w:proofErr w:type="gramEnd"/>
            <w:r w:rsidRPr="000B4BA2">
              <w:rPr>
                <w:i/>
                <w:sz w:val="20"/>
                <w:lang w:val="fr-CA"/>
              </w:rPr>
              <w:t xml:space="preserve"> Act, </w:t>
            </w:r>
            <w:r w:rsidRPr="000B4BA2">
              <w:rPr>
                <w:sz w:val="20"/>
                <w:lang w:val="fr-CA"/>
              </w:rPr>
              <w:t xml:space="preserve">R.S.B.C. 1996, c. 55. La juge saisie de la motion a rejeté la demande. La Cour d’appel a rejeté l’appel. </w:t>
            </w:r>
          </w:p>
        </w:tc>
      </w:tr>
      <w:tr w:rsidR="00B16C39" w:rsidRPr="000B4BA2" w:rsidTr="00E95A6A">
        <w:tc>
          <w:tcPr>
            <w:tcW w:w="5000" w:type="pct"/>
            <w:gridSpan w:val="4"/>
          </w:tcPr>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20 décembre 2019</w:t>
            </w:r>
          </w:p>
          <w:p w:rsidR="00B16C39" w:rsidRPr="000B4BA2" w:rsidRDefault="00B16C39" w:rsidP="00B16C39">
            <w:pPr>
              <w:jc w:val="both"/>
              <w:rPr>
                <w:sz w:val="20"/>
                <w:lang w:val="fr-CA"/>
              </w:rPr>
            </w:pPr>
            <w:r w:rsidRPr="000B4BA2">
              <w:rPr>
                <w:sz w:val="20"/>
                <w:lang w:val="fr-CA"/>
              </w:rPr>
              <w:t>Cour suprême de la Colombie</w:t>
            </w:r>
            <w:r w:rsidRPr="000B4BA2">
              <w:rPr>
                <w:sz w:val="20"/>
                <w:lang w:val="fr-CA"/>
              </w:rPr>
              <w:noBreakHyphen/>
              <w:t>Britannique</w:t>
            </w:r>
          </w:p>
          <w:p w:rsidR="00B16C39" w:rsidRPr="000B4BA2" w:rsidRDefault="00B16C39" w:rsidP="00B16C39">
            <w:pPr>
              <w:jc w:val="both"/>
              <w:rPr>
                <w:sz w:val="20"/>
                <w:lang w:val="fr-CA"/>
              </w:rPr>
            </w:pPr>
            <w:r w:rsidRPr="000B4BA2">
              <w:rPr>
                <w:sz w:val="20"/>
                <w:lang w:val="fr-CA"/>
              </w:rPr>
              <w:t>(juge Iyer)</w:t>
            </w:r>
          </w:p>
          <w:p w:rsidR="00B16C39" w:rsidRPr="000B4BA2" w:rsidRDefault="000B4BA2" w:rsidP="00B16C39">
            <w:pPr>
              <w:jc w:val="both"/>
              <w:rPr>
                <w:sz w:val="20"/>
                <w:lang w:val="fr-CA"/>
              </w:rPr>
            </w:pPr>
            <w:hyperlink r:id="rId18" w:history="1">
              <w:r w:rsidR="00B16C39" w:rsidRPr="000B4BA2">
                <w:rPr>
                  <w:rStyle w:val="Hyperlink"/>
                  <w:sz w:val="20"/>
                  <w:lang w:val="fr-CA"/>
                </w:rPr>
                <w:t>2019 BCSC 2221</w:t>
              </w:r>
            </w:hyperlink>
          </w:p>
          <w:p w:rsidR="00B16C39" w:rsidRPr="000B4BA2" w:rsidRDefault="00B16C39" w:rsidP="00B16C39">
            <w:pPr>
              <w:jc w:val="both"/>
              <w:rPr>
                <w:sz w:val="20"/>
                <w:lang w:val="fr-CA"/>
              </w:rPr>
            </w:pPr>
            <w:r w:rsidRPr="000B4BA2">
              <w:rPr>
                <w:sz w:val="20"/>
                <w:lang w:val="fr-CA"/>
              </w:rPr>
              <w:t xml:space="preserve"> </w:t>
            </w: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Déclaration du droit de renoncer aux conventions d’arbitrage</w:t>
            </w:r>
          </w:p>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30 novembre 2020</w:t>
            </w:r>
          </w:p>
          <w:p w:rsidR="00B16C39" w:rsidRPr="000B4BA2" w:rsidRDefault="00B16C39" w:rsidP="00B16C39">
            <w:pPr>
              <w:jc w:val="both"/>
              <w:rPr>
                <w:sz w:val="20"/>
                <w:lang w:val="fr-CA"/>
              </w:rPr>
            </w:pPr>
            <w:r w:rsidRPr="000B4BA2">
              <w:rPr>
                <w:sz w:val="20"/>
                <w:lang w:val="fr-CA"/>
              </w:rPr>
              <w:t>Cour d’appel de la Colombie</w:t>
            </w:r>
            <w:r w:rsidRPr="000B4BA2">
              <w:rPr>
                <w:sz w:val="20"/>
                <w:lang w:val="fr-CA"/>
              </w:rPr>
              <w:noBreakHyphen/>
              <w:t>Britannique</w:t>
            </w:r>
          </w:p>
          <w:p w:rsidR="00B16C39" w:rsidRPr="000B4BA2" w:rsidRDefault="00B16C39" w:rsidP="00B16C39">
            <w:pPr>
              <w:jc w:val="both"/>
              <w:rPr>
                <w:sz w:val="20"/>
                <w:lang w:val="fr-CA"/>
              </w:rPr>
            </w:pPr>
            <w:r w:rsidRPr="000B4BA2">
              <w:rPr>
                <w:sz w:val="20"/>
                <w:lang w:val="fr-CA"/>
              </w:rPr>
              <w:t>(Vancouver)</w:t>
            </w:r>
          </w:p>
          <w:p w:rsidR="00B16C39" w:rsidRPr="000B4BA2" w:rsidRDefault="00B16C39" w:rsidP="00B16C39">
            <w:pPr>
              <w:jc w:val="both"/>
              <w:rPr>
                <w:sz w:val="20"/>
                <w:lang w:val="fr-CA"/>
              </w:rPr>
            </w:pPr>
            <w:r w:rsidRPr="000B4BA2">
              <w:rPr>
                <w:sz w:val="20"/>
                <w:lang w:val="fr-CA"/>
              </w:rPr>
              <w:t>(juges Bennett, Dickson, Grauer)</w:t>
            </w:r>
          </w:p>
          <w:p w:rsidR="00B16C39" w:rsidRPr="000B4BA2" w:rsidRDefault="000B4BA2" w:rsidP="00B16C39">
            <w:pPr>
              <w:jc w:val="both"/>
              <w:rPr>
                <w:sz w:val="20"/>
                <w:lang w:val="fr-CA"/>
              </w:rPr>
            </w:pPr>
            <w:hyperlink r:id="rId19" w:history="1">
              <w:r w:rsidR="00B16C39" w:rsidRPr="000B4BA2">
                <w:rPr>
                  <w:rStyle w:val="Hyperlink"/>
                  <w:sz w:val="20"/>
                  <w:lang w:val="fr-CA"/>
                </w:rPr>
                <w:t>2020 BCCA 339</w:t>
              </w:r>
            </w:hyperlink>
            <w:r w:rsidR="00B16C39" w:rsidRPr="000B4BA2">
              <w:rPr>
                <w:sz w:val="20"/>
                <w:lang w:val="fr-CA"/>
              </w:rPr>
              <w:t xml:space="preserve">; CA46638 </w:t>
            </w:r>
          </w:p>
          <w:p w:rsidR="00B16C39" w:rsidRPr="000B4BA2" w:rsidRDefault="00B16C39" w:rsidP="00B16C39">
            <w:pPr>
              <w:jc w:val="both"/>
              <w:rPr>
                <w:sz w:val="20"/>
                <w:lang w:val="fr-CA"/>
              </w:rPr>
            </w:pP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Rejet de l’appel</w:t>
            </w:r>
          </w:p>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29 janvier 2021</w:t>
            </w:r>
          </w:p>
          <w:p w:rsidR="00B16C39" w:rsidRPr="000B4BA2" w:rsidRDefault="00B16C39" w:rsidP="00B16C39">
            <w:pPr>
              <w:jc w:val="both"/>
              <w:rPr>
                <w:sz w:val="20"/>
                <w:lang w:val="fr-CA"/>
              </w:rPr>
            </w:pPr>
            <w:r w:rsidRPr="000B4BA2">
              <w:rPr>
                <w:sz w:val="20"/>
                <w:lang w:val="fr-CA"/>
              </w:rPr>
              <w:t>Cour suprême du Canada</w:t>
            </w:r>
          </w:p>
          <w:p w:rsidR="00B16C39" w:rsidRPr="000B4BA2" w:rsidRDefault="00B16C39" w:rsidP="00B16C39">
            <w:pPr>
              <w:jc w:val="both"/>
              <w:rPr>
                <w:sz w:val="20"/>
                <w:lang w:val="fr-CA"/>
              </w:rPr>
            </w:pP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 xml:space="preserve">Dépôt de la demande d’autorisation d’appel </w:t>
            </w:r>
          </w:p>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 xml:space="preserve">3 mars 2021 </w:t>
            </w:r>
          </w:p>
          <w:p w:rsidR="00B16C39" w:rsidRPr="000B4BA2" w:rsidRDefault="00B16C39" w:rsidP="00B16C39">
            <w:pPr>
              <w:jc w:val="both"/>
              <w:rPr>
                <w:sz w:val="20"/>
                <w:lang w:val="fr-CA"/>
              </w:rPr>
            </w:pPr>
            <w:r w:rsidRPr="000B4BA2">
              <w:rPr>
                <w:sz w:val="20"/>
                <w:lang w:val="fr-CA"/>
              </w:rPr>
              <w:t>Cour suprême du Canada</w:t>
            </w: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 xml:space="preserve">Dépôt de la requête en autorisation d’intervenir </w:t>
            </w:r>
          </w:p>
        </w:tc>
      </w:tr>
    </w:tbl>
    <w:p w:rsidR="00B16C39" w:rsidRPr="000B4BA2" w:rsidRDefault="00B16C39" w:rsidP="00B16C39">
      <w:pPr>
        <w:jc w:val="both"/>
        <w:rPr>
          <w:sz w:val="20"/>
          <w:lang w:val="fr-CA"/>
        </w:rPr>
      </w:pPr>
    </w:p>
    <w:p w:rsidR="006416FE" w:rsidRPr="000B4BA2" w:rsidRDefault="000B4BA2" w:rsidP="00B16C39">
      <w:pPr>
        <w:widowControl w:val="0"/>
        <w:jc w:val="both"/>
        <w:rPr>
          <w:sz w:val="20"/>
          <w:lang w:val="fr-CA"/>
        </w:rPr>
      </w:pPr>
      <w:r w:rsidRPr="000B4BA2">
        <w:rPr>
          <w:sz w:val="20"/>
        </w:rPr>
        <w:pict>
          <v:rect id="_x0000_i1030" style="width:2in;height:1pt" o:hrpct="0" o:hralign="center" o:hrstd="t" o:hrnoshade="t" o:hr="t" fillcolor="black [3213]" stroked="f"/>
        </w:pict>
      </w:r>
    </w:p>
    <w:p w:rsidR="006416FE" w:rsidRPr="000B4BA2" w:rsidRDefault="006416FE" w:rsidP="00B16C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C39" w:rsidRPr="000B4BA2" w:rsidTr="00E95A6A">
        <w:tc>
          <w:tcPr>
            <w:tcW w:w="543" w:type="pct"/>
          </w:tcPr>
          <w:p w:rsidR="00B16C39" w:rsidRPr="000B4BA2" w:rsidRDefault="00B16C39" w:rsidP="00B16C39">
            <w:pPr>
              <w:jc w:val="both"/>
              <w:rPr>
                <w:sz w:val="20"/>
              </w:rPr>
            </w:pPr>
            <w:r w:rsidRPr="000B4BA2">
              <w:rPr>
                <w:rStyle w:val="SCCFileNumberChar"/>
                <w:sz w:val="20"/>
                <w:szCs w:val="20"/>
              </w:rPr>
              <w:t>39518</w:t>
            </w:r>
          </w:p>
        </w:tc>
        <w:tc>
          <w:tcPr>
            <w:tcW w:w="4457" w:type="pct"/>
            <w:gridSpan w:val="3"/>
          </w:tcPr>
          <w:p w:rsidR="00B16C39" w:rsidRPr="000B4BA2" w:rsidRDefault="00B16C39" w:rsidP="00B16C39">
            <w:pPr>
              <w:pStyle w:val="SCCLsocParty"/>
              <w:jc w:val="both"/>
              <w:rPr>
                <w:b/>
                <w:sz w:val="20"/>
                <w:szCs w:val="20"/>
                <w:lang w:val="en-US"/>
              </w:rPr>
            </w:pPr>
            <w:r w:rsidRPr="000B4BA2">
              <w:rPr>
                <w:b/>
                <w:sz w:val="20"/>
                <w:szCs w:val="20"/>
                <w:lang w:val="en-US"/>
              </w:rPr>
              <w:t>Noella Hébert v. Bruce Wenham, Attorney General of Canada</w:t>
            </w:r>
          </w:p>
          <w:p w:rsidR="00B16C39" w:rsidRPr="000B4BA2" w:rsidRDefault="00B16C39" w:rsidP="00B16C39">
            <w:pPr>
              <w:jc w:val="both"/>
              <w:rPr>
                <w:sz w:val="20"/>
              </w:rPr>
            </w:pPr>
            <w:r w:rsidRPr="000B4BA2">
              <w:rPr>
                <w:sz w:val="20"/>
              </w:rPr>
              <w:t>(F.C.) (Civil) (By Leave)</w:t>
            </w:r>
          </w:p>
        </w:tc>
      </w:tr>
      <w:tr w:rsidR="00B16C39" w:rsidRPr="000B4BA2" w:rsidTr="00E95A6A">
        <w:tc>
          <w:tcPr>
            <w:tcW w:w="5000" w:type="pct"/>
            <w:gridSpan w:val="4"/>
          </w:tcPr>
          <w:p w:rsidR="00B16C39" w:rsidRPr="000B4BA2" w:rsidRDefault="00B16C39" w:rsidP="00B16C39">
            <w:pPr>
              <w:jc w:val="both"/>
              <w:rPr>
                <w:sz w:val="20"/>
              </w:rPr>
            </w:pPr>
            <w:r w:rsidRPr="000B4BA2">
              <w:rPr>
                <w:sz w:val="20"/>
              </w:rPr>
              <w:t>Civil procedure — Class actions — Settlement approval — What is the role of the Court in approving a class settlement when it will bind class members not before the Court — What are the obligations of a representative plaintiff to act in the best interests of the class as a whole when negotiating and seeking approval of a settlement — In what circumstances should an appeal of a settlement approval order by absent class members be permitted?</w:t>
            </w:r>
          </w:p>
        </w:tc>
      </w:tr>
      <w:tr w:rsidR="00B16C39" w:rsidRPr="000B4BA2" w:rsidTr="00E95A6A">
        <w:tc>
          <w:tcPr>
            <w:tcW w:w="5000" w:type="pct"/>
            <w:gridSpan w:val="4"/>
          </w:tcPr>
          <w:p w:rsidR="00B16C39" w:rsidRPr="000B4BA2" w:rsidRDefault="00B16C39" w:rsidP="00B16C39">
            <w:pPr>
              <w:jc w:val="both"/>
              <w:rPr>
                <w:sz w:val="20"/>
              </w:rPr>
            </w:pPr>
          </w:p>
        </w:tc>
      </w:tr>
      <w:tr w:rsidR="00B16C39" w:rsidRPr="000B4BA2" w:rsidTr="00E95A6A">
        <w:tc>
          <w:tcPr>
            <w:tcW w:w="5000" w:type="pct"/>
            <w:gridSpan w:val="4"/>
          </w:tcPr>
          <w:p w:rsidR="00B16C39" w:rsidRPr="000B4BA2" w:rsidRDefault="00B16C39" w:rsidP="00B16C39">
            <w:pPr>
              <w:jc w:val="both"/>
              <w:rPr>
                <w:sz w:val="20"/>
              </w:rPr>
            </w:pPr>
            <w:r w:rsidRPr="000B4BA2">
              <w:rPr>
                <w:sz w:val="20"/>
              </w:rPr>
              <w:t>In 2018, the Federal Court of Appeal certified a class action for survivors of the drug Thalidomide who were left with lifelong disabilities. Shortly after certification, Canada replaced its existing Thalidomide compensation program with an enhanced version. The new program included financial support for some survivors who were previously denied compensation, amongst other changes. A settlement agreement was executed in 2019. The Class sought court approval of the settlement agreement to which Canada consented. The Federal Court approved the settlement, finding it to be fair, reasonable and in the best interests of the class as a whole. Five class members (not including the representative member) sought leave to appeal the settlement approval to the Federal Court of Appeal which was denied.</w:t>
            </w:r>
          </w:p>
          <w:p w:rsidR="00B16C39" w:rsidRPr="000B4BA2" w:rsidRDefault="00B16C39" w:rsidP="00B16C39">
            <w:pPr>
              <w:jc w:val="both"/>
              <w:rPr>
                <w:sz w:val="20"/>
              </w:rPr>
            </w:pPr>
          </w:p>
        </w:tc>
      </w:tr>
      <w:tr w:rsidR="00B16C39" w:rsidRPr="000B4BA2" w:rsidTr="00E95A6A">
        <w:tc>
          <w:tcPr>
            <w:tcW w:w="2427" w:type="pct"/>
            <w:gridSpan w:val="2"/>
          </w:tcPr>
          <w:p w:rsidR="00B16C39" w:rsidRPr="000B4BA2" w:rsidRDefault="00B16C39" w:rsidP="00B16C39">
            <w:pPr>
              <w:jc w:val="both"/>
              <w:rPr>
                <w:sz w:val="20"/>
              </w:rPr>
            </w:pPr>
            <w:r w:rsidRPr="000B4BA2">
              <w:rPr>
                <w:sz w:val="20"/>
              </w:rPr>
              <w:t>May 8, 2020</w:t>
            </w:r>
          </w:p>
          <w:p w:rsidR="00B16C39" w:rsidRPr="000B4BA2" w:rsidRDefault="00B16C39" w:rsidP="00B16C39">
            <w:pPr>
              <w:jc w:val="both"/>
              <w:rPr>
                <w:sz w:val="20"/>
              </w:rPr>
            </w:pPr>
            <w:r w:rsidRPr="000B4BA2">
              <w:rPr>
                <w:sz w:val="20"/>
              </w:rPr>
              <w:t>Federal Court</w:t>
            </w:r>
          </w:p>
          <w:p w:rsidR="00B16C39" w:rsidRPr="000B4BA2" w:rsidRDefault="00B16C39" w:rsidP="00B16C39">
            <w:pPr>
              <w:jc w:val="both"/>
              <w:rPr>
                <w:sz w:val="20"/>
              </w:rPr>
            </w:pPr>
            <w:r w:rsidRPr="000B4BA2">
              <w:rPr>
                <w:sz w:val="20"/>
              </w:rPr>
              <w:t>(Phelan J.)</w:t>
            </w:r>
          </w:p>
          <w:p w:rsidR="00B16C39" w:rsidRPr="000B4BA2" w:rsidRDefault="000B4BA2" w:rsidP="00B16C39">
            <w:pPr>
              <w:jc w:val="both"/>
              <w:rPr>
                <w:sz w:val="20"/>
              </w:rPr>
            </w:pPr>
            <w:hyperlink r:id="rId20" w:history="1">
              <w:r w:rsidR="00B16C39" w:rsidRPr="000B4BA2">
                <w:rPr>
                  <w:rStyle w:val="Hyperlink"/>
                  <w:sz w:val="20"/>
                </w:rPr>
                <w:t>2020 FC 588</w:t>
              </w:r>
            </w:hyperlink>
          </w:p>
          <w:p w:rsidR="00B16C39" w:rsidRPr="000B4BA2" w:rsidRDefault="00B16C39" w:rsidP="00B16C39">
            <w:pPr>
              <w:jc w:val="both"/>
              <w:rPr>
                <w:sz w:val="20"/>
              </w:rPr>
            </w:pP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Motion to approve class settlement granted.</w:t>
            </w:r>
          </w:p>
        </w:tc>
      </w:tr>
      <w:tr w:rsidR="00B16C39" w:rsidRPr="000B4BA2" w:rsidTr="00E95A6A">
        <w:tc>
          <w:tcPr>
            <w:tcW w:w="2427" w:type="pct"/>
            <w:gridSpan w:val="2"/>
          </w:tcPr>
          <w:p w:rsidR="00B16C39" w:rsidRPr="000B4BA2" w:rsidRDefault="00B16C39" w:rsidP="00B16C39">
            <w:pPr>
              <w:jc w:val="both"/>
              <w:rPr>
                <w:sz w:val="20"/>
              </w:rPr>
            </w:pPr>
            <w:r w:rsidRPr="000B4BA2">
              <w:rPr>
                <w:sz w:val="20"/>
              </w:rPr>
              <w:t>November 3, 2020</w:t>
            </w:r>
          </w:p>
          <w:p w:rsidR="00B16C39" w:rsidRPr="000B4BA2" w:rsidRDefault="00B16C39" w:rsidP="00B16C39">
            <w:pPr>
              <w:jc w:val="both"/>
              <w:rPr>
                <w:sz w:val="20"/>
              </w:rPr>
            </w:pPr>
            <w:r w:rsidRPr="000B4BA2">
              <w:rPr>
                <w:sz w:val="20"/>
              </w:rPr>
              <w:t>Federal Court of Appeal</w:t>
            </w:r>
          </w:p>
          <w:p w:rsidR="00B16C39" w:rsidRPr="000B4BA2" w:rsidRDefault="00B16C39" w:rsidP="00B16C39">
            <w:pPr>
              <w:jc w:val="both"/>
              <w:rPr>
                <w:sz w:val="20"/>
              </w:rPr>
            </w:pPr>
            <w:r w:rsidRPr="000B4BA2">
              <w:rPr>
                <w:sz w:val="20"/>
              </w:rPr>
              <w:t>(Gauthier, Stratas, and Webb JJ.A.)</w:t>
            </w:r>
          </w:p>
          <w:p w:rsidR="00B16C39" w:rsidRPr="000B4BA2" w:rsidRDefault="000B4BA2" w:rsidP="00B16C39">
            <w:pPr>
              <w:jc w:val="both"/>
              <w:rPr>
                <w:sz w:val="20"/>
              </w:rPr>
            </w:pPr>
            <w:hyperlink r:id="rId21" w:history="1">
              <w:r w:rsidR="00B16C39" w:rsidRPr="000B4BA2">
                <w:rPr>
                  <w:rStyle w:val="Hyperlink"/>
                  <w:sz w:val="20"/>
                </w:rPr>
                <w:t>2020 FCA 186</w:t>
              </w:r>
            </w:hyperlink>
          </w:p>
          <w:p w:rsidR="00B16C39" w:rsidRPr="000B4BA2" w:rsidRDefault="00B16C39" w:rsidP="00B16C39">
            <w:pPr>
              <w:jc w:val="both"/>
              <w:rPr>
                <w:sz w:val="20"/>
              </w:rPr>
            </w:pP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Motion for leave to appeal dismissed.</w:t>
            </w:r>
          </w:p>
        </w:tc>
      </w:tr>
      <w:tr w:rsidR="00B16C39" w:rsidRPr="000B4BA2" w:rsidTr="00E95A6A">
        <w:tc>
          <w:tcPr>
            <w:tcW w:w="2427" w:type="pct"/>
            <w:gridSpan w:val="2"/>
          </w:tcPr>
          <w:p w:rsidR="00B16C39" w:rsidRPr="000B4BA2" w:rsidRDefault="00B16C39" w:rsidP="00B16C39">
            <w:pPr>
              <w:jc w:val="both"/>
              <w:rPr>
                <w:sz w:val="20"/>
              </w:rPr>
            </w:pPr>
            <w:r w:rsidRPr="000B4BA2">
              <w:rPr>
                <w:sz w:val="20"/>
              </w:rPr>
              <w:t>January 4, 2021</w:t>
            </w:r>
          </w:p>
          <w:p w:rsidR="00B16C39" w:rsidRPr="000B4BA2" w:rsidRDefault="00B16C39" w:rsidP="00B16C39">
            <w:pPr>
              <w:jc w:val="both"/>
              <w:rPr>
                <w:sz w:val="20"/>
              </w:rPr>
            </w:pPr>
            <w:r w:rsidRPr="000B4BA2">
              <w:rPr>
                <w:sz w:val="20"/>
              </w:rPr>
              <w:t>Supreme Court of Canada</w:t>
            </w: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Application for leave to appeal filed</w:t>
            </w:r>
          </w:p>
          <w:p w:rsidR="00B16C39" w:rsidRPr="000B4BA2" w:rsidRDefault="00B16C39" w:rsidP="00B16C39">
            <w:pPr>
              <w:jc w:val="both"/>
              <w:rPr>
                <w:sz w:val="20"/>
              </w:rPr>
            </w:pPr>
          </w:p>
        </w:tc>
      </w:tr>
    </w:tbl>
    <w:p w:rsidR="00B16C39" w:rsidRPr="000B4BA2" w:rsidRDefault="00B16C39" w:rsidP="00B16C39">
      <w:pPr>
        <w:jc w:val="both"/>
        <w:rPr>
          <w:sz w:val="20"/>
        </w:rPr>
      </w:pPr>
    </w:p>
    <w:p w:rsidR="00B16C39" w:rsidRPr="000B4BA2" w:rsidRDefault="000B4BA2" w:rsidP="00B16C39">
      <w:pPr>
        <w:jc w:val="both"/>
        <w:rPr>
          <w:sz w:val="20"/>
        </w:rPr>
      </w:pPr>
      <w:r w:rsidRPr="000B4BA2">
        <w:rPr>
          <w:sz w:val="20"/>
        </w:rPr>
        <w:pict>
          <v:rect id="_x0000_i1031" style="width:2in;height:1pt" o:hrpct="0" o:hralign="center" o:hrstd="t" o:hrnoshade="t" o:hr="t" fillcolor="black [3213]" stroked="f"/>
        </w:pict>
      </w:r>
    </w:p>
    <w:p w:rsidR="00B16C39" w:rsidRPr="000B4BA2" w:rsidRDefault="00B16C39" w:rsidP="00B16C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C39" w:rsidRPr="000B4BA2" w:rsidTr="00E95A6A">
        <w:tc>
          <w:tcPr>
            <w:tcW w:w="543" w:type="pct"/>
          </w:tcPr>
          <w:p w:rsidR="00B16C39" w:rsidRPr="000B4BA2" w:rsidRDefault="00B16C39" w:rsidP="00B16C39">
            <w:pPr>
              <w:jc w:val="both"/>
              <w:rPr>
                <w:sz w:val="20"/>
                <w:lang w:val="fr-CA"/>
              </w:rPr>
            </w:pPr>
            <w:r w:rsidRPr="000B4BA2">
              <w:rPr>
                <w:rStyle w:val="SCCFileNumberChar"/>
                <w:sz w:val="20"/>
                <w:szCs w:val="20"/>
                <w:lang w:val="fr-CA"/>
              </w:rPr>
              <w:t>39518</w:t>
            </w:r>
          </w:p>
        </w:tc>
        <w:tc>
          <w:tcPr>
            <w:tcW w:w="4457" w:type="pct"/>
            <w:gridSpan w:val="3"/>
          </w:tcPr>
          <w:p w:rsidR="00B16C39" w:rsidRPr="000B4BA2" w:rsidRDefault="00B16C39" w:rsidP="00B16C39">
            <w:pPr>
              <w:pStyle w:val="SCCLsocParty"/>
              <w:jc w:val="both"/>
              <w:rPr>
                <w:b/>
                <w:sz w:val="20"/>
                <w:szCs w:val="20"/>
              </w:rPr>
            </w:pPr>
            <w:r w:rsidRPr="000B4BA2">
              <w:rPr>
                <w:b/>
                <w:sz w:val="20"/>
                <w:szCs w:val="20"/>
              </w:rPr>
              <w:t>Noella Hébert c. Bruce Wenham, Procureur général du Canada</w:t>
            </w:r>
          </w:p>
          <w:p w:rsidR="00B16C39" w:rsidRPr="000B4BA2" w:rsidRDefault="00B16C39" w:rsidP="00B16C39">
            <w:pPr>
              <w:jc w:val="both"/>
              <w:rPr>
                <w:sz w:val="20"/>
                <w:lang w:val="fr-CA"/>
              </w:rPr>
            </w:pPr>
            <w:r w:rsidRPr="000B4BA2">
              <w:rPr>
                <w:sz w:val="20"/>
                <w:lang w:val="fr-CA"/>
              </w:rPr>
              <w:t>(C.F.) (Civile) (Sur autorisation)</w:t>
            </w:r>
          </w:p>
        </w:tc>
      </w:tr>
      <w:tr w:rsidR="00B16C39" w:rsidRPr="000B4BA2" w:rsidTr="00E95A6A">
        <w:tc>
          <w:tcPr>
            <w:tcW w:w="5000" w:type="pct"/>
            <w:gridSpan w:val="4"/>
          </w:tcPr>
          <w:p w:rsidR="00B16C39" w:rsidRPr="000B4BA2" w:rsidRDefault="00B16C39" w:rsidP="00B16C39">
            <w:pPr>
              <w:jc w:val="both"/>
              <w:rPr>
                <w:sz w:val="20"/>
                <w:lang w:val="fr-CA"/>
              </w:rPr>
            </w:pPr>
            <w:r w:rsidRPr="000B4BA2">
              <w:rPr>
                <w:sz w:val="20"/>
                <w:lang w:val="fr-CA"/>
              </w:rPr>
              <w:t>Procédure civile — Recours collectifs — Approbation d’un règlement — Quel est le rôle de la Cour dans le cadre de l’approbation du règlement d’un recours collectif lorsque ce dernier liera des membres du groupe qui ne sont pas devant la Cour? — En quoi consiste l’obligation du représentant des demandeurs d’agir dans l’intérêt supérieur de l’ensemble du groupe lors de la négociation et la demande d’approbation d’un règlement? — Dans quelles circonstances l’appel d’une ordonnance d’approbation d’un règlement présenté par des membres absents du groupe peut</w:t>
            </w:r>
            <w:r w:rsidRPr="000B4BA2">
              <w:rPr>
                <w:sz w:val="20"/>
                <w:lang w:val="fr-CA"/>
              </w:rPr>
              <w:noBreakHyphen/>
              <w:t>il être permis?</w:t>
            </w:r>
          </w:p>
        </w:tc>
      </w:tr>
      <w:tr w:rsidR="00B16C39" w:rsidRPr="000B4BA2" w:rsidTr="00E95A6A">
        <w:tc>
          <w:tcPr>
            <w:tcW w:w="5000" w:type="pct"/>
            <w:gridSpan w:val="4"/>
          </w:tcPr>
          <w:p w:rsidR="00B16C39" w:rsidRPr="000B4BA2" w:rsidRDefault="00B16C39" w:rsidP="00B16C39">
            <w:pPr>
              <w:jc w:val="both"/>
              <w:rPr>
                <w:sz w:val="20"/>
                <w:lang w:val="fr-CA"/>
              </w:rPr>
            </w:pPr>
          </w:p>
        </w:tc>
      </w:tr>
      <w:tr w:rsidR="00B16C39" w:rsidRPr="000B4BA2" w:rsidTr="00E95A6A">
        <w:tc>
          <w:tcPr>
            <w:tcW w:w="5000" w:type="pct"/>
            <w:gridSpan w:val="4"/>
          </w:tcPr>
          <w:p w:rsidR="00B16C39" w:rsidRPr="000B4BA2" w:rsidRDefault="00B16C39" w:rsidP="00B16C39">
            <w:pPr>
              <w:jc w:val="both"/>
              <w:rPr>
                <w:sz w:val="20"/>
                <w:lang w:val="fr-CA"/>
              </w:rPr>
            </w:pPr>
            <w:r w:rsidRPr="000B4BA2">
              <w:rPr>
                <w:sz w:val="20"/>
                <w:lang w:val="fr-CA"/>
              </w:rPr>
              <w:t>En 2018, la Cour d’appel fédérale a autorisé un recours collectif pour les survivants de</w:t>
            </w:r>
            <w:r w:rsidRPr="000B4BA2">
              <w:rPr>
                <w:sz w:val="20"/>
                <w:lang w:val="fr-FR"/>
              </w:rPr>
              <w:t xml:space="preserve"> la thalidomide qui en souffrent des incapacités permanentes</w:t>
            </w:r>
            <w:r w:rsidRPr="000B4BA2">
              <w:rPr>
                <w:sz w:val="20"/>
                <w:lang w:val="fr-CA"/>
              </w:rPr>
              <w:t>. Peu de temps après l’autorisation du recours, le Canada a remplacé son programme visant à indemniser ces personnes avec une version améliorée du programme. Les changements apportés au nouveau programme comprenaient, notamment, un soutien financier pour certains des survivants qui s’étaient préalablement vu refuser une indemnité. Un accord de règlement a été conclu en 2019. Le groupe a demandé au tribunal d’approuver l’accord de règlement, auquel a consenti le Canada. La Cour fédérale a approuvé le règlement qui, selon elle, était juste, raisonnable et dans l’intérêt supérieur de l’ensemble du groupe. Cinq membres du groupe (à l’exclusion du représentant du groupe) ont demandé l’autorisation d’appel de l’approbation du règlement auprès de la Cour d’appel fédérale, qui a été rejetée par cette dernière.</w:t>
            </w:r>
          </w:p>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8 mai 2020</w:t>
            </w:r>
          </w:p>
          <w:p w:rsidR="00B16C39" w:rsidRPr="000B4BA2" w:rsidRDefault="00B16C39" w:rsidP="00B16C39">
            <w:pPr>
              <w:jc w:val="both"/>
              <w:rPr>
                <w:sz w:val="20"/>
                <w:lang w:val="fr-CA"/>
              </w:rPr>
            </w:pPr>
            <w:r w:rsidRPr="000B4BA2">
              <w:rPr>
                <w:sz w:val="20"/>
                <w:lang w:val="fr-CA"/>
              </w:rPr>
              <w:t>Cour fédérale</w:t>
            </w:r>
          </w:p>
          <w:p w:rsidR="00B16C39" w:rsidRPr="000B4BA2" w:rsidRDefault="00B16C39" w:rsidP="00B16C39">
            <w:pPr>
              <w:jc w:val="both"/>
              <w:rPr>
                <w:sz w:val="20"/>
                <w:lang w:val="fr-CA"/>
              </w:rPr>
            </w:pPr>
            <w:r w:rsidRPr="000B4BA2">
              <w:rPr>
                <w:sz w:val="20"/>
                <w:lang w:val="fr-CA"/>
              </w:rPr>
              <w:t>(juge Phelan)</w:t>
            </w:r>
          </w:p>
          <w:p w:rsidR="00B16C39" w:rsidRPr="000B4BA2" w:rsidRDefault="000B4BA2" w:rsidP="00B16C39">
            <w:pPr>
              <w:jc w:val="both"/>
              <w:rPr>
                <w:sz w:val="20"/>
                <w:lang w:val="fr-CA"/>
              </w:rPr>
            </w:pPr>
            <w:hyperlink r:id="rId22" w:history="1">
              <w:r w:rsidR="00B16C39" w:rsidRPr="000B4BA2">
                <w:rPr>
                  <w:rStyle w:val="Hyperlink"/>
                  <w:sz w:val="20"/>
                  <w:lang w:val="fr-CA"/>
                </w:rPr>
                <w:t>2020 CF 588</w:t>
              </w:r>
            </w:hyperlink>
          </w:p>
          <w:p w:rsidR="00B16C39" w:rsidRPr="000B4BA2" w:rsidRDefault="00B16C39" w:rsidP="00B16C39">
            <w:pPr>
              <w:jc w:val="both"/>
              <w:rPr>
                <w:sz w:val="20"/>
                <w:lang w:val="fr-CA"/>
              </w:rPr>
            </w:pP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La requête en vue d’obtenir l’approbation du règlement du recours collectif est accueillie.</w:t>
            </w: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3 novembre 2020</w:t>
            </w:r>
          </w:p>
          <w:p w:rsidR="00B16C39" w:rsidRPr="000B4BA2" w:rsidRDefault="00B16C39" w:rsidP="00B16C39">
            <w:pPr>
              <w:jc w:val="both"/>
              <w:rPr>
                <w:sz w:val="20"/>
                <w:lang w:val="fr-CA"/>
              </w:rPr>
            </w:pPr>
            <w:r w:rsidRPr="000B4BA2">
              <w:rPr>
                <w:sz w:val="20"/>
                <w:lang w:val="fr-CA"/>
              </w:rPr>
              <w:t>Cour d’appel fédérale</w:t>
            </w:r>
          </w:p>
          <w:p w:rsidR="00B16C39" w:rsidRPr="000B4BA2" w:rsidRDefault="00B16C39" w:rsidP="00B16C39">
            <w:pPr>
              <w:jc w:val="both"/>
              <w:rPr>
                <w:sz w:val="20"/>
                <w:lang w:val="fr-CA"/>
              </w:rPr>
            </w:pPr>
            <w:r w:rsidRPr="000B4BA2">
              <w:rPr>
                <w:sz w:val="20"/>
                <w:lang w:val="fr-CA"/>
              </w:rPr>
              <w:t>(juges Gauthier, Stratas et Webb)</w:t>
            </w:r>
          </w:p>
          <w:p w:rsidR="00B16C39" w:rsidRPr="000B4BA2" w:rsidRDefault="00B16C39" w:rsidP="00B16C39">
            <w:pPr>
              <w:jc w:val="both"/>
              <w:rPr>
                <w:rStyle w:val="Hyperlink"/>
                <w:sz w:val="20"/>
                <w:lang w:val="fr-CA"/>
              </w:rPr>
            </w:pPr>
            <w:r w:rsidRPr="000B4BA2">
              <w:rPr>
                <w:rStyle w:val="Hyperlink"/>
                <w:sz w:val="20"/>
                <w:lang w:val="fr-CA"/>
              </w:rPr>
              <w:fldChar w:fldCharType="begin"/>
            </w:r>
            <w:r w:rsidRPr="000B4BA2">
              <w:rPr>
                <w:rStyle w:val="Hyperlink"/>
                <w:sz w:val="20"/>
                <w:lang w:val="fr-CA"/>
              </w:rPr>
              <w:instrText xml:space="preserve"> HYPERLINK "https://www.canlii.org/fr/ca/caf/doc/2020/2020caf186/2020caf186.html" </w:instrText>
            </w:r>
            <w:r w:rsidRPr="000B4BA2">
              <w:rPr>
                <w:rStyle w:val="Hyperlink"/>
                <w:sz w:val="20"/>
                <w:lang w:val="fr-CA"/>
              </w:rPr>
              <w:fldChar w:fldCharType="separate"/>
            </w:r>
            <w:r w:rsidRPr="000B4BA2">
              <w:rPr>
                <w:rStyle w:val="Hyperlink"/>
                <w:sz w:val="20"/>
                <w:lang w:val="fr-CA"/>
              </w:rPr>
              <w:t>2020 CAF 186</w:t>
            </w:r>
          </w:p>
          <w:p w:rsidR="00B16C39" w:rsidRPr="000B4BA2" w:rsidRDefault="00B16C39" w:rsidP="00B16C39">
            <w:pPr>
              <w:jc w:val="both"/>
              <w:rPr>
                <w:sz w:val="20"/>
                <w:lang w:val="fr-CA"/>
              </w:rPr>
            </w:pPr>
            <w:r w:rsidRPr="000B4BA2">
              <w:rPr>
                <w:rStyle w:val="Hyperlink"/>
                <w:sz w:val="20"/>
                <w:lang w:val="fr-CA"/>
              </w:rPr>
              <w:fldChar w:fldCharType="end"/>
            </w: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La requête en autorisation d’appel est rejetée.</w:t>
            </w: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4 janvier 2021</w:t>
            </w:r>
          </w:p>
          <w:p w:rsidR="00B16C39" w:rsidRPr="000B4BA2" w:rsidRDefault="00B16C39" w:rsidP="00B16C39">
            <w:pPr>
              <w:jc w:val="both"/>
              <w:rPr>
                <w:sz w:val="20"/>
                <w:lang w:val="fr-CA"/>
              </w:rPr>
            </w:pPr>
            <w:r w:rsidRPr="000B4BA2">
              <w:rPr>
                <w:sz w:val="20"/>
                <w:lang w:val="fr-CA"/>
              </w:rPr>
              <w:t>Cour suprême du Canada</w:t>
            </w: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La demande d’autorisation d’appel est présentée.</w:t>
            </w:r>
          </w:p>
          <w:p w:rsidR="00B16C39" w:rsidRPr="000B4BA2" w:rsidRDefault="00B16C39" w:rsidP="00B16C39">
            <w:pPr>
              <w:jc w:val="both"/>
              <w:rPr>
                <w:sz w:val="20"/>
                <w:lang w:val="fr-CA"/>
              </w:rPr>
            </w:pPr>
          </w:p>
        </w:tc>
      </w:tr>
    </w:tbl>
    <w:p w:rsidR="00B16C39" w:rsidRPr="000B4BA2" w:rsidRDefault="00B16C39" w:rsidP="00B16C39">
      <w:pPr>
        <w:jc w:val="both"/>
        <w:rPr>
          <w:sz w:val="20"/>
          <w:lang w:val="fr-CA"/>
        </w:rPr>
      </w:pPr>
    </w:p>
    <w:p w:rsidR="006416FE" w:rsidRPr="000B4BA2" w:rsidRDefault="000B4BA2" w:rsidP="00B16C39">
      <w:pPr>
        <w:widowControl w:val="0"/>
        <w:jc w:val="both"/>
        <w:rPr>
          <w:sz w:val="20"/>
          <w:lang w:val="fr-CA"/>
        </w:rPr>
      </w:pPr>
      <w:r w:rsidRPr="000B4BA2">
        <w:rPr>
          <w:sz w:val="20"/>
        </w:rPr>
        <w:pict>
          <v:rect id="_x0000_i1032" style="width:2in;height:1pt" o:hrpct="0" o:hralign="center" o:hrstd="t" o:hrnoshade="t" o:hr="t" fillcolor="black [3213]" stroked="f"/>
        </w:pict>
      </w:r>
    </w:p>
    <w:p w:rsidR="006416FE" w:rsidRPr="000B4BA2" w:rsidRDefault="006416FE" w:rsidP="00B16C3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C39" w:rsidRPr="000B4BA2" w:rsidTr="00E95A6A">
        <w:tc>
          <w:tcPr>
            <w:tcW w:w="543" w:type="pct"/>
          </w:tcPr>
          <w:p w:rsidR="00B16C39" w:rsidRPr="000B4BA2" w:rsidRDefault="00B16C39" w:rsidP="00B16C39">
            <w:pPr>
              <w:jc w:val="both"/>
              <w:rPr>
                <w:sz w:val="20"/>
              </w:rPr>
            </w:pPr>
            <w:r w:rsidRPr="000B4BA2">
              <w:rPr>
                <w:rStyle w:val="SCCFileNumberChar"/>
                <w:sz w:val="20"/>
                <w:szCs w:val="20"/>
              </w:rPr>
              <w:t>39587</w:t>
            </w:r>
          </w:p>
        </w:tc>
        <w:tc>
          <w:tcPr>
            <w:tcW w:w="4457" w:type="pct"/>
            <w:gridSpan w:val="3"/>
          </w:tcPr>
          <w:p w:rsidR="00B16C39" w:rsidRPr="000B4BA2" w:rsidRDefault="00B16C39" w:rsidP="00B16C39">
            <w:pPr>
              <w:pStyle w:val="SCCLsocParty"/>
              <w:jc w:val="both"/>
              <w:rPr>
                <w:b/>
                <w:sz w:val="20"/>
                <w:szCs w:val="20"/>
                <w:lang w:val="en-US"/>
              </w:rPr>
            </w:pPr>
            <w:r w:rsidRPr="000B4BA2">
              <w:rPr>
                <w:b/>
                <w:sz w:val="20"/>
                <w:szCs w:val="20"/>
                <w:lang w:val="en-US"/>
              </w:rPr>
              <w:t>Ralph Abdel Deyab v. Her Majesty the Queen</w:t>
            </w:r>
          </w:p>
          <w:p w:rsidR="00B16C39" w:rsidRPr="000B4BA2" w:rsidRDefault="00B16C39" w:rsidP="00B16C39">
            <w:pPr>
              <w:jc w:val="both"/>
              <w:rPr>
                <w:sz w:val="20"/>
              </w:rPr>
            </w:pPr>
            <w:r w:rsidRPr="000B4BA2">
              <w:rPr>
                <w:sz w:val="20"/>
              </w:rPr>
              <w:t>(F.C.) (Civil) (By Leave)</w:t>
            </w:r>
          </w:p>
        </w:tc>
      </w:tr>
      <w:tr w:rsidR="00B16C39" w:rsidRPr="000B4BA2" w:rsidTr="00E95A6A">
        <w:tc>
          <w:tcPr>
            <w:tcW w:w="5000" w:type="pct"/>
            <w:gridSpan w:val="4"/>
          </w:tcPr>
          <w:p w:rsidR="00B16C39" w:rsidRPr="000B4BA2" w:rsidRDefault="00B16C39" w:rsidP="00B16C39">
            <w:pPr>
              <w:jc w:val="both"/>
              <w:rPr>
                <w:sz w:val="20"/>
              </w:rPr>
            </w:pPr>
            <w:r w:rsidRPr="000B4BA2">
              <w:rPr>
                <w:sz w:val="20"/>
              </w:rPr>
              <w:t xml:space="preserve">Taxation — Income Tax — Assessments — Reassessment made after taxpayer’s normal reassessment period — Reassessment </w:t>
            </w:r>
            <w:r w:rsidRPr="000B4BA2">
              <w:rPr>
                <w:sz w:val="20"/>
                <w:lang w:val="en"/>
              </w:rPr>
              <w:t>in 2015 to include substantial sums in income as shareholder benefits for 2007 to 2011 taxation years</w:t>
            </w:r>
            <w:r w:rsidRPr="000B4BA2">
              <w:rPr>
                <w:sz w:val="20"/>
              </w:rPr>
              <w:t xml:space="preserve"> — Whether Federal Court of Appeal erred in concluding that failure to maintain a particular accounting record is sufficient to establish a taxpayer’s neglect or carelessness under s. 152(4</w:t>
            </w:r>
            <w:proofErr w:type="gramStart"/>
            <w:r w:rsidRPr="000B4BA2">
              <w:rPr>
                <w:sz w:val="20"/>
              </w:rPr>
              <w:t>)(</w:t>
            </w:r>
            <w:proofErr w:type="gramEnd"/>
            <w:r w:rsidRPr="000B4BA2">
              <w:rPr>
                <w:sz w:val="20"/>
              </w:rPr>
              <w:t>a)(</w:t>
            </w:r>
            <w:proofErr w:type="spellStart"/>
            <w:r w:rsidRPr="000B4BA2">
              <w:rPr>
                <w:sz w:val="20"/>
              </w:rPr>
              <w:t>i</w:t>
            </w:r>
            <w:proofErr w:type="spellEnd"/>
            <w:r w:rsidRPr="000B4BA2">
              <w:rPr>
                <w:sz w:val="20"/>
              </w:rPr>
              <w:t xml:space="preserve">) of </w:t>
            </w:r>
            <w:r w:rsidRPr="000B4BA2">
              <w:rPr>
                <w:i/>
                <w:sz w:val="20"/>
              </w:rPr>
              <w:t>Income Tax Act</w:t>
            </w:r>
            <w:r w:rsidRPr="000B4BA2">
              <w:rPr>
                <w:sz w:val="20"/>
              </w:rPr>
              <w:t xml:space="preserve">.  </w:t>
            </w:r>
          </w:p>
          <w:p w:rsidR="00B16C39" w:rsidRPr="000B4BA2" w:rsidRDefault="00B16C39" w:rsidP="00B16C39">
            <w:pPr>
              <w:jc w:val="both"/>
              <w:rPr>
                <w:sz w:val="20"/>
              </w:rPr>
            </w:pPr>
          </w:p>
        </w:tc>
      </w:tr>
      <w:tr w:rsidR="00B16C39" w:rsidRPr="000B4BA2" w:rsidTr="00E95A6A">
        <w:tc>
          <w:tcPr>
            <w:tcW w:w="5000" w:type="pct"/>
            <w:gridSpan w:val="4"/>
          </w:tcPr>
          <w:p w:rsidR="00B16C39" w:rsidRPr="000B4BA2" w:rsidRDefault="00B16C39" w:rsidP="00B16C39">
            <w:pPr>
              <w:jc w:val="both"/>
              <w:rPr>
                <w:sz w:val="20"/>
                <w:lang w:val="en"/>
              </w:rPr>
            </w:pPr>
            <w:r w:rsidRPr="000B4BA2">
              <w:rPr>
                <w:sz w:val="20"/>
              </w:rPr>
              <w:t xml:space="preserve">Taxpayer </w:t>
            </w:r>
            <w:r w:rsidRPr="000B4BA2">
              <w:rPr>
                <w:sz w:val="20"/>
                <w:lang w:val="en"/>
              </w:rPr>
              <w:t>reassessed under s. 152(4</w:t>
            </w:r>
            <w:proofErr w:type="gramStart"/>
            <w:r w:rsidRPr="000B4BA2">
              <w:rPr>
                <w:sz w:val="20"/>
                <w:lang w:val="en"/>
              </w:rPr>
              <w:t>)(</w:t>
            </w:r>
            <w:proofErr w:type="gramEnd"/>
            <w:r w:rsidRPr="000B4BA2">
              <w:rPr>
                <w:sz w:val="20"/>
                <w:lang w:val="en"/>
              </w:rPr>
              <w:t xml:space="preserve">a) of the </w:t>
            </w:r>
            <w:r w:rsidRPr="000B4BA2">
              <w:rPr>
                <w:i/>
                <w:sz w:val="20"/>
                <w:lang w:val="en"/>
              </w:rPr>
              <w:t>Income Tax Act</w:t>
            </w:r>
            <w:r w:rsidRPr="000B4BA2">
              <w:rPr>
                <w:sz w:val="20"/>
                <w:lang w:val="en"/>
              </w:rPr>
              <w:t>, R.S.C. 1985, c. 1 (5th</w:t>
            </w:r>
            <w:r w:rsidRPr="000B4BA2">
              <w:rPr>
                <w:sz w:val="20"/>
                <w:vertAlign w:val="superscript"/>
                <w:lang w:val="en"/>
              </w:rPr>
              <w:t xml:space="preserve"> </w:t>
            </w:r>
            <w:r w:rsidRPr="000B4BA2">
              <w:rPr>
                <w:sz w:val="20"/>
                <w:lang w:val="en"/>
              </w:rPr>
              <w:t>Supp.) in 2015 to include substantial sums in his income as shareholder benefits for the 2007 to 2011 taxation years. For the years 2007 to 2010, the notices of reassessment were issued after the expiration of the normal reassessment period.</w:t>
            </w:r>
          </w:p>
          <w:p w:rsidR="00B16C39" w:rsidRPr="000B4BA2" w:rsidRDefault="00B16C39" w:rsidP="00B16C39">
            <w:pPr>
              <w:jc w:val="both"/>
              <w:rPr>
                <w:sz w:val="20"/>
                <w:lang w:val="en"/>
              </w:rPr>
            </w:pPr>
          </w:p>
          <w:p w:rsidR="00B16C39" w:rsidRPr="000B4BA2" w:rsidRDefault="00B16C39" w:rsidP="00B16C39">
            <w:pPr>
              <w:jc w:val="both"/>
              <w:rPr>
                <w:sz w:val="20"/>
                <w:lang w:val="en"/>
              </w:rPr>
            </w:pPr>
            <w:r w:rsidRPr="000B4BA2">
              <w:rPr>
                <w:sz w:val="20"/>
                <w:lang w:val="en"/>
              </w:rPr>
              <w:t>The taxpayer’s appeal from these reassessments was dismissed by the Tax Court of Canada. Gross negligence penalties were included in the reassessments.</w:t>
            </w:r>
            <w:bookmarkStart w:id="0" w:name="par2"/>
            <w:bookmarkEnd w:id="0"/>
            <w:r w:rsidRPr="000B4BA2">
              <w:rPr>
                <w:sz w:val="20"/>
                <w:lang w:val="en"/>
              </w:rPr>
              <w:t xml:space="preserve"> The Federal Court of Appeal allowed the appeal in relation to the assessment of gross negligence penalties but dismissed the appeal in relation to the amounts included in income.</w:t>
            </w:r>
          </w:p>
        </w:tc>
      </w:tr>
      <w:tr w:rsidR="00B16C39" w:rsidRPr="000B4BA2" w:rsidTr="00E95A6A">
        <w:tc>
          <w:tcPr>
            <w:tcW w:w="5000" w:type="pct"/>
            <w:gridSpan w:val="4"/>
          </w:tcPr>
          <w:p w:rsidR="00B16C39" w:rsidRPr="000B4BA2" w:rsidRDefault="00B16C39" w:rsidP="00B16C39">
            <w:pPr>
              <w:jc w:val="both"/>
              <w:rPr>
                <w:sz w:val="20"/>
              </w:rPr>
            </w:pPr>
          </w:p>
        </w:tc>
      </w:tr>
      <w:tr w:rsidR="00B16C39" w:rsidRPr="000B4BA2" w:rsidTr="00E95A6A">
        <w:tc>
          <w:tcPr>
            <w:tcW w:w="2427" w:type="pct"/>
            <w:gridSpan w:val="2"/>
          </w:tcPr>
          <w:p w:rsidR="00B16C39" w:rsidRPr="000B4BA2" w:rsidRDefault="00B16C39" w:rsidP="00B16C39">
            <w:pPr>
              <w:jc w:val="both"/>
              <w:rPr>
                <w:sz w:val="20"/>
              </w:rPr>
            </w:pPr>
            <w:r w:rsidRPr="000B4BA2">
              <w:rPr>
                <w:sz w:val="20"/>
              </w:rPr>
              <w:t>June 27, 2019</w:t>
            </w:r>
          </w:p>
          <w:p w:rsidR="00B16C39" w:rsidRPr="000B4BA2" w:rsidRDefault="00B16C39" w:rsidP="00B16C39">
            <w:pPr>
              <w:jc w:val="both"/>
              <w:rPr>
                <w:sz w:val="20"/>
              </w:rPr>
            </w:pPr>
            <w:r w:rsidRPr="000B4BA2">
              <w:rPr>
                <w:sz w:val="20"/>
              </w:rPr>
              <w:t>Tax Court of Canada</w:t>
            </w:r>
          </w:p>
          <w:p w:rsidR="00B16C39" w:rsidRPr="000B4BA2" w:rsidRDefault="00B16C39" w:rsidP="00B16C39">
            <w:pPr>
              <w:jc w:val="both"/>
              <w:rPr>
                <w:sz w:val="20"/>
              </w:rPr>
            </w:pPr>
            <w:r w:rsidRPr="000B4BA2">
              <w:rPr>
                <w:sz w:val="20"/>
              </w:rPr>
              <w:t>(Visser J.)</w:t>
            </w:r>
          </w:p>
          <w:p w:rsidR="00B16C39" w:rsidRPr="000B4BA2" w:rsidRDefault="00B16C39" w:rsidP="00B16C39">
            <w:pPr>
              <w:jc w:val="both"/>
              <w:rPr>
                <w:sz w:val="20"/>
              </w:rPr>
            </w:pP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 xml:space="preserve">Appeals from assessments made under </w:t>
            </w:r>
            <w:r w:rsidRPr="000B4BA2">
              <w:rPr>
                <w:i/>
                <w:sz w:val="20"/>
              </w:rPr>
              <w:t>Income Tax Act</w:t>
            </w:r>
            <w:r w:rsidRPr="000B4BA2">
              <w:rPr>
                <w:sz w:val="20"/>
              </w:rPr>
              <w:t xml:space="preserve"> for 2007, 2008, 2009, 2010 and 2011 taxation years allowed and reassessments referred back to Minister for reconsideration and reassessment.</w:t>
            </w:r>
          </w:p>
          <w:p w:rsidR="00B16C39" w:rsidRPr="000B4BA2" w:rsidRDefault="00B16C39" w:rsidP="00B16C39">
            <w:pPr>
              <w:jc w:val="both"/>
              <w:rPr>
                <w:sz w:val="20"/>
              </w:rPr>
            </w:pPr>
          </w:p>
        </w:tc>
      </w:tr>
      <w:tr w:rsidR="00B16C39" w:rsidRPr="000B4BA2" w:rsidTr="00E95A6A">
        <w:tc>
          <w:tcPr>
            <w:tcW w:w="2427" w:type="pct"/>
            <w:gridSpan w:val="2"/>
          </w:tcPr>
          <w:p w:rsidR="00B16C39" w:rsidRPr="000B4BA2" w:rsidRDefault="00B16C39" w:rsidP="00B16C39">
            <w:pPr>
              <w:jc w:val="both"/>
              <w:rPr>
                <w:sz w:val="20"/>
              </w:rPr>
            </w:pPr>
            <w:r w:rsidRPr="000B4BA2">
              <w:rPr>
                <w:sz w:val="20"/>
              </w:rPr>
              <w:t>December 21, 2020</w:t>
            </w:r>
          </w:p>
          <w:p w:rsidR="00B16C39" w:rsidRPr="000B4BA2" w:rsidRDefault="00B16C39" w:rsidP="00B16C39">
            <w:pPr>
              <w:jc w:val="both"/>
              <w:rPr>
                <w:sz w:val="20"/>
              </w:rPr>
            </w:pPr>
            <w:r w:rsidRPr="000B4BA2">
              <w:rPr>
                <w:sz w:val="20"/>
              </w:rPr>
              <w:t>Federal Court of Appeal</w:t>
            </w:r>
          </w:p>
          <w:p w:rsidR="00B16C39" w:rsidRPr="000B4BA2" w:rsidRDefault="00B16C39" w:rsidP="00B16C39">
            <w:pPr>
              <w:jc w:val="both"/>
              <w:rPr>
                <w:sz w:val="20"/>
              </w:rPr>
            </w:pPr>
            <w:r w:rsidRPr="000B4BA2">
              <w:rPr>
                <w:sz w:val="20"/>
              </w:rPr>
              <w:t>(Webb, Near and Laskin JJ.A.)</w:t>
            </w:r>
          </w:p>
          <w:p w:rsidR="00B16C39" w:rsidRPr="000B4BA2" w:rsidRDefault="000B4BA2" w:rsidP="00B16C39">
            <w:pPr>
              <w:jc w:val="both"/>
              <w:rPr>
                <w:sz w:val="20"/>
              </w:rPr>
            </w:pPr>
            <w:hyperlink r:id="rId23" w:history="1">
              <w:r w:rsidR="00B16C39" w:rsidRPr="000B4BA2">
                <w:rPr>
                  <w:rStyle w:val="Hyperlink"/>
                  <w:sz w:val="20"/>
                </w:rPr>
                <w:t>2020 FCA 222</w:t>
              </w:r>
            </w:hyperlink>
          </w:p>
          <w:p w:rsidR="00B16C39" w:rsidRPr="000B4BA2" w:rsidRDefault="00B16C39" w:rsidP="00B16C39">
            <w:pPr>
              <w:jc w:val="both"/>
              <w:rPr>
                <w:sz w:val="20"/>
              </w:rPr>
            </w:pPr>
            <w:r w:rsidRPr="000B4BA2">
              <w:rPr>
                <w:sz w:val="20"/>
              </w:rPr>
              <w:t>File No.: A</w:t>
            </w:r>
            <w:r w:rsidRPr="000B4BA2">
              <w:rPr>
                <w:sz w:val="20"/>
              </w:rPr>
              <w:noBreakHyphen/>
              <w:t>363</w:t>
            </w:r>
            <w:r w:rsidRPr="000B4BA2">
              <w:rPr>
                <w:sz w:val="20"/>
              </w:rPr>
              <w:noBreakHyphen/>
              <w:t>19</w:t>
            </w:r>
          </w:p>
          <w:p w:rsidR="00B16C39" w:rsidRPr="000B4BA2" w:rsidRDefault="00B16C39" w:rsidP="00B16C39">
            <w:pPr>
              <w:jc w:val="both"/>
              <w:rPr>
                <w:sz w:val="20"/>
              </w:rPr>
            </w:pP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Appeal allowed with respect to the assessment of gross negligence penalties but otherwise dismissed. Tax Court judgment set aside and reassessments referred back to Minister for reconsideration and reassessment.</w:t>
            </w:r>
          </w:p>
          <w:p w:rsidR="00B16C39" w:rsidRPr="000B4BA2" w:rsidRDefault="00B16C39" w:rsidP="00B16C39">
            <w:pPr>
              <w:jc w:val="both"/>
              <w:rPr>
                <w:sz w:val="20"/>
              </w:rPr>
            </w:pPr>
          </w:p>
        </w:tc>
      </w:tr>
      <w:tr w:rsidR="00B16C39" w:rsidRPr="000B4BA2" w:rsidTr="00E95A6A">
        <w:tc>
          <w:tcPr>
            <w:tcW w:w="2427" w:type="pct"/>
            <w:gridSpan w:val="2"/>
          </w:tcPr>
          <w:p w:rsidR="00B16C39" w:rsidRPr="000B4BA2" w:rsidRDefault="00B16C39" w:rsidP="00B16C39">
            <w:pPr>
              <w:jc w:val="both"/>
              <w:rPr>
                <w:sz w:val="20"/>
              </w:rPr>
            </w:pPr>
            <w:r w:rsidRPr="000B4BA2">
              <w:rPr>
                <w:sz w:val="20"/>
              </w:rPr>
              <w:t>February 19, 2021</w:t>
            </w:r>
          </w:p>
          <w:p w:rsidR="00B16C39" w:rsidRPr="000B4BA2" w:rsidRDefault="00B16C39" w:rsidP="00B16C39">
            <w:pPr>
              <w:jc w:val="both"/>
              <w:rPr>
                <w:sz w:val="20"/>
              </w:rPr>
            </w:pPr>
            <w:r w:rsidRPr="000B4BA2">
              <w:rPr>
                <w:sz w:val="20"/>
              </w:rPr>
              <w:t>Supreme Court of Canada</w:t>
            </w:r>
          </w:p>
        </w:tc>
        <w:tc>
          <w:tcPr>
            <w:tcW w:w="243" w:type="pct"/>
          </w:tcPr>
          <w:p w:rsidR="00B16C39" w:rsidRPr="000B4BA2" w:rsidRDefault="00B16C39" w:rsidP="00B16C39">
            <w:pPr>
              <w:jc w:val="both"/>
              <w:rPr>
                <w:sz w:val="20"/>
              </w:rPr>
            </w:pPr>
          </w:p>
        </w:tc>
        <w:tc>
          <w:tcPr>
            <w:tcW w:w="2330" w:type="pct"/>
          </w:tcPr>
          <w:p w:rsidR="00B16C39" w:rsidRPr="000B4BA2" w:rsidRDefault="00B16C39" w:rsidP="00B16C39">
            <w:pPr>
              <w:jc w:val="both"/>
              <w:rPr>
                <w:sz w:val="20"/>
              </w:rPr>
            </w:pPr>
            <w:r w:rsidRPr="000B4BA2">
              <w:rPr>
                <w:sz w:val="20"/>
              </w:rPr>
              <w:t>Application for leave to appeal filed.</w:t>
            </w:r>
          </w:p>
          <w:p w:rsidR="00B16C39" w:rsidRPr="000B4BA2" w:rsidRDefault="00B16C39" w:rsidP="00B16C39">
            <w:pPr>
              <w:jc w:val="both"/>
              <w:rPr>
                <w:sz w:val="20"/>
              </w:rPr>
            </w:pPr>
          </w:p>
        </w:tc>
      </w:tr>
    </w:tbl>
    <w:p w:rsidR="00B16C39" w:rsidRPr="000B4BA2" w:rsidRDefault="00B16C39" w:rsidP="00B16C39">
      <w:pPr>
        <w:jc w:val="both"/>
        <w:rPr>
          <w:sz w:val="20"/>
        </w:rPr>
      </w:pPr>
    </w:p>
    <w:p w:rsidR="00996202" w:rsidRPr="000B4BA2" w:rsidRDefault="000B4BA2" w:rsidP="00B16C39">
      <w:pPr>
        <w:jc w:val="both"/>
        <w:rPr>
          <w:sz w:val="20"/>
        </w:rPr>
      </w:pPr>
      <w:r w:rsidRPr="000B4BA2">
        <w:rPr>
          <w:sz w:val="20"/>
        </w:rPr>
        <w:pict>
          <v:rect id="_x0000_i1033" style="width:2in;height:1pt" o:hrpct="0" o:hralign="center" o:hrstd="t" o:hrnoshade="t" o:hr="t" fillcolor="black [3213]" stroked="f"/>
        </w:pict>
      </w:r>
    </w:p>
    <w:p w:rsidR="00996202" w:rsidRPr="000B4BA2" w:rsidRDefault="00996202" w:rsidP="00B16C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6C39" w:rsidRPr="000B4BA2" w:rsidTr="00E95A6A">
        <w:tc>
          <w:tcPr>
            <w:tcW w:w="543" w:type="pct"/>
          </w:tcPr>
          <w:p w:rsidR="00B16C39" w:rsidRPr="000B4BA2" w:rsidRDefault="00B16C39" w:rsidP="00B16C39">
            <w:pPr>
              <w:jc w:val="both"/>
              <w:rPr>
                <w:sz w:val="20"/>
                <w:lang w:val="fr-CA"/>
              </w:rPr>
            </w:pPr>
            <w:r w:rsidRPr="000B4BA2">
              <w:rPr>
                <w:rStyle w:val="SCCFileNumberChar"/>
                <w:sz w:val="20"/>
                <w:szCs w:val="20"/>
                <w:lang w:val="fr-CA"/>
              </w:rPr>
              <w:t>39587</w:t>
            </w:r>
          </w:p>
        </w:tc>
        <w:tc>
          <w:tcPr>
            <w:tcW w:w="4457" w:type="pct"/>
            <w:gridSpan w:val="3"/>
          </w:tcPr>
          <w:p w:rsidR="00B16C39" w:rsidRPr="000B4BA2" w:rsidRDefault="00B16C39" w:rsidP="00B16C39">
            <w:pPr>
              <w:pStyle w:val="SCCLsocParty"/>
              <w:jc w:val="both"/>
              <w:rPr>
                <w:b/>
                <w:sz w:val="20"/>
                <w:szCs w:val="20"/>
              </w:rPr>
            </w:pPr>
            <w:r w:rsidRPr="000B4BA2">
              <w:rPr>
                <w:b/>
                <w:sz w:val="20"/>
                <w:szCs w:val="20"/>
              </w:rPr>
              <w:t>Ralph Abdel Deyab c. Sa Majesté la Reine</w:t>
            </w:r>
          </w:p>
          <w:p w:rsidR="00B16C39" w:rsidRPr="000B4BA2" w:rsidRDefault="00B16C39" w:rsidP="00B16C39">
            <w:pPr>
              <w:jc w:val="both"/>
              <w:rPr>
                <w:sz w:val="20"/>
                <w:lang w:val="fr-CA"/>
              </w:rPr>
            </w:pPr>
            <w:r w:rsidRPr="000B4BA2">
              <w:rPr>
                <w:sz w:val="20"/>
                <w:lang w:val="fr-CA"/>
              </w:rPr>
              <w:t>(C</w:t>
            </w:r>
            <w:r w:rsidR="00996202" w:rsidRPr="000B4BA2">
              <w:rPr>
                <w:sz w:val="20"/>
                <w:lang w:val="fr-CA"/>
              </w:rPr>
              <w:t>.</w:t>
            </w:r>
            <w:r w:rsidRPr="000B4BA2">
              <w:rPr>
                <w:sz w:val="20"/>
                <w:lang w:val="fr-CA"/>
              </w:rPr>
              <w:t>F</w:t>
            </w:r>
            <w:r w:rsidR="00996202" w:rsidRPr="000B4BA2">
              <w:rPr>
                <w:sz w:val="20"/>
                <w:lang w:val="fr-CA"/>
              </w:rPr>
              <w:t>.</w:t>
            </w:r>
            <w:r w:rsidRPr="000B4BA2">
              <w:rPr>
                <w:sz w:val="20"/>
                <w:lang w:val="fr-CA"/>
              </w:rPr>
              <w:t>) (Civile) (Sur autorisation)</w:t>
            </w:r>
          </w:p>
        </w:tc>
      </w:tr>
      <w:tr w:rsidR="00B16C39" w:rsidRPr="000B4BA2" w:rsidTr="00E95A6A">
        <w:tc>
          <w:tcPr>
            <w:tcW w:w="5000" w:type="pct"/>
            <w:gridSpan w:val="4"/>
          </w:tcPr>
          <w:p w:rsidR="00B16C39" w:rsidRPr="000B4BA2" w:rsidRDefault="00B16C39" w:rsidP="00B16C39">
            <w:pPr>
              <w:jc w:val="both"/>
              <w:rPr>
                <w:sz w:val="20"/>
                <w:lang w:val="fr-CA"/>
              </w:rPr>
            </w:pPr>
            <w:r w:rsidRPr="000B4BA2">
              <w:rPr>
                <w:sz w:val="20"/>
                <w:lang w:val="fr-CA"/>
              </w:rPr>
              <w:t>Droit fiscal — Impôt sur le revenu — Cotisations — Nouvelle cotisation établie après la période normale de nouvelle cotisation du contribuable — Une nouvelle cotisation est établie en 2015 pour inclure des sommes importantes au revenu à titre d’avantages conférés à un actionnaire pour les années d’imposition de 2007 à 2011 — La Cour fédérale d’appel a</w:t>
            </w:r>
            <w:r w:rsidRPr="000B4BA2">
              <w:rPr>
                <w:sz w:val="20"/>
                <w:lang w:val="fr-CA"/>
              </w:rPr>
              <w:noBreakHyphen/>
              <w:t>t</w:t>
            </w:r>
            <w:r w:rsidRPr="000B4BA2">
              <w:rPr>
                <w:sz w:val="20"/>
                <w:lang w:val="fr-CA"/>
              </w:rPr>
              <w:noBreakHyphen/>
              <w:t xml:space="preserve">elle commis une erreur en concluant que le défaut de tenir des documents comptables particuliers est suffisant pour établir </w:t>
            </w:r>
            <w:r w:rsidRPr="000B4BA2">
              <w:rPr>
                <w:sz w:val="20"/>
                <w:lang w:val="fr-FR"/>
              </w:rPr>
              <w:t>la négligence ou l’inattention</w:t>
            </w:r>
            <w:r w:rsidRPr="000B4BA2">
              <w:rPr>
                <w:sz w:val="20"/>
                <w:lang w:val="fr-CA"/>
              </w:rPr>
              <w:t xml:space="preserve"> du contribuable en vertu du sous</w:t>
            </w:r>
            <w:r w:rsidRPr="000B4BA2">
              <w:rPr>
                <w:sz w:val="20"/>
                <w:lang w:val="fr-CA"/>
              </w:rPr>
              <w:noBreakHyphen/>
              <w:t xml:space="preserve">al. 152(4)a)(i) de la </w:t>
            </w:r>
            <w:r w:rsidRPr="000B4BA2">
              <w:rPr>
                <w:i/>
                <w:sz w:val="20"/>
                <w:lang w:val="fr-CA"/>
              </w:rPr>
              <w:t>Loi de l’impôt sur le revenu</w:t>
            </w:r>
            <w:r w:rsidRPr="000B4BA2">
              <w:rPr>
                <w:sz w:val="20"/>
                <w:lang w:val="fr-CA"/>
              </w:rPr>
              <w:t>?</w:t>
            </w:r>
          </w:p>
          <w:p w:rsidR="00B16C39" w:rsidRPr="000B4BA2" w:rsidRDefault="00B16C39" w:rsidP="00B16C39">
            <w:pPr>
              <w:jc w:val="both"/>
              <w:rPr>
                <w:sz w:val="20"/>
                <w:lang w:val="fr-CA"/>
              </w:rPr>
            </w:pPr>
          </w:p>
        </w:tc>
      </w:tr>
      <w:tr w:rsidR="00B16C39" w:rsidRPr="000B4BA2" w:rsidTr="00E95A6A">
        <w:tc>
          <w:tcPr>
            <w:tcW w:w="5000" w:type="pct"/>
            <w:gridSpan w:val="4"/>
          </w:tcPr>
          <w:p w:rsidR="00B16C39" w:rsidRPr="000B4BA2" w:rsidRDefault="00B16C39" w:rsidP="00B16C39">
            <w:pPr>
              <w:jc w:val="both"/>
              <w:rPr>
                <w:sz w:val="20"/>
                <w:lang w:val="fr-CA"/>
              </w:rPr>
            </w:pPr>
            <w:r w:rsidRPr="000B4BA2">
              <w:rPr>
                <w:sz w:val="20"/>
                <w:lang w:val="fr-CA"/>
              </w:rPr>
              <w:t xml:space="preserve">Une nouvelle cotisation a été établie à l’endroit d’un contribuable en vertu de l’al. 152(4)a) de la </w:t>
            </w:r>
            <w:r w:rsidRPr="000B4BA2">
              <w:rPr>
                <w:i/>
                <w:sz w:val="20"/>
                <w:lang w:val="fr-CA"/>
              </w:rPr>
              <w:t>Loi de l’impôt sur le revenu</w:t>
            </w:r>
            <w:r w:rsidRPr="000B4BA2">
              <w:rPr>
                <w:sz w:val="20"/>
                <w:lang w:val="fr-CA"/>
              </w:rPr>
              <w:t>, L.R.C. (1985), ch. 1 (5</w:t>
            </w:r>
            <w:r w:rsidRPr="000B4BA2">
              <w:rPr>
                <w:sz w:val="20"/>
                <w:vertAlign w:val="superscript"/>
                <w:lang w:val="fr-CA"/>
              </w:rPr>
              <w:t xml:space="preserve">e </w:t>
            </w:r>
            <w:r w:rsidRPr="000B4BA2">
              <w:rPr>
                <w:sz w:val="20"/>
                <w:lang w:val="fr-CA"/>
              </w:rPr>
              <w:t>suppl.) en 2015 pour inclure d’importantes sommes à son revenu à titre d’avantages conférés à un actionnaire pour les années d’imposition de 2007 à 2011. En ce qui a trait aux années 2007 à 2010, les avis de nouvelle cotisation ont été émis après l’expiration de la période normale de nouvelle cotisation.</w:t>
            </w:r>
          </w:p>
          <w:p w:rsidR="00B16C39" w:rsidRPr="000B4BA2" w:rsidRDefault="00B16C39" w:rsidP="00B16C39">
            <w:pPr>
              <w:jc w:val="both"/>
              <w:rPr>
                <w:sz w:val="20"/>
                <w:lang w:val="fr-CA"/>
              </w:rPr>
            </w:pPr>
          </w:p>
          <w:p w:rsidR="00B16C39" w:rsidRPr="000B4BA2" w:rsidRDefault="00B16C39" w:rsidP="00B16C39">
            <w:pPr>
              <w:jc w:val="both"/>
              <w:rPr>
                <w:sz w:val="20"/>
                <w:lang w:val="fr-CA"/>
              </w:rPr>
            </w:pPr>
            <w:r w:rsidRPr="000B4BA2">
              <w:rPr>
                <w:sz w:val="20"/>
                <w:lang w:val="fr-CA"/>
              </w:rPr>
              <w:t>L’appel de ces nouvelles cotisations interjeté par le contribuable a été rejeté par la Cour canadienne de l’impôt. Des pénalités pour faute lourde ont été incluses dans les nouvelles cotisations. La Cour d’appel fédérale a accueilli l’appel de la cotisation à l’égard des pénalités pour faute lourde, mais a rejeté l’appel à l’égard des montants inclus dans le revenu.</w:t>
            </w:r>
          </w:p>
        </w:tc>
      </w:tr>
      <w:tr w:rsidR="00B16C39" w:rsidRPr="000B4BA2" w:rsidTr="00E95A6A">
        <w:tc>
          <w:tcPr>
            <w:tcW w:w="5000" w:type="pct"/>
            <w:gridSpan w:val="4"/>
          </w:tcPr>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27 juin 2019</w:t>
            </w:r>
          </w:p>
          <w:p w:rsidR="00B16C39" w:rsidRPr="000B4BA2" w:rsidRDefault="00B16C39" w:rsidP="00B16C39">
            <w:pPr>
              <w:jc w:val="both"/>
              <w:rPr>
                <w:sz w:val="20"/>
                <w:lang w:val="fr-CA"/>
              </w:rPr>
            </w:pPr>
            <w:r w:rsidRPr="000B4BA2">
              <w:rPr>
                <w:sz w:val="20"/>
                <w:lang w:val="fr-CA"/>
              </w:rPr>
              <w:t xml:space="preserve">Cour canadienne de l’impôt </w:t>
            </w:r>
          </w:p>
          <w:p w:rsidR="00B16C39" w:rsidRPr="000B4BA2" w:rsidRDefault="00B16C39" w:rsidP="00B16C39">
            <w:pPr>
              <w:jc w:val="both"/>
              <w:rPr>
                <w:sz w:val="20"/>
                <w:lang w:val="fr-CA"/>
              </w:rPr>
            </w:pPr>
            <w:r w:rsidRPr="000B4BA2">
              <w:rPr>
                <w:sz w:val="20"/>
                <w:lang w:val="fr-CA"/>
              </w:rPr>
              <w:t>(juge Visser)</w:t>
            </w:r>
          </w:p>
          <w:p w:rsidR="00B16C39" w:rsidRPr="000B4BA2" w:rsidRDefault="00B16C39" w:rsidP="00B16C39">
            <w:pPr>
              <w:jc w:val="both"/>
              <w:rPr>
                <w:sz w:val="20"/>
                <w:lang w:val="fr-CA"/>
              </w:rPr>
            </w:pP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Les appels des cotisations établies en vertu de la</w:t>
            </w:r>
            <w:r w:rsidRPr="000B4BA2">
              <w:rPr>
                <w:i/>
                <w:sz w:val="20"/>
                <w:lang w:val="fr-CA"/>
              </w:rPr>
              <w:t xml:space="preserve"> Loi de l’impôt sur le revenu</w:t>
            </w:r>
            <w:r w:rsidRPr="000B4BA2">
              <w:rPr>
                <w:sz w:val="20"/>
                <w:lang w:val="fr-CA"/>
              </w:rPr>
              <w:t xml:space="preserve"> pour les années d’imposition 2007, 2008, 2009, 2010 et 2011 sont accueillis et les nouvelles cotisations sont renvoyées au ministre pour qu’il en fasse le réexamen et établisse de nouvelles cotisations.</w:t>
            </w:r>
          </w:p>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21 décembre 2020</w:t>
            </w:r>
          </w:p>
          <w:p w:rsidR="00B16C39" w:rsidRPr="000B4BA2" w:rsidRDefault="00B16C39" w:rsidP="00B16C39">
            <w:pPr>
              <w:jc w:val="both"/>
              <w:rPr>
                <w:sz w:val="20"/>
                <w:lang w:val="fr-CA"/>
              </w:rPr>
            </w:pPr>
            <w:r w:rsidRPr="000B4BA2">
              <w:rPr>
                <w:sz w:val="20"/>
                <w:lang w:val="fr-CA"/>
              </w:rPr>
              <w:t>Cour d’appel fédérale</w:t>
            </w:r>
          </w:p>
          <w:p w:rsidR="00B16C39" w:rsidRPr="000B4BA2" w:rsidRDefault="00B16C39" w:rsidP="00B16C39">
            <w:pPr>
              <w:jc w:val="both"/>
              <w:rPr>
                <w:sz w:val="20"/>
                <w:lang w:val="fr-CA"/>
              </w:rPr>
            </w:pPr>
            <w:r w:rsidRPr="000B4BA2">
              <w:rPr>
                <w:sz w:val="20"/>
                <w:lang w:val="fr-CA"/>
              </w:rPr>
              <w:t>(juges Webb, Near et Laskin)</w:t>
            </w:r>
          </w:p>
          <w:p w:rsidR="00B16C39" w:rsidRPr="000B4BA2" w:rsidRDefault="000B4BA2" w:rsidP="00B16C39">
            <w:pPr>
              <w:jc w:val="both"/>
              <w:rPr>
                <w:sz w:val="20"/>
                <w:lang w:val="fr-CA"/>
              </w:rPr>
            </w:pPr>
            <w:hyperlink r:id="rId24" w:history="1">
              <w:r w:rsidR="00B16C39" w:rsidRPr="000B4BA2">
                <w:rPr>
                  <w:rStyle w:val="Hyperlink"/>
                  <w:sz w:val="20"/>
                  <w:lang w:val="fr-CA"/>
                </w:rPr>
                <w:t>2020 FCA 222</w:t>
              </w:r>
            </w:hyperlink>
          </w:p>
          <w:p w:rsidR="00B16C39" w:rsidRPr="000B4BA2" w:rsidRDefault="00B16C39" w:rsidP="00B16C39">
            <w:pPr>
              <w:jc w:val="both"/>
              <w:rPr>
                <w:sz w:val="20"/>
                <w:lang w:val="fr-CA"/>
              </w:rPr>
            </w:pPr>
            <w:r w:rsidRPr="000B4BA2">
              <w:rPr>
                <w:sz w:val="20"/>
                <w:lang w:val="fr-CA"/>
              </w:rPr>
              <w:t>File No.: A</w:t>
            </w:r>
            <w:r w:rsidRPr="000B4BA2">
              <w:rPr>
                <w:sz w:val="20"/>
                <w:lang w:val="fr-CA"/>
              </w:rPr>
              <w:noBreakHyphen/>
              <w:t>363</w:t>
            </w:r>
            <w:r w:rsidRPr="000B4BA2">
              <w:rPr>
                <w:sz w:val="20"/>
                <w:lang w:val="fr-CA"/>
              </w:rPr>
              <w:noBreakHyphen/>
              <w:t>19</w:t>
            </w:r>
          </w:p>
          <w:p w:rsidR="00B16C39" w:rsidRPr="000B4BA2" w:rsidRDefault="00B16C39" w:rsidP="00B16C39">
            <w:pPr>
              <w:jc w:val="both"/>
              <w:rPr>
                <w:sz w:val="20"/>
                <w:lang w:val="fr-CA"/>
              </w:rPr>
            </w:pP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L’appel est accueilli à l’égard de la cotisation quant aux pénalités pour faute lourde, mais est par ailleurs rejeté. La décision de la Cour canadienne de l’impôt est annulée et les nouvelles cotisations sont renvoyées au ministre pour qu’il en fasse le réexamen et établisse de nouvelles cotisations.</w:t>
            </w:r>
          </w:p>
          <w:p w:rsidR="00B16C39" w:rsidRPr="000B4BA2" w:rsidRDefault="00B16C39" w:rsidP="00B16C39">
            <w:pPr>
              <w:jc w:val="both"/>
              <w:rPr>
                <w:sz w:val="20"/>
                <w:lang w:val="fr-CA"/>
              </w:rPr>
            </w:pPr>
          </w:p>
        </w:tc>
      </w:tr>
      <w:tr w:rsidR="00B16C39" w:rsidRPr="000B4BA2" w:rsidTr="00E95A6A">
        <w:tc>
          <w:tcPr>
            <w:tcW w:w="2427" w:type="pct"/>
            <w:gridSpan w:val="2"/>
          </w:tcPr>
          <w:p w:rsidR="00B16C39" w:rsidRPr="000B4BA2" w:rsidRDefault="00B16C39" w:rsidP="00B16C39">
            <w:pPr>
              <w:jc w:val="both"/>
              <w:rPr>
                <w:sz w:val="20"/>
                <w:lang w:val="fr-CA"/>
              </w:rPr>
            </w:pPr>
            <w:r w:rsidRPr="000B4BA2">
              <w:rPr>
                <w:sz w:val="20"/>
                <w:lang w:val="fr-CA"/>
              </w:rPr>
              <w:t>19 février 2021</w:t>
            </w:r>
          </w:p>
          <w:p w:rsidR="00B16C39" w:rsidRPr="000B4BA2" w:rsidRDefault="00B16C39" w:rsidP="00B16C39">
            <w:pPr>
              <w:jc w:val="both"/>
              <w:rPr>
                <w:sz w:val="20"/>
                <w:lang w:val="fr-CA"/>
              </w:rPr>
            </w:pPr>
            <w:r w:rsidRPr="000B4BA2">
              <w:rPr>
                <w:sz w:val="20"/>
                <w:lang w:val="fr-CA"/>
              </w:rPr>
              <w:t>Cour suprême du Canada</w:t>
            </w:r>
          </w:p>
        </w:tc>
        <w:tc>
          <w:tcPr>
            <w:tcW w:w="243" w:type="pct"/>
          </w:tcPr>
          <w:p w:rsidR="00B16C39" w:rsidRPr="000B4BA2" w:rsidRDefault="00B16C39" w:rsidP="00B16C39">
            <w:pPr>
              <w:jc w:val="both"/>
              <w:rPr>
                <w:sz w:val="20"/>
                <w:lang w:val="fr-CA"/>
              </w:rPr>
            </w:pPr>
          </w:p>
        </w:tc>
        <w:tc>
          <w:tcPr>
            <w:tcW w:w="2330" w:type="pct"/>
          </w:tcPr>
          <w:p w:rsidR="00B16C39" w:rsidRPr="000B4BA2" w:rsidRDefault="00B16C39" w:rsidP="00B16C39">
            <w:pPr>
              <w:jc w:val="both"/>
              <w:rPr>
                <w:sz w:val="20"/>
                <w:lang w:val="fr-CA"/>
              </w:rPr>
            </w:pPr>
            <w:r w:rsidRPr="000B4BA2">
              <w:rPr>
                <w:sz w:val="20"/>
                <w:lang w:val="fr-CA"/>
              </w:rPr>
              <w:t>La demande d’autorisation d’appel est présentée.</w:t>
            </w:r>
          </w:p>
        </w:tc>
      </w:tr>
    </w:tbl>
    <w:p w:rsidR="00832A5F" w:rsidRPr="000B4BA2" w:rsidRDefault="00832A5F" w:rsidP="00EC12AF">
      <w:pPr>
        <w:widowControl w:val="0"/>
        <w:jc w:val="both"/>
        <w:rPr>
          <w:sz w:val="20"/>
          <w:lang w:val="fr-CA"/>
        </w:rPr>
      </w:pPr>
    </w:p>
    <w:p w:rsidR="008C3C00" w:rsidRPr="000B4BA2" w:rsidRDefault="000B4BA2" w:rsidP="00C13AB4">
      <w:pPr>
        <w:widowControl w:val="0"/>
        <w:jc w:val="both"/>
        <w:rPr>
          <w:sz w:val="20"/>
        </w:rPr>
      </w:pPr>
      <w:r w:rsidRPr="000B4BA2">
        <w:rPr>
          <w:sz w:val="20"/>
        </w:rPr>
        <w:pict>
          <v:rect id="_x0000_i1034" style="width:2in;height:1pt" o:hrpct="0" o:hralign="center" o:hrstd="t" o:hrnoshade="t" o:hr="t" fillcolor="black [3213]" stroked="f"/>
        </w:pict>
      </w:r>
    </w:p>
    <w:p w:rsidR="008C3C00" w:rsidRPr="000B4BA2" w:rsidRDefault="008C3C00" w:rsidP="00C13AB4">
      <w:pPr>
        <w:widowControl w:val="0"/>
        <w:jc w:val="both"/>
        <w:rPr>
          <w:sz w:val="20"/>
        </w:rPr>
      </w:pPr>
    </w:p>
    <w:p w:rsidR="005C7161" w:rsidRPr="000B4BA2" w:rsidRDefault="005C7161" w:rsidP="006A22CA">
      <w:pPr>
        <w:ind w:left="142" w:hanging="142"/>
        <w:jc w:val="both"/>
        <w:rPr>
          <w:sz w:val="20"/>
        </w:rPr>
      </w:pPr>
    </w:p>
    <w:p w:rsidR="00FD3FA0" w:rsidRPr="000B4BA2" w:rsidRDefault="00FD3FA0" w:rsidP="006A22CA">
      <w:pPr>
        <w:ind w:left="142" w:hanging="142"/>
        <w:jc w:val="both"/>
        <w:rPr>
          <w:sz w:val="20"/>
        </w:rPr>
      </w:pPr>
    </w:p>
    <w:p w:rsidR="00D3344A" w:rsidRPr="000B4BA2" w:rsidRDefault="00D3344A" w:rsidP="00D3344A">
      <w:pPr>
        <w:widowControl w:val="0"/>
        <w:outlineLvl w:val="0"/>
      </w:pPr>
      <w:r w:rsidRPr="000B4BA2">
        <w:t xml:space="preserve">Supreme Court of Canada / Cour suprême du </w:t>
      </w:r>
      <w:proofErr w:type="gramStart"/>
      <w:r w:rsidRPr="000B4BA2">
        <w:t>Canad</w:t>
      </w:r>
      <w:r w:rsidR="00EE289F" w:rsidRPr="000B4BA2">
        <w:t>a</w:t>
      </w:r>
      <w:r w:rsidRPr="000B4BA2">
        <w:t xml:space="preserve"> :</w:t>
      </w:r>
      <w:proofErr w:type="gramEnd"/>
    </w:p>
    <w:p w:rsidR="00D3344A" w:rsidRPr="000B4BA2" w:rsidRDefault="000B4BA2" w:rsidP="00D3344A">
      <w:pPr>
        <w:widowControl w:val="0"/>
        <w:outlineLvl w:val="0"/>
        <w:rPr>
          <w:u w:val="single"/>
        </w:rPr>
      </w:pPr>
      <w:hyperlink r:id="rId25" w:history="1">
        <w:r w:rsidR="009B7391" w:rsidRPr="000B4BA2">
          <w:rPr>
            <w:rStyle w:val="Hyperlink"/>
          </w:rPr>
          <w:t>comments-commentaires@scc-csc.ca</w:t>
        </w:r>
      </w:hyperlink>
    </w:p>
    <w:p w:rsidR="00D3344A" w:rsidRPr="000B4BA2" w:rsidRDefault="0065588C" w:rsidP="00D3344A">
      <w:pPr>
        <w:widowControl w:val="0"/>
        <w:outlineLvl w:val="0"/>
      </w:pPr>
      <w:r w:rsidRPr="000B4BA2">
        <w:t>613-</w:t>
      </w:r>
      <w:r w:rsidR="00D3344A" w:rsidRPr="000B4BA2">
        <w:t>995-4330</w:t>
      </w:r>
    </w:p>
    <w:p w:rsidR="00497B5E" w:rsidRPr="000B4BA2" w:rsidRDefault="00497B5E" w:rsidP="00497B5E">
      <w:pPr>
        <w:widowControl w:val="0"/>
        <w:rPr>
          <w:sz w:val="20"/>
        </w:rPr>
      </w:pPr>
    </w:p>
    <w:p w:rsidR="00F6251B" w:rsidRPr="006E558B" w:rsidRDefault="003F43E6" w:rsidP="00F6251B">
      <w:pPr>
        <w:pStyle w:val="Footer"/>
        <w:jc w:val="center"/>
      </w:pPr>
      <w:r w:rsidRPr="000B4BA2">
        <w:t>- 30 -</w:t>
      </w:r>
      <w:bookmarkStart w:id="1" w:name="_GoBack"/>
      <w:bookmarkEnd w:id="1"/>
    </w:p>
    <w:sectPr w:rsidR="00F6251B" w:rsidRPr="006E558B" w:rsidSect="00E62F93">
      <w:headerReference w:type="even" r:id="rId26"/>
      <w:headerReference w:type="default" r:id="rId27"/>
      <w:footerReference w:type="even" r:id="rId28"/>
      <w:footerReference w:type="default" r:id="rId29"/>
      <w:headerReference w:type="first" r:id="rId30"/>
      <w:footerReference w:type="first" r:id="rId3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33" w:rsidRDefault="00EC6533" w:rsidP="0034178A">
      <w:r>
        <w:separator/>
      </w:r>
    </w:p>
  </w:endnote>
  <w:endnote w:type="continuationSeparator" w:id="0">
    <w:p w:rsidR="00EC6533" w:rsidRDefault="00EC653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Pr="009F77F0" w:rsidRDefault="00EC653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33" w:rsidRDefault="00EC6533" w:rsidP="0034178A">
      <w:r>
        <w:separator/>
      </w:r>
    </w:p>
  </w:footnote>
  <w:footnote w:type="continuationSeparator" w:id="0">
    <w:p w:rsidR="00EC6533" w:rsidRDefault="00EC653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33" w:rsidRDefault="00EC6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03C4B"/>
    <w:multiLevelType w:val="hybridMultilevel"/>
    <w:tmpl w:val="47DC2A3C"/>
    <w:lvl w:ilvl="0" w:tplc="A63CB990">
      <w:start w:val="4"/>
      <w:numFmt w:val="decimal"/>
      <w:lvlText w:val="%1."/>
      <w:lvlJc w:val="left"/>
      <w:pPr>
        <w:ind w:left="100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152E6"/>
    <w:multiLevelType w:val="hybridMultilevel"/>
    <w:tmpl w:val="72B068E0"/>
    <w:lvl w:ilvl="0" w:tplc="D1FAEF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12"/>
  </w:num>
  <w:num w:numId="4">
    <w:abstractNumId w:val="24"/>
  </w:num>
  <w:num w:numId="5">
    <w:abstractNumId w:val="32"/>
  </w:num>
  <w:num w:numId="6">
    <w:abstractNumId w:val="23"/>
  </w:num>
  <w:num w:numId="7">
    <w:abstractNumId w:val="26"/>
  </w:num>
  <w:num w:numId="8">
    <w:abstractNumId w:val="17"/>
  </w:num>
  <w:num w:numId="9">
    <w:abstractNumId w:val="1"/>
  </w:num>
  <w:num w:numId="10">
    <w:abstractNumId w:val="29"/>
  </w:num>
  <w:num w:numId="11">
    <w:abstractNumId w:val="21"/>
  </w:num>
  <w:num w:numId="12">
    <w:abstractNumId w:val="20"/>
  </w:num>
  <w:num w:numId="13">
    <w:abstractNumId w:val="19"/>
  </w:num>
  <w:num w:numId="14">
    <w:abstractNumId w:val="33"/>
  </w:num>
  <w:num w:numId="15">
    <w:abstractNumId w:val="25"/>
  </w:num>
  <w:num w:numId="16">
    <w:abstractNumId w:val="6"/>
  </w:num>
  <w:num w:numId="17">
    <w:abstractNumId w:val="10"/>
  </w:num>
  <w:num w:numId="18">
    <w:abstractNumId w:val="28"/>
  </w:num>
  <w:num w:numId="19">
    <w:abstractNumId w:val="31"/>
  </w:num>
  <w:num w:numId="20">
    <w:abstractNumId w:val="27"/>
  </w:num>
  <w:num w:numId="21">
    <w:abstractNumId w:val="13"/>
  </w:num>
  <w:num w:numId="22">
    <w:abstractNumId w:val="15"/>
  </w:num>
  <w:num w:numId="23">
    <w:abstractNumId w:val="22"/>
  </w:num>
  <w:num w:numId="24">
    <w:abstractNumId w:val="0"/>
  </w:num>
  <w:num w:numId="25">
    <w:abstractNumId w:val="11"/>
  </w:num>
  <w:num w:numId="26">
    <w:abstractNumId w:val="7"/>
  </w:num>
  <w:num w:numId="27">
    <w:abstractNumId w:val="9"/>
  </w:num>
  <w:num w:numId="28">
    <w:abstractNumId w:val="18"/>
  </w:num>
  <w:num w:numId="29">
    <w:abstractNumId w:val="16"/>
  </w:num>
  <w:num w:numId="30">
    <w:abstractNumId w:val="3"/>
  </w:num>
  <w:num w:numId="31">
    <w:abstractNumId w:val="2"/>
  </w:num>
  <w:num w:numId="32">
    <w:abstractNumId w:val="4"/>
  </w:num>
  <w:num w:numId="33">
    <w:abstractNumId w:val="5"/>
  </w:num>
  <w:num w:numId="3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7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4BA2"/>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04A"/>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6FE"/>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4E94"/>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BA2"/>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202"/>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39"/>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4F7"/>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573" TargetMode="External"/><Relationship Id="rId13" Type="http://schemas.openxmlformats.org/officeDocument/2006/relationships/hyperlink" Target="https://www.canlii.org/fr/qc/qcca/doc/2020/2020qcca1612/2020qcca1612.html" TargetMode="External"/><Relationship Id="rId18" Type="http://schemas.openxmlformats.org/officeDocument/2006/relationships/hyperlink" Target="https://www.canlii.org/en/bc/bcsc/doc/2019/2019bcsc2221/2019bcsc2221.html?resultIndex=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nlii.org/en/ca/fca/doc/2020/2020fca186/2020fca186.html?autocompleteStr=2020%20FCA%20186&amp;autocompletePos=1" TargetMode="External"/><Relationship Id="rId7" Type="http://schemas.openxmlformats.org/officeDocument/2006/relationships/endnotes" Target="endnotes.xml"/><Relationship Id="rId12" Type="http://schemas.openxmlformats.org/officeDocument/2006/relationships/hyperlink" Target="https://www.canlii.org/fr/qc/qccs/doc/2018/2018qccs4517/2018qccs4517.html" TargetMode="External"/><Relationship Id="rId17" Type="http://schemas.openxmlformats.org/officeDocument/2006/relationships/hyperlink" Target="https://www.canlii.org/en/bc/bcca/doc/2020/2020bcca339/2020bcca339.html?resultIndex=1"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en/bc/bcsc/doc/2019/2019bcsc2221/2019bcsc2221.html?resultIndex=1" TargetMode="External"/><Relationship Id="rId20" Type="http://schemas.openxmlformats.org/officeDocument/2006/relationships/hyperlink" Target="https://www.canlii.org/en/ca/fct/doc/2020/2020fc588/2020fc588.html?autocompleteStr=2020%20FC%20588&amp;autocompletePos=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87" TargetMode="External"/><Relationship Id="rId24" Type="http://schemas.openxmlformats.org/officeDocument/2006/relationships/hyperlink" Target="https://www.canlii.org/en/ca/fca/doc/2020/2020fca222/2020fca222.html?autocompleteStr=2020%20FCA%20222&amp;autocompletePos=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fr/qc/qcca/doc/2020/2020qcca1612/2020qcca1612.html" TargetMode="External"/><Relationship Id="rId23" Type="http://schemas.openxmlformats.org/officeDocument/2006/relationships/hyperlink" Target="https://www.canlii.org/en/ca/fca/doc/2020/2020fca222/2020fca222.html?autocompleteStr=2020%20FCA%20222&amp;autocompletePos=1" TargetMode="External"/><Relationship Id="rId28" Type="http://schemas.openxmlformats.org/officeDocument/2006/relationships/footer" Target="footer1.xml"/><Relationship Id="rId10" Type="http://schemas.openxmlformats.org/officeDocument/2006/relationships/hyperlink" Target="https://www.scc-csc.ca/case-dossier/info/sum-som-eng.aspx?cas=39518" TargetMode="External"/><Relationship Id="rId19" Type="http://schemas.openxmlformats.org/officeDocument/2006/relationships/hyperlink" Target="https://www.canlii.org/en/bc/bcca/doc/2020/2020bcca339/2020bcca339.html?resultIndex=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547" TargetMode="External"/><Relationship Id="rId14" Type="http://schemas.openxmlformats.org/officeDocument/2006/relationships/hyperlink" Target="https://www.canlii.org/fr/qc/qccs/doc/2018/2018qccs4517/2018qccs4517.html" TargetMode="External"/><Relationship Id="rId22" Type="http://schemas.openxmlformats.org/officeDocument/2006/relationships/hyperlink" Target="https://www.canlii.org/fr/ca/cfpi/doc/2020/2020cf588/2020cf588.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2644-F41A-40AF-B2DE-6D76067A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22825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2021-06-04T14:01:00Z</dcterms:modified>
</cp:coreProperties>
</file>