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C3655" w:rsidRDefault="000E391F" w:rsidP="000E391F">
      <w:pPr>
        <w:pStyle w:val="Header"/>
        <w:jc w:val="center"/>
        <w:rPr>
          <w:b/>
          <w:sz w:val="32"/>
        </w:rPr>
      </w:pPr>
      <w:r w:rsidRPr="00DC3655">
        <w:rPr>
          <w:b/>
          <w:sz w:val="32"/>
        </w:rPr>
        <w:t>Supreme Court of Canada / Cour suprême du Canada</w:t>
      </w:r>
    </w:p>
    <w:p w:rsidR="000E391F" w:rsidRPr="00DC3655" w:rsidRDefault="000E391F" w:rsidP="000E391F">
      <w:pPr>
        <w:widowControl w:val="0"/>
      </w:pPr>
    </w:p>
    <w:p w:rsidR="000E391F" w:rsidRPr="00DC3655" w:rsidRDefault="000E391F" w:rsidP="000E391F">
      <w:pPr>
        <w:widowControl w:val="0"/>
        <w:rPr>
          <w:i/>
        </w:rPr>
      </w:pPr>
    </w:p>
    <w:p w:rsidR="006F2579" w:rsidRPr="00DC3655" w:rsidRDefault="006F2579" w:rsidP="006F2579">
      <w:pPr>
        <w:widowControl w:val="0"/>
        <w:rPr>
          <w:i/>
          <w:sz w:val="20"/>
        </w:rPr>
      </w:pPr>
      <w:r w:rsidRPr="00DC3655">
        <w:rPr>
          <w:i/>
          <w:sz w:val="20"/>
        </w:rPr>
        <w:t>(</w:t>
      </w:r>
      <w:r w:rsidR="003240B6" w:rsidRPr="00DC3655">
        <w:rPr>
          <w:i/>
          <w:sz w:val="20"/>
        </w:rPr>
        <w:t>L</w:t>
      </w:r>
      <w:r w:rsidRPr="00DC3655">
        <w:rPr>
          <w:i/>
          <w:sz w:val="20"/>
        </w:rPr>
        <w:t>e français suit)</w:t>
      </w:r>
    </w:p>
    <w:p w:rsidR="006F2579" w:rsidRPr="00DC3655" w:rsidRDefault="006F2579" w:rsidP="006F2579">
      <w:pPr>
        <w:widowControl w:val="0"/>
      </w:pPr>
    </w:p>
    <w:p w:rsidR="006F2579" w:rsidRPr="00DC3655" w:rsidRDefault="00B07908" w:rsidP="006F2579">
      <w:pPr>
        <w:widowControl w:val="0"/>
        <w:jc w:val="center"/>
        <w:rPr>
          <w:b/>
        </w:rPr>
      </w:pPr>
      <w:r w:rsidRPr="00DC3655">
        <w:fldChar w:fldCharType="begin"/>
      </w:r>
      <w:r w:rsidR="006F2579" w:rsidRPr="00DC3655">
        <w:instrText xml:space="preserve"> SEQ CHAPTER \h \r 1</w:instrText>
      </w:r>
      <w:r w:rsidRPr="00DC3655">
        <w:fldChar w:fldCharType="end"/>
      </w:r>
      <w:r w:rsidR="006F2579" w:rsidRPr="00DC3655">
        <w:rPr>
          <w:b/>
        </w:rPr>
        <w:t>JUDGMENT</w:t>
      </w:r>
      <w:r w:rsidR="00B17AAC" w:rsidRPr="00DC3655">
        <w:rPr>
          <w:b/>
        </w:rPr>
        <w:t>S</w:t>
      </w:r>
      <w:r w:rsidR="006F2579" w:rsidRPr="00DC3655">
        <w:rPr>
          <w:b/>
        </w:rPr>
        <w:t xml:space="preserve"> TO B</w:t>
      </w:r>
      <w:r w:rsidR="00001846" w:rsidRPr="00DC3655">
        <w:rPr>
          <w:b/>
        </w:rPr>
        <w:t>E RENDERED IN LE</w:t>
      </w:r>
      <w:r w:rsidR="00A0288A" w:rsidRPr="00DC3655">
        <w:rPr>
          <w:b/>
        </w:rPr>
        <w:t>A</w:t>
      </w:r>
      <w:r w:rsidR="00001846" w:rsidRPr="00DC3655">
        <w:rPr>
          <w:b/>
        </w:rPr>
        <w:t>VE APPLICATION</w:t>
      </w:r>
      <w:r w:rsidR="00511288" w:rsidRPr="00DC3655">
        <w:rPr>
          <w:b/>
        </w:rPr>
        <w:t>S</w:t>
      </w:r>
    </w:p>
    <w:p w:rsidR="006F2579" w:rsidRPr="00DC3655" w:rsidRDefault="006F2579" w:rsidP="006F2579">
      <w:pPr>
        <w:widowControl w:val="0"/>
      </w:pPr>
    </w:p>
    <w:p w:rsidR="006F2579" w:rsidRPr="00DC3655" w:rsidRDefault="00777ECC" w:rsidP="006F2579">
      <w:pPr>
        <w:widowControl w:val="0"/>
      </w:pPr>
      <w:r w:rsidRPr="00DC3655">
        <w:rPr>
          <w:b/>
        </w:rPr>
        <w:t>September</w:t>
      </w:r>
      <w:r w:rsidR="00A15B66" w:rsidRPr="00DC3655">
        <w:rPr>
          <w:b/>
        </w:rPr>
        <w:t xml:space="preserve"> </w:t>
      </w:r>
      <w:r w:rsidR="00CA2E4E" w:rsidRPr="00DC3655">
        <w:rPr>
          <w:b/>
        </w:rPr>
        <w:t>2</w:t>
      </w:r>
      <w:r w:rsidR="00C833AB" w:rsidRPr="00DC3655">
        <w:rPr>
          <w:b/>
        </w:rPr>
        <w:t>0</w:t>
      </w:r>
      <w:r w:rsidR="004441C7" w:rsidRPr="00DC3655">
        <w:rPr>
          <w:b/>
        </w:rPr>
        <w:t>,</w:t>
      </w:r>
      <w:r w:rsidR="006F2579" w:rsidRPr="00DC3655">
        <w:rPr>
          <w:b/>
        </w:rPr>
        <w:t xml:space="preserve"> </w:t>
      </w:r>
      <w:r w:rsidR="0054689F" w:rsidRPr="00DC3655">
        <w:rPr>
          <w:b/>
        </w:rPr>
        <w:t>20</w:t>
      </w:r>
      <w:r w:rsidR="00526754" w:rsidRPr="00DC3655">
        <w:rPr>
          <w:b/>
        </w:rPr>
        <w:t>2</w:t>
      </w:r>
      <w:r w:rsidR="0068416C" w:rsidRPr="00DC3655">
        <w:rPr>
          <w:b/>
        </w:rPr>
        <w:t>1</w:t>
      </w:r>
    </w:p>
    <w:p w:rsidR="006F2579" w:rsidRPr="00DC3655" w:rsidRDefault="00674F39" w:rsidP="006F2579">
      <w:pPr>
        <w:widowControl w:val="0"/>
        <w:rPr>
          <w:b/>
        </w:rPr>
      </w:pPr>
      <w:r w:rsidRPr="00DC3655">
        <w:rPr>
          <w:b/>
        </w:rPr>
        <w:t>For immediate release</w:t>
      </w:r>
    </w:p>
    <w:p w:rsidR="006F2579" w:rsidRPr="00DC3655" w:rsidRDefault="006F2579" w:rsidP="006F2579">
      <w:pPr>
        <w:widowControl w:val="0"/>
      </w:pPr>
    </w:p>
    <w:p w:rsidR="006F2579" w:rsidRPr="00DC3655" w:rsidRDefault="006F2579" w:rsidP="006F2579">
      <w:pPr>
        <w:widowControl w:val="0"/>
        <w:rPr>
          <w:lang w:val="fr-CA"/>
        </w:rPr>
      </w:pPr>
      <w:r w:rsidRPr="00DC3655">
        <w:rPr>
          <w:b/>
        </w:rPr>
        <w:t>OTTAWA</w:t>
      </w:r>
      <w:r w:rsidRPr="00DC3655">
        <w:t xml:space="preserve"> – The Supreme Court of Canad</w:t>
      </w:r>
      <w:r w:rsidR="006246E4" w:rsidRPr="00DC3655">
        <w:t>a</w:t>
      </w:r>
      <w:r w:rsidRPr="00DC3655">
        <w:t xml:space="preserve"> announced today that judgment in the following </w:t>
      </w:r>
      <w:r w:rsidR="00DB6199" w:rsidRPr="00DC3655">
        <w:t xml:space="preserve">leave applications </w:t>
      </w:r>
      <w:r w:rsidRPr="00DC3655">
        <w:t xml:space="preserve">will be delivered at 9:45 a.m. </w:t>
      </w:r>
      <w:r w:rsidR="00E05816" w:rsidRPr="00DC3655">
        <w:t>E</w:t>
      </w:r>
      <w:r w:rsidR="0098345D" w:rsidRPr="00DC3655">
        <w:t>D</w:t>
      </w:r>
      <w:r w:rsidR="00E05816" w:rsidRPr="00DC3655">
        <w:t>T</w:t>
      </w:r>
      <w:r w:rsidRPr="00DC3655">
        <w:t xml:space="preserve"> on </w:t>
      </w:r>
      <w:r w:rsidR="00C833AB" w:rsidRPr="00DC3655">
        <w:t>Thurs</w:t>
      </w:r>
      <w:r w:rsidR="00680A85" w:rsidRPr="00DC3655">
        <w:t>day</w:t>
      </w:r>
      <w:r w:rsidRPr="00DC3655">
        <w:t xml:space="preserve">, </w:t>
      </w:r>
      <w:r w:rsidR="00777ECC" w:rsidRPr="00DC3655">
        <w:t>September</w:t>
      </w:r>
      <w:r w:rsidR="00455912" w:rsidRPr="00DC3655">
        <w:t xml:space="preserve"> </w:t>
      </w:r>
      <w:r w:rsidR="00680A85" w:rsidRPr="00DC3655">
        <w:t>2</w:t>
      </w:r>
      <w:r w:rsidR="00C833AB" w:rsidRPr="00DC3655">
        <w:t>3</w:t>
      </w:r>
      <w:r w:rsidR="007E112F" w:rsidRPr="00DC3655">
        <w:t>,</w:t>
      </w:r>
      <w:r w:rsidR="002F38D7" w:rsidRPr="00DC3655">
        <w:t xml:space="preserve"> </w:t>
      </w:r>
      <w:r w:rsidR="006648D1" w:rsidRPr="00DC3655">
        <w:t>20</w:t>
      </w:r>
      <w:r w:rsidR="00526754" w:rsidRPr="00DC3655">
        <w:t>2</w:t>
      </w:r>
      <w:r w:rsidR="00DD65CF" w:rsidRPr="00DC3655">
        <w:t>1</w:t>
      </w:r>
      <w:r w:rsidRPr="00DC3655">
        <w:t xml:space="preserve">. </w:t>
      </w:r>
      <w:r w:rsidRPr="00DC3655">
        <w:rPr>
          <w:lang w:val="fr-CA"/>
        </w:rPr>
        <w:t>This list is subject to chang</w:t>
      </w:r>
      <w:r w:rsidR="00192F7F" w:rsidRPr="00DC3655">
        <w:rPr>
          <w:lang w:val="fr-CA"/>
        </w:rPr>
        <w:t>e</w:t>
      </w:r>
      <w:r w:rsidRPr="00DC3655">
        <w:rPr>
          <w:lang w:val="fr-CA"/>
        </w:rPr>
        <w:t>.</w:t>
      </w:r>
    </w:p>
    <w:p w:rsidR="00FF5AA4" w:rsidRPr="00DC3655" w:rsidRDefault="00FF5AA4" w:rsidP="006F2579">
      <w:pPr>
        <w:widowControl w:val="0"/>
        <w:rPr>
          <w:lang w:val="fr-CA"/>
        </w:rPr>
      </w:pPr>
    </w:p>
    <w:p w:rsidR="00B43418" w:rsidRPr="00DC3655" w:rsidRDefault="00B43418" w:rsidP="006F2579">
      <w:pPr>
        <w:widowControl w:val="0"/>
        <w:rPr>
          <w:lang w:val="fr-CA"/>
        </w:rPr>
      </w:pPr>
    </w:p>
    <w:p w:rsidR="006F2579" w:rsidRPr="00DC3655" w:rsidRDefault="006F2579" w:rsidP="006F2579">
      <w:pPr>
        <w:widowControl w:val="0"/>
        <w:jc w:val="center"/>
        <w:rPr>
          <w:lang w:val="fr-CA"/>
        </w:rPr>
      </w:pPr>
      <w:r w:rsidRPr="00DC3655">
        <w:rPr>
          <w:b/>
          <w:lang w:val="fr-CA"/>
        </w:rPr>
        <w:t>PROCHAIN</w:t>
      </w:r>
      <w:r w:rsidR="00B17AAC" w:rsidRPr="00DC3655">
        <w:rPr>
          <w:b/>
          <w:lang w:val="fr-CA"/>
        </w:rPr>
        <w:t>S</w:t>
      </w:r>
      <w:r w:rsidRPr="00DC3655">
        <w:rPr>
          <w:b/>
          <w:lang w:val="fr-CA"/>
        </w:rPr>
        <w:t xml:space="preserve"> JUGEMENT</w:t>
      </w:r>
      <w:r w:rsidR="00B17AAC" w:rsidRPr="00DC3655">
        <w:rPr>
          <w:b/>
          <w:lang w:val="fr-CA"/>
        </w:rPr>
        <w:t>S</w:t>
      </w:r>
      <w:r w:rsidR="00001846" w:rsidRPr="00DC3655">
        <w:rPr>
          <w:b/>
          <w:lang w:val="fr-CA"/>
        </w:rPr>
        <w:t xml:space="preserve"> SUR DEMANDE</w:t>
      </w:r>
      <w:r w:rsidR="00B17AAC" w:rsidRPr="00DC3655">
        <w:rPr>
          <w:b/>
          <w:lang w:val="fr-CA"/>
        </w:rPr>
        <w:t>S</w:t>
      </w:r>
      <w:r w:rsidRPr="00DC3655">
        <w:rPr>
          <w:b/>
          <w:lang w:val="fr-CA"/>
        </w:rPr>
        <w:t xml:space="preserve"> D’AUTORISATION</w:t>
      </w:r>
    </w:p>
    <w:p w:rsidR="006F2579" w:rsidRPr="00DC3655" w:rsidRDefault="006F2579" w:rsidP="006F2579">
      <w:pPr>
        <w:widowControl w:val="0"/>
        <w:rPr>
          <w:lang w:val="fr-CA"/>
        </w:rPr>
      </w:pPr>
    </w:p>
    <w:p w:rsidR="006F2579" w:rsidRPr="00DC3655" w:rsidRDefault="006F2579" w:rsidP="006F2579">
      <w:pPr>
        <w:widowControl w:val="0"/>
        <w:rPr>
          <w:lang w:val="fr-CA"/>
        </w:rPr>
      </w:pPr>
      <w:r w:rsidRPr="00DC3655">
        <w:rPr>
          <w:b/>
          <w:lang w:val="fr-CA"/>
        </w:rPr>
        <w:t>Le</w:t>
      </w:r>
      <w:r w:rsidR="00957A76" w:rsidRPr="00DC3655">
        <w:rPr>
          <w:b/>
          <w:lang w:val="fr-CA"/>
        </w:rPr>
        <w:t xml:space="preserve"> </w:t>
      </w:r>
      <w:r w:rsidR="00CA2E4E" w:rsidRPr="00DC3655">
        <w:rPr>
          <w:b/>
          <w:lang w:val="fr-CA"/>
        </w:rPr>
        <w:t>2</w:t>
      </w:r>
      <w:r w:rsidR="00C833AB" w:rsidRPr="00DC3655">
        <w:rPr>
          <w:b/>
          <w:lang w:val="fr-CA"/>
        </w:rPr>
        <w:t>0</w:t>
      </w:r>
      <w:r w:rsidR="00825246" w:rsidRPr="00DC3655">
        <w:rPr>
          <w:b/>
          <w:lang w:val="fr-CA"/>
        </w:rPr>
        <w:t xml:space="preserve"> </w:t>
      </w:r>
      <w:r w:rsidR="00777ECC" w:rsidRPr="00DC3655">
        <w:rPr>
          <w:b/>
          <w:lang w:val="fr-CA"/>
        </w:rPr>
        <w:t>septembre</w:t>
      </w:r>
      <w:r w:rsidR="00A151D1" w:rsidRPr="00DC3655">
        <w:rPr>
          <w:b/>
          <w:lang w:val="fr-CA"/>
        </w:rPr>
        <w:t xml:space="preserve"> 20</w:t>
      </w:r>
      <w:r w:rsidR="00526754" w:rsidRPr="00DC3655">
        <w:rPr>
          <w:b/>
          <w:lang w:val="fr-CA"/>
        </w:rPr>
        <w:t>2</w:t>
      </w:r>
      <w:r w:rsidR="0068416C" w:rsidRPr="00DC3655">
        <w:rPr>
          <w:b/>
          <w:lang w:val="fr-CA"/>
        </w:rPr>
        <w:t>1</w:t>
      </w:r>
    </w:p>
    <w:p w:rsidR="006F2579" w:rsidRPr="00DC3655" w:rsidRDefault="006F2579" w:rsidP="006F2579">
      <w:pPr>
        <w:widowControl w:val="0"/>
        <w:rPr>
          <w:b/>
          <w:lang w:val="fr-CA"/>
        </w:rPr>
      </w:pPr>
      <w:r w:rsidRPr="00DC3655">
        <w:rPr>
          <w:b/>
          <w:lang w:val="fr-CA"/>
        </w:rPr>
        <w:t>Pour diffusion immédiate</w:t>
      </w:r>
    </w:p>
    <w:p w:rsidR="006F2579" w:rsidRPr="00DC3655" w:rsidRDefault="006F2579" w:rsidP="006F2579">
      <w:pPr>
        <w:widowControl w:val="0"/>
        <w:rPr>
          <w:lang w:val="fr-CA"/>
        </w:rPr>
      </w:pPr>
    </w:p>
    <w:p w:rsidR="006F2579" w:rsidRPr="00DC3655" w:rsidRDefault="006F2579" w:rsidP="006F2579">
      <w:pPr>
        <w:widowControl w:val="0"/>
        <w:rPr>
          <w:lang w:val="fr-CA"/>
        </w:rPr>
      </w:pPr>
      <w:r w:rsidRPr="00DC3655">
        <w:rPr>
          <w:b/>
          <w:lang w:val="fr-CA"/>
        </w:rPr>
        <w:t>OTTAWA</w:t>
      </w:r>
      <w:r w:rsidRPr="00DC3655">
        <w:rPr>
          <w:lang w:val="fr-CA"/>
        </w:rPr>
        <w:t xml:space="preserve"> – La Cour suprême du Canada annonce que jugement ser</w:t>
      </w:r>
      <w:r w:rsidR="004259F9" w:rsidRPr="00DC3655">
        <w:rPr>
          <w:lang w:val="fr-CA"/>
        </w:rPr>
        <w:t>a</w:t>
      </w:r>
      <w:r w:rsidRPr="00DC3655">
        <w:rPr>
          <w:lang w:val="fr-CA"/>
        </w:rPr>
        <w:t xml:space="preserve"> rendu dans l</w:t>
      </w:r>
      <w:r w:rsidR="008600ED" w:rsidRPr="00DC3655">
        <w:rPr>
          <w:lang w:val="fr-CA"/>
        </w:rPr>
        <w:t>es</w:t>
      </w:r>
      <w:r w:rsidRPr="00DC3655">
        <w:rPr>
          <w:lang w:val="fr-CA"/>
        </w:rPr>
        <w:t xml:space="preserve"> demande</w:t>
      </w:r>
      <w:r w:rsidR="008600ED" w:rsidRPr="00DC3655">
        <w:rPr>
          <w:lang w:val="fr-CA"/>
        </w:rPr>
        <w:t>s</w:t>
      </w:r>
      <w:r w:rsidRPr="00DC3655">
        <w:rPr>
          <w:lang w:val="fr-CA"/>
        </w:rPr>
        <w:t xml:space="preserve"> d</w:t>
      </w:r>
      <w:r w:rsidR="00001846" w:rsidRPr="00DC3655">
        <w:rPr>
          <w:lang w:val="fr-CA"/>
        </w:rPr>
        <w:t>’autorisation suivante</w:t>
      </w:r>
      <w:r w:rsidR="008600ED" w:rsidRPr="00DC3655">
        <w:rPr>
          <w:lang w:val="fr-CA"/>
        </w:rPr>
        <w:t>s</w:t>
      </w:r>
      <w:r w:rsidRPr="00DC3655">
        <w:rPr>
          <w:lang w:val="fr-CA"/>
        </w:rPr>
        <w:t xml:space="preserve"> le </w:t>
      </w:r>
      <w:r w:rsidR="00C833AB" w:rsidRPr="00DC3655">
        <w:rPr>
          <w:lang w:val="fr-CA"/>
        </w:rPr>
        <w:t>jeu</w:t>
      </w:r>
      <w:r w:rsidR="00680A85" w:rsidRPr="00DC3655">
        <w:rPr>
          <w:lang w:val="fr-CA"/>
        </w:rPr>
        <w:t>di</w:t>
      </w:r>
      <w:r w:rsidRPr="00DC3655">
        <w:rPr>
          <w:lang w:val="fr-CA"/>
        </w:rPr>
        <w:t xml:space="preserve"> </w:t>
      </w:r>
      <w:r w:rsidR="00680A85" w:rsidRPr="00DC3655">
        <w:rPr>
          <w:lang w:val="fr-CA"/>
        </w:rPr>
        <w:t>2</w:t>
      </w:r>
      <w:r w:rsidR="00C833AB" w:rsidRPr="00DC3655">
        <w:rPr>
          <w:lang w:val="fr-CA"/>
        </w:rPr>
        <w:t>3</w:t>
      </w:r>
      <w:r w:rsidR="009E0BD3" w:rsidRPr="00DC3655">
        <w:rPr>
          <w:lang w:val="fr-CA"/>
        </w:rPr>
        <w:t xml:space="preserve"> </w:t>
      </w:r>
      <w:r w:rsidR="00777ECC" w:rsidRPr="00DC3655">
        <w:rPr>
          <w:lang w:val="fr-CA"/>
        </w:rPr>
        <w:t>septembre</w:t>
      </w:r>
      <w:r w:rsidR="00694391" w:rsidRPr="00DC3655">
        <w:rPr>
          <w:lang w:val="fr-CA"/>
        </w:rPr>
        <w:t xml:space="preserve"> 2</w:t>
      </w:r>
      <w:r w:rsidR="006648D1" w:rsidRPr="00DC3655">
        <w:rPr>
          <w:lang w:val="fr-CA"/>
        </w:rPr>
        <w:t>0</w:t>
      </w:r>
      <w:r w:rsidR="00526754" w:rsidRPr="00DC3655">
        <w:rPr>
          <w:lang w:val="fr-CA"/>
        </w:rPr>
        <w:t>2</w:t>
      </w:r>
      <w:r w:rsidR="0068416C" w:rsidRPr="00DC3655">
        <w:rPr>
          <w:lang w:val="fr-CA"/>
        </w:rPr>
        <w:t>1</w:t>
      </w:r>
      <w:r w:rsidRPr="00DC3655">
        <w:rPr>
          <w:lang w:val="fr-CA"/>
        </w:rPr>
        <w:t xml:space="preserve">, à 9 h 45 </w:t>
      </w:r>
      <w:r w:rsidR="000627A2" w:rsidRPr="00DC3655">
        <w:rPr>
          <w:lang w:val="fr-CA"/>
        </w:rPr>
        <w:t>H</w:t>
      </w:r>
      <w:r w:rsidR="0098345D" w:rsidRPr="00DC3655">
        <w:rPr>
          <w:lang w:val="fr-CA"/>
        </w:rPr>
        <w:t>A</w:t>
      </w:r>
      <w:r w:rsidRPr="00DC3655">
        <w:rPr>
          <w:lang w:val="fr-CA"/>
        </w:rPr>
        <w:t>E. Cette liste est sujette à modification</w:t>
      </w:r>
      <w:r w:rsidR="00130ADB" w:rsidRPr="00DC3655">
        <w:rPr>
          <w:lang w:val="fr-CA"/>
        </w:rPr>
        <w:t>s</w:t>
      </w:r>
      <w:r w:rsidRPr="00DC3655">
        <w:rPr>
          <w:lang w:val="fr-CA"/>
        </w:rPr>
        <w:t>.</w:t>
      </w:r>
    </w:p>
    <w:p w:rsidR="0080556B" w:rsidRPr="00DC3655" w:rsidRDefault="0080556B" w:rsidP="005F2A78">
      <w:pPr>
        <w:widowControl w:val="0"/>
        <w:tabs>
          <w:tab w:val="left" w:pos="3840"/>
        </w:tabs>
        <w:jc w:val="both"/>
        <w:rPr>
          <w:sz w:val="20"/>
          <w:lang w:val="fr-CA"/>
        </w:rPr>
      </w:pPr>
    </w:p>
    <w:p w:rsidR="00867C61" w:rsidRPr="00DC3655" w:rsidRDefault="00DC3655" w:rsidP="009B14F4">
      <w:pPr>
        <w:widowControl w:val="0"/>
        <w:jc w:val="both"/>
        <w:rPr>
          <w:sz w:val="20"/>
        </w:rPr>
      </w:pPr>
      <w:r w:rsidRPr="00DC3655">
        <w:rPr>
          <w:sz w:val="20"/>
        </w:rPr>
        <w:pict>
          <v:rect id="_x0000_i1025" style="width:2in;height:1pt" o:hrpct="0" o:hralign="center" o:hrstd="t" o:hrnoshade="t" o:hr="t" fillcolor="black [3213]" stroked="f"/>
        </w:pict>
      </w:r>
    </w:p>
    <w:p w:rsidR="004A6E51" w:rsidRPr="00DC3655" w:rsidRDefault="004A6E51" w:rsidP="00777ECC">
      <w:pPr>
        <w:ind w:left="357" w:hanging="357"/>
        <w:rPr>
          <w:sz w:val="20"/>
          <w:lang w:val="fr-CA"/>
        </w:rPr>
      </w:pPr>
    </w:p>
    <w:p w:rsidR="00C833AB" w:rsidRPr="00DC3655" w:rsidRDefault="00C833AB" w:rsidP="00C833AB">
      <w:pPr>
        <w:pStyle w:val="ListParagraph"/>
        <w:numPr>
          <w:ilvl w:val="0"/>
          <w:numId w:val="49"/>
        </w:numPr>
        <w:ind w:left="357" w:hanging="357"/>
        <w:rPr>
          <w:sz w:val="20"/>
        </w:rPr>
      </w:pPr>
      <w:r w:rsidRPr="00DC3655">
        <w:rPr>
          <w:rFonts w:eastAsia="Calibri"/>
          <w:i/>
          <w:sz w:val="20"/>
          <w:lang w:val="fr-CA"/>
        </w:rPr>
        <w:t xml:space="preserve">Raynald Bédard c. Directeur des poursuites criminelles et pénales, et al. </w:t>
      </w:r>
      <w:r w:rsidRPr="00DC3655">
        <w:rPr>
          <w:rFonts w:eastAsia="Calibri"/>
          <w:sz w:val="20"/>
        </w:rPr>
        <w:t>(Qc) (Criminelle) (Autorisation) (</w:t>
      </w:r>
      <w:hyperlink r:id="rId8" w:history="1">
        <w:r w:rsidRPr="00DC3655">
          <w:rPr>
            <w:rStyle w:val="Hyperlink"/>
            <w:rFonts w:eastAsia="Calibri"/>
            <w:sz w:val="20"/>
            <w:szCs w:val="20"/>
          </w:rPr>
          <w:t>39656</w:t>
        </w:r>
      </w:hyperlink>
      <w:r w:rsidRPr="00DC3655">
        <w:rPr>
          <w:rFonts w:eastAsia="Calibri"/>
          <w:sz w:val="20"/>
        </w:rPr>
        <w:t>)</w:t>
      </w:r>
    </w:p>
    <w:p w:rsidR="00C833AB" w:rsidRPr="00DC3655" w:rsidRDefault="00C833AB" w:rsidP="00C833AB">
      <w:pPr>
        <w:ind w:left="357" w:hanging="357"/>
        <w:rPr>
          <w:sz w:val="20"/>
        </w:rPr>
      </w:pPr>
    </w:p>
    <w:p w:rsidR="00C833AB" w:rsidRPr="00DC3655" w:rsidRDefault="00C833AB" w:rsidP="00C833AB">
      <w:pPr>
        <w:pStyle w:val="ListParagraph"/>
        <w:numPr>
          <w:ilvl w:val="0"/>
          <w:numId w:val="49"/>
        </w:numPr>
        <w:ind w:left="357" w:hanging="357"/>
        <w:rPr>
          <w:sz w:val="20"/>
        </w:rPr>
      </w:pPr>
      <w:r w:rsidRPr="00DC3655">
        <w:rPr>
          <w:i/>
          <w:sz w:val="20"/>
        </w:rPr>
        <w:t xml:space="preserve">Robert James Tyndall, et al. v. Attorney General of Canada on Behalf of the United States of America, et al. </w:t>
      </w:r>
      <w:r w:rsidRPr="00DC3655">
        <w:rPr>
          <w:sz w:val="20"/>
        </w:rPr>
        <w:t xml:space="preserve">(Alta.) (Criminal) (By Leave) </w:t>
      </w:r>
      <w:r w:rsidRPr="00DC3655">
        <w:rPr>
          <w:rFonts w:eastAsia="Calibri"/>
          <w:sz w:val="20"/>
          <w:lang w:val="en-CA"/>
        </w:rPr>
        <w:t>(</w:t>
      </w:r>
      <w:hyperlink r:id="rId9" w:history="1">
        <w:r w:rsidRPr="00DC3655">
          <w:rPr>
            <w:rStyle w:val="Hyperlink"/>
            <w:rFonts w:eastAsia="Calibri"/>
            <w:sz w:val="20"/>
            <w:szCs w:val="20"/>
            <w:lang w:val="en-CA"/>
          </w:rPr>
          <w:t>39681</w:t>
        </w:r>
      </w:hyperlink>
      <w:r w:rsidRPr="00DC3655">
        <w:rPr>
          <w:rFonts w:eastAsia="Calibri"/>
          <w:sz w:val="20"/>
          <w:lang w:val="en-CA"/>
        </w:rPr>
        <w:t>)</w:t>
      </w:r>
    </w:p>
    <w:p w:rsidR="00777ECC" w:rsidRPr="00DC3655" w:rsidRDefault="00777ECC" w:rsidP="000A7017">
      <w:pPr>
        <w:rPr>
          <w:sz w:val="20"/>
        </w:rPr>
      </w:pPr>
    </w:p>
    <w:p w:rsidR="0057402C" w:rsidRPr="00DC3655" w:rsidRDefault="00DC3655" w:rsidP="009B14F4">
      <w:pPr>
        <w:widowControl w:val="0"/>
        <w:jc w:val="both"/>
        <w:rPr>
          <w:sz w:val="20"/>
        </w:rPr>
      </w:pPr>
      <w:r w:rsidRPr="00DC3655">
        <w:rPr>
          <w:sz w:val="20"/>
        </w:rPr>
        <w:pict>
          <v:rect id="_x0000_i1026" style="width:2in;height:1pt" o:hrpct="0" o:hralign="center" o:hrstd="t" o:hrnoshade="t" o:hr="t" fillcolor="black [3213]" stroked="f"/>
        </w:pict>
      </w:r>
    </w:p>
    <w:p w:rsidR="005A7B6B" w:rsidRPr="00DC3655" w:rsidRDefault="005A7B6B"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3655" w:rsidRPr="00DC3655" w:rsidTr="00E95A6A">
        <w:tc>
          <w:tcPr>
            <w:tcW w:w="543" w:type="pct"/>
          </w:tcPr>
          <w:p w:rsidR="00DC3655" w:rsidRPr="00DC3655" w:rsidRDefault="00DC3655" w:rsidP="00DC3655">
            <w:pPr>
              <w:jc w:val="both"/>
              <w:rPr>
                <w:sz w:val="20"/>
                <w:lang w:val="en-CA"/>
              </w:rPr>
            </w:pPr>
            <w:r w:rsidRPr="00DC3655">
              <w:rPr>
                <w:rStyle w:val="SCCFileNumberChar"/>
                <w:sz w:val="20"/>
                <w:szCs w:val="20"/>
              </w:rPr>
              <w:t>39656</w:t>
            </w:r>
          </w:p>
        </w:tc>
        <w:tc>
          <w:tcPr>
            <w:tcW w:w="4457" w:type="pct"/>
            <w:gridSpan w:val="3"/>
          </w:tcPr>
          <w:p w:rsidR="00DC3655" w:rsidRPr="00DC3655" w:rsidRDefault="00DC3655" w:rsidP="00DC3655">
            <w:pPr>
              <w:pStyle w:val="SCCLsocParty"/>
              <w:jc w:val="both"/>
              <w:rPr>
                <w:b/>
                <w:sz w:val="20"/>
                <w:szCs w:val="20"/>
                <w:lang w:val="en-CA"/>
              </w:rPr>
            </w:pPr>
            <w:r w:rsidRPr="00DC3655">
              <w:rPr>
                <w:b/>
                <w:sz w:val="20"/>
                <w:szCs w:val="20"/>
                <w:lang w:val="en-CA"/>
              </w:rPr>
              <w:t xml:space="preserve">Raynald Bédard v. Director of Criminal and Penal Prosecutions and Attorney General of Quebec </w:t>
            </w:r>
          </w:p>
          <w:p w:rsidR="00DC3655" w:rsidRPr="00DC3655" w:rsidRDefault="00DC3655" w:rsidP="00DC3655">
            <w:pPr>
              <w:jc w:val="both"/>
              <w:rPr>
                <w:sz w:val="20"/>
                <w:lang w:val="en-CA"/>
              </w:rPr>
            </w:pPr>
            <w:r w:rsidRPr="00DC3655">
              <w:rPr>
                <w:sz w:val="20"/>
                <w:lang w:val="en-CA"/>
              </w:rPr>
              <w:t>(Que.) (Criminal) (By Leave)</w:t>
            </w:r>
          </w:p>
        </w:tc>
      </w:tr>
      <w:tr w:rsidR="00DC3655" w:rsidRPr="00DC3655" w:rsidTr="00E95A6A">
        <w:tc>
          <w:tcPr>
            <w:tcW w:w="5000" w:type="pct"/>
            <w:gridSpan w:val="4"/>
          </w:tcPr>
          <w:p w:rsidR="00DC3655" w:rsidRPr="00DC3655" w:rsidRDefault="00DC3655" w:rsidP="00DC3655">
            <w:pPr>
              <w:jc w:val="both"/>
              <w:rPr>
                <w:sz w:val="20"/>
                <w:lang w:val="en-CA"/>
              </w:rPr>
            </w:pPr>
            <w:proofErr w:type="gramStart"/>
            <w:r w:rsidRPr="00DC3655">
              <w:rPr>
                <w:i/>
                <w:sz w:val="20"/>
                <w:lang w:val="en-CA"/>
              </w:rPr>
              <w:t>Charter of Rights</w:t>
            </w:r>
            <w:r w:rsidRPr="00DC3655">
              <w:rPr>
                <w:sz w:val="20"/>
                <w:lang w:val="en-CA"/>
              </w:rPr>
              <w:t xml:space="preserve"> ⸺ Cruel and unusual treatment or punishment ⸺ Regulatory offence ⸺ Mandatory minimum fine provided for in provincial legislation regulating construction sector ⸺ Whether sentences under regulatory penal law system are excluded from protection against “cruel and unusual punishment” under s. 12 of </w:t>
            </w:r>
            <w:r w:rsidRPr="00DC3655">
              <w:rPr>
                <w:i/>
                <w:sz w:val="20"/>
                <w:lang w:val="en-CA"/>
              </w:rPr>
              <w:t>Canadian Charter of Rights and Freedoms</w:t>
            </w:r>
            <w:r w:rsidRPr="00DC3655">
              <w:rPr>
                <w:sz w:val="20"/>
                <w:lang w:val="en-CA"/>
              </w:rPr>
              <w:t xml:space="preserve"> ⸺ Whether mandatory minimum fine under s. 197.1 of </w:t>
            </w:r>
            <w:r w:rsidRPr="00DC3655">
              <w:rPr>
                <w:i/>
                <w:sz w:val="20"/>
                <w:lang w:val="en-CA"/>
              </w:rPr>
              <w:t>Building Act</w:t>
            </w:r>
            <w:r w:rsidRPr="00DC3655">
              <w:rPr>
                <w:sz w:val="20"/>
                <w:lang w:val="en-CA"/>
              </w:rPr>
              <w:t xml:space="preserve"> imposed on natural person infringes s. 12 of </w:t>
            </w:r>
            <w:r w:rsidRPr="00DC3655">
              <w:rPr>
                <w:i/>
                <w:sz w:val="20"/>
                <w:lang w:val="en-CA"/>
              </w:rPr>
              <w:t>Canadian Charter of Rights and Freedoms</w:t>
            </w:r>
            <w:r w:rsidRPr="00DC3655">
              <w:rPr>
                <w:sz w:val="20"/>
                <w:lang w:val="en-CA"/>
              </w:rPr>
              <w:t xml:space="preserve"> ⸺ </w:t>
            </w:r>
            <w:r w:rsidRPr="00DC3655">
              <w:rPr>
                <w:i/>
                <w:sz w:val="20"/>
                <w:lang w:val="en-CA"/>
              </w:rPr>
              <w:t>Canadian Charter of Rights and Freedoms</w:t>
            </w:r>
            <w:r w:rsidRPr="00DC3655">
              <w:rPr>
                <w:sz w:val="20"/>
                <w:lang w:val="en-CA"/>
              </w:rPr>
              <w:t xml:space="preserve">, s. 12 — </w:t>
            </w:r>
            <w:r w:rsidRPr="00DC3655">
              <w:rPr>
                <w:i/>
                <w:sz w:val="20"/>
                <w:lang w:val="en-CA"/>
              </w:rPr>
              <w:t>Building Act</w:t>
            </w:r>
            <w:r w:rsidRPr="00DC3655">
              <w:rPr>
                <w:sz w:val="20"/>
                <w:lang w:val="en-CA"/>
              </w:rPr>
              <w:t>, CQLR, c. B</w:t>
            </w:r>
            <w:r w:rsidRPr="00DC3655">
              <w:rPr>
                <w:sz w:val="20"/>
                <w:lang w:val="en-CA"/>
              </w:rPr>
              <w:noBreakHyphen/>
              <w:t>1.1, ss. 46, 197.1.</w:t>
            </w:r>
            <w:proofErr w:type="gramEnd"/>
          </w:p>
        </w:tc>
      </w:tr>
      <w:tr w:rsidR="00DC3655" w:rsidRPr="00DC3655" w:rsidTr="00E95A6A">
        <w:tc>
          <w:tcPr>
            <w:tcW w:w="5000" w:type="pct"/>
            <w:gridSpan w:val="4"/>
          </w:tcPr>
          <w:p w:rsidR="00DC3655" w:rsidRPr="00DC3655" w:rsidRDefault="00DC3655" w:rsidP="00DC3655">
            <w:pPr>
              <w:jc w:val="both"/>
              <w:rPr>
                <w:sz w:val="20"/>
                <w:lang w:val="en-CA"/>
              </w:rPr>
            </w:pPr>
          </w:p>
        </w:tc>
      </w:tr>
      <w:tr w:rsidR="00DC3655" w:rsidRPr="00DC3655" w:rsidTr="00E95A6A">
        <w:tc>
          <w:tcPr>
            <w:tcW w:w="5000" w:type="pct"/>
            <w:gridSpan w:val="4"/>
          </w:tcPr>
          <w:p w:rsidR="00DC3655" w:rsidRPr="00DC3655" w:rsidRDefault="00DC3655" w:rsidP="00DC3655">
            <w:pPr>
              <w:jc w:val="both"/>
              <w:rPr>
                <w:sz w:val="20"/>
                <w:lang w:val="en-CA"/>
              </w:rPr>
            </w:pPr>
            <w:r w:rsidRPr="00DC3655">
              <w:rPr>
                <w:sz w:val="20"/>
                <w:lang w:val="en-CA"/>
              </w:rPr>
              <w:t xml:space="preserve">The applicant, Raynald Bédard, set up a project management company named “Solutions Gestion Design”. The services it offered included managing and supervising construction work, preparing plans and estimates and hiring professionals; neither Mr. Bédard nor his company carried out any construction work. In 2013, a couple retained Solutions Gestion Design for work on a bathroom in their home. While the work was under way, Mr. Bédard and the professional who </w:t>
            </w:r>
            <w:proofErr w:type="gramStart"/>
            <w:r w:rsidRPr="00DC3655">
              <w:rPr>
                <w:sz w:val="20"/>
                <w:lang w:val="en-CA"/>
              </w:rPr>
              <w:t>had been hired</w:t>
            </w:r>
            <w:proofErr w:type="gramEnd"/>
            <w:r w:rsidRPr="00DC3655">
              <w:rPr>
                <w:sz w:val="20"/>
                <w:lang w:val="en-CA"/>
              </w:rPr>
              <w:t xml:space="preserve"> noted that the locations of the drain and the shower did not correspond to the locations in the manufacturer’s assembly instructions. Because the hired professional did not have the necessary tools to correct the situation, Mr. Bédard took the initiative to rent the demolition equipment needed to do so. Following that decision, however, relations between Mr. Bédard and his clients deteriorated to such an extent that the service agreement was resiliated. Some time after the agreement was terminated, Mr. Bédard received a statement of offence under section 46 of the </w:t>
            </w:r>
            <w:r w:rsidRPr="00DC3655">
              <w:rPr>
                <w:i/>
                <w:sz w:val="20"/>
                <w:lang w:val="en-CA"/>
              </w:rPr>
              <w:t>Building Act</w:t>
            </w:r>
            <w:r w:rsidRPr="00DC3655">
              <w:rPr>
                <w:sz w:val="20"/>
                <w:lang w:val="en-CA"/>
              </w:rPr>
              <w:t>, CQLR, c. B</w:t>
            </w:r>
            <w:r w:rsidRPr="00DC3655">
              <w:rPr>
                <w:sz w:val="20"/>
                <w:lang w:val="en-CA"/>
              </w:rPr>
              <w:noBreakHyphen/>
              <w:t>1.1, for having [</w:t>
            </w:r>
            <w:r w:rsidRPr="00DC3655">
              <w:rPr>
                <w:smallCaps/>
                <w:sz w:val="20"/>
                <w:lang w:val="en-CA"/>
              </w:rPr>
              <w:t>translation</w:t>
            </w:r>
            <w:r w:rsidRPr="00DC3655">
              <w:rPr>
                <w:rFonts w:asciiTheme="minorBidi" w:hAnsiTheme="minorBidi"/>
                <w:sz w:val="20"/>
                <w:lang w:val="en-CA"/>
              </w:rPr>
              <w:t>]</w:t>
            </w:r>
            <w:r w:rsidRPr="00DC3655">
              <w:rPr>
                <w:sz w:val="20"/>
                <w:lang w:val="en-CA"/>
              </w:rPr>
              <w:t xml:space="preserve"> “acted as a building contractor by carrying out construction work or having construction work carried out without holding a current licence for that purpose ». He </w:t>
            </w:r>
            <w:proofErr w:type="gramStart"/>
            <w:r w:rsidRPr="00DC3655">
              <w:rPr>
                <w:sz w:val="20"/>
                <w:lang w:val="en-CA"/>
              </w:rPr>
              <w:t>was found</w:t>
            </w:r>
            <w:proofErr w:type="gramEnd"/>
            <w:r w:rsidRPr="00DC3655">
              <w:rPr>
                <w:sz w:val="20"/>
                <w:lang w:val="en-CA"/>
              </w:rPr>
              <w:t xml:space="preserve"> guilty of that offence in 2016. </w:t>
            </w:r>
            <w:proofErr w:type="gramStart"/>
            <w:r w:rsidRPr="00DC3655">
              <w:rPr>
                <w:sz w:val="20"/>
                <w:lang w:val="en-CA"/>
              </w:rPr>
              <w:t>But</w:t>
            </w:r>
            <w:proofErr w:type="gramEnd"/>
            <w:r w:rsidRPr="00DC3655">
              <w:rPr>
                <w:sz w:val="20"/>
                <w:lang w:val="en-CA"/>
              </w:rPr>
              <w:t xml:space="preserve"> after Mr. Bédard filed a re-re-amended notice of intention under art. </w:t>
            </w:r>
            <w:proofErr w:type="gramStart"/>
            <w:r w:rsidRPr="00DC3655">
              <w:rPr>
                <w:sz w:val="20"/>
                <w:lang w:val="en-CA"/>
              </w:rPr>
              <w:t xml:space="preserve">76 of the </w:t>
            </w:r>
            <w:r w:rsidRPr="00DC3655">
              <w:rPr>
                <w:i/>
                <w:sz w:val="20"/>
                <w:lang w:val="en-CA"/>
              </w:rPr>
              <w:t>Code of Civil Procedure</w:t>
            </w:r>
            <w:r w:rsidRPr="00DC3655">
              <w:rPr>
                <w:sz w:val="20"/>
                <w:lang w:val="en-CA"/>
              </w:rPr>
              <w:t>, CQLR, c. C</w:t>
            </w:r>
            <w:r w:rsidRPr="00DC3655">
              <w:rPr>
                <w:sz w:val="20"/>
                <w:lang w:val="en-CA"/>
              </w:rPr>
              <w:noBreakHyphen/>
              <w:t xml:space="preserve">25.01, in which he asked the court for, in particular, a declaration that the sentence provided for in s. 197.1 of the </w:t>
            </w:r>
            <w:r w:rsidRPr="00DC3655">
              <w:rPr>
                <w:i/>
                <w:sz w:val="20"/>
                <w:lang w:val="en-CA"/>
              </w:rPr>
              <w:t>Building Act</w:t>
            </w:r>
            <w:r w:rsidRPr="00DC3655">
              <w:rPr>
                <w:sz w:val="20"/>
                <w:lang w:val="en-CA"/>
              </w:rPr>
              <w:t xml:space="preserve"> is unconstitutional, the Court of Québec declared that the $10,841 mandatory minimum sentence provided for in s. 197.1 was of no force or effect with respect to Mr. Bédard and sentenced him to pay a $50 fine.</w:t>
            </w:r>
            <w:proofErr w:type="gramEnd"/>
            <w:r w:rsidRPr="00DC3655">
              <w:rPr>
                <w:sz w:val="20"/>
                <w:lang w:val="en-CA"/>
              </w:rPr>
              <w:t xml:space="preserve"> The Superior Court allowed the appeal and the Court of Appeal dismissed the appeal.</w:t>
            </w:r>
          </w:p>
          <w:p w:rsidR="00DC3655" w:rsidRPr="00DC3655" w:rsidRDefault="00DC3655" w:rsidP="00DC3655">
            <w:pPr>
              <w:jc w:val="both"/>
              <w:rPr>
                <w:sz w:val="20"/>
                <w:lang w:val="en-CA"/>
              </w:rPr>
            </w:pPr>
          </w:p>
        </w:tc>
      </w:tr>
      <w:tr w:rsidR="00DC3655" w:rsidRPr="00DC3655" w:rsidTr="00E95A6A">
        <w:tc>
          <w:tcPr>
            <w:tcW w:w="2427" w:type="pct"/>
            <w:gridSpan w:val="2"/>
          </w:tcPr>
          <w:p w:rsidR="00DC3655" w:rsidRPr="00DC3655" w:rsidRDefault="00DC3655" w:rsidP="00DC3655">
            <w:pPr>
              <w:jc w:val="both"/>
              <w:rPr>
                <w:sz w:val="20"/>
                <w:lang w:val="en-CA"/>
              </w:rPr>
            </w:pPr>
            <w:r w:rsidRPr="00DC3655">
              <w:rPr>
                <w:sz w:val="20"/>
                <w:lang w:val="en-CA"/>
              </w:rPr>
              <w:t>July 4, 2017</w:t>
            </w:r>
          </w:p>
          <w:p w:rsidR="00DC3655" w:rsidRPr="00DC3655" w:rsidRDefault="00DC3655" w:rsidP="00DC3655">
            <w:pPr>
              <w:jc w:val="both"/>
              <w:rPr>
                <w:sz w:val="20"/>
                <w:lang w:val="en-CA"/>
              </w:rPr>
            </w:pPr>
            <w:r w:rsidRPr="00DC3655">
              <w:rPr>
                <w:sz w:val="20"/>
                <w:lang w:val="en-CA"/>
              </w:rPr>
              <w:t>Court of Québec</w:t>
            </w:r>
          </w:p>
          <w:p w:rsidR="00DC3655" w:rsidRPr="00DC3655" w:rsidRDefault="00DC3655" w:rsidP="00DC3655">
            <w:pPr>
              <w:jc w:val="both"/>
              <w:rPr>
                <w:sz w:val="20"/>
                <w:lang w:val="en-CA"/>
              </w:rPr>
            </w:pPr>
            <w:r w:rsidRPr="00DC3655">
              <w:rPr>
                <w:sz w:val="20"/>
                <w:lang w:val="en-CA"/>
              </w:rPr>
              <w:t>(Presiding Justice of the Peace Sylvie Marcotte)</w:t>
            </w:r>
          </w:p>
          <w:p w:rsidR="00DC3655" w:rsidRPr="00DC3655" w:rsidRDefault="00DC3655" w:rsidP="00DC3655">
            <w:pPr>
              <w:jc w:val="both"/>
              <w:rPr>
                <w:sz w:val="20"/>
                <w:lang w:val="en-CA"/>
              </w:rPr>
            </w:pPr>
            <w:hyperlink r:id="rId10" w:history="1">
              <w:r w:rsidRPr="00DC3655">
                <w:rPr>
                  <w:rStyle w:val="Hyperlink"/>
                  <w:sz w:val="20"/>
                  <w:lang w:val="en-CA"/>
                </w:rPr>
                <w:t>2017 QCCQ 7437</w:t>
              </w:r>
            </w:hyperlink>
          </w:p>
          <w:p w:rsidR="00DC3655" w:rsidRPr="00DC3655" w:rsidRDefault="00DC3655" w:rsidP="00DC3655">
            <w:pPr>
              <w:jc w:val="both"/>
              <w:rPr>
                <w:sz w:val="20"/>
                <w:lang w:val="en-CA"/>
              </w:rPr>
            </w:pPr>
          </w:p>
        </w:tc>
        <w:tc>
          <w:tcPr>
            <w:tcW w:w="243" w:type="pct"/>
          </w:tcPr>
          <w:p w:rsidR="00DC3655" w:rsidRPr="00DC3655" w:rsidRDefault="00DC3655" w:rsidP="00DC3655">
            <w:pPr>
              <w:jc w:val="both"/>
              <w:rPr>
                <w:sz w:val="20"/>
                <w:lang w:val="en-CA"/>
              </w:rPr>
            </w:pPr>
          </w:p>
        </w:tc>
        <w:tc>
          <w:tcPr>
            <w:tcW w:w="2330" w:type="pct"/>
          </w:tcPr>
          <w:p w:rsidR="00DC3655" w:rsidRPr="00DC3655" w:rsidRDefault="00DC3655" w:rsidP="00DC3655">
            <w:pPr>
              <w:jc w:val="both"/>
              <w:rPr>
                <w:sz w:val="20"/>
                <w:lang w:val="en-CA"/>
              </w:rPr>
            </w:pPr>
            <w:r w:rsidRPr="00DC3655">
              <w:rPr>
                <w:sz w:val="20"/>
                <w:lang w:val="en-CA"/>
              </w:rPr>
              <w:t xml:space="preserve">Mandatory minimum sentence of $10,841 under s. 197.1 of </w:t>
            </w:r>
            <w:r w:rsidRPr="00DC3655">
              <w:rPr>
                <w:i/>
                <w:sz w:val="20"/>
                <w:lang w:val="en-CA"/>
              </w:rPr>
              <w:t>Building Act</w:t>
            </w:r>
            <w:r w:rsidRPr="00DC3655">
              <w:rPr>
                <w:sz w:val="20"/>
                <w:lang w:val="en-CA"/>
              </w:rPr>
              <w:t>, CQLR, c. B</w:t>
            </w:r>
            <w:r w:rsidRPr="00DC3655">
              <w:rPr>
                <w:sz w:val="20"/>
                <w:lang w:val="en-CA"/>
              </w:rPr>
              <w:noBreakHyphen/>
              <w:t xml:space="preserve">1.1, declared to be of no force or effect with respect to Raynald Bédard </w:t>
            </w:r>
          </w:p>
          <w:p w:rsidR="00DC3655" w:rsidRPr="00DC3655" w:rsidRDefault="00DC3655" w:rsidP="00DC3655">
            <w:pPr>
              <w:jc w:val="both"/>
              <w:rPr>
                <w:sz w:val="20"/>
                <w:lang w:val="en-CA"/>
              </w:rPr>
            </w:pPr>
            <w:r w:rsidRPr="00DC3655">
              <w:rPr>
                <w:sz w:val="20"/>
                <w:lang w:val="en-CA"/>
              </w:rPr>
              <w:t>Mr. Bédard sentenced to pay $50 fine, costs of statement for that fine and contribution</w:t>
            </w:r>
          </w:p>
          <w:p w:rsidR="00DC3655" w:rsidRPr="00DC3655" w:rsidRDefault="00DC3655" w:rsidP="00DC3655">
            <w:pPr>
              <w:jc w:val="both"/>
              <w:rPr>
                <w:sz w:val="20"/>
                <w:lang w:val="en-CA"/>
              </w:rPr>
            </w:pPr>
            <w:r w:rsidRPr="00DC3655">
              <w:rPr>
                <w:sz w:val="20"/>
                <w:lang w:val="en-CA"/>
              </w:rPr>
              <w:t>Mr. Bédard granted 30 days to make payment</w:t>
            </w:r>
          </w:p>
          <w:p w:rsidR="00DC3655" w:rsidRPr="00DC3655" w:rsidRDefault="00DC3655" w:rsidP="00DC3655">
            <w:pPr>
              <w:jc w:val="both"/>
              <w:rPr>
                <w:sz w:val="20"/>
                <w:lang w:val="en-CA"/>
              </w:rPr>
            </w:pPr>
          </w:p>
        </w:tc>
      </w:tr>
      <w:tr w:rsidR="00DC3655" w:rsidRPr="00DC3655" w:rsidTr="00E95A6A">
        <w:tc>
          <w:tcPr>
            <w:tcW w:w="2427" w:type="pct"/>
            <w:gridSpan w:val="2"/>
          </w:tcPr>
          <w:p w:rsidR="00DC3655" w:rsidRPr="00DC3655" w:rsidRDefault="00DC3655" w:rsidP="00DC3655">
            <w:pPr>
              <w:jc w:val="both"/>
              <w:rPr>
                <w:sz w:val="20"/>
                <w:lang w:val="en-CA"/>
              </w:rPr>
            </w:pPr>
            <w:r w:rsidRPr="00DC3655">
              <w:rPr>
                <w:sz w:val="20"/>
                <w:lang w:val="en-CA"/>
              </w:rPr>
              <w:t>July 19, 2019</w:t>
            </w:r>
          </w:p>
          <w:p w:rsidR="00DC3655" w:rsidRPr="00DC3655" w:rsidRDefault="00DC3655" w:rsidP="00DC3655">
            <w:pPr>
              <w:jc w:val="both"/>
              <w:rPr>
                <w:sz w:val="20"/>
                <w:lang w:val="en-CA"/>
              </w:rPr>
            </w:pPr>
            <w:r w:rsidRPr="00DC3655">
              <w:rPr>
                <w:sz w:val="20"/>
                <w:lang w:val="en-CA"/>
              </w:rPr>
              <w:t>Quebec Superior Court</w:t>
            </w:r>
          </w:p>
          <w:p w:rsidR="00DC3655" w:rsidRPr="00DC3655" w:rsidRDefault="00DC3655" w:rsidP="00DC3655">
            <w:pPr>
              <w:jc w:val="both"/>
              <w:rPr>
                <w:sz w:val="20"/>
                <w:lang w:val="en-CA"/>
              </w:rPr>
            </w:pPr>
            <w:r w:rsidRPr="00DC3655">
              <w:rPr>
                <w:sz w:val="20"/>
                <w:lang w:val="en-CA"/>
              </w:rPr>
              <w:t>(Huot J.)</w:t>
            </w:r>
          </w:p>
          <w:p w:rsidR="00DC3655" w:rsidRPr="00DC3655" w:rsidRDefault="00DC3655" w:rsidP="00DC3655">
            <w:pPr>
              <w:jc w:val="both"/>
              <w:rPr>
                <w:sz w:val="20"/>
                <w:lang w:val="en-CA"/>
              </w:rPr>
            </w:pPr>
            <w:hyperlink r:id="rId11" w:history="1">
              <w:r w:rsidRPr="00DC3655">
                <w:rPr>
                  <w:rStyle w:val="Hyperlink"/>
                  <w:sz w:val="20"/>
                  <w:lang w:val="en-CA"/>
                </w:rPr>
                <w:t>2018 QCCS 3237</w:t>
              </w:r>
            </w:hyperlink>
          </w:p>
          <w:p w:rsidR="00DC3655" w:rsidRPr="00DC3655" w:rsidRDefault="00DC3655" w:rsidP="00DC3655">
            <w:pPr>
              <w:jc w:val="both"/>
              <w:rPr>
                <w:sz w:val="20"/>
                <w:lang w:val="en-CA"/>
              </w:rPr>
            </w:pPr>
          </w:p>
        </w:tc>
        <w:tc>
          <w:tcPr>
            <w:tcW w:w="243" w:type="pct"/>
          </w:tcPr>
          <w:p w:rsidR="00DC3655" w:rsidRPr="00DC3655" w:rsidRDefault="00DC3655" w:rsidP="00DC3655">
            <w:pPr>
              <w:jc w:val="both"/>
              <w:rPr>
                <w:sz w:val="20"/>
                <w:lang w:val="en-CA"/>
              </w:rPr>
            </w:pPr>
          </w:p>
        </w:tc>
        <w:tc>
          <w:tcPr>
            <w:tcW w:w="2330" w:type="pct"/>
          </w:tcPr>
          <w:p w:rsidR="00DC3655" w:rsidRPr="00DC3655" w:rsidRDefault="00DC3655" w:rsidP="00DC3655">
            <w:pPr>
              <w:jc w:val="both"/>
              <w:rPr>
                <w:sz w:val="20"/>
                <w:lang w:val="en-CA"/>
              </w:rPr>
            </w:pPr>
            <w:r w:rsidRPr="00DC3655">
              <w:rPr>
                <w:sz w:val="20"/>
                <w:lang w:val="en-CA"/>
              </w:rPr>
              <w:t>Appeal allowed</w:t>
            </w:r>
          </w:p>
          <w:p w:rsidR="00DC3655" w:rsidRPr="00DC3655" w:rsidRDefault="00DC3655" w:rsidP="00DC3655">
            <w:pPr>
              <w:jc w:val="both"/>
              <w:rPr>
                <w:sz w:val="20"/>
                <w:lang w:val="en-CA"/>
              </w:rPr>
            </w:pPr>
          </w:p>
        </w:tc>
      </w:tr>
      <w:tr w:rsidR="00DC3655" w:rsidRPr="00DC3655" w:rsidTr="00E95A6A">
        <w:tc>
          <w:tcPr>
            <w:tcW w:w="2427" w:type="pct"/>
            <w:gridSpan w:val="2"/>
          </w:tcPr>
          <w:p w:rsidR="00DC3655" w:rsidRPr="00DC3655" w:rsidRDefault="00DC3655" w:rsidP="00DC3655">
            <w:pPr>
              <w:jc w:val="both"/>
              <w:rPr>
                <w:sz w:val="20"/>
                <w:lang w:val="en-CA"/>
              </w:rPr>
            </w:pPr>
            <w:r w:rsidRPr="00DC3655">
              <w:rPr>
                <w:sz w:val="20"/>
                <w:lang w:val="en-CA"/>
              </w:rPr>
              <w:t>March 4, 2021</w:t>
            </w:r>
          </w:p>
          <w:p w:rsidR="00DC3655" w:rsidRPr="00DC3655" w:rsidRDefault="00DC3655" w:rsidP="00DC3655">
            <w:pPr>
              <w:jc w:val="both"/>
              <w:rPr>
                <w:sz w:val="20"/>
                <w:lang w:val="en-CA"/>
              </w:rPr>
            </w:pPr>
            <w:r w:rsidRPr="00DC3655">
              <w:rPr>
                <w:sz w:val="20"/>
                <w:lang w:val="en-CA"/>
              </w:rPr>
              <w:t>Quebec Court of Appeal (Québec)</w:t>
            </w:r>
          </w:p>
          <w:p w:rsidR="00DC3655" w:rsidRPr="00DC3655" w:rsidRDefault="00DC3655" w:rsidP="00DC3655">
            <w:pPr>
              <w:jc w:val="both"/>
              <w:rPr>
                <w:sz w:val="20"/>
                <w:lang w:val="en-CA"/>
              </w:rPr>
            </w:pPr>
            <w:r w:rsidRPr="00DC3655">
              <w:rPr>
                <w:sz w:val="20"/>
                <w:lang w:val="en-CA"/>
              </w:rPr>
              <w:t>(Thibault, Hogue and Gagné JJ.A.)</w:t>
            </w:r>
          </w:p>
          <w:p w:rsidR="00DC3655" w:rsidRPr="00DC3655" w:rsidRDefault="00DC3655" w:rsidP="00DC3655">
            <w:pPr>
              <w:jc w:val="both"/>
              <w:rPr>
                <w:sz w:val="20"/>
                <w:lang w:val="en-CA"/>
              </w:rPr>
            </w:pPr>
            <w:hyperlink r:id="rId12" w:history="1">
              <w:r w:rsidRPr="00DC3655">
                <w:rPr>
                  <w:rStyle w:val="Hyperlink"/>
                  <w:sz w:val="20"/>
                  <w:lang w:val="en-CA"/>
                </w:rPr>
                <w:t>2021 QCCA 377</w:t>
              </w:r>
            </w:hyperlink>
          </w:p>
          <w:p w:rsidR="00DC3655" w:rsidRPr="00DC3655" w:rsidRDefault="00DC3655" w:rsidP="00DC3655">
            <w:pPr>
              <w:jc w:val="both"/>
              <w:rPr>
                <w:sz w:val="20"/>
                <w:lang w:val="en-CA"/>
              </w:rPr>
            </w:pPr>
          </w:p>
        </w:tc>
        <w:tc>
          <w:tcPr>
            <w:tcW w:w="243" w:type="pct"/>
          </w:tcPr>
          <w:p w:rsidR="00DC3655" w:rsidRPr="00DC3655" w:rsidRDefault="00DC3655" w:rsidP="00DC3655">
            <w:pPr>
              <w:jc w:val="both"/>
              <w:rPr>
                <w:sz w:val="20"/>
                <w:lang w:val="en-CA"/>
              </w:rPr>
            </w:pPr>
          </w:p>
        </w:tc>
        <w:tc>
          <w:tcPr>
            <w:tcW w:w="2330" w:type="pct"/>
          </w:tcPr>
          <w:p w:rsidR="00DC3655" w:rsidRPr="00DC3655" w:rsidRDefault="00DC3655" w:rsidP="00DC3655">
            <w:pPr>
              <w:jc w:val="both"/>
              <w:rPr>
                <w:sz w:val="20"/>
                <w:lang w:val="en-CA"/>
              </w:rPr>
            </w:pPr>
            <w:r w:rsidRPr="00DC3655">
              <w:rPr>
                <w:sz w:val="20"/>
                <w:lang w:val="en-CA"/>
              </w:rPr>
              <w:t>Appeal dismissed</w:t>
            </w:r>
          </w:p>
        </w:tc>
      </w:tr>
      <w:tr w:rsidR="00DC3655" w:rsidRPr="00DC3655" w:rsidTr="00E95A6A">
        <w:tc>
          <w:tcPr>
            <w:tcW w:w="2427" w:type="pct"/>
            <w:gridSpan w:val="2"/>
          </w:tcPr>
          <w:p w:rsidR="00DC3655" w:rsidRPr="00DC3655" w:rsidRDefault="00DC3655" w:rsidP="00DC3655">
            <w:pPr>
              <w:jc w:val="both"/>
              <w:rPr>
                <w:sz w:val="20"/>
                <w:lang w:val="en-CA"/>
              </w:rPr>
            </w:pPr>
            <w:r w:rsidRPr="00DC3655">
              <w:rPr>
                <w:sz w:val="20"/>
                <w:lang w:val="en-CA"/>
              </w:rPr>
              <w:t>May 3, 2021</w:t>
            </w:r>
          </w:p>
          <w:p w:rsidR="00DC3655" w:rsidRPr="00DC3655" w:rsidRDefault="00DC3655" w:rsidP="00DC3655">
            <w:pPr>
              <w:jc w:val="both"/>
              <w:rPr>
                <w:sz w:val="20"/>
                <w:lang w:val="en-CA"/>
              </w:rPr>
            </w:pPr>
            <w:r w:rsidRPr="00DC3655">
              <w:rPr>
                <w:sz w:val="20"/>
                <w:lang w:val="en-CA"/>
              </w:rPr>
              <w:t>Supreme Court of Canada</w:t>
            </w:r>
          </w:p>
        </w:tc>
        <w:tc>
          <w:tcPr>
            <w:tcW w:w="243" w:type="pct"/>
          </w:tcPr>
          <w:p w:rsidR="00DC3655" w:rsidRPr="00DC3655" w:rsidRDefault="00DC3655" w:rsidP="00DC3655">
            <w:pPr>
              <w:jc w:val="both"/>
              <w:rPr>
                <w:sz w:val="20"/>
                <w:lang w:val="en-CA"/>
              </w:rPr>
            </w:pPr>
          </w:p>
        </w:tc>
        <w:tc>
          <w:tcPr>
            <w:tcW w:w="2330" w:type="pct"/>
          </w:tcPr>
          <w:p w:rsidR="00DC3655" w:rsidRPr="00DC3655" w:rsidRDefault="00DC3655" w:rsidP="00DC3655">
            <w:pPr>
              <w:jc w:val="both"/>
              <w:rPr>
                <w:sz w:val="20"/>
                <w:lang w:val="en-CA"/>
              </w:rPr>
            </w:pPr>
            <w:r w:rsidRPr="00DC3655">
              <w:rPr>
                <w:sz w:val="20"/>
                <w:lang w:val="en-CA"/>
              </w:rPr>
              <w:t>Application for leave to appeal filed</w:t>
            </w:r>
          </w:p>
          <w:p w:rsidR="00DC3655" w:rsidRPr="00DC3655" w:rsidRDefault="00DC3655" w:rsidP="00DC3655">
            <w:pPr>
              <w:jc w:val="both"/>
              <w:rPr>
                <w:sz w:val="20"/>
                <w:lang w:val="en-CA"/>
              </w:rPr>
            </w:pPr>
          </w:p>
        </w:tc>
      </w:tr>
    </w:tbl>
    <w:p w:rsidR="00DC3655" w:rsidRPr="00DC3655" w:rsidRDefault="00DC3655" w:rsidP="00DC3655">
      <w:pPr>
        <w:jc w:val="both"/>
        <w:rPr>
          <w:sz w:val="20"/>
          <w:lang w:val="en-CA"/>
        </w:rPr>
      </w:pPr>
    </w:p>
    <w:p w:rsidR="00DC3655" w:rsidRPr="00DC3655" w:rsidRDefault="00DC3655" w:rsidP="00DC3655">
      <w:pPr>
        <w:jc w:val="both"/>
        <w:rPr>
          <w:sz w:val="20"/>
          <w:lang w:val="en-CA"/>
        </w:rPr>
      </w:pPr>
      <w:r w:rsidRPr="00DC3655">
        <w:rPr>
          <w:sz w:val="20"/>
        </w:rPr>
        <w:pict>
          <v:rect id="_x0000_i1028" style="width:2in;height:1pt" o:hrpct="0" o:hralign="center" o:hrstd="t" o:hrnoshade="t" o:hr="t" fillcolor="black [3213]" stroked="f"/>
        </w:pict>
      </w:r>
    </w:p>
    <w:p w:rsidR="00DC3655" w:rsidRPr="00DC3655" w:rsidRDefault="00DC3655" w:rsidP="00DC365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3655" w:rsidRPr="00DC3655" w:rsidTr="00E95A6A">
        <w:tc>
          <w:tcPr>
            <w:tcW w:w="543" w:type="pct"/>
          </w:tcPr>
          <w:p w:rsidR="00DC3655" w:rsidRPr="00DC3655" w:rsidRDefault="00DC3655" w:rsidP="00DC3655">
            <w:pPr>
              <w:jc w:val="both"/>
              <w:rPr>
                <w:sz w:val="20"/>
              </w:rPr>
            </w:pPr>
            <w:r w:rsidRPr="00DC3655">
              <w:rPr>
                <w:rStyle w:val="SCCFileNumberChar"/>
                <w:sz w:val="20"/>
                <w:szCs w:val="20"/>
              </w:rPr>
              <w:t>39656</w:t>
            </w:r>
          </w:p>
        </w:tc>
        <w:tc>
          <w:tcPr>
            <w:tcW w:w="4457" w:type="pct"/>
            <w:gridSpan w:val="3"/>
          </w:tcPr>
          <w:p w:rsidR="00DC3655" w:rsidRPr="00DC3655" w:rsidRDefault="00DC3655" w:rsidP="00DC3655">
            <w:pPr>
              <w:pStyle w:val="SCCLsocParty"/>
              <w:jc w:val="both"/>
              <w:rPr>
                <w:b/>
                <w:sz w:val="20"/>
                <w:szCs w:val="20"/>
              </w:rPr>
            </w:pPr>
            <w:r w:rsidRPr="00DC3655">
              <w:rPr>
                <w:b/>
                <w:sz w:val="20"/>
                <w:szCs w:val="20"/>
              </w:rPr>
              <w:t>Raynald Bédard c. Directeur des poursuites criminelles et pénales et Procureur général du Québec</w:t>
            </w:r>
          </w:p>
          <w:p w:rsidR="00DC3655" w:rsidRPr="00DC3655" w:rsidRDefault="00DC3655" w:rsidP="00DC3655">
            <w:pPr>
              <w:jc w:val="both"/>
              <w:rPr>
                <w:sz w:val="20"/>
              </w:rPr>
            </w:pPr>
            <w:r w:rsidRPr="00DC3655">
              <w:rPr>
                <w:sz w:val="20"/>
              </w:rPr>
              <w:t>(Qc) (Criminelle) (Autorisation)</w:t>
            </w:r>
          </w:p>
        </w:tc>
      </w:tr>
      <w:tr w:rsidR="00DC3655" w:rsidRPr="00DC3655" w:rsidTr="00E95A6A">
        <w:tc>
          <w:tcPr>
            <w:tcW w:w="5000" w:type="pct"/>
            <w:gridSpan w:val="4"/>
          </w:tcPr>
          <w:p w:rsidR="00DC3655" w:rsidRPr="00DC3655" w:rsidRDefault="00DC3655" w:rsidP="00DC3655">
            <w:pPr>
              <w:jc w:val="both"/>
              <w:rPr>
                <w:sz w:val="20"/>
                <w:lang w:val="fr-CA"/>
              </w:rPr>
            </w:pPr>
            <w:r w:rsidRPr="00DC3655">
              <w:rPr>
                <w:i/>
                <w:sz w:val="20"/>
                <w:lang w:val="fr-CA"/>
              </w:rPr>
              <w:t>Charte des droits</w:t>
            </w:r>
            <w:r w:rsidRPr="00DC3655">
              <w:rPr>
                <w:sz w:val="20"/>
                <w:lang w:val="fr-CA"/>
              </w:rPr>
              <w:t xml:space="preserve"> </w:t>
            </w:r>
            <w:r w:rsidRPr="00DC3655">
              <w:rPr>
                <w:sz w:val="20"/>
              </w:rPr>
              <w:t>⸺</w:t>
            </w:r>
            <w:r w:rsidRPr="00DC3655">
              <w:rPr>
                <w:sz w:val="20"/>
                <w:lang w:val="fr-CA"/>
              </w:rPr>
              <w:t xml:space="preserve"> Traitements ou peines cruels et inusités </w:t>
            </w:r>
            <w:r w:rsidRPr="00DC3655">
              <w:rPr>
                <w:sz w:val="20"/>
              </w:rPr>
              <w:t>⸺</w:t>
            </w:r>
            <w:r w:rsidRPr="00DC3655">
              <w:rPr>
                <w:sz w:val="20"/>
                <w:lang w:val="fr-CA"/>
              </w:rPr>
              <w:t xml:space="preserve"> Infraction réglementaire </w:t>
            </w:r>
            <w:r w:rsidRPr="00DC3655">
              <w:rPr>
                <w:sz w:val="20"/>
              </w:rPr>
              <w:t>⸺</w:t>
            </w:r>
            <w:r w:rsidRPr="00DC3655">
              <w:rPr>
                <w:sz w:val="20"/>
                <w:lang w:val="fr-CA"/>
              </w:rPr>
              <w:t xml:space="preserve"> Amende minimale obligatoire prévue à une loi provinciale réglementant le secteur de la construction </w:t>
            </w:r>
            <w:r w:rsidRPr="00DC3655">
              <w:rPr>
                <w:sz w:val="20"/>
              </w:rPr>
              <w:t>⸺</w:t>
            </w:r>
            <w:r w:rsidRPr="00DC3655">
              <w:rPr>
                <w:sz w:val="20"/>
                <w:lang w:val="fr-CA"/>
              </w:rPr>
              <w:t xml:space="preserve"> Les peines découlant d’un régime pénal réglementaire sont</w:t>
            </w:r>
            <w:r w:rsidRPr="00DC3655">
              <w:rPr>
                <w:sz w:val="20"/>
                <w:lang w:val="fr-CA"/>
              </w:rPr>
              <w:noBreakHyphen/>
              <w:t xml:space="preserve">elles exclues de la protection contre toutes « peines cruelles et inusitées » de l’art. 12 de la </w:t>
            </w:r>
            <w:r w:rsidRPr="00DC3655">
              <w:rPr>
                <w:i/>
                <w:sz w:val="20"/>
                <w:lang w:val="fr-CA"/>
              </w:rPr>
              <w:t>Charte canadienne des droits et libertés</w:t>
            </w:r>
            <w:r w:rsidRPr="00DC3655">
              <w:rPr>
                <w:sz w:val="20"/>
                <w:lang w:val="fr-CA"/>
              </w:rPr>
              <w:t xml:space="preserve">? </w:t>
            </w:r>
            <w:r w:rsidRPr="00DC3655">
              <w:rPr>
                <w:sz w:val="20"/>
              </w:rPr>
              <w:t>⸺</w:t>
            </w:r>
            <w:r w:rsidRPr="00DC3655">
              <w:rPr>
                <w:sz w:val="20"/>
                <w:lang w:val="fr-CA"/>
              </w:rPr>
              <w:t xml:space="preserve"> L’amende minimale obligatoire prévue à l’art. 197.1 de la </w:t>
            </w:r>
            <w:r w:rsidRPr="00DC3655">
              <w:rPr>
                <w:i/>
                <w:sz w:val="20"/>
                <w:lang w:val="fr-CA"/>
              </w:rPr>
              <w:t>Loi sur le bâtiment</w:t>
            </w:r>
            <w:r w:rsidRPr="00DC3655">
              <w:rPr>
                <w:sz w:val="20"/>
                <w:lang w:val="fr-CA"/>
              </w:rPr>
              <w:t xml:space="preserve"> imposée à une personne physique contrevient-elle à l’art. 12 de la </w:t>
            </w:r>
            <w:r w:rsidRPr="00DC3655">
              <w:rPr>
                <w:i/>
                <w:sz w:val="20"/>
                <w:lang w:val="fr-CA"/>
              </w:rPr>
              <w:t>Charte canadienne des droits et libertés</w:t>
            </w:r>
            <w:r w:rsidRPr="00DC3655">
              <w:rPr>
                <w:sz w:val="20"/>
                <w:lang w:val="fr-CA"/>
              </w:rPr>
              <w:t xml:space="preserve">? </w:t>
            </w:r>
            <w:r w:rsidRPr="00DC3655">
              <w:rPr>
                <w:sz w:val="20"/>
              </w:rPr>
              <w:t>⸺</w:t>
            </w:r>
            <w:r w:rsidRPr="00DC3655">
              <w:rPr>
                <w:sz w:val="20"/>
                <w:lang w:val="fr-CA"/>
              </w:rPr>
              <w:t xml:space="preserve"> </w:t>
            </w:r>
            <w:r w:rsidRPr="00DC3655">
              <w:rPr>
                <w:i/>
                <w:sz w:val="20"/>
                <w:lang w:val="fr-CA"/>
              </w:rPr>
              <w:t>Charte canadienne des droits et libertés</w:t>
            </w:r>
            <w:r w:rsidRPr="00DC3655">
              <w:rPr>
                <w:sz w:val="20"/>
                <w:lang w:val="fr-CA"/>
              </w:rPr>
              <w:t xml:space="preserve">, art. 12 — </w:t>
            </w:r>
            <w:r w:rsidRPr="00DC3655">
              <w:rPr>
                <w:i/>
                <w:sz w:val="20"/>
                <w:lang w:val="fr-CA"/>
              </w:rPr>
              <w:t>Loi sur le bâtiment</w:t>
            </w:r>
            <w:r w:rsidRPr="00DC3655">
              <w:rPr>
                <w:sz w:val="20"/>
                <w:lang w:val="fr-CA"/>
              </w:rPr>
              <w:t>, RLRQ c B</w:t>
            </w:r>
            <w:r w:rsidRPr="00DC3655">
              <w:rPr>
                <w:sz w:val="20"/>
                <w:lang w:val="fr-CA"/>
              </w:rPr>
              <w:noBreakHyphen/>
              <w:t>1.1, art. 46, 197.1.</w:t>
            </w:r>
          </w:p>
        </w:tc>
      </w:tr>
      <w:tr w:rsidR="00DC3655" w:rsidRPr="00DC3655" w:rsidTr="00E95A6A">
        <w:tc>
          <w:tcPr>
            <w:tcW w:w="5000" w:type="pct"/>
            <w:gridSpan w:val="4"/>
          </w:tcPr>
          <w:p w:rsidR="00DC3655" w:rsidRPr="00DC3655" w:rsidRDefault="00DC3655" w:rsidP="00DC3655">
            <w:pPr>
              <w:jc w:val="both"/>
              <w:rPr>
                <w:sz w:val="20"/>
                <w:lang w:val="fr-CA"/>
              </w:rPr>
            </w:pPr>
          </w:p>
        </w:tc>
      </w:tr>
      <w:tr w:rsidR="00DC3655" w:rsidRPr="00DC3655" w:rsidTr="00E95A6A">
        <w:tc>
          <w:tcPr>
            <w:tcW w:w="5000" w:type="pct"/>
            <w:gridSpan w:val="4"/>
          </w:tcPr>
          <w:p w:rsidR="00DC3655" w:rsidRPr="00DC3655" w:rsidRDefault="00DC3655" w:rsidP="00DC3655">
            <w:pPr>
              <w:jc w:val="both"/>
              <w:rPr>
                <w:sz w:val="20"/>
                <w:lang w:val="fr-CA"/>
              </w:rPr>
            </w:pPr>
            <w:r w:rsidRPr="00DC3655">
              <w:rPr>
                <w:sz w:val="20"/>
                <w:lang w:val="fr-CA"/>
              </w:rPr>
              <w:t xml:space="preserve">Le demandeur, M. Raynald Bédard a mis sur pieds une entreprise de gestion de projets sous le nom de « Solutions Gestion Design ». Les services offerts comprennent, notamment, la direction et la supervision de travaux de construction, l’élaboration de plans et devis et l’engagement de professionnels; aucun travail de construction n’est effectué par M. Bédard ou sa compagnie. En 2013, les services de Solutions Gestion Design sont retenus par un couple afin d’aménager une salle de bain dans leur résidence. Lors des travaux, M. Bédard et le professionnel engagé constatent que les emplacements du drain et de la douche ne correspondent pas à ceux sur les plans d’assemblage du fabricant. Comme le professionnel engagé n’avait pas les outils nécessaires pour rectifier la situation, M. Bédard a pris l’initiative de louer l’équipement de démolition afin de résoudre la situation. Toutefois, suite à cette décision, la relation entre M. Bédard et ses clients s’est détériorée au point d’entraîner la résiliation de l’entente de services. Quelque temps après la fin de cette entente, M. Bédard a reçu un constat d’infraction en vertu de l’article 46 de la </w:t>
            </w:r>
            <w:r w:rsidRPr="00DC3655">
              <w:rPr>
                <w:i/>
                <w:sz w:val="20"/>
                <w:lang w:val="fr-CA"/>
              </w:rPr>
              <w:t>Loi sur le bâtiment</w:t>
            </w:r>
            <w:r w:rsidRPr="00DC3655">
              <w:rPr>
                <w:sz w:val="20"/>
                <w:lang w:val="fr-CA"/>
              </w:rPr>
              <w:t>, RLRQ c B</w:t>
            </w:r>
            <w:r w:rsidRPr="00DC3655">
              <w:rPr>
                <w:sz w:val="20"/>
                <w:lang w:val="fr-CA"/>
              </w:rPr>
              <w:noBreakHyphen/>
              <w:t>1.1 pour avoir « exercé les fonctions d’entrepreneur en construction en exécutant ou en faisant exécuter des travaux de construction sans être titulaire d’une licence en vigueur à cette fin ». En 2016, il est déclaré coupable de cette infraction. Toutefois, comme suite au dépôt d’un avis d’intention ré</w:t>
            </w:r>
            <w:r w:rsidRPr="00DC3655">
              <w:rPr>
                <w:sz w:val="20"/>
                <w:lang w:val="fr-CA"/>
              </w:rPr>
              <w:noBreakHyphen/>
              <w:t>ré</w:t>
            </w:r>
            <w:r w:rsidRPr="00DC3655">
              <w:rPr>
                <w:sz w:val="20"/>
                <w:lang w:val="fr-CA"/>
              </w:rPr>
              <w:noBreakHyphen/>
              <w:t xml:space="preserve">amendée en vertu de l’art. 76 du </w:t>
            </w:r>
            <w:r w:rsidRPr="00DC3655">
              <w:rPr>
                <w:i/>
                <w:sz w:val="20"/>
                <w:lang w:val="fr-CA"/>
              </w:rPr>
              <w:t>Code de procédure civile</w:t>
            </w:r>
            <w:r w:rsidRPr="00DC3655">
              <w:rPr>
                <w:sz w:val="20"/>
                <w:lang w:val="fr-CA"/>
              </w:rPr>
              <w:t>, RLRQ c. C</w:t>
            </w:r>
            <w:r w:rsidRPr="00DC3655">
              <w:rPr>
                <w:sz w:val="20"/>
                <w:lang w:val="fr-CA"/>
              </w:rPr>
              <w:noBreakHyphen/>
              <w:t xml:space="preserve">25.01 dans lequel M. Bédard demandait notamment au tribunal de déclarer inconstitutionnelle la peine prévue à l’art. 197.1 de la </w:t>
            </w:r>
            <w:r w:rsidRPr="00DC3655">
              <w:rPr>
                <w:i/>
                <w:sz w:val="20"/>
                <w:lang w:val="fr-CA"/>
              </w:rPr>
              <w:t>Loi sur le bâtiment</w:t>
            </w:r>
            <w:r w:rsidRPr="00DC3655">
              <w:rPr>
                <w:sz w:val="20"/>
                <w:lang w:val="fr-CA"/>
              </w:rPr>
              <w:t>, la Cour du Québec a déclaré inopérante à l’égard de M. Bédard la peine minimale obligatoire de 10 841 $ prévue à l’art. 197.1 et l’a condamné au paiement d’une amende de 50$. La Cour supérieure a accueilli l’appel et la Cour d’appel a rejeté l’appel.</w:t>
            </w:r>
          </w:p>
          <w:p w:rsidR="00DC3655" w:rsidRPr="00DC3655" w:rsidRDefault="00DC3655" w:rsidP="00DC3655">
            <w:pPr>
              <w:jc w:val="both"/>
              <w:rPr>
                <w:sz w:val="20"/>
                <w:lang w:val="fr-CA"/>
              </w:rPr>
            </w:pP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Le 4 juillet 2017</w:t>
            </w:r>
          </w:p>
          <w:p w:rsidR="00DC3655" w:rsidRPr="00DC3655" w:rsidRDefault="00DC3655" w:rsidP="00DC3655">
            <w:pPr>
              <w:jc w:val="both"/>
              <w:rPr>
                <w:sz w:val="20"/>
                <w:lang w:val="fr-CA"/>
              </w:rPr>
            </w:pPr>
            <w:r w:rsidRPr="00DC3655">
              <w:rPr>
                <w:sz w:val="20"/>
                <w:lang w:val="fr-CA"/>
              </w:rPr>
              <w:t>Cour du Québec</w:t>
            </w:r>
          </w:p>
          <w:p w:rsidR="00DC3655" w:rsidRPr="00DC3655" w:rsidRDefault="00DC3655" w:rsidP="00DC3655">
            <w:pPr>
              <w:jc w:val="both"/>
              <w:rPr>
                <w:sz w:val="20"/>
                <w:lang w:val="fr-CA"/>
              </w:rPr>
            </w:pPr>
            <w:r w:rsidRPr="00DC3655">
              <w:rPr>
                <w:sz w:val="20"/>
                <w:lang w:val="fr-CA"/>
              </w:rPr>
              <w:t>(La juge de paix magistrat Sylvie Marcotte)</w:t>
            </w:r>
          </w:p>
          <w:p w:rsidR="00DC3655" w:rsidRPr="00DC3655" w:rsidRDefault="00DC3655" w:rsidP="00DC3655">
            <w:pPr>
              <w:jc w:val="both"/>
              <w:rPr>
                <w:sz w:val="20"/>
              </w:rPr>
            </w:pPr>
            <w:hyperlink r:id="rId13" w:history="1">
              <w:r w:rsidRPr="00DC3655">
                <w:rPr>
                  <w:rStyle w:val="Hyperlink"/>
                  <w:sz w:val="20"/>
                </w:rPr>
                <w:t>2017 QCCQ 7437</w:t>
              </w:r>
            </w:hyperlink>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lang w:val="fr-CA"/>
              </w:rPr>
            </w:pPr>
            <w:r w:rsidRPr="00DC3655">
              <w:rPr>
                <w:sz w:val="20"/>
                <w:lang w:val="fr-CA"/>
              </w:rPr>
              <w:t xml:space="preserve">Peine minimale obligatoire de 10 841 $ prévue à l’art. 197.1 de la </w:t>
            </w:r>
            <w:r w:rsidRPr="00DC3655">
              <w:rPr>
                <w:i/>
                <w:sz w:val="20"/>
                <w:lang w:val="fr-CA"/>
              </w:rPr>
              <w:t>Loi sur le bâtiment</w:t>
            </w:r>
            <w:r w:rsidRPr="00DC3655">
              <w:rPr>
                <w:sz w:val="20"/>
                <w:lang w:val="fr-CA"/>
              </w:rPr>
              <w:t>, RLRQ, c. B</w:t>
            </w:r>
            <w:r w:rsidRPr="00DC3655">
              <w:rPr>
                <w:sz w:val="20"/>
                <w:lang w:val="fr-CA"/>
              </w:rPr>
              <w:noBreakHyphen/>
              <w:t xml:space="preserve">1.1 déclarée inopérante à l’endroit de M. Raynald Bédard. </w:t>
            </w:r>
          </w:p>
          <w:p w:rsidR="00DC3655" w:rsidRPr="00DC3655" w:rsidRDefault="00DC3655" w:rsidP="00DC3655">
            <w:pPr>
              <w:jc w:val="both"/>
              <w:rPr>
                <w:sz w:val="20"/>
                <w:lang w:val="fr-CA"/>
              </w:rPr>
            </w:pPr>
            <w:r w:rsidRPr="00DC3655">
              <w:rPr>
                <w:sz w:val="20"/>
                <w:lang w:val="fr-CA"/>
              </w:rPr>
              <w:t>M. Bédard condamné à payer une amende de 50$, frais de constat pour cette amende et la contribution.</w:t>
            </w:r>
          </w:p>
          <w:p w:rsidR="00DC3655" w:rsidRPr="00DC3655" w:rsidRDefault="00DC3655" w:rsidP="00DC3655">
            <w:pPr>
              <w:jc w:val="both"/>
              <w:rPr>
                <w:sz w:val="20"/>
                <w:lang w:val="fr-CA"/>
              </w:rPr>
            </w:pPr>
            <w:r w:rsidRPr="00DC3655">
              <w:rPr>
                <w:sz w:val="20"/>
                <w:lang w:val="fr-CA"/>
              </w:rPr>
              <w:t xml:space="preserve">Délai de 30 jours accordé à M. Bédard pour le paiement. </w:t>
            </w:r>
          </w:p>
          <w:p w:rsidR="00DC3655" w:rsidRPr="00DC3655" w:rsidRDefault="00DC3655" w:rsidP="00DC3655">
            <w:pPr>
              <w:jc w:val="both"/>
              <w:rPr>
                <w:sz w:val="20"/>
                <w:lang w:val="fr-CA"/>
              </w:rPr>
            </w:pP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Le 19 juillet 2019</w:t>
            </w:r>
          </w:p>
          <w:p w:rsidR="00DC3655" w:rsidRPr="00DC3655" w:rsidRDefault="00DC3655" w:rsidP="00DC3655">
            <w:pPr>
              <w:jc w:val="both"/>
              <w:rPr>
                <w:sz w:val="20"/>
                <w:lang w:val="fr-CA"/>
              </w:rPr>
            </w:pPr>
            <w:r w:rsidRPr="00DC3655">
              <w:rPr>
                <w:sz w:val="20"/>
                <w:lang w:val="fr-CA"/>
              </w:rPr>
              <w:t>Cour supérieure du Québec</w:t>
            </w:r>
          </w:p>
          <w:p w:rsidR="00DC3655" w:rsidRPr="00DC3655" w:rsidRDefault="00DC3655" w:rsidP="00DC3655">
            <w:pPr>
              <w:jc w:val="both"/>
              <w:rPr>
                <w:sz w:val="20"/>
              </w:rPr>
            </w:pPr>
            <w:r w:rsidRPr="00DC3655">
              <w:rPr>
                <w:sz w:val="20"/>
              </w:rPr>
              <w:t>(Le juge Huot)</w:t>
            </w:r>
          </w:p>
          <w:p w:rsidR="00DC3655" w:rsidRPr="00DC3655" w:rsidRDefault="00DC3655" w:rsidP="00DC3655">
            <w:pPr>
              <w:jc w:val="both"/>
              <w:rPr>
                <w:sz w:val="20"/>
              </w:rPr>
            </w:pPr>
            <w:hyperlink r:id="rId14" w:history="1">
              <w:r w:rsidRPr="00DC3655">
                <w:rPr>
                  <w:rStyle w:val="Hyperlink"/>
                  <w:sz w:val="20"/>
                </w:rPr>
                <w:t>2018 QCCS 3237</w:t>
              </w:r>
            </w:hyperlink>
          </w:p>
          <w:p w:rsidR="00DC3655" w:rsidRPr="00DC3655" w:rsidRDefault="00DC3655" w:rsidP="00DC3655">
            <w:pPr>
              <w:jc w:val="both"/>
              <w:rPr>
                <w:sz w:val="20"/>
              </w:rPr>
            </w:pPr>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rPr>
            </w:pPr>
            <w:r w:rsidRPr="00DC3655">
              <w:rPr>
                <w:sz w:val="20"/>
              </w:rPr>
              <w:t>Appel accueilli.</w:t>
            </w:r>
          </w:p>
          <w:p w:rsidR="00DC3655" w:rsidRPr="00DC3655" w:rsidRDefault="00DC3655" w:rsidP="00DC3655">
            <w:pPr>
              <w:jc w:val="both"/>
              <w:rPr>
                <w:sz w:val="20"/>
              </w:rPr>
            </w:pP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Le 4 mars 2021</w:t>
            </w:r>
          </w:p>
          <w:p w:rsidR="00DC3655" w:rsidRPr="00DC3655" w:rsidRDefault="00DC3655" w:rsidP="00DC3655">
            <w:pPr>
              <w:jc w:val="both"/>
              <w:rPr>
                <w:sz w:val="20"/>
                <w:lang w:val="fr-CA"/>
              </w:rPr>
            </w:pPr>
            <w:r w:rsidRPr="00DC3655">
              <w:rPr>
                <w:sz w:val="20"/>
                <w:lang w:val="fr-CA"/>
              </w:rPr>
              <w:t>Cour d’appel du Québec (Québec)</w:t>
            </w:r>
          </w:p>
          <w:p w:rsidR="00DC3655" w:rsidRPr="00DC3655" w:rsidRDefault="00DC3655" w:rsidP="00DC3655">
            <w:pPr>
              <w:jc w:val="both"/>
              <w:rPr>
                <w:sz w:val="20"/>
                <w:lang w:val="fr-CA"/>
              </w:rPr>
            </w:pPr>
            <w:r w:rsidRPr="00DC3655">
              <w:rPr>
                <w:sz w:val="20"/>
                <w:lang w:val="fr-CA"/>
              </w:rPr>
              <w:t>(Les juges Thibault, Hogue et Gagné)</w:t>
            </w:r>
          </w:p>
          <w:p w:rsidR="00DC3655" w:rsidRPr="00DC3655" w:rsidRDefault="00DC3655" w:rsidP="00DC3655">
            <w:pPr>
              <w:jc w:val="both"/>
              <w:rPr>
                <w:sz w:val="20"/>
              </w:rPr>
            </w:pPr>
            <w:hyperlink r:id="rId15" w:history="1">
              <w:r w:rsidRPr="00DC3655">
                <w:rPr>
                  <w:rStyle w:val="Hyperlink"/>
                  <w:sz w:val="20"/>
                </w:rPr>
                <w:t>2021 QCCA 377</w:t>
              </w:r>
            </w:hyperlink>
          </w:p>
          <w:p w:rsidR="00DC3655" w:rsidRPr="00DC3655" w:rsidRDefault="00DC3655" w:rsidP="00DC3655">
            <w:pPr>
              <w:jc w:val="both"/>
              <w:rPr>
                <w:sz w:val="20"/>
              </w:rPr>
            </w:pPr>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rPr>
            </w:pPr>
            <w:r w:rsidRPr="00DC3655">
              <w:rPr>
                <w:sz w:val="20"/>
              </w:rPr>
              <w:t>Appel rejeté.</w:t>
            </w:r>
          </w:p>
          <w:p w:rsidR="00DC3655" w:rsidRPr="00DC3655" w:rsidRDefault="00DC3655" w:rsidP="00DC3655">
            <w:pPr>
              <w:jc w:val="both"/>
              <w:rPr>
                <w:sz w:val="20"/>
              </w:rPr>
            </w:pP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Le 3 mai 2021</w:t>
            </w:r>
          </w:p>
          <w:p w:rsidR="00DC3655" w:rsidRPr="00DC3655" w:rsidRDefault="00DC3655" w:rsidP="00DC3655">
            <w:pPr>
              <w:jc w:val="both"/>
              <w:rPr>
                <w:sz w:val="20"/>
                <w:lang w:val="fr-CA"/>
              </w:rPr>
            </w:pPr>
            <w:r w:rsidRPr="00DC3655">
              <w:rPr>
                <w:sz w:val="20"/>
                <w:lang w:val="fr-CA"/>
              </w:rPr>
              <w:t>Cour suprême du Canada</w:t>
            </w:r>
          </w:p>
        </w:tc>
        <w:tc>
          <w:tcPr>
            <w:tcW w:w="243" w:type="pct"/>
          </w:tcPr>
          <w:p w:rsidR="00DC3655" w:rsidRPr="00DC3655" w:rsidRDefault="00DC3655" w:rsidP="00DC3655">
            <w:pPr>
              <w:jc w:val="both"/>
              <w:rPr>
                <w:sz w:val="20"/>
                <w:lang w:val="fr-CA"/>
              </w:rPr>
            </w:pPr>
          </w:p>
        </w:tc>
        <w:tc>
          <w:tcPr>
            <w:tcW w:w="2330" w:type="pct"/>
          </w:tcPr>
          <w:p w:rsidR="00DC3655" w:rsidRPr="00DC3655" w:rsidRDefault="00DC3655" w:rsidP="00DC3655">
            <w:pPr>
              <w:jc w:val="both"/>
              <w:rPr>
                <w:sz w:val="20"/>
              </w:rPr>
            </w:pPr>
            <w:r w:rsidRPr="00DC3655">
              <w:rPr>
                <w:sz w:val="20"/>
              </w:rPr>
              <w:t>Demande d'autorisation d'appel déposée</w:t>
            </w:r>
          </w:p>
          <w:p w:rsidR="00DC3655" w:rsidRPr="00DC3655" w:rsidRDefault="00DC3655" w:rsidP="00DC3655">
            <w:pPr>
              <w:jc w:val="both"/>
              <w:rPr>
                <w:sz w:val="20"/>
              </w:rPr>
            </w:pPr>
          </w:p>
        </w:tc>
      </w:tr>
    </w:tbl>
    <w:p w:rsidR="00DC3655" w:rsidRPr="00DC3655" w:rsidRDefault="00DC3655" w:rsidP="00DC3655">
      <w:pPr>
        <w:jc w:val="both"/>
        <w:rPr>
          <w:sz w:val="20"/>
        </w:rPr>
      </w:pPr>
    </w:p>
    <w:p w:rsidR="00DC3655" w:rsidRPr="00DC3655" w:rsidRDefault="00DC3655" w:rsidP="00DC3655">
      <w:pPr>
        <w:jc w:val="both"/>
        <w:rPr>
          <w:sz w:val="20"/>
        </w:rPr>
      </w:pPr>
      <w:r w:rsidRPr="00DC3655">
        <w:rPr>
          <w:sz w:val="20"/>
        </w:rPr>
        <w:pict>
          <v:rect id="_x0000_i1029" style="width:2in;height:1pt" o:hrpct="0" o:hralign="center" o:hrstd="t" o:hrnoshade="t" o:hr="t" fillcolor="black [3213]" stroked="f"/>
        </w:pict>
      </w:r>
    </w:p>
    <w:p w:rsidR="00C833AB" w:rsidRPr="00DC3655" w:rsidRDefault="00C833AB" w:rsidP="00DC3655">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3655" w:rsidRPr="00DC3655" w:rsidTr="00E95A6A">
        <w:tc>
          <w:tcPr>
            <w:tcW w:w="543" w:type="pct"/>
          </w:tcPr>
          <w:p w:rsidR="00DC3655" w:rsidRPr="00DC3655" w:rsidRDefault="00DC3655" w:rsidP="00DC3655">
            <w:pPr>
              <w:jc w:val="both"/>
              <w:rPr>
                <w:sz w:val="20"/>
              </w:rPr>
            </w:pPr>
            <w:r w:rsidRPr="00DC3655">
              <w:rPr>
                <w:rStyle w:val="SCCFileNumberChar"/>
                <w:sz w:val="20"/>
                <w:szCs w:val="20"/>
              </w:rPr>
              <w:t>39681</w:t>
            </w:r>
          </w:p>
        </w:tc>
        <w:tc>
          <w:tcPr>
            <w:tcW w:w="4457" w:type="pct"/>
            <w:gridSpan w:val="3"/>
          </w:tcPr>
          <w:p w:rsidR="00DC3655" w:rsidRPr="00DC3655" w:rsidRDefault="00DC3655" w:rsidP="00DC3655">
            <w:pPr>
              <w:pStyle w:val="SCCLsocParty"/>
              <w:jc w:val="both"/>
              <w:rPr>
                <w:b/>
                <w:sz w:val="20"/>
                <w:szCs w:val="20"/>
                <w:lang w:val="en-US"/>
              </w:rPr>
            </w:pPr>
            <w:r w:rsidRPr="00DC3655">
              <w:rPr>
                <w:b/>
                <w:sz w:val="20"/>
                <w:szCs w:val="20"/>
                <w:lang w:val="en-US"/>
              </w:rPr>
              <w:t>Robert James Tyndall v. Attorney General of Canada on Behalf of the United States of America</w:t>
            </w:r>
          </w:p>
          <w:p w:rsidR="00DC3655" w:rsidRPr="00DC3655" w:rsidRDefault="00DC3655" w:rsidP="00DC3655">
            <w:pPr>
              <w:pStyle w:val="SCCLsocSubfileSeparator"/>
              <w:rPr>
                <w:sz w:val="20"/>
                <w:szCs w:val="20"/>
              </w:rPr>
            </w:pPr>
            <w:r w:rsidRPr="00DC3655">
              <w:rPr>
                <w:sz w:val="20"/>
                <w:szCs w:val="20"/>
              </w:rPr>
              <w:t>- and between -</w:t>
            </w:r>
          </w:p>
          <w:p w:rsidR="00DC3655" w:rsidRPr="00DC3655" w:rsidRDefault="00DC3655" w:rsidP="00DC3655">
            <w:pPr>
              <w:pStyle w:val="SCCLsocParty"/>
              <w:jc w:val="both"/>
              <w:rPr>
                <w:b/>
                <w:sz w:val="20"/>
                <w:szCs w:val="20"/>
                <w:lang w:val="en-US"/>
              </w:rPr>
            </w:pPr>
            <w:r w:rsidRPr="00DC3655">
              <w:rPr>
                <w:b/>
                <w:sz w:val="20"/>
                <w:szCs w:val="20"/>
                <w:lang w:val="en-US"/>
              </w:rPr>
              <w:t>Robert James Tyndall v. Canada (Minister of Justice)</w:t>
            </w:r>
          </w:p>
          <w:p w:rsidR="00DC3655" w:rsidRPr="00DC3655" w:rsidRDefault="00DC3655" w:rsidP="00DC3655">
            <w:pPr>
              <w:jc w:val="both"/>
              <w:rPr>
                <w:sz w:val="20"/>
              </w:rPr>
            </w:pPr>
            <w:r w:rsidRPr="00DC3655">
              <w:rPr>
                <w:sz w:val="20"/>
              </w:rPr>
              <w:t>(Alta.) (Criminal) (By Leave)</w:t>
            </w:r>
          </w:p>
        </w:tc>
      </w:tr>
      <w:tr w:rsidR="00DC3655" w:rsidRPr="00DC3655" w:rsidTr="00E95A6A">
        <w:tc>
          <w:tcPr>
            <w:tcW w:w="5000" w:type="pct"/>
            <w:gridSpan w:val="4"/>
          </w:tcPr>
          <w:p w:rsidR="00DC3655" w:rsidRPr="00DC3655" w:rsidRDefault="00DC3655" w:rsidP="00DC3655">
            <w:pPr>
              <w:pStyle w:val="SCCBanSummary"/>
              <w:rPr>
                <w:sz w:val="20"/>
                <w:szCs w:val="20"/>
              </w:rPr>
            </w:pPr>
            <w:r w:rsidRPr="00DC3655">
              <w:rPr>
                <w:sz w:val="20"/>
                <w:szCs w:val="20"/>
              </w:rPr>
              <w:t>(Publication ban in case)</w:t>
            </w:r>
          </w:p>
          <w:p w:rsidR="00DC3655" w:rsidRPr="00DC3655" w:rsidRDefault="00DC3655" w:rsidP="00DC3655">
            <w:pPr>
              <w:jc w:val="both"/>
              <w:rPr>
                <w:sz w:val="20"/>
              </w:rPr>
            </w:pPr>
          </w:p>
        </w:tc>
      </w:tr>
      <w:tr w:rsidR="00DC3655" w:rsidRPr="00DC3655" w:rsidTr="00E95A6A">
        <w:tc>
          <w:tcPr>
            <w:tcW w:w="5000" w:type="pct"/>
            <w:gridSpan w:val="4"/>
          </w:tcPr>
          <w:p w:rsidR="00DC3655" w:rsidRPr="00DC3655" w:rsidRDefault="00DC3655" w:rsidP="00DC3655">
            <w:pPr>
              <w:jc w:val="both"/>
              <w:rPr>
                <w:sz w:val="20"/>
              </w:rPr>
            </w:pPr>
            <w:r w:rsidRPr="00DC3655">
              <w:rPr>
                <w:sz w:val="20"/>
              </w:rPr>
              <w:t>Extradition — Defences — Double jeopardy — Abuse of process — Where a criminal case resolution includes admission of additional facts as aggravating circumstances on sentencing, will principles of double jeopardy bar any subsequent attempt by the state to re-punish the accused on the basis of that evidence — Is it an abuse of process for the Crown to seek an order of committal where the principles of fundamental justice such as double jeopardy would prohibit the pursuit of a comparable prosecution in Canada?</w:t>
            </w:r>
          </w:p>
          <w:p w:rsidR="00DC3655" w:rsidRPr="00DC3655" w:rsidRDefault="00DC3655" w:rsidP="00DC3655">
            <w:pPr>
              <w:jc w:val="both"/>
              <w:rPr>
                <w:sz w:val="20"/>
              </w:rPr>
            </w:pPr>
          </w:p>
        </w:tc>
      </w:tr>
      <w:tr w:rsidR="00DC3655" w:rsidRPr="00DC3655" w:rsidTr="00E95A6A">
        <w:tc>
          <w:tcPr>
            <w:tcW w:w="5000" w:type="pct"/>
            <w:gridSpan w:val="4"/>
          </w:tcPr>
          <w:p w:rsidR="00DC3655" w:rsidRPr="00DC3655" w:rsidRDefault="00DC3655" w:rsidP="00DC3655">
            <w:pPr>
              <w:widowControl w:val="0"/>
              <w:tabs>
                <w:tab w:val="right" w:pos="1080"/>
                <w:tab w:val="left" w:pos="1512"/>
              </w:tabs>
              <w:kinsoku w:val="0"/>
              <w:overflowPunct w:val="0"/>
              <w:jc w:val="both"/>
              <w:textAlignment w:val="baseline"/>
              <w:rPr>
                <w:sz w:val="20"/>
              </w:rPr>
            </w:pPr>
            <w:r w:rsidRPr="00DC3655">
              <w:rPr>
                <w:sz w:val="20"/>
              </w:rPr>
              <w:t>Mr. Tyndall pleaded guilty to possession of child pornography and communicating for the purpose of facilitating the commission of an offence with persons under 16 years of age between March 29, 2013 and July 1, 2013. The United States seeks his extradition to face trial in Pennsylvania on a charge of coercing and enticing a minor between August 12, 2012 and July 13, 2013. The extradition judge ordered committal. The Minister of Justice ordered unconditional surrender. The Court of Appeal dismissed an application for judicial review of the surrender order and an appeal from the committal order.</w:t>
            </w:r>
          </w:p>
        </w:tc>
      </w:tr>
      <w:tr w:rsidR="00DC3655" w:rsidRPr="00DC3655" w:rsidTr="00E95A6A">
        <w:tc>
          <w:tcPr>
            <w:tcW w:w="5000" w:type="pct"/>
            <w:gridSpan w:val="4"/>
          </w:tcPr>
          <w:p w:rsidR="00DC3655" w:rsidRPr="00DC3655" w:rsidRDefault="00DC3655" w:rsidP="00DC3655">
            <w:pPr>
              <w:jc w:val="both"/>
              <w:rPr>
                <w:sz w:val="20"/>
              </w:rPr>
            </w:pPr>
          </w:p>
        </w:tc>
      </w:tr>
      <w:tr w:rsidR="00DC3655" w:rsidRPr="00DC3655" w:rsidTr="00E95A6A">
        <w:tc>
          <w:tcPr>
            <w:tcW w:w="2427" w:type="pct"/>
            <w:gridSpan w:val="2"/>
          </w:tcPr>
          <w:p w:rsidR="00DC3655" w:rsidRPr="00DC3655" w:rsidRDefault="00DC3655" w:rsidP="00DC3655">
            <w:pPr>
              <w:jc w:val="both"/>
              <w:rPr>
                <w:sz w:val="20"/>
              </w:rPr>
            </w:pPr>
            <w:r w:rsidRPr="00DC3655">
              <w:rPr>
                <w:sz w:val="20"/>
              </w:rPr>
              <w:t>July 25, 2019</w:t>
            </w:r>
          </w:p>
          <w:p w:rsidR="00DC3655" w:rsidRPr="00DC3655" w:rsidRDefault="00DC3655" w:rsidP="00DC3655">
            <w:pPr>
              <w:jc w:val="both"/>
              <w:rPr>
                <w:sz w:val="20"/>
              </w:rPr>
            </w:pPr>
            <w:r w:rsidRPr="00DC3655">
              <w:rPr>
                <w:sz w:val="20"/>
              </w:rPr>
              <w:t>Court of Queen’s Bench of Alberta</w:t>
            </w:r>
          </w:p>
          <w:p w:rsidR="00DC3655" w:rsidRPr="00DC3655" w:rsidRDefault="00DC3655" w:rsidP="00DC3655">
            <w:pPr>
              <w:jc w:val="both"/>
              <w:rPr>
                <w:sz w:val="20"/>
              </w:rPr>
            </w:pPr>
            <w:r w:rsidRPr="00DC3655">
              <w:rPr>
                <w:sz w:val="20"/>
              </w:rPr>
              <w:t>(Dilts J.)</w:t>
            </w:r>
          </w:p>
          <w:p w:rsidR="00DC3655" w:rsidRPr="00DC3655" w:rsidRDefault="00DC3655" w:rsidP="00DC3655">
            <w:pPr>
              <w:jc w:val="both"/>
              <w:rPr>
                <w:sz w:val="20"/>
              </w:rPr>
            </w:pPr>
            <w:r w:rsidRPr="00DC3655">
              <w:rPr>
                <w:sz w:val="20"/>
              </w:rPr>
              <w:t>2019 ABQB 569</w:t>
            </w:r>
          </w:p>
          <w:p w:rsidR="00DC3655" w:rsidRPr="00DC3655" w:rsidRDefault="00DC3655" w:rsidP="00DC3655">
            <w:pPr>
              <w:jc w:val="both"/>
              <w:rPr>
                <w:sz w:val="20"/>
              </w:rPr>
            </w:pPr>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rPr>
            </w:pPr>
            <w:r w:rsidRPr="00DC3655">
              <w:rPr>
                <w:sz w:val="20"/>
              </w:rPr>
              <w:t>Committal for extradition</w:t>
            </w:r>
          </w:p>
          <w:p w:rsidR="00DC3655" w:rsidRPr="00DC3655" w:rsidRDefault="00DC3655" w:rsidP="00DC3655">
            <w:pPr>
              <w:jc w:val="both"/>
              <w:rPr>
                <w:sz w:val="20"/>
              </w:rPr>
            </w:pPr>
          </w:p>
        </w:tc>
      </w:tr>
      <w:tr w:rsidR="00DC3655" w:rsidRPr="00DC3655" w:rsidTr="00E95A6A">
        <w:tc>
          <w:tcPr>
            <w:tcW w:w="2427" w:type="pct"/>
            <w:gridSpan w:val="2"/>
          </w:tcPr>
          <w:p w:rsidR="00DC3655" w:rsidRPr="00DC3655" w:rsidRDefault="00DC3655" w:rsidP="00DC3655">
            <w:pPr>
              <w:jc w:val="both"/>
              <w:rPr>
                <w:sz w:val="20"/>
              </w:rPr>
            </w:pPr>
            <w:r w:rsidRPr="00DC3655">
              <w:rPr>
                <w:sz w:val="20"/>
              </w:rPr>
              <w:t>January 21, 2020</w:t>
            </w:r>
          </w:p>
          <w:p w:rsidR="00DC3655" w:rsidRPr="00DC3655" w:rsidRDefault="00DC3655" w:rsidP="00DC3655">
            <w:pPr>
              <w:jc w:val="both"/>
              <w:rPr>
                <w:sz w:val="20"/>
              </w:rPr>
            </w:pPr>
            <w:r w:rsidRPr="00DC3655">
              <w:rPr>
                <w:sz w:val="20"/>
              </w:rPr>
              <w:t>Minister of Justice</w:t>
            </w:r>
          </w:p>
          <w:p w:rsidR="00DC3655" w:rsidRPr="00DC3655" w:rsidRDefault="00DC3655" w:rsidP="00DC3655">
            <w:pPr>
              <w:jc w:val="both"/>
              <w:rPr>
                <w:sz w:val="20"/>
              </w:rPr>
            </w:pPr>
            <w:r w:rsidRPr="00DC3655">
              <w:rPr>
                <w:sz w:val="20"/>
              </w:rPr>
              <w:t>(Hon. Lametti)(Unreported)</w:t>
            </w:r>
          </w:p>
          <w:p w:rsidR="00DC3655" w:rsidRPr="00DC3655" w:rsidRDefault="00DC3655" w:rsidP="00DC3655">
            <w:pPr>
              <w:jc w:val="both"/>
              <w:rPr>
                <w:sz w:val="20"/>
              </w:rPr>
            </w:pPr>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rPr>
            </w:pPr>
            <w:r w:rsidRPr="00DC3655">
              <w:rPr>
                <w:sz w:val="20"/>
              </w:rPr>
              <w:t>Unconditional order for surrender</w:t>
            </w:r>
          </w:p>
        </w:tc>
      </w:tr>
      <w:tr w:rsidR="00DC3655" w:rsidRPr="00DC3655" w:rsidTr="00E95A6A">
        <w:tc>
          <w:tcPr>
            <w:tcW w:w="2427" w:type="pct"/>
            <w:gridSpan w:val="2"/>
          </w:tcPr>
          <w:p w:rsidR="00DC3655" w:rsidRPr="00DC3655" w:rsidRDefault="00DC3655" w:rsidP="00DC3655">
            <w:pPr>
              <w:jc w:val="both"/>
              <w:rPr>
                <w:sz w:val="20"/>
              </w:rPr>
            </w:pPr>
            <w:r w:rsidRPr="00DC3655">
              <w:rPr>
                <w:sz w:val="20"/>
              </w:rPr>
              <w:t>March 15, 2021</w:t>
            </w:r>
          </w:p>
          <w:p w:rsidR="00DC3655" w:rsidRPr="00DC3655" w:rsidRDefault="00DC3655" w:rsidP="00DC3655">
            <w:pPr>
              <w:jc w:val="both"/>
              <w:rPr>
                <w:sz w:val="20"/>
              </w:rPr>
            </w:pPr>
            <w:r w:rsidRPr="00DC3655">
              <w:rPr>
                <w:sz w:val="20"/>
              </w:rPr>
              <w:t>Court of Appeal of Alberta (Calgary)</w:t>
            </w:r>
          </w:p>
          <w:p w:rsidR="00DC3655" w:rsidRPr="00DC3655" w:rsidRDefault="00DC3655" w:rsidP="00DC3655">
            <w:pPr>
              <w:jc w:val="both"/>
              <w:rPr>
                <w:sz w:val="20"/>
              </w:rPr>
            </w:pPr>
            <w:r w:rsidRPr="00DC3655">
              <w:rPr>
                <w:sz w:val="20"/>
              </w:rPr>
              <w:t>(Strekaf, Hughes, Feehan JJ.A.)</w:t>
            </w:r>
          </w:p>
          <w:p w:rsidR="00DC3655" w:rsidRPr="00DC3655" w:rsidRDefault="00DC3655" w:rsidP="00DC3655">
            <w:pPr>
              <w:jc w:val="both"/>
              <w:rPr>
                <w:sz w:val="20"/>
              </w:rPr>
            </w:pPr>
            <w:r w:rsidRPr="00DC3655">
              <w:rPr>
                <w:sz w:val="20"/>
              </w:rPr>
              <w:t>2021 ABCA 95; 1901</w:t>
            </w:r>
            <w:r w:rsidRPr="00DC3655">
              <w:rPr>
                <w:sz w:val="20"/>
              </w:rPr>
              <w:noBreakHyphen/>
              <w:t>0243</w:t>
            </w:r>
            <w:r w:rsidRPr="00DC3655">
              <w:rPr>
                <w:sz w:val="20"/>
              </w:rPr>
              <w:noBreakHyphen/>
              <w:t>A, 2001</w:t>
            </w:r>
            <w:r w:rsidRPr="00DC3655">
              <w:rPr>
                <w:sz w:val="20"/>
              </w:rPr>
              <w:noBreakHyphen/>
              <w:t>0033</w:t>
            </w:r>
            <w:r w:rsidRPr="00DC3655">
              <w:rPr>
                <w:sz w:val="20"/>
              </w:rPr>
              <w:noBreakHyphen/>
              <w:t>A</w:t>
            </w:r>
          </w:p>
          <w:p w:rsidR="00DC3655" w:rsidRPr="00DC3655" w:rsidRDefault="00DC3655" w:rsidP="00DC3655">
            <w:pPr>
              <w:jc w:val="both"/>
              <w:rPr>
                <w:sz w:val="20"/>
              </w:rPr>
            </w:pPr>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rPr>
            </w:pPr>
            <w:r w:rsidRPr="00DC3655">
              <w:rPr>
                <w:sz w:val="20"/>
              </w:rPr>
              <w:t>Application for judicial review and appeal dismissed</w:t>
            </w:r>
          </w:p>
          <w:p w:rsidR="00DC3655" w:rsidRPr="00DC3655" w:rsidRDefault="00DC3655" w:rsidP="00DC3655">
            <w:pPr>
              <w:jc w:val="both"/>
              <w:rPr>
                <w:sz w:val="20"/>
              </w:rPr>
            </w:pPr>
          </w:p>
        </w:tc>
      </w:tr>
      <w:tr w:rsidR="00DC3655" w:rsidRPr="00DC3655" w:rsidTr="00E95A6A">
        <w:tc>
          <w:tcPr>
            <w:tcW w:w="2427" w:type="pct"/>
            <w:gridSpan w:val="2"/>
          </w:tcPr>
          <w:p w:rsidR="00DC3655" w:rsidRPr="00DC3655" w:rsidRDefault="00DC3655" w:rsidP="00DC3655">
            <w:pPr>
              <w:jc w:val="both"/>
              <w:rPr>
                <w:sz w:val="20"/>
              </w:rPr>
            </w:pPr>
            <w:r w:rsidRPr="00DC3655">
              <w:rPr>
                <w:sz w:val="20"/>
              </w:rPr>
              <w:t>May 12, 2021</w:t>
            </w:r>
          </w:p>
          <w:p w:rsidR="00DC3655" w:rsidRPr="00DC3655" w:rsidRDefault="00DC3655" w:rsidP="00DC3655">
            <w:pPr>
              <w:jc w:val="both"/>
              <w:rPr>
                <w:sz w:val="20"/>
              </w:rPr>
            </w:pPr>
            <w:r w:rsidRPr="00DC3655">
              <w:rPr>
                <w:sz w:val="20"/>
              </w:rPr>
              <w:t>Supreme Court of Canada</w:t>
            </w:r>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rPr>
            </w:pPr>
            <w:r w:rsidRPr="00DC3655">
              <w:rPr>
                <w:sz w:val="20"/>
              </w:rPr>
              <w:t>Application for leave to appeal filed</w:t>
            </w:r>
          </w:p>
          <w:p w:rsidR="00DC3655" w:rsidRPr="00DC3655" w:rsidRDefault="00DC3655" w:rsidP="00DC3655">
            <w:pPr>
              <w:jc w:val="both"/>
              <w:rPr>
                <w:sz w:val="20"/>
              </w:rPr>
            </w:pPr>
          </w:p>
        </w:tc>
      </w:tr>
    </w:tbl>
    <w:p w:rsidR="00DC3655" w:rsidRPr="00DC3655" w:rsidRDefault="00DC3655" w:rsidP="00DC3655">
      <w:pPr>
        <w:jc w:val="both"/>
        <w:rPr>
          <w:sz w:val="20"/>
        </w:rPr>
      </w:pPr>
    </w:p>
    <w:p w:rsidR="00DC3655" w:rsidRPr="00DC3655" w:rsidRDefault="00DC3655" w:rsidP="00DC3655">
      <w:pPr>
        <w:jc w:val="both"/>
        <w:rPr>
          <w:sz w:val="20"/>
        </w:rPr>
      </w:pPr>
      <w:r w:rsidRPr="00DC3655">
        <w:rPr>
          <w:sz w:val="20"/>
        </w:rPr>
        <w:pict>
          <v:rect id="_x0000_i1030" style="width:2in;height:1pt" o:hrpct="0" o:hralign="center" o:hrstd="t" o:hrnoshade="t" o:hr="t" fillcolor="black [3213]" stroked="f"/>
        </w:pict>
      </w:r>
    </w:p>
    <w:p w:rsidR="00DC3655" w:rsidRPr="00DC3655" w:rsidRDefault="00DC3655" w:rsidP="00DC36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3655" w:rsidRPr="00DC3655" w:rsidTr="00E95A6A">
        <w:tc>
          <w:tcPr>
            <w:tcW w:w="543" w:type="pct"/>
          </w:tcPr>
          <w:p w:rsidR="00DC3655" w:rsidRPr="00DC3655" w:rsidRDefault="00DC3655" w:rsidP="00DC3655">
            <w:pPr>
              <w:jc w:val="both"/>
              <w:rPr>
                <w:sz w:val="20"/>
                <w:lang w:val="fr-CA"/>
              </w:rPr>
            </w:pPr>
            <w:r w:rsidRPr="00DC3655">
              <w:rPr>
                <w:rStyle w:val="SCCFileNumberChar"/>
                <w:sz w:val="20"/>
                <w:szCs w:val="20"/>
                <w:lang w:val="fr-CA"/>
              </w:rPr>
              <w:t>39681</w:t>
            </w:r>
          </w:p>
        </w:tc>
        <w:tc>
          <w:tcPr>
            <w:tcW w:w="4457" w:type="pct"/>
            <w:gridSpan w:val="3"/>
          </w:tcPr>
          <w:p w:rsidR="00DC3655" w:rsidRPr="00DC3655" w:rsidRDefault="00DC3655" w:rsidP="00DC3655">
            <w:pPr>
              <w:pStyle w:val="SCCLsocParty"/>
              <w:jc w:val="both"/>
              <w:rPr>
                <w:b/>
                <w:sz w:val="20"/>
                <w:szCs w:val="20"/>
              </w:rPr>
            </w:pPr>
            <w:r w:rsidRPr="00DC3655">
              <w:rPr>
                <w:b/>
                <w:sz w:val="20"/>
                <w:szCs w:val="20"/>
              </w:rPr>
              <w:t>Robert James Tyndall c. Procureur général du Canada au nom des États-Unis d’Amérique</w:t>
            </w:r>
          </w:p>
          <w:p w:rsidR="00DC3655" w:rsidRPr="00DC3655" w:rsidRDefault="00DC3655" w:rsidP="00DC3655">
            <w:pPr>
              <w:pStyle w:val="SCCLsocSubfileSeparator"/>
              <w:rPr>
                <w:sz w:val="20"/>
                <w:szCs w:val="20"/>
                <w:lang w:val="fr-CA"/>
              </w:rPr>
            </w:pPr>
            <w:r w:rsidRPr="00DC3655">
              <w:rPr>
                <w:sz w:val="20"/>
                <w:szCs w:val="20"/>
                <w:lang w:val="fr-CA"/>
              </w:rPr>
              <w:t>- et entre -</w:t>
            </w:r>
          </w:p>
          <w:p w:rsidR="00DC3655" w:rsidRPr="00DC3655" w:rsidRDefault="00DC3655" w:rsidP="00DC3655">
            <w:pPr>
              <w:pStyle w:val="SCCLsocParty"/>
              <w:jc w:val="both"/>
              <w:rPr>
                <w:b/>
                <w:sz w:val="20"/>
                <w:szCs w:val="20"/>
              </w:rPr>
            </w:pPr>
            <w:r w:rsidRPr="00DC3655">
              <w:rPr>
                <w:b/>
                <w:sz w:val="20"/>
                <w:szCs w:val="20"/>
              </w:rPr>
              <w:t>Robert James Tyndall c. Canada (Ministre de la Justice)</w:t>
            </w:r>
          </w:p>
          <w:p w:rsidR="00DC3655" w:rsidRPr="00DC3655" w:rsidRDefault="00DC3655" w:rsidP="00DC3655">
            <w:pPr>
              <w:jc w:val="both"/>
              <w:rPr>
                <w:sz w:val="20"/>
                <w:lang w:val="fr-CA"/>
              </w:rPr>
            </w:pPr>
            <w:r w:rsidRPr="00DC3655">
              <w:rPr>
                <w:sz w:val="20"/>
                <w:lang w:val="fr-CA"/>
              </w:rPr>
              <w:t>(Alb.) (Criminelle) (Sur autorisation)</w:t>
            </w:r>
          </w:p>
        </w:tc>
      </w:tr>
      <w:tr w:rsidR="00DC3655" w:rsidRPr="00DC3655" w:rsidTr="00E95A6A">
        <w:tc>
          <w:tcPr>
            <w:tcW w:w="5000" w:type="pct"/>
            <w:gridSpan w:val="4"/>
          </w:tcPr>
          <w:p w:rsidR="00DC3655" w:rsidRPr="00DC3655" w:rsidRDefault="00DC3655" w:rsidP="00DC3655">
            <w:pPr>
              <w:pStyle w:val="SCCBanSummary"/>
              <w:rPr>
                <w:sz w:val="20"/>
                <w:szCs w:val="20"/>
                <w:lang w:val="fr-CA"/>
              </w:rPr>
            </w:pPr>
            <w:r w:rsidRPr="00DC3655">
              <w:rPr>
                <w:sz w:val="20"/>
                <w:szCs w:val="20"/>
                <w:lang w:val="fr-CA"/>
              </w:rPr>
              <w:t>(Ordonnance de non</w:t>
            </w:r>
            <w:r w:rsidRPr="00DC3655">
              <w:rPr>
                <w:sz w:val="20"/>
                <w:szCs w:val="20"/>
                <w:lang w:val="fr-CA"/>
              </w:rPr>
              <w:noBreakHyphen/>
              <w:t>publication dans le dossier)</w:t>
            </w:r>
          </w:p>
          <w:p w:rsidR="00DC3655" w:rsidRPr="00DC3655" w:rsidRDefault="00DC3655" w:rsidP="00DC3655">
            <w:pPr>
              <w:jc w:val="both"/>
              <w:rPr>
                <w:sz w:val="20"/>
                <w:lang w:val="fr-CA"/>
              </w:rPr>
            </w:pPr>
          </w:p>
        </w:tc>
      </w:tr>
      <w:tr w:rsidR="00DC3655" w:rsidRPr="00DC3655" w:rsidTr="00E95A6A">
        <w:tc>
          <w:tcPr>
            <w:tcW w:w="5000" w:type="pct"/>
            <w:gridSpan w:val="4"/>
          </w:tcPr>
          <w:p w:rsidR="00DC3655" w:rsidRPr="00DC3655" w:rsidRDefault="00DC3655" w:rsidP="00DC3655">
            <w:pPr>
              <w:jc w:val="both"/>
              <w:rPr>
                <w:sz w:val="20"/>
                <w:lang w:val="fr-CA"/>
              </w:rPr>
            </w:pPr>
            <w:r w:rsidRPr="00DC3655">
              <w:rPr>
                <w:sz w:val="20"/>
                <w:lang w:val="fr-CA"/>
              </w:rPr>
              <w:t>Extradition — Moyens de défense — Double péril — Abus de procédure — Dans une affaire criminelle dont la résolution comprend l’admission en preuve de faits supplémentaires comme circonstances aggravantes aux fins de la détermination de la peine, les principes de double péril auront</w:t>
            </w:r>
            <w:r w:rsidRPr="00DC3655">
              <w:rPr>
                <w:sz w:val="20"/>
                <w:lang w:val="fr-CA"/>
              </w:rPr>
              <w:noBreakHyphen/>
              <w:t>ils pour effet d’empêcher toute tentative ultérieure par l’État de punir à nouveau l’accusé sur le fondement de cette preuve? — Le fait pour le ministère public de demander qu’une ordonnance d’incarcération soit rendue constitue</w:t>
            </w:r>
            <w:r w:rsidRPr="00DC3655">
              <w:rPr>
                <w:sz w:val="20"/>
                <w:lang w:val="fr-CA"/>
              </w:rPr>
              <w:noBreakHyphen/>
              <w:t>t</w:t>
            </w:r>
            <w:r w:rsidRPr="00DC3655">
              <w:rPr>
                <w:sz w:val="20"/>
                <w:lang w:val="fr-CA"/>
              </w:rPr>
              <w:noBreakHyphen/>
              <w:t>il un abus de procédure lorsque les principes de la justice fondamentale, tel le double péril, interdiraient le recours à une poursuite semblable au Canada?</w:t>
            </w:r>
          </w:p>
          <w:p w:rsidR="00DC3655" w:rsidRPr="00DC3655" w:rsidRDefault="00DC3655" w:rsidP="00DC3655">
            <w:pPr>
              <w:jc w:val="both"/>
              <w:rPr>
                <w:sz w:val="20"/>
                <w:lang w:val="fr-CA"/>
              </w:rPr>
            </w:pPr>
          </w:p>
        </w:tc>
      </w:tr>
      <w:tr w:rsidR="00DC3655" w:rsidRPr="00DC3655" w:rsidTr="00E95A6A">
        <w:tc>
          <w:tcPr>
            <w:tcW w:w="5000" w:type="pct"/>
            <w:gridSpan w:val="4"/>
          </w:tcPr>
          <w:p w:rsidR="00DC3655" w:rsidRPr="00DC3655" w:rsidRDefault="00DC3655" w:rsidP="00DC3655">
            <w:pPr>
              <w:widowControl w:val="0"/>
              <w:tabs>
                <w:tab w:val="right" w:pos="1080"/>
                <w:tab w:val="left" w:pos="1512"/>
              </w:tabs>
              <w:kinsoku w:val="0"/>
              <w:overflowPunct w:val="0"/>
              <w:jc w:val="both"/>
              <w:textAlignment w:val="baseline"/>
              <w:rPr>
                <w:sz w:val="20"/>
                <w:lang w:val="fr-CA"/>
              </w:rPr>
            </w:pPr>
            <w:r w:rsidRPr="00DC3655">
              <w:rPr>
                <w:sz w:val="20"/>
                <w:lang w:val="fr-CA"/>
              </w:rPr>
              <w:t>M. Tyndall a plaidé coupable aux accusations de possession de pornographie juvénile et de communication avec des personnes âgées de moins de 16 ans en vue de faciliter la perpétration d’une infraction entre le 29 mars 2013 et le 1</w:t>
            </w:r>
            <w:r w:rsidRPr="00DC3655">
              <w:rPr>
                <w:sz w:val="20"/>
                <w:vertAlign w:val="superscript"/>
                <w:lang w:val="fr-CA"/>
              </w:rPr>
              <w:t>er</w:t>
            </w:r>
            <w:r w:rsidRPr="00DC3655">
              <w:rPr>
                <w:sz w:val="20"/>
                <w:lang w:val="fr-CA"/>
              </w:rPr>
              <w:t xml:space="preserve"> juillet 2013. Les États</w:t>
            </w:r>
            <w:r w:rsidRPr="00DC3655">
              <w:rPr>
                <w:sz w:val="20"/>
                <w:lang w:val="fr-CA"/>
              </w:rPr>
              <w:noBreakHyphen/>
              <w:t>Unis réclament l’extradition de ce dernier pour qu’il soit traduit en justice en Pennsylvanie relativement à une accusation de contrainte et d’incitation d’un mineur entre le 12 août 2012 et le 13 juillet 2013. Le juge d’extradition a ordonné son incarcération. Le ministre de la Justice a ordonné son extradition sans condition. La Cour d’appel a rejeté la demande de contrôle judiciaire de l’arrêté d’extradition et l’appel de l’ordonnance d’incarcération.</w:t>
            </w:r>
          </w:p>
        </w:tc>
      </w:tr>
      <w:tr w:rsidR="00DC3655" w:rsidRPr="00DC3655" w:rsidTr="00E95A6A">
        <w:tc>
          <w:tcPr>
            <w:tcW w:w="5000" w:type="pct"/>
            <w:gridSpan w:val="4"/>
          </w:tcPr>
          <w:p w:rsidR="00DC3655" w:rsidRPr="00DC3655" w:rsidRDefault="00DC3655" w:rsidP="00DC3655">
            <w:pPr>
              <w:jc w:val="both"/>
              <w:rPr>
                <w:sz w:val="20"/>
                <w:lang w:val="fr-CA"/>
              </w:rPr>
            </w:pP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25 juillet 2019</w:t>
            </w:r>
          </w:p>
          <w:p w:rsidR="00DC3655" w:rsidRPr="00DC3655" w:rsidRDefault="00DC3655" w:rsidP="00DC3655">
            <w:pPr>
              <w:jc w:val="both"/>
              <w:rPr>
                <w:sz w:val="20"/>
                <w:lang w:val="fr-CA"/>
              </w:rPr>
            </w:pPr>
            <w:r w:rsidRPr="00DC3655">
              <w:rPr>
                <w:sz w:val="20"/>
                <w:lang w:val="fr-CA"/>
              </w:rPr>
              <w:t>Cour du Banc de la Reine de l’Alberta</w:t>
            </w:r>
          </w:p>
          <w:p w:rsidR="00DC3655" w:rsidRPr="00DC3655" w:rsidRDefault="00DC3655" w:rsidP="00DC3655">
            <w:pPr>
              <w:jc w:val="both"/>
              <w:rPr>
                <w:sz w:val="20"/>
                <w:lang w:val="fr-CA"/>
              </w:rPr>
            </w:pPr>
            <w:r w:rsidRPr="00DC3655">
              <w:rPr>
                <w:sz w:val="20"/>
                <w:lang w:val="fr-CA"/>
              </w:rPr>
              <w:t>(juge Dilts)</w:t>
            </w:r>
          </w:p>
          <w:p w:rsidR="00DC3655" w:rsidRPr="00DC3655" w:rsidRDefault="00DC3655" w:rsidP="00DC3655">
            <w:pPr>
              <w:jc w:val="both"/>
              <w:rPr>
                <w:sz w:val="20"/>
                <w:lang w:val="fr-CA"/>
              </w:rPr>
            </w:pPr>
            <w:r w:rsidRPr="00DC3655">
              <w:rPr>
                <w:sz w:val="20"/>
                <w:lang w:val="fr-CA"/>
              </w:rPr>
              <w:t>2019 ABQB 569</w:t>
            </w:r>
          </w:p>
          <w:p w:rsidR="00DC3655" w:rsidRPr="00DC3655" w:rsidRDefault="00DC3655" w:rsidP="00DC3655">
            <w:pPr>
              <w:jc w:val="both"/>
              <w:rPr>
                <w:sz w:val="20"/>
                <w:lang w:val="fr-CA"/>
              </w:rPr>
            </w:pPr>
          </w:p>
        </w:tc>
        <w:tc>
          <w:tcPr>
            <w:tcW w:w="243" w:type="pct"/>
          </w:tcPr>
          <w:p w:rsidR="00DC3655" w:rsidRPr="00DC3655" w:rsidRDefault="00DC3655" w:rsidP="00DC3655">
            <w:pPr>
              <w:jc w:val="both"/>
              <w:rPr>
                <w:sz w:val="20"/>
                <w:lang w:val="fr-CA"/>
              </w:rPr>
            </w:pPr>
          </w:p>
        </w:tc>
        <w:tc>
          <w:tcPr>
            <w:tcW w:w="2330" w:type="pct"/>
          </w:tcPr>
          <w:p w:rsidR="00DC3655" w:rsidRPr="00DC3655" w:rsidRDefault="00DC3655" w:rsidP="00DC3655">
            <w:pPr>
              <w:jc w:val="both"/>
              <w:rPr>
                <w:sz w:val="20"/>
                <w:lang w:val="fr-CA"/>
              </w:rPr>
            </w:pPr>
            <w:r w:rsidRPr="00DC3655">
              <w:rPr>
                <w:sz w:val="20"/>
                <w:lang w:val="fr-CA"/>
              </w:rPr>
              <w:t>L’ordonnance d’incarcération en vue de l’extradition est rendue.</w:t>
            </w:r>
          </w:p>
          <w:p w:rsidR="00DC3655" w:rsidRPr="00DC3655" w:rsidRDefault="00DC3655" w:rsidP="00DC3655">
            <w:pPr>
              <w:jc w:val="both"/>
              <w:rPr>
                <w:sz w:val="20"/>
                <w:lang w:val="fr-CA"/>
              </w:rPr>
            </w:pP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21 janvier 2020</w:t>
            </w:r>
          </w:p>
          <w:p w:rsidR="00DC3655" w:rsidRPr="00DC3655" w:rsidRDefault="00DC3655" w:rsidP="00DC3655">
            <w:pPr>
              <w:jc w:val="both"/>
              <w:rPr>
                <w:sz w:val="20"/>
                <w:lang w:val="fr-CA"/>
              </w:rPr>
            </w:pPr>
            <w:r w:rsidRPr="00DC3655">
              <w:rPr>
                <w:sz w:val="20"/>
                <w:lang w:val="fr-CA"/>
              </w:rPr>
              <w:t>Ministre de la Justice</w:t>
            </w:r>
          </w:p>
          <w:p w:rsidR="00DC3655" w:rsidRPr="00DC3655" w:rsidRDefault="00DC3655" w:rsidP="00DC3655">
            <w:pPr>
              <w:jc w:val="both"/>
              <w:rPr>
                <w:sz w:val="20"/>
                <w:lang w:val="fr-CA"/>
              </w:rPr>
            </w:pPr>
            <w:r w:rsidRPr="00DC3655">
              <w:rPr>
                <w:sz w:val="20"/>
                <w:lang w:val="fr-CA"/>
              </w:rPr>
              <w:t>(l’hon. D. Lametti) (Non publié)</w:t>
            </w:r>
          </w:p>
          <w:p w:rsidR="00DC3655" w:rsidRPr="00DC3655" w:rsidRDefault="00DC3655" w:rsidP="00DC3655">
            <w:pPr>
              <w:jc w:val="both"/>
              <w:rPr>
                <w:sz w:val="20"/>
                <w:lang w:val="fr-CA"/>
              </w:rPr>
            </w:pPr>
          </w:p>
        </w:tc>
        <w:tc>
          <w:tcPr>
            <w:tcW w:w="243" w:type="pct"/>
          </w:tcPr>
          <w:p w:rsidR="00DC3655" w:rsidRPr="00DC3655" w:rsidRDefault="00DC3655" w:rsidP="00DC3655">
            <w:pPr>
              <w:jc w:val="both"/>
              <w:rPr>
                <w:sz w:val="20"/>
                <w:lang w:val="fr-CA"/>
              </w:rPr>
            </w:pPr>
          </w:p>
        </w:tc>
        <w:tc>
          <w:tcPr>
            <w:tcW w:w="2330" w:type="pct"/>
          </w:tcPr>
          <w:p w:rsidR="00DC3655" w:rsidRPr="00DC3655" w:rsidRDefault="00DC3655" w:rsidP="00DC3655">
            <w:pPr>
              <w:jc w:val="both"/>
              <w:rPr>
                <w:sz w:val="20"/>
                <w:lang w:val="fr-CA"/>
              </w:rPr>
            </w:pPr>
            <w:r w:rsidRPr="00DC3655">
              <w:rPr>
                <w:sz w:val="20"/>
                <w:lang w:val="fr-CA"/>
              </w:rPr>
              <w:t>L’arrêté d’extradition sans condition est pris.</w:t>
            </w: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15 mars 2021</w:t>
            </w:r>
          </w:p>
          <w:p w:rsidR="00DC3655" w:rsidRPr="00DC3655" w:rsidRDefault="00DC3655" w:rsidP="00DC3655">
            <w:pPr>
              <w:jc w:val="both"/>
              <w:rPr>
                <w:sz w:val="20"/>
                <w:lang w:val="fr-CA"/>
              </w:rPr>
            </w:pPr>
            <w:r w:rsidRPr="00DC3655">
              <w:rPr>
                <w:sz w:val="20"/>
                <w:lang w:val="fr-CA"/>
              </w:rPr>
              <w:t>Cour d’appel de l’Alberta (Calgary)</w:t>
            </w:r>
          </w:p>
          <w:p w:rsidR="00DC3655" w:rsidRPr="00DC3655" w:rsidRDefault="00DC3655" w:rsidP="00DC3655">
            <w:pPr>
              <w:jc w:val="both"/>
              <w:rPr>
                <w:sz w:val="20"/>
              </w:rPr>
            </w:pPr>
            <w:r w:rsidRPr="00DC3655">
              <w:rPr>
                <w:sz w:val="20"/>
              </w:rPr>
              <w:t>(juges Strekaf, Hughes, Feehan)</w:t>
            </w:r>
          </w:p>
          <w:p w:rsidR="00DC3655" w:rsidRPr="00DC3655" w:rsidRDefault="00DC3655" w:rsidP="00DC3655">
            <w:pPr>
              <w:jc w:val="both"/>
              <w:rPr>
                <w:sz w:val="20"/>
              </w:rPr>
            </w:pPr>
            <w:r w:rsidRPr="00DC3655">
              <w:rPr>
                <w:sz w:val="20"/>
              </w:rPr>
              <w:t>2021 ABCA 95; 1901</w:t>
            </w:r>
            <w:r w:rsidRPr="00DC3655">
              <w:rPr>
                <w:sz w:val="20"/>
              </w:rPr>
              <w:noBreakHyphen/>
              <w:t>0243</w:t>
            </w:r>
            <w:r w:rsidRPr="00DC3655">
              <w:rPr>
                <w:sz w:val="20"/>
              </w:rPr>
              <w:noBreakHyphen/>
              <w:t>A, 2001</w:t>
            </w:r>
            <w:r w:rsidRPr="00DC3655">
              <w:rPr>
                <w:sz w:val="20"/>
              </w:rPr>
              <w:noBreakHyphen/>
              <w:t>0033</w:t>
            </w:r>
            <w:r w:rsidRPr="00DC3655">
              <w:rPr>
                <w:sz w:val="20"/>
              </w:rPr>
              <w:noBreakHyphen/>
              <w:t>A</w:t>
            </w:r>
          </w:p>
          <w:p w:rsidR="00DC3655" w:rsidRPr="00DC3655" w:rsidRDefault="00DC3655" w:rsidP="00DC3655">
            <w:pPr>
              <w:jc w:val="both"/>
              <w:rPr>
                <w:sz w:val="20"/>
              </w:rPr>
            </w:pPr>
          </w:p>
        </w:tc>
        <w:tc>
          <w:tcPr>
            <w:tcW w:w="243" w:type="pct"/>
          </w:tcPr>
          <w:p w:rsidR="00DC3655" w:rsidRPr="00DC3655" w:rsidRDefault="00DC3655" w:rsidP="00DC3655">
            <w:pPr>
              <w:jc w:val="both"/>
              <w:rPr>
                <w:sz w:val="20"/>
              </w:rPr>
            </w:pPr>
          </w:p>
        </w:tc>
        <w:tc>
          <w:tcPr>
            <w:tcW w:w="2330" w:type="pct"/>
          </w:tcPr>
          <w:p w:rsidR="00DC3655" w:rsidRPr="00DC3655" w:rsidRDefault="00DC3655" w:rsidP="00DC3655">
            <w:pPr>
              <w:jc w:val="both"/>
              <w:rPr>
                <w:sz w:val="20"/>
                <w:lang w:val="fr-CA"/>
              </w:rPr>
            </w:pPr>
            <w:r w:rsidRPr="00DC3655">
              <w:rPr>
                <w:sz w:val="20"/>
                <w:lang w:val="fr-CA"/>
              </w:rPr>
              <w:t>La demande de contrôle judiciaire et l’appel sont rejetés.</w:t>
            </w:r>
          </w:p>
          <w:p w:rsidR="00DC3655" w:rsidRPr="00DC3655" w:rsidRDefault="00DC3655" w:rsidP="00DC3655">
            <w:pPr>
              <w:jc w:val="both"/>
              <w:rPr>
                <w:sz w:val="20"/>
                <w:lang w:val="fr-CA"/>
              </w:rPr>
            </w:pPr>
          </w:p>
        </w:tc>
      </w:tr>
      <w:tr w:rsidR="00DC3655" w:rsidRPr="00DC3655" w:rsidTr="00E95A6A">
        <w:tc>
          <w:tcPr>
            <w:tcW w:w="2427" w:type="pct"/>
            <w:gridSpan w:val="2"/>
          </w:tcPr>
          <w:p w:rsidR="00DC3655" w:rsidRPr="00DC3655" w:rsidRDefault="00DC3655" w:rsidP="00DC3655">
            <w:pPr>
              <w:jc w:val="both"/>
              <w:rPr>
                <w:sz w:val="20"/>
                <w:lang w:val="fr-CA"/>
              </w:rPr>
            </w:pPr>
            <w:r w:rsidRPr="00DC3655">
              <w:rPr>
                <w:sz w:val="20"/>
                <w:lang w:val="fr-CA"/>
              </w:rPr>
              <w:t>12 mai 2021</w:t>
            </w:r>
          </w:p>
          <w:p w:rsidR="00DC3655" w:rsidRPr="00DC3655" w:rsidRDefault="00DC3655" w:rsidP="00DC3655">
            <w:pPr>
              <w:jc w:val="both"/>
              <w:rPr>
                <w:sz w:val="20"/>
                <w:lang w:val="fr-CA"/>
              </w:rPr>
            </w:pPr>
            <w:r w:rsidRPr="00DC3655">
              <w:rPr>
                <w:sz w:val="20"/>
                <w:lang w:val="fr-CA"/>
              </w:rPr>
              <w:t>Cour suprême du Canada</w:t>
            </w:r>
          </w:p>
        </w:tc>
        <w:tc>
          <w:tcPr>
            <w:tcW w:w="243" w:type="pct"/>
          </w:tcPr>
          <w:p w:rsidR="00DC3655" w:rsidRPr="00DC3655" w:rsidRDefault="00DC3655" w:rsidP="00DC3655">
            <w:pPr>
              <w:jc w:val="both"/>
              <w:rPr>
                <w:sz w:val="20"/>
                <w:lang w:val="fr-CA"/>
              </w:rPr>
            </w:pPr>
          </w:p>
        </w:tc>
        <w:tc>
          <w:tcPr>
            <w:tcW w:w="2330" w:type="pct"/>
          </w:tcPr>
          <w:p w:rsidR="00DC3655" w:rsidRPr="00DC3655" w:rsidRDefault="00DC3655" w:rsidP="00DC3655">
            <w:pPr>
              <w:jc w:val="both"/>
              <w:rPr>
                <w:sz w:val="20"/>
                <w:lang w:val="fr-CA"/>
              </w:rPr>
            </w:pPr>
            <w:r w:rsidRPr="00DC3655">
              <w:rPr>
                <w:sz w:val="20"/>
                <w:lang w:val="fr-CA"/>
              </w:rPr>
              <w:t>La demande d’autorisation d’appel est présentée.</w:t>
            </w:r>
          </w:p>
          <w:p w:rsidR="00DC3655" w:rsidRPr="00DC3655" w:rsidRDefault="00DC3655" w:rsidP="00DC3655">
            <w:pPr>
              <w:jc w:val="both"/>
              <w:rPr>
                <w:sz w:val="20"/>
                <w:lang w:val="fr-CA"/>
              </w:rPr>
            </w:pPr>
          </w:p>
        </w:tc>
      </w:tr>
    </w:tbl>
    <w:p w:rsidR="00777ECC" w:rsidRPr="00DC3655" w:rsidRDefault="00777ECC" w:rsidP="00350651">
      <w:pPr>
        <w:widowControl w:val="0"/>
        <w:tabs>
          <w:tab w:val="left" w:pos="3840"/>
        </w:tabs>
        <w:jc w:val="both"/>
        <w:rPr>
          <w:sz w:val="20"/>
          <w:lang w:val="fr-CA"/>
        </w:rPr>
      </w:pPr>
    </w:p>
    <w:p w:rsidR="005A7B6B" w:rsidRPr="00DC3655" w:rsidRDefault="00DC3655" w:rsidP="00350651">
      <w:pPr>
        <w:widowControl w:val="0"/>
        <w:jc w:val="both"/>
        <w:rPr>
          <w:sz w:val="20"/>
        </w:rPr>
      </w:pPr>
      <w:r w:rsidRPr="00DC3655">
        <w:rPr>
          <w:sz w:val="20"/>
        </w:rPr>
        <w:pict>
          <v:rect id="_x0000_i1027" style="width:2in;height:1pt" o:hrpct="0" o:hralign="center" o:hrstd="t" o:hrnoshade="t" o:hr="t" fillcolor="black [3213]" stroked="f"/>
        </w:pict>
      </w:r>
    </w:p>
    <w:p w:rsidR="00FD3FA0" w:rsidRPr="00DC3655" w:rsidRDefault="00FD3FA0" w:rsidP="00350651">
      <w:pPr>
        <w:ind w:left="142" w:hanging="142"/>
        <w:jc w:val="both"/>
        <w:rPr>
          <w:sz w:val="20"/>
        </w:rPr>
      </w:pPr>
    </w:p>
    <w:p w:rsidR="008F2F11" w:rsidRPr="00DC3655" w:rsidRDefault="008F2F11" w:rsidP="00350651">
      <w:pPr>
        <w:ind w:left="142" w:hanging="142"/>
        <w:jc w:val="both"/>
        <w:rPr>
          <w:sz w:val="20"/>
        </w:rPr>
      </w:pPr>
    </w:p>
    <w:p w:rsidR="008F2F11" w:rsidRPr="00DC3655" w:rsidRDefault="008F2F11" w:rsidP="00350651">
      <w:pPr>
        <w:ind w:left="142" w:hanging="142"/>
        <w:jc w:val="both"/>
        <w:rPr>
          <w:sz w:val="20"/>
        </w:rPr>
      </w:pPr>
    </w:p>
    <w:p w:rsidR="00D3344A" w:rsidRPr="00DC3655" w:rsidRDefault="00D3344A" w:rsidP="00D3344A">
      <w:pPr>
        <w:widowControl w:val="0"/>
        <w:outlineLvl w:val="0"/>
      </w:pPr>
      <w:r w:rsidRPr="00DC3655">
        <w:t xml:space="preserve">Supreme Court of Canada / Cour suprême du </w:t>
      </w:r>
      <w:proofErr w:type="gramStart"/>
      <w:r w:rsidRPr="00DC3655">
        <w:t>Canad</w:t>
      </w:r>
      <w:r w:rsidR="00EE289F" w:rsidRPr="00DC3655">
        <w:t>a</w:t>
      </w:r>
      <w:r w:rsidRPr="00DC3655">
        <w:t xml:space="preserve"> :</w:t>
      </w:r>
      <w:proofErr w:type="gramEnd"/>
    </w:p>
    <w:p w:rsidR="00D3344A" w:rsidRPr="00DC3655" w:rsidRDefault="00DC3655" w:rsidP="00D3344A">
      <w:pPr>
        <w:widowControl w:val="0"/>
        <w:outlineLvl w:val="0"/>
        <w:rPr>
          <w:u w:val="single"/>
        </w:rPr>
      </w:pPr>
      <w:hyperlink r:id="rId16" w:history="1">
        <w:r w:rsidR="009B7391" w:rsidRPr="00DC3655">
          <w:rPr>
            <w:rStyle w:val="Hyperlink"/>
          </w:rPr>
          <w:t>comments-commentaires@scc-csc.ca</w:t>
        </w:r>
      </w:hyperlink>
    </w:p>
    <w:p w:rsidR="00D3344A" w:rsidRPr="00DC3655" w:rsidRDefault="0065588C" w:rsidP="00D3344A">
      <w:pPr>
        <w:widowControl w:val="0"/>
        <w:outlineLvl w:val="0"/>
      </w:pPr>
      <w:r w:rsidRPr="00DC3655">
        <w:t>613-</w:t>
      </w:r>
      <w:r w:rsidR="00D3344A" w:rsidRPr="00DC3655">
        <w:t>995-4330</w:t>
      </w:r>
    </w:p>
    <w:p w:rsidR="00497B5E" w:rsidRPr="00DC3655" w:rsidRDefault="00497B5E" w:rsidP="00497B5E">
      <w:pPr>
        <w:widowControl w:val="0"/>
        <w:rPr>
          <w:sz w:val="20"/>
        </w:rPr>
      </w:pPr>
    </w:p>
    <w:p w:rsidR="00F6251B" w:rsidRPr="006E558B" w:rsidRDefault="003F43E6" w:rsidP="00F6251B">
      <w:pPr>
        <w:pStyle w:val="Footer"/>
        <w:jc w:val="center"/>
      </w:pPr>
      <w:r w:rsidRPr="00DC3655">
        <w:t>- 30 -</w:t>
      </w:r>
      <w:bookmarkStart w:id="0" w:name="_GoBack"/>
      <w:bookmarkEnd w:id="0"/>
    </w:p>
    <w:sectPr w:rsidR="00F6251B" w:rsidRPr="006E558B" w:rsidSect="00E62F93">
      <w:headerReference w:type="even" r:id="rId17"/>
      <w:headerReference w:type="default" r:id="rId18"/>
      <w:footerReference w:type="even" r:id="rId19"/>
      <w:footerReference w:type="default" r:id="rId20"/>
      <w:headerReference w:type="first" r:id="rId21"/>
      <w:footerReference w:type="first" r:id="rId2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56FA4"/>
    <w:multiLevelType w:val="hybridMultilevel"/>
    <w:tmpl w:val="8E6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238A6"/>
    <w:multiLevelType w:val="hybridMultilevel"/>
    <w:tmpl w:val="7ECE471E"/>
    <w:lvl w:ilvl="0" w:tplc="B85AD6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02E80"/>
    <w:multiLevelType w:val="hybridMultilevel"/>
    <w:tmpl w:val="255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13C1D"/>
    <w:multiLevelType w:val="hybridMultilevel"/>
    <w:tmpl w:val="C0C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10304"/>
    <w:multiLevelType w:val="hybridMultilevel"/>
    <w:tmpl w:val="DF60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9"/>
  </w:num>
  <w:num w:numId="3">
    <w:abstractNumId w:val="14"/>
  </w:num>
  <w:num w:numId="4">
    <w:abstractNumId w:val="35"/>
  </w:num>
  <w:num w:numId="5">
    <w:abstractNumId w:val="47"/>
  </w:num>
  <w:num w:numId="6">
    <w:abstractNumId w:val="34"/>
  </w:num>
  <w:num w:numId="7">
    <w:abstractNumId w:val="39"/>
  </w:num>
  <w:num w:numId="8">
    <w:abstractNumId w:val="24"/>
  </w:num>
  <w:num w:numId="9">
    <w:abstractNumId w:val="2"/>
  </w:num>
  <w:num w:numId="10">
    <w:abstractNumId w:val="44"/>
  </w:num>
  <w:num w:numId="11">
    <w:abstractNumId w:val="31"/>
  </w:num>
  <w:num w:numId="12">
    <w:abstractNumId w:val="29"/>
  </w:num>
  <w:num w:numId="13">
    <w:abstractNumId w:val="28"/>
  </w:num>
  <w:num w:numId="14">
    <w:abstractNumId w:val="48"/>
  </w:num>
  <w:num w:numId="15">
    <w:abstractNumId w:val="36"/>
  </w:num>
  <w:num w:numId="16">
    <w:abstractNumId w:val="6"/>
  </w:num>
  <w:num w:numId="17">
    <w:abstractNumId w:val="11"/>
  </w:num>
  <w:num w:numId="18">
    <w:abstractNumId w:val="43"/>
  </w:num>
  <w:num w:numId="19">
    <w:abstractNumId w:val="46"/>
  </w:num>
  <w:num w:numId="20">
    <w:abstractNumId w:val="42"/>
  </w:num>
  <w:num w:numId="21">
    <w:abstractNumId w:val="18"/>
  </w:num>
  <w:num w:numId="22">
    <w:abstractNumId w:val="20"/>
  </w:num>
  <w:num w:numId="23">
    <w:abstractNumId w:val="33"/>
  </w:num>
  <w:num w:numId="24">
    <w:abstractNumId w:val="1"/>
  </w:num>
  <w:num w:numId="25">
    <w:abstractNumId w:val="13"/>
  </w:num>
  <w:num w:numId="26">
    <w:abstractNumId w:val="7"/>
  </w:num>
  <w:num w:numId="27">
    <w:abstractNumId w:val="8"/>
  </w:num>
  <w:num w:numId="28">
    <w:abstractNumId w:val="25"/>
  </w:num>
  <w:num w:numId="29">
    <w:abstractNumId w:val="21"/>
  </w:num>
  <w:num w:numId="30">
    <w:abstractNumId w:val="4"/>
  </w:num>
  <w:num w:numId="31">
    <w:abstractNumId w:val="3"/>
  </w:num>
  <w:num w:numId="32">
    <w:abstractNumId w:val="5"/>
  </w:num>
  <w:num w:numId="33">
    <w:abstractNumId w:val="9"/>
  </w:num>
  <w:num w:numId="34">
    <w:abstractNumId w:val="41"/>
  </w:num>
  <w:num w:numId="35">
    <w:abstractNumId w:val="32"/>
  </w:num>
  <w:num w:numId="36">
    <w:abstractNumId w:val="23"/>
  </w:num>
  <w:num w:numId="37">
    <w:abstractNumId w:val="40"/>
  </w:num>
  <w:num w:numId="38">
    <w:abstractNumId w:val="15"/>
  </w:num>
  <w:num w:numId="39">
    <w:abstractNumId w:val="0"/>
  </w:num>
  <w:num w:numId="40">
    <w:abstractNumId w:val="37"/>
  </w:num>
  <w:num w:numId="41">
    <w:abstractNumId w:val="10"/>
  </w:num>
  <w:num w:numId="42">
    <w:abstractNumId w:val="27"/>
  </w:num>
  <w:num w:numId="43">
    <w:abstractNumId w:val="30"/>
  </w:num>
  <w:num w:numId="44">
    <w:abstractNumId w:val="22"/>
  </w:num>
  <w:num w:numId="45">
    <w:abstractNumId w:val="26"/>
  </w:num>
  <w:num w:numId="46">
    <w:abstractNumId w:val="17"/>
  </w:num>
  <w:num w:numId="47">
    <w:abstractNumId w:val="38"/>
  </w:num>
  <w:num w:numId="48">
    <w:abstractNumId w:val="12"/>
  </w:num>
  <w:num w:numId="4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1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656" TargetMode="External"/><Relationship Id="rId13" Type="http://schemas.openxmlformats.org/officeDocument/2006/relationships/hyperlink" Target="https://www.canlii.org/fr/qc/qccq/doc/2017/2017qccq7437/2017qccq7437.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anlii.org/fr/qc/qcca/doc/2021/2021qcca377/2021qcca37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s/doc/2018/2018qccs3237/2018qccs323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a/doc/2021/2021qcca377/2021qcca377.pdf" TargetMode="External"/><Relationship Id="rId23" Type="http://schemas.openxmlformats.org/officeDocument/2006/relationships/fontTable" Target="fontTable.xml"/><Relationship Id="rId10" Type="http://schemas.openxmlformats.org/officeDocument/2006/relationships/hyperlink" Target="https://www.canlii.org/fr/qc/qccq/doc/2017/2017qccq7437/2017qccq743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681" TargetMode="External"/><Relationship Id="rId14" Type="http://schemas.openxmlformats.org/officeDocument/2006/relationships/hyperlink" Target="https://www.canlii.org/fr/qc/qccs/doc/2018/2018qccs3237/2018qccs3237.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0630-7192-44A4-BB55-9BAB7973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2021-09-13T19:03:00Z</dcterms:modified>
</cp:coreProperties>
</file>