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1C7519" w:rsidRDefault="000E391F" w:rsidP="000E391F">
      <w:pPr>
        <w:pStyle w:val="Header"/>
        <w:jc w:val="center"/>
        <w:rPr>
          <w:b/>
          <w:sz w:val="32"/>
        </w:rPr>
      </w:pPr>
      <w:bookmarkStart w:id="0" w:name="_GoBack"/>
      <w:r w:rsidRPr="001C7519">
        <w:rPr>
          <w:b/>
          <w:sz w:val="32"/>
        </w:rPr>
        <w:t>Supreme Court of Canada / Cour suprême du Canada</w:t>
      </w:r>
    </w:p>
    <w:p w:rsidR="000E391F" w:rsidRPr="001C7519" w:rsidRDefault="000E391F" w:rsidP="000E391F">
      <w:pPr>
        <w:widowControl w:val="0"/>
      </w:pPr>
    </w:p>
    <w:p w:rsidR="000E391F" w:rsidRPr="001C7519" w:rsidRDefault="000E391F" w:rsidP="000E391F">
      <w:pPr>
        <w:widowControl w:val="0"/>
        <w:rPr>
          <w:i/>
        </w:rPr>
      </w:pPr>
    </w:p>
    <w:p w:rsidR="006F2579" w:rsidRPr="001C7519" w:rsidRDefault="006F2579" w:rsidP="006F2579">
      <w:pPr>
        <w:widowControl w:val="0"/>
        <w:rPr>
          <w:i/>
          <w:sz w:val="20"/>
        </w:rPr>
      </w:pPr>
      <w:r w:rsidRPr="001C7519">
        <w:rPr>
          <w:i/>
          <w:sz w:val="20"/>
        </w:rPr>
        <w:t>(</w:t>
      </w:r>
      <w:r w:rsidR="003240B6" w:rsidRPr="001C7519">
        <w:rPr>
          <w:i/>
          <w:sz w:val="20"/>
        </w:rPr>
        <w:t>L</w:t>
      </w:r>
      <w:r w:rsidRPr="001C7519">
        <w:rPr>
          <w:i/>
          <w:sz w:val="20"/>
        </w:rPr>
        <w:t>e français suit)</w:t>
      </w:r>
    </w:p>
    <w:p w:rsidR="006F2579" w:rsidRPr="001C7519" w:rsidRDefault="006F2579" w:rsidP="006F2579">
      <w:pPr>
        <w:widowControl w:val="0"/>
      </w:pPr>
    </w:p>
    <w:p w:rsidR="006F2579" w:rsidRPr="001C7519" w:rsidRDefault="00B07908" w:rsidP="006F2579">
      <w:pPr>
        <w:widowControl w:val="0"/>
        <w:jc w:val="center"/>
        <w:rPr>
          <w:b/>
        </w:rPr>
      </w:pPr>
      <w:r w:rsidRPr="001C7519">
        <w:fldChar w:fldCharType="begin"/>
      </w:r>
      <w:r w:rsidR="006F2579" w:rsidRPr="001C7519">
        <w:instrText xml:space="preserve"> SEQ CHAPTER \h \r 1</w:instrText>
      </w:r>
      <w:r w:rsidRPr="001C7519">
        <w:fldChar w:fldCharType="end"/>
      </w:r>
      <w:r w:rsidR="006F2579" w:rsidRPr="001C7519">
        <w:rPr>
          <w:b/>
        </w:rPr>
        <w:t>JUDGMENT</w:t>
      </w:r>
      <w:r w:rsidR="00B17AAC" w:rsidRPr="001C7519">
        <w:rPr>
          <w:b/>
        </w:rPr>
        <w:t>S</w:t>
      </w:r>
      <w:r w:rsidR="006F2579" w:rsidRPr="001C7519">
        <w:rPr>
          <w:b/>
        </w:rPr>
        <w:t xml:space="preserve"> TO B</w:t>
      </w:r>
      <w:r w:rsidR="00001846" w:rsidRPr="001C7519">
        <w:rPr>
          <w:b/>
        </w:rPr>
        <w:t>E RENDERED IN LE</w:t>
      </w:r>
      <w:r w:rsidR="00A0288A" w:rsidRPr="001C7519">
        <w:rPr>
          <w:b/>
        </w:rPr>
        <w:t>A</w:t>
      </w:r>
      <w:r w:rsidR="00001846" w:rsidRPr="001C7519">
        <w:rPr>
          <w:b/>
        </w:rPr>
        <w:t>VE APPLICATION</w:t>
      </w:r>
      <w:r w:rsidR="00511288" w:rsidRPr="001C7519">
        <w:rPr>
          <w:b/>
        </w:rPr>
        <w:t>S</w:t>
      </w:r>
    </w:p>
    <w:p w:rsidR="006F2579" w:rsidRPr="001C7519" w:rsidRDefault="006F2579" w:rsidP="006F2579">
      <w:pPr>
        <w:widowControl w:val="0"/>
      </w:pPr>
    </w:p>
    <w:p w:rsidR="006F2579" w:rsidRPr="001C7519" w:rsidRDefault="00777ECC" w:rsidP="006F2579">
      <w:pPr>
        <w:widowControl w:val="0"/>
      </w:pPr>
      <w:r w:rsidRPr="001C7519">
        <w:rPr>
          <w:b/>
        </w:rPr>
        <w:t>September</w:t>
      </w:r>
      <w:r w:rsidR="00A15B66" w:rsidRPr="001C7519">
        <w:rPr>
          <w:b/>
        </w:rPr>
        <w:t xml:space="preserve"> </w:t>
      </w:r>
      <w:r w:rsidR="00CA2E4E" w:rsidRPr="001C7519">
        <w:rPr>
          <w:b/>
        </w:rPr>
        <w:t>2</w:t>
      </w:r>
      <w:r w:rsidRPr="001C7519">
        <w:rPr>
          <w:b/>
        </w:rPr>
        <w:t>7</w:t>
      </w:r>
      <w:r w:rsidR="004441C7" w:rsidRPr="001C7519">
        <w:rPr>
          <w:b/>
        </w:rPr>
        <w:t>,</w:t>
      </w:r>
      <w:r w:rsidR="006F2579" w:rsidRPr="001C7519">
        <w:rPr>
          <w:b/>
        </w:rPr>
        <w:t xml:space="preserve"> </w:t>
      </w:r>
      <w:r w:rsidR="0054689F" w:rsidRPr="001C7519">
        <w:rPr>
          <w:b/>
        </w:rPr>
        <w:t>20</w:t>
      </w:r>
      <w:r w:rsidR="00526754" w:rsidRPr="001C7519">
        <w:rPr>
          <w:b/>
        </w:rPr>
        <w:t>2</w:t>
      </w:r>
      <w:r w:rsidR="0068416C" w:rsidRPr="001C7519">
        <w:rPr>
          <w:b/>
        </w:rPr>
        <w:t>1</w:t>
      </w:r>
    </w:p>
    <w:p w:rsidR="006F2579" w:rsidRPr="001C7519" w:rsidRDefault="00674F39" w:rsidP="006F2579">
      <w:pPr>
        <w:widowControl w:val="0"/>
        <w:rPr>
          <w:b/>
        </w:rPr>
      </w:pPr>
      <w:r w:rsidRPr="001C7519">
        <w:rPr>
          <w:b/>
        </w:rPr>
        <w:t>For immediate release</w:t>
      </w:r>
    </w:p>
    <w:p w:rsidR="006F2579" w:rsidRPr="001C7519" w:rsidRDefault="006F2579" w:rsidP="006F2579">
      <w:pPr>
        <w:widowControl w:val="0"/>
      </w:pPr>
    </w:p>
    <w:p w:rsidR="006F2579" w:rsidRPr="001C7519" w:rsidRDefault="006F2579" w:rsidP="006F2579">
      <w:pPr>
        <w:widowControl w:val="0"/>
        <w:rPr>
          <w:lang w:val="fr-CA"/>
        </w:rPr>
      </w:pPr>
      <w:r w:rsidRPr="001C7519">
        <w:rPr>
          <w:b/>
        </w:rPr>
        <w:t>OTTAWA</w:t>
      </w:r>
      <w:r w:rsidRPr="001C7519">
        <w:t xml:space="preserve"> – The Supreme Court of Canad</w:t>
      </w:r>
      <w:r w:rsidR="006246E4" w:rsidRPr="001C7519">
        <w:t>a</w:t>
      </w:r>
      <w:r w:rsidRPr="001C7519">
        <w:t xml:space="preserve"> announced today that judgment in the following </w:t>
      </w:r>
      <w:r w:rsidR="00DB6199" w:rsidRPr="001C7519">
        <w:t xml:space="preserve">leave applications </w:t>
      </w:r>
      <w:r w:rsidRPr="001C7519">
        <w:t xml:space="preserve">will be delivered at 9:45 a.m. </w:t>
      </w:r>
      <w:r w:rsidR="00E05816" w:rsidRPr="001C7519">
        <w:t>E</w:t>
      </w:r>
      <w:r w:rsidR="0098345D" w:rsidRPr="001C7519">
        <w:t>D</w:t>
      </w:r>
      <w:r w:rsidR="00E05816" w:rsidRPr="001C7519">
        <w:t>T</w:t>
      </w:r>
      <w:r w:rsidRPr="001C7519">
        <w:t xml:space="preserve"> on </w:t>
      </w:r>
      <w:r w:rsidR="00680A85" w:rsidRPr="001C7519">
        <w:t>Wednesday</w:t>
      </w:r>
      <w:r w:rsidRPr="001C7519">
        <w:t xml:space="preserve">, </w:t>
      </w:r>
      <w:r w:rsidR="00777ECC" w:rsidRPr="001C7519">
        <w:t>September</w:t>
      </w:r>
      <w:r w:rsidR="00455912" w:rsidRPr="001C7519">
        <w:t xml:space="preserve"> </w:t>
      </w:r>
      <w:r w:rsidR="00680A85" w:rsidRPr="001C7519">
        <w:t>29</w:t>
      </w:r>
      <w:r w:rsidR="007E112F" w:rsidRPr="001C7519">
        <w:t>,</w:t>
      </w:r>
      <w:r w:rsidR="002F38D7" w:rsidRPr="001C7519">
        <w:t xml:space="preserve"> </w:t>
      </w:r>
      <w:r w:rsidR="006648D1" w:rsidRPr="001C7519">
        <w:t>20</w:t>
      </w:r>
      <w:r w:rsidR="00526754" w:rsidRPr="001C7519">
        <w:t>2</w:t>
      </w:r>
      <w:r w:rsidR="00DD65CF" w:rsidRPr="001C7519">
        <w:t>1</w:t>
      </w:r>
      <w:r w:rsidRPr="001C7519">
        <w:t xml:space="preserve">. </w:t>
      </w:r>
      <w:r w:rsidRPr="001C7519">
        <w:rPr>
          <w:lang w:val="fr-CA"/>
        </w:rPr>
        <w:t>This list is subject to chang</w:t>
      </w:r>
      <w:r w:rsidR="00192F7F" w:rsidRPr="001C7519">
        <w:rPr>
          <w:lang w:val="fr-CA"/>
        </w:rPr>
        <w:t>e</w:t>
      </w:r>
      <w:r w:rsidRPr="001C7519">
        <w:rPr>
          <w:lang w:val="fr-CA"/>
        </w:rPr>
        <w:t>.</w:t>
      </w:r>
    </w:p>
    <w:p w:rsidR="00FF5AA4" w:rsidRPr="001C7519" w:rsidRDefault="00FF5AA4" w:rsidP="006F2579">
      <w:pPr>
        <w:widowControl w:val="0"/>
        <w:rPr>
          <w:lang w:val="fr-CA"/>
        </w:rPr>
      </w:pPr>
    </w:p>
    <w:p w:rsidR="00B43418" w:rsidRPr="001C7519" w:rsidRDefault="00B43418" w:rsidP="006F2579">
      <w:pPr>
        <w:widowControl w:val="0"/>
        <w:rPr>
          <w:lang w:val="fr-CA"/>
        </w:rPr>
      </w:pPr>
    </w:p>
    <w:p w:rsidR="006F2579" w:rsidRPr="001C7519" w:rsidRDefault="006F2579" w:rsidP="006F2579">
      <w:pPr>
        <w:widowControl w:val="0"/>
        <w:jc w:val="center"/>
        <w:rPr>
          <w:lang w:val="fr-CA"/>
        </w:rPr>
      </w:pPr>
      <w:r w:rsidRPr="001C7519">
        <w:rPr>
          <w:b/>
          <w:lang w:val="fr-CA"/>
        </w:rPr>
        <w:t>PROCHAIN</w:t>
      </w:r>
      <w:r w:rsidR="00B17AAC" w:rsidRPr="001C7519">
        <w:rPr>
          <w:b/>
          <w:lang w:val="fr-CA"/>
        </w:rPr>
        <w:t>S</w:t>
      </w:r>
      <w:r w:rsidRPr="001C7519">
        <w:rPr>
          <w:b/>
          <w:lang w:val="fr-CA"/>
        </w:rPr>
        <w:t xml:space="preserve"> JUGEMENT</w:t>
      </w:r>
      <w:r w:rsidR="00B17AAC" w:rsidRPr="001C7519">
        <w:rPr>
          <w:b/>
          <w:lang w:val="fr-CA"/>
        </w:rPr>
        <w:t>S</w:t>
      </w:r>
      <w:r w:rsidR="00001846" w:rsidRPr="001C7519">
        <w:rPr>
          <w:b/>
          <w:lang w:val="fr-CA"/>
        </w:rPr>
        <w:t xml:space="preserve"> SUR DEMANDE</w:t>
      </w:r>
      <w:r w:rsidR="00B17AAC" w:rsidRPr="001C7519">
        <w:rPr>
          <w:b/>
          <w:lang w:val="fr-CA"/>
        </w:rPr>
        <w:t>S</w:t>
      </w:r>
      <w:r w:rsidRPr="001C7519">
        <w:rPr>
          <w:b/>
          <w:lang w:val="fr-CA"/>
        </w:rPr>
        <w:t xml:space="preserve"> D’AUTORISATION</w:t>
      </w:r>
    </w:p>
    <w:p w:rsidR="006F2579" w:rsidRPr="001C7519" w:rsidRDefault="006F2579" w:rsidP="006F2579">
      <w:pPr>
        <w:widowControl w:val="0"/>
        <w:rPr>
          <w:lang w:val="fr-CA"/>
        </w:rPr>
      </w:pPr>
    </w:p>
    <w:p w:rsidR="006F2579" w:rsidRPr="001C7519" w:rsidRDefault="006F2579" w:rsidP="006F2579">
      <w:pPr>
        <w:widowControl w:val="0"/>
        <w:rPr>
          <w:lang w:val="fr-CA"/>
        </w:rPr>
      </w:pPr>
      <w:r w:rsidRPr="001C7519">
        <w:rPr>
          <w:b/>
          <w:lang w:val="fr-CA"/>
        </w:rPr>
        <w:t>Le</w:t>
      </w:r>
      <w:r w:rsidR="00957A76" w:rsidRPr="001C7519">
        <w:rPr>
          <w:b/>
          <w:lang w:val="fr-CA"/>
        </w:rPr>
        <w:t xml:space="preserve"> </w:t>
      </w:r>
      <w:r w:rsidR="00CA2E4E" w:rsidRPr="001C7519">
        <w:rPr>
          <w:b/>
          <w:lang w:val="fr-CA"/>
        </w:rPr>
        <w:t>2</w:t>
      </w:r>
      <w:r w:rsidR="00777ECC" w:rsidRPr="001C7519">
        <w:rPr>
          <w:b/>
          <w:lang w:val="fr-CA"/>
        </w:rPr>
        <w:t>7</w:t>
      </w:r>
      <w:r w:rsidR="00825246" w:rsidRPr="001C7519">
        <w:rPr>
          <w:b/>
          <w:lang w:val="fr-CA"/>
        </w:rPr>
        <w:t xml:space="preserve"> </w:t>
      </w:r>
      <w:r w:rsidR="00777ECC" w:rsidRPr="001C7519">
        <w:rPr>
          <w:b/>
          <w:lang w:val="fr-CA"/>
        </w:rPr>
        <w:t>septembre</w:t>
      </w:r>
      <w:r w:rsidR="00A151D1" w:rsidRPr="001C7519">
        <w:rPr>
          <w:b/>
          <w:lang w:val="fr-CA"/>
        </w:rPr>
        <w:t xml:space="preserve"> 20</w:t>
      </w:r>
      <w:r w:rsidR="00526754" w:rsidRPr="001C7519">
        <w:rPr>
          <w:b/>
          <w:lang w:val="fr-CA"/>
        </w:rPr>
        <w:t>2</w:t>
      </w:r>
      <w:r w:rsidR="0068416C" w:rsidRPr="001C7519">
        <w:rPr>
          <w:b/>
          <w:lang w:val="fr-CA"/>
        </w:rPr>
        <w:t>1</w:t>
      </w:r>
    </w:p>
    <w:p w:rsidR="006F2579" w:rsidRPr="001C7519" w:rsidRDefault="006F2579" w:rsidP="006F2579">
      <w:pPr>
        <w:widowControl w:val="0"/>
        <w:rPr>
          <w:b/>
          <w:lang w:val="fr-CA"/>
        </w:rPr>
      </w:pPr>
      <w:r w:rsidRPr="001C7519">
        <w:rPr>
          <w:b/>
          <w:lang w:val="fr-CA"/>
        </w:rPr>
        <w:t>Pour diffusion immédiate</w:t>
      </w:r>
    </w:p>
    <w:p w:rsidR="006F2579" w:rsidRPr="001C7519" w:rsidRDefault="006F2579" w:rsidP="006F2579">
      <w:pPr>
        <w:widowControl w:val="0"/>
        <w:rPr>
          <w:lang w:val="fr-CA"/>
        </w:rPr>
      </w:pPr>
    </w:p>
    <w:p w:rsidR="006F2579" w:rsidRPr="001C7519" w:rsidRDefault="006F2579" w:rsidP="006F2579">
      <w:pPr>
        <w:widowControl w:val="0"/>
        <w:rPr>
          <w:lang w:val="fr-CA"/>
        </w:rPr>
      </w:pPr>
      <w:r w:rsidRPr="001C7519">
        <w:rPr>
          <w:b/>
          <w:lang w:val="fr-CA"/>
        </w:rPr>
        <w:t>OTTAWA</w:t>
      </w:r>
      <w:r w:rsidRPr="001C7519">
        <w:rPr>
          <w:lang w:val="fr-CA"/>
        </w:rPr>
        <w:t xml:space="preserve"> – La Cour suprême du Canada annonce que jugement ser</w:t>
      </w:r>
      <w:r w:rsidR="004259F9" w:rsidRPr="001C7519">
        <w:rPr>
          <w:lang w:val="fr-CA"/>
        </w:rPr>
        <w:t>a</w:t>
      </w:r>
      <w:r w:rsidRPr="001C7519">
        <w:rPr>
          <w:lang w:val="fr-CA"/>
        </w:rPr>
        <w:t xml:space="preserve"> rendu dans l</w:t>
      </w:r>
      <w:r w:rsidR="008600ED" w:rsidRPr="001C7519">
        <w:rPr>
          <w:lang w:val="fr-CA"/>
        </w:rPr>
        <w:t>es</w:t>
      </w:r>
      <w:r w:rsidRPr="001C7519">
        <w:rPr>
          <w:lang w:val="fr-CA"/>
        </w:rPr>
        <w:t xml:space="preserve"> demande</w:t>
      </w:r>
      <w:r w:rsidR="008600ED" w:rsidRPr="001C7519">
        <w:rPr>
          <w:lang w:val="fr-CA"/>
        </w:rPr>
        <w:t>s</w:t>
      </w:r>
      <w:r w:rsidRPr="001C7519">
        <w:rPr>
          <w:lang w:val="fr-CA"/>
        </w:rPr>
        <w:t xml:space="preserve"> d</w:t>
      </w:r>
      <w:r w:rsidR="00001846" w:rsidRPr="001C7519">
        <w:rPr>
          <w:lang w:val="fr-CA"/>
        </w:rPr>
        <w:t>’autorisation suivante</w:t>
      </w:r>
      <w:r w:rsidR="008600ED" w:rsidRPr="001C7519">
        <w:rPr>
          <w:lang w:val="fr-CA"/>
        </w:rPr>
        <w:t>s</w:t>
      </w:r>
      <w:r w:rsidRPr="001C7519">
        <w:rPr>
          <w:lang w:val="fr-CA"/>
        </w:rPr>
        <w:t xml:space="preserve"> le </w:t>
      </w:r>
      <w:r w:rsidR="00680A85" w:rsidRPr="001C7519">
        <w:rPr>
          <w:lang w:val="fr-CA"/>
        </w:rPr>
        <w:t>mercredi</w:t>
      </w:r>
      <w:r w:rsidRPr="001C7519">
        <w:rPr>
          <w:lang w:val="fr-CA"/>
        </w:rPr>
        <w:t xml:space="preserve"> </w:t>
      </w:r>
      <w:r w:rsidR="00680A85" w:rsidRPr="001C7519">
        <w:rPr>
          <w:lang w:val="fr-CA"/>
        </w:rPr>
        <w:t>29</w:t>
      </w:r>
      <w:r w:rsidR="009E0BD3" w:rsidRPr="001C7519">
        <w:rPr>
          <w:lang w:val="fr-CA"/>
        </w:rPr>
        <w:t xml:space="preserve"> </w:t>
      </w:r>
      <w:r w:rsidR="00777ECC" w:rsidRPr="001C7519">
        <w:rPr>
          <w:lang w:val="fr-CA"/>
        </w:rPr>
        <w:t>septembre</w:t>
      </w:r>
      <w:r w:rsidR="00694391" w:rsidRPr="001C7519">
        <w:rPr>
          <w:lang w:val="fr-CA"/>
        </w:rPr>
        <w:t xml:space="preserve"> 2</w:t>
      </w:r>
      <w:r w:rsidR="006648D1" w:rsidRPr="001C7519">
        <w:rPr>
          <w:lang w:val="fr-CA"/>
        </w:rPr>
        <w:t>0</w:t>
      </w:r>
      <w:r w:rsidR="00526754" w:rsidRPr="001C7519">
        <w:rPr>
          <w:lang w:val="fr-CA"/>
        </w:rPr>
        <w:t>2</w:t>
      </w:r>
      <w:r w:rsidR="0068416C" w:rsidRPr="001C7519">
        <w:rPr>
          <w:lang w:val="fr-CA"/>
        </w:rPr>
        <w:t>1</w:t>
      </w:r>
      <w:r w:rsidRPr="001C7519">
        <w:rPr>
          <w:lang w:val="fr-CA"/>
        </w:rPr>
        <w:t xml:space="preserve">, à 9 h 45 </w:t>
      </w:r>
      <w:r w:rsidR="000627A2" w:rsidRPr="001C7519">
        <w:rPr>
          <w:lang w:val="fr-CA"/>
        </w:rPr>
        <w:t>H</w:t>
      </w:r>
      <w:r w:rsidR="0098345D" w:rsidRPr="001C7519">
        <w:rPr>
          <w:lang w:val="fr-CA"/>
        </w:rPr>
        <w:t>A</w:t>
      </w:r>
      <w:r w:rsidRPr="001C7519">
        <w:rPr>
          <w:lang w:val="fr-CA"/>
        </w:rPr>
        <w:t>E. Cette liste est sujette à modification</w:t>
      </w:r>
      <w:r w:rsidR="00130ADB" w:rsidRPr="001C7519">
        <w:rPr>
          <w:lang w:val="fr-CA"/>
        </w:rPr>
        <w:t>s</w:t>
      </w:r>
      <w:r w:rsidRPr="001C7519">
        <w:rPr>
          <w:lang w:val="fr-CA"/>
        </w:rPr>
        <w:t>.</w:t>
      </w:r>
    </w:p>
    <w:p w:rsidR="0080556B" w:rsidRPr="001C7519" w:rsidRDefault="0080556B" w:rsidP="005F2A78">
      <w:pPr>
        <w:widowControl w:val="0"/>
        <w:tabs>
          <w:tab w:val="left" w:pos="3840"/>
        </w:tabs>
        <w:jc w:val="both"/>
        <w:rPr>
          <w:sz w:val="20"/>
          <w:lang w:val="fr-CA"/>
        </w:rPr>
      </w:pPr>
    </w:p>
    <w:p w:rsidR="00867C61" w:rsidRPr="001C7519" w:rsidRDefault="00E75919" w:rsidP="009B14F4">
      <w:pPr>
        <w:widowControl w:val="0"/>
        <w:jc w:val="both"/>
        <w:rPr>
          <w:sz w:val="20"/>
        </w:rPr>
      </w:pPr>
      <w:r>
        <w:rPr>
          <w:sz w:val="20"/>
        </w:rPr>
        <w:pict>
          <v:rect id="_x0000_i1025" style="width:2in;height:1pt" o:hrpct="0" o:hralign="center" o:hrstd="t" o:hrnoshade="t" o:hr="t" fillcolor="black [3213]" stroked="f"/>
        </w:pict>
      </w:r>
    </w:p>
    <w:p w:rsidR="004A6E51" w:rsidRPr="001C7519" w:rsidRDefault="004A6E51" w:rsidP="00777ECC">
      <w:pPr>
        <w:ind w:left="357" w:hanging="357"/>
        <w:rPr>
          <w:sz w:val="20"/>
          <w:lang w:val="fr-CA"/>
        </w:rPr>
      </w:pPr>
    </w:p>
    <w:p w:rsidR="00B63A3D" w:rsidRPr="001C7519" w:rsidRDefault="00B63A3D" w:rsidP="009C1599">
      <w:pPr>
        <w:pStyle w:val="ListParagraph"/>
        <w:numPr>
          <w:ilvl w:val="0"/>
          <w:numId w:val="50"/>
        </w:numPr>
        <w:ind w:left="357" w:hanging="357"/>
        <w:rPr>
          <w:i/>
          <w:sz w:val="20"/>
          <w:lang w:val="en-CA"/>
        </w:rPr>
      </w:pPr>
      <w:r w:rsidRPr="001C7519">
        <w:rPr>
          <w:i/>
          <w:sz w:val="20"/>
        </w:rPr>
        <w:t xml:space="preserve">Tianyun Xu also known as Terence Xu v. Yuenyuen Hu also known as Betty Hu, et al. </w:t>
      </w:r>
      <w:r w:rsidRPr="001C7519">
        <w:rPr>
          <w:sz w:val="20"/>
          <w:lang w:val="en-CA"/>
        </w:rPr>
        <w:t xml:space="preserve">(B.C.) (Civil) (By Leave) </w:t>
      </w:r>
      <w:r w:rsidRPr="001C7519">
        <w:rPr>
          <w:rFonts w:eastAsia="Calibri"/>
          <w:sz w:val="20"/>
          <w:lang w:val="en-CA"/>
        </w:rPr>
        <w:t>(</w:t>
      </w:r>
      <w:hyperlink r:id="rId8" w:history="1">
        <w:r w:rsidRPr="001C7519">
          <w:rPr>
            <w:rStyle w:val="Hyperlink"/>
            <w:rFonts w:eastAsia="Calibri"/>
            <w:sz w:val="20"/>
            <w:lang w:val="en-CA"/>
          </w:rPr>
          <w:t>39</w:t>
        </w:r>
        <w:r w:rsidR="00022C1A" w:rsidRPr="001C7519">
          <w:rPr>
            <w:rStyle w:val="Hyperlink"/>
            <w:rFonts w:eastAsia="Calibri"/>
            <w:sz w:val="20"/>
            <w:lang w:val="en-CA"/>
          </w:rPr>
          <w:t>621</w:t>
        </w:r>
      </w:hyperlink>
      <w:r w:rsidRPr="001C7519">
        <w:rPr>
          <w:rFonts w:eastAsia="Calibri"/>
          <w:sz w:val="20"/>
          <w:lang w:val="en-CA"/>
        </w:rPr>
        <w:t>)</w:t>
      </w:r>
    </w:p>
    <w:p w:rsidR="00B63A3D" w:rsidRPr="001C7519" w:rsidRDefault="00B63A3D" w:rsidP="009C1599">
      <w:pPr>
        <w:widowControl w:val="0"/>
        <w:autoSpaceDE w:val="0"/>
        <w:autoSpaceDN w:val="0"/>
        <w:adjustRightInd w:val="0"/>
        <w:ind w:left="357" w:hanging="357"/>
        <w:rPr>
          <w:sz w:val="20"/>
          <w:lang w:val="en-CA"/>
        </w:rPr>
      </w:pPr>
    </w:p>
    <w:p w:rsidR="00B63A3D" w:rsidRPr="001C7519" w:rsidRDefault="00B63A3D" w:rsidP="009C1599">
      <w:pPr>
        <w:pStyle w:val="ListParagraph"/>
        <w:numPr>
          <w:ilvl w:val="0"/>
          <w:numId w:val="50"/>
        </w:numPr>
        <w:ind w:left="357" w:hanging="357"/>
        <w:rPr>
          <w:sz w:val="20"/>
        </w:rPr>
      </w:pPr>
      <w:r w:rsidRPr="001C7519">
        <w:rPr>
          <w:i/>
          <w:sz w:val="20"/>
        </w:rPr>
        <w:t>Allan Winfield Potter v. Her Majesty the Queen</w:t>
      </w:r>
      <w:r w:rsidRPr="001C7519">
        <w:rPr>
          <w:sz w:val="20"/>
        </w:rPr>
        <w:t xml:space="preserve"> (N.L.) (Criminal) (By Leave) </w:t>
      </w:r>
      <w:r w:rsidRPr="001C7519">
        <w:rPr>
          <w:rFonts w:eastAsia="Calibri"/>
          <w:sz w:val="20"/>
          <w:lang w:val="en-CA"/>
        </w:rPr>
        <w:t>(</w:t>
      </w:r>
      <w:hyperlink r:id="rId9" w:history="1">
        <w:r w:rsidRPr="001C7519">
          <w:rPr>
            <w:rStyle w:val="Hyperlink"/>
            <w:rFonts w:eastAsia="Calibri"/>
            <w:sz w:val="20"/>
            <w:lang w:val="en-CA"/>
          </w:rPr>
          <w:t>39</w:t>
        </w:r>
        <w:r w:rsidR="00022C1A" w:rsidRPr="001C7519">
          <w:rPr>
            <w:rStyle w:val="Hyperlink"/>
            <w:rFonts w:eastAsia="Calibri"/>
            <w:sz w:val="20"/>
            <w:lang w:val="en-CA"/>
          </w:rPr>
          <w:t>646</w:t>
        </w:r>
      </w:hyperlink>
      <w:r w:rsidRPr="001C7519">
        <w:rPr>
          <w:rFonts w:eastAsia="Calibri"/>
          <w:sz w:val="20"/>
          <w:lang w:val="en-CA"/>
        </w:rPr>
        <w:t>)</w:t>
      </w:r>
    </w:p>
    <w:p w:rsidR="00B63A3D" w:rsidRPr="001C7519" w:rsidRDefault="00B63A3D" w:rsidP="009C1599">
      <w:pPr>
        <w:widowControl w:val="0"/>
        <w:autoSpaceDE w:val="0"/>
        <w:autoSpaceDN w:val="0"/>
        <w:adjustRightInd w:val="0"/>
        <w:ind w:left="357" w:hanging="357"/>
        <w:contextualSpacing/>
        <w:rPr>
          <w:sz w:val="20"/>
        </w:rPr>
      </w:pPr>
    </w:p>
    <w:p w:rsidR="00B63A3D" w:rsidRPr="001C7519" w:rsidRDefault="00B63A3D" w:rsidP="009C1599">
      <w:pPr>
        <w:pStyle w:val="ListParagraph"/>
        <w:numPr>
          <w:ilvl w:val="0"/>
          <w:numId w:val="50"/>
        </w:numPr>
        <w:ind w:left="357" w:hanging="357"/>
        <w:rPr>
          <w:sz w:val="20"/>
        </w:rPr>
      </w:pPr>
      <w:r w:rsidRPr="001C7519">
        <w:rPr>
          <w:i/>
          <w:sz w:val="20"/>
        </w:rPr>
        <w:t>Unifor Canada Local 594 v. Consumers’ Co-Operative Refineries Limited</w:t>
      </w:r>
      <w:r w:rsidRPr="001C7519">
        <w:rPr>
          <w:sz w:val="20"/>
        </w:rPr>
        <w:t xml:space="preserve"> (Sask.) (Civil) (By Leave) </w:t>
      </w:r>
      <w:r w:rsidRPr="001C7519">
        <w:rPr>
          <w:rFonts w:eastAsia="Calibri"/>
          <w:sz w:val="20"/>
          <w:lang w:val="en-CA"/>
        </w:rPr>
        <w:t>(</w:t>
      </w:r>
      <w:hyperlink r:id="rId10" w:history="1">
        <w:r w:rsidRPr="001C7519">
          <w:rPr>
            <w:rStyle w:val="Hyperlink"/>
            <w:rFonts w:eastAsia="Calibri"/>
            <w:sz w:val="20"/>
            <w:lang w:val="en-CA"/>
          </w:rPr>
          <w:t>39</w:t>
        </w:r>
        <w:r w:rsidR="00022C1A" w:rsidRPr="001C7519">
          <w:rPr>
            <w:rStyle w:val="Hyperlink"/>
            <w:rFonts w:eastAsia="Calibri"/>
            <w:sz w:val="20"/>
            <w:lang w:val="en-CA"/>
          </w:rPr>
          <w:t>6</w:t>
        </w:r>
        <w:r w:rsidRPr="001C7519">
          <w:rPr>
            <w:rStyle w:val="Hyperlink"/>
            <w:rFonts w:eastAsia="Calibri"/>
            <w:sz w:val="20"/>
            <w:lang w:val="en-CA"/>
          </w:rPr>
          <w:t>5</w:t>
        </w:r>
        <w:r w:rsidR="00022C1A" w:rsidRPr="001C7519">
          <w:rPr>
            <w:rStyle w:val="Hyperlink"/>
            <w:rFonts w:eastAsia="Calibri"/>
            <w:sz w:val="20"/>
            <w:lang w:val="en-CA"/>
          </w:rPr>
          <w:t>1</w:t>
        </w:r>
      </w:hyperlink>
      <w:r w:rsidRPr="001C7519">
        <w:rPr>
          <w:rFonts w:eastAsia="Calibri"/>
          <w:sz w:val="20"/>
          <w:lang w:val="en-CA"/>
        </w:rPr>
        <w:t>)</w:t>
      </w:r>
    </w:p>
    <w:p w:rsidR="00B63A3D" w:rsidRPr="001C7519" w:rsidRDefault="00B63A3D" w:rsidP="009C1599">
      <w:pPr>
        <w:widowControl w:val="0"/>
        <w:autoSpaceDE w:val="0"/>
        <w:autoSpaceDN w:val="0"/>
        <w:adjustRightInd w:val="0"/>
        <w:ind w:left="357" w:hanging="357"/>
        <w:rPr>
          <w:rFonts w:eastAsia="Calibri"/>
          <w:sz w:val="20"/>
        </w:rPr>
      </w:pPr>
    </w:p>
    <w:p w:rsidR="00B63A3D" w:rsidRPr="001C7519" w:rsidRDefault="00B63A3D" w:rsidP="009C1599">
      <w:pPr>
        <w:pStyle w:val="ListParagraph"/>
        <w:numPr>
          <w:ilvl w:val="0"/>
          <w:numId w:val="50"/>
        </w:numPr>
        <w:ind w:left="357" w:hanging="357"/>
        <w:rPr>
          <w:rFonts w:eastAsia="Calibri"/>
          <w:sz w:val="20"/>
          <w:lang w:val="fr-CA"/>
        </w:rPr>
      </w:pPr>
      <w:r w:rsidRPr="001C7519">
        <w:rPr>
          <w:rFonts w:eastAsia="Calibri"/>
          <w:i/>
          <w:sz w:val="20"/>
          <w:lang w:val="fr-CA"/>
        </w:rPr>
        <w:t>Honorable Gérard Dugré c. Procureur général du Canada</w:t>
      </w:r>
      <w:r w:rsidRPr="001C7519">
        <w:rPr>
          <w:rFonts w:eastAsia="Calibri"/>
          <w:sz w:val="20"/>
          <w:lang w:val="fr-CA"/>
        </w:rPr>
        <w:t xml:space="preserve"> (C.F.) (Civile) (Autorisation) (</w:t>
      </w:r>
      <w:hyperlink r:id="rId11" w:history="1">
        <w:r w:rsidRPr="001C7519">
          <w:rPr>
            <w:rStyle w:val="Hyperlink"/>
            <w:rFonts w:eastAsia="Calibri"/>
            <w:sz w:val="20"/>
            <w:lang w:val="fr-CA"/>
          </w:rPr>
          <w:t>396</w:t>
        </w:r>
        <w:r w:rsidR="00022C1A" w:rsidRPr="001C7519">
          <w:rPr>
            <w:rStyle w:val="Hyperlink"/>
            <w:rFonts w:eastAsia="Calibri"/>
            <w:sz w:val="20"/>
            <w:lang w:val="fr-CA"/>
          </w:rPr>
          <w:t>1</w:t>
        </w:r>
        <w:r w:rsidRPr="001C7519">
          <w:rPr>
            <w:rStyle w:val="Hyperlink"/>
            <w:rFonts w:eastAsia="Calibri"/>
            <w:sz w:val="20"/>
            <w:lang w:val="fr-CA"/>
          </w:rPr>
          <w:t>4</w:t>
        </w:r>
      </w:hyperlink>
      <w:r w:rsidRPr="001C7519">
        <w:rPr>
          <w:rFonts w:eastAsia="Calibri"/>
          <w:sz w:val="20"/>
          <w:lang w:val="fr-CA"/>
        </w:rPr>
        <w:t>)</w:t>
      </w:r>
    </w:p>
    <w:p w:rsidR="00B63A3D" w:rsidRPr="001C7519" w:rsidRDefault="00B63A3D" w:rsidP="009C1599">
      <w:pPr>
        <w:widowControl w:val="0"/>
        <w:autoSpaceDE w:val="0"/>
        <w:autoSpaceDN w:val="0"/>
        <w:adjustRightInd w:val="0"/>
        <w:ind w:left="357" w:hanging="357"/>
        <w:rPr>
          <w:rFonts w:eastAsia="Calibri"/>
          <w:sz w:val="20"/>
          <w:lang w:val="fr-CA"/>
        </w:rPr>
      </w:pPr>
    </w:p>
    <w:p w:rsidR="00B63A3D" w:rsidRPr="001C7519" w:rsidRDefault="00B63A3D" w:rsidP="009C1599">
      <w:pPr>
        <w:pStyle w:val="ListParagraph"/>
        <w:numPr>
          <w:ilvl w:val="0"/>
          <w:numId w:val="50"/>
        </w:numPr>
        <w:ind w:left="357" w:hanging="357"/>
        <w:rPr>
          <w:rFonts w:eastAsia="Calibri"/>
          <w:sz w:val="20"/>
          <w:lang w:val="fr-CA"/>
        </w:rPr>
      </w:pPr>
      <w:r w:rsidRPr="001C7519">
        <w:rPr>
          <w:rFonts w:eastAsia="Calibri"/>
          <w:i/>
          <w:sz w:val="20"/>
          <w:lang w:val="fr-CA"/>
        </w:rPr>
        <w:t>Honorable Gérard Dugré c. Procureur général du Canada</w:t>
      </w:r>
      <w:r w:rsidRPr="001C7519">
        <w:rPr>
          <w:rFonts w:eastAsia="Calibri"/>
          <w:sz w:val="20"/>
          <w:lang w:val="fr-CA"/>
        </w:rPr>
        <w:t xml:space="preserve"> (C.F.) (Civile) (Autorisation) (</w:t>
      </w:r>
      <w:hyperlink r:id="rId12" w:history="1">
        <w:r w:rsidRPr="001C7519">
          <w:rPr>
            <w:rStyle w:val="Hyperlink"/>
            <w:rFonts w:eastAsia="Calibri"/>
            <w:sz w:val="20"/>
            <w:lang w:val="fr-CA"/>
          </w:rPr>
          <w:t>396</w:t>
        </w:r>
        <w:r w:rsidR="00022C1A" w:rsidRPr="001C7519">
          <w:rPr>
            <w:rStyle w:val="Hyperlink"/>
            <w:rFonts w:eastAsia="Calibri"/>
            <w:sz w:val="20"/>
            <w:lang w:val="fr-CA"/>
          </w:rPr>
          <w:t>36</w:t>
        </w:r>
      </w:hyperlink>
      <w:r w:rsidRPr="001C7519">
        <w:rPr>
          <w:rFonts w:eastAsia="Calibri"/>
          <w:sz w:val="20"/>
          <w:lang w:val="fr-CA"/>
        </w:rPr>
        <w:t>)</w:t>
      </w:r>
    </w:p>
    <w:p w:rsidR="00B63A3D" w:rsidRPr="001C7519" w:rsidRDefault="00B63A3D" w:rsidP="009C1599">
      <w:pPr>
        <w:widowControl w:val="0"/>
        <w:autoSpaceDE w:val="0"/>
        <w:autoSpaceDN w:val="0"/>
        <w:adjustRightInd w:val="0"/>
        <w:ind w:left="357" w:hanging="357"/>
        <w:rPr>
          <w:rFonts w:eastAsia="Calibri"/>
          <w:sz w:val="20"/>
          <w:lang w:val="fr-CA"/>
        </w:rPr>
      </w:pPr>
    </w:p>
    <w:p w:rsidR="00B63A3D" w:rsidRPr="001C7519" w:rsidRDefault="00B63A3D" w:rsidP="009C1599">
      <w:pPr>
        <w:pStyle w:val="ListParagraph"/>
        <w:numPr>
          <w:ilvl w:val="0"/>
          <w:numId w:val="50"/>
        </w:numPr>
        <w:ind w:left="357" w:hanging="357"/>
        <w:rPr>
          <w:rFonts w:eastAsia="Calibri"/>
          <w:sz w:val="20"/>
        </w:rPr>
      </w:pPr>
      <w:r w:rsidRPr="001C7519">
        <w:rPr>
          <w:rFonts w:eastAsia="Calibri"/>
          <w:i/>
          <w:sz w:val="20"/>
        </w:rPr>
        <w:t xml:space="preserve">Red Chris Development Company Ltd. v. United Steel, Paper and Forestry, Rubber, Manufacturing, Energy, Allied Industrial and Service Workers International Union, Local 1-1937, et al. </w:t>
      </w:r>
      <w:r w:rsidRPr="001C7519">
        <w:rPr>
          <w:rFonts w:eastAsia="Calibri"/>
          <w:sz w:val="20"/>
        </w:rPr>
        <w:t xml:space="preserve">(B.C.) </w:t>
      </w:r>
      <w:r w:rsidR="00022C1A" w:rsidRPr="001C7519">
        <w:rPr>
          <w:rFonts w:eastAsia="Calibri"/>
          <w:sz w:val="20"/>
        </w:rPr>
        <w:t xml:space="preserve">(Civil) </w:t>
      </w:r>
      <w:r w:rsidRPr="001C7519">
        <w:rPr>
          <w:rFonts w:eastAsia="Calibri"/>
          <w:sz w:val="20"/>
        </w:rPr>
        <w:t xml:space="preserve">(By Leave) </w:t>
      </w:r>
      <w:r w:rsidRPr="001C7519">
        <w:rPr>
          <w:rFonts w:eastAsia="Calibri"/>
          <w:sz w:val="20"/>
          <w:lang w:val="en-CA"/>
        </w:rPr>
        <w:t>(</w:t>
      </w:r>
      <w:hyperlink r:id="rId13" w:history="1">
        <w:r w:rsidRPr="001C7519">
          <w:rPr>
            <w:rStyle w:val="Hyperlink"/>
            <w:rFonts w:eastAsia="Calibri"/>
            <w:sz w:val="20"/>
            <w:lang w:val="en-CA"/>
          </w:rPr>
          <w:t>39</w:t>
        </w:r>
        <w:r w:rsidR="00022C1A" w:rsidRPr="001C7519">
          <w:rPr>
            <w:rStyle w:val="Hyperlink"/>
            <w:rFonts w:eastAsia="Calibri"/>
            <w:sz w:val="20"/>
            <w:lang w:val="en-CA"/>
          </w:rPr>
          <w:t>668</w:t>
        </w:r>
      </w:hyperlink>
      <w:r w:rsidRPr="001C7519">
        <w:rPr>
          <w:rFonts w:eastAsia="Calibri"/>
          <w:sz w:val="20"/>
          <w:lang w:val="en-CA"/>
        </w:rPr>
        <w:t>)</w:t>
      </w:r>
    </w:p>
    <w:p w:rsidR="00B63A3D" w:rsidRPr="001C7519" w:rsidRDefault="00B63A3D" w:rsidP="009C1599">
      <w:pPr>
        <w:widowControl w:val="0"/>
        <w:autoSpaceDE w:val="0"/>
        <w:autoSpaceDN w:val="0"/>
        <w:adjustRightInd w:val="0"/>
        <w:ind w:left="357" w:hanging="357"/>
        <w:rPr>
          <w:rFonts w:eastAsia="Calibri"/>
          <w:sz w:val="20"/>
        </w:rPr>
      </w:pPr>
    </w:p>
    <w:p w:rsidR="00B63A3D" w:rsidRPr="001C7519" w:rsidRDefault="00B63A3D" w:rsidP="009C1599">
      <w:pPr>
        <w:pStyle w:val="ListParagraph"/>
        <w:numPr>
          <w:ilvl w:val="0"/>
          <w:numId w:val="50"/>
        </w:numPr>
        <w:ind w:left="357" w:hanging="357"/>
        <w:rPr>
          <w:rFonts w:eastAsia="Calibri"/>
          <w:sz w:val="20"/>
        </w:rPr>
      </w:pPr>
      <w:r w:rsidRPr="001C7519">
        <w:rPr>
          <w:rFonts w:eastAsia="Calibri"/>
          <w:i/>
          <w:sz w:val="20"/>
        </w:rPr>
        <w:t xml:space="preserve">Canada Investment Corporation v. Stanbarr Services Limited, et al. </w:t>
      </w:r>
      <w:r w:rsidRPr="001C7519">
        <w:rPr>
          <w:rFonts w:eastAsia="Calibri"/>
          <w:sz w:val="20"/>
        </w:rPr>
        <w:t xml:space="preserve">(Ont.) (Civil) (By Leave) </w:t>
      </w:r>
      <w:r w:rsidRPr="001C7519">
        <w:rPr>
          <w:rFonts w:eastAsia="Calibri"/>
          <w:sz w:val="20"/>
          <w:lang w:val="en-CA"/>
        </w:rPr>
        <w:t>(</w:t>
      </w:r>
      <w:hyperlink r:id="rId14" w:history="1">
        <w:r w:rsidRPr="001C7519">
          <w:rPr>
            <w:rStyle w:val="Hyperlink"/>
            <w:rFonts w:eastAsia="Calibri"/>
            <w:sz w:val="20"/>
            <w:lang w:val="en-CA"/>
          </w:rPr>
          <w:t>39</w:t>
        </w:r>
        <w:r w:rsidR="00022C1A" w:rsidRPr="001C7519">
          <w:rPr>
            <w:rStyle w:val="Hyperlink"/>
            <w:rFonts w:eastAsia="Calibri"/>
            <w:sz w:val="20"/>
            <w:lang w:val="en-CA"/>
          </w:rPr>
          <w:t>671</w:t>
        </w:r>
      </w:hyperlink>
      <w:r w:rsidRPr="001C7519">
        <w:rPr>
          <w:rFonts w:eastAsia="Calibri"/>
          <w:sz w:val="20"/>
          <w:lang w:val="en-CA"/>
        </w:rPr>
        <w:t>)</w:t>
      </w:r>
    </w:p>
    <w:p w:rsidR="00B63A3D" w:rsidRPr="001C7519" w:rsidRDefault="00B63A3D" w:rsidP="009C1599">
      <w:pPr>
        <w:ind w:left="357" w:hanging="357"/>
        <w:rPr>
          <w:sz w:val="20"/>
        </w:rPr>
      </w:pPr>
    </w:p>
    <w:p w:rsidR="00CA2E4E" w:rsidRPr="001C7519" w:rsidRDefault="00CA2E4E" w:rsidP="009C1599">
      <w:pPr>
        <w:pStyle w:val="ListParagraph"/>
        <w:numPr>
          <w:ilvl w:val="0"/>
          <w:numId w:val="50"/>
        </w:numPr>
        <w:ind w:left="357" w:hanging="357"/>
        <w:rPr>
          <w:rStyle w:val="SCCAppellantInfoAppellantInfoChar"/>
          <w:sz w:val="20"/>
          <w:szCs w:val="20"/>
          <w:lang w:val="fr-CA"/>
        </w:rPr>
      </w:pPr>
      <w:r w:rsidRPr="001C7519">
        <w:rPr>
          <w:rStyle w:val="SCCAppellantInfoAppellantInfoChar"/>
          <w:i/>
          <w:sz w:val="20"/>
          <w:szCs w:val="20"/>
          <w:lang w:val="fr-CA"/>
        </w:rPr>
        <w:t>Ferme Alsace Holstein S.E.N.C. c. Cimentier Steve Dumas inc.</w:t>
      </w:r>
      <w:r w:rsidRPr="001C7519">
        <w:rPr>
          <w:rStyle w:val="SCCAppellantInfoAppellantInfoChar"/>
          <w:sz w:val="20"/>
          <w:szCs w:val="20"/>
          <w:lang w:val="fr-CA"/>
        </w:rPr>
        <w:t xml:space="preserve"> (Qc) (Civile) (Autorisation) </w:t>
      </w:r>
      <w:r w:rsidRPr="001C7519">
        <w:rPr>
          <w:rFonts w:eastAsia="Calibri"/>
          <w:sz w:val="20"/>
          <w:lang w:val="fr-CA"/>
        </w:rPr>
        <w:t>(</w:t>
      </w:r>
      <w:hyperlink r:id="rId15" w:history="1">
        <w:r w:rsidRPr="001C7519">
          <w:rPr>
            <w:rStyle w:val="Hyperlink"/>
            <w:rFonts w:eastAsia="Calibri"/>
            <w:sz w:val="20"/>
            <w:lang w:val="fr-CA"/>
          </w:rPr>
          <w:t>39640</w:t>
        </w:r>
      </w:hyperlink>
      <w:r w:rsidRPr="001C7519">
        <w:rPr>
          <w:rFonts w:eastAsia="Calibri"/>
          <w:sz w:val="20"/>
          <w:lang w:val="fr-CA"/>
        </w:rPr>
        <w:t>)</w:t>
      </w:r>
    </w:p>
    <w:p w:rsidR="00CA2E4E" w:rsidRPr="001C7519" w:rsidRDefault="00CA2E4E" w:rsidP="009C1599">
      <w:pPr>
        <w:ind w:left="357" w:hanging="357"/>
        <w:rPr>
          <w:sz w:val="20"/>
          <w:lang w:val="fr-CA"/>
        </w:rPr>
      </w:pPr>
    </w:p>
    <w:p w:rsidR="00CA2E4E" w:rsidRPr="001C7519" w:rsidRDefault="00CA2E4E" w:rsidP="009C1599">
      <w:pPr>
        <w:pStyle w:val="ListParagraph"/>
        <w:numPr>
          <w:ilvl w:val="0"/>
          <w:numId w:val="50"/>
        </w:numPr>
        <w:ind w:left="357" w:hanging="357"/>
        <w:rPr>
          <w:sz w:val="20"/>
        </w:rPr>
      </w:pPr>
      <w:r w:rsidRPr="001C7519">
        <w:rPr>
          <w:i/>
          <w:sz w:val="20"/>
        </w:rPr>
        <w:t>Joseph Wilfrid Frigon v. Her Majesty the Queen</w:t>
      </w:r>
      <w:r w:rsidRPr="001C7519">
        <w:rPr>
          <w:rStyle w:val="SCCAppellantInfoAppellantInfoChar"/>
          <w:sz w:val="20"/>
          <w:szCs w:val="20"/>
        </w:rPr>
        <w:t xml:space="preserve"> </w:t>
      </w:r>
      <w:r w:rsidRPr="001C7519">
        <w:rPr>
          <w:sz w:val="20"/>
        </w:rPr>
        <w:t xml:space="preserve">(B.C.) (Criminal) (By Leave) </w:t>
      </w:r>
      <w:r w:rsidRPr="001C7519">
        <w:rPr>
          <w:rFonts w:eastAsia="Calibri"/>
          <w:sz w:val="20"/>
          <w:lang w:val="en-CA"/>
        </w:rPr>
        <w:t>(</w:t>
      </w:r>
      <w:hyperlink r:id="rId16" w:history="1">
        <w:r w:rsidRPr="001C7519">
          <w:rPr>
            <w:rStyle w:val="Hyperlink"/>
            <w:rFonts w:eastAsia="Calibri"/>
            <w:sz w:val="20"/>
            <w:lang w:val="en-CA"/>
          </w:rPr>
          <w:t>39535</w:t>
        </w:r>
      </w:hyperlink>
      <w:r w:rsidRPr="001C7519">
        <w:rPr>
          <w:rFonts w:eastAsia="Calibri"/>
          <w:sz w:val="20"/>
          <w:lang w:val="en-CA"/>
        </w:rPr>
        <w:t>)</w:t>
      </w:r>
    </w:p>
    <w:p w:rsidR="00CA2E4E" w:rsidRPr="001C7519" w:rsidRDefault="00CA2E4E" w:rsidP="009C1599">
      <w:pPr>
        <w:ind w:left="357" w:hanging="357"/>
        <w:rPr>
          <w:sz w:val="20"/>
        </w:rPr>
      </w:pPr>
    </w:p>
    <w:p w:rsidR="00CA2E4E" w:rsidRPr="001C7519" w:rsidRDefault="00CA2E4E" w:rsidP="009C1599">
      <w:pPr>
        <w:pStyle w:val="ListParagraph"/>
        <w:numPr>
          <w:ilvl w:val="0"/>
          <w:numId w:val="50"/>
        </w:numPr>
        <w:ind w:left="357" w:hanging="357"/>
        <w:rPr>
          <w:sz w:val="20"/>
          <w:u w:val="single"/>
        </w:rPr>
      </w:pPr>
      <w:r w:rsidRPr="001C7519">
        <w:rPr>
          <w:i/>
          <w:sz w:val="20"/>
        </w:rPr>
        <w:t>Travelway Group International Inc. v. Group III International Ltd., et al.</w:t>
      </w:r>
      <w:r w:rsidRPr="001C7519">
        <w:rPr>
          <w:rStyle w:val="SCCAppellantInfoAppellantInfoChar"/>
          <w:sz w:val="20"/>
          <w:szCs w:val="20"/>
        </w:rPr>
        <w:t xml:space="preserve"> </w:t>
      </w:r>
      <w:r w:rsidRPr="001C7519">
        <w:rPr>
          <w:sz w:val="20"/>
        </w:rPr>
        <w:t xml:space="preserve">(F.C.) (Civil) (By Leave) </w:t>
      </w:r>
      <w:r w:rsidRPr="001C7519">
        <w:rPr>
          <w:rFonts w:eastAsia="Calibri"/>
          <w:sz w:val="20"/>
          <w:lang w:val="en-CA"/>
        </w:rPr>
        <w:t>(</w:t>
      </w:r>
      <w:hyperlink r:id="rId17" w:history="1">
        <w:r w:rsidRPr="001C7519">
          <w:rPr>
            <w:rStyle w:val="Hyperlink"/>
            <w:rFonts w:eastAsia="Calibri"/>
            <w:sz w:val="20"/>
            <w:lang w:val="en-CA"/>
          </w:rPr>
          <w:t>39576</w:t>
        </w:r>
      </w:hyperlink>
      <w:r w:rsidRPr="001C7519">
        <w:rPr>
          <w:rFonts w:eastAsia="Calibri"/>
          <w:sz w:val="20"/>
          <w:lang w:val="en-CA"/>
        </w:rPr>
        <w:t>)</w:t>
      </w:r>
    </w:p>
    <w:p w:rsidR="00CA2E4E" w:rsidRPr="001C7519" w:rsidRDefault="00CA2E4E" w:rsidP="009C1599">
      <w:pPr>
        <w:ind w:left="357" w:hanging="357"/>
        <w:rPr>
          <w:sz w:val="20"/>
        </w:rPr>
      </w:pPr>
    </w:p>
    <w:p w:rsidR="00CA2E4E" w:rsidRPr="001C7519" w:rsidRDefault="00CA2E4E" w:rsidP="009C1599">
      <w:pPr>
        <w:pStyle w:val="ListParagraph"/>
        <w:numPr>
          <w:ilvl w:val="0"/>
          <w:numId w:val="50"/>
        </w:numPr>
        <w:ind w:left="357" w:hanging="357"/>
        <w:rPr>
          <w:sz w:val="20"/>
          <w:lang w:val="fr-CA"/>
        </w:rPr>
      </w:pPr>
      <w:r w:rsidRPr="001C7519">
        <w:rPr>
          <w:rStyle w:val="SCCAppellantInfoAppellantInfoChar"/>
          <w:i/>
          <w:sz w:val="20"/>
          <w:szCs w:val="20"/>
          <w:lang w:val="fr-CA"/>
        </w:rPr>
        <w:t>Carey Isaac Regis c. Sa Majesté la Reine</w:t>
      </w:r>
      <w:r w:rsidRPr="001C7519">
        <w:rPr>
          <w:rStyle w:val="SCCAppellantInfoAppellantInfoChar"/>
          <w:sz w:val="20"/>
          <w:szCs w:val="20"/>
          <w:lang w:val="fr-CA"/>
        </w:rPr>
        <w:t xml:space="preserve"> (Qc) (Criminelle) (Autorisation)</w:t>
      </w:r>
      <w:r w:rsidRPr="001C7519">
        <w:rPr>
          <w:sz w:val="20"/>
          <w:lang w:val="fr-CA"/>
        </w:rPr>
        <w:t xml:space="preserve"> </w:t>
      </w:r>
      <w:r w:rsidRPr="001C7519">
        <w:rPr>
          <w:rFonts w:eastAsia="Calibri"/>
          <w:sz w:val="20"/>
          <w:lang w:val="fr-CA"/>
        </w:rPr>
        <w:t>(</w:t>
      </w:r>
      <w:hyperlink r:id="rId18" w:history="1">
        <w:r w:rsidRPr="001C7519">
          <w:rPr>
            <w:rStyle w:val="Hyperlink"/>
            <w:rFonts w:eastAsia="Calibri"/>
            <w:sz w:val="20"/>
            <w:lang w:val="fr-CA"/>
          </w:rPr>
          <w:t>39658</w:t>
        </w:r>
      </w:hyperlink>
      <w:r w:rsidRPr="001C7519">
        <w:rPr>
          <w:rFonts w:eastAsia="Calibri"/>
          <w:sz w:val="20"/>
          <w:lang w:val="fr-CA"/>
        </w:rPr>
        <w:t>)</w:t>
      </w:r>
    </w:p>
    <w:p w:rsidR="00777ECC" w:rsidRPr="001C7519" w:rsidRDefault="00777ECC" w:rsidP="009C1599">
      <w:pPr>
        <w:ind w:left="357" w:hanging="357"/>
        <w:rPr>
          <w:sz w:val="20"/>
          <w:lang w:val="fr-CA"/>
        </w:rPr>
      </w:pPr>
    </w:p>
    <w:p w:rsidR="00B63A3D" w:rsidRPr="001C7519" w:rsidRDefault="00B63A3D" w:rsidP="009C1599">
      <w:pPr>
        <w:pStyle w:val="SCCLsocParty"/>
        <w:numPr>
          <w:ilvl w:val="0"/>
          <w:numId w:val="50"/>
        </w:numPr>
        <w:ind w:left="357" w:hanging="357"/>
        <w:jc w:val="left"/>
        <w:rPr>
          <w:i/>
          <w:sz w:val="20"/>
          <w:szCs w:val="20"/>
          <w:lang w:val="en-US"/>
        </w:rPr>
      </w:pPr>
      <w:r w:rsidRPr="001C7519">
        <w:rPr>
          <w:i/>
          <w:sz w:val="20"/>
          <w:szCs w:val="20"/>
          <w:lang w:val="en-US"/>
        </w:rPr>
        <w:t>Wen Xue Wang also known as Wenxue Wang, et al. v. Laura W. Zhao Personal Real Estate Corporation, et al.</w:t>
      </w:r>
      <w:r w:rsidRPr="001C7519">
        <w:rPr>
          <w:sz w:val="20"/>
          <w:szCs w:val="20"/>
          <w:lang w:val="en-US"/>
        </w:rPr>
        <w:t xml:space="preserve"> (B.C.) (Civil) (By Leave) </w:t>
      </w:r>
      <w:r w:rsidRPr="001C7519">
        <w:rPr>
          <w:sz w:val="20"/>
          <w:lang w:val="en-CA"/>
        </w:rPr>
        <w:t>(</w:t>
      </w:r>
      <w:hyperlink r:id="rId19" w:history="1">
        <w:r w:rsidRPr="001C7519">
          <w:rPr>
            <w:rStyle w:val="Hyperlink"/>
            <w:sz w:val="20"/>
            <w:szCs w:val="20"/>
            <w:lang w:val="en-CA"/>
          </w:rPr>
          <w:t>39</w:t>
        </w:r>
        <w:r w:rsidR="004C625A" w:rsidRPr="001C7519">
          <w:rPr>
            <w:rStyle w:val="Hyperlink"/>
            <w:sz w:val="20"/>
            <w:szCs w:val="20"/>
            <w:lang w:val="en-CA"/>
          </w:rPr>
          <w:t>6</w:t>
        </w:r>
        <w:r w:rsidRPr="001C7519">
          <w:rPr>
            <w:rStyle w:val="Hyperlink"/>
            <w:sz w:val="20"/>
            <w:szCs w:val="20"/>
            <w:lang w:val="en-CA"/>
          </w:rPr>
          <w:t>5</w:t>
        </w:r>
        <w:r w:rsidR="004C625A" w:rsidRPr="001C7519">
          <w:rPr>
            <w:rStyle w:val="Hyperlink"/>
            <w:sz w:val="20"/>
            <w:szCs w:val="20"/>
            <w:lang w:val="en-CA"/>
          </w:rPr>
          <w:t>3</w:t>
        </w:r>
      </w:hyperlink>
      <w:r w:rsidRPr="001C7519">
        <w:rPr>
          <w:sz w:val="20"/>
          <w:lang w:val="en-CA"/>
        </w:rPr>
        <w:t>)</w:t>
      </w:r>
    </w:p>
    <w:p w:rsidR="00B63A3D" w:rsidRPr="001C7519" w:rsidRDefault="00B63A3D" w:rsidP="009C1599">
      <w:pPr>
        <w:ind w:left="357" w:hanging="357"/>
        <w:rPr>
          <w:sz w:val="20"/>
        </w:rPr>
      </w:pPr>
    </w:p>
    <w:p w:rsidR="00B63A3D" w:rsidRPr="001C7519" w:rsidRDefault="00B63A3D" w:rsidP="009C1599">
      <w:pPr>
        <w:pStyle w:val="ListParagraph"/>
        <w:numPr>
          <w:ilvl w:val="0"/>
          <w:numId w:val="50"/>
        </w:numPr>
        <w:ind w:left="357" w:hanging="357"/>
        <w:rPr>
          <w:sz w:val="20"/>
        </w:rPr>
      </w:pPr>
      <w:r w:rsidRPr="001C7519">
        <w:rPr>
          <w:i/>
          <w:sz w:val="20"/>
        </w:rPr>
        <w:t>Zulfiqar Ali v. Her Majesty the Queen</w:t>
      </w:r>
      <w:r w:rsidRPr="001C7519">
        <w:rPr>
          <w:sz w:val="20"/>
        </w:rPr>
        <w:t xml:space="preserve"> (Ont.) (Criminal) (By Leave) </w:t>
      </w:r>
      <w:r w:rsidRPr="001C7519">
        <w:rPr>
          <w:rFonts w:eastAsia="Calibri"/>
          <w:sz w:val="20"/>
          <w:lang w:val="en-CA"/>
        </w:rPr>
        <w:t>(</w:t>
      </w:r>
      <w:hyperlink r:id="rId20" w:history="1">
        <w:r w:rsidRPr="001C7519">
          <w:rPr>
            <w:rStyle w:val="Hyperlink"/>
            <w:rFonts w:eastAsia="Calibri"/>
            <w:sz w:val="20"/>
            <w:lang w:val="en-CA"/>
          </w:rPr>
          <w:t>397</w:t>
        </w:r>
        <w:r w:rsidR="004C625A" w:rsidRPr="001C7519">
          <w:rPr>
            <w:rStyle w:val="Hyperlink"/>
            <w:rFonts w:eastAsia="Calibri"/>
            <w:sz w:val="20"/>
            <w:lang w:val="en-CA"/>
          </w:rPr>
          <w:t>30</w:t>
        </w:r>
      </w:hyperlink>
      <w:r w:rsidRPr="001C7519">
        <w:rPr>
          <w:rFonts w:eastAsia="Calibri"/>
          <w:sz w:val="20"/>
          <w:lang w:val="en-CA"/>
        </w:rPr>
        <w:t>)</w:t>
      </w:r>
    </w:p>
    <w:p w:rsidR="00B63A3D" w:rsidRPr="001C7519" w:rsidRDefault="00B63A3D" w:rsidP="009C1599">
      <w:pPr>
        <w:ind w:left="357" w:hanging="357"/>
        <w:rPr>
          <w:sz w:val="20"/>
        </w:rPr>
      </w:pPr>
    </w:p>
    <w:p w:rsidR="00B63A3D" w:rsidRPr="001C7519" w:rsidRDefault="00B63A3D" w:rsidP="009C1599">
      <w:pPr>
        <w:pStyle w:val="ListParagraph"/>
        <w:numPr>
          <w:ilvl w:val="0"/>
          <w:numId w:val="50"/>
        </w:numPr>
        <w:ind w:left="357" w:hanging="357"/>
        <w:rPr>
          <w:sz w:val="20"/>
        </w:rPr>
      </w:pPr>
      <w:r w:rsidRPr="001C7519">
        <w:rPr>
          <w:rStyle w:val="SCCAppellantInfoAppellantInfoChar"/>
          <w:i/>
          <w:sz w:val="20"/>
          <w:szCs w:val="20"/>
        </w:rPr>
        <w:t>Nicola Valley Fish and Game Club, et al. v. Douglas Lake Cattle Company, et al.</w:t>
      </w:r>
      <w:r w:rsidRPr="001C7519">
        <w:rPr>
          <w:rStyle w:val="SCCAppellantInfoAppellantInfoChar"/>
          <w:sz w:val="20"/>
          <w:szCs w:val="20"/>
        </w:rPr>
        <w:t xml:space="preserve"> (B.C.) (Civil) (By Leave)</w:t>
      </w:r>
      <w:r w:rsidRPr="001C7519">
        <w:rPr>
          <w:sz w:val="20"/>
        </w:rPr>
        <w:t xml:space="preserve"> </w:t>
      </w:r>
      <w:r w:rsidRPr="001C7519">
        <w:rPr>
          <w:rFonts w:eastAsia="Calibri"/>
          <w:sz w:val="20"/>
          <w:lang w:val="en-CA"/>
        </w:rPr>
        <w:t>(</w:t>
      </w:r>
      <w:hyperlink r:id="rId21" w:history="1">
        <w:r w:rsidRPr="001C7519">
          <w:rPr>
            <w:rStyle w:val="Hyperlink"/>
            <w:rFonts w:eastAsia="Calibri"/>
            <w:sz w:val="20"/>
            <w:lang w:val="en-CA"/>
          </w:rPr>
          <w:t>39</w:t>
        </w:r>
        <w:r w:rsidR="004C625A" w:rsidRPr="001C7519">
          <w:rPr>
            <w:rStyle w:val="Hyperlink"/>
            <w:rFonts w:eastAsia="Calibri"/>
            <w:sz w:val="20"/>
            <w:lang w:val="en-CA"/>
          </w:rPr>
          <w:t>628</w:t>
        </w:r>
      </w:hyperlink>
      <w:r w:rsidRPr="001C7519">
        <w:rPr>
          <w:rFonts w:eastAsia="Calibri"/>
          <w:sz w:val="20"/>
          <w:lang w:val="en-CA"/>
        </w:rPr>
        <w:t>)</w:t>
      </w:r>
    </w:p>
    <w:p w:rsidR="00B63A3D" w:rsidRPr="001C7519" w:rsidRDefault="00B63A3D" w:rsidP="009C1599">
      <w:pPr>
        <w:ind w:left="357" w:hanging="357"/>
        <w:rPr>
          <w:sz w:val="20"/>
        </w:rPr>
      </w:pPr>
    </w:p>
    <w:p w:rsidR="00B63A3D" w:rsidRPr="001C7519" w:rsidRDefault="00B63A3D" w:rsidP="009C1599">
      <w:pPr>
        <w:pStyle w:val="ListParagraph"/>
        <w:numPr>
          <w:ilvl w:val="0"/>
          <w:numId w:val="50"/>
        </w:numPr>
        <w:ind w:left="357" w:hanging="357"/>
        <w:rPr>
          <w:sz w:val="20"/>
          <w:lang w:val="fr-CA"/>
        </w:rPr>
      </w:pPr>
      <w:r w:rsidRPr="001C7519">
        <w:rPr>
          <w:rStyle w:val="SCCAppellantInfoAppellantInfoChar"/>
          <w:i/>
          <w:sz w:val="20"/>
          <w:szCs w:val="20"/>
        </w:rPr>
        <w:t>Agent E v. Attorney General of Canada (in right of the Royal Canadian Mounted Police)</w:t>
      </w:r>
      <w:r w:rsidRPr="001C7519">
        <w:rPr>
          <w:rStyle w:val="SCCAppellantInfoAppellantInfoChar"/>
          <w:sz w:val="20"/>
          <w:szCs w:val="20"/>
        </w:rPr>
        <w:t xml:space="preserve"> (B.C.) </w:t>
      </w:r>
      <w:r w:rsidRPr="001C7519">
        <w:rPr>
          <w:rStyle w:val="SCCAppellantInfoAppellantInfoChar"/>
          <w:sz w:val="20"/>
          <w:szCs w:val="20"/>
          <w:lang w:val="fr-CA"/>
        </w:rPr>
        <w:t>(Civil) (By Leave)</w:t>
      </w:r>
      <w:r w:rsidRPr="001C7519">
        <w:rPr>
          <w:sz w:val="20"/>
          <w:lang w:val="fr-CA"/>
        </w:rPr>
        <w:t xml:space="preserve"> </w:t>
      </w:r>
      <w:r w:rsidRPr="001C7519">
        <w:rPr>
          <w:rFonts w:eastAsia="Calibri"/>
          <w:sz w:val="20"/>
          <w:lang w:val="en-CA"/>
        </w:rPr>
        <w:t>(</w:t>
      </w:r>
      <w:hyperlink r:id="rId22" w:history="1">
        <w:r w:rsidRPr="001C7519">
          <w:rPr>
            <w:rStyle w:val="Hyperlink"/>
            <w:rFonts w:eastAsia="Calibri"/>
            <w:sz w:val="20"/>
            <w:lang w:val="en-CA"/>
          </w:rPr>
          <w:t>39</w:t>
        </w:r>
        <w:r w:rsidR="004C625A" w:rsidRPr="001C7519">
          <w:rPr>
            <w:rStyle w:val="Hyperlink"/>
            <w:rFonts w:eastAsia="Calibri"/>
            <w:sz w:val="20"/>
            <w:lang w:val="en-CA"/>
          </w:rPr>
          <w:t>652</w:t>
        </w:r>
      </w:hyperlink>
      <w:r w:rsidRPr="001C7519">
        <w:rPr>
          <w:rFonts w:eastAsia="Calibri"/>
          <w:sz w:val="20"/>
          <w:lang w:val="en-CA"/>
        </w:rPr>
        <w:t>)</w:t>
      </w:r>
    </w:p>
    <w:p w:rsidR="00B63A3D" w:rsidRPr="001C7519" w:rsidRDefault="00B63A3D" w:rsidP="009C1599">
      <w:pPr>
        <w:ind w:left="357" w:hanging="357"/>
        <w:rPr>
          <w:sz w:val="20"/>
          <w:lang w:val="fr-CA"/>
        </w:rPr>
      </w:pPr>
    </w:p>
    <w:p w:rsidR="00B63A3D" w:rsidRPr="001C7519" w:rsidRDefault="00B63A3D" w:rsidP="009C1599">
      <w:pPr>
        <w:pStyle w:val="ListParagraph"/>
        <w:numPr>
          <w:ilvl w:val="0"/>
          <w:numId w:val="50"/>
        </w:numPr>
        <w:ind w:left="357" w:hanging="357"/>
        <w:rPr>
          <w:sz w:val="20"/>
          <w:lang w:val="fr-CA"/>
        </w:rPr>
      </w:pPr>
      <w:r w:rsidRPr="001C7519">
        <w:rPr>
          <w:rStyle w:val="SCCAppellantInfoAppellantInfoChar"/>
          <w:i/>
          <w:sz w:val="20"/>
          <w:szCs w:val="20"/>
          <w:lang w:val="fr-CA"/>
        </w:rPr>
        <w:t>S...P... c. Sa Majesté la Reine</w:t>
      </w:r>
      <w:r w:rsidRPr="001C7519">
        <w:rPr>
          <w:rStyle w:val="SCCAppellantInfoAppellantInfoChar"/>
          <w:sz w:val="20"/>
          <w:szCs w:val="20"/>
          <w:lang w:val="fr-CA"/>
        </w:rPr>
        <w:t xml:space="preserve"> (Qc) (Criminelle) (Autorisation)</w:t>
      </w:r>
      <w:r w:rsidRPr="001C7519">
        <w:rPr>
          <w:sz w:val="20"/>
          <w:lang w:val="fr-CA"/>
        </w:rPr>
        <w:t xml:space="preserve"> </w:t>
      </w:r>
      <w:r w:rsidRPr="001C7519">
        <w:rPr>
          <w:rFonts w:eastAsia="Calibri"/>
          <w:sz w:val="20"/>
          <w:lang w:val="fr-CA"/>
        </w:rPr>
        <w:t>(</w:t>
      </w:r>
      <w:hyperlink r:id="rId23" w:history="1">
        <w:r w:rsidRPr="001C7519">
          <w:rPr>
            <w:rStyle w:val="Hyperlink"/>
            <w:rFonts w:eastAsia="Calibri"/>
            <w:sz w:val="20"/>
            <w:lang w:val="fr-CA"/>
          </w:rPr>
          <w:t>396</w:t>
        </w:r>
        <w:r w:rsidR="004C625A" w:rsidRPr="001C7519">
          <w:rPr>
            <w:rStyle w:val="Hyperlink"/>
            <w:rFonts w:eastAsia="Calibri"/>
            <w:sz w:val="20"/>
            <w:lang w:val="fr-CA"/>
          </w:rPr>
          <w:t>86</w:t>
        </w:r>
      </w:hyperlink>
      <w:r w:rsidRPr="001C7519">
        <w:rPr>
          <w:rFonts w:eastAsia="Calibri"/>
          <w:sz w:val="20"/>
          <w:lang w:val="fr-CA"/>
        </w:rPr>
        <w:t>)</w:t>
      </w:r>
    </w:p>
    <w:p w:rsidR="00B63A3D" w:rsidRPr="001C7519" w:rsidRDefault="00B63A3D" w:rsidP="000A7017">
      <w:pPr>
        <w:rPr>
          <w:sz w:val="20"/>
          <w:lang w:val="fr-CA"/>
        </w:rPr>
      </w:pPr>
    </w:p>
    <w:p w:rsidR="0057402C" w:rsidRPr="001C7519" w:rsidRDefault="00E75919" w:rsidP="009B14F4">
      <w:pPr>
        <w:widowControl w:val="0"/>
        <w:jc w:val="both"/>
        <w:rPr>
          <w:sz w:val="20"/>
        </w:rPr>
      </w:pPr>
      <w:r>
        <w:rPr>
          <w:sz w:val="20"/>
        </w:rPr>
        <w:pict>
          <v:rect id="_x0000_i1026" style="width:2in;height:1pt" o:hrpct="0" o:hralign="center" o:hrstd="t" o:hrnoshade="t" o:hr="t" fillcolor="black [3213]" stroked="f"/>
        </w:pict>
      </w:r>
    </w:p>
    <w:p w:rsidR="005A7B6B" w:rsidRPr="001C7519" w:rsidRDefault="005A7B6B" w:rsidP="005A487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25A" w:rsidRPr="001C7519" w:rsidTr="004C625A">
        <w:tc>
          <w:tcPr>
            <w:tcW w:w="543" w:type="pct"/>
          </w:tcPr>
          <w:p w:rsidR="004C625A" w:rsidRPr="001C7519" w:rsidRDefault="004C625A" w:rsidP="00843C56">
            <w:pPr>
              <w:jc w:val="both"/>
              <w:rPr>
                <w:sz w:val="20"/>
              </w:rPr>
            </w:pPr>
            <w:r w:rsidRPr="001C7519">
              <w:rPr>
                <w:rStyle w:val="SCCFileNumberChar"/>
                <w:sz w:val="20"/>
                <w:szCs w:val="20"/>
              </w:rPr>
              <w:t>39621</w:t>
            </w:r>
          </w:p>
        </w:tc>
        <w:tc>
          <w:tcPr>
            <w:tcW w:w="4457" w:type="pct"/>
            <w:gridSpan w:val="3"/>
          </w:tcPr>
          <w:p w:rsidR="004C625A" w:rsidRPr="001C7519" w:rsidRDefault="004C625A" w:rsidP="00843C56">
            <w:pPr>
              <w:pStyle w:val="SCCLsocParty"/>
              <w:jc w:val="both"/>
              <w:rPr>
                <w:b/>
                <w:sz w:val="20"/>
                <w:szCs w:val="20"/>
                <w:lang w:val="en-US"/>
              </w:rPr>
            </w:pPr>
            <w:r w:rsidRPr="001C7519">
              <w:rPr>
                <w:b/>
                <w:sz w:val="20"/>
                <w:szCs w:val="20"/>
                <w:lang w:val="en-US"/>
              </w:rPr>
              <w:t>Tianyun Xu also known as Terence Xu v. Yuenyuen Hu also known as Betty Hu, Vancouver International Enterprises Ltd. and Best Honour International Trading &amp; Investment Co. Ltd.</w:t>
            </w:r>
          </w:p>
          <w:p w:rsidR="004C625A" w:rsidRPr="001C7519" w:rsidRDefault="004C625A" w:rsidP="00843C56">
            <w:pPr>
              <w:jc w:val="both"/>
              <w:rPr>
                <w:sz w:val="20"/>
              </w:rPr>
            </w:pPr>
            <w:r w:rsidRPr="001C7519">
              <w:rPr>
                <w:sz w:val="20"/>
              </w:rPr>
              <w:t>(B.C.) (Civil) (By Leave)</w:t>
            </w:r>
          </w:p>
        </w:tc>
      </w:tr>
      <w:tr w:rsidR="004C625A" w:rsidRPr="001C7519" w:rsidTr="004C625A">
        <w:tc>
          <w:tcPr>
            <w:tcW w:w="5000" w:type="pct"/>
            <w:gridSpan w:val="4"/>
          </w:tcPr>
          <w:p w:rsidR="004C625A" w:rsidRPr="001C7519" w:rsidRDefault="004C625A" w:rsidP="00843C56">
            <w:pPr>
              <w:pStyle w:val="SCCBanSummary"/>
              <w:rPr>
                <w:sz w:val="20"/>
                <w:szCs w:val="20"/>
              </w:rPr>
            </w:pPr>
            <w:proofErr w:type="gramStart"/>
            <w:r w:rsidRPr="001C7519">
              <w:rPr>
                <w:smallCaps w:val="0"/>
                <w:sz w:val="20"/>
                <w:szCs w:val="20"/>
              </w:rPr>
              <w:t>Family law — Divorce — Family assets — Express trust — Gifts — Couple divorcing and courts making determination on division of family assets — Court of Appeal setting aside order that corporation holds family residence in trust for Ms. Hu, along with order dividing that beneficial interest between the couple — Whether Ms. Hu’s father’s announcement about residence, at party, sufficient to settle an express trust — How should evidence before and after settlement of express trust be evaluated — Whether lower court erred in reasoning and conclusions.</w:t>
            </w:r>
            <w:proofErr w:type="gramEnd"/>
          </w:p>
        </w:tc>
      </w:tr>
      <w:tr w:rsidR="004C625A" w:rsidRPr="001C7519" w:rsidTr="004C625A">
        <w:tc>
          <w:tcPr>
            <w:tcW w:w="5000" w:type="pct"/>
            <w:gridSpan w:val="4"/>
          </w:tcPr>
          <w:p w:rsidR="004C625A" w:rsidRPr="001C7519" w:rsidRDefault="004C625A" w:rsidP="00843C56">
            <w:pPr>
              <w:jc w:val="both"/>
              <w:rPr>
                <w:sz w:val="20"/>
              </w:rPr>
            </w:pPr>
          </w:p>
        </w:tc>
      </w:tr>
      <w:tr w:rsidR="004C625A" w:rsidRPr="001C7519" w:rsidTr="004C625A">
        <w:tc>
          <w:tcPr>
            <w:tcW w:w="5000" w:type="pct"/>
            <w:gridSpan w:val="4"/>
          </w:tcPr>
          <w:p w:rsidR="004C625A" w:rsidRPr="001C7519" w:rsidRDefault="004C625A" w:rsidP="00843C56">
            <w:pPr>
              <w:jc w:val="both"/>
              <w:rPr>
                <w:sz w:val="20"/>
                <w:lang w:val="en"/>
              </w:rPr>
            </w:pPr>
            <w:r w:rsidRPr="001C7519">
              <w:rPr>
                <w:sz w:val="20"/>
                <w:lang w:val="en"/>
              </w:rPr>
              <w:t>The couple separated and divorced. Litigation ensued to determine the division of family assets and spousal and child support.</w:t>
            </w:r>
          </w:p>
          <w:p w:rsidR="004C625A" w:rsidRPr="001C7519" w:rsidRDefault="004C625A" w:rsidP="00843C56">
            <w:pPr>
              <w:jc w:val="both"/>
              <w:rPr>
                <w:sz w:val="20"/>
                <w:lang w:val="en"/>
              </w:rPr>
            </w:pPr>
          </w:p>
          <w:p w:rsidR="004C625A" w:rsidRPr="001C7519" w:rsidRDefault="004C625A" w:rsidP="00843C56">
            <w:pPr>
              <w:jc w:val="both"/>
              <w:rPr>
                <w:sz w:val="20"/>
                <w:lang w:val="en"/>
              </w:rPr>
            </w:pPr>
            <w:r w:rsidRPr="001C7519">
              <w:rPr>
                <w:sz w:val="20"/>
                <w:lang w:val="en"/>
              </w:rPr>
              <w:t>The trial judge determined that the corporate-owned family residence was subject to an express trust in Ms. Hu’s favour and therefore a family asset. Ms. Hu appealed that finding at the Court of Appeal (Docket CA43079) and the corporate respondents also appealed that finding at the Court of Appeal (Docket CA43073). Mr. Xu cross</w:t>
            </w:r>
            <w:r w:rsidRPr="001C7519">
              <w:rPr>
                <w:sz w:val="20"/>
                <w:lang w:val="en"/>
              </w:rPr>
              <w:noBreakHyphen/>
              <w:t>appealed both proceedings seeking a larger share of that asset and setting aside an order directing him to bear 50 percent of the residence’s expenses.</w:t>
            </w:r>
          </w:p>
          <w:p w:rsidR="004C625A" w:rsidRPr="001C7519" w:rsidRDefault="004C625A" w:rsidP="00843C56">
            <w:pPr>
              <w:jc w:val="both"/>
              <w:rPr>
                <w:sz w:val="20"/>
                <w:lang w:val="en"/>
              </w:rPr>
            </w:pPr>
          </w:p>
          <w:p w:rsidR="004C625A" w:rsidRPr="001C7519" w:rsidRDefault="004C625A" w:rsidP="00843C56">
            <w:pPr>
              <w:jc w:val="both"/>
              <w:rPr>
                <w:sz w:val="20"/>
                <w:lang w:val="en"/>
              </w:rPr>
            </w:pPr>
            <w:r w:rsidRPr="001C7519">
              <w:rPr>
                <w:sz w:val="20"/>
                <w:lang w:val="en"/>
              </w:rPr>
              <w:t>The Court of Appeal allowed the appeal in part, setting aside the orders that the corporation holds the family residence in trust for Ms. Hu and dividing the beneficial interest in the property between the couple.</w:t>
            </w:r>
          </w:p>
          <w:p w:rsidR="004C625A" w:rsidRPr="001C7519" w:rsidRDefault="004C625A" w:rsidP="00843C56">
            <w:pPr>
              <w:jc w:val="both"/>
              <w:rPr>
                <w:sz w:val="20"/>
                <w:lang w:val="en"/>
              </w:rPr>
            </w:pPr>
          </w:p>
        </w:tc>
      </w:tr>
      <w:tr w:rsidR="004C625A" w:rsidRPr="001C7519" w:rsidTr="004C625A">
        <w:tc>
          <w:tcPr>
            <w:tcW w:w="2427" w:type="pct"/>
            <w:gridSpan w:val="2"/>
          </w:tcPr>
          <w:p w:rsidR="004C625A" w:rsidRPr="001C7519" w:rsidRDefault="004C625A" w:rsidP="00843C56">
            <w:pPr>
              <w:jc w:val="both"/>
              <w:rPr>
                <w:sz w:val="20"/>
              </w:rPr>
            </w:pPr>
            <w:r w:rsidRPr="001C7519">
              <w:rPr>
                <w:sz w:val="20"/>
              </w:rPr>
              <w:t>August 10, 2015</w:t>
            </w:r>
          </w:p>
          <w:p w:rsidR="004C625A" w:rsidRPr="001C7519" w:rsidRDefault="004C625A" w:rsidP="00843C56">
            <w:pPr>
              <w:jc w:val="both"/>
              <w:rPr>
                <w:sz w:val="20"/>
              </w:rPr>
            </w:pPr>
            <w:r w:rsidRPr="001C7519">
              <w:rPr>
                <w:sz w:val="20"/>
              </w:rPr>
              <w:t>Supreme Court of British Columbia</w:t>
            </w:r>
          </w:p>
          <w:p w:rsidR="004C625A" w:rsidRPr="001C7519" w:rsidRDefault="004C625A" w:rsidP="00843C56">
            <w:pPr>
              <w:jc w:val="both"/>
              <w:rPr>
                <w:sz w:val="20"/>
              </w:rPr>
            </w:pPr>
            <w:r w:rsidRPr="001C7519">
              <w:rPr>
                <w:sz w:val="20"/>
              </w:rPr>
              <w:t>(Dickson J.)</w:t>
            </w:r>
          </w:p>
          <w:p w:rsidR="004C625A" w:rsidRPr="001C7519" w:rsidRDefault="00E75919" w:rsidP="00843C56">
            <w:pPr>
              <w:jc w:val="both"/>
              <w:rPr>
                <w:sz w:val="20"/>
              </w:rPr>
            </w:pPr>
            <w:hyperlink r:id="rId24" w:history="1">
              <w:r w:rsidR="004C625A" w:rsidRPr="001C7519">
                <w:rPr>
                  <w:rStyle w:val="Hyperlink"/>
                  <w:sz w:val="20"/>
                </w:rPr>
                <w:t>2015 BCSC 1400</w:t>
              </w:r>
            </w:hyperlink>
          </w:p>
          <w:p w:rsidR="004C625A" w:rsidRPr="001C7519" w:rsidRDefault="004C625A" w:rsidP="00843C56">
            <w:pPr>
              <w:jc w:val="both"/>
              <w:rPr>
                <w:sz w:val="20"/>
              </w:rPr>
            </w:pPr>
          </w:p>
        </w:tc>
        <w:tc>
          <w:tcPr>
            <w:tcW w:w="243" w:type="pct"/>
          </w:tcPr>
          <w:p w:rsidR="004C625A" w:rsidRPr="001C7519" w:rsidRDefault="004C625A" w:rsidP="00843C56">
            <w:pPr>
              <w:jc w:val="both"/>
              <w:rPr>
                <w:sz w:val="20"/>
              </w:rPr>
            </w:pPr>
          </w:p>
        </w:tc>
        <w:tc>
          <w:tcPr>
            <w:tcW w:w="2330" w:type="pct"/>
          </w:tcPr>
          <w:p w:rsidR="004C625A" w:rsidRPr="001C7519" w:rsidRDefault="004C625A" w:rsidP="00843C56">
            <w:pPr>
              <w:jc w:val="both"/>
              <w:rPr>
                <w:sz w:val="20"/>
              </w:rPr>
            </w:pPr>
            <w:r w:rsidRPr="001C7519">
              <w:rPr>
                <w:sz w:val="20"/>
              </w:rPr>
              <w:t>The division of family assets and child and spousal support decided. Corporate</w:t>
            </w:r>
            <w:r w:rsidRPr="001C7519">
              <w:rPr>
                <w:sz w:val="20"/>
              </w:rPr>
              <w:noBreakHyphen/>
              <w:t>owned family residence subject to an express trust in Ms. Hu’s favour and therefore a family asset.   Ms. Hu’s beneficial interest in Marguerite Street house is a family asset. Presumption of equal division applied to all family assets, including beneficial interest in Marguerite St. House.</w:t>
            </w:r>
          </w:p>
          <w:p w:rsidR="004C625A" w:rsidRPr="001C7519" w:rsidRDefault="004C625A" w:rsidP="00843C56">
            <w:pPr>
              <w:jc w:val="both"/>
              <w:rPr>
                <w:sz w:val="20"/>
              </w:rPr>
            </w:pPr>
          </w:p>
        </w:tc>
      </w:tr>
      <w:tr w:rsidR="004C625A" w:rsidRPr="001C7519" w:rsidTr="004C625A">
        <w:tc>
          <w:tcPr>
            <w:tcW w:w="2427" w:type="pct"/>
            <w:gridSpan w:val="2"/>
          </w:tcPr>
          <w:p w:rsidR="004C625A" w:rsidRPr="001C7519" w:rsidRDefault="004C625A" w:rsidP="00843C56">
            <w:pPr>
              <w:jc w:val="both"/>
              <w:rPr>
                <w:sz w:val="20"/>
              </w:rPr>
            </w:pPr>
            <w:r w:rsidRPr="001C7519">
              <w:rPr>
                <w:sz w:val="20"/>
              </w:rPr>
              <w:t>December 8, 2017</w:t>
            </w:r>
          </w:p>
          <w:p w:rsidR="004C625A" w:rsidRPr="001C7519" w:rsidRDefault="004C625A" w:rsidP="00843C56">
            <w:pPr>
              <w:jc w:val="both"/>
              <w:rPr>
                <w:sz w:val="20"/>
              </w:rPr>
            </w:pPr>
            <w:r w:rsidRPr="001C7519">
              <w:rPr>
                <w:sz w:val="20"/>
              </w:rPr>
              <w:t>Supreme Court of British Columbia</w:t>
            </w:r>
          </w:p>
          <w:p w:rsidR="004C625A" w:rsidRPr="001C7519" w:rsidRDefault="004C625A" w:rsidP="00843C56">
            <w:pPr>
              <w:jc w:val="both"/>
              <w:rPr>
                <w:sz w:val="20"/>
              </w:rPr>
            </w:pPr>
            <w:r w:rsidRPr="001C7519">
              <w:rPr>
                <w:sz w:val="20"/>
              </w:rPr>
              <w:t>(Dickson J.)</w:t>
            </w:r>
          </w:p>
          <w:p w:rsidR="004C625A" w:rsidRPr="001C7519" w:rsidRDefault="004C625A" w:rsidP="00843C56">
            <w:pPr>
              <w:jc w:val="both"/>
              <w:rPr>
                <w:sz w:val="20"/>
              </w:rPr>
            </w:pPr>
          </w:p>
        </w:tc>
        <w:tc>
          <w:tcPr>
            <w:tcW w:w="243" w:type="pct"/>
          </w:tcPr>
          <w:p w:rsidR="004C625A" w:rsidRPr="001C7519" w:rsidRDefault="004C625A" w:rsidP="00843C56">
            <w:pPr>
              <w:jc w:val="both"/>
              <w:rPr>
                <w:sz w:val="20"/>
              </w:rPr>
            </w:pPr>
          </w:p>
        </w:tc>
        <w:tc>
          <w:tcPr>
            <w:tcW w:w="2330" w:type="pct"/>
          </w:tcPr>
          <w:p w:rsidR="004C625A" w:rsidRPr="001C7519" w:rsidRDefault="004C625A" w:rsidP="00843C56">
            <w:pPr>
              <w:jc w:val="both"/>
              <w:rPr>
                <w:sz w:val="20"/>
              </w:rPr>
            </w:pPr>
            <w:r w:rsidRPr="001C7519">
              <w:rPr>
                <w:sz w:val="20"/>
              </w:rPr>
              <w:t>New evidence resulting in reopening of trial.  Conclusions as to the Mr. Xu’s child support and appropriate division of equity in Marguerite St. house changed and reapportioned to 75 percent in favour of Ms. Hu, and 25 percent to Mr. Xu.</w:t>
            </w:r>
          </w:p>
          <w:p w:rsidR="00843C56" w:rsidRPr="001C7519" w:rsidRDefault="00843C56" w:rsidP="00843C56">
            <w:pPr>
              <w:jc w:val="both"/>
              <w:rPr>
                <w:sz w:val="20"/>
              </w:rPr>
            </w:pPr>
          </w:p>
        </w:tc>
      </w:tr>
      <w:tr w:rsidR="004C625A" w:rsidRPr="001C7519" w:rsidTr="004C625A">
        <w:tc>
          <w:tcPr>
            <w:tcW w:w="2427" w:type="pct"/>
            <w:gridSpan w:val="2"/>
          </w:tcPr>
          <w:p w:rsidR="004C625A" w:rsidRPr="001C7519" w:rsidRDefault="004C625A" w:rsidP="00843C56">
            <w:pPr>
              <w:jc w:val="both"/>
              <w:rPr>
                <w:sz w:val="20"/>
              </w:rPr>
            </w:pPr>
            <w:r w:rsidRPr="001C7519">
              <w:rPr>
                <w:sz w:val="20"/>
              </w:rPr>
              <w:t>July 23, 2019</w:t>
            </w:r>
          </w:p>
          <w:p w:rsidR="004C625A" w:rsidRPr="001C7519" w:rsidRDefault="004C625A" w:rsidP="00843C56">
            <w:pPr>
              <w:jc w:val="both"/>
              <w:rPr>
                <w:sz w:val="20"/>
              </w:rPr>
            </w:pPr>
            <w:r w:rsidRPr="001C7519">
              <w:rPr>
                <w:sz w:val="20"/>
              </w:rPr>
              <w:t>Supreme Court of British Columbia</w:t>
            </w:r>
          </w:p>
          <w:p w:rsidR="004C625A" w:rsidRPr="001C7519" w:rsidRDefault="004C625A" w:rsidP="00843C56">
            <w:pPr>
              <w:jc w:val="both"/>
              <w:rPr>
                <w:sz w:val="20"/>
              </w:rPr>
            </w:pPr>
            <w:r w:rsidRPr="001C7519">
              <w:rPr>
                <w:sz w:val="20"/>
              </w:rPr>
              <w:t>(Macintosh J.)</w:t>
            </w:r>
          </w:p>
          <w:p w:rsidR="004C625A" w:rsidRPr="001C7519" w:rsidRDefault="00E75919" w:rsidP="00843C56">
            <w:pPr>
              <w:jc w:val="both"/>
              <w:rPr>
                <w:sz w:val="20"/>
              </w:rPr>
            </w:pPr>
            <w:hyperlink r:id="rId25" w:history="1">
              <w:r w:rsidR="004C625A" w:rsidRPr="001C7519">
                <w:rPr>
                  <w:rStyle w:val="Hyperlink"/>
                  <w:sz w:val="20"/>
                </w:rPr>
                <w:t>2019 BCSC 1336</w:t>
              </w:r>
            </w:hyperlink>
          </w:p>
          <w:p w:rsidR="004C625A" w:rsidRPr="001C7519" w:rsidRDefault="004C625A" w:rsidP="00843C56">
            <w:pPr>
              <w:jc w:val="both"/>
              <w:rPr>
                <w:sz w:val="20"/>
              </w:rPr>
            </w:pPr>
          </w:p>
        </w:tc>
        <w:tc>
          <w:tcPr>
            <w:tcW w:w="243" w:type="pct"/>
          </w:tcPr>
          <w:p w:rsidR="004C625A" w:rsidRPr="001C7519" w:rsidRDefault="004C625A" w:rsidP="00843C56">
            <w:pPr>
              <w:jc w:val="both"/>
              <w:rPr>
                <w:sz w:val="20"/>
              </w:rPr>
            </w:pPr>
          </w:p>
        </w:tc>
        <w:tc>
          <w:tcPr>
            <w:tcW w:w="2330" w:type="pct"/>
          </w:tcPr>
          <w:p w:rsidR="004C625A" w:rsidRPr="001C7519" w:rsidRDefault="004C625A" w:rsidP="00843C56">
            <w:pPr>
              <w:jc w:val="both"/>
              <w:rPr>
                <w:sz w:val="20"/>
              </w:rPr>
            </w:pPr>
            <w:r w:rsidRPr="001C7519">
              <w:rPr>
                <w:sz w:val="20"/>
              </w:rPr>
              <w:t>Tax obligations and expenses resulting from acquisition and disposition of home to be paid from the net sale proceeds from the sale of the family home.</w:t>
            </w:r>
          </w:p>
          <w:p w:rsidR="004C625A" w:rsidRPr="001C7519" w:rsidRDefault="004C625A" w:rsidP="00843C56">
            <w:pPr>
              <w:jc w:val="both"/>
              <w:rPr>
                <w:sz w:val="20"/>
              </w:rPr>
            </w:pPr>
          </w:p>
        </w:tc>
      </w:tr>
      <w:tr w:rsidR="004C625A" w:rsidRPr="001C7519" w:rsidTr="004C625A">
        <w:tc>
          <w:tcPr>
            <w:tcW w:w="2427" w:type="pct"/>
            <w:gridSpan w:val="2"/>
          </w:tcPr>
          <w:p w:rsidR="004C625A" w:rsidRPr="001C7519" w:rsidRDefault="004C625A" w:rsidP="00843C56">
            <w:pPr>
              <w:jc w:val="both"/>
              <w:rPr>
                <w:sz w:val="20"/>
              </w:rPr>
            </w:pPr>
            <w:r w:rsidRPr="001C7519">
              <w:rPr>
                <w:sz w:val="20"/>
              </w:rPr>
              <w:t>January 7, 2021</w:t>
            </w:r>
          </w:p>
          <w:p w:rsidR="004C625A" w:rsidRPr="001C7519" w:rsidRDefault="004C625A" w:rsidP="00843C56">
            <w:pPr>
              <w:jc w:val="both"/>
              <w:rPr>
                <w:sz w:val="20"/>
              </w:rPr>
            </w:pPr>
            <w:r w:rsidRPr="001C7519">
              <w:rPr>
                <w:sz w:val="20"/>
              </w:rPr>
              <w:t xml:space="preserve">Court of Appeal for British Columbia </w:t>
            </w:r>
          </w:p>
          <w:p w:rsidR="004C625A" w:rsidRPr="001C7519" w:rsidRDefault="004C625A" w:rsidP="00843C56">
            <w:pPr>
              <w:jc w:val="both"/>
              <w:rPr>
                <w:sz w:val="20"/>
              </w:rPr>
            </w:pPr>
            <w:r w:rsidRPr="001C7519">
              <w:rPr>
                <w:sz w:val="20"/>
              </w:rPr>
              <w:t>(Vancouver)</w:t>
            </w:r>
          </w:p>
          <w:p w:rsidR="004C625A" w:rsidRPr="001C7519" w:rsidRDefault="004C625A" w:rsidP="00843C56">
            <w:pPr>
              <w:jc w:val="both"/>
              <w:rPr>
                <w:sz w:val="20"/>
              </w:rPr>
            </w:pPr>
            <w:r w:rsidRPr="001C7519">
              <w:rPr>
                <w:sz w:val="20"/>
              </w:rPr>
              <w:lastRenderedPageBreak/>
              <w:t>(Fenlon, Hunter and Butler JJ.A.)</w:t>
            </w:r>
          </w:p>
          <w:p w:rsidR="004C625A" w:rsidRPr="001C7519" w:rsidRDefault="00E75919" w:rsidP="00843C56">
            <w:pPr>
              <w:jc w:val="both"/>
              <w:rPr>
                <w:sz w:val="20"/>
              </w:rPr>
            </w:pPr>
            <w:hyperlink r:id="rId26" w:history="1">
              <w:r w:rsidR="004C625A" w:rsidRPr="001C7519">
                <w:rPr>
                  <w:rStyle w:val="Hyperlink"/>
                  <w:sz w:val="20"/>
                </w:rPr>
                <w:t>2021 BCCA 2</w:t>
              </w:r>
            </w:hyperlink>
          </w:p>
          <w:p w:rsidR="004C625A" w:rsidRPr="001C7519" w:rsidRDefault="004C625A" w:rsidP="00843C56">
            <w:pPr>
              <w:jc w:val="both"/>
              <w:rPr>
                <w:sz w:val="20"/>
              </w:rPr>
            </w:pPr>
            <w:r w:rsidRPr="001C7519">
              <w:rPr>
                <w:sz w:val="20"/>
              </w:rPr>
              <w:t>File No. CA43073</w:t>
            </w:r>
          </w:p>
          <w:p w:rsidR="004C625A" w:rsidRPr="001C7519" w:rsidRDefault="004C625A" w:rsidP="00843C56">
            <w:pPr>
              <w:jc w:val="both"/>
              <w:rPr>
                <w:sz w:val="20"/>
              </w:rPr>
            </w:pPr>
          </w:p>
        </w:tc>
        <w:tc>
          <w:tcPr>
            <w:tcW w:w="243" w:type="pct"/>
          </w:tcPr>
          <w:p w:rsidR="004C625A" w:rsidRPr="001C7519" w:rsidRDefault="004C625A" w:rsidP="00843C56">
            <w:pPr>
              <w:jc w:val="both"/>
              <w:rPr>
                <w:sz w:val="20"/>
              </w:rPr>
            </w:pPr>
          </w:p>
        </w:tc>
        <w:tc>
          <w:tcPr>
            <w:tcW w:w="2330" w:type="pct"/>
          </w:tcPr>
          <w:p w:rsidR="004C625A" w:rsidRPr="001C7519" w:rsidRDefault="004C625A" w:rsidP="00843C56">
            <w:pPr>
              <w:jc w:val="both"/>
              <w:rPr>
                <w:sz w:val="20"/>
              </w:rPr>
            </w:pPr>
            <w:r w:rsidRPr="001C7519">
              <w:rPr>
                <w:sz w:val="20"/>
              </w:rPr>
              <w:t xml:space="preserve">Appeal allowed in part, order declaring that corporation holds family residence in trust for Ms. Hu </w:t>
            </w:r>
            <w:r w:rsidRPr="001C7519">
              <w:rPr>
                <w:sz w:val="20"/>
              </w:rPr>
              <w:lastRenderedPageBreak/>
              <w:t>and dividing the beneficial interest in that property between Ms. Hu and Mr. Xu, set aside.</w:t>
            </w:r>
          </w:p>
          <w:p w:rsidR="004C625A" w:rsidRPr="001C7519" w:rsidRDefault="004C625A" w:rsidP="00843C56">
            <w:pPr>
              <w:jc w:val="both"/>
              <w:rPr>
                <w:sz w:val="20"/>
              </w:rPr>
            </w:pPr>
          </w:p>
        </w:tc>
      </w:tr>
      <w:tr w:rsidR="004C625A" w:rsidRPr="001C7519" w:rsidTr="004C625A">
        <w:tc>
          <w:tcPr>
            <w:tcW w:w="2427" w:type="pct"/>
            <w:gridSpan w:val="2"/>
          </w:tcPr>
          <w:p w:rsidR="004C625A" w:rsidRPr="001C7519" w:rsidRDefault="004C625A" w:rsidP="00843C56">
            <w:pPr>
              <w:jc w:val="both"/>
              <w:rPr>
                <w:sz w:val="20"/>
              </w:rPr>
            </w:pPr>
            <w:r w:rsidRPr="001C7519">
              <w:rPr>
                <w:sz w:val="20"/>
              </w:rPr>
              <w:lastRenderedPageBreak/>
              <w:t>March 5, 2021</w:t>
            </w:r>
          </w:p>
          <w:p w:rsidR="004C625A" w:rsidRPr="001C7519" w:rsidRDefault="004C625A" w:rsidP="00843C56">
            <w:pPr>
              <w:jc w:val="both"/>
              <w:rPr>
                <w:sz w:val="20"/>
              </w:rPr>
            </w:pPr>
            <w:r w:rsidRPr="001C7519">
              <w:rPr>
                <w:sz w:val="20"/>
              </w:rPr>
              <w:t>Supreme Court of Canada</w:t>
            </w:r>
          </w:p>
        </w:tc>
        <w:tc>
          <w:tcPr>
            <w:tcW w:w="243" w:type="pct"/>
          </w:tcPr>
          <w:p w:rsidR="004C625A" w:rsidRPr="001C7519" w:rsidRDefault="004C625A" w:rsidP="00843C56">
            <w:pPr>
              <w:jc w:val="both"/>
              <w:rPr>
                <w:sz w:val="20"/>
              </w:rPr>
            </w:pPr>
          </w:p>
        </w:tc>
        <w:tc>
          <w:tcPr>
            <w:tcW w:w="2330" w:type="pct"/>
          </w:tcPr>
          <w:p w:rsidR="004C625A" w:rsidRPr="001C7519" w:rsidRDefault="004C625A" w:rsidP="00843C56">
            <w:pPr>
              <w:jc w:val="both"/>
              <w:rPr>
                <w:sz w:val="20"/>
              </w:rPr>
            </w:pPr>
            <w:r w:rsidRPr="001C7519">
              <w:rPr>
                <w:sz w:val="20"/>
              </w:rPr>
              <w:t>Application for leave to appeal filed.</w:t>
            </w:r>
          </w:p>
          <w:p w:rsidR="004C625A" w:rsidRPr="001C7519" w:rsidRDefault="004C625A" w:rsidP="00843C56">
            <w:pPr>
              <w:jc w:val="both"/>
              <w:rPr>
                <w:sz w:val="20"/>
              </w:rPr>
            </w:pPr>
          </w:p>
        </w:tc>
      </w:tr>
    </w:tbl>
    <w:p w:rsidR="004C625A" w:rsidRPr="001C7519" w:rsidRDefault="004C625A" w:rsidP="00843C56">
      <w:pPr>
        <w:jc w:val="both"/>
        <w:rPr>
          <w:sz w:val="20"/>
        </w:rPr>
      </w:pPr>
    </w:p>
    <w:p w:rsidR="00843C56" w:rsidRPr="001C7519" w:rsidRDefault="00E75919" w:rsidP="00843C56">
      <w:pPr>
        <w:jc w:val="both"/>
        <w:rPr>
          <w:sz w:val="20"/>
        </w:rPr>
      </w:pPr>
      <w:r>
        <w:rPr>
          <w:sz w:val="20"/>
        </w:rPr>
        <w:pict>
          <v:rect id="_x0000_i1027" style="width:2in;height:1pt" o:hrpct="0" o:hralign="center" o:hrstd="t" o:hrnoshade="t" o:hr="t" fillcolor="black [3213]" stroked="f"/>
        </w:pict>
      </w:r>
    </w:p>
    <w:p w:rsidR="00843C56" w:rsidRPr="001C7519" w:rsidRDefault="00843C56" w:rsidP="00843C5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25A" w:rsidRPr="001C7519" w:rsidTr="004C625A">
        <w:tc>
          <w:tcPr>
            <w:tcW w:w="543" w:type="pct"/>
          </w:tcPr>
          <w:p w:rsidR="004C625A" w:rsidRPr="001C7519" w:rsidRDefault="004C625A" w:rsidP="00843C56">
            <w:pPr>
              <w:jc w:val="both"/>
              <w:rPr>
                <w:sz w:val="20"/>
                <w:lang w:val="fr-CA"/>
              </w:rPr>
            </w:pPr>
            <w:r w:rsidRPr="001C7519">
              <w:rPr>
                <w:rStyle w:val="SCCFileNumberChar"/>
                <w:sz w:val="20"/>
                <w:szCs w:val="20"/>
                <w:lang w:val="fr-CA"/>
              </w:rPr>
              <w:t>39621</w:t>
            </w:r>
          </w:p>
        </w:tc>
        <w:tc>
          <w:tcPr>
            <w:tcW w:w="4457" w:type="pct"/>
            <w:gridSpan w:val="3"/>
          </w:tcPr>
          <w:p w:rsidR="004C625A" w:rsidRPr="001C7519" w:rsidRDefault="004C625A" w:rsidP="00843C56">
            <w:pPr>
              <w:pStyle w:val="SCCLsocParty"/>
              <w:jc w:val="both"/>
              <w:rPr>
                <w:b/>
                <w:sz w:val="20"/>
                <w:szCs w:val="20"/>
              </w:rPr>
            </w:pPr>
            <w:r w:rsidRPr="001C7519">
              <w:rPr>
                <w:b/>
                <w:sz w:val="20"/>
                <w:szCs w:val="20"/>
              </w:rPr>
              <w:t>Tianyun Xu alias Terence Xu c. Yuenyuen Hu alias Betty Hu, Vancouver International Enterprises Ltd. et Best Honour International Trading &amp; Investment Co. Ltd.</w:t>
            </w:r>
          </w:p>
          <w:p w:rsidR="004C625A" w:rsidRPr="001C7519" w:rsidRDefault="004C625A" w:rsidP="00843C56">
            <w:pPr>
              <w:jc w:val="both"/>
              <w:rPr>
                <w:sz w:val="20"/>
                <w:lang w:val="fr-CA"/>
              </w:rPr>
            </w:pPr>
            <w:r w:rsidRPr="001C7519">
              <w:rPr>
                <w:sz w:val="20"/>
                <w:lang w:val="fr-CA"/>
              </w:rPr>
              <w:t>(C.-B.) (Civile) (Autorisation)</w:t>
            </w:r>
          </w:p>
        </w:tc>
      </w:tr>
      <w:tr w:rsidR="004C625A" w:rsidRPr="00E75919" w:rsidTr="004C625A">
        <w:tc>
          <w:tcPr>
            <w:tcW w:w="5000" w:type="pct"/>
            <w:gridSpan w:val="4"/>
          </w:tcPr>
          <w:p w:rsidR="004C625A" w:rsidRPr="001C7519" w:rsidRDefault="004C625A" w:rsidP="00843C56">
            <w:pPr>
              <w:pStyle w:val="SCCBanSummary"/>
              <w:rPr>
                <w:sz w:val="20"/>
                <w:szCs w:val="20"/>
                <w:lang w:val="fr-CA"/>
              </w:rPr>
            </w:pPr>
            <w:r w:rsidRPr="001C7519">
              <w:rPr>
                <w:smallCaps w:val="0"/>
                <w:sz w:val="20"/>
                <w:szCs w:val="20"/>
                <w:lang w:val="fr-CA"/>
              </w:rPr>
              <w:t>Droit de la famille — Divorce — Biens familiaux — Fiducie expresse — Donations — Un couple se divorce et les tribunaux rendent une décision sur le partage des biens familiaux — La Cour d’appel annule l’ordonnance portant que la personne morale détient la résidence familiale en fiducie pour Mme Hu, et l’ordonnance partageant cet intérêt bénéficiaire entre les époux — L’annonce faite au cours d’une fête par le père de Mme Hu à propos de la résidence suffit</w:t>
            </w:r>
            <w:r w:rsidRPr="001C7519">
              <w:rPr>
                <w:smallCaps w:val="0"/>
                <w:sz w:val="20"/>
                <w:szCs w:val="20"/>
                <w:lang w:val="fr-CA"/>
              </w:rPr>
              <w:noBreakHyphen/>
              <w:t>elle pour constituer une fiducie expresse? — Comment convient</w:t>
            </w:r>
            <w:r w:rsidRPr="001C7519">
              <w:rPr>
                <w:smallCaps w:val="0"/>
                <w:sz w:val="20"/>
                <w:szCs w:val="20"/>
                <w:lang w:val="fr-CA"/>
              </w:rPr>
              <w:noBreakHyphen/>
              <w:t>il d’évaluer les éléments de preuve antérieurs et postérieurs à la constitution d’une fiducie expresse? — Les juridictions inférieures ont</w:t>
            </w:r>
            <w:r w:rsidRPr="001C7519">
              <w:rPr>
                <w:smallCaps w:val="0"/>
                <w:sz w:val="20"/>
                <w:szCs w:val="20"/>
                <w:lang w:val="fr-CA"/>
              </w:rPr>
              <w:noBreakHyphen/>
              <w:t>elles commis des erreurs dans leur raisonnement et leurs conclusions?</w:t>
            </w:r>
          </w:p>
        </w:tc>
      </w:tr>
      <w:tr w:rsidR="004C625A" w:rsidRPr="00E75919" w:rsidTr="004C625A">
        <w:tc>
          <w:tcPr>
            <w:tcW w:w="5000" w:type="pct"/>
            <w:gridSpan w:val="4"/>
          </w:tcPr>
          <w:p w:rsidR="004C625A" w:rsidRPr="001C7519" w:rsidRDefault="004C625A" w:rsidP="00843C56">
            <w:pPr>
              <w:jc w:val="both"/>
              <w:rPr>
                <w:sz w:val="20"/>
                <w:lang w:val="fr-CA"/>
              </w:rPr>
            </w:pPr>
          </w:p>
        </w:tc>
      </w:tr>
      <w:tr w:rsidR="004C625A" w:rsidRPr="00E75919" w:rsidTr="004C625A">
        <w:tc>
          <w:tcPr>
            <w:tcW w:w="5000" w:type="pct"/>
            <w:gridSpan w:val="4"/>
          </w:tcPr>
          <w:p w:rsidR="004C625A" w:rsidRPr="001C7519" w:rsidRDefault="004C625A" w:rsidP="00843C56">
            <w:pPr>
              <w:jc w:val="both"/>
              <w:rPr>
                <w:sz w:val="20"/>
                <w:lang w:val="fr-CA"/>
              </w:rPr>
            </w:pPr>
            <w:r w:rsidRPr="001C7519">
              <w:rPr>
                <w:sz w:val="20"/>
                <w:lang w:val="fr-CA"/>
              </w:rPr>
              <w:t>Les époux se sont séparés et ont divorcé. Il s’en est ensuivi un litige pour décider du partage des biens familiaux et des aliments de l’épouse et de ceux des enfants.</w:t>
            </w:r>
          </w:p>
          <w:p w:rsidR="004C625A" w:rsidRPr="001C7519" w:rsidRDefault="004C625A" w:rsidP="00843C56">
            <w:pPr>
              <w:jc w:val="both"/>
              <w:rPr>
                <w:sz w:val="20"/>
                <w:lang w:val="fr-CA"/>
              </w:rPr>
            </w:pPr>
          </w:p>
          <w:p w:rsidR="004C625A" w:rsidRPr="001C7519" w:rsidRDefault="004C625A" w:rsidP="00843C56">
            <w:pPr>
              <w:jc w:val="both"/>
              <w:rPr>
                <w:sz w:val="20"/>
                <w:lang w:val="fr-CA"/>
              </w:rPr>
            </w:pPr>
            <w:r w:rsidRPr="001C7519">
              <w:rPr>
                <w:sz w:val="20"/>
                <w:lang w:val="fr-CA"/>
              </w:rPr>
              <w:t>La juge de première instance a conclu que la résidence familiale appartenant à une personne morale était l’objet d’une fiducie expresse en faveur de Mme Hu, et donc un bien familial. Madame Hu a interjeté appel de cette conclusion à la Cour d’appel (dossier CA43079) et les personnes morales intimées ont elles aussi interjeté appel de cette conclusion à la Cour d’appel (dossier CA43073). Monsieur Xu a interjeté un appel incident dans les deux dossiers, sollicitant une part plus importante de ce bien et l’annulation d’une ordonnance le condamnant à payer 50 pour cent des frais de la résidence.</w:t>
            </w:r>
          </w:p>
          <w:p w:rsidR="004C625A" w:rsidRPr="001C7519" w:rsidRDefault="004C625A" w:rsidP="00843C56">
            <w:pPr>
              <w:jc w:val="both"/>
              <w:rPr>
                <w:sz w:val="20"/>
                <w:lang w:val="fr-CA"/>
              </w:rPr>
            </w:pPr>
          </w:p>
          <w:p w:rsidR="004C625A" w:rsidRPr="001C7519" w:rsidRDefault="004C625A" w:rsidP="00843C56">
            <w:pPr>
              <w:jc w:val="both"/>
              <w:rPr>
                <w:sz w:val="20"/>
                <w:lang w:val="fr-CA"/>
              </w:rPr>
            </w:pPr>
            <w:r w:rsidRPr="001C7519">
              <w:rPr>
                <w:sz w:val="20"/>
                <w:lang w:val="fr-CA"/>
              </w:rPr>
              <w:t>La Cour d’appel a accueilli l’appel en partie, annulant les ordonnances portant que la personne morale détient la résidence familiale en fiducie pour Mme Hu et divisant l’intérêt bénéficiaire à l’égard du bien entre les époux.</w:t>
            </w:r>
          </w:p>
          <w:p w:rsidR="004C625A" w:rsidRPr="001C7519" w:rsidRDefault="004C625A" w:rsidP="00843C56">
            <w:pPr>
              <w:jc w:val="both"/>
              <w:rPr>
                <w:sz w:val="20"/>
                <w:lang w:val="fr-CA"/>
              </w:rPr>
            </w:pPr>
          </w:p>
        </w:tc>
      </w:tr>
      <w:tr w:rsidR="004C625A" w:rsidRPr="00E75919" w:rsidTr="004C625A">
        <w:tc>
          <w:tcPr>
            <w:tcW w:w="2427" w:type="pct"/>
            <w:gridSpan w:val="2"/>
          </w:tcPr>
          <w:p w:rsidR="004C625A" w:rsidRPr="001C7519" w:rsidRDefault="004C625A" w:rsidP="00843C56">
            <w:pPr>
              <w:jc w:val="both"/>
              <w:rPr>
                <w:sz w:val="20"/>
                <w:lang w:val="fr-CA"/>
              </w:rPr>
            </w:pPr>
            <w:r w:rsidRPr="001C7519">
              <w:rPr>
                <w:sz w:val="20"/>
                <w:lang w:val="fr-CA"/>
              </w:rPr>
              <w:t>10 août 2015</w:t>
            </w:r>
          </w:p>
          <w:p w:rsidR="004C625A" w:rsidRPr="001C7519" w:rsidRDefault="004C625A" w:rsidP="00843C56">
            <w:pPr>
              <w:jc w:val="both"/>
              <w:rPr>
                <w:sz w:val="20"/>
                <w:lang w:val="fr-CA"/>
              </w:rPr>
            </w:pPr>
            <w:r w:rsidRPr="001C7519">
              <w:rPr>
                <w:sz w:val="20"/>
                <w:lang w:val="fr-CA"/>
              </w:rPr>
              <w:t>Cour suprême de la Colombie</w:t>
            </w:r>
            <w:r w:rsidRPr="001C7519">
              <w:rPr>
                <w:sz w:val="20"/>
                <w:lang w:val="fr-CA"/>
              </w:rPr>
              <w:noBreakHyphen/>
              <w:t>Britannique</w:t>
            </w:r>
          </w:p>
          <w:p w:rsidR="004C625A" w:rsidRPr="001C7519" w:rsidRDefault="004C625A" w:rsidP="00843C56">
            <w:pPr>
              <w:jc w:val="both"/>
              <w:rPr>
                <w:sz w:val="20"/>
                <w:lang w:val="fr-CA"/>
              </w:rPr>
            </w:pPr>
            <w:r w:rsidRPr="001C7519">
              <w:rPr>
                <w:sz w:val="20"/>
                <w:lang w:val="fr-CA"/>
              </w:rPr>
              <w:t>(Juge Dickson)</w:t>
            </w:r>
          </w:p>
          <w:p w:rsidR="004C625A" w:rsidRPr="001C7519" w:rsidRDefault="00E75919" w:rsidP="00843C56">
            <w:pPr>
              <w:jc w:val="both"/>
              <w:rPr>
                <w:sz w:val="20"/>
                <w:lang w:val="fr-CA"/>
              </w:rPr>
            </w:pPr>
            <w:hyperlink r:id="rId27" w:history="1">
              <w:r w:rsidR="004C625A" w:rsidRPr="001C7519">
                <w:rPr>
                  <w:rStyle w:val="Hyperlink"/>
                  <w:sz w:val="20"/>
                  <w:lang w:val="fr-CA"/>
                </w:rPr>
                <w:t>2015 BCSC 1400</w:t>
              </w:r>
            </w:hyperlink>
          </w:p>
          <w:p w:rsidR="004C625A" w:rsidRPr="001C7519" w:rsidRDefault="004C625A" w:rsidP="00843C56">
            <w:pPr>
              <w:jc w:val="both"/>
              <w:rPr>
                <w:sz w:val="20"/>
                <w:lang w:val="fr-CA"/>
              </w:rPr>
            </w:pPr>
          </w:p>
        </w:tc>
        <w:tc>
          <w:tcPr>
            <w:tcW w:w="243" w:type="pct"/>
          </w:tcPr>
          <w:p w:rsidR="004C625A" w:rsidRPr="001C7519" w:rsidRDefault="004C625A" w:rsidP="00843C56">
            <w:pPr>
              <w:jc w:val="both"/>
              <w:rPr>
                <w:sz w:val="20"/>
                <w:lang w:val="fr-CA"/>
              </w:rPr>
            </w:pPr>
          </w:p>
        </w:tc>
        <w:tc>
          <w:tcPr>
            <w:tcW w:w="2330" w:type="pct"/>
          </w:tcPr>
          <w:p w:rsidR="004C625A" w:rsidRPr="001C7519" w:rsidRDefault="004C625A" w:rsidP="00843C56">
            <w:pPr>
              <w:jc w:val="both"/>
              <w:rPr>
                <w:sz w:val="20"/>
                <w:lang w:val="fr-CA"/>
              </w:rPr>
            </w:pPr>
            <w:r w:rsidRPr="001C7519">
              <w:rPr>
                <w:sz w:val="20"/>
                <w:lang w:val="fr-CA"/>
              </w:rPr>
              <w:t>Jugement statuant sur le partage des biens familiaux et les aliments de l’épouse et de ceux des enfants. La résidence familiale appartenant à une personne morale est l’objet d’une fiducie expresse en faveur de Mme Hu, et donc un bien familial. L’intérêt bénéficiaire de Mme Hu à l’égard de la maison de la rue Marguerite est un bien familial. La présomption de partage égal s’appliquait à tous les biens familiaux, y compris l’intérêt bénéficiaire à l’égard de la maison de la rue Marguerite.</w:t>
            </w:r>
          </w:p>
          <w:p w:rsidR="004C625A" w:rsidRPr="001C7519" w:rsidRDefault="004C625A" w:rsidP="00843C56">
            <w:pPr>
              <w:jc w:val="both"/>
              <w:rPr>
                <w:sz w:val="20"/>
                <w:lang w:val="fr-CA"/>
              </w:rPr>
            </w:pPr>
          </w:p>
        </w:tc>
      </w:tr>
      <w:tr w:rsidR="004C625A" w:rsidRPr="00E75919" w:rsidTr="004C625A">
        <w:tc>
          <w:tcPr>
            <w:tcW w:w="2427" w:type="pct"/>
            <w:gridSpan w:val="2"/>
          </w:tcPr>
          <w:p w:rsidR="004C625A" w:rsidRPr="001C7519" w:rsidRDefault="004C625A" w:rsidP="00843C56">
            <w:pPr>
              <w:jc w:val="both"/>
              <w:rPr>
                <w:sz w:val="20"/>
                <w:lang w:val="fr-CA"/>
              </w:rPr>
            </w:pPr>
            <w:r w:rsidRPr="001C7519">
              <w:rPr>
                <w:sz w:val="20"/>
                <w:lang w:val="fr-CA"/>
              </w:rPr>
              <w:t>8 décembre 2017</w:t>
            </w:r>
          </w:p>
          <w:p w:rsidR="004C625A" w:rsidRPr="001C7519" w:rsidRDefault="004C625A" w:rsidP="00843C56">
            <w:pPr>
              <w:jc w:val="both"/>
              <w:rPr>
                <w:sz w:val="20"/>
                <w:lang w:val="fr-CA"/>
              </w:rPr>
            </w:pPr>
            <w:r w:rsidRPr="001C7519">
              <w:rPr>
                <w:sz w:val="20"/>
                <w:lang w:val="fr-CA"/>
              </w:rPr>
              <w:t>Cour suprême de la Colombie</w:t>
            </w:r>
            <w:r w:rsidRPr="001C7519">
              <w:rPr>
                <w:sz w:val="20"/>
                <w:lang w:val="fr-CA"/>
              </w:rPr>
              <w:noBreakHyphen/>
              <w:t>Britannique</w:t>
            </w:r>
          </w:p>
          <w:p w:rsidR="004C625A" w:rsidRPr="001C7519" w:rsidRDefault="004C625A" w:rsidP="00843C56">
            <w:pPr>
              <w:jc w:val="both"/>
              <w:rPr>
                <w:sz w:val="20"/>
                <w:lang w:val="fr-CA"/>
              </w:rPr>
            </w:pPr>
            <w:r w:rsidRPr="001C7519">
              <w:rPr>
                <w:sz w:val="20"/>
                <w:lang w:val="fr-CA"/>
              </w:rPr>
              <w:t>(Juge Dickson)</w:t>
            </w:r>
          </w:p>
          <w:p w:rsidR="004C625A" w:rsidRPr="001C7519" w:rsidRDefault="004C625A" w:rsidP="00843C56">
            <w:pPr>
              <w:jc w:val="both"/>
              <w:rPr>
                <w:sz w:val="20"/>
                <w:lang w:val="fr-CA"/>
              </w:rPr>
            </w:pPr>
          </w:p>
        </w:tc>
        <w:tc>
          <w:tcPr>
            <w:tcW w:w="243" w:type="pct"/>
          </w:tcPr>
          <w:p w:rsidR="004C625A" w:rsidRPr="001C7519" w:rsidRDefault="004C625A" w:rsidP="00843C56">
            <w:pPr>
              <w:jc w:val="both"/>
              <w:rPr>
                <w:sz w:val="20"/>
                <w:lang w:val="fr-CA"/>
              </w:rPr>
            </w:pPr>
          </w:p>
        </w:tc>
        <w:tc>
          <w:tcPr>
            <w:tcW w:w="2330" w:type="pct"/>
          </w:tcPr>
          <w:p w:rsidR="004C625A" w:rsidRPr="001C7519" w:rsidRDefault="004C625A" w:rsidP="00843C56">
            <w:pPr>
              <w:jc w:val="both"/>
              <w:rPr>
                <w:sz w:val="20"/>
                <w:lang w:val="fr-CA"/>
              </w:rPr>
            </w:pPr>
            <w:r w:rsidRPr="001C7519">
              <w:rPr>
                <w:sz w:val="20"/>
                <w:lang w:val="fr-CA"/>
              </w:rPr>
              <w:t>Jugement portant que de nouveaux éléments de preuve justifient la réouverture du procès.  Jugement modifiant les conclusions quant à l’obligation alimentaire de M. Xu envers les enfants et modifiant le partage approprié de la valeur nette de la maison de la rue Marguerite, le portant à 75 pour cent en faveur de Mme Hu, et à 25 pour cent en faveur de M. Xu.</w:t>
            </w:r>
          </w:p>
          <w:p w:rsidR="00843C56" w:rsidRPr="001C7519" w:rsidRDefault="00843C56" w:rsidP="00843C56">
            <w:pPr>
              <w:jc w:val="both"/>
              <w:rPr>
                <w:sz w:val="20"/>
                <w:lang w:val="fr-CA"/>
              </w:rPr>
            </w:pPr>
          </w:p>
        </w:tc>
      </w:tr>
      <w:tr w:rsidR="004C625A" w:rsidRPr="00E75919" w:rsidTr="004C625A">
        <w:tc>
          <w:tcPr>
            <w:tcW w:w="2427" w:type="pct"/>
            <w:gridSpan w:val="2"/>
          </w:tcPr>
          <w:p w:rsidR="004C625A" w:rsidRPr="001C7519" w:rsidRDefault="004C625A" w:rsidP="00843C56">
            <w:pPr>
              <w:jc w:val="both"/>
              <w:rPr>
                <w:sz w:val="20"/>
                <w:lang w:val="fr-CA"/>
              </w:rPr>
            </w:pPr>
            <w:r w:rsidRPr="001C7519">
              <w:rPr>
                <w:sz w:val="20"/>
                <w:lang w:val="fr-CA"/>
              </w:rPr>
              <w:t>23 juillet 2019</w:t>
            </w:r>
          </w:p>
          <w:p w:rsidR="004C625A" w:rsidRPr="001C7519" w:rsidRDefault="004C625A" w:rsidP="00843C56">
            <w:pPr>
              <w:jc w:val="both"/>
              <w:rPr>
                <w:sz w:val="20"/>
                <w:lang w:val="fr-CA"/>
              </w:rPr>
            </w:pPr>
            <w:r w:rsidRPr="001C7519">
              <w:rPr>
                <w:sz w:val="20"/>
                <w:lang w:val="fr-CA"/>
              </w:rPr>
              <w:t>Cour suprême de la Colombie</w:t>
            </w:r>
            <w:r w:rsidRPr="001C7519">
              <w:rPr>
                <w:sz w:val="20"/>
                <w:lang w:val="fr-CA"/>
              </w:rPr>
              <w:noBreakHyphen/>
              <w:t>Britannique</w:t>
            </w:r>
          </w:p>
          <w:p w:rsidR="004C625A" w:rsidRPr="001C7519" w:rsidRDefault="004C625A" w:rsidP="00843C56">
            <w:pPr>
              <w:jc w:val="both"/>
              <w:rPr>
                <w:sz w:val="20"/>
                <w:lang w:val="fr-CA"/>
              </w:rPr>
            </w:pPr>
            <w:r w:rsidRPr="001C7519">
              <w:rPr>
                <w:sz w:val="20"/>
                <w:lang w:val="fr-CA"/>
              </w:rPr>
              <w:t>(Juge Macintosh)</w:t>
            </w:r>
          </w:p>
          <w:p w:rsidR="004C625A" w:rsidRPr="001C7519" w:rsidRDefault="00E75919" w:rsidP="00843C56">
            <w:pPr>
              <w:jc w:val="both"/>
              <w:rPr>
                <w:sz w:val="20"/>
                <w:lang w:val="fr-CA"/>
              </w:rPr>
            </w:pPr>
            <w:hyperlink r:id="rId28" w:history="1">
              <w:r w:rsidR="004C625A" w:rsidRPr="001C7519">
                <w:rPr>
                  <w:rStyle w:val="Hyperlink"/>
                  <w:sz w:val="20"/>
                  <w:lang w:val="fr-CA"/>
                </w:rPr>
                <w:t>2019 BCSC 1336</w:t>
              </w:r>
            </w:hyperlink>
          </w:p>
          <w:p w:rsidR="004C625A" w:rsidRPr="001C7519" w:rsidRDefault="004C625A" w:rsidP="00843C56">
            <w:pPr>
              <w:jc w:val="both"/>
              <w:rPr>
                <w:sz w:val="20"/>
                <w:lang w:val="fr-CA"/>
              </w:rPr>
            </w:pPr>
          </w:p>
        </w:tc>
        <w:tc>
          <w:tcPr>
            <w:tcW w:w="243" w:type="pct"/>
          </w:tcPr>
          <w:p w:rsidR="004C625A" w:rsidRPr="001C7519" w:rsidRDefault="004C625A" w:rsidP="00843C56">
            <w:pPr>
              <w:jc w:val="both"/>
              <w:rPr>
                <w:sz w:val="20"/>
                <w:lang w:val="fr-CA"/>
              </w:rPr>
            </w:pPr>
          </w:p>
        </w:tc>
        <w:tc>
          <w:tcPr>
            <w:tcW w:w="2330" w:type="pct"/>
          </w:tcPr>
          <w:p w:rsidR="004C625A" w:rsidRPr="001C7519" w:rsidRDefault="004C625A" w:rsidP="00843C56">
            <w:pPr>
              <w:jc w:val="both"/>
              <w:rPr>
                <w:sz w:val="20"/>
                <w:lang w:val="fr-CA"/>
              </w:rPr>
            </w:pPr>
            <w:r w:rsidRPr="001C7519">
              <w:rPr>
                <w:sz w:val="20"/>
                <w:lang w:val="fr-CA"/>
              </w:rPr>
              <w:t>Jugement ordonnant que les obligations fiscales et les frais résultant de l’acquisition et de l’aliénation de la résidence soient payés à même le produit net de la vente de la résidence familiale.</w:t>
            </w:r>
          </w:p>
          <w:p w:rsidR="004C625A" w:rsidRPr="001C7519" w:rsidRDefault="004C625A" w:rsidP="00843C56">
            <w:pPr>
              <w:jc w:val="both"/>
              <w:rPr>
                <w:sz w:val="20"/>
                <w:lang w:val="fr-CA"/>
              </w:rPr>
            </w:pPr>
          </w:p>
        </w:tc>
      </w:tr>
      <w:tr w:rsidR="004C625A" w:rsidRPr="00E75919" w:rsidTr="004C625A">
        <w:tc>
          <w:tcPr>
            <w:tcW w:w="2427" w:type="pct"/>
            <w:gridSpan w:val="2"/>
          </w:tcPr>
          <w:p w:rsidR="004C625A" w:rsidRPr="001C7519" w:rsidRDefault="004C625A" w:rsidP="00843C56">
            <w:pPr>
              <w:jc w:val="both"/>
              <w:rPr>
                <w:sz w:val="20"/>
                <w:lang w:val="fr-CA"/>
              </w:rPr>
            </w:pPr>
            <w:r w:rsidRPr="001C7519">
              <w:rPr>
                <w:sz w:val="20"/>
                <w:lang w:val="fr-CA"/>
              </w:rPr>
              <w:t>7 janvier 2021</w:t>
            </w:r>
          </w:p>
          <w:p w:rsidR="004C625A" w:rsidRPr="001C7519" w:rsidRDefault="004C625A" w:rsidP="00843C56">
            <w:pPr>
              <w:jc w:val="both"/>
              <w:rPr>
                <w:sz w:val="20"/>
                <w:lang w:val="fr-CA"/>
              </w:rPr>
            </w:pPr>
            <w:r w:rsidRPr="001C7519">
              <w:rPr>
                <w:sz w:val="20"/>
                <w:lang w:val="fr-CA"/>
              </w:rPr>
              <w:t>Cour d’appel de la Colombie</w:t>
            </w:r>
            <w:r w:rsidRPr="001C7519">
              <w:rPr>
                <w:sz w:val="20"/>
                <w:lang w:val="fr-CA"/>
              </w:rPr>
              <w:noBreakHyphen/>
              <w:t>Britannique</w:t>
            </w:r>
          </w:p>
          <w:p w:rsidR="004C625A" w:rsidRPr="001C7519" w:rsidRDefault="004C625A" w:rsidP="00843C56">
            <w:pPr>
              <w:jc w:val="both"/>
              <w:rPr>
                <w:sz w:val="20"/>
                <w:lang w:val="fr-CA"/>
              </w:rPr>
            </w:pPr>
            <w:r w:rsidRPr="001C7519">
              <w:rPr>
                <w:sz w:val="20"/>
                <w:lang w:val="fr-CA"/>
              </w:rPr>
              <w:t>(Vancouver)</w:t>
            </w:r>
          </w:p>
          <w:p w:rsidR="004C625A" w:rsidRPr="001C7519" w:rsidRDefault="004C625A" w:rsidP="00843C56">
            <w:pPr>
              <w:jc w:val="both"/>
              <w:rPr>
                <w:sz w:val="20"/>
                <w:lang w:val="fr-CA"/>
              </w:rPr>
            </w:pPr>
            <w:r w:rsidRPr="001C7519">
              <w:rPr>
                <w:sz w:val="20"/>
                <w:lang w:val="fr-CA"/>
              </w:rPr>
              <w:t>(Juges Fenlon, Hunter et Butler)</w:t>
            </w:r>
          </w:p>
          <w:p w:rsidR="004C625A" w:rsidRPr="001C7519" w:rsidRDefault="00E75919" w:rsidP="00843C56">
            <w:pPr>
              <w:jc w:val="both"/>
              <w:rPr>
                <w:sz w:val="20"/>
                <w:lang w:val="fr-CA"/>
              </w:rPr>
            </w:pPr>
            <w:hyperlink r:id="rId29" w:history="1">
              <w:r w:rsidR="004C625A" w:rsidRPr="001C7519">
                <w:rPr>
                  <w:rStyle w:val="Hyperlink"/>
                  <w:sz w:val="20"/>
                  <w:lang w:val="fr-CA"/>
                </w:rPr>
                <w:t>2021 BCCA 2</w:t>
              </w:r>
            </w:hyperlink>
          </w:p>
          <w:p w:rsidR="004C625A" w:rsidRPr="001C7519" w:rsidRDefault="004C625A" w:rsidP="00843C56">
            <w:pPr>
              <w:jc w:val="both"/>
              <w:rPr>
                <w:sz w:val="20"/>
                <w:lang w:val="fr-CA"/>
              </w:rPr>
            </w:pPr>
            <w:r w:rsidRPr="001C7519">
              <w:rPr>
                <w:sz w:val="20"/>
                <w:lang w:val="fr-CA"/>
              </w:rPr>
              <w:t>N</w:t>
            </w:r>
            <w:r w:rsidRPr="001C7519">
              <w:rPr>
                <w:sz w:val="20"/>
                <w:vertAlign w:val="superscript"/>
                <w:lang w:val="fr-CA"/>
              </w:rPr>
              <w:t>o</w:t>
            </w:r>
            <w:r w:rsidRPr="001C7519">
              <w:rPr>
                <w:sz w:val="20"/>
                <w:lang w:val="fr-CA"/>
              </w:rPr>
              <w:t xml:space="preserve"> de dossier CA43073</w:t>
            </w:r>
          </w:p>
          <w:p w:rsidR="004C625A" w:rsidRPr="001C7519" w:rsidRDefault="004C625A" w:rsidP="00843C56">
            <w:pPr>
              <w:jc w:val="both"/>
              <w:rPr>
                <w:sz w:val="20"/>
                <w:lang w:val="fr-CA"/>
              </w:rPr>
            </w:pPr>
          </w:p>
        </w:tc>
        <w:tc>
          <w:tcPr>
            <w:tcW w:w="243" w:type="pct"/>
          </w:tcPr>
          <w:p w:rsidR="004C625A" w:rsidRPr="001C7519" w:rsidRDefault="004C625A" w:rsidP="00843C56">
            <w:pPr>
              <w:jc w:val="both"/>
              <w:rPr>
                <w:sz w:val="20"/>
                <w:lang w:val="fr-CA"/>
              </w:rPr>
            </w:pPr>
          </w:p>
        </w:tc>
        <w:tc>
          <w:tcPr>
            <w:tcW w:w="2330" w:type="pct"/>
          </w:tcPr>
          <w:p w:rsidR="004C625A" w:rsidRPr="001C7519" w:rsidRDefault="004C625A" w:rsidP="00843C56">
            <w:pPr>
              <w:jc w:val="both"/>
              <w:rPr>
                <w:sz w:val="20"/>
                <w:lang w:val="fr-CA"/>
              </w:rPr>
            </w:pPr>
            <w:r w:rsidRPr="001C7519">
              <w:rPr>
                <w:sz w:val="20"/>
                <w:lang w:val="fr-CA"/>
              </w:rPr>
              <w:t>Arrêt accueillant l’appel en partie, annulant l’ordonnance déclarant que la personne morale détient la résidence familiale en fiducie pour Mme Hu et partageant l’intérêt bénéficiaire à l’égard du bien entre Mme Hu et M. Xu.</w:t>
            </w:r>
          </w:p>
          <w:p w:rsidR="004C625A" w:rsidRPr="001C7519" w:rsidRDefault="004C625A" w:rsidP="00843C56">
            <w:pPr>
              <w:jc w:val="both"/>
              <w:rPr>
                <w:sz w:val="20"/>
                <w:lang w:val="fr-CA"/>
              </w:rPr>
            </w:pPr>
          </w:p>
        </w:tc>
      </w:tr>
      <w:tr w:rsidR="004C625A" w:rsidRPr="00E75919" w:rsidTr="004C625A">
        <w:tc>
          <w:tcPr>
            <w:tcW w:w="2427" w:type="pct"/>
            <w:gridSpan w:val="2"/>
          </w:tcPr>
          <w:p w:rsidR="004C625A" w:rsidRPr="001C7519" w:rsidRDefault="004C625A" w:rsidP="00843C56">
            <w:pPr>
              <w:jc w:val="both"/>
              <w:rPr>
                <w:sz w:val="20"/>
                <w:lang w:val="fr-CA"/>
              </w:rPr>
            </w:pPr>
            <w:r w:rsidRPr="001C7519">
              <w:rPr>
                <w:sz w:val="20"/>
                <w:lang w:val="fr-CA"/>
              </w:rPr>
              <w:t>5 mars 2021</w:t>
            </w:r>
          </w:p>
          <w:p w:rsidR="004C625A" w:rsidRPr="001C7519" w:rsidRDefault="004C625A" w:rsidP="00843C56">
            <w:pPr>
              <w:jc w:val="both"/>
              <w:rPr>
                <w:sz w:val="20"/>
                <w:lang w:val="fr-CA"/>
              </w:rPr>
            </w:pPr>
            <w:r w:rsidRPr="001C7519">
              <w:rPr>
                <w:sz w:val="20"/>
                <w:lang w:val="fr-CA"/>
              </w:rPr>
              <w:t>Cour suprême du Canada</w:t>
            </w:r>
          </w:p>
        </w:tc>
        <w:tc>
          <w:tcPr>
            <w:tcW w:w="243" w:type="pct"/>
          </w:tcPr>
          <w:p w:rsidR="004C625A" w:rsidRPr="001C7519" w:rsidRDefault="004C625A" w:rsidP="00843C56">
            <w:pPr>
              <w:jc w:val="both"/>
              <w:rPr>
                <w:sz w:val="20"/>
                <w:lang w:val="fr-CA"/>
              </w:rPr>
            </w:pPr>
          </w:p>
        </w:tc>
        <w:tc>
          <w:tcPr>
            <w:tcW w:w="2330" w:type="pct"/>
          </w:tcPr>
          <w:p w:rsidR="004C625A" w:rsidRPr="001C7519" w:rsidRDefault="004C625A" w:rsidP="00843C56">
            <w:pPr>
              <w:jc w:val="both"/>
              <w:rPr>
                <w:sz w:val="20"/>
                <w:lang w:val="fr-CA"/>
              </w:rPr>
            </w:pPr>
            <w:r w:rsidRPr="001C7519">
              <w:rPr>
                <w:sz w:val="20"/>
                <w:lang w:val="fr-CA"/>
              </w:rPr>
              <w:t>Dépôt de la demande d’autorisation d’appel.</w:t>
            </w:r>
          </w:p>
          <w:p w:rsidR="004C625A" w:rsidRPr="001C7519" w:rsidRDefault="004C625A" w:rsidP="00843C56">
            <w:pPr>
              <w:jc w:val="both"/>
              <w:rPr>
                <w:sz w:val="20"/>
                <w:lang w:val="fr-CA"/>
              </w:rPr>
            </w:pPr>
          </w:p>
        </w:tc>
      </w:tr>
    </w:tbl>
    <w:p w:rsidR="004C625A" w:rsidRPr="001C7519" w:rsidRDefault="004C625A" w:rsidP="00843C56">
      <w:pPr>
        <w:jc w:val="both"/>
        <w:rPr>
          <w:sz w:val="20"/>
          <w:lang w:val="fr-CA"/>
        </w:rPr>
      </w:pPr>
    </w:p>
    <w:p w:rsidR="00843C56" w:rsidRPr="001C7519" w:rsidRDefault="00E75919" w:rsidP="00843C56">
      <w:pPr>
        <w:jc w:val="both"/>
        <w:rPr>
          <w:sz w:val="20"/>
          <w:lang w:val="fr-CA"/>
        </w:rPr>
      </w:pPr>
      <w:r>
        <w:rPr>
          <w:sz w:val="20"/>
        </w:rPr>
        <w:pict>
          <v:rect id="_x0000_i1028" style="width:2in;height:1pt" o:hrpct="0" o:hralign="center" o:hrstd="t" o:hrnoshade="t" o:hr="t" fillcolor="black [3213]" stroked="f"/>
        </w:pict>
      </w:r>
    </w:p>
    <w:p w:rsidR="00B63A3D" w:rsidRPr="001C7519" w:rsidRDefault="00B63A3D" w:rsidP="00843C56">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25A" w:rsidRPr="001C7519" w:rsidTr="004C625A">
        <w:tc>
          <w:tcPr>
            <w:tcW w:w="543" w:type="pct"/>
          </w:tcPr>
          <w:p w:rsidR="004C625A" w:rsidRPr="001C7519" w:rsidRDefault="004C625A" w:rsidP="00843C56">
            <w:pPr>
              <w:jc w:val="both"/>
              <w:rPr>
                <w:sz w:val="20"/>
              </w:rPr>
            </w:pPr>
            <w:r w:rsidRPr="001C7519">
              <w:rPr>
                <w:rStyle w:val="SCCFileNumberChar"/>
                <w:sz w:val="20"/>
                <w:szCs w:val="20"/>
              </w:rPr>
              <w:t>39646</w:t>
            </w:r>
          </w:p>
        </w:tc>
        <w:tc>
          <w:tcPr>
            <w:tcW w:w="4457" w:type="pct"/>
            <w:gridSpan w:val="3"/>
          </w:tcPr>
          <w:p w:rsidR="004C625A" w:rsidRPr="001C7519" w:rsidRDefault="004C625A" w:rsidP="00843C56">
            <w:pPr>
              <w:pStyle w:val="SCCLsocParty"/>
              <w:jc w:val="both"/>
              <w:rPr>
                <w:b/>
                <w:sz w:val="20"/>
                <w:szCs w:val="20"/>
                <w:lang w:val="en-US"/>
              </w:rPr>
            </w:pPr>
            <w:r w:rsidRPr="001C7519">
              <w:rPr>
                <w:b/>
                <w:sz w:val="20"/>
                <w:szCs w:val="20"/>
                <w:lang w:val="en-US"/>
              </w:rPr>
              <w:t>Allan Winfield Potter v. Her Majesty the Queen</w:t>
            </w:r>
          </w:p>
          <w:p w:rsidR="004C625A" w:rsidRPr="001C7519" w:rsidRDefault="004C625A" w:rsidP="00843C56">
            <w:pPr>
              <w:jc w:val="both"/>
              <w:rPr>
                <w:sz w:val="20"/>
              </w:rPr>
            </w:pPr>
            <w:r w:rsidRPr="001C7519">
              <w:rPr>
                <w:sz w:val="20"/>
              </w:rPr>
              <w:t>(N.L.) (Criminal) (By Leave)</w:t>
            </w:r>
          </w:p>
        </w:tc>
      </w:tr>
      <w:tr w:rsidR="004C625A" w:rsidRPr="001C7519" w:rsidTr="004C625A">
        <w:tc>
          <w:tcPr>
            <w:tcW w:w="5000" w:type="pct"/>
            <w:gridSpan w:val="4"/>
          </w:tcPr>
          <w:p w:rsidR="004C625A" w:rsidRPr="001C7519" w:rsidRDefault="004C625A" w:rsidP="00843C56">
            <w:pPr>
              <w:pStyle w:val="SCCBanSummary"/>
              <w:rPr>
                <w:sz w:val="20"/>
                <w:szCs w:val="20"/>
              </w:rPr>
            </w:pPr>
            <w:r w:rsidRPr="001C7519">
              <w:rPr>
                <w:sz w:val="20"/>
                <w:szCs w:val="20"/>
              </w:rPr>
              <w:t>(Publication ban in case)</w:t>
            </w:r>
          </w:p>
          <w:p w:rsidR="004C625A" w:rsidRPr="001C7519" w:rsidRDefault="004C625A" w:rsidP="00843C56">
            <w:pPr>
              <w:jc w:val="both"/>
              <w:rPr>
                <w:sz w:val="20"/>
              </w:rPr>
            </w:pPr>
          </w:p>
        </w:tc>
      </w:tr>
      <w:tr w:rsidR="004C625A" w:rsidRPr="001C7519" w:rsidTr="004C625A">
        <w:tc>
          <w:tcPr>
            <w:tcW w:w="5000" w:type="pct"/>
            <w:gridSpan w:val="4"/>
          </w:tcPr>
          <w:p w:rsidR="004C625A" w:rsidRPr="001C7519" w:rsidRDefault="004C625A" w:rsidP="00843C56">
            <w:pPr>
              <w:jc w:val="both"/>
              <w:rPr>
                <w:sz w:val="20"/>
              </w:rPr>
            </w:pPr>
            <w:r w:rsidRPr="001C7519">
              <w:rPr>
                <w:sz w:val="20"/>
              </w:rPr>
              <w:t xml:space="preserve">Criminal law — Offences — Elements of offence — What is the meaning of “planned and deliberate” in s. 231(2) of the </w:t>
            </w:r>
            <w:r w:rsidRPr="001C7519">
              <w:rPr>
                <w:i/>
                <w:sz w:val="20"/>
              </w:rPr>
              <w:t xml:space="preserve">Criminal Code </w:t>
            </w:r>
            <w:r w:rsidRPr="001C7519">
              <w:rPr>
                <w:sz w:val="20"/>
              </w:rPr>
              <w:t>— When can a convicted person raise issues related to ineffective legal representation/incompetence of counsel on appeal.</w:t>
            </w:r>
          </w:p>
          <w:p w:rsidR="004C625A" w:rsidRPr="001C7519" w:rsidRDefault="004C625A" w:rsidP="00843C56">
            <w:pPr>
              <w:jc w:val="both"/>
              <w:rPr>
                <w:sz w:val="20"/>
              </w:rPr>
            </w:pPr>
          </w:p>
        </w:tc>
      </w:tr>
      <w:tr w:rsidR="004C625A" w:rsidRPr="001C7519" w:rsidTr="004C625A">
        <w:tc>
          <w:tcPr>
            <w:tcW w:w="5000" w:type="pct"/>
            <w:gridSpan w:val="4"/>
          </w:tcPr>
          <w:p w:rsidR="004C625A" w:rsidRPr="001C7519" w:rsidRDefault="004C625A" w:rsidP="00843C56">
            <w:pPr>
              <w:jc w:val="both"/>
              <w:rPr>
                <w:sz w:val="20"/>
              </w:rPr>
            </w:pPr>
            <w:r w:rsidRPr="001C7519">
              <w:rPr>
                <w:color w:val="000000"/>
                <w:sz w:val="20"/>
              </w:rPr>
              <w:t>After the trial judge dismissed the application for a directed verdict, Mr. Potter testified, admitting that he had stabbed Mr. Porter but claiming he had acted in self</w:t>
            </w:r>
            <w:r w:rsidRPr="001C7519">
              <w:rPr>
                <w:color w:val="000000"/>
                <w:sz w:val="20"/>
              </w:rPr>
              <w:noBreakHyphen/>
              <w:t xml:space="preserve">defence. </w:t>
            </w:r>
            <w:r w:rsidRPr="001C7519">
              <w:rPr>
                <w:color w:val="000000"/>
                <w:spacing w:val="-2"/>
                <w:sz w:val="20"/>
              </w:rPr>
              <w:t xml:space="preserve">Following a trial by jury, the applicant, was convicted of first degree murder in the death of Mr. Porter. </w:t>
            </w:r>
            <w:r w:rsidRPr="001C7519">
              <w:rPr>
                <w:sz w:val="20"/>
              </w:rPr>
              <w:t>The conviction appeal was dismissed.</w:t>
            </w:r>
          </w:p>
          <w:p w:rsidR="004C625A" w:rsidRPr="001C7519" w:rsidRDefault="004C625A" w:rsidP="00843C56">
            <w:pPr>
              <w:jc w:val="both"/>
              <w:rPr>
                <w:sz w:val="20"/>
              </w:rPr>
            </w:pPr>
          </w:p>
        </w:tc>
      </w:tr>
      <w:tr w:rsidR="004C625A" w:rsidRPr="001C7519" w:rsidTr="004C625A">
        <w:tc>
          <w:tcPr>
            <w:tcW w:w="2427" w:type="pct"/>
            <w:gridSpan w:val="2"/>
          </w:tcPr>
          <w:p w:rsidR="004C625A" w:rsidRPr="001C7519" w:rsidRDefault="004C625A" w:rsidP="00843C56">
            <w:pPr>
              <w:jc w:val="both"/>
              <w:rPr>
                <w:sz w:val="20"/>
              </w:rPr>
            </w:pPr>
            <w:r w:rsidRPr="001C7519">
              <w:rPr>
                <w:sz w:val="20"/>
              </w:rPr>
              <w:t>February 26, 2019</w:t>
            </w:r>
          </w:p>
          <w:p w:rsidR="004C625A" w:rsidRPr="001C7519" w:rsidRDefault="004C625A" w:rsidP="00843C56">
            <w:pPr>
              <w:jc w:val="both"/>
              <w:rPr>
                <w:sz w:val="20"/>
              </w:rPr>
            </w:pPr>
            <w:r w:rsidRPr="001C7519">
              <w:rPr>
                <w:sz w:val="20"/>
              </w:rPr>
              <w:t>Supreme Court of Newfoundland and Labrador, General Division</w:t>
            </w:r>
          </w:p>
          <w:p w:rsidR="004C625A" w:rsidRPr="001C7519" w:rsidRDefault="004C625A" w:rsidP="00843C56">
            <w:pPr>
              <w:jc w:val="both"/>
              <w:rPr>
                <w:sz w:val="20"/>
              </w:rPr>
            </w:pPr>
            <w:r w:rsidRPr="001C7519">
              <w:rPr>
                <w:sz w:val="20"/>
              </w:rPr>
              <w:t>(Handrigan J.)</w:t>
            </w:r>
          </w:p>
          <w:p w:rsidR="004C625A" w:rsidRPr="001C7519" w:rsidRDefault="00E75919" w:rsidP="00843C56">
            <w:pPr>
              <w:jc w:val="both"/>
              <w:rPr>
                <w:sz w:val="20"/>
              </w:rPr>
            </w:pPr>
            <w:hyperlink r:id="rId30" w:history="1">
              <w:r w:rsidR="004C625A" w:rsidRPr="001C7519">
                <w:rPr>
                  <w:rStyle w:val="Hyperlink"/>
                  <w:sz w:val="20"/>
                </w:rPr>
                <w:t>2019 NLSC 50</w:t>
              </w:r>
            </w:hyperlink>
          </w:p>
          <w:p w:rsidR="004C625A" w:rsidRPr="001C7519" w:rsidRDefault="004C625A" w:rsidP="00843C56">
            <w:pPr>
              <w:jc w:val="both"/>
              <w:rPr>
                <w:sz w:val="20"/>
              </w:rPr>
            </w:pPr>
          </w:p>
        </w:tc>
        <w:tc>
          <w:tcPr>
            <w:tcW w:w="243" w:type="pct"/>
          </w:tcPr>
          <w:p w:rsidR="004C625A" w:rsidRPr="001C7519" w:rsidRDefault="004C625A" w:rsidP="00843C56">
            <w:pPr>
              <w:jc w:val="both"/>
              <w:rPr>
                <w:sz w:val="20"/>
              </w:rPr>
            </w:pPr>
          </w:p>
        </w:tc>
        <w:tc>
          <w:tcPr>
            <w:tcW w:w="2330" w:type="pct"/>
          </w:tcPr>
          <w:p w:rsidR="004C625A" w:rsidRPr="001C7519" w:rsidRDefault="004C625A" w:rsidP="00843C56">
            <w:pPr>
              <w:jc w:val="both"/>
              <w:rPr>
                <w:sz w:val="20"/>
              </w:rPr>
            </w:pPr>
            <w:r w:rsidRPr="001C7519">
              <w:rPr>
                <w:sz w:val="20"/>
              </w:rPr>
              <w:t>Applicant’s motion for the judge to direct a verdict of acquittal on the first</w:t>
            </w:r>
            <w:r w:rsidRPr="001C7519">
              <w:rPr>
                <w:sz w:val="20"/>
              </w:rPr>
              <w:noBreakHyphen/>
              <w:t>degree murder charge dismissed</w:t>
            </w:r>
          </w:p>
          <w:p w:rsidR="004C625A" w:rsidRPr="001C7519" w:rsidRDefault="004C625A" w:rsidP="00843C56">
            <w:pPr>
              <w:jc w:val="both"/>
              <w:rPr>
                <w:sz w:val="20"/>
              </w:rPr>
            </w:pPr>
          </w:p>
        </w:tc>
      </w:tr>
      <w:tr w:rsidR="004C625A" w:rsidRPr="001C7519" w:rsidTr="004C625A">
        <w:tc>
          <w:tcPr>
            <w:tcW w:w="2427" w:type="pct"/>
            <w:gridSpan w:val="2"/>
          </w:tcPr>
          <w:p w:rsidR="004C625A" w:rsidRPr="001C7519" w:rsidRDefault="004C625A" w:rsidP="00843C56">
            <w:pPr>
              <w:jc w:val="both"/>
              <w:rPr>
                <w:sz w:val="20"/>
              </w:rPr>
            </w:pPr>
            <w:r w:rsidRPr="001C7519">
              <w:rPr>
                <w:sz w:val="20"/>
              </w:rPr>
              <w:t>February 11, 2021</w:t>
            </w:r>
          </w:p>
          <w:p w:rsidR="004C625A" w:rsidRPr="001C7519" w:rsidRDefault="004C625A" w:rsidP="00843C56">
            <w:pPr>
              <w:jc w:val="both"/>
              <w:rPr>
                <w:sz w:val="20"/>
              </w:rPr>
            </w:pPr>
            <w:r w:rsidRPr="001C7519">
              <w:rPr>
                <w:sz w:val="20"/>
              </w:rPr>
              <w:t>Court of Appeal of Newfoundland and Labrador</w:t>
            </w:r>
          </w:p>
          <w:p w:rsidR="004C625A" w:rsidRPr="001C7519" w:rsidRDefault="004C625A" w:rsidP="00843C56">
            <w:pPr>
              <w:jc w:val="both"/>
              <w:rPr>
                <w:sz w:val="20"/>
              </w:rPr>
            </w:pPr>
            <w:r w:rsidRPr="001C7519">
              <w:rPr>
                <w:sz w:val="20"/>
              </w:rPr>
              <w:t>(Welsh, Hoegg, Goodridge JJ.A.)</w:t>
            </w:r>
          </w:p>
          <w:p w:rsidR="004C625A" w:rsidRPr="001C7519" w:rsidRDefault="004C625A" w:rsidP="00843C56">
            <w:pPr>
              <w:jc w:val="both"/>
              <w:rPr>
                <w:sz w:val="20"/>
              </w:rPr>
            </w:pPr>
            <w:r w:rsidRPr="001C7519">
              <w:rPr>
                <w:sz w:val="20"/>
              </w:rPr>
              <w:t>2021 NLCA 11; 201901H0034</w:t>
            </w:r>
          </w:p>
          <w:p w:rsidR="004C625A" w:rsidRPr="001C7519" w:rsidRDefault="004C625A" w:rsidP="00843C56">
            <w:pPr>
              <w:jc w:val="both"/>
              <w:rPr>
                <w:sz w:val="20"/>
              </w:rPr>
            </w:pPr>
            <w:r w:rsidRPr="001C7519">
              <w:rPr>
                <w:sz w:val="20"/>
              </w:rPr>
              <w:t>(unreported)</w:t>
            </w:r>
          </w:p>
          <w:p w:rsidR="004C625A" w:rsidRPr="001C7519" w:rsidRDefault="004C625A" w:rsidP="00843C56">
            <w:pPr>
              <w:jc w:val="both"/>
              <w:rPr>
                <w:sz w:val="20"/>
              </w:rPr>
            </w:pPr>
          </w:p>
        </w:tc>
        <w:tc>
          <w:tcPr>
            <w:tcW w:w="243" w:type="pct"/>
          </w:tcPr>
          <w:p w:rsidR="004C625A" w:rsidRPr="001C7519" w:rsidRDefault="004C625A" w:rsidP="00843C56">
            <w:pPr>
              <w:jc w:val="both"/>
              <w:rPr>
                <w:sz w:val="20"/>
              </w:rPr>
            </w:pPr>
          </w:p>
        </w:tc>
        <w:tc>
          <w:tcPr>
            <w:tcW w:w="2330" w:type="pct"/>
          </w:tcPr>
          <w:p w:rsidR="004C625A" w:rsidRPr="001C7519" w:rsidRDefault="004C625A" w:rsidP="00843C56">
            <w:pPr>
              <w:jc w:val="both"/>
              <w:rPr>
                <w:sz w:val="20"/>
              </w:rPr>
            </w:pPr>
            <w:r w:rsidRPr="001C7519">
              <w:rPr>
                <w:sz w:val="20"/>
              </w:rPr>
              <w:t>Conviction appeal dismissed</w:t>
            </w:r>
          </w:p>
          <w:p w:rsidR="004C625A" w:rsidRPr="001C7519" w:rsidRDefault="004C625A" w:rsidP="00843C56">
            <w:pPr>
              <w:jc w:val="both"/>
              <w:rPr>
                <w:sz w:val="20"/>
              </w:rPr>
            </w:pPr>
          </w:p>
        </w:tc>
      </w:tr>
      <w:tr w:rsidR="004C625A" w:rsidRPr="001C7519" w:rsidTr="004C625A">
        <w:tc>
          <w:tcPr>
            <w:tcW w:w="2427" w:type="pct"/>
            <w:gridSpan w:val="2"/>
          </w:tcPr>
          <w:p w:rsidR="004C625A" w:rsidRPr="001C7519" w:rsidRDefault="004C625A" w:rsidP="00843C56">
            <w:pPr>
              <w:jc w:val="both"/>
              <w:rPr>
                <w:sz w:val="20"/>
              </w:rPr>
            </w:pPr>
            <w:r w:rsidRPr="001C7519">
              <w:rPr>
                <w:sz w:val="20"/>
              </w:rPr>
              <w:t>April 12, 2021</w:t>
            </w:r>
          </w:p>
          <w:p w:rsidR="004C625A" w:rsidRPr="001C7519" w:rsidRDefault="004C625A" w:rsidP="00843C56">
            <w:pPr>
              <w:jc w:val="both"/>
              <w:rPr>
                <w:sz w:val="20"/>
              </w:rPr>
            </w:pPr>
            <w:r w:rsidRPr="001C7519">
              <w:rPr>
                <w:sz w:val="20"/>
              </w:rPr>
              <w:t>Supreme Court of Canada</w:t>
            </w:r>
          </w:p>
        </w:tc>
        <w:tc>
          <w:tcPr>
            <w:tcW w:w="243" w:type="pct"/>
          </w:tcPr>
          <w:p w:rsidR="004C625A" w:rsidRPr="001C7519" w:rsidRDefault="004C625A" w:rsidP="00843C56">
            <w:pPr>
              <w:jc w:val="both"/>
              <w:rPr>
                <w:sz w:val="20"/>
              </w:rPr>
            </w:pPr>
          </w:p>
        </w:tc>
        <w:tc>
          <w:tcPr>
            <w:tcW w:w="2330" w:type="pct"/>
          </w:tcPr>
          <w:p w:rsidR="004C625A" w:rsidRPr="001C7519" w:rsidRDefault="004C625A" w:rsidP="00843C56">
            <w:pPr>
              <w:jc w:val="both"/>
              <w:rPr>
                <w:sz w:val="20"/>
              </w:rPr>
            </w:pPr>
            <w:r w:rsidRPr="001C7519">
              <w:rPr>
                <w:sz w:val="20"/>
              </w:rPr>
              <w:t>Application for leave to appeal filed</w:t>
            </w:r>
          </w:p>
          <w:p w:rsidR="004C625A" w:rsidRPr="001C7519" w:rsidRDefault="004C625A" w:rsidP="00843C56">
            <w:pPr>
              <w:jc w:val="both"/>
              <w:rPr>
                <w:sz w:val="20"/>
              </w:rPr>
            </w:pPr>
          </w:p>
        </w:tc>
      </w:tr>
    </w:tbl>
    <w:p w:rsidR="004C625A" w:rsidRPr="001C7519" w:rsidRDefault="004C625A" w:rsidP="00843C56">
      <w:pPr>
        <w:jc w:val="both"/>
        <w:rPr>
          <w:sz w:val="20"/>
        </w:rPr>
      </w:pPr>
    </w:p>
    <w:p w:rsidR="00843C56" w:rsidRPr="001C7519" w:rsidRDefault="00E75919" w:rsidP="00843C56">
      <w:pPr>
        <w:jc w:val="both"/>
        <w:rPr>
          <w:sz w:val="20"/>
        </w:rPr>
      </w:pPr>
      <w:r>
        <w:rPr>
          <w:sz w:val="20"/>
        </w:rPr>
        <w:pict>
          <v:rect id="_x0000_i1029" style="width:2in;height:1pt" o:hrpct="0" o:hralign="center" o:hrstd="t" o:hrnoshade="t" o:hr="t" fillcolor="black [3213]" stroked="f"/>
        </w:pict>
      </w:r>
    </w:p>
    <w:p w:rsidR="00843C56" w:rsidRPr="001C7519" w:rsidRDefault="00843C56" w:rsidP="00843C5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25A" w:rsidRPr="00E75919" w:rsidTr="004C625A">
        <w:tc>
          <w:tcPr>
            <w:tcW w:w="543" w:type="pct"/>
          </w:tcPr>
          <w:p w:rsidR="004C625A" w:rsidRPr="001C7519" w:rsidRDefault="004C625A" w:rsidP="00843C56">
            <w:pPr>
              <w:jc w:val="both"/>
              <w:rPr>
                <w:sz w:val="20"/>
                <w:lang w:val="fr-CA"/>
              </w:rPr>
            </w:pPr>
            <w:r w:rsidRPr="001C7519">
              <w:rPr>
                <w:rStyle w:val="SCCFileNumberChar"/>
                <w:sz w:val="20"/>
                <w:szCs w:val="20"/>
                <w:lang w:val="fr-CA"/>
              </w:rPr>
              <w:t>39646</w:t>
            </w:r>
          </w:p>
        </w:tc>
        <w:tc>
          <w:tcPr>
            <w:tcW w:w="4457" w:type="pct"/>
            <w:gridSpan w:val="3"/>
          </w:tcPr>
          <w:p w:rsidR="004C625A" w:rsidRPr="001C7519" w:rsidRDefault="004C625A" w:rsidP="00843C56">
            <w:pPr>
              <w:pStyle w:val="SCCLsocParty"/>
              <w:jc w:val="both"/>
              <w:rPr>
                <w:b/>
                <w:sz w:val="20"/>
                <w:szCs w:val="20"/>
              </w:rPr>
            </w:pPr>
            <w:r w:rsidRPr="001C7519">
              <w:rPr>
                <w:b/>
                <w:sz w:val="20"/>
                <w:szCs w:val="20"/>
              </w:rPr>
              <w:t>Allan Winfield Potter c. Sa Majesté la Reine</w:t>
            </w:r>
          </w:p>
          <w:p w:rsidR="004C625A" w:rsidRPr="001C7519" w:rsidRDefault="004C625A" w:rsidP="00843C56">
            <w:pPr>
              <w:jc w:val="both"/>
              <w:rPr>
                <w:sz w:val="20"/>
                <w:lang w:val="fr-CA"/>
              </w:rPr>
            </w:pPr>
            <w:r w:rsidRPr="001C7519">
              <w:rPr>
                <w:sz w:val="20"/>
                <w:lang w:val="fr-CA"/>
              </w:rPr>
              <w:t>(T.-N.) (Criminelle) (Sur autorisation)</w:t>
            </w:r>
          </w:p>
        </w:tc>
      </w:tr>
      <w:tr w:rsidR="004C625A" w:rsidRPr="00E75919" w:rsidTr="004C625A">
        <w:tc>
          <w:tcPr>
            <w:tcW w:w="5000" w:type="pct"/>
            <w:gridSpan w:val="4"/>
          </w:tcPr>
          <w:p w:rsidR="004C625A" w:rsidRPr="001C7519" w:rsidRDefault="004C625A" w:rsidP="00843C56">
            <w:pPr>
              <w:pStyle w:val="SCCBanSummary"/>
              <w:rPr>
                <w:sz w:val="20"/>
                <w:szCs w:val="20"/>
                <w:lang w:val="fr-CA"/>
              </w:rPr>
            </w:pPr>
            <w:r w:rsidRPr="001C7519">
              <w:rPr>
                <w:sz w:val="20"/>
                <w:szCs w:val="20"/>
                <w:lang w:val="fr-CA"/>
              </w:rPr>
              <w:t>(Ordonnance de non</w:t>
            </w:r>
            <w:r w:rsidRPr="001C7519">
              <w:rPr>
                <w:sz w:val="20"/>
                <w:szCs w:val="20"/>
                <w:lang w:val="fr-CA"/>
              </w:rPr>
              <w:noBreakHyphen/>
              <w:t>publication dans le dossier)</w:t>
            </w:r>
          </w:p>
          <w:p w:rsidR="004C625A" w:rsidRPr="001C7519" w:rsidRDefault="004C625A" w:rsidP="00843C56">
            <w:pPr>
              <w:jc w:val="both"/>
              <w:rPr>
                <w:sz w:val="20"/>
                <w:lang w:val="fr-CA"/>
              </w:rPr>
            </w:pPr>
          </w:p>
        </w:tc>
      </w:tr>
      <w:tr w:rsidR="004C625A" w:rsidRPr="00E75919" w:rsidTr="004C625A">
        <w:tc>
          <w:tcPr>
            <w:tcW w:w="5000" w:type="pct"/>
            <w:gridSpan w:val="4"/>
          </w:tcPr>
          <w:p w:rsidR="004C625A" w:rsidRPr="001C7519" w:rsidRDefault="004C625A" w:rsidP="00843C56">
            <w:pPr>
              <w:jc w:val="both"/>
              <w:rPr>
                <w:sz w:val="20"/>
                <w:lang w:val="fr-CA"/>
              </w:rPr>
            </w:pPr>
            <w:r w:rsidRPr="001C7519">
              <w:rPr>
                <w:sz w:val="20"/>
                <w:lang w:val="fr-CA"/>
              </w:rPr>
              <w:t xml:space="preserve">Droit criminel — Infractions — Éléments de l’infraction — Quel est le sens de l’expression « avec préméditation et de propos délibéré » prévu au </w:t>
            </w:r>
            <w:proofErr w:type="spellStart"/>
            <w:r w:rsidRPr="001C7519">
              <w:rPr>
                <w:sz w:val="20"/>
                <w:lang w:val="fr-CA"/>
              </w:rPr>
              <w:t>par</w:t>
            </w:r>
            <w:proofErr w:type="spellEnd"/>
            <w:r w:rsidRPr="001C7519">
              <w:rPr>
                <w:sz w:val="20"/>
                <w:lang w:val="fr-CA"/>
              </w:rPr>
              <w:t xml:space="preserve">. 231(2) du </w:t>
            </w:r>
            <w:r w:rsidRPr="001C7519">
              <w:rPr>
                <w:i/>
                <w:sz w:val="20"/>
                <w:lang w:val="fr-CA"/>
              </w:rPr>
              <w:t xml:space="preserve">Code criminel ? </w:t>
            </w:r>
            <w:r w:rsidRPr="001C7519">
              <w:rPr>
                <w:sz w:val="20"/>
                <w:lang w:val="fr-CA"/>
              </w:rPr>
              <w:t>— Dans quelles circonstances une personne déclarée coupable peut</w:t>
            </w:r>
            <w:r w:rsidRPr="001C7519">
              <w:rPr>
                <w:sz w:val="20"/>
                <w:lang w:val="fr-CA"/>
              </w:rPr>
              <w:noBreakHyphen/>
              <w:t>elle soulever des questions relatives à une mauvaise représentation en justice/l’incompétence de son avocat en appel ?</w:t>
            </w:r>
            <w:r w:rsidRPr="001C7519">
              <w:rPr>
                <w:rFonts w:ascii="Helvetica" w:hAnsi="Helvetica"/>
                <w:color w:val="333333"/>
                <w:sz w:val="20"/>
                <w:shd w:val="clear" w:color="auto" w:fill="FFFFFF"/>
                <w:lang w:val="fr-CA"/>
              </w:rPr>
              <w:t xml:space="preserve"> </w:t>
            </w:r>
          </w:p>
        </w:tc>
      </w:tr>
      <w:tr w:rsidR="004C625A" w:rsidRPr="001C7519" w:rsidTr="004C625A">
        <w:tc>
          <w:tcPr>
            <w:tcW w:w="5000" w:type="pct"/>
            <w:gridSpan w:val="4"/>
          </w:tcPr>
          <w:p w:rsidR="004C625A" w:rsidRPr="001C7519" w:rsidRDefault="004C625A" w:rsidP="00843C56">
            <w:pPr>
              <w:jc w:val="both"/>
              <w:rPr>
                <w:sz w:val="20"/>
                <w:lang w:val="fr-CA"/>
              </w:rPr>
            </w:pPr>
            <w:r w:rsidRPr="001C7519">
              <w:rPr>
                <w:color w:val="000000"/>
                <w:sz w:val="20"/>
                <w:lang w:val="fr-CA"/>
              </w:rPr>
              <w:t xml:space="preserve">Après que le juge du procès eu rejeté la demande de verdict imposé, M. Potter a témoigné, avouant avoir poignardé M. Porter, mais alléguant qu’il avait agi en légitime défense. À la suite d’un procès devant </w:t>
            </w:r>
            <w:r w:rsidRPr="001C7519">
              <w:rPr>
                <w:color w:val="000000"/>
                <w:spacing w:val="-2"/>
                <w:sz w:val="20"/>
                <w:lang w:val="fr-CA"/>
              </w:rPr>
              <w:t xml:space="preserve">jury, le demandeur a été déclaré coupable du meurtre au premier degré de M. Porter. </w:t>
            </w:r>
            <w:r w:rsidRPr="001C7519">
              <w:rPr>
                <w:sz w:val="20"/>
                <w:lang w:val="fr-CA"/>
              </w:rPr>
              <w:t>L’appel de la déclaration de culpabilité a été rejeté.</w:t>
            </w:r>
          </w:p>
          <w:p w:rsidR="004C625A" w:rsidRPr="001C7519" w:rsidRDefault="004C625A" w:rsidP="00843C56">
            <w:pPr>
              <w:jc w:val="both"/>
              <w:rPr>
                <w:sz w:val="20"/>
                <w:lang w:val="fr-CA"/>
              </w:rPr>
            </w:pPr>
          </w:p>
        </w:tc>
      </w:tr>
      <w:tr w:rsidR="004C625A" w:rsidRPr="00E75919" w:rsidTr="004C625A">
        <w:tc>
          <w:tcPr>
            <w:tcW w:w="2427" w:type="pct"/>
            <w:gridSpan w:val="2"/>
          </w:tcPr>
          <w:p w:rsidR="004C625A" w:rsidRPr="001C7519" w:rsidRDefault="004C625A" w:rsidP="00843C56">
            <w:pPr>
              <w:jc w:val="both"/>
              <w:rPr>
                <w:sz w:val="20"/>
                <w:lang w:val="fr-CA"/>
              </w:rPr>
            </w:pPr>
            <w:r w:rsidRPr="001C7519">
              <w:rPr>
                <w:sz w:val="20"/>
                <w:lang w:val="fr-CA"/>
              </w:rPr>
              <w:t>26 février 2019</w:t>
            </w:r>
          </w:p>
          <w:p w:rsidR="004C625A" w:rsidRPr="001C7519" w:rsidRDefault="004C625A" w:rsidP="00843C56">
            <w:pPr>
              <w:jc w:val="both"/>
              <w:rPr>
                <w:sz w:val="20"/>
                <w:lang w:val="fr-CA"/>
              </w:rPr>
            </w:pPr>
            <w:r w:rsidRPr="001C7519">
              <w:rPr>
                <w:sz w:val="20"/>
                <w:lang w:val="fr-CA"/>
              </w:rPr>
              <w:t>Cour suprême de Terre</w:t>
            </w:r>
            <w:r w:rsidRPr="001C7519">
              <w:rPr>
                <w:sz w:val="20"/>
                <w:lang w:val="fr-CA"/>
              </w:rPr>
              <w:noBreakHyphen/>
              <w:t>Neuve</w:t>
            </w:r>
            <w:r w:rsidRPr="001C7519">
              <w:rPr>
                <w:sz w:val="20"/>
                <w:lang w:val="fr-CA"/>
              </w:rPr>
              <w:noBreakHyphen/>
              <w:t>et</w:t>
            </w:r>
            <w:r w:rsidRPr="001C7519">
              <w:rPr>
                <w:sz w:val="20"/>
                <w:lang w:val="fr-CA"/>
              </w:rPr>
              <w:noBreakHyphen/>
              <w:t>Labrador, division générale</w:t>
            </w:r>
          </w:p>
          <w:p w:rsidR="004C625A" w:rsidRPr="001C7519" w:rsidRDefault="004C625A" w:rsidP="00843C56">
            <w:pPr>
              <w:jc w:val="both"/>
              <w:rPr>
                <w:sz w:val="20"/>
                <w:lang w:val="fr-CA"/>
              </w:rPr>
            </w:pPr>
            <w:r w:rsidRPr="001C7519">
              <w:rPr>
                <w:sz w:val="20"/>
                <w:lang w:val="fr-CA"/>
              </w:rPr>
              <w:t>(juge Handrigan)</w:t>
            </w:r>
          </w:p>
          <w:p w:rsidR="004C625A" w:rsidRPr="001C7519" w:rsidRDefault="00E75919" w:rsidP="00843C56">
            <w:pPr>
              <w:jc w:val="both"/>
              <w:rPr>
                <w:sz w:val="20"/>
                <w:lang w:val="fr-CA"/>
              </w:rPr>
            </w:pPr>
            <w:hyperlink r:id="rId31" w:history="1">
              <w:r w:rsidR="004C625A" w:rsidRPr="001C7519">
                <w:rPr>
                  <w:rStyle w:val="Hyperlink"/>
                  <w:sz w:val="20"/>
                  <w:lang w:val="fr-CA"/>
                </w:rPr>
                <w:t>2019 NLSC 50</w:t>
              </w:r>
            </w:hyperlink>
          </w:p>
          <w:p w:rsidR="004C625A" w:rsidRPr="001C7519" w:rsidRDefault="004C625A" w:rsidP="00843C56">
            <w:pPr>
              <w:jc w:val="both"/>
              <w:rPr>
                <w:sz w:val="20"/>
                <w:lang w:val="fr-CA"/>
              </w:rPr>
            </w:pPr>
          </w:p>
        </w:tc>
        <w:tc>
          <w:tcPr>
            <w:tcW w:w="243" w:type="pct"/>
          </w:tcPr>
          <w:p w:rsidR="004C625A" w:rsidRPr="001C7519" w:rsidRDefault="004C625A" w:rsidP="00843C56">
            <w:pPr>
              <w:jc w:val="both"/>
              <w:rPr>
                <w:sz w:val="20"/>
                <w:lang w:val="fr-CA"/>
              </w:rPr>
            </w:pPr>
          </w:p>
        </w:tc>
        <w:tc>
          <w:tcPr>
            <w:tcW w:w="2330" w:type="pct"/>
          </w:tcPr>
          <w:p w:rsidR="004C625A" w:rsidRPr="001C7519" w:rsidRDefault="004C625A" w:rsidP="00843C56">
            <w:pPr>
              <w:jc w:val="both"/>
              <w:rPr>
                <w:sz w:val="20"/>
                <w:lang w:val="fr-CA"/>
              </w:rPr>
            </w:pPr>
            <w:r w:rsidRPr="001C7519">
              <w:rPr>
                <w:sz w:val="20"/>
                <w:lang w:val="fr-CA"/>
              </w:rPr>
              <w:t xml:space="preserve">La requête du demandeur pour que le juge impose un verdict d’acquittement quant à l’accusation de meurtre au premier degré est </w:t>
            </w:r>
            <w:proofErr w:type="gramStart"/>
            <w:r w:rsidRPr="001C7519">
              <w:rPr>
                <w:sz w:val="20"/>
                <w:lang w:val="fr-CA"/>
              </w:rPr>
              <w:t>rejetée</w:t>
            </w:r>
            <w:proofErr w:type="gramEnd"/>
            <w:r w:rsidRPr="001C7519">
              <w:rPr>
                <w:sz w:val="20"/>
                <w:lang w:val="fr-CA"/>
              </w:rPr>
              <w:t>.</w:t>
            </w:r>
          </w:p>
          <w:p w:rsidR="004C625A" w:rsidRPr="001C7519" w:rsidRDefault="004C625A" w:rsidP="00843C56">
            <w:pPr>
              <w:jc w:val="both"/>
              <w:rPr>
                <w:sz w:val="20"/>
                <w:lang w:val="fr-CA"/>
              </w:rPr>
            </w:pPr>
          </w:p>
        </w:tc>
      </w:tr>
      <w:tr w:rsidR="004C625A" w:rsidRPr="00E75919" w:rsidTr="004C625A">
        <w:tc>
          <w:tcPr>
            <w:tcW w:w="2427" w:type="pct"/>
            <w:gridSpan w:val="2"/>
          </w:tcPr>
          <w:p w:rsidR="004C625A" w:rsidRPr="001C7519" w:rsidRDefault="004C625A" w:rsidP="00843C56">
            <w:pPr>
              <w:jc w:val="both"/>
              <w:rPr>
                <w:sz w:val="20"/>
                <w:lang w:val="fr-CA"/>
              </w:rPr>
            </w:pPr>
            <w:r w:rsidRPr="001C7519">
              <w:rPr>
                <w:sz w:val="20"/>
                <w:lang w:val="fr-CA"/>
              </w:rPr>
              <w:t>11 février 2021</w:t>
            </w:r>
          </w:p>
          <w:p w:rsidR="004C625A" w:rsidRPr="001C7519" w:rsidRDefault="004C625A" w:rsidP="00843C56">
            <w:pPr>
              <w:jc w:val="both"/>
              <w:rPr>
                <w:sz w:val="20"/>
                <w:lang w:val="fr-CA"/>
              </w:rPr>
            </w:pPr>
            <w:r w:rsidRPr="001C7519">
              <w:rPr>
                <w:sz w:val="20"/>
                <w:lang w:val="fr-CA"/>
              </w:rPr>
              <w:t>Cour d’appel de Terre</w:t>
            </w:r>
            <w:r w:rsidRPr="001C7519">
              <w:rPr>
                <w:sz w:val="20"/>
                <w:lang w:val="fr-CA"/>
              </w:rPr>
              <w:noBreakHyphen/>
              <w:t>Neuve</w:t>
            </w:r>
            <w:r w:rsidRPr="001C7519">
              <w:rPr>
                <w:sz w:val="20"/>
                <w:lang w:val="fr-CA"/>
              </w:rPr>
              <w:noBreakHyphen/>
              <w:t>et</w:t>
            </w:r>
            <w:r w:rsidRPr="001C7519">
              <w:rPr>
                <w:sz w:val="20"/>
                <w:lang w:val="fr-CA"/>
              </w:rPr>
              <w:noBreakHyphen/>
              <w:t>Labrador</w:t>
            </w:r>
          </w:p>
          <w:p w:rsidR="004C625A" w:rsidRPr="001C7519" w:rsidRDefault="004C625A" w:rsidP="00843C56">
            <w:pPr>
              <w:jc w:val="both"/>
              <w:rPr>
                <w:sz w:val="20"/>
              </w:rPr>
            </w:pPr>
            <w:r w:rsidRPr="001C7519">
              <w:rPr>
                <w:sz w:val="20"/>
              </w:rPr>
              <w:t>(juges Welsh, Hoegg, Goodridge)</w:t>
            </w:r>
          </w:p>
          <w:p w:rsidR="004C625A" w:rsidRPr="001C7519" w:rsidRDefault="004C625A" w:rsidP="00843C56">
            <w:pPr>
              <w:jc w:val="both"/>
              <w:rPr>
                <w:sz w:val="20"/>
              </w:rPr>
            </w:pPr>
            <w:r w:rsidRPr="001C7519">
              <w:rPr>
                <w:sz w:val="20"/>
              </w:rPr>
              <w:t>2021 NLCA 11; 201901H0034</w:t>
            </w:r>
          </w:p>
          <w:p w:rsidR="004C625A" w:rsidRPr="001C7519" w:rsidRDefault="004C625A" w:rsidP="00843C56">
            <w:pPr>
              <w:jc w:val="both"/>
              <w:rPr>
                <w:sz w:val="20"/>
                <w:lang w:val="fr-CA"/>
              </w:rPr>
            </w:pPr>
            <w:r w:rsidRPr="001C7519">
              <w:rPr>
                <w:sz w:val="20"/>
                <w:lang w:val="fr-CA"/>
              </w:rPr>
              <w:t>(non publié)</w:t>
            </w:r>
          </w:p>
          <w:p w:rsidR="004C625A" w:rsidRPr="001C7519" w:rsidRDefault="004C625A" w:rsidP="00843C56">
            <w:pPr>
              <w:jc w:val="both"/>
              <w:rPr>
                <w:sz w:val="20"/>
                <w:lang w:val="fr-CA"/>
              </w:rPr>
            </w:pPr>
          </w:p>
        </w:tc>
        <w:tc>
          <w:tcPr>
            <w:tcW w:w="243" w:type="pct"/>
          </w:tcPr>
          <w:p w:rsidR="004C625A" w:rsidRPr="001C7519" w:rsidRDefault="004C625A" w:rsidP="00843C56">
            <w:pPr>
              <w:jc w:val="both"/>
              <w:rPr>
                <w:sz w:val="20"/>
                <w:lang w:val="fr-CA"/>
              </w:rPr>
            </w:pPr>
          </w:p>
        </w:tc>
        <w:tc>
          <w:tcPr>
            <w:tcW w:w="2330" w:type="pct"/>
          </w:tcPr>
          <w:p w:rsidR="004C625A" w:rsidRPr="001C7519" w:rsidRDefault="004C625A" w:rsidP="00843C56">
            <w:pPr>
              <w:jc w:val="both"/>
              <w:rPr>
                <w:sz w:val="20"/>
                <w:lang w:val="fr-CA"/>
              </w:rPr>
            </w:pPr>
            <w:r w:rsidRPr="001C7519">
              <w:rPr>
                <w:sz w:val="20"/>
                <w:lang w:val="fr-CA"/>
              </w:rPr>
              <w:t xml:space="preserve">L’appel de la déclaration de culpabilité est rejeté. </w:t>
            </w:r>
          </w:p>
        </w:tc>
      </w:tr>
      <w:tr w:rsidR="004C625A" w:rsidRPr="00E75919" w:rsidTr="004C625A">
        <w:tc>
          <w:tcPr>
            <w:tcW w:w="2427" w:type="pct"/>
            <w:gridSpan w:val="2"/>
          </w:tcPr>
          <w:p w:rsidR="004C625A" w:rsidRPr="001C7519" w:rsidRDefault="004C625A" w:rsidP="00843C56">
            <w:pPr>
              <w:jc w:val="both"/>
              <w:rPr>
                <w:sz w:val="20"/>
                <w:lang w:val="fr-CA"/>
              </w:rPr>
            </w:pPr>
            <w:r w:rsidRPr="001C7519">
              <w:rPr>
                <w:sz w:val="20"/>
                <w:lang w:val="fr-CA"/>
              </w:rPr>
              <w:t>12 avril 2021</w:t>
            </w:r>
          </w:p>
          <w:p w:rsidR="004C625A" w:rsidRPr="001C7519" w:rsidRDefault="004C625A" w:rsidP="00843C56">
            <w:pPr>
              <w:jc w:val="both"/>
              <w:rPr>
                <w:sz w:val="20"/>
                <w:lang w:val="fr-CA"/>
              </w:rPr>
            </w:pPr>
            <w:r w:rsidRPr="001C7519">
              <w:rPr>
                <w:sz w:val="20"/>
                <w:lang w:val="fr-CA"/>
              </w:rPr>
              <w:t>Cour suprême du Canada</w:t>
            </w:r>
          </w:p>
        </w:tc>
        <w:tc>
          <w:tcPr>
            <w:tcW w:w="243" w:type="pct"/>
          </w:tcPr>
          <w:p w:rsidR="004C625A" w:rsidRPr="001C7519" w:rsidRDefault="004C625A" w:rsidP="00843C56">
            <w:pPr>
              <w:jc w:val="both"/>
              <w:rPr>
                <w:sz w:val="20"/>
                <w:lang w:val="fr-CA"/>
              </w:rPr>
            </w:pPr>
          </w:p>
        </w:tc>
        <w:tc>
          <w:tcPr>
            <w:tcW w:w="2330" w:type="pct"/>
          </w:tcPr>
          <w:p w:rsidR="004C625A" w:rsidRPr="001C7519" w:rsidRDefault="004C625A" w:rsidP="00843C56">
            <w:pPr>
              <w:jc w:val="both"/>
              <w:rPr>
                <w:sz w:val="20"/>
                <w:lang w:val="fr-CA"/>
              </w:rPr>
            </w:pPr>
            <w:r w:rsidRPr="001C7519">
              <w:rPr>
                <w:sz w:val="20"/>
                <w:lang w:val="fr-CA"/>
              </w:rPr>
              <w:t>La demande d’autorisation d’appel est présentée.</w:t>
            </w:r>
          </w:p>
          <w:p w:rsidR="004C625A" w:rsidRPr="001C7519" w:rsidRDefault="004C625A" w:rsidP="00843C56">
            <w:pPr>
              <w:jc w:val="both"/>
              <w:rPr>
                <w:sz w:val="20"/>
                <w:lang w:val="fr-CA"/>
              </w:rPr>
            </w:pPr>
          </w:p>
        </w:tc>
      </w:tr>
    </w:tbl>
    <w:p w:rsidR="004C625A" w:rsidRPr="001C7519" w:rsidRDefault="004C625A" w:rsidP="00843C56">
      <w:pPr>
        <w:jc w:val="both"/>
        <w:rPr>
          <w:sz w:val="20"/>
          <w:lang w:val="fr-CA"/>
        </w:rPr>
      </w:pPr>
    </w:p>
    <w:p w:rsidR="00843C56" w:rsidRPr="001C7519" w:rsidRDefault="00E75919" w:rsidP="00843C56">
      <w:pPr>
        <w:jc w:val="both"/>
        <w:rPr>
          <w:sz w:val="20"/>
          <w:lang w:val="fr-CA"/>
        </w:rPr>
      </w:pPr>
      <w:r>
        <w:rPr>
          <w:sz w:val="20"/>
        </w:rPr>
        <w:pict>
          <v:rect id="_x0000_i1030" style="width:2in;height:1pt" o:hrpct="0" o:hralign="center" o:hrstd="t" o:hrnoshade="t" o:hr="t" fillcolor="black [3213]" stroked="f"/>
        </w:pict>
      </w:r>
    </w:p>
    <w:p w:rsidR="00B63A3D" w:rsidRPr="001C7519" w:rsidRDefault="00B63A3D" w:rsidP="00843C56">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25A" w:rsidRPr="001C7519" w:rsidTr="004C625A">
        <w:tc>
          <w:tcPr>
            <w:tcW w:w="543" w:type="pct"/>
          </w:tcPr>
          <w:p w:rsidR="004C625A" w:rsidRPr="001C7519" w:rsidRDefault="004C625A" w:rsidP="00843C56">
            <w:pPr>
              <w:jc w:val="both"/>
              <w:rPr>
                <w:sz w:val="20"/>
              </w:rPr>
            </w:pPr>
            <w:r w:rsidRPr="001C7519">
              <w:rPr>
                <w:rStyle w:val="SCCFileNumberChar"/>
                <w:sz w:val="20"/>
                <w:szCs w:val="20"/>
              </w:rPr>
              <w:t>39651</w:t>
            </w:r>
          </w:p>
        </w:tc>
        <w:tc>
          <w:tcPr>
            <w:tcW w:w="4457" w:type="pct"/>
            <w:gridSpan w:val="3"/>
          </w:tcPr>
          <w:p w:rsidR="004C625A" w:rsidRPr="001C7519" w:rsidRDefault="004C625A" w:rsidP="00843C56">
            <w:pPr>
              <w:pStyle w:val="SCCLsocParty"/>
              <w:jc w:val="both"/>
              <w:rPr>
                <w:b/>
                <w:sz w:val="20"/>
                <w:szCs w:val="20"/>
                <w:lang w:val="en-US"/>
              </w:rPr>
            </w:pPr>
            <w:r w:rsidRPr="001C7519">
              <w:rPr>
                <w:b/>
                <w:sz w:val="20"/>
                <w:szCs w:val="20"/>
                <w:lang w:val="en-US"/>
              </w:rPr>
              <w:t>Unifor Canada Local 594 v. Consumers’ Co-Operative Refineries Limited</w:t>
            </w:r>
          </w:p>
          <w:p w:rsidR="004C625A" w:rsidRPr="001C7519" w:rsidRDefault="004C625A" w:rsidP="00843C56">
            <w:pPr>
              <w:jc w:val="both"/>
              <w:rPr>
                <w:sz w:val="20"/>
              </w:rPr>
            </w:pPr>
            <w:r w:rsidRPr="001C7519">
              <w:rPr>
                <w:sz w:val="20"/>
              </w:rPr>
              <w:t>(Sask.) (Civil) (By Leave)</w:t>
            </w:r>
          </w:p>
        </w:tc>
      </w:tr>
      <w:tr w:rsidR="004C625A" w:rsidRPr="001C7519" w:rsidTr="004C625A">
        <w:tc>
          <w:tcPr>
            <w:tcW w:w="5000" w:type="pct"/>
            <w:gridSpan w:val="4"/>
          </w:tcPr>
          <w:p w:rsidR="004C625A" w:rsidRPr="001C7519" w:rsidRDefault="004C625A" w:rsidP="00843C56">
            <w:pPr>
              <w:jc w:val="both"/>
              <w:rPr>
                <w:sz w:val="20"/>
              </w:rPr>
            </w:pPr>
            <w:r w:rsidRPr="001C7519">
              <w:rPr>
                <w:i/>
                <w:sz w:val="20"/>
              </w:rPr>
              <w:t>Charter of Rights and Freedoms</w:t>
            </w:r>
            <w:r w:rsidRPr="001C7519">
              <w:rPr>
                <w:sz w:val="20"/>
              </w:rPr>
              <w:t xml:space="preserve"> — Freedom of association — What is the impact of freedom of association upon workers’ right to picket when they have been locked out and the employer is carrying on business with managers and replacement workers — Is the scope of picketing subject to an exception whereby managers, replacement workers and agent drivers can proceed through a picket line if they so desire without any delay?</w:t>
            </w:r>
          </w:p>
        </w:tc>
      </w:tr>
      <w:tr w:rsidR="004C625A" w:rsidRPr="001C7519" w:rsidTr="004C625A">
        <w:tc>
          <w:tcPr>
            <w:tcW w:w="5000" w:type="pct"/>
            <w:gridSpan w:val="4"/>
          </w:tcPr>
          <w:p w:rsidR="004C625A" w:rsidRPr="001C7519" w:rsidRDefault="004C625A" w:rsidP="00843C56">
            <w:pPr>
              <w:jc w:val="both"/>
              <w:rPr>
                <w:sz w:val="20"/>
              </w:rPr>
            </w:pPr>
          </w:p>
        </w:tc>
      </w:tr>
      <w:tr w:rsidR="004C625A" w:rsidRPr="001C7519" w:rsidTr="004C625A">
        <w:tc>
          <w:tcPr>
            <w:tcW w:w="5000" w:type="pct"/>
            <w:gridSpan w:val="4"/>
          </w:tcPr>
          <w:p w:rsidR="004C625A" w:rsidRPr="001C7519" w:rsidRDefault="004C625A" w:rsidP="00843C56">
            <w:pPr>
              <w:jc w:val="both"/>
              <w:rPr>
                <w:spacing w:val="-1"/>
                <w:sz w:val="20"/>
              </w:rPr>
            </w:pPr>
            <w:r w:rsidRPr="001C7519">
              <w:rPr>
                <w:sz w:val="20"/>
              </w:rPr>
              <w:t xml:space="preserve">During a labour action, the employer sought an injunction restraining employees from picketing. The motions judge granted an order permitting picketers to delay traffic in and out of the employer’s workplaces in order to communicate information and solicit support, up to a maximum of 10 minutes </w:t>
            </w:r>
            <w:r w:rsidRPr="001C7519">
              <w:rPr>
                <w:spacing w:val="-1"/>
                <w:sz w:val="20"/>
              </w:rPr>
              <w:t xml:space="preserve">or until the recipient of the information indicated a desire to proceed, whichever came first. The employees’ union appealed, seeking to have the exception struck from the order. The Court of Appeal dismissed the appeal. </w:t>
            </w:r>
          </w:p>
          <w:p w:rsidR="004C625A" w:rsidRPr="001C7519" w:rsidRDefault="004C625A" w:rsidP="00843C56">
            <w:pPr>
              <w:jc w:val="both"/>
              <w:rPr>
                <w:sz w:val="20"/>
              </w:rPr>
            </w:pPr>
          </w:p>
        </w:tc>
      </w:tr>
      <w:tr w:rsidR="004C625A" w:rsidRPr="001C7519" w:rsidTr="004C625A">
        <w:tc>
          <w:tcPr>
            <w:tcW w:w="2427" w:type="pct"/>
            <w:gridSpan w:val="2"/>
          </w:tcPr>
          <w:p w:rsidR="004C625A" w:rsidRPr="001C7519" w:rsidRDefault="004C625A" w:rsidP="00843C56">
            <w:pPr>
              <w:jc w:val="both"/>
              <w:rPr>
                <w:sz w:val="20"/>
              </w:rPr>
            </w:pPr>
            <w:r w:rsidRPr="001C7519">
              <w:rPr>
                <w:sz w:val="20"/>
              </w:rPr>
              <w:t>December 24, 2019</w:t>
            </w:r>
          </w:p>
          <w:p w:rsidR="004C625A" w:rsidRPr="001C7519" w:rsidRDefault="004C625A" w:rsidP="00843C56">
            <w:pPr>
              <w:jc w:val="both"/>
              <w:rPr>
                <w:sz w:val="20"/>
              </w:rPr>
            </w:pPr>
            <w:r w:rsidRPr="001C7519">
              <w:rPr>
                <w:sz w:val="20"/>
              </w:rPr>
              <w:t>Court of Queen’s Bench of Saskatchewan</w:t>
            </w:r>
          </w:p>
          <w:p w:rsidR="004C625A" w:rsidRPr="001C7519" w:rsidRDefault="004C625A" w:rsidP="00843C56">
            <w:pPr>
              <w:jc w:val="both"/>
              <w:rPr>
                <w:sz w:val="20"/>
              </w:rPr>
            </w:pPr>
            <w:r w:rsidRPr="001C7519">
              <w:rPr>
                <w:sz w:val="20"/>
              </w:rPr>
              <w:t>(McMurtry J.)</w:t>
            </w:r>
          </w:p>
          <w:p w:rsidR="004C625A" w:rsidRPr="001C7519" w:rsidRDefault="004C625A" w:rsidP="00843C56">
            <w:pPr>
              <w:jc w:val="both"/>
              <w:rPr>
                <w:sz w:val="20"/>
              </w:rPr>
            </w:pPr>
          </w:p>
        </w:tc>
        <w:tc>
          <w:tcPr>
            <w:tcW w:w="243" w:type="pct"/>
          </w:tcPr>
          <w:p w:rsidR="004C625A" w:rsidRPr="001C7519" w:rsidRDefault="004C625A" w:rsidP="00843C56">
            <w:pPr>
              <w:jc w:val="both"/>
              <w:rPr>
                <w:sz w:val="20"/>
              </w:rPr>
            </w:pPr>
          </w:p>
        </w:tc>
        <w:tc>
          <w:tcPr>
            <w:tcW w:w="2330" w:type="pct"/>
          </w:tcPr>
          <w:p w:rsidR="004C625A" w:rsidRPr="001C7519" w:rsidRDefault="004C625A" w:rsidP="00843C56">
            <w:pPr>
              <w:jc w:val="both"/>
              <w:rPr>
                <w:sz w:val="20"/>
              </w:rPr>
            </w:pPr>
            <w:r w:rsidRPr="001C7519">
              <w:rPr>
                <w:sz w:val="20"/>
              </w:rPr>
              <w:t>Injunction granted</w:t>
            </w:r>
          </w:p>
        </w:tc>
      </w:tr>
      <w:tr w:rsidR="004C625A" w:rsidRPr="001C7519" w:rsidTr="004C625A">
        <w:tc>
          <w:tcPr>
            <w:tcW w:w="2427" w:type="pct"/>
            <w:gridSpan w:val="2"/>
          </w:tcPr>
          <w:p w:rsidR="004C625A" w:rsidRPr="001C7519" w:rsidRDefault="004C625A" w:rsidP="00843C56">
            <w:pPr>
              <w:jc w:val="both"/>
              <w:rPr>
                <w:sz w:val="20"/>
              </w:rPr>
            </w:pPr>
            <w:r w:rsidRPr="001C7519">
              <w:rPr>
                <w:sz w:val="20"/>
              </w:rPr>
              <w:t>March 9, 2021</w:t>
            </w:r>
          </w:p>
          <w:p w:rsidR="004C625A" w:rsidRPr="001C7519" w:rsidRDefault="004C625A" w:rsidP="00843C56">
            <w:pPr>
              <w:jc w:val="both"/>
              <w:rPr>
                <w:sz w:val="20"/>
              </w:rPr>
            </w:pPr>
            <w:r w:rsidRPr="001C7519">
              <w:rPr>
                <w:sz w:val="20"/>
              </w:rPr>
              <w:t>Court of Appeal for Saskatchewan</w:t>
            </w:r>
          </w:p>
          <w:p w:rsidR="004C625A" w:rsidRPr="001C7519" w:rsidRDefault="004C625A" w:rsidP="00843C56">
            <w:pPr>
              <w:jc w:val="both"/>
              <w:rPr>
                <w:sz w:val="20"/>
              </w:rPr>
            </w:pPr>
            <w:r w:rsidRPr="001C7519">
              <w:rPr>
                <w:sz w:val="20"/>
              </w:rPr>
              <w:t>(Ottenbreit, Jackson, Kalmakoff JJ.A.)</w:t>
            </w:r>
          </w:p>
          <w:p w:rsidR="004C625A" w:rsidRPr="001C7519" w:rsidRDefault="00E75919" w:rsidP="00843C56">
            <w:pPr>
              <w:jc w:val="both"/>
              <w:rPr>
                <w:sz w:val="20"/>
              </w:rPr>
            </w:pPr>
            <w:hyperlink r:id="rId32" w:history="1">
              <w:r w:rsidR="004C625A" w:rsidRPr="001C7519">
                <w:rPr>
                  <w:rStyle w:val="Hyperlink"/>
                  <w:sz w:val="20"/>
                </w:rPr>
                <w:t>2021 SKCA 34</w:t>
              </w:r>
            </w:hyperlink>
            <w:r w:rsidR="004C625A" w:rsidRPr="001C7519">
              <w:rPr>
                <w:sz w:val="20"/>
              </w:rPr>
              <w:t>; CACV 3563</w:t>
            </w:r>
          </w:p>
          <w:p w:rsidR="004C625A" w:rsidRPr="001C7519" w:rsidRDefault="004C625A" w:rsidP="00843C56">
            <w:pPr>
              <w:jc w:val="both"/>
              <w:rPr>
                <w:sz w:val="20"/>
              </w:rPr>
            </w:pPr>
          </w:p>
        </w:tc>
        <w:tc>
          <w:tcPr>
            <w:tcW w:w="243" w:type="pct"/>
          </w:tcPr>
          <w:p w:rsidR="004C625A" w:rsidRPr="001C7519" w:rsidRDefault="004C625A" w:rsidP="00843C56">
            <w:pPr>
              <w:jc w:val="both"/>
              <w:rPr>
                <w:sz w:val="20"/>
              </w:rPr>
            </w:pPr>
          </w:p>
        </w:tc>
        <w:tc>
          <w:tcPr>
            <w:tcW w:w="2330" w:type="pct"/>
          </w:tcPr>
          <w:p w:rsidR="004C625A" w:rsidRPr="001C7519" w:rsidRDefault="004C625A" w:rsidP="00843C56">
            <w:pPr>
              <w:jc w:val="both"/>
              <w:rPr>
                <w:sz w:val="20"/>
              </w:rPr>
            </w:pPr>
            <w:r w:rsidRPr="001C7519">
              <w:rPr>
                <w:sz w:val="20"/>
              </w:rPr>
              <w:t>Appeal dismissed</w:t>
            </w:r>
          </w:p>
          <w:p w:rsidR="004C625A" w:rsidRPr="001C7519" w:rsidRDefault="004C625A" w:rsidP="00843C56">
            <w:pPr>
              <w:jc w:val="both"/>
              <w:rPr>
                <w:sz w:val="20"/>
              </w:rPr>
            </w:pPr>
          </w:p>
        </w:tc>
      </w:tr>
      <w:tr w:rsidR="004C625A" w:rsidRPr="001C7519" w:rsidTr="004C625A">
        <w:tc>
          <w:tcPr>
            <w:tcW w:w="2427" w:type="pct"/>
            <w:gridSpan w:val="2"/>
          </w:tcPr>
          <w:p w:rsidR="004C625A" w:rsidRPr="001C7519" w:rsidRDefault="004C625A" w:rsidP="00843C56">
            <w:pPr>
              <w:jc w:val="both"/>
              <w:rPr>
                <w:sz w:val="20"/>
              </w:rPr>
            </w:pPr>
            <w:r w:rsidRPr="001C7519">
              <w:rPr>
                <w:sz w:val="20"/>
              </w:rPr>
              <w:t>May 10, 2021</w:t>
            </w:r>
          </w:p>
          <w:p w:rsidR="004C625A" w:rsidRPr="001C7519" w:rsidRDefault="004C625A" w:rsidP="00843C56">
            <w:pPr>
              <w:jc w:val="both"/>
              <w:rPr>
                <w:sz w:val="20"/>
              </w:rPr>
            </w:pPr>
            <w:r w:rsidRPr="001C7519">
              <w:rPr>
                <w:sz w:val="20"/>
              </w:rPr>
              <w:t>Supreme Court of Canada</w:t>
            </w:r>
          </w:p>
        </w:tc>
        <w:tc>
          <w:tcPr>
            <w:tcW w:w="243" w:type="pct"/>
          </w:tcPr>
          <w:p w:rsidR="004C625A" w:rsidRPr="001C7519" w:rsidRDefault="004C625A" w:rsidP="00843C56">
            <w:pPr>
              <w:jc w:val="both"/>
              <w:rPr>
                <w:sz w:val="20"/>
              </w:rPr>
            </w:pPr>
          </w:p>
        </w:tc>
        <w:tc>
          <w:tcPr>
            <w:tcW w:w="2330" w:type="pct"/>
          </w:tcPr>
          <w:p w:rsidR="004C625A" w:rsidRPr="001C7519" w:rsidRDefault="004C625A" w:rsidP="00843C56">
            <w:pPr>
              <w:jc w:val="both"/>
              <w:rPr>
                <w:sz w:val="20"/>
              </w:rPr>
            </w:pPr>
            <w:r w:rsidRPr="001C7519">
              <w:rPr>
                <w:sz w:val="20"/>
              </w:rPr>
              <w:t>Application for leave to appeal filed</w:t>
            </w:r>
          </w:p>
          <w:p w:rsidR="004C625A" w:rsidRPr="001C7519" w:rsidRDefault="004C625A" w:rsidP="00843C56">
            <w:pPr>
              <w:jc w:val="both"/>
              <w:rPr>
                <w:sz w:val="20"/>
              </w:rPr>
            </w:pPr>
          </w:p>
        </w:tc>
      </w:tr>
    </w:tbl>
    <w:p w:rsidR="004C625A" w:rsidRPr="001C7519" w:rsidRDefault="004C625A" w:rsidP="00843C56">
      <w:pPr>
        <w:jc w:val="both"/>
        <w:rPr>
          <w:sz w:val="20"/>
        </w:rPr>
      </w:pPr>
    </w:p>
    <w:p w:rsidR="00843C56" w:rsidRPr="001C7519" w:rsidRDefault="00E75919" w:rsidP="00843C56">
      <w:pPr>
        <w:jc w:val="both"/>
        <w:rPr>
          <w:sz w:val="20"/>
        </w:rPr>
      </w:pPr>
      <w:r>
        <w:rPr>
          <w:sz w:val="20"/>
        </w:rPr>
        <w:pict>
          <v:rect id="_x0000_i1031" style="width:2in;height:1pt" o:hrpct="0" o:hralign="center" o:hrstd="t" o:hrnoshade="t" o:hr="t" fillcolor="black [3213]" stroked="f"/>
        </w:pict>
      </w:r>
    </w:p>
    <w:p w:rsidR="00843C56" w:rsidRPr="001C7519" w:rsidRDefault="00843C56" w:rsidP="00843C5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25A" w:rsidRPr="001C7519" w:rsidTr="004C625A">
        <w:tc>
          <w:tcPr>
            <w:tcW w:w="543" w:type="pct"/>
          </w:tcPr>
          <w:p w:rsidR="004C625A" w:rsidRPr="001C7519" w:rsidRDefault="004C625A" w:rsidP="00843C56">
            <w:pPr>
              <w:jc w:val="both"/>
              <w:rPr>
                <w:sz w:val="20"/>
                <w:lang w:val="fr-CA"/>
              </w:rPr>
            </w:pPr>
            <w:r w:rsidRPr="001C7519">
              <w:rPr>
                <w:rStyle w:val="SCCFileNumberChar"/>
                <w:sz w:val="20"/>
                <w:szCs w:val="20"/>
                <w:lang w:val="fr-CA"/>
              </w:rPr>
              <w:t>39651</w:t>
            </w:r>
          </w:p>
        </w:tc>
        <w:tc>
          <w:tcPr>
            <w:tcW w:w="4457" w:type="pct"/>
            <w:gridSpan w:val="3"/>
          </w:tcPr>
          <w:p w:rsidR="004C625A" w:rsidRPr="001C7519" w:rsidRDefault="004C625A" w:rsidP="00843C56">
            <w:pPr>
              <w:pStyle w:val="SCCLsocParty"/>
              <w:jc w:val="both"/>
              <w:rPr>
                <w:b/>
                <w:sz w:val="20"/>
                <w:szCs w:val="20"/>
                <w:lang w:val="en-US"/>
              </w:rPr>
            </w:pPr>
            <w:r w:rsidRPr="001C7519">
              <w:rPr>
                <w:b/>
                <w:sz w:val="20"/>
                <w:szCs w:val="20"/>
                <w:lang w:val="en-US"/>
              </w:rPr>
              <w:t>Unifor Canada Local 594 c. Consumers’ Co-Operative Refineries Limited</w:t>
            </w:r>
          </w:p>
          <w:p w:rsidR="004C625A" w:rsidRPr="001C7519" w:rsidRDefault="004C625A" w:rsidP="00843C56">
            <w:pPr>
              <w:jc w:val="both"/>
              <w:rPr>
                <w:sz w:val="20"/>
                <w:lang w:val="fr-CA"/>
              </w:rPr>
            </w:pPr>
            <w:r w:rsidRPr="001C7519">
              <w:rPr>
                <w:sz w:val="20"/>
                <w:lang w:val="fr-CA"/>
              </w:rPr>
              <w:t>(Sas</w:t>
            </w:r>
            <w:r w:rsidR="00843C56" w:rsidRPr="001C7519">
              <w:rPr>
                <w:sz w:val="20"/>
                <w:lang w:val="fr-CA"/>
              </w:rPr>
              <w:t>k.) (Civile) (Sur autorisation)</w:t>
            </w:r>
          </w:p>
        </w:tc>
      </w:tr>
      <w:tr w:rsidR="004C625A" w:rsidRPr="00E75919" w:rsidTr="004C625A">
        <w:tc>
          <w:tcPr>
            <w:tcW w:w="5000" w:type="pct"/>
            <w:gridSpan w:val="4"/>
          </w:tcPr>
          <w:p w:rsidR="004C625A" w:rsidRPr="001C7519" w:rsidRDefault="004C625A" w:rsidP="00843C56">
            <w:pPr>
              <w:jc w:val="both"/>
              <w:rPr>
                <w:sz w:val="20"/>
                <w:lang w:val="fr-CA"/>
              </w:rPr>
            </w:pPr>
            <w:r w:rsidRPr="001C7519">
              <w:rPr>
                <w:i/>
                <w:sz w:val="20"/>
                <w:lang w:val="fr-CA"/>
              </w:rPr>
              <w:t>Charte des droits et libertés</w:t>
            </w:r>
            <w:r w:rsidRPr="001C7519">
              <w:rPr>
                <w:sz w:val="20"/>
                <w:lang w:val="fr-CA"/>
              </w:rPr>
              <w:t xml:space="preserve"> — Droit d’association — Quelle incidence le droit d’association a</w:t>
            </w:r>
            <w:r w:rsidRPr="001C7519">
              <w:rPr>
                <w:sz w:val="20"/>
                <w:lang w:val="fr-CA"/>
              </w:rPr>
              <w:noBreakHyphen/>
              <w:t>t</w:t>
            </w:r>
            <w:r w:rsidRPr="001C7519">
              <w:rPr>
                <w:sz w:val="20"/>
                <w:lang w:val="fr-CA"/>
              </w:rPr>
              <w:noBreakHyphen/>
              <w:t>il sur le droit des travailleurs de faire du piquetage lorsque le lock</w:t>
            </w:r>
            <w:r w:rsidRPr="001C7519">
              <w:rPr>
                <w:sz w:val="20"/>
                <w:lang w:val="fr-CA"/>
              </w:rPr>
              <w:noBreakHyphen/>
              <w:t>out de ceux</w:t>
            </w:r>
            <w:r w:rsidRPr="001C7519">
              <w:rPr>
                <w:sz w:val="20"/>
                <w:lang w:val="fr-CA"/>
              </w:rPr>
              <w:noBreakHyphen/>
              <w:t>ci a été déclaré et que l’employeur continue à exploiter l’entreprise avec les gestionnaires et les briseurs de grève ? — La portée du piquetage fait</w:t>
            </w:r>
            <w:r w:rsidRPr="001C7519">
              <w:rPr>
                <w:sz w:val="20"/>
                <w:lang w:val="fr-CA"/>
              </w:rPr>
              <w:noBreakHyphen/>
              <w:t xml:space="preserve">elle l’objet d’une exception selon laquelle les gestionnaires, les briseurs de grève et les agents conduisant un véhicule </w:t>
            </w:r>
            <w:proofErr w:type="gramStart"/>
            <w:r w:rsidRPr="001C7519">
              <w:rPr>
                <w:sz w:val="20"/>
                <w:lang w:val="fr-CA"/>
              </w:rPr>
              <w:t>peuvent</w:t>
            </w:r>
            <w:proofErr w:type="gramEnd"/>
            <w:r w:rsidRPr="001C7519">
              <w:rPr>
                <w:sz w:val="20"/>
                <w:lang w:val="fr-CA"/>
              </w:rPr>
              <w:t xml:space="preserve"> traverser une ligne de piquetage s’ils le souhaitent sans aucun délai ?</w:t>
            </w:r>
          </w:p>
        </w:tc>
      </w:tr>
      <w:tr w:rsidR="004C625A" w:rsidRPr="00E75919" w:rsidTr="004C625A">
        <w:tc>
          <w:tcPr>
            <w:tcW w:w="5000" w:type="pct"/>
            <w:gridSpan w:val="4"/>
          </w:tcPr>
          <w:p w:rsidR="004C625A" w:rsidRPr="001C7519" w:rsidRDefault="004C625A" w:rsidP="00843C56">
            <w:pPr>
              <w:jc w:val="both"/>
              <w:rPr>
                <w:sz w:val="20"/>
                <w:lang w:val="fr-CA"/>
              </w:rPr>
            </w:pPr>
          </w:p>
        </w:tc>
      </w:tr>
      <w:tr w:rsidR="004C625A" w:rsidRPr="001C7519" w:rsidTr="004C625A">
        <w:tc>
          <w:tcPr>
            <w:tcW w:w="5000" w:type="pct"/>
            <w:gridSpan w:val="4"/>
          </w:tcPr>
          <w:p w:rsidR="004C625A" w:rsidRPr="001C7519" w:rsidRDefault="004C625A" w:rsidP="00843C56">
            <w:pPr>
              <w:jc w:val="both"/>
              <w:rPr>
                <w:spacing w:val="-1"/>
                <w:sz w:val="20"/>
                <w:lang w:val="fr-CA"/>
              </w:rPr>
            </w:pPr>
            <w:r w:rsidRPr="001C7519">
              <w:rPr>
                <w:sz w:val="20"/>
                <w:lang w:val="fr-CA"/>
              </w:rPr>
              <w:t xml:space="preserve">Pendant un conflit de travail, l’employeur a demandé une injonction pour restreindre le piquetage des employés. La juge saisie de la requête a rendu une ordonnance qui permettait aux piqueteurs d’arrêter les voitures entrant et sortant des lieux de travail de l’employeur afin de communiquer des renseignements et de demander de l’appui, pendant une période d’au plus 10 minutes </w:t>
            </w:r>
            <w:r w:rsidRPr="001C7519">
              <w:rPr>
                <w:spacing w:val="-1"/>
                <w:sz w:val="20"/>
                <w:lang w:val="fr-CA"/>
              </w:rPr>
              <w:t xml:space="preserve">ou jusqu’à ce que la personne qui reçoit les renseignements indique qu’elle veut avancer, selon la première de ces éventualités. Le syndicat des employés a fait appel de la décision, demandant que l’exception soit radiée de l’ordonnance. La Cour d’appel a rejeté l’appel. </w:t>
            </w:r>
          </w:p>
          <w:p w:rsidR="004C625A" w:rsidRPr="001C7519" w:rsidRDefault="004C625A" w:rsidP="00843C56">
            <w:pPr>
              <w:jc w:val="both"/>
              <w:rPr>
                <w:sz w:val="20"/>
                <w:lang w:val="fr-CA"/>
              </w:rPr>
            </w:pPr>
          </w:p>
        </w:tc>
      </w:tr>
      <w:tr w:rsidR="004C625A" w:rsidRPr="001C7519" w:rsidTr="004C625A">
        <w:tc>
          <w:tcPr>
            <w:tcW w:w="2427" w:type="pct"/>
            <w:gridSpan w:val="2"/>
          </w:tcPr>
          <w:p w:rsidR="004C625A" w:rsidRPr="001C7519" w:rsidRDefault="004C625A" w:rsidP="00843C56">
            <w:pPr>
              <w:jc w:val="both"/>
              <w:rPr>
                <w:sz w:val="20"/>
                <w:lang w:val="fr-CA"/>
              </w:rPr>
            </w:pPr>
            <w:r w:rsidRPr="001C7519">
              <w:rPr>
                <w:sz w:val="20"/>
                <w:lang w:val="fr-CA"/>
              </w:rPr>
              <w:t>24 décembre 2019</w:t>
            </w:r>
          </w:p>
          <w:p w:rsidR="004C625A" w:rsidRPr="001C7519" w:rsidRDefault="004C625A" w:rsidP="00843C56">
            <w:pPr>
              <w:jc w:val="both"/>
              <w:rPr>
                <w:sz w:val="20"/>
                <w:lang w:val="fr-CA"/>
              </w:rPr>
            </w:pPr>
            <w:r w:rsidRPr="001C7519">
              <w:rPr>
                <w:sz w:val="20"/>
                <w:lang w:val="fr-CA"/>
              </w:rPr>
              <w:t>Cour du Banc de la Reine de la Saskatchewan</w:t>
            </w:r>
          </w:p>
          <w:p w:rsidR="004C625A" w:rsidRPr="001C7519" w:rsidRDefault="004C625A" w:rsidP="00843C56">
            <w:pPr>
              <w:jc w:val="both"/>
              <w:rPr>
                <w:sz w:val="20"/>
                <w:lang w:val="fr-CA"/>
              </w:rPr>
            </w:pPr>
            <w:r w:rsidRPr="001C7519">
              <w:rPr>
                <w:sz w:val="20"/>
                <w:lang w:val="fr-CA"/>
              </w:rPr>
              <w:t>(juge McMurtry)</w:t>
            </w:r>
          </w:p>
          <w:p w:rsidR="004C625A" w:rsidRPr="001C7519" w:rsidRDefault="004C625A" w:rsidP="00843C56">
            <w:pPr>
              <w:jc w:val="both"/>
              <w:rPr>
                <w:sz w:val="20"/>
                <w:lang w:val="fr-CA"/>
              </w:rPr>
            </w:pPr>
          </w:p>
        </w:tc>
        <w:tc>
          <w:tcPr>
            <w:tcW w:w="243" w:type="pct"/>
          </w:tcPr>
          <w:p w:rsidR="004C625A" w:rsidRPr="001C7519" w:rsidRDefault="004C625A" w:rsidP="00843C56">
            <w:pPr>
              <w:jc w:val="both"/>
              <w:rPr>
                <w:sz w:val="20"/>
                <w:lang w:val="fr-CA"/>
              </w:rPr>
            </w:pPr>
          </w:p>
        </w:tc>
        <w:tc>
          <w:tcPr>
            <w:tcW w:w="2330" w:type="pct"/>
          </w:tcPr>
          <w:p w:rsidR="004C625A" w:rsidRPr="001C7519" w:rsidRDefault="004C625A" w:rsidP="00843C56">
            <w:pPr>
              <w:jc w:val="both"/>
              <w:rPr>
                <w:sz w:val="20"/>
                <w:lang w:val="fr-CA"/>
              </w:rPr>
            </w:pPr>
            <w:r w:rsidRPr="001C7519">
              <w:rPr>
                <w:sz w:val="20"/>
                <w:lang w:val="fr-CA"/>
              </w:rPr>
              <w:t>L’injonction est accordée.</w:t>
            </w:r>
          </w:p>
        </w:tc>
      </w:tr>
      <w:tr w:rsidR="004C625A" w:rsidRPr="001C7519" w:rsidTr="004C625A">
        <w:tc>
          <w:tcPr>
            <w:tcW w:w="2427" w:type="pct"/>
            <w:gridSpan w:val="2"/>
          </w:tcPr>
          <w:p w:rsidR="004C625A" w:rsidRPr="001C7519" w:rsidRDefault="004C625A" w:rsidP="00843C56">
            <w:pPr>
              <w:jc w:val="both"/>
              <w:rPr>
                <w:sz w:val="20"/>
                <w:lang w:val="fr-CA"/>
              </w:rPr>
            </w:pPr>
            <w:r w:rsidRPr="001C7519">
              <w:rPr>
                <w:sz w:val="20"/>
                <w:lang w:val="fr-CA"/>
              </w:rPr>
              <w:t>9 mars 2021</w:t>
            </w:r>
          </w:p>
          <w:p w:rsidR="004C625A" w:rsidRPr="001C7519" w:rsidRDefault="004C625A" w:rsidP="00843C56">
            <w:pPr>
              <w:jc w:val="both"/>
              <w:rPr>
                <w:sz w:val="20"/>
                <w:lang w:val="fr-CA"/>
              </w:rPr>
            </w:pPr>
            <w:r w:rsidRPr="001C7519">
              <w:rPr>
                <w:sz w:val="20"/>
                <w:lang w:val="fr-CA"/>
              </w:rPr>
              <w:t>Cour d’appel de la Saskatchewan</w:t>
            </w:r>
          </w:p>
          <w:p w:rsidR="004C625A" w:rsidRPr="001C7519" w:rsidRDefault="004C625A" w:rsidP="00843C56">
            <w:pPr>
              <w:jc w:val="both"/>
              <w:rPr>
                <w:sz w:val="20"/>
              </w:rPr>
            </w:pPr>
            <w:r w:rsidRPr="001C7519">
              <w:rPr>
                <w:sz w:val="20"/>
              </w:rPr>
              <w:t>(juges Ottenbreit, Jackson, Kalmakoff)</w:t>
            </w:r>
          </w:p>
          <w:p w:rsidR="004C625A" w:rsidRPr="001C7519" w:rsidRDefault="00E75919" w:rsidP="00843C56">
            <w:pPr>
              <w:jc w:val="both"/>
              <w:rPr>
                <w:sz w:val="20"/>
              </w:rPr>
            </w:pPr>
            <w:hyperlink r:id="rId33" w:history="1">
              <w:r w:rsidR="004C625A" w:rsidRPr="001C7519">
                <w:rPr>
                  <w:rStyle w:val="Hyperlink"/>
                  <w:sz w:val="20"/>
                </w:rPr>
                <w:t>2021 SKCA 34</w:t>
              </w:r>
            </w:hyperlink>
            <w:r w:rsidR="004C625A" w:rsidRPr="001C7519">
              <w:rPr>
                <w:sz w:val="20"/>
              </w:rPr>
              <w:t>; CACV 3563</w:t>
            </w:r>
          </w:p>
          <w:p w:rsidR="004C625A" w:rsidRPr="001C7519" w:rsidRDefault="004C625A" w:rsidP="00843C56">
            <w:pPr>
              <w:jc w:val="both"/>
              <w:rPr>
                <w:sz w:val="20"/>
              </w:rPr>
            </w:pPr>
          </w:p>
        </w:tc>
        <w:tc>
          <w:tcPr>
            <w:tcW w:w="243" w:type="pct"/>
          </w:tcPr>
          <w:p w:rsidR="004C625A" w:rsidRPr="001C7519" w:rsidRDefault="004C625A" w:rsidP="00843C56">
            <w:pPr>
              <w:jc w:val="both"/>
              <w:rPr>
                <w:sz w:val="20"/>
              </w:rPr>
            </w:pPr>
          </w:p>
        </w:tc>
        <w:tc>
          <w:tcPr>
            <w:tcW w:w="2330" w:type="pct"/>
          </w:tcPr>
          <w:p w:rsidR="004C625A" w:rsidRPr="001C7519" w:rsidRDefault="004C625A" w:rsidP="00843C56">
            <w:pPr>
              <w:jc w:val="both"/>
              <w:rPr>
                <w:sz w:val="20"/>
                <w:lang w:val="fr-CA"/>
              </w:rPr>
            </w:pPr>
            <w:r w:rsidRPr="001C7519">
              <w:rPr>
                <w:sz w:val="20"/>
                <w:lang w:val="fr-CA"/>
              </w:rPr>
              <w:t>L’appel est rejeté.</w:t>
            </w:r>
          </w:p>
          <w:p w:rsidR="004C625A" w:rsidRPr="001C7519" w:rsidRDefault="004C625A" w:rsidP="00843C56">
            <w:pPr>
              <w:jc w:val="both"/>
              <w:rPr>
                <w:sz w:val="20"/>
                <w:lang w:val="fr-CA"/>
              </w:rPr>
            </w:pPr>
          </w:p>
        </w:tc>
      </w:tr>
      <w:tr w:rsidR="004C625A" w:rsidRPr="00E75919" w:rsidTr="004C625A">
        <w:tc>
          <w:tcPr>
            <w:tcW w:w="2427" w:type="pct"/>
            <w:gridSpan w:val="2"/>
          </w:tcPr>
          <w:p w:rsidR="004C625A" w:rsidRPr="001C7519" w:rsidRDefault="004C625A" w:rsidP="00843C56">
            <w:pPr>
              <w:jc w:val="both"/>
              <w:rPr>
                <w:sz w:val="20"/>
                <w:lang w:val="fr-CA"/>
              </w:rPr>
            </w:pPr>
            <w:r w:rsidRPr="001C7519">
              <w:rPr>
                <w:sz w:val="20"/>
                <w:lang w:val="fr-CA"/>
              </w:rPr>
              <w:t>10 mai 2021</w:t>
            </w:r>
          </w:p>
          <w:p w:rsidR="004C625A" w:rsidRPr="001C7519" w:rsidRDefault="004C625A" w:rsidP="00843C56">
            <w:pPr>
              <w:jc w:val="both"/>
              <w:rPr>
                <w:sz w:val="20"/>
                <w:lang w:val="fr-CA"/>
              </w:rPr>
            </w:pPr>
            <w:r w:rsidRPr="001C7519">
              <w:rPr>
                <w:sz w:val="20"/>
                <w:lang w:val="fr-CA"/>
              </w:rPr>
              <w:t>Cour suprême du Canada</w:t>
            </w:r>
          </w:p>
        </w:tc>
        <w:tc>
          <w:tcPr>
            <w:tcW w:w="243" w:type="pct"/>
          </w:tcPr>
          <w:p w:rsidR="004C625A" w:rsidRPr="001C7519" w:rsidRDefault="004C625A" w:rsidP="00843C56">
            <w:pPr>
              <w:jc w:val="both"/>
              <w:rPr>
                <w:sz w:val="20"/>
                <w:lang w:val="fr-CA"/>
              </w:rPr>
            </w:pPr>
          </w:p>
        </w:tc>
        <w:tc>
          <w:tcPr>
            <w:tcW w:w="2330" w:type="pct"/>
          </w:tcPr>
          <w:p w:rsidR="004C625A" w:rsidRPr="001C7519" w:rsidRDefault="004C625A" w:rsidP="00843C56">
            <w:pPr>
              <w:jc w:val="both"/>
              <w:rPr>
                <w:sz w:val="20"/>
                <w:lang w:val="fr-CA"/>
              </w:rPr>
            </w:pPr>
            <w:r w:rsidRPr="001C7519">
              <w:rPr>
                <w:sz w:val="20"/>
                <w:lang w:val="fr-CA"/>
              </w:rPr>
              <w:t>La demande d’autorisation d’appel est présentée.</w:t>
            </w:r>
          </w:p>
          <w:p w:rsidR="004C625A" w:rsidRPr="001C7519" w:rsidRDefault="004C625A" w:rsidP="00843C56">
            <w:pPr>
              <w:jc w:val="both"/>
              <w:rPr>
                <w:sz w:val="20"/>
                <w:lang w:val="fr-CA"/>
              </w:rPr>
            </w:pPr>
          </w:p>
        </w:tc>
      </w:tr>
    </w:tbl>
    <w:p w:rsidR="004C625A" w:rsidRPr="001C7519" w:rsidRDefault="004C625A" w:rsidP="00843C56">
      <w:pPr>
        <w:jc w:val="both"/>
        <w:rPr>
          <w:sz w:val="20"/>
          <w:lang w:val="fr-CA"/>
        </w:rPr>
      </w:pPr>
    </w:p>
    <w:p w:rsidR="00B63A3D" w:rsidRPr="001C7519" w:rsidRDefault="00E75919" w:rsidP="00843C56">
      <w:pPr>
        <w:widowControl w:val="0"/>
        <w:tabs>
          <w:tab w:val="left" w:pos="3840"/>
        </w:tabs>
        <w:jc w:val="both"/>
        <w:rPr>
          <w:sz w:val="20"/>
          <w:lang w:val="fr-CA"/>
        </w:rPr>
      </w:pPr>
      <w:r>
        <w:rPr>
          <w:sz w:val="20"/>
        </w:rPr>
        <w:pict>
          <v:rect id="_x0000_i1032" style="width:2in;height:1pt" o:hrpct="0" o:hralign="center" o:hrstd="t" o:hrnoshade="t" o:hr="t" fillcolor="black [3213]" stroked="f"/>
        </w:pict>
      </w:r>
    </w:p>
    <w:p w:rsidR="00B63A3D" w:rsidRPr="001C7519" w:rsidRDefault="00B63A3D" w:rsidP="00843C56">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25A" w:rsidRPr="001C7519" w:rsidTr="004C625A">
        <w:tc>
          <w:tcPr>
            <w:tcW w:w="543" w:type="pct"/>
          </w:tcPr>
          <w:p w:rsidR="004C625A" w:rsidRPr="001C7519" w:rsidRDefault="004C625A" w:rsidP="00843C56">
            <w:pPr>
              <w:jc w:val="both"/>
              <w:rPr>
                <w:sz w:val="20"/>
                <w:lang w:val="en-CA"/>
              </w:rPr>
            </w:pPr>
            <w:r w:rsidRPr="001C7519">
              <w:rPr>
                <w:rStyle w:val="SCCFileNumberChar"/>
                <w:sz w:val="20"/>
                <w:szCs w:val="20"/>
              </w:rPr>
              <w:t>39614</w:t>
            </w:r>
          </w:p>
        </w:tc>
        <w:tc>
          <w:tcPr>
            <w:tcW w:w="4457" w:type="pct"/>
            <w:gridSpan w:val="3"/>
          </w:tcPr>
          <w:p w:rsidR="004C625A" w:rsidRPr="001C7519" w:rsidRDefault="004C625A" w:rsidP="00843C56">
            <w:pPr>
              <w:pStyle w:val="SCCLsocParty"/>
              <w:jc w:val="both"/>
              <w:rPr>
                <w:b/>
                <w:sz w:val="20"/>
                <w:szCs w:val="20"/>
                <w:lang w:val="en-CA"/>
              </w:rPr>
            </w:pPr>
            <w:r w:rsidRPr="001C7519">
              <w:rPr>
                <w:b/>
                <w:sz w:val="20"/>
                <w:szCs w:val="20"/>
                <w:lang w:val="en-CA"/>
              </w:rPr>
              <w:t>Honourable Gérard Dugré v. Attorney General of Canada</w:t>
            </w:r>
          </w:p>
          <w:p w:rsidR="004C625A" w:rsidRPr="001C7519" w:rsidRDefault="004C625A" w:rsidP="00843C56">
            <w:pPr>
              <w:jc w:val="both"/>
              <w:rPr>
                <w:sz w:val="20"/>
                <w:lang w:val="en-CA"/>
              </w:rPr>
            </w:pPr>
            <w:r w:rsidRPr="001C7519">
              <w:rPr>
                <w:sz w:val="20"/>
                <w:lang w:val="en-CA"/>
              </w:rPr>
              <w:t>(F.C.) (Civil) (By Leave)</w:t>
            </w:r>
          </w:p>
        </w:tc>
      </w:tr>
      <w:tr w:rsidR="004C625A" w:rsidRPr="001C7519" w:rsidTr="004C625A">
        <w:tc>
          <w:tcPr>
            <w:tcW w:w="5000" w:type="pct"/>
            <w:gridSpan w:val="4"/>
          </w:tcPr>
          <w:p w:rsidR="004C625A" w:rsidRPr="001C7519" w:rsidRDefault="004C625A" w:rsidP="00843C56">
            <w:pPr>
              <w:jc w:val="both"/>
              <w:rPr>
                <w:sz w:val="20"/>
                <w:lang w:val="en-CA"/>
              </w:rPr>
            </w:pPr>
            <w:proofErr w:type="gramStart"/>
            <w:r w:rsidRPr="001C7519">
              <w:rPr>
                <w:sz w:val="20"/>
                <w:lang w:val="en-CA"/>
              </w:rPr>
              <w:t>Administrative law ⸺ Judicial review ⸺ Doctrine of prematurity ⸺ Applications for judicial review of administrative decisions made at preliminary stages of process of dealing with complaints filed with Canadian Judicial Council ⸺ Given inconsistencies in case law and irreparable harm caused by them, what are circumstances in which doctrine of prematurity in Canadian administrative law must be applied ⸺ Whether courts can apply doctrine on their own initiative and without considering irreparable harm that is caused to litigant even when litigant is ultimately successful on merits.</w:t>
            </w:r>
            <w:proofErr w:type="gramEnd"/>
          </w:p>
        </w:tc>
      </w:tr>
      <w:tr w:rsidR="004C625A" w:rsidRPr="001C7519" w:rsidTr="004C625A">
        <w:tc>
          <w:tcPr>
            <w:tcW w:w="5000" w:type="pct"/>
            <w:gridSpan w:val="4"/>
          </w:tcPr>
          <w:p w:rsidR="004C625A" w:rsidRPr="001C7519" w:rsidRDefault="004C625A" w:rsidP="00843C56">
            <w:pPr>
              <w:jc w:val="both"/>
              <w:rPr>
                <w:sz w:val="20"/>
                <w:lang w:val="en-CA"/>
              </w:rPr>
            </w:pPr>
          </w:p>
        </w:tc>
      </w:tr>
      <w:tr w:rsidR="004C625A" w:rsidRPr="001C7519" w:rsidTr="004C625A">
        <w:tc>
          <w:tcPr>
            <w:tcW w:w="5000" w:type="pct"/>
            <w:gridSpan w:val="4"/>
          </w:tcPr>
          <w:p w:rsidR="004C625A" w:rsidRPr="001C7519" w:rsidRDefault="004C625A" w:rsidP="00843C56">
            <w:pPr>
              <w:jc w:val="both"/>
              <w:rPr>
                <w:sz w:val="20"/>
                <w:lang w:val="en-CA"/>
              </w:rPr>
            </w:pPr>
            <w:r w:rsidRPr="001C7519">
              <w:rPr>
                <w:sz w:val="20"/>
                <w:lang w:val="en-CA"/>
              </w:rPr>
              <w:t xml:space="preserve">The applicant, the Honourable Gérard Dugré, has been a judge of the Quebec Superior Court since January 2009. Complaints about him </w:t>
            </w:r>
            <w:proofErr w:type="gramStart"/>
            <w:r w:rsidRPr="001C7519">
              <w:rPr>
                <w:sz w:val="20"/>
                <w:lang w:val="en-CA"/>
              </w:rPr>
              <w:t>were filed</w:t>
            </w:r>
            <w:proofErr w:type="gramEnd"/>
            <w:r w:rsidRPr="001C7519">
              <w:rPr>
                <w:sz w:val="20"/>
                <w:lang w:val="en-CA"/>
              </w:rPr>
              <w:t xml:space="preserve"> with the Canadian Judicial Council. In </w:t>
            </w:r>
            <w:proofErr w:type="gramStart"/>
            <w:r w:rsidRPr="001C7519">
              <w:rPr>
                <w:sz w:val="20"/>
                <w:lang w:val="en-CA"/>
              </w:rPr>
              <w:t>general</w:t>
            </w:r>
            <w:proofErr w:type="gramEnd"/>
            <w:r w:rsidRPr="001C7519">
              <w:rPr>
                <w:sz w:val="20"/>
                <w:lang w:val="en-CA"/>
              </w:rPr>
              <w:t xml:space="preserve"> terms, the complaints concerned the failure by the applicant to render decisions in a timely manner as well as certain comments or statements that were considered inappropriate in the hearing context. The applicant filed five applications for judicial review of administrative decisions made during the various steps leading to an inquiry by the Inquiry Committee that </w:t>
            </w:r>
            <w:proofErr w:type="gramStart"/>
            <w:r w:rsidRPr="001C7519">
              <w:rPr>
                <w:sz w:val="20"/>
                <w:lang w:val="en-CA"/>
              </w:rPr>
              <w:t>may be formed</w:t>
            </w:r>
            <w:proofErr w:type="gramEnd"/>
            <w:r w:rsidRPr="001C7519">
              <w:rPr>
                <w:sz w:val="20"/>
                <w:lang w:val="en-CA"/>
              </w:rPr>
              <w:t xml:space="preserve"> by the Canadian Judicial Council under s. 63(3) of the </w:t>
            </w:r>
            <w:r w:rsidRPr="001C7519">
              <w:rPr>
                <w:i/>
                <w:sz w:val="20"/>
                <w:lang w:val="en-CA"/>
              </w:rPr>
              <w:t>Judges Act</w:t>
            </w:r>
            <w:r w:rsidRPr="001C7519">
              <w:rPr>
                <w:sz w:val="20"/>
                <w:lang w:val="en-CA" w:eastAsia="fr-CA"/>
              </w:rPr>
              <w:t>, R.S.C. 1985, c. J</w:t>
            </w:r>
            <w:r w:rsidRPr="001C7519">
              <w:rPr>
                <w:sz w:val="20"/>
                <w:lang w:val="en-CA" w:eastAsia="fr-CA"/>
              </w:rPr>
              <w:noBreakHyphen/>
              <w:t xml:space="preserve">1. The respondent, the Attorney General of Canada, filed motions to strike out each of the five applications for judicial review, mainly on the ground that they were all premature given the remedial recourses available through the administrative process itself. </w:t>
            </w:r>
            <w:r w:rsidRPr="001C7519">
              <w:rPr>
                <w:sz w:val="20"/>
                <w:lang w:val="en-CA"/>
              </w:rPr>
              <w:t>The Federal Court rendered two decisions on the motions to strike. In files T</w:t>
            </w:r>
            <w:r w:rsidRPr="001C7519">
              <w:rPr>
                <w:sz w:val="20"/>
                <w:lang w:val="en-CA"/>
              </w:rPr>
              <w:noBreakHyphen/>
              <w:t>1622</w:t>
            </w:r>
            <w:r w:rsidRPr="001C7519">
              <w:rPr>
                <w:sz w:val="20"/>
                <w:lang w:val="en-CA"/>
              </w:rPr>
              <w:noBreakHyphen/>
              <w:t>19 and T</w:t>
            </w:r>
            <w:r w:rsidRPr="001C7519">
              <w:rPr>
                <w:sz w:val="20"/>
                <w:lang w:val="en-CA"/>
              </w:rPr>
              <w:noBreakHyphen/>
              <w:t>1637</w:t>
            </w:r>
            <w:r w:rsidRPr="001C7519">
              <w:rPr>
                <w:sz w:val="20"/>
                <w:lang w:val="en-CA"/>
              </w:rPr>
              <w:noBreakHyphen/>
              <w:t xml:space="preserve">19, the Federal Court ordered that the notices of judicial review </w:t>
            </w:r>
            <w:proofErr w:type="gramStart"/>
            <w:r w:rsidRPr="001C7519">
              <w:rPr>
                <w:sz w:val="20"/>
                <w:lang w:val="en-CA"/>
              </w:rPr>
              <w:t>be struck out</w:t>
            </w:r>
            <w:proofErr w:type="gramEnd"/>
            <w:r w:rsidRPr="001C7519">
              <w:rPr>
                <w:sz w:val="20"/>
                <w:lang w:val="en-CA"/>
              </w:rPr>
              <w:t xml:space="preserve"> without leave to amend. In files T</w:t>
            </w:r>
            <w:r w:rsidRPr="001C7519">
              <w:rPr>
                <w:sz w:val="20"/>
                <w:lang w:val="en-CA"/>
              </w:rPr>
              <w:noBreakHyphen/>
              <w:t>1818</w:t>
            </w:r>
            <w:r w:rsidRPr="001C7519">
              <w:rPr>
                <w:sz w:val="20"/>
                <w:lang w:val="en-CA"/>
              </w:rPr>
              <w:noBreakHyphen/>
              <w:t>19, T</w:t>
            </w:r>
            <w:r w:rsidRPr="001C7519">
              <w:rPr>
                <w:sz w:val="20"/>
                <w:lang w:val="en-CA"/>
              </w:rPr>
              <w:noBreakHyphen/>
              <w:t>2010</w:t>
            </w:r>
            <w:r w:rsidRPr="001C7519">
              <w:rPr>
                <w:sz w:val="20"/>
                <w:lang w:val="en-CA"/>
              </w:rPr>
              <w:noBreakHyphen/>
              <w:t>19 and T</w:t>
            </w:r>
            <w:r w:rsidRPr="001C7519">
              <w:rPr>
                <w:sz w:val="20"/>
                <w:lang w:val="en-CA"/>
              </w:rPr>
              <w:noBreakHyphen/>
              <w:t>450</w:t>
            </w:r>
            <w:r w:rsidRPr="001C7519">
              <w:rPr>
                <w:sz w:val="20"/>
                <w:lang w:val="en-CA"/>
              </w:rPr>
              <w:noBreakHyphen/>
              <w:t xml:space="preserve">20, the Federal Court allowed the application to strike out the applications for judicial review that </w:t>
            </w:r>
            <w:proofErr w:type="gramStart"/>
            <w:r w:rsidRPr="001C7519">
              <w:rPr>
                <w:sz w:val="20"/>
                <w:lang w:val="en-CA"/>
              </w:rPr>
              <w:t>had been filed</w:t>
            </w:r>
            <w:proofErr w:type="gramEnd"/>
            <w:r w:rsidRPr="001C7519">
              <w:rPr>
                <w:sz w:val="20"/>
                <w:lang w:val="en-CA"/>
              </w:rPr>
              <w:t>. The Federal Court of Appeal summarily dismissed the five appeals.</w:t>
            </w:r>
          </w:p>
          <w:p w:rsidR="004C625A" w:rsidRPr="001C7519" w:rsidRDefault="004C625A" w:rsidP="00843C56">
            <w:pPr>
              <w:jc w:val="both"/>
              <w:rPr>
                <w:sz w:val="20"/>
                <w:lang w:val="en-CA"/>
              </w:rPr>
            </w:pPr>
          </w:p>
        </w:tc>
      </w:tr>
      <w:tr w:rsidR="004C625A" w:rsidRPr="001C7519" w:rsidTr="004C625A">
        <w:tc>
          <w:tcPr>
            <w:tcW w:w="2427" w:type="pct"/>
            <w:gridSpan w:val="2"/>
          </w:tcPr>
          <w:p w:rsidR="004C625A" w:rsidRPr="001C7519" w:rsidRDefault="004C625A" w:rsidP="00843C56">
            <w:pPr>
              <w:jc w:val="both"/>
              <w:rPr>
                <w:sz w:val="20"/>
                <w:lang w:val="en-CA"/>
              </w:rPr>
            </w:pPr>
            <w:r w:rsidRPr="001C7519">
              <w:rPr>
                <w:sz w:val="20"/>
                <w:lang w:val="en-CA"/>
              </w:rPr>
              <w:t>December 13, 2019</w:t>
            </w:r>
          </w:p>
          <w:p w:rsidR="004C625A" w:rsidRPr="001C7519" w:rsidRDefault="004C625A" w:rsidP="00843C56">
            <w:pPr>
              <w:jc w:val="both"/>
              <w:rPr>
                <w:sz w:val="20"/>
                <w:lang w:val="en-CA"/>
              </w:rPr>
            </w:pPr>
            <w:r w:rsidRPr="001C7519">
              <w:rPr>
                <w:sz w:val="20"/>
                <w:lang w:val="en-CA"/>
              </w:rPr>
              <w:t>Federal Court</w:t>
            </w:r>
          </w:p>
          <w:p w:rsidR="004C625A" w:rsidRPr="001C7519" w:rsidRDefault="004C625A" w:rsidP="00843C56">
            <w:pPr>
              <w:jc w:val="both"/>
              <w:rPr>
                <w:sz w:val="20"/>
                <w:lang w:val="en-CA"/>
              </w:rPr>
            </w:pPr>
            <w:r w:rsidRPr="001C7519">
              <w:rPr>
                <w:sz w:val="20"/>
                <w:lang w:val="en-CA"/>
              </w:rPr>
              <w:t>(Martineau J.)</w:t>
            </w:r>
          </w:p>
          <w:p w:rsidR="004C625A" w:rsidRPr="001C7519" w:rsidRDefault="00E75919" w:rsidP="00843C56">
            <w:pPr>
              <w:jc w:val="both"/>
              <w:rPr>
                <w:sz w:val="20"/>
                <w:lang w:val="en-CA"/>
              </w:rPr>
            </w:pPr>
            <w:hyperlink r:id="rId34" w:history="1">
              <w:r w:rsidR="004C625A" w:rsidRPr="001C7519">
                <w:rPr>
                  <w:rStyle w:val="Hyperlink"/>
                  <w:sz w:val="20"/>
                  <w:lang w:val="en-CA"/>
                </w:rPr>
                <w:t>2019 FC 1604</w:t>
              </w:r>
            </w:hyperlink>
          </w:p>
          <w:p w:rsidR="004C625A" w:rsidRPr="001C7519" w:rsidRDefault="004C625A" w:rsidP="00843C56">
            <w:pPr>
              <w:jc w:val="both"/>
              <w:rPr>
                <w:sz w:val="20"/>
                <w:lang w:val="en-CA"/>
              </w:rPr>
            </w:pPr>
          </w:p>
        </w:tc>
        <w:tc>
          <w:tcPr>
            <w:tcW w:w="243" w:type="pct"/>
          </w:tcPr>
          <w:p w:rsidR="004C625A" w:rsidRPr="001C7519" w:rsidRDefault="004C625A" w:rsidP="00843C56">
            <w:pPr>
              <w:jc w:val="both"/>
              <w:rPr>
                <w:sz w:val="20"/>
                <w:lang w:val="en-CA"/>
              </w:rPr>
            </w:pPr>
          </w:p>
        </w:tc>
        <w:tc>
          <w:tcPr>
            <w:tcW w:w="2330" w:type="pct"/>
          </w:tcPr>
          <w:p w:rsidR="004C625A" w:rsidRPr="001C7519" w:rsidRDefault="004C625A" w:rsidP="00843C56">
            <w:pPr>
              <w:jc w:val="both"/>
              <w:rPr>
                <w:sz w:val="20"/>
                <w:lang w:val="en-CA"/>
              </w:rPr>
            </w:pPr>
            <w:r w:rsidRPr="001C7519">
              <w:rPr>
                <w:sz w:val="20"/>
                <w:lang w:val="en-CA"/>
              </w:rPr>
              <w:t>Notices of application for judicial review (files T</w:t>
            </w:r>
            <w:r w:rsidRPr="001C7519">
              <w:rPr>
                <w:sz w:val="20"/>
                <w:lang w:val="en-CA"/>
              </w:rPr>
              <w:noBreakHyphen/>
              <w:t>1622</w:t>
            </w:r>
            <w:r w:rsidRPr="001C7519">
              <w:rPr>
                <w:sz w:val="20"/>
                <w:lang w:val="en-CA"/>
              </w:rPr>
              <w:noBreakHyphen/>
              <w:t>19 and T</w:t>
            </w:r>
            <w:r w:rsidRPr="001C7519">
              <w:rPr>
                <w:sz w:val="20"/>
                <w:lang w:val="en-CA"/>
              </w:rPr>
              <w:noBreakHyphen/>
              <w:t>1637</w:t>
            </w:r>
            <w:r w:rsidRPr="001C7519">
              <w:rPr>
                <w:sz w:val="20"/>
                <w:lang w:val="en-CA"/>
              </w:rPr>
              <w:noBreakHyphen/>
              <w:t xml:space="preserve">19) struck out without leave to amend </w:t>
            </w:r>
          </w:p>
          <w:p w:rsidR="004C625A" w:rsidRPr="001C7519" w:rsidRDefault="004C625A" w:rsidP="00843C56">
            <w:pPr>
              <w:jc w:val="both"/>
              <w:rPr>
                <w:sz w:val="20"/>
                <w:lang w:val="en-CA"/>
              </w:rPr>
            </w:pPr>
          </w:p>
        </w:tc>
      </w:tr>
      <w:tr w:rsidR="004C625A" w:rsidRPr="001C7519" w:rsidTr="004C625A">
        <w:tc>
          <w:tcPr>
            <w:tcW w:w="2427" w:type="pct"/>
            <w:gridSpan w:val="2"/>
          </w:tcPr>
          <w:p w:rsidR="004C625A" w:rsidRPr="001C7519" w:rsidRDefault="004C625A" w:rsidP="00843C56">
            <w:pPr>
              <w:jc w:val="both"/>
              <w:rPr>
                <w:sz w:val="20"/>
                <w:lang w:val="en-CA"/>
              </w:rPr>
            </w:pPr>
            <w:r w:rsidRPr="001C7519">
              <w:rPr>
                <w:sz w:val="20"/>
                <w:lang w:val="en-CA"/>
              </w:rPr>
              <w:t xml:space="preserve">July 24, 2020 </w:t>
            </w:r>
          </w:p>
          <w:p w:rsidR="004C625A" w:rsidRPr="001C7519" w:rsidRDefault="004C625A" w:rsidP="00843C56">
            <w:pPr>
              <w:jc w:val="both"/>
              <w:rPr>
                <w:sz w:val="20"/>
                <w:lang w:val="en-CA"/>
              </w:rPr>
            </w:pPr>
            <w:r w:rsidRPr="001C7519">
              <w:rPr>
                <w:sz w:val="20"/>
                <w:lang w:val="en-CA"/>
              </w:rPr>
              <w:t xml:space="preserve">Federal Court </w:t>
            </w:r>
          </w:p>
          <w:p w:rsidR="004C625A" w:rsidRPr="001C7519" w:rsidRDefault="004C625A" w:rsidP="00843C56">
            <w:pPr>
              <w:jc w:val="both"/>
              <w:rPr>
                <w:sz w:val="20"/>
                <w:lang w:val="en-CA"/>
              </w:rPr>
            </w:pPr>
            <w:r w:rsidRPr="001C7519">
              <w:rPr>
                <w:sz w:val="20"/>
                <w:lang w:val="en-CA"/>
              </w:rPr>
              <w:t>(Roy J.)</w:t>
            </w:r>
          </w:p>
          <w:p w:rsidR="004C625A" w:rsidRPr="001C7519" w:rsidRDefault="00E75919" w:rsidP="00843C56">
            <w:pPr>
              <w:jc w:val="both"/>
              <w:rPr>
                <w:sz w:val="20"/>
                <w:lang w:val="en-CA"/>
              </w:rPr>
            </w:pPr>
            <w:hyperlink r:id="rId35" w:history="1">
              <w:r w:rsidR="004C625A" w:rsidRPr="001C7519">
                <w:rPr>
                  <w:rStyle w:val="Hyperlink"/>
                  <w:sz w:val="20"/>
                  <w:lang w:val="en-CA"/>
                </w:rPr>
                <w:t>2020 FC 789</w:t>
              </w:r>
            </w:hyperlink>
          </w:p>
          <w:p w:rsidR="004C625A" w:rsidRPr="001C7519" w:rsidRDefault="004C625A" w:rsidP="00843C56">
            <w:pPr>
              <w:jc w:val="both"/>
              <w:rPr>
                <w:sz w:val="20"/>
                <w:lang w:val="en-CA"/>
              </w:rPr>
            </w:pPr>
          </w:p>
        </w:tc>
        <w:tc>
          <w:tcPr>
            <w:tcW w:w="243" w:type="pct"/>
          </w:tcPr>
          <w:p w:rsidR="004C625A" w:rsidRPr="001C7519" w:rsidRDefault="004C625A" w:rsidP="00843C56">
            <w:pPr>
              <w:jc w:val="both"/>
              <w:rPr>
                <w:sz w:val="20"/>
                <w:lang w:val="en-CA"/>
              </w:rPr>
            </w:pPr>
          </w:p>
        </w:tc>
        <w:tc>
          <w:tcPr>
            <w:tcW w:w="2330" w:type="pct"/>
          </w:tcPr>
          <w:p w:rsidR="004C625A" w:rsidRPr="001C7519" w:rsidRDefault="004C625A" w:rsidP="00843C56">
            <w:pPr>
              <w:jc w:val="both"/>
              <w:rPr>
                <w:sz w:val="20"/>
                <w:lang w:val="en-CA"/>
              </w:rPr>
            </w:pPr>
            <w:r w:rsidRPr="001C7519">
              <w:rPr>
                <w:sz w:val="20"/>
                <w:lang w:val="en-CA"/>
              </w:rPr>
              <w:t>Applications to strike out applications for judicial review (files T</w:t>
            </w:r>
            <w:r w:rsidRPr="001C7519">
              <w:rPr>
                <w:sz w:val="20"/>
                <w:lang w:val="en-CA"/>
              </w:rPr>
              <w:noBreakHyphen/>
              <w:t>1818</w:t>
            </w:r>
            <w:r w:rsidRPr="001C7519">
              <w:rPr>
                <w:sz w:val="20"/>
                <w:lang w:val="en-CA"/>
              </w:rPr>
              <w:noBreakHyphen/>
              <w:t>19, T</w:t>
            </w:r>
            <w:r w:rsidRPr="001C7519">
              <w:rPr>
                <w:sz w:val="20"/>
                <w:lang w:val="en-CA"/>
              </w:rPr>
              <w:noBreakHyphen/>
              <w:t>2010</w:t>
            </w:r>
            <w:r w:rsidRPr="001C7519">
              <w:rPr>
                <w:sz w:val="20"/>
                <w:lang w:val="en-CA"/>
              </w:rPr>
              <w:noBreakHyphen/>
              <w:t>19 and T</w:t>
            </w:r>
            <w:r w:rsidRPr="001C7519">
              <w:rPr>
                <w:sz w:val="20"/>
                <w:lang w:val="en-CA"/>
              </w:rPr>
              <w:noBreakHyphen/>
              <w:t>450</w:t>
            </w:r>
            <w:r w:rsidRPr="001C7519">
              <w:rPr>
                <w:sz w:val="20"/>
                <w:lang w:val="en-CA"/>
              </w:rPr>
              <w:noBreakHyphen/>
              <w:t>20) allowed</w:t>
            </w:r>
          </w:p>
        </w:tc>
      </w:tr>
      <w:tr w:rsidR="004C625A" w:rsidRPr="001C7519" w:rsidTr="004C625A">
        <w:tc>
          <w:tcPr>
            <w:tcW w:w="2427" w:type="pct"/>
            <w:gridSpan w:val="2"/>
          </w:tcPr>
          <w:p w:rsidR="004C625A" w:rsidRPr="001C7519" w:rsidRDefault="004C625A" w:rsidP="00843C56">
            <w:pPr>
              <w:jc w:val="both"/>
              <w:rPr>
                <w:sz w:val="20"/>
                <w:lang w:val="en-CA"/>
              </w:rPr>
            </w:pPr>
            <w:r w:rsidRPr="001C7519">
              <w:rPr>
                <w:sz w:val="20"/>
                <w:lang w:val="en-CA"/>
              </w:rPr>
              <w:t>January 20, 2021</w:t>
            </w:r>
          </w:p>
          <w:p w:rsidR="004C625A" w:rsidRPr="001C7519" w:rsidRDefault="004C625A" w:rsidP="00843C56">
            <w:pPr>
              <w:jc w:val="both"/>
              <w:rPr>
                <w:sz w:val="20"/>
                <w:lang w:val="en-CA"/>
              </w:rPr>
            </w:pPr>
            <w:r w:rsidRPr="001C7519">
              <w:rPr>
                <w:sz w:val="20"/>
                <w:lang w:val="en-CA"/>
              </w:rPr>
              <w:t>Federal Court of Appeal</w:t>
            </w:r>
          </w:p>
          <w:p w:rsidR="004C625A" w:rsidRPr="001C7519" w:rsidRDefault="004C625A" w:rsidP="00843C56">
            <w:pPr>
              <w:jc w:val="both"/>
              <w:rPr>
                <w:sz w:val="20"/>
                <w:lang w:val="en-CA"/>
              </w:rPr>
            </w:pPr>
            <w:r w:rsidRPr="001C7519">
              <w:rPr>
                <w:sz w:val="20"/>
                <w:lang w:val="en-CA"/>
              </w:rPr>
              <w:t xml:space="preserve">(Noël </w:t>
            </w:r>
            <w:proofErr w:type="gramStart"/>
            <w:r w:rsidRPr="001C7519">
              <w:rPr>
                <w:sz w:val="20"/>
                <w:lang w:val="en-CA"/>
              </w:rPr>
              <w:t>C.J. and Rennie</w:t>
            </w:r>
            <w:proofErr w:type="gramEnd"/>
            <w:r w:rsidRPr="001C7519">
              <w:rPr>
                <w:sz w:val="20"/>
                <w:lang w:val="en-CA"/>
              </w:rPr>
              <w:t xml:space="preserve"> and LeBlanc JJ.A.)</w:t>
            </w:r>
          </w:p>
          <w:p w:rsidR="004C625A" w:rsidRPr="001C7519" w:rsidRDefault="00E75919" w:rsidP="00843C56">
            <w:pPr>
              <w:jc w:val="both"/>
              <w:rPr>
                <w:sz w:val="20"/>
                <w:lang w:val="en-CA"/>
              </w:rPr>
            </w:pPr>
            <w:hyperlink r:id="rId36" w:history="1">
              <w:r w:rsidR="004C625A" w:rsidRPr="001C7519">
                <w:rPr>
                  <w:rStyle w:val="Hyperlink"/>
                  <w:sz w:val="20"/>
                  <w:lang w:val="en-CA"/>
                </w:rPr>
                <w:t>2021 FCA 8</w:t>
              </w:r>
            </w:hyperlink>
          </w:p>
          <w:p w:rsidR="004C625A" w:rsidRPr="001C7519" w:rsidRDefault="004C625A" w:rsidP="00843C56">
            <w:pPr>
              <w:jc w:val="both"/>
              <w:rPr>
                <w:sz w:val="20"/>
                <w:lang w:val="en-CA"/>
              </w:rPr>
            </w:pPr>
          </w:p>
        </w:tc>
        <w:tc>
          <w:tcPr>
            <w:tcW w:w="243" w:type="pct"/>
          </w:tcPr>
          <w:p w:rsidR="004C625A" w:rsidRPr="001C7519" w:rsidRDefault="004C625A" w:rsidP="00843C56">
            <w:pPr>
              <w:jc w:val="both"/>
              <w:rPr>
                <w:sz w:val="20"/>
                <w:lang w:val="en-CA"/>
              </w:rPr>
            </w:pPr>
          </w:p>
        </w:tc>
        <w:tc>
          <w:tcPr>
            <w:tcW w:w="2330" w:type="pct"/>
          </w:tcPr>
          <w:p w:rsidR="004C625A" w:rsidRPr="001C7519" w:rsidRDefault="004C625A" w:rsidP="00843C56">
            <w:pPr>
              <w:jc w:val="both"/>
              <w:rPr>
                <w:sz w:val="20"/>
                <w:lang w:val="en-CA"/>
              </w:rPr>
            </w:pPr>
            <w:r w:rsidRPr="001C7519">
              <w:rPr>
                <w:sz w:val="20"/>
                <w:lang w:val="en-CA"/>
              </w:rPr>
              <w:t>Appeals dismissed</w:t>
            </w:r>
          </w:p>
          <w:p w:rsidR="004C625A" w:rsidRPr="001C7519" w:rsidRDefault="004C625A" w:rsidP="00843C56">
            <w:pPr>
              <w:jc w:val="both"/>
              <w:rPr>
                <w:sz w:val="20"/>
                <w:lang w:val="en-CA"/>
              </w:rPr>
            </w:pPr>
          </w:p>
        </w:tc>
      </w:tr>
      <w:tr w:rsidR="004C625A" w:rsidRPr="001C7519" w:rsidTr="004C625A">
        <w:tc>
          <w:tcPr>
            <w:tcW w:w="2427" w:type="pct"/>
            <w:gridSpan w:val="2"/>
          </w:tcPr>
          <w:p w:rsidR="004C625A" w:rsidRPr="001C7519" w:rsidRDefault="004C625A" w:rsidP="00843C56">
            <w:pPr>
              <w:jc w:val="both"/>
              <w:rPr>
                <w:sz w:val="20"/>
                <w:lang w:val="en-CA"/>
              </w:rPr>
            </w:pPr>
            <w:r w:rsidRPr="001C7519">
              <w:rPr>
                <w:sz w:val="20"/>
                <w:lang w:val="en-CA"/>
              </w:rPr>
              <w:t>March 19, 2021</w:t>
            </w:r>
          </w:p>
          <w:p w:rsidR="004C625A" w:rsidRPr="001C7519" w:rsidRDefault="004C625A" w:rsidP="00843C56">
            <w:pPr>
              <w:jc w:val="both"/>
              <w:rPr>
                <w:sz w:val="20"/>
                <w:lang w:val="en-CA"/>
              </w:rPr>
            </w:pPr>
            <w:r w:rsidRPr="001C7519">
              <w:rPr>
                <w:sz w:val="20"/>
                <w:lang w:val="en-CA"/>
              </w:rPr>
              <w:t>Supreme Court of Canada</w:t>
            </w:r>
          </w:p>
        </w:tc>
        <w:tc>
          <w:tcPr>
            <w:tcW w:w="243" w:type="pct"/>
          </w:tcPr>
          <w:p w:rsidR="004C625A" w:rsidRPr="001C7519" w:rsidRDefault="004C625A" w:rsidP="00843C56">
            <w:pPr>
              <w:jc w:val="both"/>
              <w:rPr>
                <w:sz w:val="20"/>
                <w:lang w:val="en-CA"/>
              </w:rPr>
            </w:pPr>
          </w:p>
        </w:tc>
        <w:tc>
          <w:tcPr>
            <w:tcW w:w="2330" w:type="pct"/>
          </w:tcPr>
          <w:p w:rsidR="004C625A" w:rsidRPr="001C7519" w:rsidRDefault="004C625A" w:rsidP="00843C56">
            <w:pPr>
              <w:jc w:val="both"/>
              <w:rPr>
                <w:sz w:val="20"/>
                <w:lang w:val="en-CA"/>
              </w:rPr>
            </w:pPr>
            <w:r w:rsidRPr="001C7519">
              <w:rPr>
                <w:sz w:val="20"/>
                <w:lang w:val="en-CA"/>
              </w:rPr>
              <w:t>Application for leave to appeal filed</w:t>
            </w:r>
          </w:p>
          <w:p w:rsidR="004C625A" w:rsidRPr="001C7519" w:rsidRDefault="004C625A" w:rsidP="00843C56">
            <w:pPr>
              <w:jc w:val="both"/>
              <w:rPr>
                <w:sz w:val="20"/>
                <w:lang w:val="en-CA"/>
              </w:rPr>
            </w:pPr>
          </w:p>
        </w:tc>
      </w:tr>
    </w:tbl>
    <w:p w:rsidR="004C625A" w:rsidRPr="001C7519" w:rsidRDefault="004C625A" w:rsidP="00843C56">
      <w:pPr>
        <w:jc w:val="both"/>
        <w:rPr>
          <w:sz w:val="20"/>
          <w:lang w:val="en-CA"/>
        </w:rPr>
      </w:pPr>
    </w:p>
    <w:p w:rsidR="00843C56" w:rsidRPr="001C7519" w:rsidRDefault="00E75919" w:rsidP="00843C56">
      <w:pPr>
        <w:jc w:val="both"/>
        <w:rPr>
          <w:sz w:val="20"/>
          <w:lang w:val="en-CA"/>
        </w:rPr>
      </w:pPr>
      <w:r>
        <w:rPr>
          <w:sz w:val="20"/>
        </w:rPr>
        <w:pict>
          <v:rect id="_x0000_i1033" style="width:2in;height:1pt" o:hrpct="0" o:hralign="center" o:hrstd="t" o:hrnoshade="t" o:hr="t" fillcolor="black [3213]" stroked="f"/>
        </w:pict>
      </w:r>
    </w:p>
    <w:p w:rsidR="00843C56" w:rsidRPr="001C7519" w:rsidRDefault="00843C56" w:rsidP="00843C5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25A" w:rsidRPr="001C7519" w:rsidTr="004C625A">
        <w:tc>
          <w:tcPr>
            <w:tcW w:w="543" w:type="pct"/>
          </w:tcPr>
          <w:p w:rsidR="004C625A" w:rsidRPr="001C7519" w:rsidRDefault="004C625A" w:rsidP="00843C56">
            <w:pPr>
              <w:jc w:val="both"/>
              <w:rPr>
                <w:sz w:val="20"/>
              </w:rPr>
            </w:pPr>
            <w:r w:rsidRPr="001C7519">
              <w:rPr>
                <w:rStyle w:val="SCCFileNumberChar"/>
                <w:sz w:val="20"/>
                <w:szCs w:val="20"/>
              </w:rPr>
              <w:t>39614</w:t>
            </w:r>
          </w:p>
        </w:tc>
        <w:tc>
          <w:tcPr>
            <w:tcW w:w="4457" w:type="pct"/>
            <w:gridSpan w:val="3"/>
          </w:tcPr>
          <w:p w:rsidR="004C625A" w:rsidRPr="001C7519" w:rsidRDefault="004C625A" w:rsidP="00843C56">
            <w:pPr>
              <w:pStyle w:val="SCCLsocParty"/>
              <w:jc w:val="both"/>
              <w:rPr>
                <w:b/>
                <w:sz w:val="20"/>
                <w:szCs w:val="20"/>
              </w:rPr>
            </w:pPr>
            <w:r w:rsidRPr="001C7519">
              <w:rPr>
                <w:b/>
                <w:sz w:val="20"/>
                <w:szCs w:val="20"/>
              </w:rPr>
              <w:t>Honorable Gérard Dugré c. Procureur général du Canada</w:t>
            </w:r>
          </w:p>
          <w:p w:rsidR="004C625A" w:rsidRPr="001C7519" w:rsidRDefault="004C625A" w:rsidP="00843C56">
            <w:pPr>
              <w:jc w:val="both"/>
              <w:rPr>
                <w:sz w:val="20"/>
                <w:lang w:val="fr-CA"/>
              </w:rPr>
            </w:pPr>
            <w:r w:rsidRPr="001C7519">
              <w:rPr>
                <w:sz w:val="20"/>
                <w:lang w:val="fr-CA"/>
              </w:rPr>
              <w:t>(C</w:t>
            </w:r>
            <w:r w:rsidR="00843C56" w:rsidRPr="001C7519">
              <w:rPr>
                <w:sz w:val="20"/>
                <w:lang w:val="fr-CA"/>
              </w:rPr>
              <w:t>.</w:t>
            </w:r>
            <w:r w:rsidRPr="001C7519">
              <w:rPr>
                <w:sz w:val="20"/>
                <w:lang w:val="fr-CA"/>
              </w:rPr>
              <w:t>F</w:t>
            </w:r>
            <w:r w:rsidR="00843C56" w:rsidRPr="001C7519">
              <w:rPr>
                <w:sz w:val="20"/>
                <w:lang w:val="fr-CA"/>
              </w:rPr>
              <w:t>.</w:t>
            </w:r>
            <w:r w:rsidRPr="001C7519">
              <w:rPr>
                <w:sz w:val="20"/>
                <w:lang w:val="fr-CA"/>
              </w:rPr>
              <w:t>) (Civile) (Autorisation)</w:t>
            </w:r>
          </w:p>
        </w:tc>
      </w:tr>
      <w:tr w:rsidR="004C625A" w:rsidRPr="00E75919" w:rsidTr="004C625A">
        <w:tc>
          <w:tcPr>
            <w:tcW w:w="5000" w:type="pct"/>
            <w:gridSpan w:val="4"/>
          </w:tcPr>
          <w:p w:rsidR="004C625A" w:rsidRPr="001C7519" w:rsidRDefault="004C625A" w:rsidP="00843C56">
            <w:pPr>
              <w:jc w:val="both"/>
              <w:rPr>
                <w:sz w:val="20"/>
                <w:lang w:val="fr-CA"/>
              </w:rPr>
            </w:pPr>
            <w:r w:rsidRPr="001C7519">
              <w:rPr>
                <w:sz w:val="20"/>
                <w:lang w:val="fr-CA"/>
              </w:rPr>
              <w:t xml:space="preserve">Droit administratif </w:t>
            </w:r>
            <w:r w:rsidRPr="001C7519">
              <w:rPr>
                <w:sz w:val="20"/>
              </w:rPr>
              <w:t>⸺</w:t>
            </w:r>
            <w:r w:rsidRPr="001C7519">
              <w:rPr>
                <w:sz w:val="20"/>
                <w:lang w:val="fr-CA"/>
              </w:rPr>
              <w:t xml:space="preserve"> Contrôle judiciaire </w:t>
            </w:r>
            <w:r w:rsidRPr="001C7519">
              <w:rPr>
                <w:sz w:val="20"/>
              </w:rPr>
              <w:t>⸺</w:t>
            </w:r>
            <w:r w:rsidRPr="001C7519">
              <w:rPr>
                <w:sz w:val="20"/>
                <w:lang w:val="fr-CA"/>
              </w:rPr>
              <w:t xml:space="preserve"> Doctrine de la prématurité </w:t>
            </w:r>
            <w:r w:rsidRPr="001C7519">
              <w:rPr>
                <w:sz w:val="20"/>
              </w:rPr>
              <w:t>⸺</w:t>
            </w:r>
            <w:r w:rsidRPr="001C7519">
              <w:rPr>
                <w:sz w:val="20"/>
                <w:lang w:val="fr-CA"/>
              </w:rPr>
              <w:t xml:space="preserve"> Demandes de contrôle judiciaire de décisions administratives prises aux stades préliminaires du processus de traitement de plaintes déposées devant le Conseil canadien de la magistrature </w:t>
            </w:r>
            <w:r w:rsidRPr="001C7519">
              <w:rPr>
                <w:sz w:val="20"/>
              </w:rPr>
              <w:t>⸺</w:t>
            </w:r>
            <w:r w:rsidRPr="001C7519">
              <w:rPr>
                <w:sz w:val="20"/>
                <w:lang w:val="fr-CA"/>
              </w:rPr>
              <w:t xml:space="preserve"> Étant donné les incohérences de la jurisprudence et les préjudices irréparables causés par celles</w:t>
            </w:r>
            <w:r w:rsidRPr="001C7519">
              <w:rPr>
                <w:sz w:val="20"/>
                <w:lang w:val="fr-CA"/>
              </w:rPr>
              <w:noBreakHyphen/>
              <w:t>ci, dans quelles circonstances la doctrine de la prématurité en droit administratif canadien doit</w:t>
            </w:r>
            <w:r w:rsidRPr="001C7519">
              <w:rPr>
                <w:sz w:val="20"/>
                <w:lang w:val="fr-CA"/>
              </w:rPr>
              <w:noBreakHyphen/>
              <w:t xml:space="preserve">elle être appliquée? </w:t>
            </w:r>
            <w:r w:rsidRPr="001C7519">
              <w:rPr>
                <w:sz w:val="20"/>
              </w:rPr>
              <w:t>⸺</w:t>
            </w:r>
            <w:r w:rsidRPr="001C7519">
              <w:rPr>
                <w:sz w:val="20"/>
                <w:lang w:val="fr-CA"/>
              </w:rPr>
              <w:t xml:space="preserve"> Les cours peuvent</w:t>
            </w:r>
            <w:r w:rsidRPr="001C7519">
              <w:rPr>
                <w:sz w:val="20"/>
                <w:lang w:val="fr-CA"/>
              </w:rPr>
              <w:noBreakHyphen/>
              <w:t xml:space="preserve">elles appliquer la doctrine de leur propre chef et sans tenir compte du préjudice irréparable causé au justiciable, même s’il a finalement gain de cause sur le fond?  </w:t>
            </w:r>
          </w:p>
        </w:tc>
      </w:tr>
      <w:tr w:rsidR="004C625A" w:rsidRPr="00E75919" w:rsidTr="004C625A">
        <w:tc>
          <w:tcPr>
            <w:tcW w:w="5000" w:type="pct"/>
            <w:gridSpan w:val="4"/>
          </w:tcPr>
          <w:p w:rsidR="004C625A" w:rsidRPr="001C7519" w:rsidRDefault="004C625A" w:rsidP="00843C56">
            <w:pPr>
              <w:jc w:val="both"/>
              <w:rPr>
                <w:sz w:val="20"/>
                <w:lang w:val="fr-CA"/>
              </w:rPr>
            </w:pPr>
          </w:p>
        </w:tc>
      </w:tr>
      <w:tr w:rsidR="004C625A" w:rsidRPr="00E75919" w:rsidTr="004C625A">
        <w:tc>
          <w:tcPr>
            <w:tcW w:w="5000" w:type="pct"/>
            <w:gridSpan w:val="4"/>
          </w:tcPr>
          <w:p w:rsidR="004C625A" w:rsidRPr="001C7519" w:rsidRDefault="004C625A" w:rsidP="00843C56">
            <w:pPr>
              <w:jc w:val="both"/>
              <w:rPr>
                <w:sz w:val="20"/>
                <w:lang w:val="fr-CA"/>
              </w:rPr>
            </w:pPr>
            <w:r w:rsidRPr="001C7519">
              <w:rPr>
                <w:sz w:val="20"/>
                <w:lang w:val="fr-CA"/>
              </w:rPr>
              <w:t xml:space="preserve">Le demandeur, l’honorable Gérard Dugré est juge à la Cour supérieure du Québec depuis janvier 2009. Il a fait l’objet de plaintes devant le Conseil canadien de la magistrature. Dans leurs généralités, ces plaintes sont relatives au défaut de la part du demandeur de rendre des décisions dans un délai opportun et à certains commentaires ou propos qualifiés d’inappropriés dans le contexte d’audiences. Le demandeur a déposé cinq demandes de contrôle judiciaire relativement à des décisions administratives qui ont été prises au cours des différentes étapes devant mener à l’enquête du Comité d’enquête que le Conseil canadien de la magistrature peut constituer en vertu du par. 63(3) de la </w:t>
            </w:r>
            <w:r w:rsidRPr="001C7519">
              <w:rPr>
                <w:i/>
                <w:sz w:val="20"/>
                <w:lang w:val="fr-FR" w:eastAsia="fr-CA"/>
              </w:rPr>
              <w:t>Loi sur les juges</w:t>
            </w:r>
            <w:r w:rsidRPr="001C7519">
              <w:rPr>
                <w:sz w:val="20"/>
                <w:lang w:val="fr-FR" w:eastAsia="fr-CA"/>
              </w:rPr>
              <w:t>, L.R.C. 1985, c. J</w:t>
            </w:r>
            <w:r w:rsidRPr="001C7519">
              <w:rPr>
                <w:sz w:val="20"/>
                <w:lang w:val="fr-FR" w:eastAsia="fr-CA"/>
              </w:rPr>
              <w:noBreakHyphen/>
              <w:t>1. L’intimé, le Procureur général du Canada, a déposé pour chacune des cinq demandes de contrôle judiciaire une requête en radiation au motif principal qu’elles seraient toutes prématurées eu égard aux voies de recours offertes par le processus administratif lui</w:t>
            </w:r>
            <w:r w:rsidRPr="001C7519">
              <w:rPr>
                <w:sz w:val="20"/>
                <w:lang w:val="fr-FR" w:eastAsia="fr-CA"/>
              </w:rPr>
              <w:noBreakHyphen/>
              <w:t xml:space="preserve">même. </w:t>
            </w:r>
            <w:r w:rsidRPr="001C7519">
              <w:rPr>
                <w:sz w:val="20"/>
                <w:lang w:val="fr-CA"/>
              </w:rPr>
              <w:t>Les requêtes en radiation ont fait l’objet de deux décisions en Cour fédérale. Dans le cadre des dossiers T</w:t>
            </w:r>
            <w:r w:rsidRPr="001C7519">
              <w:rPr>
                <w:sz w:val="20"/>
                <w:lang w:val="fr-CA"/>
              </w:rPr>
              <w:noBreakHyphen/>
              <w:t>1622</w:t>
            </w:r>
            <w:r w:rsidRPr="001C7519">
              <w:rPr>
                <w:sz w:val="20"/>
                <w:lang w:val="fr-CA"/>
              </w:rPr>
              <w:noBreakHyphen/>
              <w:t>19 et T</w:t>
            </w:r>
            <w:r w:rsidRPr="001C7519">
              <w:rPr>
                <w:sz w:val="20"/>
                <w:lang w:val="fr-CA"/>
              </w:rPr>
              <w:noBreakHyphen/>
              <w:t>1637</w:t>
            </w:r>
            <w:r w:rsidRPr="001C7519">
              <w:rPr>
                <w:sz w:val="20"/>
                <w:lang w:val="fr-CA"/>
              </w:rPr>
              <w:noBreakHyphen/>
              <w:t>19, la Cour fédérale a ordonné que les avis de contrôle judiciaire soient radiés sans possibilité d’amendement. Dans les dossiers T</w:t>
            </w:r>
            <w:r w:rsidRPr="001C7519">
              <w:rPr>
                <w:sz w:val="20"/>
                <w:lang w:val="fr-CA"/>
              </w:rPr>
              <w:noBreakHyphen/>
              <w:t>1818</w:t>
            </w:r>
            <w:r w:rsidRPr="001C7519">
              <w:rPr>
                <w:sz w:val="20"/>
                <w:lang w:val="fr-CA"/>
              </w:rPr>
              <w:noBreakHyphen/>
              <w:t>19, T</w:t>
            </w:r>
            <w:r w:rsidRPr="001C7519">
              <w:rPr>
                <w:sz w:val="20"/>
                <w:lang w:val="fr-CA"/>
              </w:rPr>
              <w:noBreakHyphen/>
              <w:t>2010</w:t>
            </w:r>
            <w:r w:rsidRPr="001C7519">
              <w:rPr>
                <w:sz w:val="20"/>
                <w:lang w:val="fr-CA"/>
              </w:rPr>
              <w:noBreakHyphen/>
              <w:t>19 et T</w:t>
            </w:r>
            <w:r w:rsidRPr="001C7519">
              <w:rPr>
                <w:sz w:val="20"/>
                <w:lang w:val="fr-CA"/>
              </w:rPr>
              <w:noBreakHyphen/>
              <w:t>450</w:t>
            </w:r>
            <w:r w:rsidRPr="001C7519">
              <w:rPr>
                <w:sz w:val="20"/>
                <w:lang w:val="fr-CA"/>
              </w:rPr>
              <w:noBreakHyphen/>
              <w:t>20, la Cour fédérale a accueilli la demande en radiation des demandes de contrôle judiciaire déposées. La Cour d’appel fédérale a rejeté les cinq appels d’une façon sommaire.</w:t>
            </w:r>
          </w:p>
          <w:p w:rsidR="004C625A" w:rsidRPr="001C7519" w:rsidRDefault="004C625A" w:rsidP="00843C56">
            <w:pPr>
              <w:jc w:val="both"/>
              <w:rPr>
                <w:sz w:val="20"/>
                <w:lang w:val="fr-CA"/>
              </w:rPr>
            </w:pPr>
          </w:p>
        </w:tc>
      </w:tr>
      <w:tr w:rsidR="004C625A" w:rsidRPr="00E75919" w:rsidTr="004C625A">
        <w:tc>
          <w:tcPr>
            <w:tcW w:w="2427" w:type="pct"/>
            <w:gridSpan w:val="2"/>
          </w:tcPr>
          <w:p w:rsidR="004C625A" w:rsidRPr="001C7519" w:rsidRDefault="004C625A" w:rsidP="00843C56">
            <w:pPr>
              <w:jc w:val="both"/>
              <w:rPr>
                <w:sz w:val="20"/>
                <w:lang w:val="fr-CA"/>
              </w:rPr>
            </w:pPr>
            <w:r w:rsidRPr="001C7519">
              <w:rPr>
                <w:sz w:val="20"/>
                <w:lang w:val="fr-CA"/>
              </w:rPr>
              <w:t>Le 13 décembre 2019</w:t>
            </w:r>
          </w:p>
          <w:p w:rsidR="004C625A" w:rsidRPr="001C7519" w:rsidRDefault="004C625A" w:rsidP="00843C56">
            <w:pPr>
              <w:jc w:val="both"/>
              <w:rPr>
                <w:sz w:val="20"/>
                <w:lang w:val="fr-CA"/>
              </w:rPr>
            </w:pPr>
            <w:r w:rsidRPr="001C7519">
              <w:rPr>
                <w:sz w:val="20"/>
                <w:lang w:val="fr-CA"/>
              </w:rPr>
              <w:t>Cour fédérale</w:t>
            </w:r>
          </w:p>
          <w:p w:rsidR="004C625A" w:rsidRPr="001C7519" w:rsidRDefault="004C625A" w:rsidP="00843C56">
            <w:pPr>
              <w:jc w:val="both"/>
              <w:rPr>
                <w:sz w:val="20"/>
                <w:lang w:val="fr-CA"/>
              </w:rPr>
            </w:pPr>
            <w:r w:rsidRPr="001C7519">
              <w:rPr>
                <w:sz w:val="20"/>
                <w:lang w:val="fr-CA"/>
              </w:rPr>
              <w:t>(Le juge Martineau)</w:t>
            </w:r>
          </w:p>
          <w:p w:rsidR="004C625A" w:rsidRPr="001C7519" w:rsidRDefault="004C625A" w:rsidP="00843C56">
            <w:pPr>
              <w:jc w:val="both"/>
              <w:rPr>
                <w:sz w:val="20"/>
              </w:rPr>
            </w:pPr>
            <w:r w:rsidRPr="001C7519">
              <w:rPr>
                <w:rStyle w:val="Hyperlink"/>
                <w:sz w:val="20"/>
              </w:rPr>
              <w:t>2019 CF 1604</w:t>
            </w:r>
          </w:p>
          <w:p w:rsidR="004C625A" w:rsidRPr="001C7519" w:rsidRDefault="004C625A" w:rsidP="00843C56">
            <w:pPr>
              <w:jc w:val="both"/>
              <w:rPr>
                <w:sz w:val="20"/>
              </w:rPr>
            </w:pPr>
          </w:p>
        </w:tc>
        <w:tc>
          <w:tcPr>
            <w:tcW w:w="243" w:type="pct"/>
          </w:tcPr>
          <w:p w:rsidR="004C625A" w:rsidRPr="001C7519" w:rsidRDefault="004C625A" w:rsidP="00843C56">
            <w:pPr>
              <w:jc w:val="both"/>
              <w:rPr>
                <w:sz w:val="20"/>
              </w:rPr>
            </w:pPr>
          </w:p>
        </w:tc>
        <w:tc>
          <w:tcPr>
            <w:tcW w:w="2330" w:type="pct"/>
          </w:tcPr>
          <w:p w:rsidR="004C625A" w:rsidRPr="001C7519" w:rsidRDefault="004C625A" w:rsidP="00843C56">
            <w:pPr>
              <w:jc w:val="both"/>
              <w:rPr>
                <w:sz w:val="20"/>
                <w:lang w:val="fr-CA"/>
              </w:rPr>
            </w:pPr>
            <w:r w:rsidRPr="001C7519">
              <w:rPr>
                <w:sz w:val="20"/>
                <w:lang w:val="fr-CA"/>
              </w:rPr>
              <w:t>Avis de demande de contrôle judiciaire (dossiers T</w:t>
            </w:r>
            <w:r w:rsidRPr="001C7519">
              <w:rPr>
                <w:sz w:val="20"/>
                <w:lang w:val="fr-CA"/>
              </w:rPr>
              <w:noBreakHyphen/>
              <w:t>1622</w:t>
            </w:r>
            <w:r w:rsidRPr="001C7519">
              <w:rPr>
                <w:sz w:val="20"/>
                <w:lang w:val="fr-CA"/>
              </w:rPr>
              <w:noBreakHyphen/>
              <w:t>19 et T</w:t>
            </w:r>
            <w:r w:rsidRPr="001C7519">
              <w:rPr>
                <w:sz w:val="20"/>
                <w:lang w:val="fr-CA"/>
              </w:rPr>
              <w:noBreakHyphen/>
              <w:t>1637</w:t>
            </w:r>
            <w:r w:rsidRPr="001C7519">
              <w:rPr>
                <w:sz w:val="20"/>
                <w:lang w:val="fr-CA"/>
              </w:rPr>
              <w:noBreakHyphen/>
              <w:t xml:space="preserve">19) radiés sans possibilité d’amendement. </w:t>
            </w:r>
          </w:p>
          <w:p w:rsidR="004C625A" w:rsidRPr="001C7519" w:rsidRDefault="004C625A" w:rsidP="00843C56">
            <w:pPr>
              <w:jc w:val="both"/>
              <w:rPr>
                <w:sz w:val="20"/>
                <w:lang w:val="fr-CA"/>
              </w:rPr>
            </w:pPr>
          </w:p>
        </w:tc>
      </w:tr>
      <w:tr w:rsidR="004C625A" w:rsidRPr="00E75919" w:rsidTr="004C625A">
        <w:tc>
          <w:tcPr>
            <w:tcW w:w="2427" w:type="pct"/>
            <w:gridSpan w:val="2"/>
          </w:tcPr>
          <w:p w:rsidR="004C625A" w:rsidRPr="001C7519" w:rsidRDefault="004C625A" w:rsidP="00843C56">
            <w:pPr>
              <w:jc w:val="both"/>
              <w:rPr>
                <w:sz w:val="20"/>
                <w:lang w:val="fr-CA"/>
              </w:rPr>
            </w:pPr>
            <w:r w:rsidRPr="001C7519">
              <w:rPr>
                <w:sz w:val="20"/>
                <w:lang w:val="fr-CA"/>
              </w:rPr>
              <w:t xml:space="preserve">Le 24 juillet 2020 </w:t>
            </w:r>
          </w:p>
          <w:p w:rsidR="004C625A" w:rsidRPr="001C7519" w:rsidRDefault="004C625A" w:rsidP="00843C56">
            <w:pPr>
              <w:jc w:val="both"/>
              <w:rPr>
                <w:sz w:val="20"/>
                <w:lang w:val="fr-CA"/>
              </w:rPr>
            </w:pPr>
            <w:r w:rsidRPr="001C7519">
              <w:rPr>
                <w:sz w:val="20"/>
                <w:lang w:val="fr-CA"/>
              </w:rPr>
              <w:t>Cour fédérale</w:t>
            </w:r>
          </w:p>
          <w:p w:rsidR="004C625A" w:rsidRPr="001C7519" w:rsidRDefault="004C625A" w:rsidP="00843C56">
            <w:pPr>
              <w:jc w:val="both"/>
              <w:rPr>
                <w:sz w:val="20"/>
                <w:lang w:val="fr-CA"/>
              </w:rPr>
            </w:pPr>
            <w:r w:rsidRPr="001C7519">
              <w:rPr>
                <w:sz w:val="20"/>
                <w:lang w:val="fr-CA"/>
              </w:rPr>
              <w:t>(Le juge Roy)</w:t>
            </w:r>
          </w:p>
          <w:p w:rsidR="004C625A" w:rsidRPr="001C7519" w:rsidRDefault="004C625A" w:rsidP="00843C56">
            <w:pPr>
              <w:jc w:val="both"/>
              <w:rPr>
                <w:sz w:val="20"/>
              </w:rPr>
            </w:pPr>
            <w:r w:rsidRPr="001C7519">
              <w:rPr>
                <w:rStyle w:val="Hyperlink"/>
                <w:sz w:val="20"/>
              </w:rPr>
              <w:t>2020 CF 789</w:t>
            </w:r>
          </w:p>
          <w:p w:rsidR="004C625A" w:rsidRPr="001C7519" w:rsidRDefault="004C625A" w:rsidP="00843C56">
            <w:pPr>
              <w:jc w:val="both"/>
              <w:rPr>
                <w:sz w:val="20"/>
              </w:rPr>
            </w:pPr>
          </w:p>
        </w:tc>
        <w:tc>
          <w:tcPr>
            <w:tcW w:w="243" w:type="pct"/>
          </w:tcPr>
          <w:p w:rsidR="004C625A" w:rsidRPr="001C7519" w:rsidRDefault="004C625A" w:rsidP="00843C56">
            <w:pPr>
              <w:jc w:val="both"/>
              <w:rPr>
                <w:sz w:val="20"/>
              </w:rPr>
            </w:pPr>
          </w:p>
        </w:tc>
        <w:tc>
          <w:tcPr>
            <w:tcW w:w="2330" w:type="pct"/>
          </w:tcPr>
          <w:p w:rsidR="004C625A" w:rsidRPr="001C7519" w:rsidRDefault="004C625A" w:rsidP="00843C56">
            <w:pPr>
              <w:jc w:val="both"/>
              <w:rPr>
                <w:sz w:val="20"/>
                <w:lang w:val="fr-CA"/>
              </w:rPr>
            </w:pPr>
            <w:r w:rsidRPr="001C7519">
              <w:rPr>
                <w:sz w:val="20"/>
                <w:lang w:val="fr-CA"/>
              </w:rPr>
              <w:t>Demandes en radiation de demandes de contrôle judiciaire (dossiers T</w:t>
            </w:r>
            <w:r w:rsidRPr="001C7519">
              <w:rPr>
                <w:sz w:val="20"/>
                <w:lang w:val="fr-CA"/>
              </w:rPr>
              <w:noBreakHyphen/>
              <w:t>1818</w:t>
            </w:r>
            <w:r w:rsidRPr="001C7519">
              <w:rPr>
                <w:sz w:val="20"/>
                <w:lang w:val="fr-CA"/>
              </w:rPr>
              <w:noBreakHyphen/>
              <w:t>19, T</w:t>
            </w:r>
            <w:r w:rsidRPr="001C7519">
              <w:rPr>
                <w:sz w:val="20"/>
                <w:lang w:val="fr-CA"/>
              </w:rPr>
              <w:noBreakHyphen/>
              <w:t>2010</w:t>
            </w:r>
            <w:r w:rsidRPr="001C7519">
              <w:rPr>
                <w:sz w:val="20"/>
                <w:lang w:val="fr-CA"/>
              </w:rPr>
              <w:noBreakHyphen/>
              <w:t>19 et T</w:t>
            </w:r>
            <w:r w:rsidRPr="001C7519">
              <w:rPr>
                <w:sz w:val="20"/>
                <w:lang w:val="fr-CA"/>
              </w:rPr>
              <w:noBreakHyphen/>
              <w:t>450</w:t>
            </w:r>
            <w:r w:rsidRPr="001C7519">
              <w:rPr>
                <w:sz w:val="20"/>
                <w:lang w:val="fr-CA"/>
              </w:rPr>
              <w:noBreakHyphen/>
              <w:t>20) accueillies.</w:t>
            </w:r>
          </w:p>
        </w:tc>
      </w:tr>
      <w:tr w:rsidR="004C625A" w:rsidRPr="001C7519" w:rsidTr="004C625A">
        <w:tc>
          <w:tcPr>
            <w:tcW w:w="2427" w:type="pct"/>
            <w:gridSpan w:val="2"/>
          </w:tcPr>
          <w:p w:rsidR="004C625A" w:rsidRPr="001C7519" w:rsidRDefault="004C625A" w:rsidP="00843C56">
            <w:pPr>
              <w:jc w:val="both"/>
              <w:rPr>
                <w:sz w:val="20"/>
                <w:lang w:val="fr-CA"/>
              </w:rPr>
            </w:pPr>
            <w:r w:rsidRPr="001C7519">
              <w:rPr>
                <w:sz w:val="20"/>
                <w:lang w:val="fr-CA"/>
              </w:rPr>
              <w:t>Le 20 janvier 2021</w:t>
            </w:r>
          </w:p>
          <w:p w:rsidR="004C625A" w:rsidRPr="001C7519" w:rsidRDefault="004C625A" w:rsidP="00843C56">
            <w:pPr>
              <w:jc w:val="both"/>
              <w:rPr>
                <w:sz w:val="20"/>
                <w:lang w:val="fr-CA"/>
              </w:rPr>
            </w:pPr>
            <w:r w:rsidRPr="001C7519">
              <w:rPr>
                <w:sz w:val="20"/>
                <w:lang w:val="fr-CA"/>
              </w:rPr>
              <w:t>Cour d’appel fédérale</w:t>
            </w:r>
          </w:p>
          <w:p w:rsidR="004C625A" w:rsidRPr="001C7519" w:rsidRDefault="004C625A" w:rsidP="00843C56">
            <w:pPr>
              <w:jc w:val="both"/>
              <w:rPr>
                <w:sz w:val="20"/>
                <w:lang w:val="fr-CA"/>
              </w:rPr>
            </w:pPr>
            <w:r w:rsidRPr="001C7519">
              <w:rPr>
                <w:sz w:val="20"/>
                <w:lang w:val="fr-CA"/>
              </w:rPr>
              <w:t>(Le juge en chef Noël et les juges Rennie et LeBlanc)</w:t>
            </w:r>
          </w:p>
          <w:p w:rsidR="004C625A" w:rsidRPr="001C7519" w:rsidRDefault="004C625A" w:rsidP="00843C56">
            <w:pPr>
              <w:jc w:val="both"/>
              <w:rPr>
                <w:sz w:val="20"/>
              </w:rPr>
            </w:pPr>
            <w:r w:rsidRPr="001C7519">
              <w:rPr>
                <w:rStyle w:val="Hyperlink"/>
                <w:sz w:val="20"/>
              </w:rPr>
              <w:t>2021 CAF 8</w:t>
            </w:r>
          </w:p>
          <w:p w:rsidR="004C625A" w:rsidRPr="001C7519" w:rsidRDefault="004C625A" w:rsidP="00843C56">
            <w:pPr>
              <w:jc w:val="both"/>
              <w:rPr>
                <w:sz w:val="20"/>
              </w:rPr>
            </w:pPr>
          </w:p>
        </w:tc>
        <w:tc>
          <w:tcPr>
            <w:tcW w:w="243" w:type="pct"/>
          </w:tcPr>
          <w:p w:rsidR="004C625A" w:rsidRPr="001C7519" w:rsidRDefault="004C625A" w:rsidP="00843C56">
            <w:pPr>
              <w:jc w:val="both"/>
              <w:rPr>
                <w:sz w:val="20"/>
              </w:rPr>
            </w:pPr>
          </w:p>
        </w:tc>
        <w:tc>
          <w:tcPr>
            <w:tcW w:w="2330" w:type="pct"/>
          </w:tcPr>
          <w:p w:rsidR="004C625A" w:rsidRPr="001C7519" w:rsidRDefault="004C625A" w:rsidP="00843C56">
            <w:pPr>
              <w:jc w:val="both"/>
              <w:rPr>
                <w:sz w:val="20"/>
              </w:rPr>
            </w:pPr>
            <w:r w:rsidRPr="001C7519">
              <w:rPr>
                <w:sz w:val="20"/>
              </w:rPr>
              <w:t>Appels rejetés.</w:t>
            </w:r>
          </w:p>
          <w:p w:rsidR="004C625A" w:rsidRPr="001C7519" w:rsidRDefault="004C625A" w:rsidP="00843C56">
            <w:pPr>
              <w:jc w:val="both"/>
              <w:rPr>
                <w:sz w:val="20"/>
              </w:rPr>
            </w:pPr>
          </w:p>
        </w:tc>
      </w:tr>
      <w:tr w:rsidR="004C625A" w:rsidRPr="001C7519" w:rsidTr="004C625A">
        <w:tc>
          <w:tcPr>
            <w:tcW w:w="2427" w:type="pct"/>
            <w:gridSpan w:val="2"/>
          </w:tcPr>
          <w:p w:rsidR="004C625A" w:rsidRPr="001C7519" w:rsidRDefault="004C625A" w:rsidP="00843C56">
            <w:pPr>
              <w:jc w:val="both"/>
              <w:rPr>
                <w:sz w:val="20"/>
                <w:lang w:val="fr-CA"/>
              </w:rPr>
            </w:pPr>
            <w:r w:rsidRPr="001C7519">
              <w:rPr>
                <w:sz w:val="20"/>
                <w:lang w:val="fr-CA"/>
              </w:rPr>
              <w:t>Le 19 mars 2021</w:t>
            </w:r>
          </w:p>
          <w:p w:rsidR="004C625A" w:rsidRPr="001C7519" w:rsidRDefault="004C625A" w:rsidP="00843C56">
            <w:pPr>
              <w:jc w:val="both"/>
              <w:rPr>
                <w:sz w:val="20"/>
                <w:lang w:val="fr-CA"/>
              </w:rPr>
            </w:pPr>
            <w:r w:rsidRPr="001C7519">
              <w:rPr>
                <w:sz w:val="20"/>
                <w:lang w:val="fr-CA"/>
              </w:rPr>
              <w:t>Cour suprême du Canada</w:t>
            </w:r>
          </w:p>
        </w:tc>
        <w:tc>
          <w:tcPr>
            <w:tcW w:w="243" w:type="pct"/>
          </w:tcPr>
          <w:p w:rsidR="004C625A" w:rsidRPr="001C7519" w:rsidRDefault="004C625A" w:rsidP="00843C56">
            <w:pPr>
              <w:jc w:val="both"/>
              <w:rPr>
                <w:sz w:val="20"/>
                <w:lang w:val="fr-CA"/>
              </w:rPr>
            </w:pPr>
          </w:p>
        </w:tc>
        <w:tc>
          <w:tcPr>
            <w:tcW w:w="2330" w:type="pct"/>
          </w:tcPr>
          <w:p w:rsidR="004C625A" w:rsidRPr="001C7519" w:rsidRDefault="004C625A" w:rsidP="00843C56">
            <w:pPr>
              <w:jc w:val="both"/>
              <w:rPr>
                <w:sz w:val="20"/>
              </w:rPr>
            </w:pPr>
            <w:r w:rsidRPr="001C7519">
              <w:rPr>
                <w:sz w:val="20"/>
              </w:rPr>
              <w:t>Demande d'autorisation d'appel déposée</w:t>
            </w:r>
          </w:p>
          <w:p w:rsidR="004C625A" w:rsidRPr="001C7519" w:rsidRDefault="004C625A" w:rsidP="00843C56">
            <w:pPr>
              <w:jc w:val="both"/>
              <w:rPr>
                <w:sz w:val="20"/>
              </w:rPr>
            </w:pPr>
          </w:p>
        </w:tc>
      </w:tr>
    </w:tbl>
    <w:p w:rsidR="004C625A" w:rsidRPr="001C7519" w:rsidRDefault="004C625A" w:rsidP="00843C56">
      <w:pPr>
        <w:jc w:val="both"/>
        <w:rPr>
          <w:sz w:val="20"/>
        </w:rPr>
      </w:pPr>
    </w:p>
    <w:p w:rsidR="00B63A3D" w:rsidRPr="001C7519" w:rsidRDefault="00E75919" w:rsidP="00843C56">
      <w:pPr>
        <w:widowControl w:val="0"/>
        <w:tabs>
          <w:tab w:val="left" w:pos="3840"/>
        </w:tabs>
        <w:jc w:val="both"/>
        <w:rPr>
          <w:sz w:val="20"/>
          <w:lang w:val="fr-CA"/>
        </w:rPr>
      </w:pPr>
      <w:r>
        <w:rPr>
          <w:sz w:val="20"/>
        </w:rPr>
        <w:pict>
          <v:rect id="_x0000_i1034" style="width:2in;height:1pt" o:hrpct="0" o:hralign="center" o:hrstd="t" o:hrnoshade="t" o:hr="t" fillcolor="black [3213]" stroked="f"/>
        </w:pict>
      </w:r>
    </w:p>
    <w:p w:rsidR="00B63A3D" w:rsidRPr="001C7519" w:rsidRDefault="00B63A3D" w:rsidP="00843C56">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25A" w:rsidRPr="001C7519" w:rsidTr="004C625A">
        <w:tc>
          <w:tcPr>
            <w:tcW w:w="543" w:type="pct"/>
          </w:tcPr>
          <w:p w:rsidR="004C625A" w:rsidRPr="001C7519" w:rsidRDefault="004C625A" w:rsidP="00843C56">
            <w:pPr>
              <w:jc w:val="both"/>
              <w:rPr>
                <w:sz w:val="20"/>
                <w:lang w:val="en-CA"/>
              </w:rPr>
            </w:pPr>
            <w:r w:rsidRPr="001C7519">
              <w:rPr>
                <w:rStyle w:val="SCCFileNumberChar"/>
                <w:sz w:val="20"/>
                <w:szCs w:val="20"/>
              </w:rPr>
              <w:t>39636</w:t>
            </w:r>
          </w:p>
        </w:tc>
        <w:tc>
          <w:tcPr>
            <w:tcW w:w="4457" w:type="pct"/>
            <w:gridSpan w:val="3"/>
          </w:tcPr>
          <w:p w:rsidR="004C625A" w:rsidRPr="001C7519" w:rsidRDefault="004C625A" w:rsidP="00843C56">
            <w:pPr>
              <w:pStyle w:val="SCCLsocParty"/>
              <w:jc w:val="both"/>
              <w:rPr>
                <w:b/>
                <w:sz w:val="20"/>
                <w:szCs w:val="20"/>
                <w:lang w:val="en-CA"/>
              </w:rPr>
            </w:pPr>
            <w:r w:rsidRPr="001C7519">
              <w:rPr>
                <w:b/>
                <w:sz w:val="20"/>
                <w:szCs w:val="20"/>
                <w:lang w:val="en-CA"/>
              </w:rPr>
              <w:t>Honourable Gérard Dugré v. Attorney General of Canada</w:t>
            </w:r>
          </w:p>
          <w:p w:rsidR="004C625A" w:rsidRPr="001C7519" w:rsidRDefault="00843C56" w:rsidP="00843C56">
            <w:pPr>
              <w:jc w:val="both"/>
              <w:rPr>
                <w:sz w:val="20"/>
                <w:lang w:val="en-CA"/>
              </w:rPr>
            </w:pPr>
            <w:r w:rsidRPr="001C7519">
              <w:rPr>
                <w:sz w:val="20"/>
                <w:lang w:val="en-CA"/>
              </w:rPr>
              <w:t>(F.C.) (Civil) (By Leave)</w:t>
            </w:r>
          </w:p>
        </w:tc>
      </w:tr>
      <w:tr w:rsidR="004C625A" w:rsidRPr="001C7519" w:rsidTr="004C625A">
        <w:tc>
          <w:tcPr>
            <w:tcW w:w="5000" w:type="pct"/>
            <w:gridSpan w:val="4"/>
          </w:tcPr>
          <w:p w:rsidR="004C625A" w:rsidRPr="001C7519" w:rsidRDefault="004C625A" w:rsidP="00843C56">
            <w:pPr>
              <w:jc w:val="both"/>
              <w:rPr>
                <w:sz w:val="20"/>
                <w:lang w:val="en-CA"/>
              </w:rPr>
            </w:pPr>
            <w:proofErr w:type="gramStart"/>
            <w:r w:rsidRPr="001C7519">
              <w:rPr>
                <w:sz w:val="20"/>
                <w:lang w:val="en-CA"/>
              </w:rPr>
              <w:t xml:space="preserve">Administrative law ⸺ Judicial review ⸺ Application for stay ⸺ Inquiry process in context of filing of ethics complaints with Canadian Judicial Council ⸺ Test for stay of inquiry ⸺  Extent to which doctrine of prematurity can be considered in applying that test ⸺ Principles arising from this Court’s decision in </w:t>
            </w:r>
            <w:r w:rsidRPr="001C7519">
              <w:rPr>
                <w:i/>
                <w:sz w:val="20"/>
                <w:lang w:val="en-CA"/>
              </w:rPr>
              <w:t>Halifax (Regional Municipality) v. Nova Scotia (Human Rights Commission)</w:t>
            </w:r>
            <w:r w:rsidRPr="001C7519">
              <w:rPr>
                <w:sz w:val="20"/>
                <w:lang w:val="en-CA"/>
              </w:rPr>
              <w:t xml:space="preserve">, [2012] 1 S.C.R. 364 ⸺ Whether court of appeal has power to dismiss appeal as of right without hearing it where appeal is procedurally compliant and ready to be heard ⸺ </w:t>
            </w:r>
            <w:r w:rsidRPr="001C7519">
              <w:rPr>
                <w:i/>
                <w:sz w:val="20"/>
                <w:lang w:val="en-CA"/>
              </w:rPr>
              <w:t>Federal Courts Act</w:t>
            </w:r>
            <w:r w:rsidRPr="001C7519">
              <w:rPr>
                <w:sz w:val="20"/>
                <w:lang w:val="en-CA"/>
              </w:rPr>
              <w:t>, R.S.C. 1985, c. F</w:t>
            </w:r>
            <w:r w:rsidRPr="001C7519">
              <w:rPr>
                <w:sz w:val="20"/>
                <w:lang w:val="en-CA"/>
              </w:rPr>
              <w:noBreakHyphen/>
              <w:t>7, s. 18.2.</w:t>
            </w:r>
            <w:proofErr w:type="gramEnd"/>
          </w:p>
        </w:tc>
      </w:tr>
      <w:tr w:rsidR="004C625A" w:rsidRPr="001C7519" w:rsidTr="004C625A">
        <w:tc>
          <w:tcPr>
            <w:tcW w:w="5000" w:type="pct"/>
            <w:gridSpan w:val="4"/>
          </w:tcPr>
          <w:p w:rsidR="004C625A" w:rsidRPr="001C7519" w:rsidRDefault="004C625A" w:rsidP="00843C56">
            <w:pPr>
              <w:jc w:val="both"/>
              <w:rPr>
                <w:sz w:val="20"/>
                <w:lang w:val="en-CA"/>
              </w:rPr>
            </w:pPr>
          </w:p>
        </w:tc>
      </w:tr>
      <w:tr w:rsidR="004C625A" w:rsidRPr="001C7519" w:rsidTr="004C625A">
        <w:tc>
          <w:tcPr>
            <w:tcW w:w="5000" w:type="pct"/>
            <w:gridSpan w:val="4"/>
          </w:tcPr>
          <w:p w:rsidR="004C625A" w:rsidRPr="001C7519" w:rsidRDefault="004C625A" w:rsidP="00843C56">
            <w:pPr>
              <w:jc w:val="both"/>
              <w:rPr>
                <w:sz w:val="20"/>
                <w:lang w:val="en-CA"/>
              </w:rPr>
            </w:pPr>
            <w:r w:rsidRPr="001C7519">
              <w:rPr>
                <w:sz w:val="20"/>
                <w:lang w:val="en-CA"/>
              </w:rPr>
              <w:t xml:space="preserve">The applicant, the Honourable Gérard Dugré, has been a judge of the Quebec Superior Court since January 2009. Complaints about him </w:t>
            </w:r>
            <w:proofErr w:type="gramStart"/>
            <w:r w:rsidRPr="001C7519">
              <w:rPr>
                <w:sz w:val="20"/>
                <w:lang w:val="en-CA"/>
              </w:rPr>
              <w:t>were filed</w:t>
            </w:r>
            <w:proofErr w:type="gramEnd"/>
            <w:r w:rsidRPr="001C7519">
              <w:rPr>
                <w:sz w:val="20"/>
                <w:lang w:val="en-CA"/>
              </w:rPr>
              <w:t xml:space="preserve"> with the Canadian Judicial Council. In </w:t>
            </w:r>
            <w:proofErr w:type="gramStart"/>
            <w:r w:rsidRPr="001C7519">
              <w:rPr>
                <w:sz w:val="20"/>
                <w:lang w:val="en-CA"/>
              </w:rPr>
              <w:t>general</w:t>
            </w:r>
            <w:proofErr w:type="gramEnd"/>
            <w:r w:rsidRPr="001C7519">
              <w:rPr>
                <w:sz w:val="20"/>
                <w:lang w:val="en-CA"/>
              </w:rPr>
              <w:t xml:space="preserve"> terms, the complaints concerned the failure by the applicant to render decisions in a timely manner as well as certain comments or statements that were considered inappropriate in the hearing context. The applicant filed five applications for judicial review of administrative decisions made during the various steps leading to an inquiry by the Inquiry Committee that </w:t>
            </w:r>
            <w:proofErr w:type="gramStart"/>
            <w:r w:rsidRPr="001C7519">
              <w:rPr>
                <w:sz w:val="20"/>
                <w:lang w:val="en-CA"/>
              </w:rPr>
              <w:t>may be formed</w:t>
            </w:r>
            <w:proofErr w:type="gramEnd"/>
            <w:r w:rsidRPr="001C7519">
              <w:rPr>
                <w:sz w:val="20"/>
                <w:lang w:val="en-CA"/>
              </w:rPr>
              <w:t xml:space="preserve"> by the Canadian Judicial Council under s. 63(3) of the </w:t>
            </w:r>
            <w:r w:rsidRPr="001C7519">
              <w:rPr>
                <w:i/>
                <w:sz w:val="20"/>
                <w:lang w:val="en-CA"/>
              </w:rPr>
              <w:t>Judges Act</w:t>
            </w:r>
            <w:r w:rsidRPr="001C7519">
              <w:rPr>
                <w:sz w:val="20"/>
                <w:lang w:val="en-CA" w:eastAsia="fr-CA"/>
              </w:rPr>
              <w:t>, R.S.C. 1985, c. J</w:t>
            </w:r>
            <w:r w:rsidRPr="001C7519">
              <w:rPr>
                <w:sz w:val="20"/>
                <w:lang w:val="en-CA" w:eastAsia="fr-CA"/>
              </w:rPr>
              <w:noBreakHyphen/>
              <w:t>1. The respondent, the Attorney General of Canada, filed motions to strike out each of the five applications for judicial review, mainly on the ground that they were all premature given the remedial recourses available through the administrative process itself. In three of the five review application files</w:t>
            </w:r>
            <w:r w:rsidRPr="001C7519">
              <w:rPr>
                <w:sz w:val="20"/>
                <w:lang w:val="en-CA"/>
              </w:rPr>
              <w:t xml:space="preserve">, the applicant also applied to the Federal Court for a stay of the inquiry by the Council’s Inquiry Committee into the two complaints that were the subject of the other two applications for judicial review, in which the notices of application </w:t>
            </w:r>
            <w:proofErr w:type="gramStart"/>
            <w:r w:rsidRPr="001C7519">
              <w:rPr>
                <w:sz w:val="20"/>
                <w:lang w:val="en-CA"/>
              </w:rPr>
              <w:t>were struck</w:t>
            </w:r>
            <w:proofErr w:type="gramEnd"/>
            <w:r w:rsidRPr="001C7519">
              <w:rPr>
                <w:sz w:val="20"/>
                <w:lang w:val="en-CA"/>
              </w:rPr>
              <w:t xml:space="preserve"> out</w:t>
            </w:r>
            <w:r w:rsidRPr="001C7519">
              <w:rPr>
                <w:sz w:val="20"/>
                <w:lang w:val="en-CA" w:eastAsia="fr-CA"/>
              </w:rPr>
              <w:t xml:space="preserve"> (</w:t>
            </w:r>
            <w:r w:rsidRPr="001C7519">
              <w:rPr>
                <w:i/>
                <w:sz w:val="20"/>
                <w:lang w:val="en-CA" w:eastAsia="fr-CA"/>
              </w:rPr>
              <w:t>Dugré v. Canada (Attorney General)</w:t>
            </w:r>
            <w:r w:rsidRPr="001C7519">
              <w:rPr>
                <w:sz w:val="20"/>
                <w:lang w:val="en-CA" w:eastAsia="fr-CA"/>
              </w:rPr>
              <w:t xml:space="preserve">, </w:t>
            </w:r>
            <w:hyperlink r:id="rId37" w:history="1">
              <w:r w:rsidRPr="001C7519">
                <w:rPr>
                  <w:rStyle w:val="Hyperlink"/>
                  <w:sz w:val="20"/>
                  <w:lang w:val="en-CA"/>
                </w:rPr>
                <w:t>2019 FC 1604</w:t>
              </w:r>
            </w:hyperlink>
            <w:r w:rsidRPr="001C7519">
              <w:rPr>
                <w:sz w:val="20"/>
                <w:lang w:val="en-CA" w:eastAsia="fr-CA"/>
              </w:rPr>
              <w:t xml:space="preserve">). The applicant argued that he could have the inquiry stayed because he was challenging, through judicial review, the Inquiry Committee’s decision to issue a notice of allegations to inform him of the allegations that would be the subject of the upcoming inquiry. </w:t>
            </w:r>
            <w:r w:rsidRPr="001C7519">
              <w:rPr>
                <w:sz w:val="20"/>
                <w:lang w:val="en-CA"/>
              </w:rPr>
              <w:t xml:space="preserve">The Federal Court dismissed the stay application. The Federal Court of Appeal dismissed the appeal. </w:t>
            </w:r>
          </w:p>
          <w:p w:rsidR="004C625A" w:rsidRPr="001C7519" w:rsidRDefault="004C625A" w:rsidP="00843C56">
            <w:pPr>
              <w:jc w:val="both"/>
              <w:rPr>
                <w:sz w:val="20"/>
                <w:lang w:val="en-CA"/>
              </w:rPr>
            </w:pPr>
          </w:p>
        </w:tc>
      </w:tr>
      <w:tr w:rsidR="004C625A" w:rsidRPr="001C7519" w:rsidTr="004C625A">
        <w:tc>
          <w:tcPr>
            <w:tcW w:w="2427" w:type="pct"/>
            <w:gridSpan w:val="2"/>
          </w:tcPr>
          <w:p w:rsidR="004C625A" w:rsidRPr="001C7519" w:rsidRDefault="004C625A" w:rsidP="00843C56">
            <w:pPr>
              <w:jc w:val="both"/>
              <w:rPr>
                <w:sz w:val="20"/>
                <w:lang w:val="en-CA"/>
              </w:rPr>
            </w:pPr>
            <w:r w:rsidRPr="001C7519">
              <w:rPr>
                <w:sz w:val="20"/>
                <w:lang w:val="en-CA"/>
              </w:rPr>
              <w:t>November 16, 2020</w:t>
            </w:r>
          </w:p>
          <w:p w:rsidR="004C625A" w:rsidRPr="001C7519" w:rsidRDefault="004C625A" w:rsidP="00843C56">
            <w:pPr>
              <w:jc w:val="both"/>
              <w:rPr>
                <w:sz w:val="20"/>
                <w:lang w:val="en-CA"/>
              </w:rPr>
            </w:pPr>
            <w:r w:rsidRPr="001C7519">
              <w:rPr>
                <w:sz w:val="20"/>
                <w:lang w:val="en-CA"/>
              </w:rPr>
              <w:t>Federal Court</w:t>
            </w:r>
          </w:p>
          <w:p w:rsidR="004C625A" w:rsidRPr="001C7519" w:rsidRDefault="004C625A" w:rsidP="00843C56">
            <w:pPr>
              <w:jc w:val="both"/>
              <w:rPr>
                <w:sz w:val="20"/>
                <w:lang w:val="en-CA"/>
              </w:rPr>
            </w:pPr>
            <w:r w:rsidRPr="001C7519">
              <w:rPr>
                <w:sz w:val="20"/>
                <w:lang w:val="en-CA"/>
              </w:rPr>
              <w:t>(Roy J.)</w:t>
            </w:r>
          </w:p>
          <w:p w:rsidR="004C625A" w:rsidRPr="001C7519" w:rsidRDefault="00E75919" w:rsidP="00843C56">
            <w:pPr>
              <w:jc w:val="both"/>
              <w:rPr>
                <w:sz w:val="20"/>
                <w:lang w:val="en-CA"/>
              </w:rPr>
            </w:pPr>
            <w:hyperlink r:id="rId38" w:history="1">
              <w:r w:rsidR="004C625A" w:rsidRPr="001C7519">
                <w:rPr>
                  <w:rStyle w:val="Hyperlink"/>
                  <w:sz w:val="20"/>
                  <w:lang w:val="en-CA"/>
                </w:rPr>
                <w:t>2020 FC 602</w:t>
              </w:r>
            </w:hyperlink>
          </w:p>
          <w:p w:rsidR="004C625A" w:rsidRPr="001C7519" w:rsidRDefault="004C625A" w:rsidP="00843C56">
            <w:pPr>
              <w:jc w:val="both"/>
              <w:rPr>
                <w:sz w:val="20"/>
                <w:lang w:val="en-CA"/>
              </w:rPr>
            </w:pPr>
          </w:p>
        </w:tc>
        <w:tc>
          <w:tcPr>
            <w:tcW w:w="243" w:type="pct"/>
          </w:tcPr>
          <w:p w:rsidR="004C625A" w:rsidRPr="001C7519" w:rsidRDefault="004C625A" w:rsidP="00843C56">
            <w:pPr>
              <w:jc w:val="both"/>
              <w:rPr>
                <w:sz w:val="20"/>
                <w:lang w:val="en-CA"/>
              </w:rPr>
            </w:pPr>
          </w:p>
        </w:tc>
        <w:tc>
          <w:tcPr>
            <w:tcW w:w="2330" w:type="pct"/>
          </w:tcPr>
          <w:p w:rsidR="004C625A" w:rsidRPr="001C7519" w:rsidRDefault="004C625A" w:rsidP="00843C56">
            <w:pPr>
              <w:jc w:val="both"/>
              <w:rPr>
                <w:sz w:val="20"/>
                <w:lang w:val="en-CA"/>
              </w:rPr>
            </w:pPr>
            <w:r w:rsidRPr="001C7519">
              <w:rPr>
                <w:sz w:val="20"/>
                <w:lang w:val="en-CA"/>
              </w:rPr>
              <w:t>Applications to stay Canadian Judicial Council’s inquiry into conduct of Honourable Gérard Dugré pending adjudication on merits of applications for judicial review in files T</w:t>
            </w:r>
            <w:r w:rsidRPr="001C7519">
              <w:rPr>
                <w:sz w:val="20"/>
                <w:lang w:val="en-CA"/>
              </w:rPr>
              <w:noBreakHyphen/>
              <w:t>1818</w:t>
            </w:r>
            <w:r w:rsidRPr="001C7519">
              <w:rPr>
                <w:sz w:val="20"/>
                <w:lang w:val="en-CA"/>
              </w:rPr>
              <w:noBreakHyphen/>
              <w:t>19, T</w:t>
            </w:r>
            <w:r w:rsidRPr="001C7519">
              <w:rPr>
                <w:sz w:val="20"/>
                <w:lang w:val="en-CA"/>
              </w:rPr>
              <w:noBreakHyphen/>
              <w:t>2010</w:t>
            </w:r>
            <w:r w:rsidRPr="001C7519">
              <w:rPr>
                <w:sz w:val="20"/>
                <w:lang w:val="en-CA"/>
              </w:rPr>
              <w:noBreakHyphen/>
              <w:t>19 and T</w:t>
            </w:r>
            <w:r w:rsidRPr="001C7519">
              <w:rPr>
                <w:sz w:val="20"/>
                <w:lang w:val="en-CA"/>
              </w:rPr>
              <w:noBreakHyphen/>
              <w:t>450</w:t>
            </w:r>
            <w:r w:rsidRPr="001C7519">
              <w:rPr>
                <w:sz w:val="20"/>
                <w:lang w:val="en-CA"/>
              </w:rPr>
              <w:noBreakHyphen/>
              <w:t>20 dismissed</w:t>
            </w:r>
          </w:p>
          <w:p w:rsidR="00843C56" w:rsidRPr="001C7519" w:rsidRDefault="00843C56" w:rsidP="00843C56">
            <w:pPr>
              <w:jc w:val="both"/>
              <w:rPr>
                <w:sz w:val="20"/>
                <w:lang w:val="en-CA"/>
              </w:rPr>
            </w:pPr>
          </w:p>
        </w:tc>
      </w:tr>
      <w:tr w:rsidR="004C625A" w:rsidRPr="001C7519" w:rsidTr="004C625A">
        <w:tc>
          <w:tcPr>
            <w:tcW w:w="2427" w:type="pct"/>
            <w:gridSpan w:val="2"/>
          </w:tcPr>
          <w:p w:rsidR="004C625A" w:rsidRPr="001C7519" w:rsidRDefault="004C625A" w:rsidP="00843C56">
            <w:pPr>
              <w:jc w:val="both"/>
              <w:rPr>
                <w:sz w:val="20"/>
                <w:lang w:val="en-CA"/>
              </w:rPr>
            </w:pPr>
            <w:r w:rsidRPr="001C7519">
              <w:rPr>
                <w:sz w:val="20"/>
                <w:lang w:val="en-CA"/>
              </w:rPr>
              <w:t>February 26, 2021</w:t>
            </w:r>
          </w:p>
          <w:p w:rsidR="004C625A" w:rsidRPr="001C7519" w:rsidRDefault="004C625A" w:rsidP="00843C56">
            <w:pPr>
              <w:jc w:val="both"/>
              <w:rPr>
                <w:sz w:val="20"/>
                <w:lang w:val="en-CA"/>
              </w:rPr>
            </w:pPr>
            <w:r w:rsidRPr="001C7519">
              <w:rPr>
                <w:sz w:val="20"/>
                <w:lang w:val="en-CA"/>
              </w:rPr>
              <w:t>Federal Court of Appeal</w:t>
            </w:r>
          </w:p>
          <w:p w:rsidR="004C625A" w:rsidRPr="001C7519" w:rsidRDefault="004C625A" w:rsidP="00843C56">
            <w:pPr>
              <w:jc w:val="both"/>
              <w:rPr>
                <w:sz w:val="20"/>
                <w:lang w:val="en-CA"/>
              </w:rPr>
            </w:pPr>
            <w:r w:rsidRPr="001C7519">
              <w:rPr>
                <w:sz w:val="20"/>
                <w:lang w:val="en-CA"/>
              </w:rPr>
              <w:t>(Noël, Rennie and LeBlanc JJ.A.)</w:t>
            </w:r>
          </w:p>
          <w:p w:rsidR="004C625A" w:rsidRPr="001C7519" w:rsidRDefault="00E75919" w:rsidP="00843C56">
            <w:pPr>
              <w:jc w:val="both"/>
              <w:rPr>
                <w:sz w:val="20"/>
                <w:lang w:val="en-CA"/>
              </w:rPr>
            </w:pPr>
            <w:hyperlink r:id="rId39" w:history="1">
              <w:r w:rsidR="004C625A" w:rsidRPr="001C7519">
                <w:rPr>
                  <w:rStyle w:val="Hyperlink"/>
                  <w:sz w:val="20"/>
                  <w:lang w:val="en-CA"/>
                </w:rPr>
                <w:t>2021 FCA 40</w:t>
              </w:r>
            </w:hyperlink>
          </w:p>
          <w:p w:rsidR="00843C56" w:rsidRPr="001C7519" w:rsidRDefault="00843C56" w:rsidP="00843C56">
            <w:pPr>
              <w:jc w:val="both"/>
              <w:rPr>
                <w:sz w:val="20"/>
                <w:lang w:val="en-CA"/>
              </w:rPr>
            </w:pPr>
          </w:p>
        </w:tc>
        <w:tc>
          <w:tcPr>
            <w:tcW w:w="243" w:type="pct"/>
          </w:tcPr>
          <w:p w:rsidR="004C625A" w:rsidRPr="001C7519" w:rsidRDefault="004C625A" w:rsidP="00843C56">
            <w:pPr>
              <w:jc w:val="both"/>
              <w:rPr>
                <w:sz w:val="20"/>
                <w:lang w:val="en-CA"/>
              </w:rPr>
            </w:pPr>
          </w:p>
        </w:tc>
        <w:tc>
          <w:tcPr>
            <w:tcW w:w="2330" w:type="pct"/>
          </w:tcPr>
          <w:p w:rsidR="004C625A" w:rsidRPr="001C7519" w:rsidRDefault="004C625A" w:rsidP="00843C56">
            <w:pPr>
              <w:jc w:val="both"/>
              <w:rPr>
                <w:sz w:val="20"/>
                <w:lang w:val="en-CA"/>
              </w:rPr>
            </w:pPr>
            <w:r w:rsidRPr="001C7519">
              <w:rPr>
                <w:sz w:val="20"/>
                <w:lang w:val="en-CA"/>
              </w:rPr>
              <w:t>Appeals dismissed</w:t>
            </w:r>
          </w:p>
          <w:p w:rsidR="004C625A" w:rsidRPr="001C7519" w:rsidRDefault="004C625A" w:rsidP="00843C56">
            <w:pPr>
              <w:jc w:val="both"/>
              <w:rPr>
                <w:sz w:val="20"/>
                <w:lang w:val="en-CA"/>
              </w:rPr>
            </w:pPr>
          </w:p>
        </w:tc>
      </w:tr>
      <w:tr w:rsidR="004C625A" w:rsidRPr="001C7519" w:rsidTr="004C625A">
        <w:tc>
          <w:tcPr>
            <w:tcW w:w="2427" w:type="pct"/>
            <w:gridSpan w:val="2"/>
          </w:tcPr>
          <w:p w:rsidR="004C625A" w:rsidRPr="001C7519" w:rsidRDefault="004C625A" w:rsidP="00843C56">
            <w:pPr>
              <w:jc w:val="both"/>
              <w:rPr>
                <w:sz w:val="20"/>
                <w:lang w:val="en-CA"/>
              </w:rPr>
            </w:pPr>
            <w:r w:rsidRPr="001C7519">
              <w:rPr>
                <w:sz w:val="20"/>
                <w:lang w:val="en-CA"/>
              </w:rPr>
              <w:t>April 26, 2021</w:t>
            </w:r>
          </w:p>
          <w:p w:rsidR="004C625A" w:rsidRPr="001C7519" w:rsidRDefault="004C625A" w:rsidP="00843C56">
            <w:pPr>
              <w:jc w:val="both"/>
              <w:rPr>
                <w:sz w:val="20"/>
                <w:lang w:val="en-CA"/>
              </w:rPr>
            </w:pPr>
            <w:r w:rsidRPr="001C7519">
              <w:rPr>
                <w:sz w:val="20"/>
                <w:lang w:val="en-CA"/>
              </w:rPr>
              <w:t>Supreme Court of Canada</w:t>
            </w:r>
          </w:p>
        </w:tc>
        <w:tc>
          <w:tcPr>
            <w:tcW w:w="243" w:type="pct"/>
          </w:tcPr>
          <w:p w:rsidR="004C625A" w:rsidRPr="001C7519" w:rsidRDefault="004C625A" w:rsidP="00843C56">
            <w:pPr>
              <w:jc w:val="both"/>
              <w:rPr>
                <w:sz w:val="20"/>
                <w:lang w:val="en-CA"/>
              </w:rPr>
            </w:pPr>
          </w:p>
        </w:tc>
        <w:tc>
          <w:tcPr>
            <w:tcW w:w="2330" w:type="pct"/>
          </w:tcPr>
          <w:p w:rsidR="004C625A" w:rsidRPr="001C7519" w:rsidRDefault="004C625A" w:rsidP="00843C56">
            <w:pPr>
              <w:jc w:val="both"/>
              <w:rPr>
                <w:sz w:val="20"/>
                <w:lang w:val="en-CA"/>
              </w:rPr>
            </w:pPr>
            <w:r w:rsidRPr="001C7519">
              <w:rPr>
                <w:sz w:val="20"/>
                <w:lang w:val="en-CA"/>
              </w:rPr>
              <w:t>Application for leave to appeal filed</w:t>
            </w:r>
          </w:p>
          <w:p w:rsidR="004C625A" w:rsidRPr="001C7519" w:rsidRDefault="004C625A" w:rsidP="00843C56">
            <w:pPr>
              <w:jc w:val="both"/>
              <w:rPr>
                <w:sz w:val="20"/>
                <w:lang w:val="en-CA"/>
              </w:rPr>
            </w:pPr>
          </w:p>
        </w:tc>
      </w:tr>
    </w:tbl>
    <w:p w:rsidR="004C625A" w:rsidRPr="001C7519" w:rsidRDefault="004C625A" w:rsidP="00843C56">
      <w:pPr>
        <w:jc w:val="both"/>
        <w:rPr>
          <w:sz w:val="20"/>
          <w:lang w:val="en-CA"/>
        </w:rPr>
      </w:pPr>
    </w:p>
    <w:p w:rsidR="00843C56" w:rsidRPr="001C7519" w:rsidRDefault="00E75919" w:rsidP="00843C56">
      <w:pPr>
        <w:jc w:val="both"/>
        <w:rPr>
          <w:sz w:val="20"/>
          <w:lang w:val="en-CA"/>
        </w:rPr>
      </w:pPr>
      <w:r>
        <w:rPr>
          <w:sz w:val="20"/>
        </w:rPr>
        <w:pict>
          <v:rect id="_x0000_i1035" style="width:2in;height:1pt" o:hrpct="0" o:hralign="center" o:hrstd="t" o:hrnoshade="t" o:hr="t" fillcolor="black [3213]" stroked="f"/>
        </w:pict>
      </w:r>
    </w:p>
    <w:p w:rsidR="00843C56" w:rsidRPr="001C7519" w:rsidRDefault="00843C56" w:rsidP="00843C5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25A" w:rsidRPr="001C7519" w:rsidTr="004C625A">
        <w:tc>
          <w:tcPr>
            <w:tcW w:w="543" w:type="pct"/>
          </w:tcPr>
          <w:p w:rsidR="004C625A" w:rsidRPr="001C7519" w:rsidRDefault="004C625A" w:rsidP="00843C56">
            <w:pPr>
              <w:jc w:val="both"/>
              <w:rPr>
                <w:sz w:val="20"/>
              </w:rPr>
            </w:pPr>
            <w:r w:rsidRPr="001C7519">
              <w:rPr>
                <w:rStyle w:val="SCCFileNumberChar"/>
                <w:sz w:val="20"/>
                <w:szCs w:val="20"/>
              </w:rPr>
              <w:t>39636</w:t>
            </w:r>
          </w:p>
        </w:tc>
        <w:tc>
          <w:tcPr>
            <w:tcW w:w="4457" w:type="pct"/>
            <w:gridSpan w:val="3"/>
          </w:tcPr>
          <w:p w:rsidR="004C625A" w:rsidRPr="001C7519" w:rsidRDefault="004C625A" w:rsidP="00843C56">
            <w:pPr>
              <w:pStyle w:val="SCCLsocParty"/>
              <w:jc w:val="both"/>
              <w:rPr>
                <w:b/>
                <w:sz w:val="20"/>
                <w:szCs w:val="20"/>
              </w:rPr>
            </w:pPr>
            <w:r w:rsidRPr="001C7519">
              <w:rPr>
                <w:b/>
                <w:sz w:val="20"/>
                <w:szCs w:val="20"/>
              </w:rPr>
              <w:t>Honorable Gérard Dugré c. Procureur général du Canada</w:t>
            </w:r>
          </w:p>
          <w:p w:rsidR="004C625A" w:rsidRPr="001C7519" w:rsidRDefault="004C625A" w:rsidP="00843C56">
            <w:pPr>
              <w:jc w:val="both"/>
              <w:rPr>
                <w:sz w:val="20"/>
                <w:lang w:val="fr-CA"/>
              </w:rPr>
            </w:pPr>
            <w:r w:rsidRPr="001C7519">
              <w:rPr>
                <w:sz w:val="20"/>
                <w:lang w:val="fr-CA"/>
              </w:rPr>
              <w:t>(C</w:t>
            </w:r>
            <w:r w:rsidR="00843C56" w:rsidRPr="001C7519">
              <w:rPr>
                <w:sz w:val="20"/>
                <w:lang w:val="fr-CA"/>
              </w:rPr>
              <w:t>.</w:t>
            </w:r>
            <w:r w:rsidRPr="001C7519">
              <w:rPr>
                <w:sz w:val="20"/>
                <w:lang w:val="fr-CA"/>
              </w:rPr>
              <w:t>F</w:t>
            </w:r>
            <w:r w:rsidR="00843C56" w:rsidRPr="001C7519">
              <w:rPr>
                <w:sz w:val="20"/>
                <w:lang w:val="fr-CA"/>
              </w:rPr>
              <w:t>.) (Civile) (Autorisation)</w:t>
            </w:r>
          </w:p>
        </w:tc>
      </w:tr>
      <w:tr w:rsidR="004C625A" w:rsidRPr="00E75919" w:rsidTr="004C625A">
        <w:tc>
          <w:tcPr>
            <w:tcW w:w="5000" w:type="pct"/>
            <w:gridSpan w:val="4"/>
          </w:tcPr>
          <w:p w:rsidR="004C625A" w:rsidRPr="001C7519" w:rsidRDefault="004C625A" w:rsidP="00843C56">
            <w:pPr>
              <w:jc w:val="both"/>
              <w:rPr>
                <w:sz w:val="20"/>
                <w:lang w:val="fr-CA"/>
              </w:rPr>
            </w:pPr>
            <w:r w:rsidRPr="001C7519">
              <w:rPr>
                <w:sz w:val="20"/>
                <w:lang w:val="fr-CA"/>
              </w:rPr>
              <w:t xml:space="preserve">Droit administratif </w:t>
            </w:r>
            <w:r w:rsidRPr="001C7519">
              <w:rPr>
                <w:sz w:val="20"/>
              </w:rPr>
              <w:t>⸺</w:t>
            </w:r>
            <w:r w:rsidRPr="001C7519">
              <w:rPr>
                <w:sz w:val="20"/>
                <w:lang w:val="fr-CA"/>
              </w:rPr>
              <w:t xml:space="preserve"> Contrôle judiciaire </w:t>
            </w:r>
            <w:r w:rsidRPr="001C7519">
              <w:rPr>
                <w:sz w:val="20"/>
              </w:rPr>
              <w:t>⸺</w:t>
            </w:r>
            <w:r w:rsidRPr="001C7519">
              <w:rPr>
                <w:sz w:val="20"/>
                <w:lang w:val="fr-CA"/>
              </w:rPr>
              <w:t xml:space="preserve"> Demande de sursis </w:t>
            </w:r>
            <w:r w:rsidRPr="001C7519">
              <w:rPr>
                <w:sz w:val="20"/>
              </w:rPr>
              <w:t>⸺</w:t>
            </w:r>
            <w:r w:rsidRPr="001C7519">
              <w:rPr>
                <w:sz w:val="20"/>
                <w:lang w:val="fr-CA"/>
              </w:rPr>
              <w:t xml:space="preserve"> Processus d’enquête dans le cadre du dépôt de plaintes déontologiques devant le Conseil canadien magistrature </w:t>
            </w:r>
            <w:r w:rsidRPr="001C7519">
              <w:rPr>
                <w:sz w:val="20"/>
              </w:rPr>
              <w:t>⸺</w:t>
            </w:r>
            <w:r w:rsidRPr="001C7519">
              <w:rPr>
                <w:sz w:val="20"/>
                <w:lang w:val="fr-CA"/>
              </w:rPr>
              <w:t xml:space="preserve"> Quel est le critère applicable au sursis ou à la suspension d’une enquête? </w:t>
            </w:r>
            <w:r w:rsidRPr="001C7519">
              <w:rPr>
                <w:sz w:val="20"/>
              </w:rPr>
              <w:t>⸺</w:t>
            </w:r>
            <w:r w:rsidRPr="001C7519">
              <w:rPr>
                <w:sz w:val="20"/>
                <w:lang w:val="fr-CA"/>
              </w:rPr>
              <w:t xml:space="preserve"> </w:t>
            </w:r>
            <w:proofErr w:type="gramStart"/>
            <w:r w:rsidRPr="001C7519">
              <w:rPr>
                <w:sz w:val="20"/>
                <w:lang w:val="fr-CA"/>
              </w:rPr>
              <w:t>Dans</w:t>
            </w:r>
            <w:proofErr w:type="gramEnd"/>
            <w:r w:rsidRPr="001C7519">
              <w:rPr>
                <w:sz w:val="20"/>
                <w:lang w:val="fr-CA"/>
              </w:rPr>
              <w:t xml:space="preserve"> quelle mesure la doctrine de la prématurité peut</w:t>
            </w:r>
            <w:r w:rsidRPr="001C7519">
              <w:rPr>
                <w:sz w:val="20"/>
                <w:lang w:val="fr-CA"/>
              </w:rPr>
              <w:noBreakHyphen/>
              <w:t xml:space="preserve">elle être prise en compte dans l’application de ce critère? </w:t>
            </w:r>
            <w:r w:rsidRPr="001C7519">
              <w:rPr>
                <w:sz w:val="20"/>
              </w:rPr>
              <w:t>⸺</w:t>
            </w:r>
            <w:r w:rsidRPr="001C7519">
              <w:rPr>
                <w:sz w:val="20"/>
                <w:lang w:val="fr-CA"/>
              </w:rPr>
              <w:t xml:space="preserve"> Quels sont les enseignements découlant du l’arrêt </w:t>
            </w:r>
            <w:r w:rsidRPr="001C7519">
              <w:rPr>
                <w:i/>
                <w:sz w:val="20"/>
                <w:lang w:val="fr-CA"/>
              </w:rPr>
              <w:t>Halifax (Regional Municipality) c. Nouvelle</w:t>
            </w:r>
            <w:r w:rsidRPr="001C7519">
              <w:rPr>
                <w:i/>
                <w:sz w:val="20"/>
                <w:lang w:val="fr-CA"/>
              </w:rPr>
              <w:noBreakHyphen/>
              <w:t xml:space="preserve">Écosse (Human Rights Commission), </w:t>
            </w:r>
            <w:r w:rsidRPr="001C7519">
              <w:rPr>
                <w:sz w:val="20"/>
                <w:lang w:val="fr-CA"/>
              </w:rPr>
              <w:t xml:space="preserve">[2012] 1 R.C.S. 364 rendue par la Cour suprême? </w:t>
            </w:r>
            <w:r w:rsidRPr="001C7519">
              <w:rPr>
                <w:sz w:val="20"/>
              </w:rPr>
              <w:t>⸺</w:t>
            </w:r>
            <w:r w:rsidRPr="001C7519">
              <w:rPr>
                <w:sz w:val="20"/>
                <w:lang w:val="fr-CA"/>
              </w:rPr>
              <w:t xml:space="preserve"> Une Cour d’appel a</w:t>
            </w:r>
            <w:r w:rsidRPr="001C7519">
              <w:rPr>
                <w:sz w:val="20"/>
                <w:lang w:val="fr-CA"/>
              </w:rPr>
              <w:noBreakHyphen/>
              <w:t>t</w:t>
            </w:r>
            <w:r w:rsidRPr="001C7519">
              <w:rPr>
                <w:sz w:val="20"/>
                <w:lang w:val="fr-CA"/>
              </w:rPr>
              <w:noBreakHyphen/>
              <w:t xml:space="preserve">elle le pouvoir de rejeter sans l’entendre un appel de plein droit, procéduralement conforme et prêt à être entendu? </w:t>
            </w:r>
            <w:r w:rsidRPr="001C7519">
              <w:rPr>
                <w:sz w:val="20"/>
              </w:rPr>
              <w:t>⸺</w:t>
            </w:r>
            <w:r w:rsidRPr="001C7519">
              <w:rPr>
                <w:sz w:val="20"/>
                <w:lang w:val="fr-CA"/>
              </w:rPr>
              <w:t xml:space="preserve"> </w:t>
            </w:r>
            <w:r w:rsidRPr="001C7519">
              <w:rPr>
                <w:i/>
                <w:sz w:val="20"/>
                <w:lang w:val="fr-CA"/>
              </w:rPr>
              <w:t>Loi sur les Cours fédérales</w:t>
            </w:r>
            <w:r w:rsidRPr="001C7519">
              <w:rPr>
                <w:sz w:val="20"/>
                <w:lang w:val="fr-CA"/>
              </w:rPr>
              <w:t>, L.R.C. 1985, c. F</w:t>
            </w:r>
            <w:r w:rsidRPr="001C7519">
              <w:rPr>
                <w:sz w:val="20"/>
                <w:lang w:val="fr-CA"/>
              </w:rPr>
              <w:noBreakHyphen/>
              <w:t>7, art. 18.2.</w:t>
            </w:r>
          </w:p>
        </w:tc>
      </w:tr>
      <w:tr w:rsidR="004C625A" w:rsidRPr="00E75919" w:rsidTr="004C625A">
        <w:tc>
          <w:tcPr>
            <w:tcW w:w="5000" w:type="pct"/>
            <w:gridSpan w:val="4"/>
          </w:tcPr>
          <w:p w:rsidR="004C625A" w:rsidRPr="001C7519" w:rsidRDefault="004C625A" w:rsidP="00843C56">
            <w:pPr>
              <w:jc w:val="both"/>
              <w:rPr>
                <w:sz w:val="20"/>
                <w:lang w:val="fr-CA"/>
              </w:rPr>
            </w:pPr>
          </w:p>
        </w:tc>
      </w:tr>
      <w:tr w:rsidR="004C625A" w:rsidRPr="001C7519" w:rsidTr="004C625A">
        <w:tc>
          <w:tcPr>
            <w:tcW w:w="5000" w:type="pct"/>
            <w:gridSpan w:val="4"/>
          </w:tcPr>
          <w:p w:rsidR="004C625A" w:rsidRPr="001C7519" w:rsidRDefault="004C625A" w:rsidP="00843C56">
            <w:pPr>
              <w:jc w:val="both"/>
              <w:rPr>
                <w:sz w:val="20"/>
              </w:rPr>
            </w:pPr>
            <w:r w:rsidRPr="001C7519">
              <w:rPr>
                <w:sz w:val="20"/>
                <w:lang w:val="fr-CA"/>
              </w:rPr>
              <w:t xml:space="preserve">Le demandeur, l’Honorable Gérard Dugré est juge à la Cour supérieure du Québec depuis janvier 2009. Il a fait l’objet de plaintes devant le Conseil canadien de la magistrature. Dans leurs généralités, ces plaintes sont relatives au défaut de la part du demandeur de rendre des décisions dans un délai opportun et à certains commentaires ou propos qualifiés d’inappropriés dans le contexte d’audiences. Le demandeur a déposé cinq demandes de contrôle judiciaire relativement à des décisions administratives qui ont été prises au cours des différentes étapes devant mener à l’enquête du Comité d’enquête que le Conseil canadien de la magistrature peut constituer en vertu du par. 63(3) de la </w:t>
            </w:r>
            <w:r w:rsidRPr="001C7519">
              <w:rPr>
                <w:i/>
                <w:sz w:val="20"/>
                <w:lang w:val="fr-FR" w:eastAsia="fr-CA"/>
              </w:rPr>
              <w:t>Loi sur les juges</w:t>
            </w:r>
            <w:r w:rsidRPr="001C7519">
              <w:rPr>
                <w:sz w:val="20"/>
                <w:lang w:val="fr-FR" w:eastAsia="fr-CA"/>
              </w:rPr>
              <w:t>, LRC 1985, c J</w:t>
            </w:r>
            <w:r w:rsidRPr="001C7519">
              <w:rPr>
                <w:sz w:val="20"/>
                <w:lang w:val="fr-FR" w:eastAsia="fr-CA"/>
              </w:rPr>
              <w:noBreakHyphen/>
              <w:t>1. L’intimé, le Procureur général du Canada, a déposé pour chacune des cinq demandes de contrôle judiciaire une requête en radiation au motif principal qu’elles seraient toutes prématurées eu égard aux voies de recours offerts par le processus administratif lui</w:t>
            </w:r>
            <w:r w:rsidRPr="001C7519">
              <w:rPr>
                <w:sz w:val="20"/>
                <w:lang w:val="fr-FR" w:eastAsia="fr-CA"/>
              </w:rPr>
              <w:noBreakHyphen/>
              <w:t>même. Dans le cadre de trois des cinq dossiers de demandes de contrôle</w:t>
            </w:r>
            <w:r w:rsidRPr="001C7519">
              <w:rPr>
                <w:sz w:val="20"/>
                <w:lang w:val="fr-CA"/>
              </w:rPr>
              <w:t xml:space="preserve">, le </w:t>
            </w:r>
            <w:r w:rsidRPr="001C7519">
              <w:rPr>
                <w:sz w:val="20"/>
                <w:lang w:val="fr-FR" w:eastAsia="fr-CA"/>
              </w:rPr>
              <w:t>demandeur a également formulé auprès de la Cour fédérale une demande de sursis de l’enquête par le Comité d’enquête du Conseil à l’endroit des deux plaintes ayant fait l’objet des deux autres demandes de contrôle judiciaire et dont les avis de demandes ont été radiés (</w:t>
            </w:r>
            <w:r w:rsidRPr="001C7519">
              <w:rPr>
                <w:i/>
                <w:sz w:val="20"/>
                <w:lang w:val="fr-FR" w:eastAsia="fr-CA"/>
              </w:rPr>
              <w:t>Dugré c. Canada (Procureur Général)</w:t>
            </w:r>
            <w:r w:rsidRPr="001C7519">
              <w:rPr>
                <w:sz w:val="20"/>
                <w:lang w:val="fr-FR" w:eastAsia="fr-CA"/>
              </w:rPr>
              <w:t xml:space="preserve">, </w:t>
            </w:r>
            <w:hyperlink r:id="rId40" w:history="1">
              <w:r w:rsidRPr="001C7519">
                <w:rPr>
                  <w:rStyle w:val="Hyperlink"/>
                  <w:sz w:val="20"/>
                  <w:lang w:val="fr-CA"/>
                </w:rPr>
                <w:t>2019 CF 1604</w:t>
              </w:r>
            </w:hyperlink>
            <w:r w:rsidRPr="001C7519">
              <w:rPr>
                <w:sz w:val="20"/>
                <w:lang w:val="fr-CA" w:eastAsia="fr-CA"/>
              </w:rPr>
              <w:t>).</w:t>
            </w:r>
            <w:r w:rsidRPr="001C7519">
              <w:rPr>
                <w:sz w:val="20"/>
                <w:lang w:val="fr-FR" w:eastAsia="fr-CA"/>
              </w:rPr>
              <w:t xml:space="preserve"> Le demandeur prétend pouvoir obtenir le sursis de l’enquête parce qu’il conteste par voie de contrôle judiciaire la décision du Comité d’enquête d’avoir émis l’avis d’allégations qui a pour but de l’informer des allégations qui feront l’objet de l’enquête à venir. </w:t>
            </w:r>
            <w:r w:rsidRPr="001C7519">
              <w:rPr>
                <w:sz w:val="20"/>
                <w:lang w:val="fr-CA"/>
              </w:rPr>
              <w:t xml:space="preserve">La Cour fédérale a rejeté la demande pour obtention d’un sursis. </w:t>
            </w:r>
            <w:r w:rsidRPr="001C7519">
              <w:rPr>
                <w:sz w:val="20"/>
              </w:rPr>
              <w:t xml:space="preserve">La Cour d’appel fédérale a rejeté l’appel. </w:t>
            </w:r>
          </w:p>
          <w:p w:rsidR="004C625A" w:rsidRPr="001C7519" w:rsidRDefault="004C625A" w:rsidP="00843C56">
            <w:pPr>
              <w:jc w:val="both"/>
              <w:rPr>
                <w:sz w:val="20"/>
              </w:rPr>
            </w:pPr>
          </w:p>
        </w:tc>
      </w:tr>
      <w:tr w:rsidR="004C625A" w:rsidRPr="00E75919" w:rsidTr="004C625A">
        <w:tc>
          <w:tcPr>
            <w:tcW w:w="2427" w:type="pct"/>
            <w:gridSpan w:val="2"/>
          </w:tcPr>
          <w:p w:rsidR="004C625A" w:rsidRPr="001C7519" w:rsidRDefault="004C625A" w:rsidP="00843C56">
            <w:pPr>
              <w:jc w:val="both"/>
              <w:rPr>
                <w:sz w:val="20"/>
                <w:lang w:val="fr-CA"/>
              </w:rPr>
            </w:pPr>
            <w:r w:rsidRPr="001C7519">
              <w:rPr>
                <w:sz w:val="20"/>
                <w:lang w:val="fr-CA"/>
              </w:rPr>
              <w:t>Le 16 novembre 2020</w:t>
            </w:r>
          </w:p>
          <w:p w:rsidR="004C625A" w:rsidRPr="001C7519" w:rsidRDefault="004C625A" w:rsidP="00843C56">
            <w:pPr>
              <w:jc w:val="both"/>
              <w:rPr>
                <w:sz w:val="20"/>
                <w:lang w:val="fr-CA"/>
              </w:rPr>
            </w:pPr>
            <w:r w:rsidRPr="001C7519">
              <w:rPr>
                <w:sz w:val="20"/>
                <w:lang w:val="fr-CA"/>
              </w:rPr>
              <w:t>Cour fédérale</w:t>
            </w:r>
          </w:p>
          <w:p w:rsidR="004C625A" w:rsidRPr="001C7519" w:rsidRDefault="004C625A" w:rsidP="00843C56">
            <w:pPr>
              <w:jc w:val="both"/>
              <w:rPr>
                <w:sz w:val="20"/>
                <w:lang w:val="fr-CA"/>
              </w:rPr>
            </w:pPr>
            <w:r w:rsidRPr="001C7519">
              <w:rPr>
                <w:sz w:val="20"/>
                <w:lang w:val="fr-CA"/>
              </w:rPr>
              <w:t>(Le juge Roy)</w:t>
            </w:r>
          </w:p>
          <w:p w:rsidR="004C625A" w:rsidRPr="001C7519" w:rsidRDefault="00E75919" w:rsidP="00843C56">
            <w:pPr>
              <w:jc w:val="both"/>
              <w:rPr>
                <w:sz w:val="20"/>
              </w:rPr>
            </w:pPr>
            <w:hyperlink r:id="rId41" w:history="1">
              <w:r w:rsidR="004C625A" w:rsidRPr="001C7519">
                <w:rPr>
                  <w:rStyle w:val="Hyperlink"/>
                  <w:sz w:val="20"/>
                </w:rPr>
                <w:t>2020 CF 602</w:t>
              </w:r>
            </w:hyperlink>
          </w:p>
          <w:p w:rsidR="004C625A" w:rsidRPr="001C7519" w:rsidRDefault="004C625A" w:rsidP="00843C56">
            <w:pPr>
              <w:jc w:val="both"/>
              <w:rPr>
                <w:sz w:val="20"/>
              </w:rPr>
            </w:pPr>
          </w:p>
        </w:tc>
        <w:tc>
          <w:tcPr>
            <w:tcW w:w="243" w:type="pct"/>
          </w:tcPr>
          <w:p w:rsidR="004C625A" w:rsidRPr="001C7519" w:rsidRDefault="004C625A" w:rsidP="00843C56">
            <w:pPr>
              <w:jc w:val="both"/>
              <w:rPr>
                <w:sz w:val="20"/>
              </w:rPr>
            </w:pPr>
          </w:p>
        </w:tc>
        <w:tc>
          <w:tcPr>
            <w:tcW w:w="2330" w:type="pct"/>
          </w:tcPr>
          <w:p w:rsidR="004C625A" w:rsidRPr="001C7519" w:rsidRDefault="004C625A" w:rsidP="00843C56">
            <w:pPr>
              <w:jc w:val="both"/>
              <w:rPr>
                <w:sz w:val="20"/>
                <w:lang w:val="fr-CA"/>
              </w:rPr>
            </w:pPr>
            <w:r w:rsidRPr="001C7519">
              <w:rPr>
                <w:sz w:val="20"/>
                <w:lang w:val="fr-CA"/>
              </w:rPr>
              <w:t>Demandes pour obtention d’un sursis à être imposé aux travaux du Conseil canadien de la magistrature sur la conduite du l’Honorable Gérard Dugré jusqu’à l’adjudication au mérite des demandes de contrôle judiciaire aux dossiers T</w:t>
            </w:r>
            <w:r w:rsidRPr="001C7519">
              <w:rPr>
                <w:sz w:val="20"/>
                <w:lang w:val="fr-CA"/>
              </w:rPr>
              <w:noBreakHyphen/>
              <w:t>1818</w:t>
            </w:r>
            <w:r w:rsidRPr="001C7519">
              <w:rPr>
                <w:sz w:val="20"/>
                <w:lang w:val="fr-CA"/>
              </w:rPr>
              <w:noBreakHyphen/>
              <w:t xml:space="preserve">19, </w:t>
            </w:r>
            <w:r w:rsidR="00843C56" w:rsidRPr="001C7519">
              <w:rPr>
                <w:sz w:val="20"/>
                <w:lang w:val="fr-CA"/>
              </w:rPr>
              <w:t>T</w:t>
            </w:r>
            <w:r w:rsidR="00843C56" w:rsidRPr="001C7519">
              <w:rPr>
                <w:sz w:val="20"/>
                <w:lang w:val="fr-CA"/>
              </w:rPr>
              <w:noBreakHyphen/>
              <w:t>2010</w:t>
            </w:r>
            <w:r w:rsidR="00843C56" w:rsidRPr="001C7519">
              <w:rPr>
                <w:sz w:val="20"/>
                <w:lang w:val="fr-CA"/>
              </w:rPr>
              <w:noBreakHyphen/>
              <w:t>19 et T</w:t>
            </w:r>
            <w:r w:rsidR="00843C56" w:rsidRPr="001C7519">
              <w:rPr>
                <w:sz w:val="20"/>
                <w:lang w:val="fr-CA"/>
              </w:rPr>
              <w:noBreakHyphen/>
              <w:t>450</w:t>
            </w:r>
            <w:r w:rsidR="00843C56" w:rsidRPr="001C7519">
              <w:rPr>
                <w:sz w:val="20"/>
                <w:lang w:val="fr-CA"/>
              </w:rPr>
              <w:noBreakHyphen/>
              <w:t>20 rejetées.</w:t>
            </w:r>
          </w:p>
          <w:p w:rsidR="00843C56" w:rsidRPr="001C7519" w:rsidRDefault="00843C56" w:rsidP="00843C56">
            <w:pPr>
              <w:jc w:val="both"/>
              <w:rPr>
                <w:sz w:val="20"/>
                <w:lang w:val="fr-CA"/>
              </w:rPr>
            </w:pPr>
          </w:p>
        </w:tc>
      </w:tr>
      <w:tr w:rsidR="004C625A" w:rsidRPr="001C7519" w:rsidTr="004C625A">
        <w:tc>
          <w:tcPr>
            <w:tcW w:w="2427" w:type="pct"/>
            <w:gridSpan w:val="2"/>
          </w:tcPr>
          <w:p w:rsidR="004C625A" w:rsidRPr="001C7519" w:rsidRDefault="004C625A" w:rsidP="00843C56">
            <w:pPr>
              <w:jc w:val="both"/>
              <w:rPr>
                <w:sz w:val="20"/>
                <w:lang w:val="fr-CA"/>
              </w:rPr>
            </w:pPr>
            <w:r w:rsidRPr="001C7519">
              <w:rPr>
                <w:sz w:val="20"/>
                <w:lang w:val="fr-CA"/>
              </w:rPr>
              <w:t>Le 26 février 2021</w:t>
            </w:r>
          </w:p>
          <w:p w:rsidR="004C625A" w:rsidRPr="001C7519" w:rsidRDefault="004C625A" w:rsidP="00843C56">
            <w:pPr>
              <w:jc w:val="both"/>
              <w:rPr>
                <w:sz w:val="20"/>
                <w:lang w:val="fr-CA"/>
              </w:rPr>
            </w:pPr>
            <w:r w:rsidRPr="001C7519">
              <w:rPr>
                <w:sz w:val="20"/>
                <w:lang w:val="fr-CA"/>
              </w:rPr>
              <w:t>Cour d’appel fédérale</w:t>
            </w:r>
          </w:p>
          <w:p w:rsidR="004C625A" w:rsidRPr="001C7519" w:rsidRDefault="004C625A" w:rsidP="00843C56">
            <w:pPr>
              <w:jc w:val="both"/>
              <w:rPr>
                <w:sz w:val="20"/>
                <w:lang w:val="fr-CA"/>
              </w:rPr>
            </w:pPr>
            <w:r w:rsidRPr="001C7519">
              <w:rPr>
                <w:sz w:val="20"/>
                <w:lang w:val="fr-CA"/>
              </w:rPr>
              <w:t>(Les juges Noël, Rennie et LeBlanc)</w:t>
            </w:r>
          </w:p>
          <w:p w:rsidR="004C625A" w:rsidRPr="001C7519" w:rsidRDefault="00E75919" w:rsidP="00843C56">
            <w:pPr>
              <w:jc w:val="both"/>
              <w:rPr>
                <w:sz w:val="20"/>
              </w:rPr>
            </w:pPr>
            <w:hyperlink r:id="rId42" w:history="1">
              <w:r w:rsidR="004C625A" w:rsidRPr="001C7519">
                <w:rPr>
                  <w:rStyle w:val="Hyperlink"/>
                  <w:sz w:val="20"/>
                </w:rPr>
                <w:t>2021 CAF 40</w:t>
              </w:r>
            </w:hyperlink>
          </w:p>
          <w:p w:rsidR="00843C56" w:rsidRPr="001C7519" w:rsidRDefault="00843C56" w:rsidP="00843C56">
            <w:pPr>
              <w:jc w:val="both"/>
              <w:rPr>
                <w:sz w:val="20"/>
              </w:rPr>
            </w:pPr>
          </w:p>
        </w:tc>
        <w:tc>
          <w:tcPr>
            <w:tcW w:w="243" w:type="pct"/>
          </w:tcPr>
          <w:p w:rsidR="004C625A" w:rsidRPr="001C7519" w:rsidRDefault="004C625A" w:rsidP="00843C56">
            <w:pPr>
              <w:jc w:val="both"/>
              <w:rPr>
                <w:sz w:val="20"/>
              </w:rPr>
            </w:pPr>
          </w:p>
        </w:tc>
        <w:tc>
          <w:tcPr>
            <w:tcW w:w="2330" w:type="pct"/>
          </w:tcPr>
          <w:p w:rsidR="004C625A" w:rsidRPr="001C7519" w:rsidRDefault="004C625A" w:rsidP="00843C56">
            <w:pPr>
              <w:jc w:val="both"/>
              <w:rPr>
                <w:sz w:val="20"/>
              </w:rPr>
            </w:pPr>
            <w:r w:rsidRPr="001C7519">
              <w:rPr>
                <w:sz w:val="20"/>
              </w:rPr>
              <w:t>Appels rejetés.</w:t>
            </w:r>
          </w:p>
          <w:p w:rsidR="004C625A" w:rsidRPr="001C7519" w:rsidRDefault="004C625A" w:rsidP="00843C56">
            <w:pPr>
              <w:jc w:val="both"/>
              <w:rPr>
                <w:sz w:val="20"/>
              </w:rPr>
            </w:pPr>
          </w:p>
        </w:tc>
      </w:tr>
      <w:tr w:rsidR="004C625A" w:rsidRPr="001C7519" w:rsidTr="004C625A">
        <w:tc>
          <w:tcPr>
            <w:tcW w:w="2427" w:type="pct"/>
            <w:gridSpan w:val="2"/>
          </w:tcPr>
          <w:p w:rsidR="004C625A" w:rsidRPr="001C7519" w:rsidRDefault="004C625A" w:rsidP="00843C56">
            <w:pPr>
              <w:jc w:val="both"/>
              <w:rPr>
                <w:sz w:val="20"/>
                <w:lang w:val="fr-CA"/>
              </w:rPr>
            </w:pPr>
            <w:r w:rsidRPr="001C7519">
              <w:rPr>
                <w:sz w:val="20"/>
                <w:lang w:val="fr-CA"/>
              </w:rPr>
              <w:t>Le 26 avril 2021</w:t>
            </w:r>
          </w:p>
          <w:p w:rsidR="004C625A" w:rsidRPr="001C7519" w:rsidRDefault="004C625A" w:rsidP="00843C56">
            <w:pPr>
              <w:jc w:val="both"/>
              <w:rPr>
                <w:sz w:val="20"/>
                <w:lang w:val="fr-CA"/>
              </w:rPr>
            </w:pPr>
            <w:r w:rsidRPr="001C7519">
              <w:rPr>
                <w:sz w:val="20"/>
                <w:lang w:val="fr-CA"/>
              </w:rPr>
              <w:t>Cour suprême du Canada</w:t>
            </w:r>
          </w:p>
        </w:tc>
        <w:tc>
          <w:tcPr>
            <w:tcW w:w="243" w:type="pct"/>
          </w:tcPr>
          <w:p w:rsidR="004C625A" w:rsidRPr="001C7519" w:rsidRDefault="004C625A" w:rsidP="00843C56">
            <w:pPr>
              <w:jc w:val="both"/>
              <w:rPr>
                <w:sz w:val="20"/>
                <w:lang w:val="fr-CA"/>
              </w:rPr>
            </w:pPr>
          </w:p>
        </w:tc>
        <w:tc>
          <w:tcPr>
            <w:tcW w:w="2330" w:type="pct"/>
          </w:tcPr>
          <w:p w:rsidR="004C625A" w:rsidRPr="001C7519" w:rsidRDefault="004C625A" w:rsidP="00843C56">
            <w:pPr>
              <w:jc w:val="both"/>
              <w:rPr>
                <w:sz w:val="20"/>
              </w:rPr>
            </w:pPr>
            <w:r w:rsidRPr="001C7519">
              <w:rPr>
                <w:sz w:val="20"/>
              </w:rPr>
              <w:t>Demande d'autorisation d'appel déposée</w:t>
            </w:r>
          </w:p>
          <w:p w:rsidR="004C625A" w:rsidRPr="001C7519" w:rsidRDefault="004C625A" w:rsidP="00843C56">
            <w:pPr>
              <w:jc w:val="both"/>
              <w:rPr>
                <w:sz w:val="20"/>
              </w:rPr>
            </w:pPr>
          </w:p>
        </w:tc>
      </w:tr>
    </w:tbl>
    <w:p w:rsidR="004C625A" w:rsidRPr="001C7519" w:rsidRDefault="004C625A" w:rsidP="00843C56">
      <w:pPr>
        <w:jc w:val="both"/>
        <w:rPr>
          <w:sz w:val="20"/>
        </w:rPr>
      </w:pPr>
    </w:p>
    <w:p w:rsidR="00B63A3D" w:rsidRPr="001C7519" w:rsidRDefault="00E75919" w:rsidP="00843C56">
      <w:pPr>
        <w:widowControl w:val="0"/>
        <w:tabs>
          <w:tab w:val="left" w:pos="3840"/>
        </w:tabs>
        <w:jc w:val="both"/>
        <w:rPr>
          <w:sz w:val="20"/>
          <w:lang w:val="fr-CA"/>
        </w:rPr>
      </w:pPr>
      <w:r>
        <w:rPr>
          <w:sz w:val="20"/>
        </w:rPr>
        <w:pict>
          <v:rect id="_x0000_i1036" style="width:2in;height:1pt" o:hrpct="0" o:hralign="center" o:hrstd="t" o:hrnoshade="t" o:hr="t" fillcolor="black [3213]" stroked="f"/>
        </w:pict>
      </w:r>
    </w:p>
    <w:p w:rsidR="00B63A3D" w:rsidRPr="001C7519" w:rsidRDefault="00B63A3D" w:rsidP="00843C56">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25A" w:rsidRPr="001C7519" w:rsidTr="004C625A">
        <w:tc>
          <w:tcPr>
            <w:tcW w:w="543" w:type="pct"/>
          </w:tcPr>
          <w:p w:rsidR="004C625A" w:rsidRPr="001C7519" w:rsidRDefault="004C625A" w:rsidP="00843C56">
            <w:pPr>
              <w:jc w:val="both"/>
              <w:rPr>
                <w:sz w:val="20"/>
              </w:rPr>
            </w:pPr>
            <w:r w:rsidRPr="001C7519">
              <w:rPr>
                <w:rStyle w:val="SCCFileNumberChar"/>
                <w:sz w:val="20"/>
                <w:szCs w:val="20"/>
              </w:rPr>
              <w:t>39668</w:t>
            </w:r>
          </w:p>
        </w:tc>
        <w:tc>
          <w:tcPr>
            <w:tcW w:w="4457" w:type="pct"/>
            <w:gridSpan w:val="3"/>
          </w:tcPr>
          <w:p w:rsidR="004C625A" w:rsidRPr="001C7519" w:rsidRDefault="004C625A" w:rsidP="00843C56">
            <w:pPr>
              <w:pStyle w:val="SCCLsocParty"/>
              <w:jc w:val="both"/>
              <w:rPr>
                <w:b/>
                <w:sz w:val="20"/>
                <w:szCs w:val="20"/>
                <w:lang w:val="en-US"/>
              </w:rPr>
            </w:pPr>
            <w:r w:rsidRPr="001C7519">
              <w:rPr>
                <w:b/>
                <w:sz w:val="20"/>
                <w:szCs w:val="20"/>
                <w:lang w:val="en-US"/>
              </w:rPr>
              <w:t>Red Chris Development Company Ltd. v. United Steel, Paper and Forestry, Rubber, Manufacturing, Energy, Allied Industrial and Service Workers International Union, Local 1-1937, British Columbia Labour Relations Board</w:t>
            </w:r>
          </w:p>
          <w:p w:rsidR="004C625A" w:rsidRPr="001C7519" w:rsidRDefault="004C625A" w:rsidP="00843C56">
            <w:pPr>
              <w:jc w:val="both"/>
              <w:rPr>
                <w:sz w:val="20"/>
              </w:rPr>
            </w:pPr>
            <w:r w:rsidRPr="001C7519">
              <w:rPr>
                <w:sz w:val="20"/>
              </w:rPr>
              <w:t>(B.C.) (Civil) (By Leave)</w:t>
            </w:r>
          </w:p>
        </w:tc>
      </w:tr>
      <w:tr w:rsidR="004C625A" w:rsidRPr="001C7519" w:rsidTr="004C625A">
        <w:tc>
          <w:tcPr>
            <w:tcW w:w="5000" w:type="pct"/>
            <w:gridSpan w:val="4"/>
          </w:tcPr>
          <w:p w:rsidR="004C625A" w:rsidRPr="001C7519" w:rsidRDefault="004C625A" w:rsidP="00843C56">
            <w:pPr>
              <w:jc w:val="both"/>
              <w:rPr>
                <w:sz w:val="20"/>
              </w:rPr>
            </w:pPr>
            <w:r w:rsidRPr="001C7519">
              <w:rPr>
                <w:sz w:val="20"/>
              </w:rPr>
              <w:t xml:space="preserve">Administrative law — Judicial review — Standard of review — Labour relations — Unions — Certification — Appellate court holding that reviewing court applied correct standard of review of patent unreasonableness — Appellate court concluding labour relations board’s decisions not patently unreasonable — How should courts interpret statutory references to patent unreasonableness in light of this Court’s holding in </w:t>
            </w:r>
            <w:r w:rsidRPr="001C7519">
              <w:rPr>
                <w:i/>
                <w:sz w:val="20"/>
              </w:rPr>
              <w:t>Canada (Minister of Citizenship and Immigration) v. Vavilov</w:t>
            </w:r>
            <w:r w:rsidRPr="001C7519">
              <w:rPr>
                <w:sz w:val="20"/>
              </w:rPr>
              <w:t xml:space="preserve">, 2019 SCC 65, that reasonableness is the most deferential standard of review permitted by the rule of law? — Whether legislation can require a review more deferential than reasonableness review by referring to patent unreasonableness — </w:t>
            </w:r>
            <w:r w:rsidRPr="001C7519">
              <w:rPr>
                <w:i/>
                <w:sz w:val="20"/>
              </w:rPr>
              <w:t>Administrative Tribunals Act</w:t>
            </w:r>
            <w:r w:rsidRPr="001C7519">
              <w:rPr>
                <w:sz w:val="20"/>
              </w:rPr>
              <w:t>, S.B.C. 2004, c. 45, s. 58.</w:t>
            </w:r>
          </w:p>
        </w:tc>
      </w:tr>
      <w:tr w:rsidR="004C625A" w:rsidRPr="001C7519" w:rsidTr="004C625A">
        <w:tc>
          <w:tcPr>
            <w:tcW w:w="5000" w:type="pct"/>
            <w:gridSpan w:val="4"/>
          </w:tcPr>
          <w:p w:rsidR="004C625A" w:rsidRPr="001C7519" w:rsidRDefault="004C625A" w:rsidP="00843C56">
            <w:pPr>
              <w:jc w:val="both"/>
              <w:rPr>
                <w:sz w:val="20"/>
              </w:rPr>
            </w:pPr>
          </w:p>
        </w:tc>
      </w:tr>
      <w:tr w:rsidR="004C625A" w:rsidRPr="001C7519" w:rsidTr="004C625A">
        <w:tc>
          <w:tcPr>
            <w:tcW w:w="5000" w:type="pct"/>
            <w:gridSpan w:val="4"/>
          </w:tcPr>
          <w:p w:rsidR="004C625A" w:rsidRPr="001C7519" w:rsidRDefault="004C625A" w:rsidP="00843C56">
            <w:pPr>
              <w:jc w:val="both"/>
              <w:rPr>
                <w:sz w:val="20"/>
              </w:rPr>
            </w:pPr>
            <w:r w:rsidRPr="001C7519">
              <w:rPr>
                <w:sz w:val="20"/>
              </w:rPr>
              <w:t xml:space="preserve">The respondent union submitted an application to the Labour Relations Board (“Board”) for certification as the bargaining agent for certain employees of the applicant mining company (“employer”). The employer challenged the union’s application for certification. In its original decision, the Board ordered that the votes from the representation vote be counted but that the count exclude votes cast by certain employees not obviously captured by the union’s application form to the Board (“disputed employees”). The union applied to the Board for reconsideration. The Board’s reconsideration decision allowed the union’s application. In a further remedial decision, the Board ordered that the ballots cast by the disputed employees be counted as well. With these ballots counted, the union had majority support and it was certified as the bargaining agent. The employer petitioned for judicial review. The reviewing judge set aside the Board’s reconsideration and remedial decisions, holding that they were patently unreasonable. The Court of Appeal allowed the union’s appeal. It concluded that the reviewing judge applied the correct standard of review to the impugned decisions, holding that the standard of patent unreasonableness continues to apply notwithstanding developments of the common law standards of review since passage of the </w:t>
            </w:r>
            <w:r w:rsidRPr="001C7519">
              <w:rPr>
                <w:i/>
                <w:sz w:val="20"/>
              </w:rPr>
              <w:t>Administrative Tribunals Act</w:t>
            </w:r>
            <w:r w:rsidRPr="001C7519">
              <w:rPr>
                <w:sz w:val="20"/>
              </w:rPr>
              <w:t xml:space="preserve">, S.B.C. 2004, </w:t>
            </w:r>
            <w:proofErr w:type="gramStart"/>
            <w:r w:rsidRPr="001C7519">
              <w:rPr>
                <w:sz w:val="20"/>
              </w:rPr>
              <w:t>c</w:t>
            </w:r>
            <w:proofErr w:type="gramEnd"/>
            <w:r w:rsidRPr="001C7519">
              <w:rPr>
                <w:sz w:val="20"/>
              </w:rPr>
              <w:t>. 45. It concluded that the Board could not be said to have been patently unreasonable in its reconsideration and remedial decisions. The Court of Appeal restored those Board decisions.</w:t>
            </w:r>
          </w:p>
          <w:p w:rsidR="004C625A" w:rsidRPr="001C7519" w:rsidRDefault="004C625A" w:rsidP="00843C56">
            <w:pPr>
              <w:jc w:val="both"/>
              <w:rPr>
                <w:sz w:val="20"/>
              </w:rPr>
            </w:pPr>
          </w:p>
        </w:tc>
      </w:tr>
      <w:tr w:rsidR="004C625A" w:rsidRPr="001C7519" w:rsidTr="004C625A">
        <w:tc>
          <w:tcPr>
            <w:tcW w:w="2427" w:type="pct"/>
            <w:gridSpan w:val="2"/>
          </w:tcPr>
          <w:p w:rsidR="004C625A" w:rsidRPr="001C7519" w:rsidRDefault="004C625A" w:rsidP="00843C56">
            <w:pPr>
              <w:jc w:val="both"/>
              <w:rPr>
                <w:sz w:val="20"/>
              </w:rPr>
            </w:pPr>
            <w:r w:rsidRPr="001C7519">
              <w:rPr>
                <w:sz w:val="20"/>
              </w:rPr>
              <w:t>December 19, 2019</w:t>
            </w:r>
          </w:p>
          <w:p w:rsidR="004C625A" w:rsidRPr="001C7519" w:rsidRDefault="004C625A" w:rsidP="00843C56">
            <w:pPr>
              <w:jc w:val="both"/>
              <w:rPr>
                <w:sz w:val="20"/>
              </w:rPr>
            </w:pPr>
            <w:r w:rsidRPr="001C7519">
              <w:rPr>
                <w:sz w:val="20"/>
              </w:rPr>
              <w:t>Supreme Court of British Columbia</w:t>
            </w:r>
          </w:p>
          <w:p w:rsidR="004C625A" w:rsidRPr="001C7519" w:rsidRDefault="004C625A" w:rsidP="00843C56">
            <w:pPr>
              <w:jc w:val="both"/>
              <w:rPr>
                <w:sz w:val="20"/>
              </w:rPr>
            </w:pPr>
            <w:r w:rsidRPr="001C7519">
              <w:rPr>
                <w:sz w:val="20"/>
              </w:rPr>
              <w:t>(Myers J.)</w:t>
            </w:r>
          </w:p>
          <w:p w:rsidR="004C625A" w:rsidRPr="001C7519" w:rsidRDefault="00E75919" w:rsidP="00843C56">
            <w:pPr>
              <w:jc w:val="both"/>
              <w:rPr>
                <w:sz w:val="20"/>
              </w:rPr>
            </w:pPr>
            <w:hyperlink r:id="rId43" w:history="1">
              <w:r w:rsidR="004C625A" w:rsidRPr="001C7519">
                <w:rPr>
                  <w:rStyle w:val="Hyperlink"/>
                  <w:sz w:val="20"/>
                </w:rPr>
                <w:t>2019 BCSC 2216</w:t>
              </w:r>
            </w:hyperlink>
          </w:p>
          <w:p w:rsidR="004C625A" w:rsidRPr="001C7519" w:rsidRDefault="004C625A" w:rsidP="00843C56">
            <w:pPr>
              <w:jc w:val="both"/>
              <w:rPr>
                <w:sz w:val="20"/>
              </w:rPr>
            </w:pPr>
          </w:p>
        </w:tc>
        <w:tc>
          <w:tcPr>
            <w:tcW w:w="243" w:type="pct"/>
          </w:tcPr>
          <w:p w:rsidR="004C625A" w:rsidRPr="001C7519" w:rsidRDefault="004C625A" w:rsidP="00843C56">
            <w:pPr>
              <w:jc w:val="both"/>
              <w:rPr>
                <w:sz w:val="20"/>
              </w:rPr>
            </w:pPr>
          </w:p>
        </w:tc>
        <w:tc>
          <w:tcPr>
            <w:tcW w:w="2330" w:type="pct"/>
          </w:tcPr>
          <w:p w:rsidR="004C625A" w:rsidRPr="001C7519" w:rsidRDefault="004C625A" w:rsidP="00843C56">
            <w:pPr>
              <w:jc w:val="both"/>
              <w:rPr>
                <w:sz w:val="20"/>
              </w:rPr>
            </w:pPr>
            <w:r w:rsidRPr="001C7519">
              <w:rPr>
                <w:sz w:val="20"/>
              </w:rPr>
              <w:t>Applicant’s judicial review application granted; decisions of Labour Relations Board set aside and matter remitted back to it</w:t>
            </w:r>
          </w:p>
        </w:tc>
      </w:tr>
      <w:tr w:rsidR="004C625A" w:rsidRPr="001C7519" w:rsidTr="004C625A">
        <w:tc>
          <w:tcPr>
            <w:tcW w:w="2427" w:type="pct"/>
            <w:gridSpan w:val="2"/>
          </w:tcPr>
          <w:p w:rsidR="004C625A" w:rsidRPr="001C7519" w:rsidRDefault="004C625A" w:rsidP="00843C56">
            <w:pPr>
              <w:jc w:val="both"/>
              <w:rPr>
                <w:sz w:val="20"/>
              </w:rPr>
            </w:pPr>
            <w:r w:rsidRPr="001C7519">
              <w:rPr>
                <w:sz w:val="20"/>
              </w:rPr>
              <w:t>April 15, 2021</w:t>
            </w:r>
          </w:p>
          <w:p w:rsidR="004C625A" w:rsidRPr="001C7519" w:rsidRDefault="004C625A" w:rsidP="00843C56">
            <w:pPr>
              <w:jc w:val="both"/>
              <w:rPr>
                <w:sz w:val="20"/>
              </w:rPr>
            </w:pPr>
            <w:r w:rsidRPr="001C7519">
              <w:rPr>
                <w:sz w:val="20"/>
              </w:rPr>
              <w:t>Court of Appeal for British Columbia (Vancouver)</w:t>
            </w:r>
          </w:p>
          <w:p w:rsidR="004C625A" w:rsidRPr="001C7519" w:rsidRDefault="004C625A" w:rsidP="00843C56">
            <w:pPr>
              <w:jc w:val="both"/>
              <w:rPr>
                <w:sz w:val="20"/>
              </w:rPr>
            </w:pPr>
            <w:r w:rsidRPr="001C7519">
              <w:rPr>
                <w:sz w:val="20"/>
              </w:rPr>
              <w:t>(Saunders, Willcock, Butler JJ.A.)</w:t>
            </w:r>
          </w:p>
          <w:p w:rsidR="004C625A" w:rsidRPr="001C7519" w:rsidRDefault="00E75919" w:rsidP="00843C56">
            <w:pPr>
              <w:jc w:val="both"/>
              <w:rPr>
                <w:sz w:val="20"/>
              </w:rPr>
            </w:pPr>
            <w:hyperlink r:id="rId44" w:history="1">
              <w:r w:rsidR="004C625A" w:rsidRPr="001C7519">
                <w:rPr>
                  <w:rStyle w:val="Hyperlink"/>
                  <w:sz w:val="20"/>
                </w:rPr>
                <w:t>2021 BCCA 152</w:t>
              </w:r>
            </w:hyperlink>
            <w:r w:rsidR="004C625A" w:rsidRPr="001C7519">
              <w:rPr>
                <w:sz w:val="20"/>
              </w:rPr>
              <w:t xml:space="preserve"> (Docket: CA46624)</w:t>
            </w:r>
          </w:p>
          <w:p w:rsidR="004C625A" w:rsidRPr="001C7519" w:rsidRDefault="004C625A" w:rsidP="00843C56">
            <w:pPr>
              <w:jc w:val="both"/>
              <w:rPr>
                <w:sz w:val="20"/>
              </w:rPr>
            </w:pPr>
          </w:p>
        </w:tc>
        <w:tc>
          <w:tcPr>
            <w:tcW w:w="243" w:type="pct"/>
          </w:tcPr>
          <w:p w:rsidR="004C625A" w:rsidRPr="001C7519" w:rsidRDefault="004C625A" w:rsidP="00843C56">
            <w:pPr>
              <w:jc w:val="both"/>
              <w:rPr>
                <w:sz w:val="20"/>
              </w:rPr>
            </w:pPr>
          </w:p>
        </w:tc>
        <w:tc>
          <w:tcPr>
            <w:tcW w:w="2330" w:type="pct"/>
          </w:tcPr>
          <w:p w:rsidR="004C625A" w:rsidRPr="001C7519" w:rsidRDefault="004C625A" w:rsidP="00843C56">
            <w:pPr>
              <w:jc w:val="both"/>
              <w:rPr>
                <w:sz w:val="20"/>
              </w:rPr>
            </w:pPr>
            <w:r w:rsidRPr="001C7519">
              <w:rPr>
                <w:sz w:val="20"/>
              </w:rPr>
              <w:t>Respondent union’s appeal allowed; decisions of Labour Relations Board restored.</w:t>
            </w:r>
          </w:p>
          <w:p w:rsidR="004C625A" w:rsidRPr="001C7519" w:rsidRDefault="004C625A" w:rsidP="00843C56">
            <w:pPr>
              <w:jc w:val="both"/>
              <w:rPr>
                <w:sz w:val="20"/>
              </w:rPr>
            </w:pPr>
          </w:p>
        </w:tc>
      </w:tr>
      <w:tr w:rsidR="004C625A" w:rsidRPr="001C7519" w:rsidTr="004C625A">
        <w:tc>
          <w:tcPr>
            <w:tcW w:w="2427" w:type="pct"/>
            <w:gridSpan w:val="2"/>
          </w:tcPr>
          <w:p w:rsidR="004C625A" w:rsidRPr="001C7519" w:rsidRDefault="004C625A" w:rsidP="00843C56">
            <w:pPr>
              <w:jc w:val="both"/>
              <w:rPr>
                <w:sz w:val="20"/>
              </w:rPr>
            </w:pPr>
            <w:r w:rsidRPr="001C7519">
              <w:rPr>
                <w:sz w:val="20"/>
              </w:rPr>
              <w:t>May 26, 2021</w:t>
            </w:r>
          </w:p>
          <w:p w:rsidR="004C625A" w:rsidRPr="001C7519" w:rsidRDefault="004C625A" w:rsidP="00843C56">
            <w:pPr>
              <w:jc w:val="both"/>
              <w:rPr>
                <w:sz w:val="20"/>
              </w:rPr>
            </w:pPr>
            <w:r w:rsidRPr="001C7519">
              <w:rPr>
                <w:sz w:val="20"/>
              </w:rPr>
              <w:t>Supreme Court of Canada</w:t>
            </w:r>
          </w:p>
        </w:tc>
        <w:tc>
          <w:tcPr>
            <w:tcW w:w="243" w:type="pct"/>
          </w:tcPr>
          <w:p w:rsidR="004C625A" w:rsidRPr="001C7519" w:rsidRDefault="004C625A" w:rsidP="00843C56">
            <w:pPr>
              <w:jc w:val="both"/>
              <w:rPr>
                <w:sz w:val="20"/>
              </w:rPr>
            </w:pPr>
          </w:p>
        </w:tc>
        <w:tc>
          <w:tcPr>
            <w:tcW w:w="2330" w:type="pct"/>
          </w:tcPr>
          <w:p w:rsidR="004C625A" w:rsidRPr="001C7519" w:rsidRDefault="004C625A" w:rsidP="00843C56">
            <w:pPr>
              <w:jc w:val="both"/>
              <w:rPr>
                <w:sz w:val="20"/>
              </w:rPr>
            </w:pPr>
            <w:r w:rsidRPr="001C7519">
              <w:rPr>
                <w:sz w:val="20"/>
              </w:rPr>
              <w:t>Application for leave to appeal and motion to expedite leave application filed</w:t>
            </w:r>
          </w:p>
        </w:tc>
      </w:tr>
    </w:tbl>
    <w:p w:rsidR="004C625A" w:rsidRPr="001C7519" w:rsidRDefault="004C625A" w:rsidP="00843C56">
      <w:pPr>
        <w:jc w:val="both"/>
        <w:rPr>
          <w:sz w:val="20"/>
        </w:rPr>
      </w:pPr>
    </w:p>
    <w:p w:rsidR="00843C56" w:rsidRPr="001C7519" w:rsidRDefault="00E75919" w:rsidP="00843C56">
      <w:pPr>
        <w:jc w:val="both"/>
        <w:rPr>
          <w:sz w:val="20"/>
        </w:rPr>
      </w:pPr>
      <w:r>
        <w:rPr>
          <w:sz w:val="20"/>
        </w:rPr>
        <w:pict>
          <v:rect id="_x0000_i1037" style="width:2in;height:1pt" o:hrpct="0" o:hralign="center" o:hrstd="t" o:hrnoshade="t" o:hr="t" fillcolor="black [3213]" stroked="f"/>
        </w:pict>
      </w:r>
    </w:p>
    <w:p w:rsidR="00843C56" w:rsidRPr="001C7519" w:rsidRDefault="00843C56" w:rsidP="00843C5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25A" w:rsidRPr="00E75919" w:rsidTr="004C625A">
        <w:tc>
          <w:tcPr>
            <w:tcW w:w="543" w:type="pct"/>
          </w:tcPr>
          <w:p w:rsidR="004C625A" w:rsidRPr="001C7519" w:rsidRDefault="004C625A" w:rsidP="00843C56">
            <w:pPr>
              <w:jc w:val="both"/>
              <w:rPr>
                <w:sz w:val="20"/>
                <w:lang w:val="fr-CA"/>
              </w:rPr>
            </w:pPr>
            <w:r w:rsidRPr="001C7519">
              <w:rPr>
                <w:rStyle w:val="SCCFileNumberChar"/>
                <w:sz w:val="20"/>
                <w:szCs w:val="20"/>
                <w:lang w:val="fr-CA"/>
              </w:rPr>
              <w:t>39668</w:t>
            </w:r>
          </w:p>
        </w:tc>
        <w:tc>
          <w:tcPr>
            <w:tcW w:w="4457" w:type="pct"/>
            <w:gridSpan w:val="3"/>
          </w:tcPr>
          <w:p w:rsidR="004C625A" w:rsidRPr="001C7519" w:rsidRDefault="004C625A" w:rsidP="00843C56">
            <w:pPr>
              <w:pStyle w:val="SCCLsocParty"/>
              <w:jc w:val="both"/>
              <w:rPr>
                <w:b/>
                <w:sz w:val="20"/>
                <w:szCs w:val="20"/>
                <w:lang w:val="en-US"/>
              </w:rPr>
            </w:pPr>
            <w:r w:rsidRPr="001C7519">
              <w:rPr>
                <w:b/>
                <w:sz w:val="20"/>
                <w:szCs w:val="20"/>
                <w:lang w:val="en-US"/>
              </w:rPr>
              <w:t>Red Chris Development Company Ltd. c. United Steel, Paper and Forestry, Rubber, Manufacturing, Energy, Allied Industrial and Service Workers International Union, Local 1-1937, British Columbia Labour Relations Board</w:t>
            </w:r>
          </w:p>
          <w:p w:rsidR="004C625A" w:rsidRPr="001C7519" w:rsidRDefault="004C625A" w:rsidP="00843C56">
            <w:pPr>
              <w:jc w:val="both"/>
              <w:rPr>
                <w:sz w:val="20"/>
                <w:lang w:val="fr-CA"/>
              </w:rPr>
            </w:pPr>
            <w:r w:rsidRPr="001C7519">
              <w:rPr>
                <w:sz w:val="20"/>
                <w:lang w:val="fr-CA"/>
              </w:rPr>
              <w:t>(C.-B.) (Civile) (Sur autorisation)</w:t>
            </w:r>
          </w:p>
        </w:tc>
      </w:tr>
      <w:tr w:rsidR="004C625A" w:rsidRPr="00E75919" w:rsidTr="004C625A">
        <w:tc>
          <w:tcPr>
            <w:tcW w:w="5000" w:type="pct"/>
            <w:gridSpan w:val="4"/>
          </w:tcPr>
          <w:p w:rsidR="004C625A" w:rsidRPr="001C7519" w:rsidRDefault="004C625A" w:rsidP="00843C56">
            <w:pPr>
              <w:jc w:val="both"/>
              <w:rPr>
                <w:sz w:val="20"/>
                <w:lang w:val="fr-CA"/>
              </w:rPr>
            </w:pPr>
            <w:r w:rsidRPr="001C7519">
              <w:rPr>
                <w:sz w:val="20"/>
                <w:lang w:val="fr-CA"/>
              </w:rPr>
              <w:t>Droit administratif — Contrôle judiciaire — Norme de contrôle — Relations du travail — Syndicats —  Accréditation — La Cour d’appel a statué que le tribunal saisi de la demande de contrôle a appliqué la bonne norme de contrôle, à savoir celle de la décision manifestement déraisonnable — La Cour d’appel a conclu que les décisions de la commission des relations de travail n’étaient pas manifestement déraisonnables — De quelle façon les tribunaux devraient</w:t>
            </w:r>
            <w:r w:rsidRPr="001C7519">
              <w:rPr>
                <w:sz w:val="20"/>
                <w:lang w:val="fr-CA"/>
              </w:rPr>
              <w:noBreakHyphen/>
              <w:t xml:space="preserve">ils interpréter les dispositions d’une loi qui font mention de la norme de la décision manifestement déraisonnable à la lumière des conclusions tirées par la Cour suprême du Canada dans l’arrêt </w:t>
            </w:r>
            <w:r w:rsidRPr="001C7519">
              <w:rPr>
                <w:i/>
                <w:sz w:val="20"/>
                <w:lang w:val="fr-CA"/>
              </w:rPr>
              <w:t>Canada (Ministre de la Citoyenneté et de l’Immigration) c. Vavilov</w:t>
            </w:r>
            <w:r w:rsidRPr="001C7519">
              <w:rPr>
                <w:sz w:val="20"/>
                <w:lang w:val="fr-CA"/>
              </w:rPr>
              <w:t>, 2019 CSC 65, portant que la norme de contrôle commandant le degré le plus élevé de déférence qui soit permis au regard de la primauté du droit est celle de la décision raisonnable? — Une loi qui mentionne la norme de la décision manifestement déraisonnable peut</w:t>
            </w:r>
            <w:r w:rsidRPr="001C7519">
              <w:rPr>
                <w:sz w:val="20"/>
                <w:lang w:val="fr-CA"/>
              </w:rPr>
              <w:noBreakHyphen/>
              <w:t xml:space="preserve">elle, de ce fait, exiger un degré plus élevé de déférence que celui de la norme de la décision raisonnable lors d’un contrôle? — </w:t>
            </w:r>
            <w:r w:rsidRPr="001C7519">
              <w:rPr>
                <w:i/>
                <w:sz w:val="20"/>
                <w:lang w:val="fr-CA"/>
              </w:rPr>
              <w:t>Administrative Tribunals Act</w:t>
            </w:r>
            <w:r w:rsidRPr="001C7519">
              <w:rPr>
                <w:sz w:val="20"/>
                <w:lang w:val="fr-CA"/>
              </w:rPr>
              <w:t>, S.B.C. 2004, c. 45, art. 58.</w:t>
            </w:r>
          </w:p>
        </w:tc>
      </w:tr>
      <w:tr w:rsidR="004C625A" w:rsidRPr="00E75919" w:rsidTr="004C625A">
        <w:tc>
          <w:tcPr>
            <w:tcW w:w="5000" w:type="pct"/>
            <w:gridSpan w:val="4"/>
          </w:tcPr>
          <w:p w:rsidR="004C625A" w:rsidRPr="001C7519" w:rsidRDefault="004C625A" w:rsidP="00843C56">
            <w:pPr>
              <w:jc w:val="both"/>
              <w:rPr>
                <w:sz w:val="20"/>
                <w:lang w:val="fr-CA"/>
              </w:rPr>
            </w:pPr>
          </w:p>
        </w:tc>
      </w:tr>
      <w:tr w:rsidR="004C625A" w:rsidRPr="00E75919" w:rsidTr="004C625A">
        <w:tc>
          <w:tcPr>
            <w:tcW w:w="5000" w:type="pct"/>
            <w:gridSpan w:val="4"/>
          </w:tcPr>
          <w:p w:rsidR="004C625A" w:rsidRPr="001C7519" w:rsidRDefault="004C625A" w:rsidP="00843C56">
            <w:pPr>
              <w:jc w:val="both"/>
              <w:rPr>
                <w:sz w:val="20"/>
                <w:lang w:val="fr-CA"/>
              </w:rPr>
            </w:pPr>
            <w:r w:rsidRPr="001C7519">
              <w:rPr>
                <w:sz w:val="20"/>
                <w:lang w:val="fr-CA"/>
              </w:rPr>
              <w:t xml:space="preserve">Le syndicat intimé a présenté une demande à la commission des relations de travail (« la commission ») visant à obtenir l’accréditation comme agent négociateur de certains employés de la société minière demanderesse (« l’employeur »). L’employeur a contesté la demande d’accréditation du syndicat. Dans sa décision initiale, la commission a ordonné que les votes du scrutin de représentation soient comptés, mais que ce compte exclue les votes émanant de certains employés dont il n’était pas évident qu’ils étaient visés par le formulaire de demande présenté par le syndicat à la commission (« employés dont l’inclusion est remise en question »). Le syndicat a demandé à la commission de réexaminer sa décision. Dans sa décision relative à la demande de réexamen, la commission a accueilli la demande du syndicat. Dans une autre décision sur les réparations, la commission a ordonné que les bulletins de vote émanant des employés dont l’inclusion est remise en question soient également comptés. En comptant les bulletins de vote de ces derniers, le syndicat a obtenu l’appui de la majorité et a été accrédité comme agent négociateur. L’employeur a présenté une requête en contrôle judiciaire. Le juge saisi de la demande de contrôle a annulé la décision relative à la demande de réexamen et la décision sur les réparations de la commission, statuant qu’elles étaient manifestement déraisonnables. La Cour d’appel a accueilli l’appel du syndicat. Cette dernière a conclu que le juge saisi de la demande de contrôle avait appliqué la bonne norme de contrôle à l’égard de la décision contestée, estimant que la norme de contrôle de la décision manifestement déraisonnable continue de s’appliquer malgré l’évolution récente des normes de contrôle de common law depuis l’adoption de la loi intitulée </w:t>
            </w:r>
            <w:r w:rsidRPr="001C7519">
              <w:rPr>
                <w:i/>
                <w:sz w:val="20"/>
                <w:lang w:val="fr-CA"/>
              </w:rPr>
              <w:t>Administrative Tribunals Act</w:t>
            </w:r>
            <w:r w:rsidRPr="001C7519">
              <w:rPr>
                <w:sz w:val="20"/>
                <w:lang w:val="fr-CA"/>
              </w:rPr>
              <w:t>, S.B.C. 2004, c. 45. Elle a conclu qu’on ne saurait dire que la décision relative à la demande de réexamen et la décision sur les réparations de la commission étaient manifestement déraisonnables. La Cour d’appel a rétabli ces décisions de la commission.</w:t>
            </w:r>
          </w:p>
          <w:p w:rsidR="004C625A" w:rsidRPr="001C7519" w:rsidRDefault="004C625A" w:rsidP="00843C56">
            <w:pPr>
              <w:jc w:val="both"/>
              <w:rPr>
                <w:sz w:val="20"/>
                <w:lang w:val="fr-CA"/>
              </w:rPr>
            </w:pPr>
          </w:p>
        </w:tc>
      </w:tr>
      <w:tr w:rsidR="004C625A" w:rsidRPr="00E75919" w:rsidTr="004C625A">
        <w:tc>
          <w:tcPr>
            <w:tcW w:w="2427" w:type="pct"/>
            <w:gridSpan w:val="2"/>
          </w:tcPr>
          <w:p w:rsidR="004C625A" w:rsidRPr="001C7519" w:rsidRDefault="004C625A" w:rsidP="00843C56">
            <w:pPr>
              <w:jc w:val="both"/>
              <w:rPr>
                <w:sz w:val="20"/>
                <w:lang w:val="fr-CA"/>
              </w:rPr>
            </w:pPr>
            <w:r w:rsidRPr="001C7519">
              <w:rPr>
                <w:sz w:val="20"/>
                <w:lang w:val="fr-CA"/>
              </w:rPr>
              <w:t>19 décembre 2019</w:t>
            </w:r>
          </w:p>
          <w:p w:rsidR="004C625A" w:rsidRPr="001C7519" w:rsidRDefault="004C625A" w:rsidP="00843C56">
            <w:pPr>
              <w:jc w:val="both"/>
              <w:rPr>
                <w:sz w:val="20"/>
                <w:lang w:val="fr-CA"/>
              </w:rPr>
            </w:pPr>
            <w:r w:rsidRPr="001C7519">
              <w:rPr>
                <w:sz w:val="20"/>
                <w:lang w:val="fr-CA"/>
              </w:rPr>
              <w:t>Cour suprême de la Colombie</w:t>
            </w:r>
            <w:r w:rsidRPr="001C7519">
              <w:rPr>
                <w:sz w:val="20"/>
                <w:lang w:val="fr-CA"/>
              </w:rPr>
              <w:noBreakHyphen/>
              <w:t>Britannique</w:t>
            </w:r>
          </w:p>
          <w:p w:rsidR="004C625A" w:rsidRPr="001C7519" w:rsidRDefault="004C625A" w:rsidP="00843C56">
            <w:pPr>
              <w:jc w:val="both"/>
              <w:rPr>
                <w:sz w:val="20"/>
                <w:lang w:val="fr-CA"/>
              </w:rPr>
            </w:pPr>
            <w:r w:rsidRPr="001C7519">
              <w:rPr>
                <w:sz w:val="20"/>
                <w:lang w:val="fr-CA"/>
              </w:rPr>
              <w:t>(juge Myers)</w:t>
            </w:r>
          </w:p>
          <w:p w:rsidR="004C625A" w:rsidRPr="001C7519" w:rsidRDefault="00E75919" w:rsidP="00843C56">
            <w:pPr>
              <w:jc w:val="both"/>
              <w:rPr>
                <w:sz w:val="20"/>
                <w:lang w:val="fr-CA"/>
              </w:rPr>
            </w:pPr>
            <w:hyperlink r:id="rId45" w:history="1">
              <w:r w:rsidR="004C625A" w:rsidRPr="001C7519">
                <w:rPr>
                  <w:rStyle w:val="Hyperlink"/>
                  <w:sz w:val="20"/>
                  <w:lang w:val="fr-CA"/>
                </w:rPr>
                <w:t>2019 BCSC 2216</w:t>
              </w:r>
            </w:hyperlink>
          </w:p>
          <w:p w:rsidR="004C625A" w:rsidRPr="001C7519" w:rsidRDefault="004C625A" w:rsidP="00843C56">
            <w:pPr>
              <w:jc w:val="both"/>
              <w:rPr>
                <w:sz w:val="20"/>
                <w:lang w:val="fr-CA"/>
              </w:rPr>
            </w:pPr>
          </w:p>
        </w:tc>
        <w:tc>
          <w:tcPr>
            <w:tcW w:w="243" w:type="pct"/>
          </w:tcPr>
          <w:p w:rsidR="004C625A" w:rsidRPr="001C7519" w:rsidRDefault="004C625A" w:rsidP="00843C56">
            <w:pPr>
              <w:jc w:val="both"/>
              <w:rPr>
                <w:sz w:val="20"/>
                <w:lang w:val="fr-CA"/>
              </w:rPr>
            </w:pPr>
          </w:p>
        </w:tc>
        <w:tc>
          <w:tcPr>
            <w:tcW w:w="2330" w:type="pct"/>
          </w:tcPr>
          <w:p w:rsidR="004C625A" w:rsidRPr="001C7519" w:rsidRDefault="004C625A" w:rsidP="00843C56">
            <w:pPr>
              <w:jc w:val="both"/>
              <w:rPr>
                <w:sz w:val="20"/>
                <w:lang w:val="fr-CA"/>
              </w:rPr>
            </w:pPr>
            <w:r w:rsidRPr="001C7519">
              <w:rPr>
                <w:sz w:val="20"/>
                <w:lang w:val="fr-CA"/>
              </w:rPr>
              <w:t>La demande de contrôle judiciaire de la demanderesse est accueillie; les décisions de la commission des relations de travail sont annulées et l’affaire lui est renvoyée.</w:t>
            </w:r>
          </w:p>
        </w:tc>
      </w:tr>
      <w:tr w:rsidR="004C625A" w:rsidRPr="00E75919" w:rsidTr="004C625A">
        <w:tc>
          <w:tcPr>
            <w:tcW w:w="2427" w:type="pct"/>
            <w:gridSpan w:val="2"/>
          </w:tcPr>
          <w:p w:rsidR="004C625A" w:rsidRPr="001C7519" w:rsidRDefault="004C625A" w:rsidP="00843C56">
            <w:pPr>
              <w:jc w:val="both"/>
              <w:rPr>
                <w:sz w:val="20"/>
                <w:lang w:val="fr-CA"/>
              </w:rPr>
            </w:pPr>
            <w:r w:rsidRPr="001C7519">
              <w:rPr>
                <w:sz w:val="20"/>
                <w:lang w:val="fr-CA"/>
              </w:rPr>
              <w:t>15 avril 2021</w:t>
            </w:r>
          </w:p>
          <w:p w:rsidR="004C625A" w:rsidRPr="001C7519" w:rsidRDefault="004C625A" w:rsidP="00843C56">
            <w:pPr>
              <w:jc w:val="both"/>
              <w:rPr>
                <w:sz w:val="20"/>
                <w:lang w:val="fr-CA"/>
              </w:rPr>
            </w:pPr>
            <w:r w:rsidRPr="001C7519">
              <w:rPr>
                <w:sz w:val="20"/>
                <w:lang w:val="fr-CA"/>
              </w:rPr>
              <w:t>Cour d’appel de la Colombie</w:t>
            </w:r>
            <w:r w:rsidRPr="001C7519">
              <w:rPr>
                <w:sz w:val="20"/>
                <w:lang w:val="fr-CA"/>
              </w:rPr>
              <w:noBreakHyphen/>
              <w:t>Britannique (Vancouver)</w:t>
            </w:r>
          </w:p>
          <w:p w:rsidR="004C625A" w:rsidRPr="001C7519" w:rsidRDefault="004C625A" w:rsidP="00843C56">
            <w:pPr>
              <w:jc w:val="both"/>
              <w:rPr>
                <w:sz w:val="20"/>
                <w:lang w:val="fr-CA"/>
              </w:rPr>
            </w:pPr>
            <w:r w:rsidRPr="001C7519">
              <w:rPr>
                <w:sz w:val="20"/>
                <w:lang w:val="fr-CA"/>
              </w:rPr>
              <w:t>(juges Saunders, Willcock, Butler)</w:t>
            </w:r>
          </w:p>
          <w:p w:rsidR="004C625A" w:rsidRPr="001C7519" w:rsidRDefault="00E75919" w:rsidP="00843C56">
            <w:pPr>
              <w:jc w:val="both"/>
              <w:rPr>
                <w:sz w:val="20"/>
                <w:lang w:val="fr-CA"/>
              </w:rPr>
            </w:pPr>
            <w:hyperlink r:id="rId46" w:history="1">
              <w:r w:rsidR="004C625A" w:rsidRPr="001C7519">
                <w:rPr>
                  <w:rStyle w:val="Hyperlink"/>
                  <w:sz w:val="20"/>
                  <w:lang w:val="fr-CA"/>
                </w:rPr>
                <w:t>2021 BCCA 152</w:t>
              </w:r>
            </w:hyperlink>
            <w:r w:rsidR="004C625A" w:rsidRPr="001C7519">
              <w:rPr>
                <w:sz w:val="20"/>
                <w:lang w:val="fr-CA"/>
              </w:rPr>
              <w:t xml:space="preserve"> (N</w:t>
            </w:r>
            <w:r w:rsidR="004C625A" w:rsidRPr="001C7519">
              <w:rPr>
                <w:sz w:val="20"/>
                <w:vertAlign w:val="superscript"/>
                <w:lang w:val="fr-CA"/>
              </w:rPr>
              <w:t>o</w:t>
            </w:r>
            <w:r w:rsidR="004C625A" w:rsidRPr="001C7519">
              <w:rPr>
                <w:sz w:val="20"/>
                <w:lang w:val="fr-CA"/>
              </w:rPr>
              <w:t xml:space="preserve"> de dossier : CA46624)</w:t>
            </w:r>
          </w:p>
          <w:p w:rsidR="004C625A" w:rsidRPr="001C7519" w:rsidRDefault="004C625A" w:rsidP="00843C56">
            <w:pPr>
              <w:jc w:val="both"/>
              <w:rPr>
                <w:sz w:val="20"/>
                <w:lang w:val="fr-CA"/>
              </w:rPr>
            </w:pPr>
          </w:p>
        </w:tc>
        <w:tc>
          <w:tcPr>
            <w:tcW w:w="243" w:type="pct"/>
          </w:tcPr>
          <w:p w:rsidR="004C625A" w:rsidRPr="001C7519" w:rsidRDefault="004C625A" w:rsidP="00843C56">
            <w:pPr>
              <w:jc w:val="both"/>
              <w:rPr>
                <w:sz w:val="20"/>
                <w:lang w:val="fr-CA"/>
              </w:rPr>
            </w:pPr>
          </w:p>
        </w:tc>
        <w:tc>
          <w:tcPr>
            <w:tcW w:w="2330" w:type="pct"/>
          </w:tcPr>
          <w:p w:rsidR="004C625A" w:rsidRPr="001C7519" w:rsidRDefault="004C625A" w:rsidP="00843C56">
            <w:pPr>
              <w:jc w:val="both"/>
              <w:rPr>
                <w:sz w:val="20"/>
                <w:lang w:val="fr-CA"/>
              </w:rPr>
            </w:pPr>
            <w:r w:rsidRPr="001C7519">
              <w:rPr>
                <w:sz w:val="20"/>
                <w:lang w:val="fr-CA"/>
              </w:rPr>
              <w:t>L’appel du syndicat intimé est accueilli; les décisions de la commission des relations de travail sont rétablies.</w:t>
            </w:r>
          </w:p>
          <w:p w:rsidR="004C625A" w:rsidRPr="001C7519" w:rsidRDefault="004C625A" w:rsidP="00843C56">
            <w:pPr>
              <w:jc w:val="both"/>
              <w:rPr>
                <w:sz w:val="20"/>
                <w:lang w:val="fr-CA"/>
              </w:rPr>
            </w:pPr>
          </w:p>
        </w:tc>
      </w:tr>
      <w:tr w:rsidR="004C625A" w:rsidRPr="00E75919" w:rsidTr="004C625A">
        <w:tc>
          <w:tcPr>
            <w:tcW w:w="2427" w:type="pct"/>
            <w:gridSpan w:val="2"/>
          </w:tcPr>
          <w:p w:rsidR="004C625A" w:rsidRPr="001C7519" w:rsidRDefault="004C625A" w:rsidP="00843C56">
            <w:pPr>
              <w:jc w:val="both"/>
              <w:rPr>
                <w:sz w:val="20"/>
                <w:lang w:val="fr-CA"/>
              </w:rPr>
            </w:pPr>
            <w:r w:rsidRPr="001C7519">
              <w:rPr>
                <w:sz w:val="20"/>
                <w:lang w:val="fr-CA"/>
              </w:rPr>
              <w:t>26 mai 2021</w:t>
            </w:r>
          </w:p>
          <w:p w:rsidR="004C625A" w:rsidRPr="001C7519" w:rsidRDefault="004C625A" w:rsidP="00843C56">
            <w:pPr>
              <w:jc w:val="both"/>
              <w:rPr>
                <w:sz w:val="20"/>
                <w:lang w:val="fr-CA"/>
              </w:rPr>
            </w:pPr>
            <w:r w:rsidRPr="001C7519">
              <w:rPr>
                <w:sz w:val="20"/>
                <w:lang w:val="fr-CA"/>
              </w:rPr>
              <w:t>Cour suprême du Canada</w:t>
            </w:r>
          </w:p>
        </w:tc>
        <w:tc>
          <w:tcPr>
            <w:tcW w:w="243" w:type="pct"/>
          </w:tcPr>
          <w:p w:rsidR="004C625A" w:rsidRPr="001C7519" w:rsidRDefault="004C625A" w:rsidP="00843C56">
            <w:pPr>
              <w:jc w:val="both"/>
              <w:rPr>
                <w:sz w:val="20"/>
                <w:lang w:val="fr-CA"/>
              </w:rPr>
            </w:pPr>
          </w:p>
        </w:tc>
        <w:tc>
          <w:tcPr>
            <w:tcW w:w="2330" w:type="pct"/>
          </w:tcPr>
          <w:p w:rsidR="004C625A" w:rsidRPr="001C7519" w:rsidRDefault="004C625A" w:rsidP="00843C56">
            <w:pPr>
              <w:jc w:val="both"/>
              <w:rPr>
                <w:sz w:val="20"/>
                <w:lang w:val="fr-CA"/>
              </w:rPr>
            </w:pPr>
            <w:r w:rsidRPr="001C7519">
              <w:rPr>
                <w:sz w:val="20"/>
                <w:lang w:val="fr-CA"/>
              </w:rPr>
              <w:t>La demande d’autorisation d’appel et la requête pour accélérer la procédure de demande d’autorisation sont présentées.</w:t>
            </w:r>
          </w:p>
        </w:tc>
      </w:tr>
    </w:tbl>
    <w:p w:rsidR="004C625A" w:rsidRDefault="004C625A" w:rsidP="00843C56">
      <w:pPr>
        <w:jc w:val="both"/>
        <w:rPr>
          <w:sz w:val="20"/>
          <w:lang w:val="fr-CA"/>
        </w:rPr>
      </w:pPr>
    </w:p>
    <w:p w:rsidR="00E75919" w:rsidRPr="001C7519" w:rsidRDefault="00E75919" w:rsidP="00843C56">
      <w:pPr>
        <w:jc w:val="both"/>
        <w:rPr>
          <w:sz w:val="20"/>
          <w:lang w:val="fr-CA"/>
        </w:rPr>
      </w:pPr>
      <w:r>
        <w:rPr>
          <w:sz w:val="20"/>
        </w:rPr>
        <w:pict>
          <v:rect id="_x0000_i1058" style="width:2in;height:1pt" o:hrpct="0" o:hralign="center" o:hrstd="t" o:hrnoshade="t" o:hr="t" fillcolor="black [3213]" stroked="f"/>
        </w:pict>
      </w:r>
    </w:p>
    <w:p w:rsidR="00B63A3D" w:rsidRPr="001C7519" w:rsidRDefault="00B63A3D" w:rsidP="00843C56">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25A" w:rsidRPr="001C7519" w:rsidTr="004C625A">
        <w:tc>
          <w:tcPr>
            <w:tcW w:w="543" w:type="pct"/>
          </w:tcPr>
          <w:p w:rsidR="004C625A" w:rsidRPr="001C7519" w:rsidRDefault="004C625A" w:rsidP="00843C56">
            <w:pPr>
              <w:jc w:val="both"/>
              <w:rPr>
                <w:sz w:val="20"/>
              </w:rPr>
            </w:pPr>
            <w:r w:rsidRPr="001C7519">
              <w:rPr>
                <w:rStyle w:val="SCCFileNumberChar"/>
                <w:sz w:val="20"/>
                <w:szCs w:val="20"/>
              </w:rPr>
              <w:t>39671</w:t>
            </w:r>
          </w:p>
        </w:tc>
        <w:tc>
          <w:tcPr>
            <w:tcW w:w="4457" w:type="pct"/>
            <w:gridSpan w:val="3"/>
          </w:tcPr>
          <w:p w:rsidR="004C625A" w:rsidRPr="001C7519" w:rsidRDefault="004C625A" w:rsidP="00843C56">
            <w:pPr>
              <w:pStyle w:val="SCCLsocParty"/>
              <w:jc w:val="both"/>
              <w:rPr>
                <w:b/>
                <w:sz w:val="20"/>
                <w:szCs w:val="20"/>
                <w:lang w:val="en-US"/>
              </w:rPr>
            </w:pPr>
            <w:r w:rsidRPr="001C7519">
              <w:rPr>
                <w:b/>
                <w:sz w:val="20"/>
                <w:szCs w:val="20"/>
                <w:lang w:val="en-US"/>
              </w:rPr>
              <w:t>Canada Investment Corporation v. Stanbarr Services Limited, Janodee Investments Ltd., Meadowshire Investements Ltd., Regard Investments Ltd., 1563503 Ontario Limited, Beaver Pond Investments Ltd., Canada Trust Company, Rita Rosenburg, 527540 Ontario Limited, Rosen Goldberg Inc., in its capacity as court-appointed receiver in the within proceeding</w:t>
            </w:r>
          </w:p>
          <w:p w:rsidR="004C625A" w:rsidRPr="001C7519" w:rsidRDefault="004C625A" w:rsidP="00843C56">
            <w:pPr>
              <w:jc w:val="both"/>
              <w:rPr>
                <w:sz w:val="20"/>
              </w:rPr>
            </w:pPr>
            <w:r w:rsidRPr="001C7519">
              <w:rPr>
                <w:sz w:val="20"/>
              </w:rPr>
              <w:t>(Ont.) (Civil) (By Leave)</w:t>
            </w:r>
          </w:p>
        </w:tc>
      </w:tr>
      <w:tr w:rsidR="004C625A" w:rsidRPr="001C7519" w:rsidTr="004C625A">
        <w:tc>
          <w:tcPr>
            <w:tcW w:w="5000" w:type="pct"/>
            <w:gridSpan w:val="4"/>
          </w:tcPr>
          <w:p w:rsidR="004C625A" w:rsidRPr="001C7519" w:rsidRDefault="004C625A" w:rsidP="00843C56">
            <w:pPr>
              <w:jc w:val="both"/>
              <w:rPr>
                <w:sz w:val="20"/>
              </w:rPr>
            </w:pPr>
            <w:r w:rsidRPr="001C7519">
              <w:rPr>
                <w:sz w:val="20"/>
              </w:rPr>
              <w:t xml:space="preserve">Bankruptcy and insolvency — Receiver — Procedure — Claims process established in a receivership — Receiver’s recommendation opposed by a party but accepted by Superior Court and Court of Appeal — Whether </w:t>
            </w:r>
            <w:r w:rsidRPr="001C7519">
              <w:rPr>
                <w:i/>
                <w:sz w:val="20"/>
              </w:rPr>
              <w:t>ad hoc</w:t>
            </w:r>
            <w:r w:rsidRPr="001C7519">
              <w:rPr>
                <w:sz w:val="20"/>
              </w:rPr>
              <w:t xml:space="preserve"> processes and procedures created by judges in proceedings under the </w:t>
            </w:r>
            <w:r w:rsidRPr="001C7519">
              <w:rPr>
                <w:i/>
                <w:sz w:val="20"/>
              </w:rPr>
              <w:t>Bankruptcy and Insolvency Act</w:t>
            </w:r>
            <w:r w:rsidRPr="001C7519">
              <w:rPr>
                <w:sz w:val="20"/>
              </w:rPr>
              <w:t>, R.S.C., 1985, c. B</w:t>
            </w:r>
            <w:r w:rsidRPr="001C7519">
              <w:rPr>
                <w:sz w:val="20"/>
              </w:rPr>
              <w:noBreakHyphen/>
              <w:t>3, must still follow fundamental rules of procedural fairness.</w:t>
            </w:r>
          </w:p>
        </w:tc>
      </w:tr>
      <w:tr w:rsidR="004C625A" w:rsidRPr="001C7519" w:rsidTr="004C625A">
        <w:tc>
          <w:tcPr>
            <w:tcW w:w="5000" w:type="pct"/>
            <w:gridSpan w:val="4"/>
          </w:tcPr>
          <w:p w:rsidR="004C625A" w:rsidRPr="001C7519" w:rsidRDefault="004C625A" w:rsidP="00843C56">
            <w:pPr>
              <w:jc w:val="both"/>
              <w:rPr>
                <w:sz w:val="20"/>
              </w:rPr>
            </w:pPr>
          </w:p>
        </w:tc>
      </w:tr>
      <w:tr w:rsidR="004C625A" w:rsidRPr="001C7519" w:rsidTr="004C625A">
        <w:tc>
          <w:tcPr>
            <w:tcW w:w="5000" w:type="pct"/>
            <w:gridSpan w:val="4"/>
          </w:tcPr>
          <w:p w:rsidR="004C625A" w:rsidRPr="001C7519" w:rsidRDefault="004C625A" w:rsidP="00843C56">
            <w:pPr>
              <w:jc w:val="both"/>
              <w:rPr>
                <w:sz w:val="20"/>
              </w:rPr>
            </w:pPr>
            <w:r w:rsidRPr="001C7519">
              <w:rPr>
                <w:sz w:val="20"/>
              </w:rPr>
              <w:t xml:space="preserve">In February 2018, the respondent, Rosen Goldberg Inc., was appointed as receiver in the receivership of debtors of the applicant, Canada Investment Corporation (“CIC”), pursuant to the </w:t>
            </w:r>
            <w:r w:rsidRPr="001C7519">
              <w:rPr>
                <w:i/>
                <w:sz w:val="20"/>
              </w:rPr>
              <w:t>Bankruptcy and Insolvency Act</w:t>
            </w:r>
            <w:r w:rsidRPr="001C7519">
              <w:rPr>
                <w:sz w:val="20"/>
              </w:rPr>
              <w:t>, R.S.C. 1985, c. B</w:t>
            </w:r>
            <w:r w:rsidRPr="001C7519">
              <w:rPr>
                <w:sz w:val="20"/>
              </w:rPr>
              <w:noBreakHyphen/>
              <w:t xml:space="preserve">3, and the </w:t>
            </w:r>
            <w:r w:rsidRPr="001C7519">
              <w:rPr>
                <w:i/>
                <w:sz w:val="20"/>
              </w:rPr>
              <w:t>Courts of Justice Act</w:t>
            </w:r>
            <w:r w:rsidRPr="001C7519">
              <w:rPr>
                <w:sz w:val="20"/>
              </w:rPr>
              <w:t xml:space="preserve">, R.S.O. 1990, c. C. 43. Around the same time, a principal of CIC and related corporations was charged with fraud. Resulting publicity led to claims being advanced in the receivership to freeze surplus proceeds arising from the sale of any of the properties under receivership. A claims process was therefore established in the receivership. Properties under receivership were sold and proceeds recovered. Stanbarr Services Limited and the other respondents (collectively, “Stanbarr claimants”), who are creditors of CIC, moved in the receivership for an order requiring the receiver to pay into court the surplus proceeds from the sale of one of the properties to which CIC was entitled, to meet their claim against CIC arising out of an action they were pursuing against CIC, involving another property. At a trial in that action against CIC, the Stanbarr claimants successfully challenged the validity of CIC’s notice of sale on the relevant property. In a report to the court, the receiver recommended that the Stanbarr claim be allowed. To arrive at the recommendation, the receiver relied on the judge’s findings in the trial in the Stanbarr claimants’ action against CIC. CIC opposed the receiver’s recommendation. The Superior Court accepted the receiver’s recommendation, holding that receiver was correct in relying on the decision in the Stanbarr claimants’ action against CIC to conclude that the funds should be paid to the Stanbarr claimants.  CIC’s appeal was dismissed. </w:t>
            </w:r>
          </w:p>
          <w:p w:rsidR="004C625A" w:rsidRPr="001C7519" w:rsidRDefault="004C625A" w:rsidP="00843C56">
            <w:pPr>
              <w:jc w:val="both"/>
              <w:rPr>
                <w:sz w:val="20"/>
              </w:rPr>
            </w:pPr>
          </w:p>
        </w:tc>
      </w:tr>
      <w:tr w:rsidR="004C625A" w:rsidRPr="001C7519" w:rsidTr="004C625A">
        <w:tc>
          <w:tcPr>
            <w:tcW w:w="2427" w:type="pct"/>
            <w:gridSpan w:val="2"/>
          </w:tcPr>
          <w:p w:rsidR="004C625A" w:rsidRPr="001C7519" w:rsidRDefault="004C625A" w:rsidP="00843C56">
            <w:pPr>
              <w:jc w:val="both"/>
              <w:rPr>
                <w:sz w:val="20"/>
              </w:rPr>
            </w:pPr>
            <w:r w:rsidRPr="001C7519">
              <w:rPr>
                <w:sz w:val="20"/>
              </w:rPr>
              <w:t>September 13, 2019</w:t>
            </w:r>
          </w:p>
          <w:p w:rsidR="004C625A" w:rsidRPr="001C7519" w:rsidRDefault="004C625A" w:rsidP="00843C56">
            <w:pPr>
              <w:jc w:val="both"/>
              <w:rPr>
                <w:sz w:val="20"/>
              </w:rPr>
            </w:pPr>
            <w:r w:rsidRPr="001C7519">
              <w:rPr>
                <w:sz w:val="20"/>
              </w:rPr>
              <w:t>Ontario Superior Court of Justice</w:t>
            </w:r>
          </w:p>
          <w:p w:rsidR="004C625A" w:rsidRPr="001C7519" w:rsidRDefault="004C625A" w:rsidP="00843C56">
            <w:pPr>
              <w:jc w:val="both"/>
              <w:rPr>
                <w:sz w:val="20"/>
              </w:rPr>
            </w:pPr>
            <w:r w:rsidRPr="001C7519">
              <w:rPr>
                <w:sz w:val="20"/>
              </w:rPr>
              <w:t>(Penny J.)</w:t>
            </w:r>
          </w:p>
          <w:p w:rsidR="004C625A" w:rsidRPr="001C7519" w:rsidRDefault="00E75919" w:rsidP="00843C56">
            <w:pPr>
              <w:jc w:val="both"/>
              <w:rPr>
                <w:sz w:val="20"/>
              </w:rPr>
            </w:pPr>
            <w:hyperlink r:id="rId47" w:history="1">
              <w:r w:rsidR="004C625A" w:rsidRPr="001C7519">
                <w:rPr>
                  <w:rStyle w:val="Hyperlink"/>
                  <w:sz w:val="20"/>
                </w:rPr>
                <w:t>2019 ONSC 5303</w:t>
              </w:r>
            </w:hyperlink>
          </w:p>
          <w:p w:rsidR="004C625A" w:rsidRPr="001C7519" w:rsidRDefault="004C625A" w:rsidP="00843C56">
            <w:pPr>
              <w:jc w:val="both"/>
              <w:rPr>
                <w:sz w:val="20"/>
              </w:rPr>
            </w:pPr>
          </w:p>
        </w:tc>
        <w:tc>
          <w:tcPr>
            <w:tcW w:w="243" w:type="pct"/>
          </w:tcPr>
          <w:p w:rsidR="004C625A" w:rsidRPr="001C7519" w:rsidRDefault="004C625A" w:rsidP="00843C56">
            <w:pPr>
              <w:jc w:val="both"/>
              <w:rPr>
                <w:sz w:val="20"/>
              </w:rPr>
            </w:pPr>
          </w:p>
        </w:tc>
        <w:tc>
          <w:tcPr>
            <w:tcW w:w="2330" w:type="pct"/>
          </w:tcPr>
          <w:p w:rsidR="004C625A" w:rsidRPr="001C7519" w:rsidRDefault="004C625A" w:rsidP="00843C56">
            <w:pPr>
              <w:jc w:val="both"/>
              <w:rPr>
                <w:sz w:val="20"/>
              </w:rPr>
            </w:pPr>
            <w:r w:rsidRPr="001C7519">
              <w:rPr>
                <w:sz w:val="20"/>
              </w:rPr>
              <w:t xml:space="preserve">Applicant’s motion challenging a receiver’s recommendation dismissed; receiver’s recommendation accepted </w:t>
            </w:r>
          </w:p>
        </w:tc>
      </w:tr>
      <w:tr w:rsidR="004C625A" w:rsidRPr="001C7519" w:rsidTr="004C625A">
        <w:tc>
          <w:tcPr>
            <w:tcW w:w="2427" w:type="pct"/>
            <w:gridSpan w:val="2"/>
          </w:tcPr>
          <w:p w:rsidR="004C625A" w:rsidRPr="001C7519" w:rsidRDefault="004C625A" w:rsidP="00843C56">
            <w:pPr>
              <w:jc w:val="both"/>
              <w:rPr>
                <w:sz w:val="20"/>
              </w:rPr>
            </w:pPr>
            <w:r w:rsidRPr="001C7519">
              <w:rPr>
                <w:sz w:val="20"/>
              </w:rPr>
              <w:t>December 30, 2020</w:t>
            </w:r>
          </w:p>
          <w:p w:rsidR="004C625A" w:rsidRPr="001C7519" w:rsidRDefault="004C625A" w:rsidP="00843C56">
            <w:pPr>
              <w:jc w:val="both"/>
              <w:rPr>
                <w:sz w:val="20"/>
              </w:rPr>
            </w:pPr>
            <w:r w:rsidRPr="001C7519">
              <w:rPr>
                <w:sz w:val="20"/>
              </w:rPr>
              <w:t>Court of Appeal for Ontario</w:t>
            </w:r>
          </w:p>
          <w:p w:rsidR="004C625A" w:rsidRPr="001C7519" w:rsidRDefault="004C625A" w:rsidP="00843C56">
            <w:pPr>
              <w:jc w:val="both"/>
              <w:rPr>
                <w:sz w:val="20"/>
              </w:rPr>
            </w:pPr>
            <w:r w:rsidRPr="001C7519">
              <w:rPr>
                <w:sz w:val="20"/>
              </w:rPr>
              <w:t>(Feldman, Simmons and Harvison Young JJ.A.)</w:t>
            </w:r>
          </w:p>
          <w:p w:rsidR="004C625A" w:rsidRPr="001C7519" w:rsidRDefault="00E75919" w:rsidP="00843C56">
            <w:pPr>
              <w:jc w:val="both"/>
              <w:rPr>
                <w:sz w:val="20"/>
              </w:rPr>
            </w:pPr>
            <w:hyperlink r:id="rId48" w:history="1">
              <w:r w:rsidR="004C625A" w:rsidRPr="001C7519">
                <w:rPr>
                  <w:rStyle w:val="Hyperlink"/>
                  <w:sz w:val="20"/>
                </w:rPr>
                <w:t>2020 ONCA 846</w:t>
              </w:r>
            </w:hyperlink>
          </w:p>
          <w:p w:rsidR="004C625A" w:rsidRPr="001C7519" w:rsidRDefault="004C625A" w:rsidP="00843C56">
            <w:pPr>
              <w:jc w:val="both"/>
              <w:rPr>
                <w:sz w:val="20"/>
              </w:rPr>
            </w:pPr>
          </w:p>
        </w:tc>
        <w:tc>
          <w:tcPr>
            <w:tcW w:w="243" w:type="pct"/>
          </w:tcPr>
          <w:p w:rsidR="004C625A" w:rsidRPr="001C7519" w:rsidRDefault="004C625A" w:rsidP="00843C56">
            <w:pPr>
              <w:jc w:val="both"/>
              <w:rPr>
                <w:sz w:val="20"/>
              </w:rPr>
            </w:pPr>
          </w:p>
        </w:tc>
        <w:tc>
          <w:tcPr>
            <w:tcW w:w="2330" w:type="pct"/>
          </w:tcPr>
          <w:p w:rsidR="004C625A" w:rsidRPr="001C7519" w:rsidRDefault="004C625A" w:rsidP="00843C56">
            <w:pPr>
              <w:jc w:val="both"/>
              <w:rPr>
                <w:sz w:val="20"/>
              </w:rPr>
            </w:pPr>
            <w:r w:rsidRPr="001C7519">
              <w:rPr>
                <w:sz w:val="20"/>
              </w:rPr>
              <w:t>Appeal dismissed</w:t>
            </w:r>
          </w:p>
          <w:p w:rsidR="004C625A" w:rsidRPr="001C7519" w:rsidRDefault="004C625A" w:rsidP="00843C56">
            <w:pPr>
              <w:jc w:val="both"/>
              <w:rPr>
                <w:sz w:val="20"/>
              </w:rPr>
            </w:pPr>
          </w:p>
        </w:tc>
      </w:tr>
      <w:tr w:rsidR="004C625A" w:rsidRPr="001C7519" w:rsidTr="004C625A">
        <w:tc>
          <w:tcPr>
            <w:tcW w:w="2427" w:type="pct"/>
            <w:gridSpan w:val="2"/>
          </w:tcPr>
          <w:p w:rsidR="004C625A" w:rsidRPr="001C7519" w:rsidRDefault="004C625A" w:rsidP="00843C56">
            <w:pPr>
              <w:jc w:val="both"/>
              <w:rPr>
                <w:sz w:val="20"/>
              </w:rPr>
            </w:pPr>
            <w:r w:rsidRPr="001C7519">
              <w:rPr>
                <w:sz w:val="20"/>
              </w:rPr>
              <w:t>March 1, 2021</w:t>
            </w:r>
          </w:p>
          <w:p w:rsidR="004C625A" w:rsidRPr="001C7519" w:rsidRDefault="004C625A" w:rsidP="00843C56">
            <w:pPr>
              <w:jc w:val="both"/>
              <w:rPr>
                <w:sz w:val="20"/>
              </w:rPr>
            </w:pPr>
            <w:r w:rsidRPr="001C7519">
              <w:rPr>
                <w:sz w:val="20"/>
              </w:rPr>
              <w:t>Supreme Court of Canada</w:t>
            </w:r>
          </w:p>
        </w:tc>
        <w:tc>
          <w:tcPr>
            <w:tcW w:w="243" w:type="pct"/>
          </w:tcPr>
          <w:p w:rsidR="004C625A" w:rsidRPr="001C7519" w:rsidRDefault="004C625A" w:rsidP="00843C56">
            <w:pPr>
              <w:jc w:val="both"/>
              <w:rPr>
                <w:sz w:val="20"/>
              </w:rPr>
            </w:pPr>
          </w:p>
        </w:tc>
        <w:tc>
          <w:tcPr>
            <w:tcW w:w="2330" w:type="pct"/>
          </w:tcPr>
          <w:p w:rsidR="004C625A" w:rsidRPr="001C7519" w:rsidRDefault="004C625A" w:rsidP="00843C56">
            <w:pPr>
              <w:jc w:val="both"/>
              <w:rPr>
                <w:sz w:val="20"/>
              </w:rPr>
            </w:pPr>
            <w:r w:rsidRPr="001C7519">
              <w:rPr>
                <w:sz w:val="20"/>
              </w:rPr>
              <w:t>Application for leave to appeal filed</w:t>
            </w:r>
          </w:p>
          <w:p w:rsidR="004C625A" w:rsidRPr="001C7519" w:rsidRDefault="004C625A" w:rsidP="00843C56">
            <w:pPr>
              <w:jc w:val="both"/>
              <w:rPr>
                <w:sz w:val="20"/>
              </w:rPr>
            </w:pPr>
          </w:p>
        </w:tc>
      </w:tr>
    </w:tbl>
    <w:p w:rsidR="004C625A" w:rsidRPr="001C7519" w:rsidRDefault="004C625A" w:rsidP="00843C56">
      <w:pPr>
        <w:jc w:val="both"/>
        <w:rPr>
          <w:sz w:val="20"/>
        </w:rPr>
      </w:pPr>
    </w:p>
    <w:p w:rsidR="00843C56" w:rsidRPr="001C7519" w:rsidRDefault="00E75919" w:rsidP="00843C56">
      <w:pPr>
        <w:jc w:val="both"/>
        <w:rPr>
          <w:sz w:val="20"/>
        </w:rPr>
      </w:pPr>
      <w:r>
        <w:rPr>
          <w:sz w:val="20"/>
        </w:rPr>
        <w:pict>
          <v:rect id="_x0000_i1038" style="width:2in;height:1pt" o:hrpct="0" o:hralign="center" o:hrstd="t" o:hrnoshade="t" o:hr="t" fillcolor="black [3213]" stroked="f"/>
        </w:pict>
      </w:r>
    </w:p>
    <w:p w:rsidR="00843C56" w:rsidRPr="001C7519" w:rsidRDefault="00843C56" w:rsidP="00843C5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25A" w:rsidRPr="001C7519" w:rsidTr="004C625A">
        <w:tc>
          <w:tcPr>
            <w:tcW w:w="543" w:type="pct"/>
          </w:tcPr>
          <w:p w:rsidR="004C625A" w:rsidRPr="001C7519" w:rsidRDefault="004C625A" w:rsidP="00843C56">
            <w:pPr>
              <w:jc w:val="both"/>
              <w:rPr>
                <w:sz w:val="20"/>
                <w:lang w:val="fr-CA"/>
              </w:rPr>
            </w:pPr>
            <w:r w:rsidRPr="001C7519">
              <w:rPr>
                <w:rStyle w:val="SCCFileNumberChar"/>
                <w:sz w:val="20"/>
                <w:szCs w:val="20"/>
                <w:lang w:val="fr-CA"/>
              </w:rPr>
              <w:t>39671</w:t>
            </w:r>
          </w:p>
        </w:tc>
        <w:tc>
          <w:tcPr>
            <w:tcW w:w="4457" w:type="pct"/>
            <w:gridSpan w:val="3"/>
          </w:tcPr>
          <w:p w:rsidR="004C625A" w:rsidRPr="001C7519" w:rsidRDefault="004C625A" w:rsidP="00843C56">
            <w:pPr>
              <w:pStyle w:val="SCCLsocParty"/>
              <w:jc w:val="both"/>
              <w:rPr>
                <w:b/>
                <w:sz w:val="20"/>
                <w:szCs w:val="20"/>
              </w:rPr>
            </w:pPr>
            <w:r w:rsidRPr="001C7519">
              <w:rPr>
                <w:b/>
                <w:sz w:val="20"/>
                <w:szCs w:val="20"/>
              </w:rPr>
              <w:t>Canada Investment Corporation c. Stanbarr Services Limited, Janodee Investments Ltd., Meadowshire Investements Ltd., Regard Investments Ltd., 1563503 Ontario Limited, Beaver Pond Investments Ltd., Canada Trust Company, Rita Rosenburg, 527540 Ontario Limited, Rosen Goldberg Inc., en sa qualité de séquestre nommé par le tribunal dans le cadre de la présente instance</w:t>
            </w:r>
          </w:p>
          <w:p w:rsidR="004C625A" w:rsidRPr="001C7519" w:rsidRDefault="004C625A" w:rsidP="00843C56">
            <w:pPr>
              <w:jc w:val="both"/>
              <w:rPr>
                <w:sz w:val="20"/>
                <w:lang w:val="fr-CA"/>
              </w:rPr>
            </w:pPr>
            <w:r w:rsidRPr="001C7519">
              <w:rPr>
                <w:sz w:val="20"/>
                <w:lang w:val="fr-CA"/>
              </w:rPr>
              <w:t xml:space="preserve">(Ont.) (Civile) (Sur autorisation) </w:t>
            </w:r>
          </w:p>
        </w:tc>
      </w:tr>
      <w:tr w:rsidR="004C625A" w:rsidRPr="00E75919" w:rsidTr="004C625A">
        <w:tc>
          <w:tcPr>
            <w:tcW w:w="5000" w:type="pct"/>
            <w:gridSpan w:val="4"/>
          </w:tcPr>
          <w:p w:rsidR="004C625A" w:rsidRPr="001C7519" w:rsidRDefault="004C625A" w:rsidP="00843C56">
            <w:pPr>
              <w:jc w:val="both"/>
              <w:rPr>
                <w:sz w:val="20"/>
                <w:lang w:val="fr-CA"/>
              </w:rPr>
            </w:pPr>
            <w:r w:rsidRPr="001C7519">
              <w:rPr>
                <w:sz w:val="20"/>
                <w:lang w:val="fr-CA"/>
              </w:rPr>
              <w:t xml:space="preserve">Faillite et insolvabilité — Séquestre — Procédure — Processus de réclamation établi dans le cadre d’une mise sous séquestre — La recommandation du séquestre est contestée par l’une des parties, mais acceptée par la Cour supérieure et la Cour d’appel — Les processus et procédures </w:t>
            </w:r>
            <w:r w:rsidRPr="001C7519">
              <w:rPr>
                <w:i/>
                <w:sz w:val="20"/>
                <w:lang w:val="fr-CA"/>
              </w:rPr>
              <w:t>ad hoc</w:t>
            </w:r>
            <w:r w:rsidRPr="001C7519">
              <w:rPr>
                <w:sz w:val="20"/>
                <w:lang w:val="fr-CA"/>
              </w:rPr>
              <w:t xml:space="preserve"> créés par des juges dans le cadre de procédures entamées en vertu de la </w:t>
            </w:r>
            <w:r w:rsidRPr="001C7519">
              <w:rPr>
                <w:i/>
                <w:sz w:val="20"/>
                <w:lang w:val="fr-CA"/>
              </w:rPr>
              <w:t>Loi sur la faillite et l’insolvabilité</w:t>
            </w:r>
            <w:r w:rsidRPr="001C7519">
              <w:rPr>
                <w:sz w:val="20"/>
                <w:lang w:val="fr-CA"/>
              </w:rPr>
              <w:t>, L.R.C., 1985, c. B</w:t>
            </w:r>
            <w:r w:rsidRPr="001C7519">
              <w:rPr>
                <w:sz w:val="20"/>
                <w:lang w:val="fr-CA"/>
              </w:rPr>
              <w:noBreakHyphen/>
              <w:t> 3, doivent-ils tout de même respecter les règles fondamentales de l’équité procédurale ?</w:t>
            </w:r>
          </w:p>
        </w:tc>
      </w:tr>
      <w:tr w:rsidR="004C625A" w:rsidRPr="00E75919" w:rsidTr="004C625A">
        <w:tc>
          <w:tcPr>
            <w:tcW w:w="5000" w:type="pct"/>
            <w:gridSpan w:val="4"/>
          </w:tcPr>
          <w:p w:rsidR="004C625A" w:rsidRPr="001C7519" w:rsidRDefault="004C625A" w:rsidP="00843C56">
            <w:pPr>
              <w:jc w:val="both"/>
              <w:rPr>
                <w:sz w:val="20"/>
                <w:lang w:val="fr-CA"/>
              </w:rPr>
            </w:pPr>
          </w:p>
        </w:tc>
      </w:tr>
      <w:tr w:rsidR="004C625A" w:rsidRPr="001C7519" w:rsidTr="004C625A">
        <w:tc>
          <w:tcPr>
            <w:tcW w:w="5000" w:type="pct"/>
            <w:gridSpan w:val="4"/>
          </w:tcPr>
          <w:p w:rsidR="004C625A" w:rsidRPr="001C7519" w:rsidRDefault="004C625A" w:rsidP="00843C56">
            <w:pPr>
              <w:jc w:val="both"/>
              <w:rPr>
                <w:sz w:val="20"/>
                <w:lang w:val="fr-CA"/>
              </w:rPr>
            </w:pPr>
            <w:r w:rsidRPr="001C7519">
              <w:rPr>
                <w:sz w:val="20"/>
                <w:lang w:val="fr-CA"/>
              </w:rPr>
              <w:t xml:space="preserve">En février 2018, l’intimée, Rosen Goldberg Inc., a été nommée en tant que séquestre des débiteurs de la demanderesse, Canada Investment Corporation (« CIC »), en vertu de la </w:t>
            </w:r>
            <w:r w:rsidRPr="001C7519">
              <w:rPr>
                <w:i/>
                <w:sz w:val="20"/>
                <w:lang w:val="fr-CA"/>
              </w:rPr>
              <w:t>Loi sur la faillite et l’insolvabilité</w:t>
            </w:r>
            <w:r w:rsidRPr="001C7519">
              <w:rPr>
                <w:sz w:val="20"/>
                <w:lang w:val="fr-CA"/>
              </w:rPr>
              <w:t>, L.R.C. 1985, c. B</w:t>
            </w:r>
            <w:r w:rsidRPr="001C7519">
              <w:rPr>
                <w:sz w:val="20"/>
                <w:lang w:val="fr-CA"/>
              </w:rPr>
              <w:noBreakHyphen/>
              <w:t xml:space="preserve">3, et de la </w:t>
            </w:r>
            <w:r w:rsidRPr="001C7519">
              <w:rPr>
                <w:i/>
                <w:sz w:val="20"/>
                <w:lang w:val="fr-CA"/>
              </w:rPr>
              <w:t>Loi sur les tribunaux judiciaires</w:t>
            </w:r>
            <w:r w:rsidRPr="001C7519">
              <w:rPr>
                <w:sz w:val="20"/>
                <w:lang w:val="fr-CA"/>
              </w:rPr>
              <w:t>, L.R.O. 1990, c. C. 43. À peu près au même moment, un directeur de CIC et de sociétés affiliées a été accusé de fraude. La publicité qui en a découlé a mené à la présentation de réclamations dans le cadre de la mise sous séquestre en vue de geler l’excédent au produit découlant de la vente de tout bien</w:t>
            </w:r>
            <w:r w:rsidRPr="001C7519">
              <w:rPr>
                <w:sz w:val="20"/>
                <w:lang w:val="fr-CA"/>
              </w:rPr>
              <w:noBreakHyphen/>
              <w:t>fonds sous séquestre. Un processus de réclamation a donc été établi dans le cadre de la mise sous séquestre. Les biens-fonds sous séquestre ont été vendus et le produit a été recouvert. Stanbarr Services Limited et les autres intimés (collectivement, « les réclamants Stanbarr »), qui sont des créanciers de CIC, ont présenté une motion, dans le cadre de la mise sous séquestre, en vue d’obtenir une ordonnance exigeant du séquestre qu’il consigne à la cour l’excédent au produit de la vente d’un des biens-fonds auquel CIC avait droit, afin de satisfaire à leur réclamation contre CIC découlant d’une action qu’ils poursuivaient contre CIC, mettant en cause un autre bien</w:t>
            </w:r>
            <w:r w:rsidRPr="001C7519">
              <w:rPr>
                <w:sz w:val="20"/>
                <w:lang w:val="fr-CA"/>
              </w:rPr>
              <w:noBreakHyphen/>
              <w:t>fonds. Lors du procès dans le cadre de cette action contre CIC, les réclamants Stanbarr ont contesté avec succès la validité de l’avis de vente de CIC relativement au bien</w:t>
            </w:r>
            <w:r w:rsidRPr="001C7519">
              <w:rPr>
                <w:sz w:val="20"/>
                <w:lang w:val="fr-CA"/>
              </w:rPr>
              <w:noBreakHyphen/>
              <w:t xml:space="preserve">fonds en cause. Dans un rapport adressé à la cour, le séquestre a recommandé que la réclamation de Stanbarr soit accueillie. Pour en arriver à sa recommandation, le séquestre s’est appuyé sur les conclusions tirées par la juge dans le procès découlant de l’action des réclamants Stanbarr contre CIC. Cette dernière s’est opposée à la recommandation du séquestre. La Cour supérieure a accepté la recommandation du séquestre, statuant qu’il avait raison de s’appuyer sur la décision relativement à l’action des réclamants Stanbarr contre CIC pour conclure que les fonds devraient être payés aux réclamants Stanbarr. L’appel de CIC a été rejeté. </w:t>
            </w:r>
          </w:p>
          <w:p w:rsidR="004C625A" w:rsidRPr="001C7519" w:rsidRDefault="004C625A" w:rsidP="00843C56">
            <w:pPr>
              <w:jc w:val="both"/>
              <w:rPr>
                <w:sz w:val="20"/>
                <w:lang w:val="fr-CA"/>
              </w:rPr>
            </w:pPr>
          </w:p>
        </w:tc>
      </w:tr>
      <w:tr w:rsidR="004C625A" w:rsidRPr="00E75919" w:rsidTr="004C625A">
        <w:tc>
          <w:tcPr>
            <w:tcW w:w="2427" w:type="pct"/>
            <w:gridSpan w:val="2"/>
          </w:tcPr>
          <w:p w:rsidR="004C625A" w:rsidRPr="001C7519" w:rsidRDefault="004C625A" w:rsidP="00843C56">
            <w:pPr>
              <w:jc w:val="both"/>
              <w:rPr>
                <w:sz w:val="20"/>
                <w:lang w:val="fr-CA"/>
              </w:rPr>
            </w:pPr>
            <w:r w:rsidRPr="001C7519">
              <w:rPr>
                <w:sz w:val="20"/>
                <w:lang w:val="fr-CA"/>
              </w:rPr>
              <w:t>13 septembre 2019</w:t>
            </w:r>
          </w:p>
          <w:p w:rsidR="004C625A" w:rsidRPr="001C7519" w:rsidRDefault="004C625A" w:rsidP="00843C56">
            <w:pPr>
              <w:jc w:val="both"/>
              <w:rPr>
                <w:sz w:val="20"/>
                <w:lang w:val="fr-CA"/>
              </w:rPr>
            </w:pPr>
            <w:r w:rsidRPr="001C7519">
              <w:rPr>
                <w:sz w:val="20"/>
                <w:lang w:val="fr-CA"/>
              </w:rPr>
              <w:t>Cour supérieure de justice de l’Ontario</w:t>
            </w:r>
          </w:p>
          <w:p w:rsidR="004C625A" w:rsidRPr="001C7519" w:rsidRDefault="004C625A" w:rsidP="00843C56">
            <w:pPr>
              <w:jc w:val="both"/>
              <w:rPr>
                <w:sz w:val="20"/>
                <w:lang w:val="fr-CA"/>
              </w:rPr>
            </w:pPr>
            <w:r w:rsidRPr="001C7519">
              <w:rPr>
                <w:sz w:val="20"/>
                <w:lang w:val="fr-CA"/>
              </w:rPr>
              <w:t>(juge Penny)</w:t>
            </w:r>
          </w:p>
          <w:p w:rsidR="004C625A" w:rsidRPr="001C7519" w:rsidRDefault="00E75919" w:rsidP="00843C56">
            <w:pPr>
              <w:jc w:val="both"/>
              <w:rPr>
                <w:sz w:val="20"/>
                <w:lang w:val="fr-CA"/>
              </w:rPr>
            </w:pPr>
            <w:hyperlink r:id="rId49" w:history="1">
              <w:r w:rsidR="004C625A" w:rsidRPr="001C7519">
                <w:rPr>
                  <w:rStyle w:val="Hyperlink"/>
                  <w:sz w:val="20"/>
                  <w:lang w:val="fr-CA"/>
                </w:rPr>
                <w:t>2019 ONSC 5303</w:t>
              </w:r>
            </w:hyperlink>
          </w:p>
          <w:p w:rsidR="004C625A" w:rsidRPr="001C7519" w:rsidRDefault="004C625A" w:rsidP="00843C56">
            <w:pPr>
              <w:jc w:val="both"/>
              <w:rPr>
                <w:sz w:val="20"/>
                <w:lang w:val="fr-CA"/>
              </w:rPr>
            </w:pPr>
          </w:p>
        </w:tc>
        <w:tc>
          <w:tcPr>
            <w:tcW w:w="243" w:type="pct"/>
          </w:tcPr>
          <w:p w:rsidR="004C625A" w:rsidRPr="001C7519" w:rsidRDefault="004C625A" w:rsidP="00843C56">
            <w:pPr>
              <w:jc w:val="both"/>
              <w:rPr>
                <w:sz w:val="20"/>
                <w:lang w:val="fr-CA"/>
              </w:rPr>
            </w:pPr>
          </w:p>
        </w:tc>
        <w:tc>
          <w:tcPr>
            <w:tcW w:w="2330" w:type="pct"/>
          </w:tcPr>
          <w:p w:rsidR="004C625A" w:rsidRPr="001C7519" w:rsidRDefault="004C625A" w:rsidP="00843C56">
            <w:pPr>
              <w:jc w:val="both"/>
              <w:rPr>
                <w:sz w:val="20"/>
                <w:lang w:val="fr-CA"/>
              </w:rPr>
            </w:pPr>
            <w:r w:rsidRPr="001C7519">
              <w:rPr>
                <w:sz w:val="20"/>
                <w:lang w:val="fr-CA"/>
              </w:rPr>
              <w:t xml:space="preserve">La motion de la demanderesse contestant la recommandation du séquestre est rejetée; la recommandation du séquestre est acceptée. </w:t>
            </w:r>
          </w:p>
        </w:tc>
      </w:tr>
      <w:tr w:rsidR="004C625A" w:rsidRPr="001C7519" w:rsidTr="004C625A">
        <w:tc>
          <w:tcPr>
            <w:tcW w:w="2427" w:type="pct"/>
            <w:gridSpan w:val="2"/>
          </w:tcPr>
          <w:p w:rsidR="004C625A" w:rsidRPr="001C7519" w:rsidRDefault="004C625A" w:rsidP="00843C56">
            <w:pPr>
              <w:jc w:val="both"/>
              <w:rPr>
                <w:sz w:val="20"/>
                <w:lang w:val="fr-CA"/>
              </w:rPr>
            </w:pPr>
            <w:r w:rsidRPr="001C7519">
              <w:rPr>
                <w:sz w:val="20"/>
                <w:lang w:val="fr-CA"/>
              </w:rPr>
              <w:t>30 décembre 2020</w:t>
            </w:r>
          </w:p>
          <w:p w:rsidR="004C625A" w:rsidRPr="001C7519" w:rsidRDefault="004C625A" w:rsidP="00843C56">
            <w:pPr>
              <w:jc w:val="both"/>
              <w:rPr>
                <w:sz w:val="20"/>
                <w:lang w:val="fr-CA"/>
              </w:rPr>
            </w:pPr>
            <w:r w:rsidRPr="001C7519">
              <w:rPr>
                <w:sz w:val="20"/>
                <w:lang w:val="fr-CA"/>
              </w:rPr>
              <w:t>Cour d’appel de l’Ontario</w:t>
            </w:r>
          </w:p>
          <w:p w:rsidR="004C625A" w:rsidRPr="001C7519" w:rsidRDefault="004C625A" w:rsidP="00843C56">
            <w:pPr>
              <w:jc w:val="both"/>
              <w:rPr>
                <w:sz w:val="20"/>
                <w:lang w:val="fr-CA"/>
              </w:rPr>
            </w:pPr>
            <w:r w:rsidRPr="001C7519">
              <w:rPr>
                <w:sz w:val="20"/>
                <w:lang w:val="fr-CA"/>
              </w:rPr>
              <w:t>(juges Feldman, Simmons et Harvison Young)</w:t>
            </w:r>
          </w:p>
          <w:p w:rsidR="004C625A" w:rsidRPr="001C7519" w:rsidRDefault="00E75919" w:rsidP="00843C56">
            <w:pPr>
              <w:jc w:val="both"/>
              <w:rPr>
                <w:sz w:val="20"/>
                <w:lang w:val="fr-CA"/>
              </w:rPr>
            </w:pPr>
            <w:hyperlink r:id="rId50" w:history="1">
              <w:r w:rsidR="004C625A" w:rsidRPr="001C7519">
                <w:rPr>
                  <w:rStyle w:val="Hyperlink"/>
                  <w:sz w:val="20"/>
                  <w:lang w:val="fr-CA"/>
                </w:rPr>
                <w:t>2020 ONCA 846</w:t>
              </w:r>
            </w:hyperlink>
          </w:p>
          <w:p w:rsidR="004C625A" w:rsidRPr="001C7519" w:rsidRDefault="004C625A" w:rsidP="00843C56">
            <w:pPr>
              <w:jc w:val="both"/>
              <w:rPr>
                <w:sz w:val="20"/>
                <w:lang w:val="fr-CA"/>
              </w:rPr>
            </w:pPr>
          </w:p>
        </w:tc>
        <w:tc>
          <w:tcPr>
            <w:tcW w:w="243" w:type="pct"/>
          </w:tcPr>
          <w:p w:rsidR="004C625A" w:rsidRPr="001C7519" w:rsidRDefault="004C625A" w:rsidP="00843C56">
            <w:pPr>
              <w:jc w:val="both"/>
              <w:rPr>
                <w:sz w:val="20"/>
                <w:lang w:val="fr-CA"/>
              </w:rPr>
            </w:pPr>
          </w:p>
        </w:tc>
        <w:tc>
          <w:tcPr>
            <w:tcW w:w="2330" w:type="pct"/>
          </w:tcPr>
          <w:p w:rsidR="004C625A" w:rsidRPr="001C7519" w:rsidRDefault="004C625A" w:rsidP="00843C56">
            <w:pPr>
              <w:jc w:val="both"/>
              <w:rPr>
                <w:sz w:val="20"/>
                <w:lang w:val="fr-CA"/>
              </w:rPr>
            </w:pPr>
            <w:r w:rsidRPr="001C7519">
              <w:rPr>
                <w:sz w:val="20"/>
                <w:lang w:val="fr-CA"/>
              </w:rPr>
              <w:t>L’appel est rejeté.</w:t>
            </w:r>
          </w:p>
          <w:p w:rsidR="004C625A" w:rsidRPr="001C7519" w:rsidRDefault="004C625A" w:rsidP="00843C56">
            <w:pPr>
              <w:jc w:val="both"/>
              <w:rPr>
                <w:sz w:val="20"/>
                <w:lang w:val="fr-CA"/>
              </w:rPr>
            </w:pPr>
          </w:p>
        </w:tc>
      </w:tr>
      <w:tr w:rsidR="004C625A" w:rsidRPr="00E75919" w:rsidTr="004C625A">
        <w:tc>
          <w:tcPr>
            <w:tcW w:w="2427" w:type="pct"/>
            <w:gridSpan w:val="2"/>
          </w:tcPr>
          <w:p w:rsidR="004C625A" w:rsidRPr="001C7519" w:rsidRDefault="004C625A" w:rsidP="00843C56">
            <w:pPr>
              <w:jc w:val="both"/>
              <w:rPr>
                <w:sz w:val="20"/>
                <w:lang w:val="fr-CA"/>
              </w:rPr>
            </w:pPr>
            <w:r w:rsidRPr="001C7519">
              <w:rPr>
                <w:sz w:val="20"/>
                <w:lang w:val="fr-CA"/>
              </w:rPr>
              <w:t>1</w:t>
            </w:r>
            <w:r w:rsidRPr="001C7519">
              <w:rPr>
                <w:sz w:val="20"/>
                <w:vertAlign w:val="superscript"/>
                <w:lang w:val="fr-CA"/>
              </w:rPr>
              <w:t>er</w:t>
            </w:r>
            <w:r w:rsidRPr="001C7519">
              <w:rPr>
                <w:sz w:val="20"/>
                <w:lang w:val="fr-CA"/>
              </w:rPr>
              <w:t xml:space="preserve"> mars 2021</w:t>
            </w:r>
          </w:p>
          <w:p w:rsidR="004C625A" w:rsidRPr="001C7519" w:rsidRDefault="004C625A" w:rsidP="00843C56">
            <w:pPr>
              <w:jc w:val="both"/>
              <w:rPr>
                <w:sz w:val="20"/>
                <w:lang w:val="fr-CA"/>
              </w:rPr>
            </w:pPr>
            <w:r w:rsidRPr="001C7519">
              <w:rPr>
                <w:sz w:val="20"/>
                <w:lang w:val="fr-CA"/>
              </w:rPr>
              <w:t>Cour suprême du Canada</w:t>
            </w:r>
          </w:p>
        </w:tc>
        <w:tc>
          <w:tcPr>
            <w:tcW w:w="243" w:type="pct"/>
          </w:tcPr>
          <w:p w:rsidR="004C625A" w:rsidRPr="001C7519" w:rsidRDefault="004C625A" w:rsidP="00843C56">
            <w:pPr>
              <w:jc w:val="both"/>
              <w:rPr>
                <w:sz w:val="20"/>
                <w:lang w:val="fr-CA"/>
              </w:rPr>
            </w:pPr>
          </w:p>
        </w:tc>
        <w:tc>
          <w:tcPr>
            <w:tcW w:w="2330" w:type="pct"/>
          </w:tcPr>
          <w:p w:rsidR="004C625A" w:rsidRPr="001C7519" w:rsidRDefault="004C625A" w:rsidP="00843C56">
            <w:pPr>
              <w:jc w:val="both"/>
              <w:rPr>
                <w:sz w:val="20"/>
                <w:lang w:val="fr-CA"/>
              </w:rPr>
            </w:pPr>
            <w:r w:rsidRPr="001C7519">
              <w:rPr>
                <w:sz w:val="20"/>
                <w:lang w:val="fr-CA"/>
              </w:rPr>
              <w:t>La demande d’autorisation d’appel est présentée.</w:t>
            </w:r>
          </w:p>
          <w:p w:rsidR="004C625A" w:rsidRPr="001C7519" w:rsidRDefault="004C625A" w:rsidP="00843C56">
            <w:pPr>
              <w:jc w:val="both"/>
              <w:rPr>
                <w:sz w:val="20"/>
                <w:lang w:val="fr-CA"/>
              </w:rPr>
            </w:pPr>
          </w:p>
        </w:tc>
      </w:tr>
    </w:tbl>
    <w:p w:rsidR="00B63A3D" w:rsidRPr="001C7519" w:rsidRDefault="00B63A3D" w:rsidP="005A487B">
      <w:pPr>
        <w:widowControl w:val="0"/>
        <w:tabs>
          <w:tab w:val="left" w:pos="3840"/>
        </w:tabs>
        <w:jc w:val="both"/>
        <w:rPr>
          <w:sz w:val="20"/>
          <w:lang w:val="fr-CA"/>
        </w:rPr>
      </w:pPr>
    </w:p>
    <w:p w:rsidR="00B63A3D" w:rsidRPr="001C7519" w:rsidRDefault="00E75919" w:rsidP="005A487B">
      <w:pPr>
        <w:widowControl w:val="0"/>
        <w:tabs>
          <w:tab w:val="left" w:pos="3840"/>
        </w:tabs>
        <w:jc w:val="both"/>
        <w:rPr>
          <w:sz w:val="20"/>
          <w:lang w:val="fr-CA"/>
        </w:rPr>
      </w:pPr>
      <w:r>
        <w:rPr>
          <w:sz w:val="20"/>
        </w:rPr>
        <w:pict>
          <v:rect id="_x0000_i1039" style="width:2in;height:1pt" o:hrpct="0" o:hralign="center" o:hrstd="t" o:hrnoshade="t" o:hr="t" fillcolor="black [3213]" stroked="f"/>
        </w:pict>
      </w:r>
    </w:p>
    <w:p w:rsidR="00B63A3D" w:rsidRPr="001C7519" w:rsidRDefault="00B63A3D" w:rsidP="005A487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487B" w:rsidRPr="001C7519" w:rsidTr="004C625A">
        <w:tc>
          <w:tcPr>
            <w:tcW w:w="543" w:type="pct"/>
          </w:tcPr>
          <w:p w:rsidR="005A487B" w:rsidRPr="001C7519" w:rsidRDefault="005A487B" w:rsidP="005A487B">
            <w:pPr>
              <w:jc w:val="both"/>
              <w:rPr>
                <w:sz w:val="20"/>
                <w:lang w:val="en-CA"/>
              </w:rPr>
            </w:pPr>
            <w:r w:rsidRPr="001C7519">
              <w:rPr>
                <w:rStyle w:val="SCCFileNumberChar"/>
                <w:sz w:val="20"/>
                <w:szCs w:val="20"/>
              </w:rPr>
              <w:t>39640</w:t>
            </w:r>
          </w:p>
        </w:tc>
        <w:tc>
          <w:tcPr>
            <w:tcW w:w="4457" w:type="pct"/>
            <w:gridSpan w:val="3"/>
          </w:tcPr>
          <w:p w:rsidR="005A487B" w:rsidRPr="001C7519" w:rsidRDefault="005A487B" w:rsidP="005A487B">
            <w:pPr>
              <w:pStyle w:val="SCCLsocParty"/>
              <w:jc w:val="both"/>
              <w:rPr>
                <w:b/>
                <w:sz w:val="20"/>
                <w:szCs w:val="20"/>
                <w:lang w:val="en-CA"/>
              </w:rPr>
            </w:pPr>
            <w:r w:rsidRPr="001C7519">
              <w:rPr>
                <w:b/>
                <w:sz w:val="20"/>
                <w:szCs w:val="20"/>
                <w:lang w:val="en-CA"/>
              </w:rPr>
              <w:t>Ferme Alsace Holstein S.E.N.C. v. Cimentier Steve Dumas inc.</w:t>
            </w:r>
          </w:p>
          <w:p w:rsidR="005A487B" w:rsidRPr="001C7519" w:rsidRDefault="005A487B" w:rsidP="005A487B">
            <w:pPr>
              <w:jc w:val="both"/>
              <w:rPr>
                <w:sz w:val="20"/>
                <w:lang w:val="en-CA"/>
              </w:rPr>
            </w:pPr>
            <w:r w:rsidRPr="001C7519">
              <w:rPr>
                <w:sz w:val="20"/>
                <w:lang w:val="en-CA"/>
              </w:rPr>
              <w:t>(Que.) (Civil) (By Leave)</w:t>
            </w:r>
          </w:p>
        </w:tc>
      </w:tr>
      <w:tr w:rsidR="005A487B" w:rsidRPr="001C7519" w:rsidTr="004C625A">
        <w:tc>
          <w:tcPr>
            <w:tcW w:w="5000" w:type="pct"/>
            <w:gridSpan w:val="4"/>
          </w:tcPr>
          <w:p w:rsidR="005A487B" w:rsidRPr="001C7519" w:rsidRDefault="005A487B" w:rsidP="005A487B">
            <w:pPr>
              <w:jc w:val="both"/>
              <w:rPr>
                <w:sz w:val="20"/>
                <w:lang w:val="en-CA"/>
              </w:rPr>
            </w:pPr>
            <w:proofErr w:type="gramStart"/>
            <w:r w:rsidRPr="001C7519">
              <w:rPr>
                <w:sz w:val="20"/>
                <w:lang w:val="en-CA"/>
              </w:rPr>
              <w:t>Contract ⸺ Formation ⸺ Evidence ⸺ Conditions in Quebec civil law, in relation to private law construction contracts and as result of principle of relativity of contract (art. 1440 CCQ), under which subcontractor not paid by general contractor may successfully sue client directly ⸺ Whether in Canadian law, on question of credibility and of assessment of contradictory evidence, Court of Appeal is justified in intervening arbitrarily and reversing lower court’s judgment in light of rule of non</w:t>
            </w:r>
            <w:r w:rsidRPr="001C7519">
              <w:rPr>
                <w:sz w:val="20"/>
                <w:lang w:val="en-CA"/>
              </w:rPr>
              <w:noBreakHyphen/>
              <w:t xml:space="preserve">intervention of Court of Appeal ⸺ </w:t>
            </w:r>
            <w:r w:rsidRPr="001C7519">
              <w:rPr>
                <w:i/>
                <w:sz w:val="20"/>
                <w:lang w:val="en-CA"/>
              </w:rPr>
              <w:t>Civil Code of Québec</w:t>
            </w:r>
            <w:r w:rsidRPr="001C7519">
              <w:rPr>
                <w:sz w:val="20"/>
                <w:lang w:val="en-CA"/>
              </w:rPr>
              <w:t>, art. </w:t>
            </w:r>
            <w:proofErr w:type="gramEnd"/>
            <w:r w:rsidRPr="001C7519">
              <w:rPr>
                <w:sz w:val="20"/>
                <w:lang w:val="en-CA"/>
              </w:rPr>
              <w:t>1440.</w:t>
            </w:r>
          </w:p>
        </w:tc>
      </w:tr>
      <w:tr w:rsidR="005A487B" w:rsidRPr="001C7519" w:rsidTr="004C625A">
        <w:tc>
          <w:tcPr>
            <w:tcW w:w="5000" w:type="pct"/>
            <w:gridSpan w:val="4"/>
          </w:tcPr>
          <w:p w:rsidR="005A487B" w:rsidRPr="001C7519" w:rsidRDefault="005A487B" w:rsidP="005A487B">
            <w:pPr>
              <w:jc w:val="both"/>
              <w:rPr>
                <w:sz w:val="20"/>
                <w:lang w:val="en-CA"/>
              </w:rPr>
            </w:pPr>
          </w:p>
        </w:tc>
      </w:tr>
      <w:tr w:rsidR="005A487B" w:rsidRPr="001C7519" w:rsidTr="004C625A">
        <w:tc>
          <w:tcPr>
            <w:tcW w:w="5000" w:type="pct"/>
            <w:gridSpan w:val="4"/>
          </w:tcPr>
          <w:p w:rsidR="005A487B" w:rsidRPr="001C7519" w:rsidRDefault="005A487B" w:rsidP="005A487B">
            <w:pPr>
              <w:jc w:val="both"/>
              <w:rPr>
                <w:sz w:val="20"/>
                <w:lang w:val="en-CA"/>
              </w:rPr>
            </w:pPr>
            <w:r w:rsidRPr="001C7519">
              <w:rPr>
                <w:sz w:val="20"/>
                <w:lang w:val="en-CA"/>
              </w:rPr>
              <w:t xml:space="preserve">In 2017, the applicant, Ferme Alsace Holstein s.e.n.c (Alsace), engaged the general contractor Groupe HJF Construction inc. (HJF) to enlarge its cowshed. In July 2017, HJF entered into a subcontract with the respondent, Coffrage Cimentier Steve Dumas inc. (Cimentier), and in August 2017, Alsace and HJF entered into a contract of enterprise for the extension project. The project’s first phase </w:t>
            </w:r>
            <w:proofErr w:type="gramStart"/>
            <w:r w:rsidRPr="001C7519">
              <w:rPr>
                <w:sz w:val="20"/>
                <w:lang w:val="en-CA"/>
              </w:rPr>
              <w:t>was completed</w:t>
            </w:r>
            <w:proofErr w:type="gramEnd"/>
            <w:r w:rsidRPr="001C7519">
              <w:rPr>
                <w:sz w:val="20"/>
                <w:lang w:val="en-CA"/>
              </w:rPr>
              <w:t xml:space="preserve"> in late October 2017, and Cimentier sent a first invoice to HJF. After that invoice </w:t>
            </w:r>
            <w:proofErr w:type="gramStart"/>
            <w:r w:rsidRPr="001C7519">
              <w:rPr>
                <w:sz w:val="20"/>
                <w:lang w:val="en-CA"/>
              </w:rPr>
              <w:t>was sent</w:t>
            </w:r>
            <w:proofErr w:type="gramEnd"/>
            <w:r w:rsidRPr="001C7519">
              <w:rPr>
                <w:sz w:val="20"/>
                <w:lang w:val="en-CA"/>
              </w:rPr>
              <w:t xml:space="preserve">, a conversation about payment for the work took place in mid-November 2017 between Mr. Dumas, Cimentier’s principal shareholder and director, and Mr. Kelhetter, one of Alsace’s partners. HJF paid Cimentier’s invoice in late November 2017, and Cimentier then carried out the work on the project’s second phase </w:t>
            </w:r>
            <w:proofErr w:type="gramStart"/>
            <w:r w:rsidRPr="001C7519">
              <w:rPr>
                <w:sz w:val="20"/>
                <w:lang w:val="en-CA"/>
              </w:rPr>
              <w:t>and also</w:t>
            </w:r>
            <w:proofErr w:type="gramEnd"/>
            <w:r w:rsidRPr="001C7519">
              <w:rPr>
                <w:sz w:val="20"/>
                <w:lang w:val="en-CA"/>
              </w:rPr>
              <w:t xml:space="preserve"> carried out other work that had been agreed on directly with Alsace. In late December, Cimentier submitted two invoices to Alsace, including one dated December 21, 2017 for the second phase of the project. HJF made an assignment of its property in 2018. Cimentier brought an action on account against Alsace for the unpaid amount of its invoice of December 21, 2017. It asserted that Mr. Dumas and Mr. Kelhetter had entered into a new agreement in the mid</w:t>
            </w:r>
            <w:r w:rsidRPr="001C7519">
              <w:rPr>
                <w:sz w:val="20"/>
                <w:lang w:val="en-CA"/>
              </w:rPr>
              <w:noBreakHyphen/>
              <w:t xml:space="preserve">November 2017 telephone conversation according to which Alsace had undertaken to pay Cimentier directly for the work done in the extension project’s second phase. The Superior Court dismissed the originating application, and the Court of Appeal allowed the appeal. </w:t>
            </w:r>
          </w:p>
          <w:p w:rsidR="005A487B" w:rsidRPr="001C7519" w:rsidRDefault="005A487B" w:rsidP="005A487B">
            <w:pPr>
              <w:jc w:val="both"/>
              <w:rPr>
                <w:sz w:val="20"/>
                <w:lang w:val="en-CA"/>
              </w:rPr>
            </w:pPr>
          </w:p>
        </w:tc>
      </w:tr>
      <w:tr w:rsidR="005A487B" w:rsidRPr="001C7519" w:rsidTr="004C625A">
        <w:tc>
          <w:tcPr>
            <w:tcW w:w="2427" w:type="pct"/>
            <w:gridSpan w:val="2"/>
          </w:tcPr>
          <w:p w:rsidR="005A487B" w:rsidRPr="001C7519" w:rsidRDefault="005A487B" w:rsidP="005A487B">
            <w:pPr>
              <w:jc w:val="both"/>
              <w:rPr>
                <w:sz w:val="20"/>
                <w:lang w:val="en-CA"/>
              </w:rPr>
            </w:pPr>
            <w:r w:rsidRPr="001C7519">
              <w:rPr>
                <w:sz w:val="20"/>
                <w:lang w:val="en-CA"/>
              </w:rPr>
              <w:t>April 26, 2019</w:t>
            </w:r>
          </w:p>
          <w:p w:rsidR="005A487B" w:rsidRPr="001C7519" w:rsidRDefault="005A487B" w:rsidP="005A487B">
            <w:pPr>
              <w:jc w:val="both"/>
              <w:rPr>
                <w:sz w:val="20"/>
                <w:lang w:val="en-CA"/>
              </w:rPr>
            </w:pPr>
            <w:r w:rsidRPr="001C7519">
              <w:rPr>
                <w:sz w:val="20"/>
                <w:lang w:val="en-CA"/>
              </w:rPr>
              <w:t>Quebec Superior Court</w:t>
            </w:r>
          </w:p>
          <w:p w:rsidR="005A487B" w:rsidRPr="001C7519" w:rsidRDefault="005A487B" w:rsidP="005A487B">
            <w:pPr>
              <w:jc w:val="both"/>
              <w:rPr>
                <w:sz w:val="20"/>
                <w:lang w:val="en-CA"/>
              </w:rPr>
            </w:pPr>
            <w:r w:rsidRPr="001C7519">
              <w:rPr>
                <w:sz w:val="20"/>
                <w:lang w:val="en-CA"/>
              </w:rPr>
              <w:t>(Émond J.)</w:t>
            </w:r>
          </w:p>
          <w:p w:rsidR="005A487B" w:rsidRPr="001C7519" w:rsidRDefault="00E75919" w:rsidP="005A487B">
            <w:pPr>
              <w:jc w:val="both"/>
              <w:rPr>
                <w:sz w:val="20"/>
                <w:lang w:val="en-CA"/>
              </w:rPr>
            </w:pPr>
            <w:hyperlink r:id="rId51" w:history="1">
              <w:r w:rsidR="005A487B" w:rsidRPr="001C7519">
                <w:rPr>
                  <w:rStyle w:val="Hyperlink"/>
                  <w:sz w:val="20"/>
                  <w:lang w:val="en-CA"/>
                </w:rPr>
                <w:t>2019 QCCS 1726</w:t>
              </w:r>
            </w:hyperlink>
            <w:r w:rsidR="005A487B" w:rsidRPr="001C7519">
              <w:rPr>
                <w:sz w:val="20"/>
                <w:lang w:val="en-CA"/>
              </w:rPr>
              <w:t xml:space="preserve"> </w:t>
            </w:r>
          </w:p>
          <w:p w:rsidR="005A487B" w:rsidRPr="001C7519" w:rsidRDefault="005A487B" w:rsidP="005A487B">
            <w:pPr>
              <w:jc w:val="both"/>
              <w:rPr>
                <w:sz w:val="20"/>
                <w:lang w:val="en-CA"/>
              </w:rPr>
            </w:pPr>
          </w:p>
        </w:tc>
        <w:tc>
          <w:tcPr>
            <w:tcW w:w="243" w:type="pct"/>
          </w:tcPr>
          <w:p w:rsidR="005A487B" w:rsidRPr="001C7519" w:rsidRDefault="005A487B" w:rsidP="005A487B">
            <w:pPr>
              <w:jc w:val="both"/>
              <w:rPr>
                <w:sz w:val="20"/>
                <w:lang w:val="en-CA"/>
              </w:rPr>
            </w:pPr>
          </w:p>
        </w:tc>
        <w:tc>
          <w:tcPr>
            <w:tcW w:w="2330" w:type="pct"/>
          </w:tcPr>
          <w:p w:rsidR="005A487B" w:rsidRPr="001C7519" w:rsidRDefault="005A487B" w:rsidP="005A487B">
            <w:pPr>
              <w:jc w:val="both"/>
              <w:rPr>
                <w:sz w:val="20"/>
                <w:lang w:val="en-CA"/>
              </w:rPr>
            </w:pPr>
            <w:r w:rsidRPr="001C7519">
              <w:rPr>
                <w:sz w:val="20"/>
                <w:lang w:val="en-CA"/>
              </w:rPr>
              <w:t>Originating application dismissed</w:t>
            </w:r>
          </w:p>
          <w:p w:rsidR="005A487B" w:rsidRPr="001C7519" w:rsidRDefault="005A487B" w:rsidP="005A487B">
            <w:pPr>
              <w:jc w:val="both"/>
              <w:rPr>
                <w:sz w:val="20"/>
                <w:lang w:val="en-CA"/>
              </w:rPr>
            </w:pPr>
          </w:p>
        </w:tc>
      </w:tr>
      <w:tr w:rsidR="005A487B" w:rsidRPr="001C7519" w:rsidTr="004C625A">
        <w:tc>
          <w:tcPr>
            <w:tcW w:w="2427" w:type="pct"/>
            <w:gridSpan w:val="2"/>
          </w:tcPr>
          <w:p w:rsidR="005A487B" w:rsidRPr="001C7519" w:rsidRDefault="005A487B" w:rsidP="005A487B">
            <w:pPr>
              <w:jc w:val="both"/>
              <w:rPr>
                <w:sz w:val="20"/>
                <w:lang w:val="en-CA"/>
              </w:rPr>
            </w:pPr>
            <w:r w:rsidRPr="001C7519">
              <w:rPr>
                <w:sz w:val="20"/>
                <w:lang w:val="en-CA"/>
              </w:rPr>
              <w:t>February 25, 2021</w:t>
            </w:r>
          </w:p>
          <w:p w:rsidR="005A487B" w:rsidRPr="001C7519" w:rsidRDefault="005A487B" w:rsidP="005A487B">
            <w:pPr>
              <w:jc w:val="both"/>
              <w:rPr>
                <w:sz w:val="20"/>
                <w:lang w:val="en-CA"/>
              </w:rPr>
            </w:pPr>
            <w:r w:rsidRPr="001C7519">
              <w:rPr>
                <w:sz w:val="20"/>
                <w:lang w:val="en-CA"/>
              </w:rPr>
              <w:t>Quebec Court of Appeal (Québec)</w:t>
            </w:r>
          </w:p>
          <w:p w:rsidR="005A487B" w:rsidRPr="001C7519" w:rsidRDefault="005A487B" w:rsidP="005A487B">
            <w:pPr>
              <w:jc w:val="both"/>
              <w:rPr>
                <w:sz w:val="20"/>
                <w:lang w:val="fr-CA"/>
              </w:rPr>
            </w:pPr>
            <w:r w:rsidRPr="001C7519">
              <w:rPr>
                <w:sz w:val="20"/>
                <w:lang w:val="fr-CA"/>
              </w:rPr>
              <w:t>(Gagnon, Mainville and Rancourt JJ.A.)</w:t>
            </w:r>
          </w:p>
          <w:p w:rsidR="005A487B" w:rsidRPr="001C7519" w:rsidRDefault="00E75919" w:rsidP="005A487B">
            <w:pPr>
              <w:jc w:val="both"/>
              <w:rPr>
                <w:sz w:val="20"/>
                <w:lang w:val="en-CA"/>
              </w:rPr>
            </w:pPr>
            <w:hyperlink r:id="rId52" w:history="1">
              <w:r w:rsidR="005A487B" w:rsidRPr="001C7519">
                <w:rPr>
                  <w:rStyle w:val="Hyperlink"/>
                  <w:sz w:val="20"/>
                  <w:lang w:val="en-CA"/>
                </w:rPr>
                <w:t>2021 QCCA 324</w:t>
              </w:r>
            </w:hyperlink>
          </w:p>
          <w:p w:rsidR="005A487B" w:rsidRPr="001C7519" w:rsidRDefault="005A487B" w:rsidP="005A487B">
            <w:pPr>
              <w:jc w:val="both"/>
              <w:rPr>
                <w:sz w:val="20"/>
                <w:lang w:val="en-CA"/>
              </w:rPr>
            </w:pPr>
          </w:p>
        </w:tc>
        <w:tc>
          <w:tcPr>
            <w:tcW w:w="243" w:type="pct"/>
          </w:tcPr>
          <w:p w:rsidR="005A487B" w:rsidRPr="001C7519" w:rsidRDefault="005A487B" w:rsidP="005A487B">
            <w:pPr>
              <w:jc w:val="both"/>
              <w:rPr>
                <w:sz w:val="20"/>
                <w:lang w:val="en-CA"/>
              </w:rPr>
            </w:pPr>
          </w:p>
        </w:tc>
        <w:tc>
          <w:tcPr>
            <w:tcW w:w="2330" w:type="pct"/>
          </w:tcPr>
          <w:p w:rsidR="005A487B" w:rsidRPr="001C7519" w:rsidRDefault="005A487B" w:rsidP="005A487B">
            <w:pPr>
              <w:jc w:val="both"/>
              <w:rPr>
                <w:sz w:val="20"/>
                <w:lang w:val="en-CA"/>
              </w:rPr>
            </w:pPr>
            <w:r w:rsidRPr="001C7519">
              <w:rPr>
                <w:sz w:val="20"/>
                <w:lang w:val="en-CA"/>
              </w:rPr>
              <w:t xml:space="preserve">Appeal allowed </w:t>
            </w:r>
          </w:p>
        </w:tc>
      </w:tr>
      <w:tr w:rsidR="005A487B" w:rsidRPr="001C7519" w:rsidTr="004C625A">
        <w:tc>
          <w:tcPr>
            <w:tcW w:w="2427" w:type="pct"/>
            <w:gridSpan w:val="2"/>
          </w:tcPr>
          <w:p w:rsidR="005A487B" w:rsidRPr="001C7519" w:rsidRDefault="005A487B" w:rsidP="005A487B">
            <w:pPr>
              <w:jc w:val="both"/>
              <w:rPr>
                <w:sz w:val="20"/>
                <w:lang w:val="en-CA"/>
              </w:rPr>
            </w:pPr>
            <w:r w:rsidRPr="001C7519">
              <w:rPr>
                <w:sz w:val="20"/>
                <w:lang w:val="en-CA"/>
              </w:rPr>
              <w:t>April 21, 2021</w:t>
            </w:r>
          </w:p>
          <w:p w:rsidR="005A487B" w:rsidRPr="001C7519" w:rsidRDefault="005A487B" w:rsidP="005A487B">
            <w:pPr>
              <w:jc w:val="both"/>
              <w:rPr>
                <w:sz w:val="20"/>
                <w:lang w:val="en-CA"/>
              </w:rPr>
            </w:pPr>
            <w:r w:rsidRPr="001C7519">
              <w:rPr>
                <w:sz w:val="20"/>
                <w:lang w:val="en-CA"/>
              </w:rPr>
              <w:t>Supreme Court of Canada</w:t>
            </w:r>
          </w:p>
        </w:tc>
        <w:tc>
          <w:tcPr>
            <w:tcW w:w="243" w:type="pct"/>
          </w:tcPr>
          <w:p w:rsidR="005A487B" w:rsidRPr="001C7519" w:rsidRDefault="005A487B" w:rsidP="005A487B">
            <w:pPr>
              <w:jc w:val="both"/>
              <w:rPr>
                <w:sz w:val="20"/>
                <w:lang w:val="en-CA"/>
              </w:rPr>
            </w:pPr>
          </w:p>
        </w:tc>
        <w:tc>
          <w:tcPr>
            <w:tcW w:w="2330" w:type="pct"/>
          </w:tcPr>
          <w:p w:rsidR="005A487B" w:rsidRPr="001C7519" w:rsidRDefault="005A487B" w:rsidP="005A487B">
            <w:pPr>
              <w:jc w:val="both"/>
              <w:rPr>
                <w:sz w:val="20"/>
                <w:lang w:val="en-CA"/>
              </w:rPr>
            </w:pPr>
            <w:r w:rsidRPr="001C7519">
              <w:rPr>
                <w:sz w:val="20"/>
                <w:lang w:val="en-CA"/>
              </w:rPr>
              <w:t>Application for leave to appeal filed</w:t>
            </w:r>
          </w:p>
          <w:p w:rsidR="005A487B" w:rsidRPr="001C7519" w:rsidRDefault="005A487B" w:rsidP="005A487B">
            <w:pPr>
              <w:jc w:val="both"/>
              <w:rPr>
                <w:sz w:val="20"/>
                <w:lang w:val="en-CA"/>
              </w:rPr>
            </w:pPr>
          </w:p>
        </w:tc>
      </w:tr>
    </w:tbl>
    <w:p w:rsidR="005A487B" w:rsidRPr="001C7519" w:rsidRDefault="005A487B" w:rsidP="005A487B">
      <w:pPr>
        <w:jc w:val="both"/>
        <w:rPr>
          <w:sz w:val="20"/>
          <w:lang w:val="en-CA"/>
        </w:rPr>
      </w:pPr>
    </w:p>
    <w:p w:rsidR="005A487B" w:rsidRPr="001C7519" w:rsidRDefault="00E75919" w:rsidP="005A487B">
      <w:pPr>
        <w:jc w:val="both"/>
        <w:rPr>
          <w:sz w:val="20"/>
          <w:lang w:val="en-CA"/>
        </w:rPr>
      </w:pPr>
      <w:r>
        <w:rPr>
          <w:sz w:val="20"/>
        </w:rPr>
        <w:pict>
          <v:rect id="_x0000_i1040" style="width:2in;height:1pt" o:hrpct="0" o:hralign="center" o:hrstd="t" o:hrnoshade="t" o:hr="t" fillcolor="black [3213]" stroked="f"/>
        </w:pict>
      </w:r>
    </w:p>
    <w:p w:rsidR="005A487B" w:rsidRPr="001C7519" w:rsidRDefault="005A487B" w:rsidP="005A487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487B" w:rsidRPr="00E75919" w:rsidTr="004C625A">
        <w:tc>
          <w:tcPr>
            <w:tcW w:w="543" w:type="pct"/>
          </w:tcPr>
          <w:p w:rsidR="005A487B" w:rsidRPr="001C7519" w:rsidRDefault="005A487B" w:rsidP="005A487B">
            <w:pPr>
              <w:jc w:val="both"/>
              <w:rPr>
                <w:sz w:val="20"/>
              </w:rPr>
            </w:pPr>
            <w:r w:rsidRPr="001C7519">
              <w:rPr>
                <w:rStyle w:val="SCCFileNumberChar"/>
                <w:sz w:val="20"/>
                <w:szCs w:val="20"/>
              </w:rPr>
              <w:t>39640</w:t>
            </w:r>
          </w:p>
        </w:tc>
        <w:tc>
          <w:tcPr>
            <w:tcW w:w="4457" w:type="pct"/>
            <w:gridSpan w:val="3"/>
          </w:tcPr>
          <w:p w:rsidR="005A487B" w:rsidRPr="001C7519" w:rsidRDefault="005A487B" w:rsidP="005A487B">
            <w:pPr>
              <w:pStyle w:val="SCCLsocParty"/>
              <w:jc w:val="both"/>
              <w:rPr>
                <w:b/>
                <w:sz w:val="20"/>
                <w:szCs w:val="20"/>
              </w:rPr>
            </w:pPr>
            <w:r w:rsidRPr="001C7519">
              <w:rPr>
                <w:b/>
                <w:sz w:val="20"/>
                <w:szCs w:val="20"/>
              </w:rPr>
              <w:t>Ferme Alsace Holstein S.E.N.C. c. Cimentier Steve Dumas inc.</w:t>
            </w:r>
          </w:p>
          <w:p w:rsidR="005A487B" w:rsidRPr="001C7519" w:rsidRDefault="005A487B" w:rsidP="005A487B">
            <w:pPr>
              <w:jc w:val="both"/>
              <w:rPr>
                <w:sz w:val="20"/>
                <w:lang w:val="fr-CA"/>
              </w:rPr>
            </w:pPr>
            <w:r w:rsidRPr="001C7519">
              <w:rPr>
                <w:sz w:val="20"/>
                <w:lang w:val="fr-CA"/>
              </w:rPr>
              <w:t>(Qc) (Civile) (Autorisation)</w:t>
            </w:r>
          </w:p>
        </w:tc>
      </w:tr>
      <w:tr w:rsidR="005A487B" w:rsidRPr="001C7519" w:rsidTr="004C625A">
        <w:tc>
          <w:tcPr>
            <w:tcW w:w="5000" w:type="pct"/>
            <w:gridSpan w:val="4"/>
          </w:tcPr>
          <w:p w:rsidR="005A487B" w:rsidRPr="001C7519" w:rsidRDefault="005A487B" w:rsidP="005A487B">
            <w:pPr>
              <w:jc w:val="both"/>
              <w:rPr>
                <w:sz w:val="20"/>
              </w:rPr>
            </w:pPr>
            <w:r w:rsidRPr="001C7519">
              <w:rPr>
                <w:sz w:val="20"/>
                <w:lang w:val="fr-CA"/>
              </w:rPr>
              <w:t xml:space="preserve">Contrat </w:t>
            </w:r>
            <w:r w:rsidRPr="001C7519">
              <w:rPr>
                <w:sz w:val="20"/>
              </w:rPr>
              <w:t>⸺</w:t>
            </w:r>
            <w:r w:rsidRPr="001C7519">
              <w:rPr>
                <w:sz w:val="20"/>
                <w:lang w:val="fr-CA"/>
              </w:rPr>
              <w:t xml:space="preserve"> Formation </w:t>
            </w:r>
            <w:r w:rsidRPr="001C7519">
              <w:rPr>
                <w:sz w:val="20"/>
              </w:rPr>
              <w:t>⸺</w:t>
            </w:r>
            <w:r w:rsidRPr="001C7519">
              <w:rPr>
                <w:sz w:val="20"/>
                <w:lang w:val="fr-CA"/>
              </w:rPr>
              <w:t xml:space="preserve"> Preuve </w:t>
            </w:r>
            <w:r w:rsidRPr="001C7519">
              <w:rPr>
                <w:sz w:val="20"/>
              </w:rPr>
              <w:t>⸺</w:t>
            </w:r>
            <w:r w:rsidRPr="001C7519">
              <w:rPr>
                <w:sz w:val="20"/>
                <w:lang w:val="fr-CA"/>
              </w:rPr>
              <w:t xml:space="preserve"> En droit civil québécois, en matière de contrats de construction de droit privé et en vertu du principe de la relativité des contrats (art. 1440 CCQ), à quelles conditions un sous</w:t>
            </w:r>
            <w:r w:rsidRPr="001C7519">
              <w:rPr>
                <w:sz w:val="20"/>
                <w:lang w:val="fr-CA"/>
              </w:rPr>
              <w:noBreakHyphen/>
              <w:t>traitant non payé par l’entrepreneur général peut</w:t>
            </w:r>
            <w:r w:rsidRPr="001C7519">
              <w:rPr>
                <w:sz w:val="20"/>
                <w:lang w:val="fr-CA"/>
              </w:rPr>
              <w:noBreakHyphen/>
              <w:t xml:space="preserve">il poursuivre directement le client donner d’ouvrage et obtenir gain de cause? </w:t>
            </w:r>
            <w:r w:rsidRPr="001C7519">
              <w:rPr>
                <w:sz w:val="20"/>
              </w:rPr>
              <w:t>⸺</w:t>
            </w:r>
            <w:r w:rsidRPr="001C7519">
              <w:rPr>
                <w:sz w:val="20"/>
                <w:lang w:val="fr-CA"/>
              </w:rPr>
              <w:t xml:space="preserve"> En droit canadien, sur une question de crédibilité et d’appréciation d’une preuve contradictoire, est</w:t>
            </w:r>
            <w:r w:rsidRPr="001C7519">
              <w:rPr>
                <w:sz w:val="20"/>
                <w:lang w:val="fr-CA"/>
              </w:rPr>
              <w:noBreakHyphen/>
              <w:t>ce qu’une Cour d’appel est justifiée d’intervenir de façon arbitraire et de réformer un jugement de première instance eu égard à la règle de non</w:t>
            </w:r>
            <w:r w:rsidRPr="001C7519">
              <w:rPr>
                <w:sz w:val="20"/>
                <w:lang w:val="fr-CA"/>
              </w:rPr>
              <w:noBreakHyphen/>
              <w:t xml:space="preserve">intervention d’une Cour d’appel? </w:t>
            </w:r>
            <w:r w:rsidRPr="001C7519">
              <w:rPr>
                <w:sz w:val="20"/>
              </w:rPr>
              <w:t xml:space="preserve">⸺ </w:t>
            </w:r>
            <w:r w:rsidRPr="001C7519">
              <w:rPr>
                <w:i/>
                <w:sz w:val="20"/>
              </w:rPr>
              <w:t>Code civil du Québec</w:t>
            </w:r>
            <w:r w:rsidRPr="001C7519">
              <w:rPr>
                <w:sz w:val="20"/>
              </w:rPr>
              <w:t>, art. 1440.</w:t>
            </w:r>
          </w:p>
        </w:tc>
      </w:tr>
      <w:tr w:rsidR="005A487B" w:rsidRPr="001C7519" w:rsidTr="004C625A">
        <w:tc>
          <w:tcPr>
            <w:tcW w:w="5000" w:type="pct"/>
            <w:gridSpan w:val="4"/>
          </w:tcPr>
          <w:p w:rsidR="005A487B" w:rsidRPr="001C7519" w:rsidRDefault="005A487B" w:rsidP="005A487B">
            <w:pPr>
              <w:jc w:val="both"/>
              <w:rPr>
                <w:sz w:val="20"/>
              </w:rPr>
            </w:pPr>
          </w:p>
        </w:tc>
      </w:tr>
      <w:tr w:rsidR="005A487B" w:rsidRPr="00E75919" w:rsidTr="004C625A">
        <w:tc>
          <w:tcPr>
            <w:tcW w:w="5000" w:type="pct"/>
            <w:gridSpan w:val="4"/>
          </w:tcPr>
          <w:p w:rsidR="005A487B" w:rsidRPr="001C7519" w:rsidRDefault="005A487B" w:rsidP="005A487B">
            <w:pPr>
              <w:jc w:val="both"/>
              <w:rPr>
                <w:sz w:val="20"/>
                <w:lang w:val="fr-CA"/>
              </w:rPr>
            </w:pPr>
            <w:r w:rsidRPr="001C7519">
              <w:rPr>
                <w:sz w:val="20"/>
                <w:lang w:val="fr-CA"/>
              </w:rPr>
              <w:t>En 2017, la demanderesse la Ferme Alsace Holstein s.e.n.c (Alsace) a sollicité les services de l’entrepreneur général Groupe HJF Construction inc. (HJF) pour procéder à l’agrandissement de son étable. En juillet 2017, HFJ a conclu un contrat de sous-traitance avec l’intimée Coffrage Cimentier Steve Dumas inc. (Cimentier) et en août 2017, Alsace et HJF ont conclu un contrat d’entreprise pour la réalisation du projet d'agrandissement. La première phase du projet est complétée à la fin du mois d’octobre 2017 et Cimentier transmet à HJF une première facture. Comme suite à la transmission de cette facture, une conversation est intervenue à la mi</w:t>
            </w:r>
            <w:r w:rsidRPr="001C7519">
              <w:rPr>
                <w:sz w:val="20"/>
                <w:lang w:val="fr-CA"/>
              </w:rPr>
              <w:noBreakHyphen/>
              <w:t>novembre 2017 entre le principal actionnaire et administrateur de Cimentier, Monsieur Dumas et un des associés d’Alsace, Monsieur Kelhetter au sujet du paiement des travaux. À la fin de novembre 2017, HJF a procédé au paiement de la facture de Cimentier qui a alors poursuivi les travaux de la deuxième phase du projet et qui a effectué d’autres travaux convenus directement avec Alsace. À la fin du mois de décembre, Cimentier a présenté deux factures à Alsace dont une datée du 21 décembre 2017 relativement à la seconde phase du projet. HJF a fait cession de ses biens en 2018. Cimentier a entrepris une action sur compte contre Alsace pour le montant impayé de sa facture datée du 21 décembre 2017. Elle affirme qu’une nouvelle entente serait intervenue entre M. Dumas et M. Kelhetter au cours de la conversation téléphonique de la mi</w:t>
            </w:r>
            <w:r w:rsidRPr="001C7519">
              <w:rPr>
                <w:sz w:val="20"/>
                <w:lang w:val="fr-CA"/>
              </w:rPr>
              <w:noBreakHyphen/>
              <w:t xml:space="preserve">novembre 2017 et au terme duquel Alsace se serait engagée à payer directement Cimentier pour les travaux de la seconde phase du projet d’agrandissement. La Cour supérieure a rejeté la demande introductive d’instance et la Cour d’appel a accueilli l’appel. </w:t>
            </w:r>
          </w:p>
          <w:p w:rsidR="005A487B" w:rsidRPr="001C7519" w:rsidRDefault="005A487B" w:rsidP="005A487B">
            <w:pPr>
              <w:jc w:val="both"/>
              <w:rPr>
                <w:sz w:val="20"/>
                <w:lang w:val="fr-CA"/>
              </w:rPr>
            </w:pPr>
          </w:p>
        </w:tc>
      </w:tr>
      <w:tr w:rsidR="005A487B" w:rsidRPr="001C7519" w:rsidTr="004C625A">
        <w:tc>
          <w:tcPr>
            <w:tcW w:w="2427" w:type="pct"/>
            <w:gridSpan w:val="2"/>
          </w:tcPr>
          <w:p w:rsidR="005A487B" w:rsidRPr="001C7519" w:rsidRDefault="005A487B" w:rsidP="005A487B">
            <w:pPr>
              <w:jc w:val="both"/>
              <w:rPr>
                <w:sz w:val="20"/>
                <w:lang w:val="fr-CA"/>
              </w:rPr>
            </w:pPr>
            <w:r w:rsidRPr="001C7519">
              <w:rPr>
                <w:sz w:val="20"/>
                <w:lang w:val="fr-CA"/>
              </w:rPr>
              <w:t>Le 26 avril 2019</w:t>
            </w:r>
          </w:p>
          <w:p w:rsidR="005A487B" w:rsidRPr="001C7519" w:rsidRDefault="005A487B" w:rsidP="005A487B">
            <w:pPr>
              <w:jc w:val="both"/>
              <w:rPr>
                <w:sz w:val="20"/>
                <w:lang w:val="fr-CA"/>
              </w:rPr>
            </w:pPr>
            <w:r w:rsidRPr="001C7519">
              <w:rPr>
                <w:sz w:val="20"/>
                <w:lang w:val="fr-CA"/>
              </w:rPr>
              <w:t>Cour supérieure du Québec</w:t>
            </w:r>
          </w:p>
          <w:p w:rsidR="005A487B" w:rsidRPr="001C7519" w:rsidRDefault="005A487B" w:rsidP="005A487B">
            <w:pPr>
              <w:jc w:val="both"/>
              <w:rPr>
                <w:sz w:val="20"/>
              </w:rPr>
            </w:pPr>
            <w:r w:rsidRPr="001C7519">
              <w:rPr>
                <w:sz w:val="20"/>
              </w:rPr>
              <w:t>(Le juge Émond)</w:t>
            </w:r>
          </w:p>
          <w:p w:rsidR="005A487B" w:rsidRPr="001C7519" w:rsidRDefault="00E75919" w:rsidP="005A487B">
            <w:pPr>
              <w:jc w:val="both"/>
              <w:rPr>
                <w:sz w:val="20"/>
              </w:rPr>
            </w:pPr>
            <w:hyperlink r:id="rId53" w:history="1">
              <w:r w:rsidR="005A487B" w:rsidRPr="001C7519">
                <w:rPr>
                  <w:rStyle w:val="Hyperlink"/>
                  <w:sz w:val="20"/>
                </w:rPr>
                <w:t>2019 QCCS 1726</w:t>
              </w:r>
            </w:hyperlink>
            <w:r w:rsidR="005A487B" w:rsidRPr="001C7519">
              <w:rPr>
                <w:sz w:val="20"/>
              </w:rPr>
              <w:t xml:space="preserve"> </w:t>
            </w:r>
          </w:p>
          <w:p w:rsidR="005A487B" w:rsidRPr="001C7519" w:rsidRDefault="005A487B" w:rsidP="005A487B">
            <w:pPr>
              <w:jc w:val="both"/>
              <w:rPr>
                <w:sz w:val="20"/>
              </w:rPr>
            </w:pPr>
          </w:p>
        </w:tc>
        <w:tc>
          <w:tcPr>
            <w:tcW w:w="243" w:type="pct"/>
          </w:tcPr>
          <w:p w:rsidR="005A487B" w:rsidRPr="001C7519" w:rsidRDefault="005A487B" w:rsidP="005A487B">
            <w:pPr>
              <w:jc w:val="both"/>
              <w:rPr>
                <w:sz w:val="20"/>
              </w:rPr>
            </w:pPr>
          </w:p>
        </w:tc>
        <w:tc>
          <w:tcPr>
            <w:tcW w:w="2330" w:type="pct"/>
          </w:tcPr>
          <w:p w:rsidR="005A487B" w:rsidRPr="001C7519" w:rsidRDefault="005A487B" w:rsidP="005A487B">
            <w:pPr>
              <w:jc w:val="both"/>
              <w:rPr>
                <w:sz w:val="20"/>
              </w:rPr>
            </w:pPr>
            <w:r w:rsidRPr="001C7519">
              <w:rPr>
                <w:sz w:val="20"/>
              </w:rPr>
              <w:t>Demande introductive d’instance rejetée.</w:t>
            </w:r>
          </w:p>
          <w:p w:rsidR="005A487B" w:rsidRPr="001C7519" w:rsidRDefault="005A487B" w:rsidP="005A487B">
            <w:pPr>
              <w:jc w:val="both"/>
              <w:rPr>
                <w:sz w:val="20"/>
              </w:rPr>
            </w:pPr>
          </w:p>
        </w:tc>
      </w:tr>
      <w:tr w:rsidR="005A487B" w:rsidRPr="001C7519" w:rsidTr="004C625A">
        <w:tc>
          <w:tcPr>
            <w:tcW w:w="2427" w:type="pct"/>
            <w:gridSpan w:val="2"/>
          </w:tcPr>
          <w:p w:rsidR="005A487B" w:rsidRPr="001C7519" w:rsidRDefault="005A487B" w:rsidP="005A487B">
            <w:pPr>
              <w:jc w:val="both"/>
              <w:rPr>
                <w:sz w:val="20"/>
                <w:lang w:val="fr-CA"/>
              </w:rPr>
            </w:pPr>
            <w:r w:rsidRPr="001C7519">
              <w:rPr>
                <w:sz w:val="20"/>
                <w:lang w:val="fr-CA"/>
              </w:rPr>
              <w:t>Le 25 février 2021</w:t>
            </w:r>
          </w:p>
          <w:p w:rsidR="005A487B" w:rsidRPr="001C7519" w:rsidRDefault="005A487B" w:rsidP="005A487B">
            <w:pPr>
              <w:jc w:val="both"/>
              <w:rPr>
                <w:sz w:val="20"/>
                <w:lang w:val="fr-CA"/>
              </w:rPr>
            </w:pPr>
            <w:r w:rsidRPr="001C7519">
              <w:rPr>
                <w:sz w:val="20"/>
                <w:lang w:val="fr-CA"/>
              </w:rPr>
              <w:t>Cour d’appel du Québec (Québec)</w:t>
            </w:r>
          </w:p>
          <w:p w:rsidR="005A487B" w:rsidRPr="001C7519" w:rsidRDefault="005A487B" w:rsidP="005A487B">
            <w:pPr>
              <w:jc w:val="both"/>
              <w:rPr>
                <w:sz w:val="20"/>
                <w:lang w:val="fr-CA"/>
              </w:rPr>
            </w:pPr>
            <w:r w:rsidRPr="001C7519">
              <w:rPr>
                <w:sz w:val="20"/>
                <w:lang w:val="fr-CA"/>
              </w:rPr>
              <w:t>(Les juges Gagnon, Mainville et Rancourt)</w:t>
            </w:r>
          </w:p>
          <w:p w:rsidR="005A487B" w:rsidRPr="001C7519" w:rsidRDefault="00E75919" w:rsidP="005A487B">
            <w:pPr>
              <w:jc w:val="both"/>
              <w:rPr>
                <w:sz w:val="20"/>
              </w:rPr>
            </w:pPr>
            <w:hyperlink r:id="rId54" w:history="1">
              <w:r w:rsidR="005A487B" w:rsidRPr="001C7519">
                <w:rPr>
                  <w:rStyle w:val="Hyperlink"/>
                  <w:sz w:val="20"/>
                </w:rPr>
                <w:t>2021 QCCA 324</w:t>
              </w:r>
            </w:hyperlink>
          </w:p>
          <w:p w:rsidR="005A487B" w:rsidRPr="001C7519" w:rsidRDefault="005A487B" w:rsidP="005A487B">
            <w:pPr>
              <w:jc w:val="both"/>
              <w:rPr>
                <w:sz w:val="20"/>
              </w:rPr>
            </w:pPr>
          </w:p>
        </w:tc>
        <w:tc>
          <w:tcPr>
            <w:tcW w:w="243" w:type="pct"/>
          </w:tcPr>
          <w:p w:rsidR="005A487B" w:rsidRPr="001C7519" w:rsidRDefault="005A487B" w:rsidP="005A487B">
            <w:pPr>
              <w:jc w:val="both"/>
              <w:rPr>
                <w:sz w:val="20"/>
              </w:rPr>
            </w:pPr>
          </w:p>
        </w:tc>
        <w:tc>
          <w:tcPr>
            <w:tcW w:w="2330" w:type="pct"/>
          </w:tcPr>
          <w:p w:rsidR="005A487B" w:rsidRPr="001C7519" w:rsidRDefault="005A487B" w:rsidP="005A487B">
            <w:pPr>
              <w:jc w:val="both"/>
              <w:rPr>
                <w:sz w:val="20"/>
              </w:rPr>
            </w:pPr>
            <w:r w:rsidRPr="001C7519">
              <w:rPr>
                <w:sz w:val="20"/>
              </w:rPr>
              <w:t xml:space="preserve">Appel accueilli. </w:t>
            </w:r>
          </w:p>
        </w:tc>
      </w:tr>
      <w:tr w:rsidR="005A487B" w:rsidRPr="001C7519" w:rsidTr="004C625A">
        <w:tc>
          <w:tcPr>
            <w:tcW w:w="2427" w:type="pct"/>
            <w:gridSpan w:val="2"/>
          </w:tcPr>
          <w:p w:rsidR="005A487B" w:rsidRPr="001C7519" w:rsidRDefault="005A487B" w:rsidP="005A487B">
            <w:pPr>
              <w:jc w:val="both"/>
              <w:rPr>
                <w:sz w:val="20"/>
                <w:lang w:val="fr-CA"/>
              </w:rPr>
            </w:pPr>
            <w:r w:rsidRPr="001C7519">
              <w:rPr>
                <w:sz w:val="20"/>
                <w:lang w:val="fr-CA"/>
              </w:rPr>
              <w:t>Le 21 avril 2021</w:t>
            </w:r>
          </w:p>
          <w:p w:rsidR="005A487B" w:rsidRPr="001C7519" w:rsidRDefault="005A487B" w:rsidP="005A487B">
            <w:pPr>
              <w:jc w:val="both"/>
              <w:rPr>
                <w:sz w:val="20"/>
                <w:lang w:val="fr-CA"/>
              </w:rPr>
            </w:pPr>
            <w:r w:rsidRPr="001C7519">
              <w:rPr>
                <w:sz w:val="20"/>
                <w:lang w:val="fr-CA"/>
              </w:rPr>
              <w:t>Cour suprême du Canada</w:t>
            </w:r>
          </w:p>
        </w:tc>
        <w:tc>
          <w:tcPr>
            <w:tcW w:w="243" w:type="pct"/>
          </w:tcPr>
          <w:p w:rsidR="005A487B" w:rsidRPr="001C7519" w:rsidRDefault="005A487B" w:rsidP="005A487B">
            <w:pPr>
              <w:jc w:val="both"/>
              <w:rPr>
                <w:sz w:val="20"/>
                <w:lang w:val="fr-CA"/>
              </w:rPr>
            </w:pPr>
          </w:p>
        </w:tc>
        <w:tc>
          <w:tcPr>
            <w:tcW w:w="2330" w:type="pct"/>
          </w:tcPr>
          <w:p w:rsidR="005A487B" w:rsidRPr="001C7519" w:rsidRDefault="005A487B" w:rsidP="005A487B">
            <w:pPr>
              <w:jc w:val="both"/>
              <w:rPr>
                <w:sz w:val="20"/>
              </w:rPr>
            </w:pPr>
            <w:r w:rsidRPr="001C7519">
              <w:rPr>
                <w:sz w:val="20"/>
              </w:rPr>
              <w:t>Demande d'autorisation d'appel déposée</w:t>
            </w:r>
          </w:p>
          <w:p w:rsidR="005A487B" w:rsidRPr="001C7519" w:rsidRDefault="005A487B" w:rsidP="005A487B">
            <w:pPr>
              <w:jc w:val="both"/>
              <w:rPr>
                <w:sz w:val="20"/>
              </w:rPr>
            </w:pPr>
          </w:p>
        </w:tc>
      </w:tr>
    </w:tbl>
    <w:p w:rsidR="005A487B" w:rsidRPr="001C7519" w:rsidRDefault="005A487B" w:rsidP="005A487B">
      <w:pPr>
        <w:jc w:val="both"/>
        <w:rPr>
          <w:sz w:val="20"/>
        </w:rPr>
      </w:pPr>
    </w:p>
    <w:p w:rsidR="005A487B" w:rsidRPr="001C7519" w:rsidRDefault="00E75919" w:rsidP="005A487B">
      <w:pPr>
        <w:jc w:val="both"/>
        <w:rPr>
          <w:sz w:val="20"/>
        </w:rPr>
      </w:pPr>
      <w:r>
        <w:rPr>
          <w:sz w:val="20"/>
        </w:rPr>
        <w:pict>
          <v:rect id="_x0000_i1041" style="width:2in;height:1pt" o:hrpct="0" o:hralign="center" o:hrstd="t" o:hrnoshade="t" o:hr="t" fillcolor="black [3213]" stroked="f"/>
        </w:pict>
      </w:r>
    </w:p>
    <w:p w:rsidR="00F433FB" w:rsidRPr="001C7519" w:rsidRDefault="00F433FB" w:rsidP="005A487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487B" w:rsidRPr="001C7519" w:rsidTr="004C625A">
        <w:tc>
          <w:tcPr>
            <w:tcW w:w="543" w:type="pct"/>
          </w:tcPr>
          <w:p w:rsidR="005A487B" w:rsidRPr="001C7519" w:rsidRDefault="005A487B" w:rsidP="005A487B">
            <w:pPr>
              <w:jc w:val="both"/>
              <w:rPr>
                <w:sz w:val="20"/>
              </w:rPr>
            </w:pPr>
            <w:r w:rsidRPr="001C7519">
              <w:rPr>
                <w:rStyle w:val="SCCFileNumberChar"/>
                <w:sz w:val="20"/>
                <w:szCs w:val="20"/>
              </w:rPr>
              <w:t>39535</w:t>
            </w:r>
          </w:p>
        </w:tc>
        <w:tc>
          <w:tcPr>
            <w:tcW w:w="4457" w:type="pct"/>
            <w:gridSpan w:val="3"/>
          </w:tcPr>
          <w:p w:rsidR="005A487B" w:rsidRPr="001C7519" w:rsidRDefault="005A487B" w:rsidP="005A487B">
            <w:pPr>
              <w:pStyle w:val="SCCLsocParty"/>
              <w:jc w:val="both"/>
              <w:rPr>
                <w:b/>
                <w:sz w:val="20"/>
                <w:szCs w:val="20"/>
                <w:lang w:val="en-US"/>
              </w:rPr>
            </w:pPr>
            <w:r w:rsidRPr="001C7519">
              <w:rPr>
                <w:b/>
                <w:sz w:val="20"/>
                <w:szCs w:val="20"/>
                <w:lang w:val="en-US"/>
              </w:rPr>
              <w:t>Joseph Wilfrid Frigon v. Her Majesty the Queen</w:t>
            </w:r>
          </w:p>
          <w:p w:rsidR="005A487B" w:rsidRPr="001C7519" w:rsidRDefault="005A487B" w:rsidP="005A487B">
            <w:pPr>
              <w:jc w:val="both"/>
              <w:rPr>
                <w:sz w:val="20"/>
              </w:rPr>
            </w:pPr>
            <w:r w:rsidRPr="001C7519">
              <w:rPr>
                <w:sz w:val="20"/>
              </w:rPr>
              <w:t>(B.C.) (Criminal) (By Leave)</w:t>
            </w:r>
          </w:p>
        </w:tc>
      </w:tr>
      <w:tr w:rsidR="005A487B" w:rsidRPr="001C7519" w:rsidTr="004C625A">
        <w:tc>
          <w:tcPr>
            <w:tcW w:w="5000" w:type="pct"/>
            <w:gridSpan w:val="4"/>
          </w:tcPr>
          <w:p w:rsidR="005A487B" w:rsidRPr="001C7519" w:rsidRDefault="005A487B" w:rsidP="005A487B">
            <w:pPr>
              <w:jc w:val="both"/>
              <w:rPr>
                <w:sz w:val="20"/>
              </w:rPr>
            </w:pPr>
            <w:r w:rsidRPr="001C7519">
              <w:rPr>
                <w:sz w:val="20"/>
              </w:rPr>
              <w:t xml:space="preserve">Criminal law — Appeals — Jurisdiction — Curative proviso — Whether Court of Appeal has jurisdiction to dismiss appeal after finding a legal error and without resorting to curative proviso in s. 686(1)(b)(iii) of </w:t>
            </w:r>
            <w:r w:rsidRPr="001C7519">
              <w:rPr>
                <w:i/>
                <w:sz w:val="20"/>
              </w:rPr>
              <w:t>Criminal Code</w:t>
            </w:r>
            <w:r w:rsidRPr="001C7519">
              <w:rPr>
                <w:sz w:val="20"/>
              </w:rPr>
              <w:t>, R.S.C. 1985, c. C</w:t>
            </w:r>
            <w:r w:rsidRPr="001C7519">
              <w:rPr>
                <w:sz w:val="20"/>
              </w:rPr>
              <w:noBreakHyphen/>
              <w:t>46.</w:t>
            </w:r>
          </w:p>
        </w:tc>
      </w:tr>
      <w:tr w:rsidR="005A487B" w:rsidRPr="001C7519" w:rsidTr="004C625A">
        <w:tc>
          <w:tcPr>
            <w:tcW w:w="5000" w:type="pct"/>
            <w:gridSpan w:val="4"/>
          </w:tcPr>
          <w:p w:rsidR="005A487B" w:rsidRPr="001C7519" w:rsidRDefault="005A487B" w:rsidP="005A487B">
            <w:pPr>
              <w:jc w:val="both"/>
              <w:rPr>
                <w:sz w:val="20"/>
              </w:rPr>
            </w:pPr>
          </w:p>
        </w:tc>
      </w:tr>
      <w:tr w:rsidR="005A487B" w:rsidRPr="001C7519" w:rsidTr="004C625A">
        <w:tc>
          <w:tcPr>
            <w:tcW w:w="5000" w:type="pct"/>
            <w:gridSpan w:val="4"/>
          </w:tcPr>
          <w:p w:rsidR="005A487B" w:rsidRPr="001C7519" w:rsidRDefault="005A487B" w:rsidP="005A487B">
            <w:pPr>
              <w:jc w:val="both"/>
              <w:rPr>
                <w:sz w:val="20"/>
              </w:rPr>
            </w:pPr>
            <w:r w:rsidRPr="001C7519">
              <w:rPr>
                <w:sz w:val="20"/>
              </w:rPr>
              <w:t xml:space="preserve">At trial, the applicant, Mr. Frigon, was convicted of assault causing bodily harm after a physical altercation occurred between himself and another man in the bathroom of a pub. The Court of Appeal dismissed Mr. Frigon’s appeal in which he raised six grounds of appeal and sought to admit fresh evidence. The Court of Appeal found that there were some errors made by the trial judge and some irregularities in the trial process, but when considered in light of the evidence and the reasons for judgment as a whole, none of those errors or irregularities were sufficient to justify intervention. It therefore rejected Mr. Frigon’s submission that the cumulative effect of the alleged errors made by the trial judge resulted in a miscarriage of justice.  </w:t>
            </w:r>
          </w:p>
          <w:p w:rsidR="005A487B" w:rsidRPr="001C7519" w:rsidRDefault="005A487B" w:rsidP="005A487B">
            <w:pPr>
              <w:jc w:val="both"/>
              <w:rPr>
                <w:sz w:val="20"/>
              </w:rPr>
            </w:pPr>
          </w:p>
        </w:tc>
      </w:tr>
      <w:tr w:rsidR="005A487B" w:rsidRPr="001C7519" w:rsidTr="004C625A">
        <w:tc>
          <w:tcPr>
            <w:tcW w:w="2427" w:type="pct"/>
            <w:gridSpan w:val="2"/>
          </w:tcPr>
          <w:p w:rsidR="005A487B" w:rsidRPr="001C7519" w:rsidRDefault="005A487B" w:rsidP="005A487B">
            <w:pPr>
              <w:jc w:val="both"/>
              <w:rPr>
                <w:sz w:val="20"/>
              </w:rPr>
            </w:pPr>
            <w:r w:rsidRPr="001C7519">
              <w:rPr>
                <w:sz w:val="20"/>
              </w:rPr>
              <w:t>January 10, 2018</w:t>
            </w:r>
          </w:p>
          <w:p w:rsidR="005A487B" w:rsidRPr="001C7519" w:rsidRDefault="005A487B" w:rsidP="005A487B">
            <w:pPr>
              <w:jc w:val="both"/>
              <w:rPr>
                <w:sz w:val="20"/>
              </w:rPr>
            </w:pPr>
            <w:r w:rsidRPr="001C7519">
              <w:rPr>
                <w:sz w:val="20"/>
              </w:rPr>
              <w:t>Provincial Court of British Columbia</w:t>
            </w:r>
          </w:p>
          <w:p w:rsidR="005A487B" w:rsidRPr="001C7519" w:rsidRDefault="005A487B" w:rsidP="005A487B">
            <w:pPr>
              <w:jc w:val="both"/>
              <w:rPr>
                <w:sz w:val="20"/>
              </w:rPr>
            </w:pPr>
            <w:r w:rsidRPr="001C7519">
              <w:rPr>
                <w:sz w:val="20"/>
              </w:rPr>
              <w:t xml:space="preserve">Seagram Prov. Ct. J. </w:t>
            </w:r>
          </w:p>
          <w:p w:rsidR="005A487B" w:rsidRPr="001C7519" w:rsidRDefault="005A487B" w:rsidP="005A487B">
            <w:pPr>
              <w:jc w:val="both"/>
              <w:rPr>
                <w:sz w:val="20"/>
              </w:rPr>
            </w:pPr>
          </w:p>
        </w:tc>
        <w:tc>
          <w:tcPr>
            <w:tcW w:w="243" w:type="pct"/>
          </w:tcPr>
          <w:p w:rsidR="005A487B" w:rsidRPr="001C7519" w:rsidRDefault="005A487B" w:rsidP="005A487B">
            <w:pPr>
              <w:jc w:val="both"/>
              <w:rPr>
                <w:sz w:val="20"/>
              </w:rPr>
            </w:pPr>
          </w:p>
        </w:tc>
        <w:tc>
          <w:tcPr>
            <w:tcW w:w="2330" w:type="pct"/>
          </w:tcPr>
          <w:p w:rsidR="005A487B" w:rsidRPr="001C7519" w:rsidRDefault="005A487B" w:rsidP="005A487B">
            <w:pPr>
              <w:jc w:val="both"/>
              <w:rPr>
                <w:sz w:val="20"/>
              </w:rPr>
            </w:pPr>
            <w:r w:rsidRPr="001C7519">
              <w:rPr>
                <w:sz w:val="20"/>
              </w:rPr>
              <w:t>Conviction for assault causing bodily harm</w:t>
            </w:r>
          </w:p>
          <w:p w:rsidR="005A487B" w:rsidRPr="001C7519" w:rsidRDefault="005A487B" w:rsidP="005A487B">
            <w:pPr>
              <w:jc w:val="both"/>
              <w:rPr>
                <w:sz w:val="20"/>
              </w:rPr>
            </w:pPr>
          </w:p>
        </w:tc>
      </w:tr>
      <w:tr w:rsidR="005A487B" w:rsidRPr="001C7519" w:rsidTr="004C625A">
        <w:tc>
          <w:tcPr>
            <w:tcW w:w="2427" w:type="pct"/>
            <w:gridSpan w:val="2"/>
          </w:tcPr>
          <w:p w:rsidR="005A487B" w:rsidRPr="001C7519" w:rsidRDefault="005A487B" w:rsidP="005A487B">
            <w:pPr>
              <w:jc w:val="both"/>
              <w:rPr>
                <w:sz w:val="20"/>
              </w:rPr>
            </w:pPr>
            <w:r w:rsidRPr="001C7519">
              <w:rPr>
                <w:sz w:val="20"/>
              </w:rPr>
              <w:t>November 19, 2020</w:t>
            </w:r>
          </w:p>
          <w:p w:rsidR="005A487B" w:rsidRPr="001C7519" w:rsidRDefault="005A487B" w:rsidP="005A487B">
            <w:pPr>
              <w:jc w:val="both"/>
              <w:rPr>
                <w:sz w:val="20"/>
              </w:rPr>
            </w:pPr>
            <w:r w:rsidRPr="001C7519">
              <w:rPr>
                <w:sz w:val="20"/>
              </w:rPr>
              <w:t xml:space="preserve">Court of Appeal for British Columbia </w:t>
            </w:r>
          </w:p>
          <w:p w:rsidR="005A487B" w:rsidRPr="001C7519" w:rsidRDefault="005A487B" w:rsidP="005A487B">
            <w:pPr>
              <w:jc w:val="both"/>
              <w:rPr>
                <w:sz w:val="20"/>
              </w:rPr>
            </w:pPr>
            <w:r w:rsidRPr="001C7519">
              <w:rPr>
                <w:sz w:val="20"/>
              </w:rPr>
              <w:t>(Vancouver)</w:t>
            </w:r>
          </w:p>
          <w:p w:rsidR="005A487B" w:rsidRPr="001C7519" w:rsidRDefault="005A487B" w:rsidP="005A487B">
            <w:pPr>
              <w:jc w:val="both"/>
              <w:rPr>
                <w:sz w:val="20"/>
              </w:rPr>
            </w:pPr>
            <w:r w:rsidRPr="001C7519">
              <w:rPr>
                <w:sz w:val="20"/>
              </w:rPr>
              <w:t>(Groberman, Goepel and Fisher JJ.A.)</w:t>
            </w:r>
          </w:p>
          <w:p w:rsidR="005A487B" w:rsidRPr="001C7519" w:rsidRDefault="00E75919" w:rsidP="005A487B">
            <w:pPr>
              <w:jc w:val="both"/>
              <w:rPr>
                <w:sz w:val="20"/>
              </w:rPr>
            </w:pPr>
            <w:hyperlink r:id="rId55" w:history="1">
              <w:r w:rsidR="005A487B" w:rsidRPr="001C7519">
                <w:rPr>
                  <w:rStyle w:val="Hyperlink"/>
                  <w:sz w:val="20"/>
                </w:rPr>
                <w:t>2020 BCCA 315</w:t>
              </w:r>
            </w:hyperlink>
          </w:p>
          <w:p w:rsidR="005A487B" w:rsidRPr="001C7519" w:rsidRDefault="005A487B" w:rsidP="005A487B">
            <w:pPr>
              <w:jc w:val="both"/>
              <w:rPr>
                <w:sz w:val="20"/>
              </w:rPr>
            </w:pPr>
          </w:p>
        </w:tc>
        <w:tc>
          <w:tcPr>
            <w:tcW w:w="243" w:type="pct"/>
          </w:tcPr>
          <w:p w:rsidR="005A487B" w:rsidRPr="001C7519" w:rsidRDefault="005A487B" w:rsidP="005A487B">
            <w:pPr>
              <w:jc w:val="both"/>
              <w:rPr>
                <w:sz w:val="20"/>
              </w:rPr>
            </w:pPr>
          </w:p>
        </w:tc>
        <w:tc>
          <w:tcPr>
            <w:tcW w:w="2330" w:type="pct"/>
          </w:tcPr>
          <w:p w:rsidR="005A487B" w:rsidRPr="001C7519" w:rsidRDefault="005A487B" w:rsidP="005A487B">
            <w:pPr>
              <w:jc w:val="both"/>
              <w:rPr>
                <w:sz w:val="20"/>
              </w:rPr>
            </w:pPr>
            <w:r w:rsidRPr="001C7519">
              <w:rPr>
                <w:sz w:val="20"/>
              </w:rPr>
              <w:t>Appeal from conviction dismissed</w:t>
            </w:r>
          </w:p>
          <w:p w:rsidR="005A487B" w:rsidRPr="001C7519" w:rsidRDefault="005A487B" w:rsidP="005A487B">
            <w:pPr>
              <w:jc w:val="both"/>
              <w:rPr>
                <w:sz w:val="20"/>
              </w:rPr>
            </w:pPr>
          </w:p>
        </w:tc>
      </w:tr>
      <w:tr w:rsidR="005A487B" w:rsidRPr="001C7519" w:rsidTr="004C625A">
        <w:tc>
          <w:tcPr>
            <w:tcW w:w="2427" w:type="pct"/>
            <w:gridSpan w:val="2"/>
          </w:tcPr>
          <w:p w:rsidR="005A487B" w:rsidRPr="001C7519" w:rsidRDefault="005A487B" w:rsidP="005A487B">
            <w:pPr>
              <w:jc w:val="both"/>
              <w:rPr>
                <w:sz w:val="20"/>
              </w:rPr>
            </w:pPr>
            <w:r w:rsidRPr="001C7519">
              <w:rPr>
                <w:sz w:val="20"/>
              </w:rPr>
              <w:t>January 18, 2021</w:t>
            </w:r>
          </w:p>
          <w:p w:rsidR="005A487B" w:rsidRPr="001C7519" w:rsidRDefault="005A487B" w:rsidP="005A487B">
            <w:pPr>
              <w:jc w:val="both"/>
              <w:rPr>
                <w:sz w:val="20"/>
              </w:rPr>
            </w:pPr>
            <w:r w:rsidRPr="001C7519">
              <w:rPr>
                <w:sz w:val="20"/>
              </w:rPr>
              <w:t>Supreme Court of Canada</w:t>
            </w:r>
          </w:p>
        </w:tc>
        <w:tc>
          <w:tcPr>
            <w:tcW w:w="243" w:type="pct"/>
          </w:tcPr>
          <w:p w:rsidR="005A487B" w:rsidRPr="001C7519" w:rsidRDefault="005A487B" w:rsidP="005A487B">
            <w:pPr>
              <w:jc w:val="both"/>
              <w:rPr>
                <w:sz w:val="20"/>
              </w:rPr>
            </w:pPr>
          </w:p>
        </w:tc>
        <w:tc>
          <w:tcPr>
            <w:tcW w:w="2330" w:type="pct"/>
          </w:tcPr>
          <w:p w:rsidR="005A487B" w:rsidRPr="001C7519" w:rsidRDefault="005A487B" w:rsidP="005A487B">
            <w:pPr>
              <w:jc w:val="both"/>
              <w:rPr>
                <w:sz w:val="20"/>
              </w:rPr>
            </w:pPr>
            <w:r w:rsidRPr="001C7519">
              <w:rPr>
                <w:sz w:val="20"/>
              </w:rPr>
              <w:t>Application for leave to appeal filed</w:t>
            </w:r>
          </w:p>
          <w:p w:rsidR="005A487B" w:rsidRPr="001C7519" w:rsidRDefault="005A487B" w:rsidP="005A487B">
            <w:pPr>
              <w:jc w:val="both"/>
              <w:rPr>
                <w:sz w:val="20"/>
              </w:rPr>
            </w:pPr>
          </w:p>
        </w:tc>
      </w:tr>
    </w:tbl>
    <w:p w:rsidR="005A487B" w:rsidRPr="001C7519" w:rsidRDefault="005A487B" w:rsidP="005A487B">
      <w:pPr>
        <w:jc w:val="both"/>
        <w:rPr>
          <w:sz w:val="20"/>
        </w:rPr>
      </w:pPr>
    </w:p>
    <w:p w:rsidR="005A487B" w:rsidRPr="001C7519" w:rsidRDefault="00E75919" w:rsidP="005A487B">
      <w:pPr>
        <w:jc w:val="both"/>
        <w:rPr>
          <w:sz w:val="20"/>
        </w:rPr>
      </w:pPr>
      <w:r>
        <w:rPr>
          <w:sz w:val="20"/>
        </w:rPr>
        <w:pict>
          <v:rect id="_x0000_i1042" style="width:2in;height:1pt" o:hrpct="0" o:hralign="center" o:hrstd="t" o:hrnoshade="t" o:hr="t" fillcolor="black [3213]" stroked="f"/>
        </w:pict>
      </w:r>
    </w:p>
    <w:p w:rsidR="005A487B" w:rsidRPr="001C7519" w:rsidRDefault="005A487B" w:rsidP="005A48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487B" w:rsidRPr="00E75919" w:rsidTr="004C625A">
        <w:tc>
          <w:tcPr>
            <w:tcW w:w="543" w:type="pct"/>
          </w:tcPr>
          <w:p w:rsidR="005A487B" w:rsidRPr="001C7519" w:rsidRDefault="005A487B" w:rsidP="005A487B">
            <w:pPr>
              <w:jc w:val="both"/>
              <w:rPr>
                <w:sz w:val="20"/>
                <w:lang w:val="fr-CA"/>
              </w:rPr>
            </w:pPr>
            <w:r w:rsidRPr="001C7519">
              <w:rPr>
                <w:rStyle w:val="SCCFileNumberChar"/>
                <w:sz w:val="20"/>
                <w:szCs w:val="20"/>
                <w:lang w:val="fr-CA"/>
              </w:rPr>
              <w:t>39535</w:t>
            </w:r>
          </w:p>
        </w:tc>
        <w:tc>
          <w:tcPr>
            <w:tcW w:w="4457" w:type="pct"/>
            <w:gridSpan w:val="3"/>
          </w:tcPr>
          <w:p w:rsidR="005A487B" w:rsidRPr="001C7519" w:rsidRDefault="005A487B" w:rsidP="005A487B">
            <w:pPr>
              <w:pStyle w:val="SCCLsocParty"/>
              <w:jc w:val="both"/>
              <w:rPr>
                <w:b/>
                <w:sz w:val="20"/>
                <w:szCs w:val="20"/>
              </w:rPr>
            </w:pPr>
            <w:r w:rsidRPr="001C7519">
              <w:rPr>
                <w:b/>
                <w:sz w:val="20"/>
                <w:szCs w:val="20"/>
              </w:rPr>
              <w:t>Joseph Wilfrid Frigon c. Sa Majesté la Reine</w:t>
            </w:r>
          </w:p>
          <w:p w:rsidR="005A487B" w:rsidRPr="001C7519" w:rsidRDefault="005A487B" w:rsidP="005A487B">
            <w:pPr>
              <w:jc w:val="both"/>
              <w:rPr>
                <w:sz w:val="20"/>
                <w:lang w:val="fr-CA"/>
              </w:rPr>
            </w:pPr>
            <w:r w:rsidRPr="001C7519">
              <w:rPr>
                <w:sz w:val="20"/>
                <w:lang w:val="fr-CA"/>
              </w:rPr>
              <w:t>(C.-B.) (Criminelle) (Sur autorisation)</w:t>
            </w:r>
          </w:p>
        </w:tc>
      </w:tr>
      <w:tr w:rsidR="005A487B" w:rsidRPr="001C7519" w:rsidTr="004C625A">
        <w:tc>
          <w:tcPr>
            <w:tcW w:w="5000" w:type="pct"/>
            <w:gridSpan w:val="4"/>
          </w:tcPr>
          <w:p w:rsidR="005A487B" w:rsidRPr="001C7519" w:rsidRDefault="005A487B" w:rsidP="005A487B">
            <w:pPr>
              <w:jc w:val="both"/>
              <w:rPr>
                <w:sz w:val="20"/>
                <w:lang w:val="fr-CA"/>
              </w:rPr>
            </w:pPr>
            <w:r w:rsidRPr="001C7519">
              <w:rPr>
                <w:sz w:val="20"/>
                <w:lang w:val="fr-CA"/>
              </w:rPr>
              <w:t>Droit criminel — Appels — Compétence — Disposition réparatrice — La Cour d’appel a</w:t>
            </w:r>
            <w:r w:rsidRPr="001C7519">
              <w:rPr>
                <w:sz w:val="20"/>
                <w:lang w:val="fr-CA"/>
              </w:rPr>
              <w:noBreakHyphen/>
              <w:t>t</w:t>
            </w:r>
            <w:r w:rsidRPr="001C7519">
              <w:rPr>
                <w:sz w:val="20"/>
                <w:lang w:val="fr-CA"/>
              </w:rPr>
              <w:noBreakHyphen/>
              <w:t>elle compétence pour rejeter un appel après avoir conclu à l’existence d’une erreur de droit et sans recourir à la disposition réparatrice prévue au sous</w:t>
            </w:r>
            <w:r w:rsidRPr="001C7519">
              <w:rPr>
                <w:sz w:val="20"/>
                <w:lang w:val="fr-CA"/>
              </w:rPr>
              <w:noBreakHyphen/>
              <w:t>al. 686(1)</w:t>
            </w:r>
            <w:r w:rsidRPr="001C7519">
              <w:rPr>
                <w:i/>
                <w:sz w:val="20"/>
                <w:lang w:val="fr-CA"/>
              </w:rPr>
              <w:t>b</w:t>
            </w:r>
            <w:proofErr w:type="gramStart"/>
            <w:r w:rsidRPr="001C7519">
              <w:rPr>
                <w:sz w:val="20"/>
                <w:lang w:val="fr-CA"/>
              </w:rPr>
              <w:t>)(</w:t>
            </w:r>
            <w:proofErr w:type="gramEnd"/>
            <w:r w:rsidRPr="001C7519">
              <w:rPr>
                <w:sz w:val="20"/>
                <w:lang w:val="fr-CA"/>
              </w:rPr>
              <w:t xml:space="preserve">iii) du </w:t>
            </w:r>
            <w:r w:rsidRPr="001C7519">
              <w:rPr>
                <w:i/>
                <w:sz w:val="20"/>
                <w:lang w:val="fr-CA"/>
              </w:rPr>
              <w:t>Code criminel</w:t>
            </w:r>
            <w:r w:rsidRPr="001C7519">
              <w:rPr>
                <w:sz w:val="20"/>
                <w:lang w:val="fr-CA"/>
              </w:rPr>
              <w:t>, L.R.C. 1985, ch. C</w:t>
            </w:r>
            <w:r w:rsidRPr="001C7519">
              <w:rPr>
                <w:sz w:val="20"/>
                <w:lang w:val="fr-CA"/>
              </w:rPr>
              <w:noBreakHyphen/>
              <w:t> 46 ?</w:t>
            </w:r>
          </w:p>
        </w:tc>
      </w:tr>
      <w:tr w:rsidR="005A487B" w:rsidRPr="001C7519" w:rsidTr="004C625A">
        <w:tc>
          <w:tcPr>
            <w:tcW w:w="5000" w:type="pct"/>
            <w:gridSpan w:val="4"/>
          </w:tcPr>
          <w:p w:rsidR="005A487B" w:rsidRPr="001C7519" w:rsidRDefault="005A487B" w:rsidP="005A487B">
            <w:pPr>
              <w:jc w:val="both"/>
              <w:rPr>
                <w:sz w:val="20"/>
                <w:lang w:val="fr-CA"/>
              </w:rPr>
            </w:pPr>
          </w:p>
        </w:tc>
      </w:tr>
      <w:tr w:rsidR="005A487B" w:rsidRPr="00E75919" w:rsidTr="004C625A">
        <w:tc>
          <w:tcPr>
            <w:tcW w:w="5000" w:type="pct"/>
            <w:gridSpan w:val="4"/>
          </w:tcPr>
          <w:p w:rsidR="005A487B" w:rsidRPr="001C7519" w:rsidRDefault="005A487B" w:rsidP="005A487B">
            <w:pPr>
              <w:jc w:val="both"/>
              <w:rPr>
                <w:sz w:val="20"/>
                <w:lang w:val="fr-CA"/>
              </w:rPr>
            </w:pPr>
            <w:r w:rsidRPr="001C7519">
              <w:rPr>
                <w:sz w:val="20"/>
                <w:lang w:val="fr-CA"/>
              </w:rPr>
              <w:t>Au procès, le demandeur, M. Frigon, a été déclaré coupable de voies de fait infligeant des lésions corporelles après une altercation physique ayant eu lieu entre lui et un autre homme dans la salle de bain d’un pub. La Cour d’appel a rejeté l’appel de M. Frigon dans lequel il a soulevé six moyens et a voulu présenter des éléments de preuve nouveaux. La Cour d’appel a conclu que le juge du procès avait commis des erreurs et qu’il y avait eu des irrégularités dans l’instruction du procès, mais que lorsque celles</w:t>
            </w:r>
            <w:r w:rsidRPr="001C7519">
              <w:rPr>
                <w:sz w:val="20"/>
                <w:lang w:val="fr-CA"/>
              </w:rPr>
              <w:noBreakHyphen/>
              <w:t>ci étaient examinées à la lumière de la preuve et des motifs du jugement dans leur ensemble, aucune de ces erreurs et irrégularités ne suffisait pour justifier une intervention. Elle a ainsi rejeté l’argument de M. Frigon voulant que l’effet cumulatif des erreurs qui auraient été commises par le juge du procès se soit soldé par une erreur judiciaire.</w:t>
            </w:r>
          </w:p>
          <w:p w:rsidR="005A487B" w:rsidRPr="001C7519" w:rsidRDefault="005A487B" w:rsidP="005A487B">
            <w:pPr>
              <w:jc w:val="both"/>
              <w:rPr>
                <w:sz w:val="20"/>
                <w:lang w:val="fr-CA"/>
              </w:rPr>
            </w:pPr>
          </w:p>
        </w:tc>
      </w:tr>
      <w:tr w:rsidR="005A487B" w:rsidRPr="00E75919" w:rsidTr="004C625A">
        <w:tc>
          <w:tcPr>
            <w:tcW w:w="2427" w:type="pct"/>
            <w:gridSpan w:val="2"/>
          </w:tcPr>
          <w:p w:rsidR="005A487B" w:rsidRPr="001C7519" w:rsidRDefault="005A487B" w:rsidP="005A487B">
            <w:pPr>
              <w:jc w:val="both"/>
              <w:rPr>
                <w:sz w:val="20"/>
                <w:lang w:val="fr-CA"/>
              </w:rPr>
            </w:pPr>
            <w:r w:rsidRPr="001C7519">
              <w:rPr>
                <w:sz w:val="20"/>
                <w:lang w:val="fr-CA"/>
              </w:rPr>
              <w:t>10 janvier 2018</w:t>
            </w:r>
          </w:p>
          <w:p w:rsidR="005A487B" w:rsidRPr="001C7519" w:rsidRDefault="005A487B" w:rsidP="005A487B">
            <w:pPr>
              <w:jc w:val="both"/>
              <w:rPr>
                <w:sz w:val="20"/>
                <w:lang w:val="fr-CA"/>
              </w:rPr>
            </w:pPr>
            <w:r w:rsidRPr="001C7519">
              <w:rPr>
                <w:sz w:val="20"/>
                <w:lang w:val="fr-CA"/>
              </w:rPr>
              <w:t>Cour provinciale de la Colombie</w:t>
            </w:r>
            <w:r w:rsidRPr="001C7519">
              <w:rPr>
                <w:sz w:val="20"/>
                <w:lang w:val="fr-CA"/>
              </w:rPr>
              <w:noBreakHyphen/>
              <w:t>Britannique</w:t>
            </w:r>
          </w:p>
          <w:p w:rsidR="005A487B" w:rsidRPr="001C7519" w:rsidRDefault="005A487B" w:rsidP="005A487B">
            <w:pPr>
              <w:jc w:val="both"/>
              <w:rPr>
                <w:sz w:val="20"/>
                <w:lang w:val="fr-CA"/>
              </w:rPr>
            </w:pPr>
            <w:r w:rsidRPr="001C7519">
              <w:rPr>
                <w:sz w:val="20"/>
                <w:lang w:val="fr-CA"/>
              </w:rPr>
              <w:t xml:space="preserve">(juge Seagram) </w:t>
            </w:r>
          </w:p>
          <w:p w:rsidR="005A487B" w:rsidRPr="001C7519" w:rsidRDefault="005A487B" w:rsidP="005A487B">
            <w:pPr>
              <w:jc w:val="both"/>
              <w:rPr>
                <w:sz w:val="20"/>
                <w:lang w:val="fr-CA"/>
              </w:rPr>
            </w:pPr>
          </w:p>
        </w:tc>
        <w:tc>
          <w:tcPr>
            <w:tcW w:w="243" w:type="pct"/>
          </w:tcPr>
          <w:p w:rsidR="005A487B" w:rsidRPr="001C7519" w:rsidRDefault="005A487B" w:rsidP="005A487B">
            <w:pPr>
              <w:jc w:val="both"/>
              <w:rPr>
                <w:sz w:val="20"/>
                <w:lang w:val="fr-CA"/>
              </w:rPr>
            </w:pPr>
          </w:p>
        </w:tc>
        <w:tc>
          <w:tcPr>
            <w:tcW w:w="2330" w:type="pct"/>
          </w:tcPr>
          <w:p w:rsidR="005A487B" w:rsidRPr="001C7519" w:rsidRDefault="005A487B" w:rsidP="005A487B">
            <w:pPr>
              <w:jc w:val="both"/>
              <w:rPr>
                <w:sz w:val="20"/>
                <w:lang w:val="fr-CA"/>
              </w:rPr>
            </w:pPr>
            <w:r w:rsidRPr="001C7519">
              <w:rPr>
                <w:sz w:val="20"/>
                <w:lang w:val="fr-CA"/>
              </w:rPr>
              <w:t xml:space="preserve">L’accusé est déclaré coupable de voies de fait infligeant des lésions corporelles. </w:t>
            </w:r>
          </w:p>
        </w:tc>
      </w:tr>
      <w:tr w:rsidR="005A487B" w:rsidRPr="00E75919" w:rsidTr="004C625A">
        <w:tc>
          <w:tcPr>
            <w:tcW w:w="2427" w:type="pct"/>
            <w:gridSpan w:val="2"/>
          </w:tcPr>
          <w:p w:rsidR="005A487B" w:rsidRPr="001C7519" w:rsidRDefault="005A487B" w:rsidP="005A487B">
            <w:pPr>
              <w:jc w:val="both"/>
              <w:rPr>
                <w:sz w:val="20"/>
                <w:lang w:val="fr-CA"/>
              </w:rPr>
            </w:pPr>
            <w:r w:rsidRPr="001C7519">
              <w:rPr>
                <w:sz w:val="20"/>
                <w:lang w:val="fr-CA"/>
              </w:rPr>
              <w:t>19 novembre 2020</w:t>
            </w:r>
          </w:p>
          <w:p w:rsidR="005A487B" w:rsidRPr="001C7519" w:rsidRDefault="005A487B" w:rsidP="005A487B">
            <w:pPr>
              <w:jc w:val="both"/>
              <w:rPr>
                <w:sz w:val="20"/>
                <w:lang w:val="fr-CA"/>
              </w:rPr>
            </w:pPr>
            <w:r w:rsidRPr="001C7519">
              <w:rPr>
                <w:sz w:val="20"/>
                <w:lang w:val="fr-CA"/>
              </w:rPr>
              <w:t>Cour d’appel de la Colombie</w:t>
            </w:r>
            <w:r w:rsidRPr="001C7519">
              <w:rPr>
                <w:sz w:val="20"/>
                <w:lang w:val="fr-CA"/>
              </w:rPr>
              <w:noBreakHyphen/>
              <w:t xml:space="preserve">Britannique </w:t>
            </w:r>
          </w:p>
          <w:p w:rsidR="005A487B" w:rsidRPr="001C7519" w:rsidRDefault="005A487B" w:rsidP="005A487B">
            <w:pPr>
              <w:jc w:val="both"/>
              <w:rPr>
                <w:sz w:val="20"/>
                <w:lang w:val="fr-CA"/>
              </w:rPr>
            </w:pPr>
            <w:r w:rsidRPr="001C7519">
              <w:rPr>
                <w:sz w:val="20"/>
                <w:lang w:val="fr-CA"/>
              </w:rPr>
              <w:t>(Vancouver)</w:t>
            </w:r>
          </w:p>
          <w:p w:rsidR="005A487B" w:rsidRPr="001C7519" w:rsidRDefault="005A487B" w:rsidP="005A487B">
            <w:pPr>
              <w:jc w:val="both"/>
              <w:rPr>
                <w:sz w:val="20"/>
                <w:lang w:val="fr-CA"/>
              </w:rPr>
            </w:pPr>
            <w:r w:rsidRPr="001C7519">
              <w:rPr>
                <w:sz w:val="20"/>
                <w:lang w:val="fr-CA"/>
              </w:rPr>
              <w:t>(juge Groberman, Goepel et Fisher)</w:t>
            </w:r>
          </w:p>
          <w:p w:rsidR="005A487B" w:rsidRPr="001C7519" w:rsidRDefault="00E75919" w:rsidP="005A487B">
            <w:pPr>
              <w:jc w:val="both"/>
              <w:rPr>
                <w:sz w:val="20"/>
                <w:lang w:val="fr-CA"/>
              </w:rPr>
            </w:pPr>
            <w:hyperlink r:id="rId56" w:history="1">
              <w:r w:rsidR="005A487B" w:rsidRPr="001C7519">
                <w:rPr>
                  <w:rStyle w:val="Hyperlink"/>
                  <w:sz w:val="20"/>
                  <w:lang w:val="fr-CA"/>
                </w:rPr>
                <w:t>2020 BCCA 315</w:t>
              </w:r>
            </w:hyperlink>
          </w:p>
          <w:p w:rsidR="005A487B" w:rsidRPr="001C7519" w:rsidRDefault="005A487B" w:rsidP="005A487B">
            <w:pPr>
              <w:jc w:val="both"/>
              <w:rPr>
                <w:sz w:val="20"/>
                <w:lang w:val="fr-CA"/>
              </w:rPr>
            </w:pPr>
          </w:p>
        </w:tc>
        <w:tc>
          <w:tcPr>
            <w:tcW w:w="243" w:type="pct"/>
          </w:tcPr>
          <w:p w:rsidR="005A487B" w:rsidRPr="001C7519" w:rsidRDefault="005A487B" w:rsidP="005A487B">
            <w:pPr>
              <w:jc w:val="both"/>
              <w:rPr>
                <w:sz w:val="20"/>
                <w:lang w:val="fr-CA"/>
              </w:rPr>
            </w:pPr>
          </w:p>
        </w:tc>
        <w:tc>
          <w:tcPr>
            <w:tcW w:w="2330" w:type="pct"/>
          </w:tcPr>
          <w:p w:rsidR="005A487B" w:rsidRPr="001C7519" w:rsidRDefault="005A487B" w:rsidP="005A487B">
            <w:pPr>
              <w:jc w:val="both"/>
              <w:rPr>
                <w:sz w:val="20"/>
                <w:lang w:val="fr-CA"/>
              </w:rPr>
            </w:pPr>
            <w:r w:rsidRPr="001C7519">
              <w:rPr>
                <w:sz w:val="20"/>
                <w:lang w:val="fr-CA"/>
              </w:rPr>
              <w:t>L’appel de la déclaration de culpabilité est rejeté.</w:t>
            </w:r>
          </w:p>
          <w:p w:rsidR="005A487B" w:rsidRPr="001C7519" w:rsidRDefault="005A487B" w:rsidP="005A487B">
            <w:pPr>
              <w:jc w:val="both"/>
              <w:rPr>
                <w:sz w:val="20"/>
                <w:lang w:val="fr-CA"/>
              </w:rPr>
            </w:pPr>
          </w:p>
        </w:tc>
      </w:tr>
      <w:tr w:rsidR="005A487B" w:rsidRPr="00E75919" w:rsidTr="004C625A">
        <w:tc>
          <w:tcPr>
            <w:tcW w:w="2427" w:type="pct"/>
            <w:gridSpan w:val="2"/>
          </w:tcPr>
          <w:p w:rsidR="005A487B" w:rsidRPr="001C7519" w:rsidRDefault="005A487B" w:rsidP="005A487B">
            <w:pPr>
              <w:jc w:val="both"/>
              <w:rPr>
                <w:sz w:val="20"/>
                <w:lang w:val="fr-CA"/>
              </w:rPr>
            </w:pPr>
            <w:r w:rsidRPr="001C7519">
              <w:rPr>
                <w:sz w:val="20"/>
                <w:lang w:val="fr-CA"/>
              </w:rPr>
              <w:t>18 janvier 2021</w:t>
            </w:r>
          </w:p>
          <w:p w:rsidR="005A487B" w:rsidRPr="001C7519" w:rsidRDefault="005A487B" w:rsidP="005A487B">
            <w:pPr>
              <w:jc w:val="both"/>
              <w:rPr>
                <w:sz w:val="20"/>
                <w:lang w:val="fr-CA"/>
              </w:rPr>
            </w:pPr>
            <w:r w:rsidRPr="001C7519">
              <w:rPr>
                <w:sz w:val="20"/>
                <w:lang w:val="fr-CA"/>
              </w:rPr>
              <w:t>Cour suprême du Canada</w:t>
            </w:r>
          </w:p>
        </w:tc>
        <w:tc>
          <w:tcPr>
            <w:tcW w:w="243" w:type="pct"/>
          </w:tcPr>
          <w:p w:rsidR="005A487B" w:rsidRPr="001C7519" w:rsidRDefault="005A487B" w:rsidP="005A487B">
            <w:pPr>
              <w:jc w:val="both"/>
              <w:rPr>
                <w:sz w:val="20"/>
                <w:lang w:val="fr-CA"/>
              </w:rPr>
            </w:pPr>
          </w:p>
        </w:tc>
        <w:tc>
          <w:tcPr>
            <w:tcW w:w="2330" w:type="pct"/>
          </w:tcPr>
          <w:p w:rsidR="005A487B" w:rsidRPr="001C7519" w:rsidRDefault="005A487B" w:rsidP="005A487B">
            <w:pPr>
              <w:jc w:val="both"/>
              <w:rPr>
                <w:sz w:val="20"/>
                <w:lang w:val="fr-CA"/>
              </w:rPr>
            </w:pPr>
            <w:r w:rsidRPr="001C7519">
              <w:rPr>
                <w:sz w:val="20"/>
                <w:lang w:val="fr-CA"/>
              </w:rPr>
              <w:t>La demande d’autorisation d’appel est présentée.</w:t>
            </w:r>
          </w:p>
          <w:p w:rsidR="005A487B" w:rsidRPr="001C7519" w:rsidRDefault="005A487B" w:rsidP="005A487B">
            <w:pPr>
              <w:jc w:val="both"/>
              <w:rPr>
                <w:sz w:val="20"/>
                <w:lang w:val="fr-CA"/>
              </w:rPr>
            </w:pPr>
          </w:p>
        </w:tc>
      </w:tr>
    </w:tbl>
    <w:p w:rsidR="005A487B" w:rsidRPr="001C7519" w:rsidRDefault="005A487B" w:rsidP="005A487B">
      <w:pPr>
        <w:jc w:val="both"/>
        <w:rPr>
          <w:sz w:val="20"/>
          <w:lang w:val="fr-CA"/>
        </w:rPr>
      </w:pPr>
    </w:p>
    <w:p w:rsidR="005A487B" w:rsidRPr="001C7519" w:rsidRDefault="00E75919" w:rsidP="005A487B">
      <w:pPr>
        <w:jc w:val="both"/>
        <w:rPr>
          <w:sz w:val="20"/>
          <w:lang w:val="fr-CA"/>
        </w:rPr>
      </w:pPr>
      <w:r>
        <w:rPr>
          <w:sz w:val="20"/>
        </w:rPr>
        <w:pict>
          <v:rect id="_x0000_i1043" style="width:2in;height:1pt" o:hrpct="0" o:hralign="center" o:hrstd="t" o:hrnoshade="t" o:hr="t" fillcolor="black [3213]" stroked="f"/>
        </w:pict>
      </w:r>
    </w:p>
    <w:p w:rsidR="005A487B" w:rsidRPr="001C7519" w:rsidRDefault="005A487B" w:rsidP="005A48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487B" w:rsidRPr="001C7519" w:rsidTr="004C625A">
        <w:tc>
          <w:tcPr>
            <w:tcW w:w="543" w:type="pct"/>
          </w:tcPr>
          <w:p w:rsidR="005A487B" w:rsidRPr="001C7519" w:rsidRDefault="005A487B" w:rsidP="005A487B">
            <w:pPr>
              <w:jc w:val="both"/>
              <w:rPr>
                <w:sz w:val="20"/>
              </w:rPr>
            </w:pPr>
            <w:r w:rsidRPr="001C7519">
              <w:rPr>
                <w:rStyle w:val="SCCFileNumberChar"/>
                <w:sz w:val="20"/>
                <w:szCs w:val="20"/>
              </w:rPr>
              <w:t>39576</w:t>
            </w:r>
          </w:p>
        </w:tc>
        <w:tc>
          <w:tcPr>
            <w:tcW w:w="4457" w:type="pct"/>
            <w:gridSpan w:val="3"/>
          </w:tcPr>
          <w:p w:rsidR="005A487B" w:rsidRPr="001C7519" w:rsidRDefault="005A487B" w:rsidP="005A487B">
            <w:pPr>
              <w:pStyle w:val="SCCLsocParty"/>
              <w:jc w:val="both"/>
              <w:rPr>
                <w:b/>
                <w:sz w:val="20"/>
                <w:szCs w:val="20"/>
                <w:lang w:val="en-US"/>
              </w:rPr>
            </w:pPr>
            <w:r w:rsidRPr="001C7519">
              <w:rPr>
                <w:b/>
                <w:sz w:val="20"/>
                <w:szCs w:val="20"/>
                <w:lang w:val="en-US"/>
              </w:rPr>
              <w:t>Travelway Group International Inc. v. Group III International Ltd., Holiday Group Inc., Wenger S.A.</w:t>
            </w:r>
          </w:p>
          <w:p w:rsidR="005A487B" w:rsidRPr="001C7519" w:rsidRDefault="005A487B" w:rsidP="005A487B">
            <w:pPr>
              <w:jc w:val="both"/>
              <w:rPr>
                <w:sz w:val="20"/>
              </w:rPr>
            </w:pPr>
            <w:r w:rsidRPr="001C7519">
              <w:rPr>
                <w:sz w:val="20"/>
              </w:rPr>
              <w:t>(F.C.) (Civil) (By Leave)</w:t>
            </w:r>
          </w:p>
        </w:tc>
      </w:tr>
      <w:tr w:rsidR="005A487B" w:rsidRPr="001C7519" w:rsidTr="004C625A">
        <w:tc>
          <w:tcPr>
            <w:tcW w:w="5000" w:type="pct"/>
            <w:gridSpan w:val="4"/>
          </w:tcPr>
          <w:p w:rsidR="005A487B" w:rsidRPr="001C7519" w:rsidRDefault="005A487B" w:rsidP="005A487B">
            <w:pPr>
              <w:jc w:val="both"/>
              <w:rPr>
                <w:sz w:val="20"/>
              </w:rPr>
            </w:pPr>
            <w:r w:rsidRPr="001C7519">
              <w:rPr>
                <w:sz w:val="20"/>
              </w:rPr>
              <w:t>Intellectual property — Trademarks — Passing off — Remedy — Court of Appeal finding infringement and passing off by one registered trademark owner against another registered trademark owner — Court of Appeal ordering monetary compensation on basis of its finding of passing off — Whether a finding of passing off renders the owner of a registered trademark liable to pay damages or profits for the period during which the trademark owner’s registrations were in effect, especially when it is acknowledged that the finding of passing off was made in error.</w:t>
            </w:r>
          </w:p>
        </w:tc>
      </w:tr>
      <w:tr w:rsidR="005A487B" w:rsidRPr="001C7519" w:rsidTr="004C625A">
        <w:tc>
          <w:tcPr>
            <w:tcW w:w="5000" w:type="pct"/>
            <w:gridSpan w:val="4"/>
          </w:tcPr>
          <w:p w:rsidR="005A487B" w:rsidRPr="001C7519" w:rsidRDefault="005A487B" w:rsidP="005A487B">
            <w:pPr>
              <w:jc w:val="both"/>
              <w:rPr>
                <w:sz w:val="20"/>
              </w:rPr>
            </w:pPr>
          </w:p>
        </w:tc>
      </w:tr>
      <w:tr w:rsidR="005A487B" w:rsidRPr="001C7519" w:rsidTr="004C625A">
        <w:tc>
          <w:tcPr>
            <w:tcW w:w="5000" w:type="pct"/>
            <w:gridSpan w:val="4"/>
          </w:tcPr>
          <w:p w:rsidR="005A487B" w:rsidRPr="001C7519" w:rsidRDefault="005A487B" w:rsidP="005A487B">
            <w:pPr>
              <w:jc w:val="both"/>
              <w:rPr>
                <w:sz w:val="20"/>
              </w:rPr>
            </w:pPr>
            <w:r w:rsidRPr="001C7519">
              <w:rPr>
                <w:sz w:val="20"/>
              </w:rPr>
              <w:t xml:space="preserve">The respondents, Group III International Ltd., Holiday Group Inc. and Wenger S.A. (collectively, “Wenger”) applied for relief under the </w:t>
            </w:r>
            <w:r w:rsidRPr="001C7519">
              <w:rPr>
                <w:i/>
                <w:sz w:val="20"/>
              </w:rPr>
              <w:t>Trademarks Act</w:t>
            </w:r>
            <w:r w:rsidRPr="001C7519">
              <w:rPr>
                <w:sz w:val="20"/>
              </w:rPr>
              <w:t>, R.S.C. 1985, c. T</w:t>
            </w:r>
            <w:r w:rsidRPr="001C7519">
              <w:rPr>
                <w:sz w:val="20"/>
              </w:rPr>
              <w:noBreakHyphen/>
              <w:t xml:space="preserve">13, against the applicant, Travelway Group International Inc. (“Travelway”), for both infringement and passing off of Wenger’s registered trademarks. The Federal Court dismissed Wenger’s application. The Federal Court of Appeal (“FCA”) allowed Wenger’s appeal. It concluded that Wenger had established both infringement and passing off. The FCA granted relief, including a permanent injunction against Travelway’s use of its marks, and it referred two further remedial issues to the Federal Court for further adjudication. The Federal Court ordered the expungement of Travelway’s registered trademarks but dismissed Wenger’s claim for monetary compensation. The FCA allowed Wenger’s appeal for monetary compensation. It agreed with the Federal Court that the use of a registered trademark does not give rise to liability in damages or an accounting of profits for infringement for the period prior to a trademark being struck from the register. However, in relation to passing off, the FCA concluded that, as between the parties, there was a finding of passing off, and monetary compensation should therefore be awarded. It also concluded that the registration of a trademark is a complete defence to passing off and that the portions of its prior decision finding passing off in this case should not be followed as authority in future cases. </w:t>
            </w:r>
          </w:p>
          <w:p w:rsidR="005A487B" w:rsidRPr="001C7519" w:rsidRDefault="005A487B" w:rsidP="005A487B">
            <w:pPr>
              <w:jc w:val="both"/>
              <w:rPr>
                <w:sz w:val="20"/>
              </w:rPr>
            </w:pPr>
          </w:p>
        </w:tc>
      </w:tr>
      <w:tr w:rsidR="005A487B" w:rsidRPr="001C7519" w:rsidTr="004C625A">
        <w:tc>
          <w:tcPr>
            <w:tcW w:w="2427" w:type="pct"/>
            <w:gridSpan w:val="2"/>
          </w:tcPr>
          <w:p w:rsidR="005A487B" w:rsidRPr="001C7519" w:rsidRDefault="005A487B" w:rsidP="005A487B">
            <w:pPr>
              <w:jc w:val="both"/>
              <w:rPr>
                <w:sz w:val="20"/>
              </w:rPr>
            </w:pPr>
            <w:r w:rsidRPr="001C7519">
              <w:rPr>
                <w:sz w:val="20"/>
              </w:rPr>
              <w:t>August 29, 2019</w:t>
            </w:r>
          </w:p>
          <w:p w:rsidR="005A487B" w:rsidRPr="001C7519" w:rsidRDefault="005A487B" w:rsidP="005A487B">
            <w:pPr>
              <w:jc w:val="both"/>
              <w:rPr>
                <w:sz w:val="20"/>
              </w:rPr>
            </w:pPr>
            <w:r w:rsidRPr="001C7519">
              <w:rPr>
                <w:sz w:val="20"/>
              </w:rPr>
              <w:t>Federal Court</w:t>
            </w:r>
          </w:p>
          <w:p w:rsidR="005A487B" w:rsidRPr="001C7519" w:rsidRDefault="005A487B" w:rsidP="005A487B">
            <w:pPr>
              <w:jc w:val="both"/>
              <w:rPr>
                <w:sz w:val="20"/>
              </w:rPr>
            </w:pPr>
            <w:r w:rsidRPr="001C7519">
              <w:rPr>
                <w:sz w:val="20"/>
              </w:rPr>
              <w:t>(St</w:t>
            </w:r>
            <w:r w:rsidRPr="001C7519">
              <w:rPr>
                <w:sz w:val="20"/>
              </w:rPr>
              <w:noBreakHyphen/>
              <w:t>Louis J.)</w:t>
            </w:r>
          </w:p>
          <w:p w:rsidR="005A487B" w:rsidRPr="001C7519" w:rsidRDefault="00E75919" w:rsidP="005A487B">
            <w:pPr>
              <w:jc w:val="both"/>
              <w:rPr>
                <w:sz w:val="20"/>
              </w:rPr>
            </w:pPr>
            <w:hyperlink r:id="rId57" w:history="1">
              <w:r w:rsidR="005A487B" w:rsidRPr="001C7519">
                <w:rPr>
                  <w:rStyle w:val="Hyperlink"/>
                  <w:sz w:val="20"/>
                </w:rPr>
                <w:t>2019 FC 1104</w:t>
              </w:r>
            </w:hyperlink>
          </w:p>
          <w:p w:rsidR="005A487B" w:rsidRPr="001C7519" w:rsidRDefault="005A487B" w:rsidP="005A487B">
            <w:pPr>
              <w:jc w:val="both"/>
              <w:rPr>
                <w:sz w:val="20"/>
              </w:rPr>
            </w:pPr>
          </w:p>
        </w:tc>
        <w:tc>
          <w:tcPr>
            <w:tcW w:w="243" w:type="pct"/>
          </w:tcPr>
          <w:p w:rsidR="005A487B" w:rsidRPr="001C7519" w:rsidRDefault="005A487B" w:rsidP="005A487B">
            <w:pPr>
              <w:jc w:val="both"/>
              <w:rPr>
                <w:sz w:val="20"/>
              </w:rPr>
            </w:pPr>
          </w:p>
        </w:tc>
        <w:tc>
          <w:tcPr>
            <w:tcW w:w="2330" w:type="pct"/>
          </w:tcPr>
          <w:p w:rsidR="005A487B" w:rsidRPr="001C7519" w:rsidRDefault="005A487B" w:rsidP="005A487B">
            <w:pPr>
              <w:jc w:val="both"/>
              <w:rPr>
                <w:sz w:val="20"/>
              </w:rPr>
            </w:pPr>
            <w:r w:rsidRPr="001C7519">
              <w:rPr>
                <w:sz w:val="20"/>
              </w:rPr>
              <w:t>Applicant’s trademarks ordered struck from register. No damages or accounting of profits awarded.</w:t>
            </w:r>
          </w:p>
        </w:tc>
      </w:tr>
      <w:tr w:rsidR="005A487B" w:rsidRPr="001C7519" w:rsidTr="004C625A">
        <w:tc>
          <w:tcPr>
            <w:tcW w:w="2427" w:type="pct"/>
            <w:gridSpan w:val="2"/>
          </w:tcPr>
          <w:p w:rsidR="005A487B" w:rsidRPr="001C7519" w:rsidRDefault="005A487B" w:rsidP="005A487B">
            <w:pPr>
              <w:jc w:val="both"/>
              <w:rPr>
                <w:sz w:val="20"/>
              </w:rPr>
            </w:pPr>
            <w:r w:rsidRPr="001C7519">
              <w:rPr>
                <w:sz w:val="20"/>
              </w:rPr>
              <w:t>December 9, 2020</w:t>
            </w:r>
          </w:p>
          <w:p w:rsidR="005A487B" w:rsidRPr="001C7519" w:rsidRDefault="005A487B" w:rsidP="005A487B">
            <w:pPr>
              <w:jc w:val="both"/>
              <w:rPr>
                <w:sz w:val="20"/>
              </w:rPr>
            </w:pPr>
            <w:r w:rsidRPr="001C7519">
              <w:rPr>
                <w:sz w:val="20"/>
              </w:rPr>
              <w:t>Federal Court of Appeal</w:t>
            </w:r>
          </w:p>
          <w:p w:rsidR="005A487B" w:rsidRPr="001C7519" w:rsidRDefault="005A487B" w:rsidP="005A487B">
            <w:pPr>
              <w:jc w:val="both"/>
              <w:rPr>
                <w:sz w:val="20"/>
              </w:rPr>
            </w:pPr>
            <w:r w:rsidRPr="001C7519">
              <w:rPr>
                <w:sz w:val="20"/>
              </w:rPr>
              <w:t>(Pelletier, de Montigny and Rivoalen JJ.A.)</w:t>
            </w:r>
          </w:p>
          <w:p w:rsidR="005A487B" w:rsidRPr="001C7519" w:rsidRDefault="00E75919" w:rsidP="005A487B">
            <w:pPr>
              <w:jc w:val="both"/>
              <w:rPr>
                <w:sz w:val="20"/>
              </w:rPr>
            </w:pPr>
            <w:hyperlink r:id="rId58" w:history="1">
              <w:r w:rsidR="005A487B" w:rsidRPr="001C7519">
                <w:rPr>
                  <w:rStyle w:val="Hyperlink"/>
                  <w:sz w:val="20"/>
                </w:rPr>
                <w:t>2020 FCA 210</w:t>
              </w:r>
            </w:hyperlink>
            <w:r w:rsidR="005A487B" w:rsidRPr="001C7519">
              <w:rPr>
                <w:sz w:val="20"/>
              </w:rPr>
              <w:t xml:space="preserve"> (Docket: A</w:t>
            </w:r>
            <w:r w:rsidR="005A487B" w:rsidRPr="001C7519">
              <w:rPr>
                <w:sz w:val="20"/>
              </w:rPr>
              <w:noBreakHyphen/>
              <w:t>356</w:t>
            </w:r>
            <w:r w:rsidR="005A487B" w:rsidRPr="001C7519">
              <w:rPr>
                <w:sz w:val="20"/>
              </w:rPr>
              <w:noBreakHyphen/>
              <w:t>19)</w:t>
            </w:r>
          </w:p>
          <w:p w:rsidR="005A487B" w:rsidRPr="001C7519" w:rsidRDefault="005A487B" w:rsidP="005A487B">
            <w:pPr>
              <w:jc w:val="both"/>
              <w:rPr>
                <w:sz w:val="20"/>
              </w:rPr>
            </w:pPr>
          </w:p>
        </w:tc>
        <w:tc>
          <w:tcPr>
            <w:tcW w:w="243" w:type="pct"/>
          </w:tcPr>
          <w:p w:rsidR="005A487B" w:rsidRPr="001C7519" w:rsidRDefault="005A487B" w:rsidP="005A487B">
            <w:pPr>
              <w:jc w:val="both"/>
              <w:rPr>
                <w:sz w:val="20"/>
              </w:rPr>
            </w:pPr>
          </w:p>
        </w:tc>
        <w:tc>
          <w:tcPr>
            <w:tcW w:w="2330" w:type="pct"/>
          </w:tcPr>
          <w:p w:rsidR="005A487B" w:rsidRPr="001C7519" w:rsidRDefault="005A487B" w:rsidP="005A487B">
            <w:pPr>
              <w:jc w:val="both"/>
              <w:rPr>
                <w:sz w:val="20"/>
              </w:rPr>
            </w:pPr>
            <w:r w:rsidRPr="001C7519">
              <w:rPr>
                <w:sz w:val="20"/>
              </w:rPr>
              <w:t>Respondents’ appeal allowed. Accounting of profits awarded.</w:t>
            </w:r>
          </w:p>
          <w:p w:rsidR="005A487B" w:rsidRPr="001C7519" w:rsidRDefault="005A487B" w:rsidP="005A487B">
            <w:pPr>
              <w:jc w:val="both"/>
              <w:rPr>
                <w:sz w:val="20"/>
              </w:rPr>
            </w:pPr>
          </w:p>
        </w:tc>
      </w:tr>
      <w:tr w:rsidR="005A487B" w:rsidRPr="001C7519" w:rsidTr="004C625A">
        <w:tc>
          <w:tcPr>
            <w:tcW w:w="2427" w:type="pct"/>
            <w:gridSpan w:val="2"/>
          </w:tcPr>
          <w:p w:rsidR="005A487B" w:rsidRPr="001C7519" w:rsidRDefault="005A487B" w:rsidP="005A487B">
            <w:pPr>
              <w:jc w:val="both"/>
              <w:rPr>
                <w:sz w:val="20"/>
              </w:rPr>
            </w:pPr>
            <w:r w:rsidRPr="001C7519">
              <w:rPr>
                <w:sz w:val="20"/>
              </w:rPr>
              <w:t>February 5, 2021</w:t>
            </w:r>
          </w:p>
          <w:p w:rsidR="005A487B" w:rsidRPr="001C7519" w:rsidRDefault="005A487B" w:rsidP="005A487B">
            <w:pPr>
              <w:jc w:val="both"/>
              <w:rPr>
                <w:sz w:val="20"/>
              </w:rPr>
            </w:pPr>
            <w:r w:rsidRPr="001C7519">
              <w:rPr>
                <w:sz w:val="20"/>
              </w:rPr>
              <w:t>Supreme Court of Canada</w:t>
            </w:r>
          </w:p>
        </w:tc>
        <w:tc>
          <w:tcPr>
            <w:tcW w:w="243" w:type="pct"/>
          </w:tcPr>
          <w:p w:rsidR="005A487B" w:rsidRPr="001C7519" w:rsidRDefault="005A487B" w:rsidP="005A487B">
            <w:pPr>
              <w:jc w:val="both"/>
              <w:rPr>
                <w:sz w:val="20"/>
              </w:rPr>
            </w:pPr>
          </w:p>
        </w:tc>
        <w:tc>
          <w:tcPr>
            <w:tcW w:w="2330" w:type="pct"/>
          </w:tcPr>
          <w:p w:rsidR="005A487B" w:rsidRPr="001C7519" w:rsidRDefault="005A487B" w:rsidP="005A487B">
            <w:pPr>
              <w:jc w:val="both"/>
              <w:rPr>
                <w:sz w:val="20"/>
              </w:rPr>
            </w:pPr>
            <w:r w:rsidRPr="001C7519">
              <w:rPr>
                <w:sz w:val="20"/>
              </w:rPr>
              <w:t>Application for leave to appeal filed.</w:t>
            </w:r>
          </w:p>
          <w:p w:rsidR="005A487B" w:rsidRPr="001C7519" w:rsidRDefault="005A487B" w:rsidP="005A487B">
            <w:pPr>
              <w:jc w:val="both"/>
              <w:rPr>
                <w:sz w:val="20"/>
              </w:rPr>
            </w:pPr>
          </w:p>
        </w:tc>
      </w:tr>
    </w:tbl>
    <w:p w:rsidR="005A487B" w:rsidRPr="001C7519" w:rsidRDefault="005A487B" w:rsidP="005A487B">
      <w:pPr>
        <w:jc w:val="both"/>
        <w:rPr>
          <w:sz w:val="20"/>
        </w:rPr>
      </w:pPr>
    </w:p>
    <w:p w:rsidR="005A487B" w:rsidRPr="001C7519" w:rsidRDefault="00E75919" w:rsidP="005A487B">
      <w:pPr>
        <w:jc w:val="both"/>
        <w:rPr>
          <w:sz w:val="20"/>
        </w:rPr>
      </w:pPr>
      <w:r>
        <w:rPr>
          <w:sz w:val="20"/>
        </w:rPr>
        <w:pict>
          <v:rect id="_x0000_i1044" style="width:2in;height:1pt" o:hrpct="0" o:hralign="center" o:hrstd="t" o:hrnoshade="t" o:hr="t" fillcolor="black [3213]" stroked="f"/>
        </w:pict>
      </w:r>
    </w:p>
    <w:p w:rsidR="005A487B" w:rsidRPr="001C7519" w:rsidRDefault="005A487B" w:rsidP="005A48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487B" w:rsidRPr="001C7519" w:rsidTr="004C625A">
        <w:tc>
          <w:tcPr>
            <w:tcW w:w="543" w:type="pct"/>
          </w:tcPr>
          <w:p w:rsidR="005A487B" w:rsidRPr="001C7519" w:rsidRDefault="005A487B" w:rsidP="005A487B">
            <w:pPr>
              <w:jc w:val="both"/>
              <w:rPr>
                <w:sz w:val="20"/>
              </w:rPr>
            </w:pPr>
            <w:r w:rsidRPr="001C7519">
              <w:rPr>
                <w:rStyle w:val="SCCFileNumberChar"/>
                <w:sz w:val="20"/>
                <w:szCs w:val="20"/>
              </w:rPr>
              <w:t>39576</w:t>
            </w:r>
          </w:p>
        </w:tc>
        <w:tc>
          <w:tcPr>
            <w:tcW w:w="4457" w:type="pct"/>
            <w:gridSpan w:val="3"/>
          </w:tcPr>
          <w:p w:rsidR="005A487B" w:rsidRPr="001C7519" w:rsidRDefault="005A487B" w:rsidP="005A487B">
            <w:pPr>
              <w:pStyle w:val="SCCLsocParty"/>
              <w:jc w:val="both"/>
              <w:rPr>
                <w:b/>
                <w:sz w:val="20"/>
                <w:szCs w:val="20"/>
                <w:lang w:val="en-US"/>
              </w:rPr>
            </w:pPr>
            <w:r w:rsidRPr="001C7519">
              <w:rPr>
                <w:b/>
                <w:sz w:val="20"/>
                <w:szCs w:val="20"/>
                <w:lang w:val="en-US"/>
              </w:rPr>
              <w:t>Travelway Group International Inc. c. Group III International Ltd., Holiday Group Inc., Wenger S.A.</w:t>
            </w:r>
          </w:p>
          <w:p w:rsidR="005A487B" w:rsidRPr="001C7519" w:rsidRDefault="005A487B" w:rsidP="005A487B">
            <w:pPr>
              <w:jc w:val="both"/>
              <w:rPr>
                <w:sz w:val="20"/>
                <w:lang w:val="fr-CA"/>
              </w:rPr>
            </w:pPr>
            <w:r w:rsidRPr="001C7519">
              <w:rPr>
                <w:sz w:val="20"/>
                <w:lang w:val="fr-CA"/>
              </w:rPr>
              <w:t>(C.F.) (Civile) (Autorisation)</w:t>
            </w:r>
          </w:p>
        </w:tc>
      </w:tr>
      <w:tr w:rsidR="005A487B" w:rsidRPr="00E75919" w:rsidTr="004C625A">
        <w:tc>
          <w:tcPr>
            <w:tcW w:w="5000" w:type="pct"/>
            <w:gridSpan w:val="4"/>
          </w:tcPr>
          <w:p w:rsidR="005A487B" w:rsidRPr="001C7519" w:rsidRDefault="005A487B" w:rsidP="005A487B">
            <w:pPr>
              <w:jc w:val="both"/>
              <w:rPr>
                <w:sz w:val="20"/>
                <w:lang w:val="fr-CA"/>
              </w:rPr>
            </w:pPr>
            <w:r w:rsidRPr="001C7519">
              <w:rPr>
                <w:sz w:val="20"/>
                <w:lang w:val="fr-CA"/>
              </w:rPr>
              <w:t>Propriété intellectuelle — Marques de commerce — Commercialisation trompeuse — Réparation — Cour d’appel concluant à la contrefaçon et à la commercialisation trompeuse commises par la titulaire d’une marque de commerce enregistrée à l’encontre d’une autre titulaire de la marque de commerce enregistrée — Cour d’appel ordonnant une réparation pécuniaire sur le fondement de sa conclusion qu’il y a eu commercialisation trompeuse — Une commercialisation trompeuse rend</w:t>
            </w:r>
            <w:r w:rsidRPr="001C7519">
              <w:rPr>
                <w:sz w:val="20"/>
                <w:lang w:val="fr-CA"/>
              </w:rPr>
              <w:noBreakHyphen/>
              <w:t>elle la titulaire d’une marque de commerce enregistrée responsable de verser des dommages-intérêts ou un recouvrement de profits pour la période pendant laquelle les enregistrements de la marque de commerce de la titulaire étaient valides, en particulier lorsqu’il est reconnu que la conclusion de commercialisation trompeuse a été rendue erronément?</w:t>
            </w:r>
          </w:p>
        </w:tc>
      </w:tr>
      <w:tr w:rsidR="005A487B" w:rsidRPr="00E75919" w:rsidTr="004C625A">
        <w:tc>
          <w:tcPr>
            <w:tcW w:w="5000" w:type="pct"/>
            <w:gridSpan w:val="4"/>
          </w:tcPr>
          <w:p w:rsidR="005A487B" w:rsidRPr="001C7519" w:rsidRDefault="005A487B" w:rsidP="005A487B">
            <w:pPr>
              <w:jc w:val="both"/>
              <w:rPr>
                <w:sz w:val="20"/>
                <w:lang w:val="fr-CA"/>
              </w:rPr>
            </w:pPr>
          </w:p>
        </w:tc>
      </w:tr>
      <w:tr w:rsidR="005A487B" w:rsidRPr="00E75919" w:rsidTr="004C625A">
        <w:tc>
          <w:tcPr>
            <w:tcW w:w="5000" w:type="pct"/>
            <w:gridSpan w:val="4"/>
          </w:tcPr>
          <w:p w:rsidR="005A487B" w:rsidRPr="001C7519" w:rsidRDefault="005A487B" w:rsidP="005A487B">
            <w:pPr>
              <w:jc w:val="both"/>
              <w:rPr>
                <w:sz w:val="20"/>
                <w:lang w:val="fr-CA"/>
              </w:rPr>
            </w:pPr>
            <w:r w:rsidRPr="001C7519">
              <w:rPr>
                <w:sz w:val="20"/>
                <w:lang w:val="fr-CA"/>
              </w:rPr>
              <w:t xml:space="preserve">Les intimées, le </w:t>
            </w:r>
            <w:proofErr w:type="spellStart"/>
            <w:r w:rsidRPr="001C7519">
              <w:rPr>
                <w:sz w:val="20"/>
                <w:lang w:val="fr-CA"/>
              </w:rPr>
              <w:t>Group</w:t>
            </w:r>
            <w:proofErr w:type="spellEnd"/>
            <w:r w:rsidRPr="001C7519">
              <w:rPr>
                <w:sz w:val="20"/>
                <w:lang w:val="fr-CA"/>
              </w:rPr>
              <w:t xml:space="preserve"> III International Ltd., Holiday Group Inc. et Wenger S.A. (collectivement, « Wenger ») ont présenté une demande de réparation au titre de la </w:t>
            </w:r>
            <w:r w:rsidRPr="001C7519">
              <w:rPr>
                <w:i/>
                <w:sz w:val="20"/>
                <w:lang w:val="fr-CA"/>
              </w:rPr>
              <w:t>Loi sur les marques de commerce</w:t>
            </w:r>
            <w:r w:rsidRPr="001C7519">
              <w:rPr>
                <w:sz w:val="20"/>
                <w:lang w:val="fr-CA"/>
              </w:rPr>
              <w:t>, L.R.C. 1985, c. T</w:t>
            </w:r>
            <w:r w:rsidRPr="001C7519">
              <w:rPr>
                <w:sz w:val="20"/>
                <w:lang w:val="fr-CA"/>
              </w:rPr>
              <w:noBreakHyphen/>
              <w:t> 13, contre la demanderesse, Travelway Group International Inc. (« Travelway »), tant pour contrefaçon que pour commercialisation trompeuse des marques de commerce enregistrées de Wenger. La Cour fédérale a rejeté la demande de Wenger. La Cour d’appel fédérale (« CAF ») a accueilli l’appel interjeté par Wenger. Elle a conclu que Wenger avait établi tant la contrefaçon que la commercialisation trompeuse. La CAF a octroyé des réparations, notamment une injonction permanente interdisant à Travelway d’utiliser ses marques, et elle a aussi renvoyé deux autres questions de réparation à la Cour fédérale pour que celle</w:t>
            </w:r>
            <w:r w:rsidRPr="001C7519">
              <w:rPr>
                <w:sz w:val="20"/>
                <w:lang w:val="fr-CA"/>
              </w:rPr>
              <w:noBreakHyphen/>
              <w:t>ci rende une autre décision. La Cour fédérale a ordonné la radiation des marques de commerce enregistrées de Travelway, mais a rejeté la demande de réparation pécuniaire de Wenger. La CAF a accueilli l’appel interjeté par Wenger concernant la réparation pécuniaire. Elle a souscrit à la décision de la Cour fédérale selon laquelle l’utilisation d’une marque de commerce enregistrée n’entraîne pas de responsabilité aux fins de dommages-intérêts ou aux fins de perte de profits pour commercialisation trompeuse pour la période précédant la radiation du registre de la marque de commerce. Toutefois, en ce qui concerne la commercialisation trompeuse, la CAF a conclu que comme entre les parties il y avait une conclusion de commercialisation trompeuse, une réparation pécuniaire devrait donc être octroyée. Elle a aussi conclu que l’enregistrement d’une marque de commerce constitue un moyen de défense complet à l’encontre d’une action en commercialisation trompeuse et que les sections de son jugement précédent ayant conclu à la commercialisation trompeuse en l’espèce ne devraient pas faire autorité dans de futures causes.</w:t>
            </w:r>
          </w:p>
          <w:p w:rsidR="005A487B" w:rsidRPr="001C7519" w:rsidRDefault="005A487B" w:rsidP="005A487B">
            <w:pPr>
              <w:jc w:val="both"/>
              <w:rPr>
                <w:sz w:val="20"/>
                <w:lang w:val="fr-CA"/>
              </w:rPr>
            </w:pPr>
          </w:p>
        </w:tc>
      </w:tr>
      <w:tr w:rsidR="005A487B" w:rsidRPr="00E75919" w:rsidTr="004C625A">
        <w:tc>
          <w:tcPr>
            <w:tcW w:w="2427" w:type="pct"/>
            <w:gridSpan w:val="2"/>
          </w:tcPr>
          <w:p w:rsidR="005A487B" w:rsidRPr="001C7519" w:rsidRDefault="005A487B" w:rsidP="005A487B">
            <w:pPr>
              <w:jc w:val="both"/>
              <w:rPr>
                <w:sz w:val="20"/>
                <w:lang w:val="fr-CA"/>
              </w:rPr>
            </w:pPr>
            <w:r w:rsidRPr="001C7519">
              <w:rPr>
                <w:sz w:val="20"/>
                <w:lang w:val="fr-CA"/>
              </w:rPr>
              <w:t>29 août 2019</w:t>
            </w:r>
          </w:p>
          <w:p w:rsidR="005A487B" w:rsidRPr="001C7519" w:rsidRDefault="005A487B" w:rsidP="005A487B">
            <w:pPr>
              <w:jc w:val="both"/>
              <w:rPr>
                <w:sz w:val="20"/>
                <w:lang w:val="fr-CA"/>
              </w:rPr>
            </w:pPr>
            <w:r w:rsidRPr="001C7519">
              <w:rPr>
                <w:sz w:val="20"/>
                <w:lang w:val="fr-CA"/>
              </w:rPr>
              <w:t>Cour fédérale</w:t>
            </w:r>
          </w:p>
          <w:p w:rsidR="005A487B" w:rsidRPr="001C7519" w:rsidRDefault="005A487B" w:rsidP="005A487B">
            <w:pPr>
              <w:jc w:val="both"/>
              <w:rPr>
                <w:sz w:val="20"/>
                <w:lang w:val="fr-CA"/>
              </w:rPr>
            </w:pPr>
            <w:r w:rsidRPr="001C7519">
              <w:rPr>
                <w:sz w:val="20"/>
                <w:lang w:val="fr-CA"/>
              </w:rPr>
              <w:t>(juge St</w:t>
            </w:r>
            <w:r w:rsidRPr="001C7519">
              <w:rPr>
                <w:sz w:val="20"/>
                <w:lang w:val="fr-CA"/>
              </w:rPr>
              <w:noBreakHyphen/>
              <w:t>Louis)</w:t>
            </w:r>
          </w:p>
          <w:p w:rsidR="005A487B" w:rsidRPr="001C7519" w:rsidRDefault="00E75919" w:rsidP="005A487B">
            <w:pPr>
              <w:jc w:val="both"/>
              <w:rPr>
                <w:sz w:val="20"/>
                <w:lang w:val="fr-CA"/>
              </w:rPr>
            </w:pPr>
            <w:hyperlink r:id="rId59" w:history="1">
              <w:r w:rsidR="005A487B" w:rsidRPr="001C7519">
                <w:rPr>
                  <w:rStyle w:val="Hyperlink"/>
                  <w:sz w:val="20"/>
                  <w:lang w:val="fr-CA"/>
                </w:rPr>
                <w:t>2019 CF 1104</w:t>
              </w:r>
            </w:hyperlink>
          </w:p>
          <w:p w:rsidR="005A487B" w:rsidRPr="001C7519" w:rsidRDefault="005A487B" w:rsidP="005A487B">
            <w:pPr>
              <w:jc w:val="both"/>
              <w:rPr>
                <w:sz w:val="20"/>
                <w:lang w:val="fr-CA"/>
              </w:rPr>
            </w:pPr>
          </w:p>
        </w:tc>
        <w:tc>
          <w:tcPr>
            <w:tcW w:w="243" w:type="pct"/>
          </w:tcPr>
          <w:p w:rsidR="005A487B" w:rsidRPr="001C7519" w:rsidRDefault="005A487B" w:rsidP="005A487B">
            <w:pPr>
              <w:jc w:val="both"/>
              <w:rPr>
                <w:sz w:val="20"/>
                <w:lang w:val="fr-CA"/>
              </w:rPr>
            </w:pPr>
          </w:p>
        </w:tc>
        <w:tc>
          <w:tcPr>
            <w:tcW w:w="2330" w:type="pct"/>
          </w:tcPr>
          <w:p w:rsidR="005A487B" w:rsidRPr="001C7519" w:rsidRDefault="005A487B" w:rsidP="005A487B">
            <w:pPr>
              <w:jc w:val="both"/>
              <w:rPr>
                <w:sz w:val="20"/>
                <w:lang w:val="fr-CA"/>
              </w:rPr>
            </w:pPr>
            <w:r w:rsidRPr="001C7519">
              <w:rPr>
                <w:sz w:val="20"/>
                <w:lang w:val="fr-CA"/>
              </w:rPr>
              <w:t>Les marques de commerce de la demanderesse sont biffées du registre. Aucun recouvrement de dommages</w:t>
            </w:r>
            <w:r w:rsidRPr="001C7519">
              <w:rPr>
                <w:sz w:val="20"/>
                <w:lang w:val="fr-CA"/>
              </w:rPr>
              <w:noBreakHyphen/>
              <w:t>intérêts ni de profits n’a été accordé.</w:t>
            </w:r>
          </w:p>
        </w:tc>
      </w:tr>
      <w:tr w:rsidR="005A487B" w:rsidRPr="00E75919" w:rsidTr="004C625A">
        <w:tc>
          <w:tcPr>
            <w:tcW w:w="2427" w:type="pct"/>
            <w:gridSpan w:val="2"/>
          </w:tcPr>
          <w:p w:rsidR="005A487B" w:rsidRPr="001C7519" w:rsidRDefault="005A487B" w:rsidP="005A487B">
            <w:pPr>
              <w:jc w:val="both"/>
              <w:rPr>
                <w:sz w:val="20"/>
                <w:lang w:val="fr-CA"/>
              </w:rPr>
            </w:pPr>
            <w:r w:rsidRPr="001C7519">
              <w:rPr>
                <w:sz w:val="20"/>
                <w:lang w:val="fr-CA"/>
              </w:rPr>
              <w:t>9 décembre 2020</w:t>
            </w:r>
          </w:p>
          <w:p w:rsidR="005A487B" w:rsidRPr="001C7519" w:rsidRDefault="005A487B" w:rsidP="005A487B">
            <w:pPr>
              <w:jc w:val="both"/>
              <w:rPr>
                <w:sz w:val="20"/>
                <w:lang w:val="fr-CA"/>
              </w:rPr>
            </w:pPr>
            <w:r w:rsidRPr="001C7519">
              <w:rPr>
                <w:sz w:val="20"/>
                <w:lang w:val="fr-CA"/>
              </w:rPr>
              <w:t>Cour d’appel fédérale</w:t>
            </w:r>
          </w:p>
          <w:p w:rsidR="005A487B" w:rsidRPr="001C7519" w:rsidRDefault="005A487B" w:rsidP="005A487B">
            <w:pPr>
              <w:jc w:val="both"/>
              <w:rPr>
                <w:sz w:val="20"/>
                <w:lang w:val="fr-CA"/>
              </w:rPr>
            </w:pPr>
            <w:r w:rsidRPr="001C7519">
              <w:rPr>
                <w:sz w:val="20"/>
                <w:lang w:val="fr-CA"/>
              </w:rPr>
              <w:t>(juges Pelletier, de Montigny et Rivoalen)</w:t>
            </w:r>
          </w:p>
          <w:p w:rsidR="005A487B" w:rsidRPr="001C7519" w:rsidRDefault="00E75919" w:rsidP="005A487B">
            <w:pPr>
              <w:jc w:val="both"/>
              <w:rPr>
                <w:sz w:val="20"/>
              </w:rPr>
            </w:pPr>
            <w:hyperlink r:id="rId60" w:history="1">
              <w:r w:rsidR="005A487B" w:rsidRPr="001C7519">
                <w:rPr>
                  <w:rStyle w:val="Hyperlink"/>
                  <w:sz w:val="20"/>
                </w:rPr>
                <w:t>2020 CAF 210</w:t>
              </w:r>
            </w:hyperlink>
            <w:r w:rsidR="005A487B" w:rsidRPr="001C7519">
              <w:rPr>
                <w:sz w:val="20"/>
              </w:rPr>
              <w:t xml:space="preserve"> (Dossier : A</w:t>
            </w:r>
            <w:r w:rsidR="005A487B" w:rsidRPr="001C7519">
              <w:rPr>
                <w:sz w:val="20"/>
              </w:rPr>
              <w:noBreakHyphen/>
              <w:t>356</w:t>
            </w:r>
            <w:r w:rsidR="005A487B" w:rsidRPr="001C7519">
              <w:rPr>
                <w:sz w:val="20"/>
              </w:rPr>
              <w:noBreakHyphen/>
              <w:t>19)</w:t>
            </w:r>
          </w:p>
          <w:p w:rsidR="005A487B" w:rsidRPr="001C7519" w:rsidRDefault="005A487B" w:rsidP="005A487B">
            <w:pPr>
              <w:jc w:val="both"/>
              <w:rPr>
                <w:sz w:val="20"/>
              </w:rPr>
            </w:pPr>
          </w:p>
        </w:tc>
        <w:tc>
          <w:tcPr>
            <w:tcW w:w="243" w:type="pct"/>
          </w:tcPr>
          <w:p w:rsidR="005A487B" w:rsidRPr="001C7519" w:rsidRDefault="005A487B" w:rsidP="005A487B">
            <w:pPr>
              <w:jc w:val="both"/>
              <w:rPr>
                <w:sz w:val="20"/>
              </w:rPr>
            </w:pPr>
          </w:p>
        </w:tc>
        <w:tc>
          <w:tcPr>
            <w:tcW w:w="2330" w:type="pct"/>
          </w:tcPr>
          <w:p w:rsidR="005A487B" w:rsidRPr="001C7519" w:rsidRDefault="005A487B" w:rsidP="005A487B">
            <w:pPr>
              <w:jc w:val="both"/>
              <w:rPr>
                <w:sz w:val="20"/>
                <w:lang w:val="fr-CA"/>
              </w:rPr>
            </w:pPr>
            <w:r w:rsidRPr="001C7519">
              <w:rPr>
                <w:sz w:val="20"/>
                <w:lang w:val="fr-CA"/>
              </w:rPr>
              <w:t>Appel des intimées accueilli. Recouvrement des profits accordé.</w:t>
            </w:r>
          </w:p>
          <w:p w:rsidR="005A487B" w:rsidRPr="001C7519" w:rsidRDefault="005A487B" w:rsidP="005A487B">
            <w:pPr>
              <w:jc w:val="both"/>
              <w:rPr>
                <w:sz w:val="20"/>
                <w:lang w:val="fr-CA"/>
              </w:rPr>
            </w:pPr>
          </w:p>
        </w:tc>
      </w:tr>
      <w:tr w:rsidR="005A487B" w:rsidRPr="001C7519" w:rsidTr="004C625A">
        <w:tc>
          <w:tcPr>
            <w:tcW w:w="2427" w:type="pct"/>
            <w:gridSpan w:val="2"/>
          </w:tcPr>
          <w:p w:rsidR="005A487B" w:rsidRPr="001C7519" w:rsidRDefault="005A487B" w:rsidP="005A487B">
            <w:pPr>
              <w:jc w:val="both"/>
              <w:rPr>
                <w:sz w:val="20"/>
                <w:lang w:val="fr-CA"/>
              </w:rPr>
            </w:pPr>
            <w:r w:rsidRPr="001C7519">
              <w:rPr>
                <w:sz w:val="20"/>
                <w:lang w:val="fr-CA"/>
              </w:rPr>
              <w:t>5 février 2021</w:t>
            </w:r>
          </w:p>
          <w:p w:rsidR="005A487B" w:rsidRPr="001C7519" w:rsidRDefault="005A487B" w:rsidP="005A487B">
            <w:pPr>
              <w:jc w:val="both"/>
              <w:rPr>
                <w:sz w:val="20"/>
                <w:lang w:val="fr-CA"/>
              </w:rPr>
            </w:pPr>
            <w:r w:rsidRPr="001C7519">
              <w:rPr>
                <w:sz w:val="20"/>
                <w:lang w:val="fr-CA"/>
              </w:rPr>
              <w:t>Cour suprême du Canada</w:t>
            </w:r>
          </w:p>
        </w:tc>
        <w:tc>
          <w:tcPr>
            <w:tcW w:w="243" w:type="pct"/>
          </w:tcPr>
          <w:p w:rsidR="005A487B" w:rsidRPr="001C7519" w:rsidRDefault="005A487B" w:rsidP="005A487B">
            <w:pPr>
              <w:jc w:val="both"/>
              <w:rPr>
                <w:sz w:val="20"/>
                <w:lang w:val="fr-CA"/>
              </w:rPr>
            </w:pPr>
          </w:p>
        </w:tc>
        <w:tc>
          <w:tcPr>
            <w:tcW w:w="2330" w:type="pct"/>
          </w:tcPr>
          <w:p w:rsidR="005A487B" w:rsidRPr="001C7519" w:rsidRDefault="005A487B" w:rsidP="005A487B">
            <w:pPr>
              <w:jc w:val="both"/>
              <w:rPr>
                <w:sz w:val="20"/>
              </w:rPr>
            </w:pPr>
            <w:r w:rsidRPr="001C7519">
              <w:rPr>
                <w:sz w:val="20"/>
              </w:rPr>
              <w:t>Demande d’autorisation d’appel déposée.</w:t>
            </w:r>
          </w:p>
          <w:p w:rsidR="005A487B" w:rsidRPr="001C7519" w:rsidRDefault="005A487B" w:rsidP="005A487B">
            <w:pPr>
              <w:jc w:val="both"/>
              <w:rPr>
                <w:sz w:val="20"/>
              </w:rPr>
            </w:pPr>
          </w:p>
        </w:tc>
      </w:tr>
    </w:tbl>
    <w:p w:rsidR="005A487B" w:rsidRPr="001C7519" w:rsidRDefault="005A487B" w:rsidP="005A487B">
      <w:pPr>
        <w:jc w:val="both"/>
        <w:rPr>
          <w:sz w:val="20"/>
        </w:rPr>
      </w:pPr>
    </w:p>
    <w:p w:rsidR="00777ECC" w:rsidRPr="001C7519" w:rsidRDefault="00E75919" w:rsidP="005A487B">
      <w:pPr>
        <w:widowControl w:val="0"/>
        <w:tabs>
          <w:tab w:val="left" w:pos="3840"/>
        </w:tabs>
        <w:jc w:val="both"/>
        <w:rPr>
          <w:sz w:val="20"/>
          <w:lang w:val="fr-CA"/>
        </w:rPr>
      </w:pPr>
      <w:r>
        <w:rPr>
          <w:sz w:val="20"/>
        </w:rPr>
        <w:pict>
          <v:rect id="_x0000_i1045" style="width:2in;height:1pt" o:hrpct="0" o:hralign="center" o:hrstd="t" o:hrnoshade="t" o:hr="t" fillcolor="black [3213]" stroked="f"/>
        </w:pict>
      </w:r>
    </w:p>
    <w:p w:rsidR="005A487B" w:rsidRPr="001C7519" w:rsidRDefault="005A487B" w:rsidP="005A487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487B" w:rsidRPr="001C7519" w:rsidTr="004C625A">
        <w:tc>
          <w:tcPr>
            <w:tcW w:w="543" w:type="pct"/>
          </w:tcPr>
          <w:p w:rsidR="005A487B" w:rsidRPr="001C7519" w:rsidRDefault="005A487B" w:rsidP="005A487B">
            <w:pPr>
              <w:jc w:val="both"/>
              <w:rPr>
                <w:sz w:val="20"/>
                <w:lang w:val="en-CA"/>
              </w:rPr>
            </w:pPr>
            <w:r w:rsidRPr="001C7519">
              <w:rPr>
                <w:rStyle w:val="SCCFileNumberChar"/>
                <w:sz w:val="20"/>
                <w:szCs w:val="20"/>
              </w:rPr>
              <w:t>39658</w:t>
            </w:r>
          </w:p>
        </w:tc>
        <w:tc>
          <w:tcPr>
            <w:tcW w:w="4457" w:type="pct"/>
            <w:gridSpan w:val="3"/>
          </w:tcPr>
          <w:p w:rsidR="005A487B" w:rsidRPr="001C7519" w:rsidRDefault="005A487B" w:rsidP="005A487B">
            <w:pPr>
              <w:pStyle w:val="SCCLsocParty"/>
              <w:jc w:val="both"/>
              <w:rPr>
                <w:b/>
                <w:sz w:val="20"/>
                <w:szCs w:val="20"/>
                <w:lang w:val="en-CA"/>
              </w:rPr>
            </w:pPr>
            <w:r w:rsidRPr="001C7519">
              <w:rPr>
                <w:b/>
                <w:sz w:val="20"/>
                <w:szCs w:val="20"/>
                <w:lang w:val="en-CA"/>
              </w:rPr>
              <w:t>Carey Isaac Regis v. Her Majesty the Queen</w:t>
            </w:r>
          </w:p>
          <w:p w:rsidR="005A487B" w:rsidRPr="001C7519" w:rsidRDefault="005A487B" w:rsidP="005A487B">
            <w:pPr>
              <w:jc w:val="both"/>
              <w:rPr>
                <w:sz w:val="20"/>
                <w:lang w:val="en-CA"/>
              </w:rPr>
            </w:pPr>
            <w:r w:rsidRPr="001C7519">
              <w:rPr>
                <w:sz w:val="20"/>
                <w:lang w:val="en-CA"/>
              </w:rPr>
              <w:t>(Que.) (Criminal) (By Leave)</w:t>
            </w:r>
          </w:p>
        </w:tc>
      </w:tr>
      <w:tr w:rsidR="005A487B" w:rsidRPr="001C7519" w:rsidTr="004C625A">
        <w:tc>
          <w:tcPr>
            <w:tcW w:w="5000" w:type="pct"/>
            <w:gridSpan w:val="4"/>
          </w:tcPr>
          <w:p w:rsidR="005A487B" w:rsidRPr="001C7519" w:rsidRDefault="005A487B" w:rsidP="005A487B">
            <w:pPr>
              <w:jc w:val="both"/>
              <w:rPr>
                <w:sz w:val="20"/>
                <w:lang w:val="en-CA"/>
              </w:rPr>
            </w:pPr>
            <w:r w:rsidRPr="001C7519">
              <w:rPr>
                <w:sz w:val="20"/>
                <w:lang w:val="en-CA"/>
              </w:rPr>
              <w:t>Criminal law — Instructions to jury — Whether trial judge erred in law in her instructions to jury regarding DNA evidence presented by respondent.</w:t>
            </w:r>
          </w:p>
        </w:tc>
      </w:tr>
      <w:tr w:rsidR="005A487B" w:rsidRPr="001C7519" w:rsidTr="004C625A">
        <w:tc>
          <w:tcPr>
            <w:tcW w:w="5000" w:type="pct"/>
            <w:gridSpan w:val="4"/>
          </w:tcPr>
          <w:p w:rsidR="005A487B" w:rsidRPr="001C7519" w:rsidRDefault="005A487B" w:rsidP="005A487B">
            <w:pPr>
              <w:jc w:val="both"/>
              <w:rPr>
                <w:sz w:val="20"/>
                <w:lang w:val="en-CA"/>
              </w:rPr>
            </w:pPr>
          </w:p>
        </w:tc>
      </w:tr>
      <w:tr w:rsidR="005A487B" w:rsidRPr="001C7519" w:rsidTr="004C625A">
        <w:tc>
          <w:tcPr>
            <w:tcW w:w="5000" w:type="pct"/>
            <w:gridSpan w:val="4"/>
          </w:tcPr>
          <w:p w:rsidR="005A487B" w:rsidRPr="001C7519" w:rsidRDefault="005A487B" w:rsidP="005A487B">
            <w:pPr>
              <w:jc w:val="both"/>
              <w:rPr>
                <w:sz w:val="20"/>
                <w:lang w:val="en-CA"/>
              </w:rPr>
            </w:pPr>
            <w:r w:rsidRPr="001C7519">
              <w:rPr>
                <w:sz w:val="20"/>
                <w:lang w:val="en-CA"/>
              </w:rPr>
              <w:t xml:space="preserve">In March 2010, two men burst into a clothing store and fired at the people in it, killing two of them and seriously wounding two others. The two gunmen immediately left the scene and got into a van driven by the applicant, Carey Isaac Regis. Mr. Regis and the two gunmen were charged with two counts of attempted murder using firearms and two of </w:t>
            </w:r>
            <w:proofErr w:type="gramStart"/>
            <w:r w:rsidRPr="001C7519">
              <w:rPr>
                <w:sz w:val="20"/>
                <w:lang w:val="en-CA"/>
              </w:rPr>
              <w:t>first degree</w:t>
            </w:r>
            <w:proofErr w:type="gramEnd"/>
            <w:r w:rsidRPr="001C7519">
              <w:rPr>
                <w:sz w:val="20"/>
                <w:lang w:val="en-CA"/>
              </w:rPr>
              <w:t xml:space="preserve"> murder.</w:t>
            </w:r>
            <w:r w:rsidRPr="001C7519">
              <w:rPr>
                <w:sz w:val="20"/>
                <w:lang w:val="en-CA" w:eastAsia="en-CA"/>
              </w:rPr>
              <w:t xml:space="preserve"> </w:t>
            </w:r>
            <w:r w:rsidRPr="001C7519">
              <w:rPr>
                <w:sz w:val="20"/>
                <w:lang w:val="en-CA"/>
              </w:rPr>
              <w:t xml:space="preserve">In the Quebec Superior Court, the jury returned verdicts that Mr. Regis and the other two accused were guilty on two counts of attempted murder using firearms and two of </w:t>
            </w:r>
            <w:proofErr w:type="gramStart"/>
            <w:r w:rsidRPr="001C7519">
              <w:rPr>
                <w:sz w:val="20"/>
                <w:lang w:val="en-CA"/>
              </w:rPr>
              <w:t>first degree</w:t>
            </w:r>
            <w:proofErr w:type="gramEnd"/>
            <w:r w:rsidRPr="001C7519">
              <w:rPr>
                <w:sz w:val="20"/>
                <w:lang w:val="en-CA"/>
              </w:rPr>
              <w:t xml:space="preserve"> murder. The accused appealed the guilty verdicts. More specifically, Mr. Regis raised an argument to the effect </w:t>
            </w:r>
            <w:proofErr w:type="gramStart"/>
            <w:r w:rsidRPr="001C7519">
              <w:rPr>
                <w:sz w:val="20"/>
                <w:lang w:val="en-CA"/>
              </w:rPr>
              <w:t>that the judge’s instructions regarding DNA evidence were insufficient and, in any event, wrong in law</w:t>
            </w:r>
            <w:proofErr w:type="gramEnd"/>
            <w:r w:rsidRPr="001C7519">
              <w:rPr>
                <w:sz w:val="20"/>
                <w:lang w:val="en-CA"/>
              </w:rPr>
              <w:t>. The Quebec Court of Appeal rejected this ground of appeal and dismissed the appeal of the guilty verdicts.</w:t>
            </w:r>
          </w:p>
          <w:p w:rsidR="005A487B" w:rsidRPr="001C7519" w:rsidRDefault="005A487B" w:rsidP="005A487B">
            <w:pPr>
              <w:jc w:val="both"/>
              <w:rPr>
                <w:sz w:val="20"/>
                <w:lang w:val="en-CA"/>
              </w:rPr>
            </w:pPr>
          </w:p>
        </w:tc>
      </w:tr>
      <w:tr w:rsidR="005A487B" w:rsidRPr="001C7519" w:rsidTr="004C625A">
        <w:tc>
          <w:tcPr>
            <w:tcW w:w="2427" w:type="pct"/>
            <w:gridSpan w:val="2"/>
          </w:tcPr>
          <w:p w:rsidR="005A487B" w:rsidRPr="001C7519" w:rsidRDefault="005A487B" w:rsidP="005A487B">
            <w:pPr>
              <w:jc w:val="both"/>
              <w:rPr>
                <w:sz w:val="20"/>
                <w:lang w:val="en-CA"/>
              </w:rPr>
            </w:pPr>
            <w:r w:rsidRPr="001C7519">
              <w:rPr>
                <w:sz w:val="20"/>
                <w:lang w:val="en-CA"/>
              </w:rPr>
              <w:t>May 2, 2014</w:t>
            </w:r>
          </w:p>
          <w:p w:rsidR="005A487B" w:rsidRPr="001C7519" w:rsidRDefault="005A487B" w:rsidP="005A487B">
            <w:pPr>
              <w:jc w:val="both"/>
              <w:rPr>
                <w:sz w:val="20"/>
                <w:lang w:val="en-CA"/>
              </w:rPr>
            </w:pPr>
            <w:r w:rsidRPr="001C7519">
              <w:rPr>
                <w:sz w:val="20"/>
                <w:lang w:val="en-CA"/>
              </w:rPr>
              <w:t>Quebec Superior Court</w:t>
            </w:r>
          </w:p>
          <w:p w:rsidR="005A487B" w:rsidRPr="001C7519" w:rsidRDefault="005A487B" w:rsidP="005A487B">
            <w:pPr>
              <w:jc w:val="both"/>
              <w:rPr>
                <w:sz w:val="20"/>
                <w:lang w:val="en-CA"/>
              </w:rPr>
            </w:pPr>
            <w:r w:rsidRPr="001C7519">
              <w:rPr>
                <w:sz w:val="20"/>
                <w:lang w:val="en-CA"/>
              </w:rPr>
              <w:t>(Cohen J.)</w:t>
            </w:r>
          </w:p>
          <w:p w:rsidR="005A487B" w:rsidRPr="001C7519" w:rsidRDefault="005A487B" w:rsidP="005A487B">
            <w:pPr>
              <w:jc w:val="both"/>
              <w:rPr>
                <w:sz w:val="20"/>
                <w:lang w:val="en-CA"/>
              </w:rPr>
            </w:pPr>
            <w:r w:rsidRPr="001C7519">
              <w:rPr>
                <w:sz w:val="20"/>
                <w:lang w:val="en-CA"/>
              </w:rPr>
              <w:t>500</w:t>
            </w:r>
            <w:r w:rsidRPr="001C7519">
              <w:rPr>
                <w:sz w:val="20"/>
                <w:lang w:val="en-CA"/>
              </w:rPr>
              <w:noBreakHyphen/>
              <w:t>01</w:t>
            </w:r>
            <w:r w:rsidRPr="001C7519">
              <w:rPr>
                <w:sz w:val="20"/>
                <w:lang w:val="en-CA"/>
              </w:rPr>
              <w:noBreakHyphen/>
              <w:t>043096</w:t>
            </w:r>
            <w:r w:rsidRPr="001C7519">
              <w:rPr>
                <w:sz w:val="20"/>
                <w:lang w:val="en-CA"/>
              </w:rPr>
              <w:noBreakHyphen/>
              <w:t>103</w:t>
            </w:r>
          </w:p>
          <w:p w:rsidR="005A487B" w:rsidRPr="001C7519" w:rsidRDefault="005A487B" w:rsidP="005A487B">
            <w:pPr>
              <w:jc w:val="both"/>
              <w:rPr>
                <w:sz w:val="20"/>
                <w:lang w:val="en-CA"/>
              </w:rPr>
            </w:pPr>
          </w:p>
        </w:tc>
        <w:tc>
          <w:tcPr>
            <w:tcW w:w="243" w:type="pct"/>
          </w:tcPr>
          <w:p w:rsidR="005A487B" w:rsidRPr="001C7519" w:rsidRDefault="005A487B" w:rsidP="005A487B">
            <w:pPr>
              <w:jc w:val="both"/>
              <w:rPr>
                <w:sz w:val="20"/>
                <w:lang w:val="en-CA"/>
              </w:rPr>
            </w:pPr>
          </w:p>
        </w:tc>
        <w:tc>
          <w:tcPr>
            <w:tcW w:w="2330" w:type="pct"/>
          </w:tcPr>
          <w:p w:rsidR="005A487B" w:rsidRPr="001C7519" w:rsidRDefault="005A487B" w:rsidP="005A487B">
            <w:pPr>
              <w:jc w:val="both"/>
              <w:rPr>
                <w:sz w:val="20"/>
                <w:lang w:val="en-CA"/>
              </w:rPr>
            </w:pPr>
            <w:r w:rsidRPr="001C7519">
              <w:rPr>
                <w:sz w:val="20"/>
                <w:lang w:val="en-CA"/>
              </w:rPr>
              <w:t>Verdicts by jury finding applicant, Carey Isaac Regis, and his co</w:t>
            </w:r>
            <w:r w:rsidRPr="001C7519">
              <w:rPr>
                <w:sz w:val="20"/>
                <w:lang w:val="en-CA"/>
              </w:rPr>
              <w:noBreakHyphen/>
              <w:t xml:space="preserve">accused guilty on two counts of attempted murder using firearms and two of first degree murder </w:t>
            </w:r>
          </w:p>
          <w:p w:rsidR="005A487B" w:rsidRPr="001C7519" w:rsidRDefault="005A487B" w:rsidP="005A487B">
            <w:pPr>
              <w:jc w:val="both"/>
              <w:rPr>
                <w:sz w:val="20"/>
                <w:lang w:val="en-CA"/>
              </w:rPr>
            </w:pPr>
          </w:p>
        </w:tc>
      </w:tr>
      <w:tr w:rsidR="005A487B" w:rsidRPr="001C7519" w:rsidTr="004C625A">
        <w:tc>
          <w:tcPr>
            <w:tcW w:w="2427" w:type="pct"/>
            <w:gridSpan w:val="2"/>
          </w:tcPr>
          <w:p w:rsidR="005A487B" w:rsidRPr="001C7519" w:rsidRDefault="005A487B" w:rsidP="005A487B">
            <w:pPr>
              <w:jc w:val="both"/>
              <w:rPr>
                <w:sz w:val="20"/>
                <w:lang w:val="en-CA"/>
              </w:rPr>
            </w:pPr>
            <w:r w:rsidRPr="001C7519">
              <w:rPr>
                <w:sz w:val="20"/>
                <w:lang w:val="en-CA"/>
              </w:rPr>
              <w:t>September 21, 2020</w:t>
            </w:r>
          </w:p>
          <w:p w:rsidR="005A487B" w:rsidRPr="001C7519" w:rsidRDefault="005A487B" w:rsidP="005A487B">
            <w:pPr>
              <w:jc w:val="both"/>
              <w:rPr>
                <w:sz w:val="20"/>
                <w:lang w:val="en-CA"/>
              </w:rPr>
            </w:pPr>
            <w:r w:rsidRPr="001C7519">
              <w:rPr>
                <w:sz w:val="20"/>
                <w:lang w:val="en-CA"/>
              </w:rPr>
              <w:t>Quebec Court of Appeal (Montréal)</w:t>
            </w:r>
          </w:p>
          <w:p w:rsidR="005A487B" w:rsidRPr="001C7519" w:rsidRDefault="005A487B" w:rsidP="005A487B">
            <w:pPr>
              <w:jc w:val="both"/>
              <w:rPr>
                <w:sz w:val="20"/>
                <w:lang w:val="en-CA"/>
              </w:rPr>
            </w:pPr>
            <w:r w:rsidRPr="001C7519">
              <w:rPr>
                <w:sz w:val="20"/>
                <w:lang w:val="en-CA"/>
              </w:rPr>
              <w:t>(Gagnon, Marcotte and Cotnam JJ.A.)</w:t>
            </w:r>
          </w:p>
          <w:p w:rsidR="005A487B" w:rsidRPr="001C7519" w:rsidRDefault="005A487B" w:rsidP="005A487B">
            <w:pPr>
              <w:jc w:val="both"/>
              <w:rPr>
                <w:sz w:val="20"/>
                <w:lang w:val="en-CA"/>
              </w:rPr>
            </w:pPr>
            <w:r w:rsidRPr="001C7519">
              <w:rPr>
                <w:sz w:val="20"/>
                <w:lang w:val="en-CA"/>
              </w:rPr>
              <w:t>500</w:t>
            </w:r>
            <w:r w:rsidRPr="001C7519">
              <w:rPr>
                <w:sz w:val="20"/>
                <w:lang w:val="en-CA"/>
              </w:rPr>
              <w:noBreakHyphen/>
              <w:t>10</w:t>
            </w:r>
            <w:r w:rsidRPr="001C7519">
              <w:rPr>
                <w:sz w:val="20"/>
                <w:lang w:val="en-CA"/>
              </w:rPr>
              <w:noBreakHyphen/>
              <w:t>005663</w:t>
            </w:r>
            <w:r w:rsidRPr="001C7519">
              <w:rPr>
                <w:sz w:val="20"/>
                <w:lang w:val="en-CA"/>
              </w:rPr>
              <w:noBreakHyphen/>
              <w:t>149</w:t>
            </w:r>
          </w:p>
          <w:p w:rsidR="005A487B" w:rsidRPr="001C7519" w:rsidRDefault="00E75919" w:rsidP="005A487B">
            <w:pPr>
              <w:jc w:val="both"/>
              <w:rPr>
                <w:rStyle w:val="Hyperlink"/>
                <w:sz w:val="20"/>
                <w:lang w:val="en-CA"/>
              </w:rPr>
            </w:pPr>
            <w:hyperlink r:id="rId61" w:history="1">
              <w:r w:rsidR="005A487B" w:rsidRPr="001C7519">
                <w:rPr>
                  <w:rStyle w:val="Hyperlink"/>
                  <w:sz w:val="20"/>
                  <w:lang w:val="en-CA"/>
                </w:rPr>
                <w:t>2020 QCCA 1210</w:t>
              </w:r>
            </w:hyperlink>
          </w:p>
          <w:p w:rsidR="005A487B" w:rsidRPr="001C7519" w:rsidRDefault="005A487B" w:rsidP="005A487B">
            <w:pPr>
              <w:jc w:val="both"/>
              <w:rPr>
                <w:sz w:val="20"/>
                <w:lang w:val="en-CA"/>
              </w:rPr>
            </w:pPr>
          </w:p>
        </w:tc>
        <w:tc>
          <w:tcPr>
            <w:tcW w:w="243" w:type="pct"/>
          </w:tcPr>
          <w:p w:rsidR="005A487B" w:rsidRPr="001C7519" w:rsidRDefault="005A487B" w:rsidP="005A487B">
            <w:pPr>
              <w:jc w:val="both"/>
              <w:rPr>
                <w:sz w:val="20"/>
                <w:lang w:val="en-CA"/>
              </w:rPr>
            </w:pPr>
          </w:p>
        </w:tc>
        <w:tc>
          <w:tcPr>
            <w:tcW w:w="2330" w:type="pct"/>
          </w:tcPr>
          <w:p w:rsidR="005A487B" w:rsidRPr="001C7519" w:rsidRDefault="005A487B" w:rsidP="005A487B">
            <w:pPr>
              <w:jc w:val="both"/>
              <w:rPr>
                <w:sz w:val="20"/>
                <w:lang w:val="en-CA"/>
              </w:rPr>
            </w:pPr>
            <w:r w:rsidRPr="001C7519">
              <w:rPr>
                <w:sz w:val="20"/>
                <w:lang w:val="en-CA"/>
              </w:rPr>
              <w:t>Appeal of guilty verdicts dismissed</w:t>
            </w:r>
          </w:p>
        </w:tc>
      </w:tr>
      <w:tr w:rsidR="005A487B" w:rsidRPr="001C7519" w:rsidTr="004C625A">
        <w:tc>
          <w:tcPr>
            <w:tcW w:w="2427" w:type="pct"/>
            <w:gridSpan w:val="2"/>
          </w:tcPr>
          <w:p w:rsidR="005A487B" w:rsidRPr="001C7519" w:rsidRDefault="005A487B" w:rsidP="005A487B">
            <w:pPr>
              <w:jc w:val="both"/>
              <w:rPr>
                <w:sz w:val="20"/>
                <w:lang w:val="en-CA"/>
              </w:rPr>
            </w:pPr>
            <w:r w:rsidRPr="001C7519">
              <w:rPr>
                <w:sz w:val="20"/>
                <w:lang w:val="en-CA"/>
              </w:rPr>
              <w:t>March 29, 2021</w:t>
            </w:r>
          </w:p>
          <w:p w:rsidR="005A487B" w:rsidRPr="001C7519" w:rsidRDefault="005A487B" w:rsidP="005A487B">
            <w:pPr>
              <w:jc w:val="both"/>
              <w:rPr>
                <w:sz w:val="20"/>
                <w:lang w:val="en-CA"/>
              </w:rPr>
            </w:pPr>
            <w:r w:rsidRPr="001C7519">
              <w:rPr>
                <w:sz w:val="20"/>
                <w:lang w:val="en-CA"/>
              </w:rPr>
              <w:t>Supreme Court of Canada</w:t>
            </w:r>
          </w:p>
        </w:tc>
        <w:tc>
          <w:tcPr>
            <w:tcW w:w="243" w:type="pct"/>
          </w:tcPr>
          <w:p w:rsidR="005A487B" w:rsidRPr="001C7519" w:rsidRDefault="005A487B" w:rsidP="005A487B">
            <w:pPr>
              <w:jc w:val="both"/>
              <w:rPr>
                <w:sz w:val="20"/>
                <w:lang w:val="en-CA"/>
              </w:rPr>
            </w:pPr>
          </w:p>
        </w:tc>
        <w:tc>
          <w:tcPr>
            <w:tcW w:w="2330" w:type="pct"/>
          </w:tcPr>
          <w:p w:rsidR="005A487B" w:rsidRPr="001C7519" w:rsidRDefault="005A487B" w:rsidP="005A487B">
            <w:pPr>
              <w:jc w:val="both"/>
              <w:rPr>
                <w:sz w:val="20"/>
                <w:lang w:val="en-CA"/>
              </w:rPr>
            </w:pPr>
            <w:r w:rsidRPr="001C7519">
              <w:rPr>
                <w:sz w:val="20"/>
                <w:lang w:val="en-CA"/>
              </w:rPr>
              <w:t>Application for leave to appeal filed</w:t>
            </w:r>
          </w:p>
          <w:p w:rsidR="005A487B" w:rsidRPr="001C7519" w:rsidRDefault="005A487B" w:rsidP="005A487B">
            <w:pPr>
              <w:jc w:val="both"/>
              <w:rPr>
                <w:sz w:val="20"/>
                <w:lang w:val="en-CA"/>
              </w:rPr>
            </w:pPr>
          </w:p>
        </w:tc>
      </w:tr>
    </w:tbl>
    <w:p w:rsidR="005A487B" w:rsidRPr="001C7519" w:rsidRDefault="005A487B" w:rsidP="005A487B">
      <w:pPr>
        <w:jc w:val="both"/>
        <w:rPr>
          <w:sz w:val="20"/>
          <w:lang w:val="en-CA"/>
        </w:rPr>
      </w:pPr>
    </w:p>
    <w:p w:rsidR="005A487B" w:rsidRPr="001C7519" w:rsidRDefault="00E75919" w:rsidP="005A487B">
      <w:pPr>
        <w:jc w:val="both"/>
        <w:rPr>
          <w:sz w:val="20"/>
          <w:lang w:val="en-CA"/>
        </w:rPr>
      </w:pPr>
      <w:r>
        <w:rPr>
          <w:sz w:val="20"/>
        </w:rPr>
        <w:pict>
          <v:rect id="_x0000_i1046" style="width:2in;height:1pt" o:hrpct="0" o:hralign="center" o:hrstd="t" o:hrnoshade="t" o:hr="t" fillcolor="black [3213]" stroked="f"/>
        </w:pict>
      </w:r>
    </w:p>
    <w:p w:rsidR="005A487B" w:rsidRPr="001C7519" w:rsidRDefault="005A487B" w:rsidP="005A487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487B" w:rsidRPr="001C7519" w:rsidTr="004C625A">
        <w:tc>
          <w:tcPr>
            <w:tcW w:w="543" w:type="pct"/>
          </w:tcPr>
          <w:p w:rsidR="005A487B" w:rsidRPr="001C7519" w:rsidRDefault="005A487B" w:rsidP="005A487B">
            <w:pPr>
              <w:jc w:val="both"/>
              <w:rPr>
                <w:sz w:val="20"/>
              </w:rPr>
            </w:pPr>
            <w:r w:rsidRPr="001C7519">
              <w:rPr>
                <w:rStyle w:val="SCCFileNumberChar"/>
                <w:sz w:val="20"/>
                <w:szCs w:val="20"/>
              </w:rPr>
              <w:t>39658</w:t>
            </w:r>
          </w:p>
        </w:tc>
        <w:tc>
          <w:tcPr>
            <w:tcW w:w="4457" w:type="pct"/>
            <w:gridSpan w:val="3"/>
          </w:tcPr>
          <w:p w:rsidR="005A487B" w:rsidRPr="001C7519" w:rsidRDefault="005A487B" w:rsidP="005A487B">
            <w:pPr>
              <w:pStyle w:val="SCCLsocParty"/>
              <w:jc w:val="both"/>
              <w:rPr>
                <w:b/>
                <w:sz w:val="20"/>
                <w:szCs w:val="20"/>
              </w:rPr>
            </w:pPr>
            <w:r w:rsidRPr="001C7519">
              <w:rPr>
                <w:b/>
                <w:sz w:val="20"/>
                <w:szCs w:val="20"/>
              </w:rPr>
              <w:t>Carey Isaac Regis c. Sa Majesté la Reine</w:t>
            </w:r>
          </w:p>
          <w:p w:rsidR="005A487B" w:rsidRPr="001C7519" w:rsidRDefault="005A487B" w:rsidP="005A487B">
            <w:pPr>
              <w:jc w:val="both"/>
              <w:rPr>
                <w:sz w:val="20"/>
              </w:rPr>
            </w:pPr>
            <w:r w:rsidRPr="001C7519">
              <w:rPr>
                <w:sz w:val="20"/>
              </w:rPr>
              <w:t>(Qc) (Criminelle) (Autorisation)</w:t>
            </w:r>
          </w:p>
        </w:tc>
      </w:tr>
      <w:tr w:rsidR="005A487B" w:rsidRPr="00E75919" w:rsidTr="004C625A">
        <w:tc>
          <w:tcPr>
            <w:tcW w:w="5000" w:type="pct"/>
            <w:gridSpan w:val="4"/>
          </w:tcPr>
          <w:p w:rsidR="005A487B" w:rsidRPr="001C7519" w:rsidRDefault="005A487B" w:rsidP="005A487B">
            <w:pPr>
              <w:jc w:val="both"/>
              <w:rPr>
                <w:sz w:val="20"/>
                <w:lang w:val="fr-CA"/>
              </w:rPr>
            </w:pPr>
            <w:r w:rsidRPr="001C7519">
              <w:rPr>
                <w:sz w:val="20"/>
                <w:lang w:val="fr-CA"/>
              </w:rPr>
              <w:t>Droit criminel — Directives au jury — La juge de première instance a</w:t>
            </w:r>
            <w:r w:rsidRPr="001C7519">
              <w:rPr>
                <w:sz w:val="20"/>
                <w:lang w:val="fr-CA"/>
              </w:rPr>
              <w:noBreakHyphen/>
              <w:t>t</w:t>
            </w:r>
            <w:r w:rsidRPr="001C7519">
              <w:rPr>
                <w:sz w:val="20"/>
                <w:lang w:val="fr-CA"/>
              </w:rPr>
              <w:noBreakHyphen/>
              <w:t>elle erré en droit dans ses directives au jury concernant la preuve d’ADN présentée par l’intimée?</w:t>
            </w:r>
          </w:p>
        </w:tc>
      </w:tr>
      <w:tr w:rsidR="005A487B" w:rsidRPr="00E75919" w:rsidTr="004C625A">
        <w:tc>
          <w:tcPr>
            <w:tcW w:w="5000" w:type="pct"/>
            <w:gridSpan w:val="4"/>
          </w:tcPr>
          <w:p w:rsidR="005A487B" w:rsidRPr="001C7519" w:rsidRDefault="005A487B" w:rsidP="005A487B">
            <w:pPr>
              <w:jc w:val="both"/>
              <w:rPr>
                <w:sz w:val="20"/>
                <w:lang w:val="fr-CA"/>
              </w:rPr>
            </w:pPr>
          </w:p>
        </w:tc>
      </w:tr>
      <w:tr w:rsidR="005A487B" w:rsidRPr="00E75919" w:rsidTr="004C625A">
        <w:tc>
          <w:tcPr>
            <w:tcW w:w="5000" w:type="pct"/>
            <w:gridSpan w:val="4"/>
          </w:tcPr>
          <w:p w:rsidR="005A487B" w:rsidRPr="001C7519" w:rsidRDefault="005A487B" w:rsidP="005A487B">
            <w:pPr>
              <w:jc w:val="both"/>
              <w:rPr>
                <w:sz w:val="20"/>
                <w:lang w:val="fr-CA"/>
              </w:rPr>
            </w:pPr>
            <w:r w:rsidRPr="001C7519">
              <w:rPr>
                <w:sz w:val="20"/>
                <w:lang w:val="fr-CA"/>
              </w:rPr>
              <w:t>En mars 2010, deux hommes font irruption dans une boutique de vêtements et font feu en direction des personnes présentes, tuant deux d’entre elles et en blessant sérieusement deux autres. Les deux tireurs quittent aussitôt les lieux et embarquent à bord d’une fourgonnette conduite par le demandeur, Carey Isaac Regis. Monsieur Regis et les deux tireurs sont accusés de deux tentatives de meurtre avec l’usage d’armes à feu et de deux meurtres au premier degré.</w:t>
            </w:r>
            <w:r w:rsidRPr="001C7519">
              <w:rPr>
                <w:sz w:val="20"/>
                <w:lang w:val="fr-CA" w:eastAsia="en-CA"/>
              </w:rPr>
              <w:t xml:space="preserve"> </w:t>
            </w:r>
            <w:r w:rsidRPr="001C7519">
              <w:rPr>
                <w:sz w:val="20"/>
                <w:lang w:val="fr-CA"/>
              </w:rPr>
              <w:t>À la Cour supérieure du Québec, le jury rend des verdicts déclarants M. Regis, et les deux autres accusés, coupables de deux tentatives de meurtre avec l’usage d’armes à feu, et de deux meurtres au premier degré. Les accusés se pourvoient contre les verdicts de culpabilité. Plus précisément, M. Regis soulève un argument selon lequel les directives de la juge sur la preuve d’ADN seraient insuffisantes et de toute façon erronées en droit. La Cour d’appel du Québec rejette ce moyen d’appel et rejette l’appel contre les verdicts de culpabilité.</w:t>
            </w:r>
          </w:p>
          <w:p w:rsidR="005A487B" w:rsidRPr="001C7519" w:rsidRDefault="005A487B" w:rsidP="005A487B">
            <w:pPr>
              <w:jc w:val="both"/>
              <w:rPr>
                <w:sz w:val="20"/>
                <w:lang w:val="fr-CA"/>
              </w:rPr>
            </w:pPr>
          </w:p>
        </w:tc>
      </w:tr>
      <w:tr w:rsidR="005A487B" w:rsidRPr="00E75919" w:rsidTr="004C625A">
        <w:tc>
          <w:tcPr>
            <w:tcW w:w="2427" w:type="pct"/>
            <w:gridSpan w:val="2"/>
          </w:tcPr>
          <w:p w:rsidR="005A487B" w:rsidRPr="001C7519" w:rsidRDefault="005A487B" w:rsidP="005A487B">
            <w:pPr>
              <w:jc w:val="both"/>
              <w:rPr>
                <w:sz w:val="20"/>
                <w:lang w:val="fr-CA"/>
              </w:rPr>
            </w:pPr>
            <w:r w:rsidRPr="001C7519">
              <w:rPr>
                <w:sz w:val="20"/>
                <w:lang w:val="fr-CA"/>
              </w:rPr>
              <w:t>Le 2 mai 2014</w:t>
            </w:r>
          </w:p>
          <w:p w:rsidR="005A487B" w:rsidRPr="001C7519" w:rsidRDefault="005A487B" w:rsidP="005A487B">
            <w:pPr>
              <w:jc w:val="both"/>
              <w:rPr>
                <w:sz w:val="20"/>
                <w:lang w:val="fr-CA"/>
              </w:rPr>
            </w:pPr>
            <w:r w:rsidRPr="001C7519">
              <w:rPr>
                <w:sz w:val="20"/>
                <w:lang w:val="fr-CA"/>
              </w:rPr>
              <w:t>Cour supérieure du Québec</w:t>
            </w:r>
          </w:p>
          <w:p w:rsidR="005A487B" w:rsidRPr="001C7519" w:rsidRDefault="005A487B" w:rsidP="005A487B">
            <w:pPr>
              <w:jc w:val="both"/>
              <w:rPr>
                <w:sz w:val="20"/>
              </w:rPr>
            </w:pPr>
            <w:r w:rsidRPr="001C7519">
              <w:rPr>
                <w:sz w:val="20"/>
              </w:rPr>
              <w:t>(La juge Cohen)</w:t>
            </w:r>
          </w:p>
          <w:p w:rsidR="005A487B" w:rsidRPr="001C7519" w:rsidRDefault="005A487B" w:rsidP="005A487B">
            <w:pPr>
              <w:jc w:val="both"/>
              <w:rPr>
                <w:sz w:val="20"/>
              </w:rPr>
            </w:pPr>
            <w:r w:rsidRPr="001C7519">
              <w:rPr>
                <w:sz w:val="20"/>
              </w:rPr>
              <w:t>500</w:t>
            </w:r>
            <w:r w:rsidRPr="001C7519">
              <w:rPr>
                <w:sz w:val="20"/>
              </w:rPr>
              <w:noBreakHyphen/>
              <w:t>01</w:t>
            </w:r>
            <w:r w:rsidRPr="001C7519">
              <w:rPr>
                <w:sz w:val="20"/>
              </w:rPr>
              <w:noBreakHyphen/>
              <w:t>043096</w:t>
            </w:r>
            <w:r w:rsidRPr="001C7519">
              <w:rPr>
                <w:sz w:val="20"/>
              </w:rPr>
              <w:noBreakHyphen/>
              <w:t>103</w:t>
            </w:r>
          </w:p>
          <w:p w:rsidR="005A487B" w:rsidRPr="001C7519" w:rsidRDefault="005A487B" w:rsidP="005A487B">
            <w:pPr>
              <w:jc w:val="both"/>
              <w:rPr>
                <w:sz w:val="20"/>
              </w:rPr>
            </w:pPr>
          </w:p>
        </w:tc>
        <w:tc>
          <w:tcPr>
            <w:tcW w:w="243" w:type="pct"/>
          </w:tcPr>
          <w:p w:rsidR="005A487B" w:rsidRPr="001C7519" w:rsidRDefault="005A487B" w:rsidP="005A487B">
            <w:pPr>
              <w:jc w:val="both"/>
              <w:rPr>
                <w:sz w:val="20"/>
              </w:rPr>
            </w:pPr>
          </w:p>
        </w:tc>
        <w:tc>
          <w:tcPr>
            <w:tcW w:w="2330" w:type="pct"/>
          </w:tcPr>
          <w:p w:rsidR="005A487B" w:rsidRPr="001C7519" w:rsidRDefault="005A487B" w:rsidP="005A487B">
            <w:pPr>
              <w:jc w:val="both"/>
              <w:rPr>
                <w:sz w:val="20"/>
                <w:lang w:val="fr-CA"/>
              </w:rPr>
            </w:pPr>
            <w:r w:rsidRPr="001C7519">
              <w:rPr>
                <w:sz w:val="20"/>
                <w:lang w:val="fr-CA"/>
              </w:rPr>
              <w:t>Verdicts rendus par le jury déclarant le demandeur, Carey Isaac Regis, et ses co</w:t>
            </w:r>
            <w:r w:rsidRPr="001C7519">
              <w:rPr>
                <w:sz w:val="20"/>
                <w:lang w:val="fr-CA"/>
              </w:rPr>
              <w:noBreakHyphen/>
              <w:t>accusés coupables de deux tentatives de meurtre avec l’usage d’armes à feu et de deux meurtres au premier degré.</w:t>
            </w:r>
          </w:p>
          <w:p w:rsidR="005A487B" w:rsidRPr="001C7519" w:rsidRDefault="005A487B" w:rsidP="005A487B">
            <w:pPr>
              <w:jc w:val="both"/>
              <w:rPr>
                <w:sz w:val="20"/>
                <w:lang w:val="fr-CA"/>
              </w:rPr>
            </w:pPr>
          </w:p>
        </w:tc>
      </w:tr>
      <w:tr w:rsidR="005A487B" w:rsidRPr="00E75919" w:rsidTr="004C625A">
        <w:tc>
          <w:tcPr>
            <w:tcW w:w="2427" w:type="pct"/>
            <w:gridSpan w:val="2"/>
          </w:tcPr>
          <w:p w:rsidR="005A487B" w:rsidRPr="001C7519" w:rsidRDefault="005A487B" w:rsidP="005A487B">
            <w:pPr>
              <w:jc w:val="both"/>
              <w:rPr>
                <w:sz w:val="20"/>
                <w:lang w:val="fr-CA"/>
              </w:rPr>
            </w:pPr>
            <w:r w:rsidRPr="001C7519">
              <w:rPr>
                <w:sz w:val="20"/>
                <w:lang w:val="fr-CA"/>
              </w:rPr>
              <w:t>Le 21 septembre 2020</w:t>
            </w:r>
          </w:p>
          <w:p w:rsidR="005A487B" w:rsidRPr="001C7519" w:rsidRDefault="005A487B" w:rsidP="005A487B">
            <w:pPr>
              <w:jc w:val="both"/>
              <w:rPr>
                <w:sz w:val="20"/>
                <w:lang w:val="fr-CA"/>
              </w:rPr>
            </w:pPr>
            <w:r w:rsidRPr="001C7519">
              <w:rPr>
                <w:sz w:val="20"/>
                <w:lang w:val="fr-CA"/>
              </w:rPr>
              <w:t>Cour d’appel du Québec (Montréal)</w:t>
            </w:r>
          </w:p>
          <w:p w:rsidR="005A487B" w:rsidRPr="001C7519" w:rsidRDefault="005A487B" w:rsidP="005A487B">
            <w:pPr>
              <w:jc w:val="both"/>
              <w:rPr>
                <w:sz w:val="20"/>
                <w:lang w:val="fr-CA"/>
              </w:rPr>
            </w:pPr>
            <w:r w:rsidRPr="001C7519">
              <w:rPr>
                <w:sz w:val="20"/>
                <w:lang w:val="fr-CA"/>
              </w:rPr>
              <w:t>(Les juges Gagnon, Marcotte et Cotnam)</w:t>
            </w:r>
          </w:p>
          <w:p w:rsidR="005A487B" w:rsidRPr="001C7519" w:rsidRDefault="005A487B" w:rsidP="005A487B">
            <w:pPr>
              <w:jc w:val="both"/>
              <w:rPr>
                <w:sz w:val="20"/>
              </w:rPr>
            </w:pPr>
            <w:r w:rsidRPr="001C7519">
              <w:rPr>
                <w:sz w:val="20"/>
              </w:rPr>
              <w:t>500</w:t>
            </w:r>
            <w:r w:rsidRPr="001C7519">
              <w:rPr>
                <w:sz w:val="20"/>
              </w:rPr>
              <w:noBreakHyphen/>
              <w:t>10</w:t>
            </w:r>
            <w:r w:rsidRPr="001C7519">
              <w:rPr>
                <w:sz w:val="20"/>
              </w:rPr>
              <w:noBreakHyphen/>
              <w:t>005663</w:t>
            </w:r>
            <w:r w:rsidRPr="001C7519">
              <w:rPr>
                <w:sz w:val="20"/>
              </w:rPr>
              <w:noBreakHyphen/>
              <w:t>149</w:t>
            </w:r>
          </w:p>
          <w:p w:rsidR="005A487B" w:rsidRPr="001C7519" w:rsidRDefault="00E75919" w:rsidP="005A487B">
            <w:pPr>
              <w:jc w:val="both"/>
              <w:rPr>
                <w:rStyle w:val="Hyperlink"/>
                <w:sz w:val="20"/>
              </w:rPr>
            </w:pPr>
            <w:hyperlink r:id="rId62" w:history="1">
              <w:r w:rsidR="005A487B" w:rsidRPr="001C7519">
                <w:rPr>
                  <w:rStyle w:val="Hyperlink"/>
                  <w:sz w:val="20"/>
                </w:rPr>
                <w:t>2020 QCCA 1210</w:t>
              </w:r>
            </w:hyperlink>
          </w:p>
          <w:p w:rsidR="005A487B" w:rsidRPr="001C7519" w:rsidRDefault="005A487B" w:rsidP="005A487B">
            <w:pPr>
              <w:jc w:val="both"/>
              <w:rPr>
                <w:sz w:val="20"/>
              </w:rPr>
            </w:pPr>
          </w:p>
        </w:tc>
        <w:tc>
          <w:tcPr>
            <w:tcW w:w="243" w:type="pct"/>
          </w:tcPr>
          <w:p w:rsidR="005A487B" w:rsidRPr="001C7519" w:rsidRDefault="005A487B" w:rsidP="005A487B">
            <w:pPr>
              <w:jc w:val="both"/>
              <w:rPr>
                <w:sz w:val="20"/>
              </w:rPr>
            </w:pPr>
          </w:p>
        </w:tc>
        <w:tc>
          <w:tcPr>
            <w:tcW w:w="2330" w:type="pct"/>
          </w:tcPr>
          <w:p w:rsidR="005A487B" w:rsidRPr="001C7519" w:rsidRDefault="005A487B" w:rsidP="005A487B">
            <w:pPr>
              <w:jc w:val="both"/>
              <w:rPr>
                <w:sz w:val="20"/>
                <w:lang w:val="fr-CA"/>
              </w:rPr>
            </w:pPr>
            <w:r w:rsidRPr="001C7519">
              <w:rPr>
                <w:sz w:val="20"/>
                <w:lang w:val="fr-CA"/>
              </w:rPr>
              <w:t>Appel contre les verdicts de culpabilité rejeté.</w:t>
            </w:r>
          </w:p>
        </w:tc>
      </w:tr>
      <w:tr w:rsidR="005A487B" w:rsidRPr="001C7519" w:rsidTr="004C625A">
        <w:tc>
          <w:tcPr>
            <w:tcW w:w="2427" w:type="pct"/>
            <w:gridSpan w:val="2"/>
          </w:tcPr>
          <w:p w:rsidR="005A487B" w:rsidRPr="001C7519" w:rsidRDefault="005A487B" w:rsidP="005A487B">
            <w:pPr>
              <w:jc w:val="both"/>
              <w:rPr>
                <w:sz w:val="20"/>
                <w:lang w:val="fr-CA"/>
              </w:rPr>
            </w:pPr>
            <w:r w:rsidRPr="001C7519">
              <w:rPr>
                <w:sz w:val="20"/>
                <w:lang w:val="fr-CA"/>
              </w:rPr>
              <w:t>Le 29 mars 2021</w:t>
            </w:r>
          </w:p>
          <w:p w:rsidR="005A487B" w:rsidRPr="001C7519" w:rsidRDefault="005A487B" w:rsidP="005A487B">
            <w:pPr>
              <w:jc w:val="both"/>
              <w:rPr>
                <w:sz w:val="20"/>
                <w:lang w:val="fr-CA"/>
              </w:rPr>
            </w:pPr>
            <w:r w:rsidRPr="001C7519">
              <w:rPr>
                <w:sz w:val="20"/>
                <w:lang w:val="fr-CA"/>
              </w:rPr>
              <w:t>Cour suprême du Canada</w:t>
            </w:r>
          </w:p>
        </w:tc>
        <w:tc>
          <w:tcPr>
            <w:tcW w:w="243" w:type="pct"/>
          </w:tcPr>
          <w:p w:rsidR="005A487B" w:rsidRPr="001C7519" w:rsidRDefault="005A487B" w:rsidP="005A487B">
            <w:pPr>
              <w:jc w:val="both"/>
              <w:rPr>
                <w:sz w:val="20"/>
                <w:lang w:val="fr-CA"/>
              </w:rPr>
            </w:pPr>
          </w:p>
        </w:tc>
        <w:tc>
          <w:tcPr>
            <w:tcW w:w="2330" w:type="pct"/>
          </w:tcPr>
          <w:p w:rsidR="005A487B" w:rsidRPr="001C7519" w:rsidRDefault="005A487B" w:rsidP="005A487B">
            <w:pPr>
              <w:jc w:val="both"/>
              <w:rPr>
                <w:sz w:val="20"/>
              </w:rPr>
            </w:pPr>
            <w:r w:rsidRPr="001C7519">
              <w:rPr>
                <w:sz w:val="20"/>
              </w:rPr>
              <w:t>Demande d’autorisation d’appel déposée.</w:t>
            </w:r>
          </w:p>
          <w:p w:rsidR="005A487B" w:rsidRPr="001C7519" w:rsidRDefault="005A487B" w:rsidP="005A487B">
            <w:pPr>
              <w:jc w:val="both"/>
              <w:rPr>
                <w:sz w:val="20"/>
              </w:rPr>
            </w:pPr>
          </w:p>
        </w:tc>
      </w:tr>
    </w:tbl>
    <w:p w:rsidR="00777ECC" w:rsidRPr="001C7519" w:rsidRDefault="00777ECC" w:rsidP="00350651">
      <w:pPr>
        <w:widowControl w:val="0"/>
        <w:tabs>
          <w:tab w:val="left" w:pos="3840"/>
        </w:tabs>
        <w:jc w:val="both"/>
        <w:rPr>
          <w:sz w:val="20"/>
          <w:lang w:val="fr-CA"/>
        </w:rPr>
      </w:pPr>
    </w:p>
    <w:p w:rsidR="00843C56" w:rsidRPr="001C7519" w:rsidRDefault="00E75919" w:rsidP="00350651">
      <w:pPr>
        <w:widowControl w:val="0"/>
        <w:tabs>
          <w:tab w:val="left" w:pos="3840"/>
        </w:tabs>
        <w:jc w:val="both"/>
        <w:rPr>
          <w:sz w:val="20"/>
          <w:lang w:val="fr-CA"/>
        </w:rPr>
      </w:pPr>
      <w:r>
        <w:rPr>
          <w:sz w:val="20"/>
        </w:rPr>
        <w:pict>
          <v:rect id="_x0000_i1047" style="width:2in;height:1pt" o:hrpct="0" o:hralign="center" o:hrstd="t" o:hrnoshade="t" o:hr="t" fillcolor="black [3213]" stroked="f"/>
        </w:pict>
      </w:r>
    </w:p>
    <w:p w:rsidR="00843C56" w:rsidRPr="001C7519" w:rsidRDefault="00843C56" w:rsidP="00D65A7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43C56" w:rsidRPr="001C7519" w:rsidTr="00E95A6A">
        <w:tc>
          <w:tcPr>
            <w:tcW w:w="543" w:type="pct"/>
          </w:tcPr>
          <w:p w:rsidR="00843C56" w:rsidRPr="001C7519" w:rsidRDefault="00843C56" w:rsidP="00D65A7B">
            <w:pPr>
              <w:jc w:val="both"/>
              <w:rPr>
                <w:sz w:val="20"/>
              </w:rPr>
            </w:pPr>
            <w:r w:rsidRPr="001C7519">
              <w:rPr>
                <w:rStyle w:val="SCCFileNumberChar"/>
                <w:sz w:val="20"/>
                <w:szCs w:val="20"/>
              </w:rPr>
              <w:t>39653</w:t>
            </w:r>
          </w:p>
        </w:tc>
        <w:tc>
          <w:tcPr>
            <w:tcW w:w="4457" w:type="pct"/>
            <w:gridSpan w:val="3"/>
          </w:tcPr>
          <w:p w:rsidR="00843C56" w:rsidRPr="001C7519" w:rsidRDefault="00843C56" w:rsidP="00D65A7B">
            <w:pPr>
              <w:pStyle w:val="SCCLsocParty"/>
              <w:jc w:val="both"/>
              <w:rPr>
                <w:b/>
                <w:sz w:val="20"/>
                <w:szCs w:val="20"/>
                <w:lang w:val="en-US"/>
              </w:rPr>
            </w:pPr>
            <w:r w:rsidRPr="001C7519">
              <w:rPr>
                <w:b/>
                <w:sz w:val="20"/>
                <w:szCs w:val="20"/>
                <w:lang w:val="en-US"/>
              </w:rPr>
              <w:t>Wen Xue Wang also known as Wenxue Wang v. Laura W. Zhao Personal Real Estate Corporation, Laura W. Zhao also known as Laura Zhao also known as Laura Wanying Zhao, Raymond Zhao also known as Raymond Jankai Zhao</w:t>
            </w:r>
          </w:p>
          <w:p w:rsidR="00843C56" w:rsidRPr="001C7519" w:rsidRDefault="00843C56" w:rsidP="00D65A7B">
            <w:pPr>
              <w:pStyle w:val="SCCLsocSubfileSeparator"/>
              <w:rPr>
                <w:sz w:val="20"/>
                <w:szCs w:val="20"/>
              </w:rPr>
            </w:pPr>
            <w:r w:rsidRPr="001C7519">
              <w:rPr>
                <w:sz w:val="20"/>
                <w:szCs w:val="20"/>
              </w:rPr>
              <w:t>- and between -</w:t>
            </w:r>
          </w:p>
          <w:p w:rsidR="00843C56" w:rsidRPr="001C7519" w:rsidRDefault="00843C56" w:rsidP="00D65A7B">
            <w:pPr>
              <w:pStyle w:val="SCCLsocParty"/>
              <w:jc w:val="both"/>
              <w:rPr>
                <w:b/>
                <w:sz w:val="20"/>
                <w:szCs w:val="20"/>
                <w:lang w:val="en-US"/>
              </w:rPr>
            </w:pPr>
            <w:r w:rsidRPr="001C7519">
              <w:rPr>
                <w:b/>
                <w:sz w:val="20"/>
                <w:szCs w:val="20"/>
                <w:lang w:val="en-US"/>
              </w:rPr>
              <w:t>WenXue Wang v. Vancouver Home Park Realty Ltd., Laura W. Zhao Personal Real Estate Corporation, Laura W. Zhao also known as Laura Zhao also known as Laura Wanying Zhao, Raymond Zhao also known as Raymond Jankai Zhao</w:t>
            </w:r>
          </w:p>
          <w:p w:rsidR="00843C56" w:rsidRPr="001C7519" w:rsidRDefault="00843C56" w:rsidP="00D65A7B">
            <w:pPr>
              <w:jc w:val="both"/>
              <w:rPr>
                <w:sz w:val="20"/>
              </w:rPr>
            </w:pPr>
            <w:r w:rsidRPr="001C7519">
              <w:rPr>
                <w:sz w:val="20"/>
              </w:rPr>
              <w:t>(B.C.) (Civil) (By Leave)</w:t>
            </w:r>
          </w:p>
        </w:tc>
      </w:tr>
      <w:tr w:rsidR="00843C56" w:rsidRPr="001C7519" w:rsidTr="00E95A6A">
        <w:tc>
          <w:tcPr>
            <w:tcW w:w="5000" w:type="pct"/>
            <w:gridSpan w:val="4"/>
          </w:tcPr>
          <w:p w:rsidR="00843C56" w:rsidRPr="001C7519" w:rsidRDefault="00843C56" w:rsidP="00D65A7B">
            <w:pPr>
              <w:jc w:val="both"/>
              <w:rPr>
                <w:sz w:val="20"/>
              </w:rPr>
            </w:pPr>
            <w:r w:rsidRPr="001C7519">
              <w:rPr>
                <w:sz w:val="20"/>
              </w:rPr>
              <w:t>Property — Real estate — Fiduciary duty — Causation — Whether the correct test for materiality is determined by what a reasonable person in the position of the agent would consider to likely influence the conduct of the principal — Whether the fiduciary’s duty of disclosure is limited to everything known respecting the subject matter of the contract or whether there is a broader duty to disclose information that is material to the fiduciary relationship — What is the requisite causal link between a breach of fiduciary duty and remedy, and what role do limiting factors used at common law play.</w:t>
            </w:r>
          </w:p>
          <w:p w:rsidR="00843C56" w:rsidRPr="001C7519" w:rsidRDefault="00843C56" w:rsidP="00D65A7B">
            <w:pPr>
              <w:jc w:val="both"/>
              <w:rPr>
                <w:sz w:val="20"/>
              </w:rPr>
            </w:pPr>
          </w:p>
        </w:tc>
      </w:tr>
      <w:tr w:rsidR="00843C56" w:rsidRPr="001C7519" w:rsidTr="00E95A6A">
        <w:tc>
          <w:tcPr>
            <w:tcW w:w="5000" w:type="pct"/>
            <w:gridSpan w:val="4"/>
          </w:tcPr>
          <w:p w:rsidR="00843C56" w:rsidRPr="001C7519" w:rsidRDefault="00843C56" w:rsidP="00D65A7B">
            <w:pPr>
              <w:jc w:val="both"/>
              <w:rPr>
                <w:sz w:val="20"/>
              </w:rPr>
            </w:pPr>
            <w:r w:rsidRPr="001C7519">
              <w:rPr>
                <w:sz w:val="20"/>
              </w:rPr>
              <w:t>The applicant, Mr. Wang, is a businessman who used the services of the respondent realtors to purchase three side</w:t>
            </w:r>
            <w:r w:rsidRPr="001C7519">
              <w:rPr>
                <w:sz w:val="20"/>
              </w:rPr>
              <w:noBreakHyphen/>
              <w:t>by</w:t>
            </w:r>
            <w:r w:rsidRPr="001C7519">
              <w:rPr>
                <w:sz w:val="20"/>
              </w:rPr>
              <w:noBreakHyphen/>
              <w:t>side properties in British Columbia. The applicant subsequently resold the properties at a substantial profit, but utilized a different realtor, in breach of the exclusive listing agreement he had with the respondent, Vancouver Home Park Realty Ltd. During the course of their relationship, the applicant agreed to pay Home Park a bonus of $300,000 if Home Park could assemble all three properties for him, which they did. At the conclusion of the transactions, however, the applicant took the position that the respondents had committed several significant breaches of fiduciary duty owed to him, and sued for recovery of the $300,000 bonus. Home Park sued for recovery of the commission owed pursuant to the exclusive listing agreement. The trial judge dismissed the applicant’s claim and allowed the claim of Home Park. The Court of Appeal dismissed the applicant’s subsequent appeal.</w:t>
            </w:r>
          </w:p>
        </w:tc>
      </w:tr>
      <w:tr w:rsidR="00843C56" w:rsidRPr="001C7519" w:rsidTr="00E95A6A">
        <w:tc>
          <w:tcPr>
            <w:tcW w:w="5000" w:type="pct"/>
            <w:gridSpan w:val="4"/>
          </w:tcPr>
          <w:p w:rsidR="00843C56" w:rsidRPr="001C7519" w:rsidRDefault="00843C56" w:rsidP="00D65A7B">
            <w:pPr>
              <w:jc w:val="both"/>
              <w:rPr>
                <w:sz w:val="20"/>
              </w:rPr>
            </w:pPr>
          </w:p>
        </w:tc>
      </w:tr>
      <w:tr w:rsidR="00843C56" w:rsidRPr="001C7519" w:rsidTr="00E95A6A">
        <w:tc>
          <w:tcPr>
            <w:tcW w:w="2427" w:type="pct"/>
            <w:gridSpan w:val="2"/>
          </w:tcPr>
          <w:p w:rsidR="00843C56" w:rsidRPr="001C7519" w:rsidRDefault="00843C56" w:rsidP="00D65A7B">
            <w:pPr>
              <w:jc w:val="both"/>
              <w:rPr>
                <w:sz w:val="20"/>
              </w:rPr>
            </w:pPr>
            <w:r w:rsidRPr="001C7519">
              <w:rPr>
                <w:sz w:val="20"/>
              </w:rPr>
              <w:t>September 25, 2019</w:t>
            </w:r>
          </w:p>
          <w:p w:rsidR="00843C56" w:rsidRPr="001C7519" w:rsidRDefault="00843C56" w:rsidP="00D65A7B">
            <w:pPr>
              <w:jc w:val="both"/>
              <w:rPr>
                <w:sz w:val="20"/>
              </w:rPr>
            </w:pPr>
            <w:r w:rsidRPr="001C7519">
              <w:rPr>
                <w:sz w:val="20"/>
              </w:rPr>
              <w:t>Supreme Court of British Columbia</w:t>
            </w:r>
          </w:p>
          <w:p w:rsidR="00843C56" w:rsidRPr="001C7519" w:rsidRDefault="00843C56" w:rsidP="00D65A7B">
            <w:pPr>
              <w:jc w:val="both"/>
              <w:rPr>
                <w:sz w:val="20"/>
              </w:rPr>
            </w:pPr>
            <w:r w:rsidRPr="001C7519">
              <w:rPr>
                <w:sz w:val="20"/>
              </w:rPr>
              <w:t>(Branch J.)</w:t>
            </w:r>
          </w:p>
          <w:p w:rsidR="00843C56" w:rsidRPr="001C7519" w:rsidRDefault="00E75919" w:rsidP="00D65A7B">
            <w:pPr>
              <w:jc w:val="both"/>
              <w:rPr>
                <w:sz w:val="20"/>
              </w:rPr>
            </w:pPr>
            <w:hyperlink r:id="rId63" w:history="1">
              <w:r w:rsidR="00843C56" w:rsidRPr="001C7519">
                <w:rPr>
                  <w:rStyle w:val="Hyperlink"/>
                  <w:sz w:val="20"/>
                </w:rPr>
                <w:t>2019 BCSC 1624</w:t>
              </w:r>
            </w:hyperlink>
            <w:r w:rsidR="00843C56" w:rsidRPr="001C7519">
              <w:rPr>
                <w:sz w:val="20"/>
              </w:rPr>
              <w:t>; S166147</w:t>
            </w:r>
          </w:p>
          <w:p w:rsidR="00843C56" w:rsidRPr="001C7519" w:rsidRDefault="00843C56" w:rsidP="00D65A7B">
            <w:pPr>
              <w:jc w:val="both"/>
              <w:rPr>
                <w:sz w:val="20"/>
              </w:rPr>
            </w:pPr>
          </w:p>
        </w:tc>
        <w:tc>
          <w:tcPr>
            <w:tcW w:w="243" w:type="pct"/>
          </w:tcPr>
          <w:p w:rsidR="00843C56" w:rsidRPr="001C7519" w:rsidRDefault="00843C56" w:rsidP="00D65A7B">
            <w:pPr>
              <w:jc w:val="both"/>
              <w:rPr>
                <w:sz w:val="20"/>
              </w:rPr>
            </w:pPr>
          </w:p>
        </w:tc>
        <w:tc>
          <w:tcPr>
            <w:tcW w:w="2330" w:type="pct"/>
          </w:tcPr>
          <w:p w:rsidR="00843C56" w:rsidRPr="001C7519" w:rsidRDefault="00843C56" w:rsidP="00D65A7B">
            <w:pPr>
              <w:jc w:val="both"/>
              <w:rPr>
                <w:sz w:val="20"/>
              </w:rPr>
            </w:pPr>
            <w:r w:rsidRPr="001C7519">
              <w:rPr>
                <w:sz w:val="20"/>
              </w:rPr>
              <w:t>Judgment in favour of the respondents in the amount of $1,150,000</w:t>
            </w:r>
          </w:p>
          <w:p w:rsidR="00843C56" w:rsidRPr="001C7519" w:rsidRDefault="00843C56" w:rsidP="00D65A7B">
            <w:pPr>
              <w:jc w:val="both"/>
              <w:rPr>
                <w:sz w:val="20"/>
              </w:rPr>
            </w:pPr>
          </w:p>
        </w:tc>
      </w:tr>
      <w:tr w:rsidR="00843C56" w:rsidRPr="001C7519" w:rsidTr="00E95A6A">
        <w:tc>
          <w:tcPr>
            <w:tcW w:w="2427" w:type="pct"/>
            <w:gridSpan w:val="2"/>
          </w:tcPr>
          <w:p w:rsidR="00843C56" w:rsidRPr="001C7519" w:rsidRDefault="00843C56" w:rsidP="00D65A7B">
            <w:pPr>
              <w:jc w:val="both"/>
              <w:rPr>
                <w:sz w:val="20"/>
              </w:rPr>
            </w:pPr>
            <w:r w:rsidRPr="001C7519">
              <w:rPr>
                <w:sz w:val="20"/>
              </w:rPr>
              <w:t>March 4, 2021</w:t>
            </w:r>
          </w:p>
          <w:p w:rsidR="00843C56" w:rsidRPr="001C7519" w:rsidRDefault="00843C56" w:rsidP="00D65A7B">
            <w:pPr>
              <w:jc w:val="both"/>
              <w:rPr>
                <w:sz w:val="20"/>
              </w:rPr>
            </w:pPr>
            <w:r w:rsidRPr="001C7519">
              <w:rPr>
                <w:sz w:val="20"/>
              </w:rPr>
              <w:t>Court of Appeal for British Columbia</w:t>
            </w:r>
          </w:p>
          <w:p w:rsidR="00843C56" w:rsidRPr="001C7519" w:rsidRDefault="00843C56" w:rsidP="00D65A7B">
            <w:pPr>
              <w:jc w:val="both"/>
              <w:rPr>
                <w:sz w:val="20"/>
              </w:rPr>
            </w:pPr>
            <w:r w:rsidRPr="001C7519">
              <w:rPr>
                <w:sz w:val="20"/>
              </w:rPr>
              <w:t>(Vancouver)</w:t>
            </w:r>
          </w:p>
          <w:p w:rsidR="00843C56" w:rsidRPr="001C7519" w:rsidRDefault="00843C56" w:rsidP="00D65A7B">
            <w:pPr>
              <w:jc w:val="both"/>
              <w:rPr>
                <w:sz w:val="20"/>
              </w:rPr>
            </w:pPr>
            <w:r w:rsidRPr="001C7519">
              <w:rPr>
                <w:sz w:val="20"/>
              </w:rPr>
              <w:t>(Bauman C.J. and Dickson and Hunter JJ.A.)</w:t>
            </w:r>
          </w:p>
          <w:p w:rsidR="00843C56" w:rsidRPr="001C7519" w:rsidRDefault="00E75919" w:rsidP="00D65A7B">
            <w:pPr>
              <w:jc w:val="both"/>
              <w:rPr>
                <w:sz w:val="20"/>
              </w:rPr>
            </w:pPr>
            <w:hyperlink r:id="rId64" w:history="1">
              <w:r w:rsidR="00843C56" w:rsidRPr="001C7519">
                <w:rPr>
                  <w:rStyle w:val="Hyperlink"/>
                  <w:sz w:val="20"/>
                </w:rPr>
                <w:t>2021 BCCA 97</w:t>
              </w:r>
            </w:hyperlink>
            <w:r w:rsidR="00843C56" w:rsidRPr="001C7519">
              <w:rPr>
                <w:sz w:val="20"/>
              </w:rPr>
              <w:t>; CA46460 and CA46461</w:t>
            </w:r>
          </w:p>
          <w:p w:rsidR="00843C56" w:rsidRPr="001C7519" w:rsidRDefault="00843C56" w:rsidP="00D65A7B">
            <w:pPr>
              <w:jc w:val="both"/>
              <w:rPr>
                <w:sz w:val="20"/>
              </w:rPr>
            </w:pPr>
          </w:p>
        </w:tc>
        <w:tc>
          <w:tcPr>
            <w:tcW w:w="243" w:type="pct"/>
          </w:tcPr>
          <w:p w:rsidR="00843C56" w:rsidRPr="001C7519" w:rsidRDefault="00843C56" w:rsidP="00D65A7B">
            <w:pPr>
              <w:jc w:val="both"/>
              <w:rPr>
                <w:sz w:val="20"/>
              </w:rPr>
            </w:pPr>
          </w:p>
        </w:tc>
        <w:tc>
          <w:tcPr>
            <w:tcW w:w="2330" w:type="pct"/>
          </w:tcPr>
          <w:p w:rsidR="00843C56" w:rsidRPr="001C7519" w:rsidRDefault="00843C56" w:rsidP="00D65A7B">
            <w:pPr>
              <w:jc w:val="both"/>
              <w:rPr>
                <w:sz w:val="20"/>
              </w:rPr>
            </w:pPr>
            <w:r w:rsidRPr="001C7519">
              <w:rPr>
                <w:sz w:val="20"/>
              </w:rPr>
              <w:t>Appeal dismissed</w:t>
            </w:r>
          </w:p>
          <w:p w:rsidR="00843C56" w:rsidRPr="001C7519" w:rsidRDefault="00843C56" w:rsidP="00D65A7B">
            <w:pPr>
              <w:jc w:val="both"/>
              <w:rPr>
                <w:sz w:val="20"/>
              </w:rPr>
            </w:pPr>
          </w:p>
        </w:tc>
      </w:tr>
      <w:tr w:rsidR="00843C56" w:rsidRPr="001C7519" w:rsidTr="00E95A6A">
        <w:tc>
          <w:tcPr>
            <w:tcW w:w="2427" w:type="pct"/>
            <w:gridSpan w:val="2"/>
          </w:tcPr>
          <w:p w:rsidR="00843C56" w:rsidRPr="001C7519" w:rsidRDefault="00843C56" w:rsidP="00D65A7B">
            <w:pPr>
              <w:jc w:val="both"/>
              <w:rPr>
                <w:sz w:val="20"/>
              </w:rPr>
            </w:pPr>
            <w:r w:rsidRPr="001C7519">
              <w:rPr>
                <w:sz w:val="20"/>
              </w:rPr>
              <w:t>April 30, 2021</w:t>
            </w:r>
          </w:p>
          <w:p w:rsidR="00843C56" w:rsidRPr="001C7519" w:rsidRDefault="00843C56" w:rsidP="00D65A7B">
            <w:pPr>
              <w:jc w:val="both"/>
              <w:rPr>
                <w:sz w:val="20"/>
              </w:rPr>
            </w:pPr>
            <w:r w:rsidRPr="001C7519">
              <w:rPr>
                <w:sz w:val="20"/>
              </w:rPr>
              <w:t>Supreme Court of Canada</w:t>
            </w:r>
          </w:p>
        </w:tc>
        <w:tc>
          <w:tcPr>
            <w:tcW w:w="243" w:type="pct"/>
          </w:tcPr>
          <w:p w:rsidR="00843C56" w:rsidRPr="001C7519" w:rsidRDefault="00843C56" w:rsidP="00D65A7B">
            <w:pPr>
              <w:jc w:val="both"/>
              <w:rPr>
                <w:sz w:val="20"/>
              </w:rPr>
            </w:pPr>
          </w:p>
        </w:tc>
        <w:tc>
          <w:tcPr>
            <w:tcW w:w="2330" w:type="pct"/>
          </w:tcPr>
          <w:p w:rsidR="00843C56" w:rsidRPr="001C7519" w:rsidRDefault="00843C56" w:rsidP="00D65A7B">
            <w:pPr>
              <w:jc w:val="both"/>
              <w:rPr>
                <w:sz w:val="20"/>
              </w:rPr>
            </w:pPr>
            <w:r w:rsidRPr="001C7519">
              <w:rPr>
                <w:sz w:val="20"/>
              </w:rPr>
              <w:t>Application for leave to appeal filed</w:t>
            </w:r>
          </w:p>
        </w:tc>
      </w:tr>
    </w:tbl>
    <w:p w:rsidR="00843C56" w:rsidRPr="001C7519" w:rsidRDefault="00843C56" w:rsidP="00D65A7B">
      <w:pPr>
        <w:jc w:val="both"/>
        <w:rPr>
          <w:sz w:val="20"/>
        </w:rPr>
      </w:pPr>
    </w:p>
    <w:p w:rsidR="00D65A7B" w:rsidRPr="001C7519" w:rsidRDefault="00E75919" w:rsidP="00D65A7B">
      <w:pPr>
        <w:jc w:val="both"/>
        <w:rPr>
          <w:sz w:val="20"/>
        </w:rPr>
      </w:pPr>
      <w:r>
        <w:rPr>
          <w:sz w:val="20"/>
        </w:rPr>
        <w:pict>
          <v:rect id="_x0000_i1048" style="width:2in;height:1pt" o:hrpct="0" o:hralign="center" o:hrstd="t" o:hrnoshade="t" o:hr="t" fillcolor="black [3213]" stroked="f"/>
        </w:pict>
      </w:r>
    </w:p>
    <w:p w:rsidR="00D65A7B" w:rsidRPr="001C7519" w:rsidRDefault="00D65A7B" w:rsidP="00D65A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43C56" w:rsidRPr="001C7519" w:rsidTr="00E95A6A">
        <w:tc>
          <w:tcPr>
            <w:tcW w:w="543" w:type="pct"/>
          </w:tcPr>
          <w:p w:rsidR="00843C56" w:rsidRPr="001C7519" w:rsidRDefault="00843C56" w:rsidP="00D65A7B">
            <w:pPr>
              <w:jc w:val="both"/>
              <w:rPr>
                <w:sz w:val="20"/>
                <w:lang w:val="fr-CA"/>
              </w:rPr>
            </w:pPr>
            <w:r w:rsidRPr="001C7519">
              <w:rPr>
                <w:rStyle w:val="SCCFileNumberChar"/>
                <w:sz w:val="20"/>
                <w:szCs w:val="20"/>
                <w:lang w:val="fr-CA"/>
              </w:rPr>
              <w:t>39653</w:t>
            </w:r>
          </w:p>
        </w:tc>
        <w:tc>
          <w:tcPr>
            <w:tcW w:w="4457" w:type="pct"/>
            <w:gridSpan w:val="3"/>
          </w:tcPr>
          <w:p w:rsidR="00843C56" w:rsidRPr="001C7519" w:rsidRDefault="00843C56" w:rsidP="00D65A7B">
            <w:pPr>
              <w:pStyle w:val="SCCLsocParty"/>
              <w:jc w:val="both"/>
              <w:rPr>
                <w:b/>
                <w:sz w:val="20"/>
                <w:szCs w:val="20"/>
                <w:lang w:val="en-US"/>
              </w:rPr>
            </w:pPr>
            <w:r w:rsidRPr="001C7519">
              <w:rPr>
                <w:b/>
                <w:sz w:val="20"/>
                <w:szCs w:val="20"/>
                <w:lang w:val="en-US"/>
              </w:rPr>
              <w:t>Wen Xue Wang alias Wenxue Wang c. Laura W. Zhao Personal Real Estate Corporation, Laura W. Zhao alias Laura Zhao alias Laura Wanying Zhao, Raymond Zhao alias Raymond Jankai Zhao</w:t>
            </w:r>
          </w:p>
          <w:p w:rsidR="00843C56" w:rsidRPr="001C7519" w:rsidRDefault="00843C56" w:rsidP="00D65A7B">
            <w:pPr>
              <w:pStyle w:val="SCCLsocSubfileSeparator"/>
              <w:rPr>
                <w:sz w:val="20"/>
                <w:szCs w:val="20"/>
              </w:rPr>
            </w:pPr>
            <w:r w:rsidRPr="001C7519">
              <w:rPr>
                <w:sz w:val="20"/>
                <w:szCs w:val="20"/>
              </w:rPr>
              <w:t>- et entre -</w:t>
            </w:r>
          </w:p>
          <w:p w:rsidR="00843C56" w:rsidRPr="001C7519" w:rsidRDefault="00843C56" w:rsidP="00D65A7B">
            <w:pPr>
              <w:pStyle w:val="SCCLsocParty"/>
              <w:jc w:val="both"/>
              <w:rPr>
                <w:b/>
                <w:sz w:val="20"/>
                <w:szCs w:val="20"/>
                <w:lang w:val="en-US"/>
              </w:rPr>
            </w:pPr>
            <w:r w:rsidRPr="001C7519">
              <w:rPr>
                <w:b/>
                <w:sz w:val="20"/>
                <w:szCs w:val="20"/>
                <w:lang w:val="en-US"/>
              </w:rPr>
              <w:t>WenXue Wang c. Vancouver Home Park Realty Ltd., Laura W. Zhao Personal Real Estate Corporation, Laura W. Zhao alias Laura Zhao alias Laura Wanying Zhao, Raymond Zhao alias Raymond Jankai Zhao</w:t>
            </w:r>
          </w:p>
          <w:p w:rsidR="00843C56" w:rsidRPr="001C7519" w:rsidRDefault="00843C56" w:rsidP="00D65A7B">
            <w:pPr>
              <w:jc w:val="both"/>
              <w:rPr>
                <w:sz w:val="20"/>
                <w:lang w:val="fr-CA"/>
              </w:rPr>
            </w:pPr>
            <w:r w:rsidRPr="001C7519">
              <w:rPr>
                <w:sz w:val="20"/>
                <w:lang w:val="fr-CA"/>
              </w:rPr>
              <w:t>(C.-B.) (Civile) (Autorisation)</w:t>
            </w:r>
          </w:p>
        </w:tc>
      </w:tr>
      <w:tr w:rsidR="00843C56" w:rsidRPr="00E75919" w:rsidTr="00E95A6A">
        <w:tc>
          <w:tcPr>
            <w:tcW w:w="5000" w:type="pct"/>
            <w:gridSpan w:val="4"/>
          </w:tcPr>
          <w:p w:rsidR="00843C56" w:rsidRPr="001C7519" w:rsidRDefault="00843C56" w:rsidP="00D65A7B">
            <w:pPr>
              <w:jc w:val="both"/>
              <w:rPr>
                <w:sz w:val="20"/>
                <w:lang w:val="fr-CA"/>
              </w:rPr>
            </w:pPr>
            <w:r w:rsidRPr="001C7519">
              <w:rPr>
                <w:sz w:val="20"/>
                <w:lang w:val="fr-CA"/>
              </w:rPr>
              <w:t>Biens — Biens réels — Obligation fiduciaire — Causalité — Le bon critère pour évaluer l’importance est</w:t>
            </w:r>
            <w:r w:rsidRPr="001C7519">
              <w:rPr>
                <w:sz w:val="20"/>
                <w:lang w:val="fr-CA"/>
              </w:rPr>
              <w:noBreakHyphen/>
              <w:t>il déterminé par ce qu’une personne raisonnable dans la situation du mandataire considérerait comme susceptible d’influencer la conduite du mandant? — L’obligation de divulgation qui incombe au fiduciaire se limite</w:t>
            </w:r>
            <w:r w:rsidRPr="001C7519">
              <w:rPr>
                <w:sz w:val="20"/>
                <w:lang w:val="fr-CA"/>
              </w:rPr>
              <w:noBreakHyphen/>
              <w:t>t</w:t>
            </w:r>
            <w:r w:rsidRPr="001C7519">
              <w:rPr>
                <w:sz w:val="20"/>
                <w:lang w:val="fr-CA"/>
              </w:rPr>
              <w:noBreakHyphen/>
              <w:t>elle à tout ce qui est connu relativement à l’objet du contrat ou existe</w:t>
            </w:r>
            <w:r w:rsidRPr="001C7519">
              <w:rPr>
                <w:sz w:val="20"/>
                <w:lang w:val="fr-CA"/>
              </w:rPr>
              <w:noBreakHyphen/>
              <w:t>t</w:t>
            </w:r>
            <w:r w:rsidRPr="001C7519">
              <w:rPr>
                <w:sz w:val="20"/>
                <w:lang w:val="fr-CA"/>
              </w:rPr>
              <w:noBreakHyphen/>
              <w:t>il une obligation plus large de divulguer l’information qui revêt de l’importance quant à la relation fiduciaire? — Quel est le lien causal requis entre une violation de l’obligation fiduciaire et la réparation, et quel rôle jouent les facteurs limitatifs employés en common law?</w:t>
            </w:r>
          </w:p>
          <w:p w:rsidR="00843C56" w:rsidRPr="001C7519" w:rsidRDefault="00843C56" w:rsidP="00D65A7B">
            <w:pPr>
              <w:jc w:val="both"/>
              <w:rPr>
                <w:sz w:val="20"/>
                <w:lang w:val="fr-CA"/>
              </w:rPr>
            </w:pPr>
          </w:p>
        </w:tc>
      </w:tr>
      <w:tr w:rsidR="00843C56" w:rsidRPr="001C7519" w:rsidTr="00E95A6A">
        <w:tc>
          <w:tcPr>
            <w:tcW w:w="5000" w:type="pct"/>
            <w:gridSpan w:val="4"/>
          </w:tcPr>
          <w:p w:rsidR="00843C56" w:rsidRPr="001C7519" w:rsidRDefault="00843C56" w:rsidP="00D65A7B">
            <w:pPr>
              <w:jc w:val="both"/>
              <w:rPr>
                <w:sz w:val="20"/>
                <w:lang w:val="fr-CA"/>
              </w:rPr>
            </w:pPr>
            <w:r w:rsidRPr="001C7519">
              <w:rPr>
                <w:sz w:val="20"/>
                <w:lang w:val="fr-CA"/>
              </w:rPr>
              <w:t>Le demandeur, M. Wang, est un homme d’affaires qui a eu recours aux services des courtiers immobiliers intimés pour l’achat de trois immeubles côte à côte en Colombie</w:t>
            </w:r>
            <w:r w:rsidRPr="001C7519">
              <w:rPr>
                <w:sz w:val="20"/>
                <w:lang w:val="fr-CA"/>
              </w:rPr>
              <w:noBreakHyphen/>
              <w:t>Britannique. Le demandeur a subséquemment revendu les immeubles, réalisant un bénéfice considérable, mais il est passé par un courtier immobilier différent, en contravention de l’entente d’inscription exclusive qu’il avait conclue avec l’intimée, Vancouver Home Park Realty Ltd. Dans le cadre de leur relation, le demandeur avait accepté de payer à Home Park une prime de 300 000 $ si Home Park pouvait réunir pour lui les trois immeubles, ce que Home Park a fait. Toutefois, à la conclusion de l’opération, le demandeur a soutenu que les intimés avaient commis plusieurs violations importantes de l’obligation fiduciaire qu’ils avaient envers lui, et il a intenté une poursuite en recouvrement de la prime de 300 000 $. Home Park a intenté une poursuite en recouvrement de la commission exigible en exécution de l’entente d’inscription exclusive. Le juge de première instance a rejeté l’action du demandeur et a accueilli l’action de Home Park. La Cour d’appel a rejeté l’appel subséquent du demandeur.</w:t>
            </w:r>
          </w:p>
        </w:tc>
      </w:tr>
      <w:tr w:rsidR="00843C56" w:rsidRPr="001C7519" w:rsidTr="00E95A6A">
        <w:tc>
          <w:tcPr>
            <w:tcW w:w="5000" w:type="pct"/>
            <w:gridSpan w:val="4"/>
          </w:tcPr>
          <w:p w:rsidR="00843C56" w:rsidRPr="001C7519" w:rsidRDefault="00843C56" w:rsidP="00D65A7B">
            <w:pPr>
              <w:jc w:val="both"/>
              <w:rPr>
                <w:sz w:val="20"/>
                <w:lang w:val="fr-CA"/>
              </w:rPr>
            </w:pPr>
          </w:p>
        </w:tc>
      </w:tr>
      <w:tr w:rsidR="00843C56" w:rsidRPr="00E75919" w:rsidTr="00E95A6A">
        <w:tc>
          <w:tcPr>
            <w:tcW w:w="2427" w:type="pct"/>
            <w:gridSpan w:val="2"/>
          </w:tcPr>
          <w:p w:rsidR="00843C56" w:rsidRPr="001C7519" w:rsidRDefault="00843C56" w:rsidP="00D65A7B">
            <w:pPr>
              <w:jc w:val="both"/>
              <w:rPr>
                <w:sz w:val="20"/>
                <w:lang w:val="fr-CA"/>
              </w:rPr>
            </w:pPr>
            <w:r w:rsidRPr="001C7519">
              <w:rPr>
                <w:sz w:val="20"/>
                <w:lang w:val="fr-CA"/>
              </w:rPr>
              <w:t>25 septembre 2019</w:t>
            </w:r>
          </w:p>
          <w:p w:rsidR="00843C56" w:rsidRPr="001C7519" w:rsidRDefault="00843C56" w:rsidP="00D65A7B">
            <w:pPr>
              <w:jc w:val="both"/>
              <w:rPr>
                <w:sz w:val="20"/>
                <w:lang w:val="fr-CA"/>
              </w:rPr>
            </w:pPr>
            <w:r w:rsidRPr="001C7519">
              <w:rPr>
                <w:sz w:val="20"/>
                <w:lang w:val="fr-CA"/>
              </w:rPr>
              <w:t>Cour suprême de la Colombie</w:t>
            </w:r>
            <w:r w:rsidRPr="001C7519">
              <w:rPr>
                <w:sz w:val="20"/>
                <w:lang w:val="fr-CA"/>
              </w:rPr>
              <w:noBreakHyphen/>
              <w:t>Britannique</w:t>
            </w:r>
          </w:p>
          <w:p w:rsidR="00843C56" w:rsidRPr="001C7519" w:rsidRDefault="00843C56" w:rsidP="00D65A7B">
            <w:pPr>
              <w:jc w:val="both"/>
              <w:rPr>
                <w:sz w:val="20"/>
                <w:lang w:val="fr-CA"/>
              </w:rPr>
            </w:pPr>
            <w:r w:rsidRPr="001C7519">
              <w:rPr>
                <w:sz w:val="20"/>
                <w:lang w:val="fr-CA"/>
              </w:rPr>
              <w:t>(Juge Branch)</w:t>
            </w:r>
          </w:p>
          <w:p w:rsidR="00843C56" w:rsidRPr="001C7519" w:rsidRDefault="00E75919" w:rsidP="00D65A7B">
            <w:pPr>
              <w:jc w:val="both"/>
              <w:rPr>
                <w:sz w:val="20"/>
                <w:lang w:val="fr-CA"/>
              </w:rPr>
            </w:pPr>
            <w:hyperlink r:id="rId65" w:history="1">
              <w:r w:rsidR="00843C56" w:rsidRPr="001C7519">
                <w:rPr>
                  <w:rStyle w:val="Hyperlink"/>
                  <w:sz w:val="20"/>
                  <w:lang w:val="fr-CA"/>
                </w:rPr>
                <w:t>2019 BCSC 1624</w:t>
              </w:r>
            </w:hyperlink>
            <w:r w:rsidR="00843C56" w:rsidRPr="001C7519">
              <w:rPr>
                <w:sz w:val="20"/>
                <w:lang w:val="fr-CA"/>
              </w:rPr>
              <w:t>; S166147</w:t>
            </w:r>
          </w:p>
          <w:p w:rsidR="00843C56" w:rsidRPr="001C7519" w:rsidRDefault="00843C56" w:rsidP="00D65A7B">
            <w:pPr>
              <w:jc w:val="both"/>
              <w:rPr>
                <w:sz w:val="20"/>
                <w:lang w:val="fr-CA"/>
              </w:rPr>
            </w:pPr>
          </w:p>
        </w:tc>
        <w:tc>
          <w:tcPr>
            <w:tcW w:w="243" w:type="pct"/>
          </w:tcPr>
          <w:p w:rsidR="00843C56" w:rsidRPr="001C7519" w:rsidRDefault="00843C56" w:rsidP="00D65A7B">
            <w:pPr>
              <w:jc w:val="both"/>
              <w:rPr>
                <w:sz w:val="20"/>
                <w:lang w:val="fr-CA"/>
              </w:rPr>
            </w:pPr>
          </w:p>
        </w:tc>
        <w:tc>
          <w:tcPr>
            <w:tcW w:w="2330" w:type="pct"/>
          </w:tcPr>
          <w:p w:rsidR="00843C56" w:rsidRPr="001C7519" w:rsidRDefault="00843C56" w:rsidP="00D65A7B">
            <w:pPr>
              <w:jc w:val="both"/>
              <w:rPr>
                <w:sz w:val="20"/>
                <w:lang w:val="fr-CA"/>
              </w:rPr>
            </w:pPr>
            <w:r w:rsidRPr="001C7519">
              <w:rPr>
                <w:sz w:val="20"/>
                <w:lang w:val="fr-CA"/>
              </w:rPr>
              <w:t xml:space="preserve">Jugement de 1 150 000 $ en faveur des intimés </w:t>
            </w:r>
          </w:p>
          <w:p w:rsidR="00843C56" w:rsidRPr="001C7519" w:rsidRDefault="00843C56" w:rsidP="00D65A7B">
            <w:pPr>
              <w:jc w:val="both"/>
              <w:rPr>
                <w:sz w:val="20"/>
                <w:lang w:val="fr-CA"/>
              </w:rPr>
            </w:pPr>
          </w:p>
        </w:tc>
      </w:tr>
      <w:tr w:rsidR="00843C56" w:rsidRPr="001C7519" w:rsidTr="00E95A6A">
        <w:tc>
          <w:tcPr>
            <w:tcW w:w="2427" w:type="pct"/>
            <w:gridSpan w:val="2"/>
          </w:tcPr>
          <w:p w:rsidR="00843C56" w:rsidRPr="001C7519" w:rsidRDefault="00843C56" w:rsidP="00D65A7B">
            <w:pPr>
              <w:jc w:val="both"/>
              <w:rPr>
                <w:sz w:val="20"/>
                <w:lang w:val="fr-CA"/>
              </w:rPr>
            </w:pPr>
            <w:r w:rsidRPr="001C7519">
              <w:rPr>
                <w:sz w:val="20"/>
                <w:lang w:val="fr-CA"/>
              </w:rPr>
              <w:t>4 mars 2021</w:t>
            </w:r>
          </w:p>
          <w:p w:rsidR="00843C56" w:rsidRPr="001C7519" w:rsidRDefault="00843C56" w:rsidP="00D65A7B">
            <w:pPr>
              <w:jc w:val="both"/>
              <w:rPr>
                <w:sz w:val="20"/>
                <w:lang w:val="fr-CA"/>
              </w:rPr>
            </w:pPr>
            <w:r w:rsidRPr="001C7519">
              <w:rPr>
                <w:sz w:val="20"/>
                <w:lang w:val="fr-CA"/>
              </w:rPr>
              <w:t>Cour d’appel de la Colombie</w:t>
            </w:r>
            <w:r w:rsidRPr="001C7519">
              <w:rPr>
                <w:sz w:val="20"/>
                <w:lang w:val="fr-CA"/>
              </w:rPr>
              <w:noBreakHyphen/>
              <w:t>Britannique</w:t>
            </w:r>
          </w:p>
          <w:p w:rsidR="00843C56" w:rsidRPr="001C7519" w:rsidRDefault="00843C56" w:rsidP="00D65A7B">
            <w:pPr>
              <w:jc w:val="both"/>
              <w:rPr>
                <w:sz w:val="20"/>
                <w:lang w:val="fr-CA"/>
              </w:rPr>
            </w:pPr>
            <w:r w:rsidRPr="001C7519">
              <w:rPr>
                <w:sz w:val="20"/>
                <w:lang w:val="fr-CA"/>
              </w:rPr>
              <w:t>(Vancouver)</w:t>
            </w:r>
          </w:p>
          <w:p w:rsidR="00843C56" w:rsidRPr="001C7519" w:rsidRDefault="00843C56" w:rsidP="00D65A7B">
            <w:pPr>
              <w:jc w:val="both"/>
              <w:rPr>
                <w:sz w:val="20"/>
                <w:lang w:val="fr-CA"/>
              </w:rPr>
            </w:pPr>
            <w:r w:rsidRPr="001C7519">
              <w:rPr>
                <w:sz w:val="20"/>
                <w:lang w:val="fr-CA"/>
              </w:rPr>
              <w:t>(Juge en chef Bauman, juges Dickson et Hunter)</w:t>
            </w:r>
          </w:p>
          <w:p w:rsidR="00843C56" w:rsidRPr="001C7519" w:rsidRDefault="00E75919" w:rsidP="00D65A7B">
            <w:pPr>
              <w:jc w:val="both"/>
              <w:rPr>
                <w:sz w:val="20"/>
                <w:lang w:val="fr-CA"/>
              </w:rPr>
            </w:pPr>
            <w:hyperlink r:id="rId66" w:history="1">
              <w:r w:rsidR="00843C56" w:rsidRPr="001C7519">
                <w:rPr>
                  <w:rStyle w:val="Hyperlink"/>
                  <w:sz w:val="20"/>
                  <w:lang w:val="fr-CA"/>
                </w:rPr>
                <w:t>2021 BCCA 97</w:t>
              </w:r>
            </w:hyperlink>
            <w:r w:rsidR="00843C56" w:rsidRPr="001C7519">
              <w:rPr>
                <w:sz w:val="20"/>
                <w:lang w:val="fr-CA"/>
              </w:rPr>
              <w:t>; CA46460 et CA46461</w:t>
            </w:r>
          </w:p>
          <w:p w:rsidR="00843C56" w:rsidRPr="001C7519" w:rsidRDefault="00843C56" w:rsidP="00D65A7B">
            <w:pPr>
              <w:jc w:val="both"/>
              <w:rPr>
                <w:sz w:val="20"/>
                <w:lang w:val="fr-CA"/>
              </w:rPr>
            </w:pPr>
          </w:p>
        </w:tc>
        <w:tc>
          <w:tcPr>
            <w:tcW w:w="243" w:type="pct"/>
          </w:tcPr>
          <w:p w:rsidR="00843C56" w:rsidRPr="001C7519" w:rsidRDefault="00843C56" w:rsidP="00D65A7B">
            <w:pPr>
              <w:jc w:val="both"/>
              <w:rPr>
                <w:sz w:val="20"/>
                <w:lang w:val="fr-CA"/>
              </w:rPr>
            </w:pPr>
          </w:p>
        </w:tc>
        <w:tc>
          <w:tcPr>
            <w:tcW w:w="2330" w:type="pct"/>
          </w:tcPr>
          <w:p w:rsidR="00843C56" w:rsidRPr="001C7519" w:rsidRDefault="00843C56" w:rsidP="00D65A7B">
            <w:pPr>
              <w:jc w:val="both"/>
              <w:rPr>
                <w:sz w:val="20"/>
                <w:lang w:val="fr-CA"/>
              </w:rPr>
            </w:pPr>
            <w:r w:rsidRPr="001C7519">
              <w:rPr>
                <w:sz w:val="20"/>
                <w:lang w:val="fr-CA"/>
              </w:rPr>
              <w:t>Rejet de l’appel</w:t>
            </w:r>
          </w:p>
          <w:p w:rsidR="00843C56" w:rsidRPr="001C7519" w:rsidRDefault="00843C56" w:rsidP="00D65A7B">
            <w:pPr>
              <w:jc w:val="both"/>
              <w:rPr>
                <w:sz w:val="20"/>
                <w:lang w:val="fr-CA"/>
              </w:rPr>
            </w:pPr>
          </w:p>
        </w:tc>
      </w:tr>
      <w:tr w:rsidR="00843C56" w:rsidRPr="00E75919" w:rsidTr="00E95A6A">
        <w:tc>
          <w:tcPr>
            <w:tcW w:w="2427" w:type="pct"/>
            <w:gridSpan w:val="2"/>
          </w:tcPr>
          <w:p w:rsidR="00843C56" w:rsidRPr="001C7519" w:rsidRDefault="00843C56" w:rsidP="00D65A7B">
            <w:pPr>
              <w:jc w:val="both"/>
              <w:rPr>
                <w:sz w:val="20"/>
                <w:lang w:val="fr-CA"/>
              </w:rPr>
            </w:pPr>
            <w:r w:rsidRPr="001C7519">
              <w:rPr>
                <w:sz w:val="20"/>
                <w:lang w:val="fr-CA"/>
              </w:rPr>
              <w:t>30 avril 2021</w:t>
            </w:r>
          </w:p>
          <w:p w:rsidR="00843C56" w:rsidRPr="001C7519" w:rsidRDefault="00843C56" w:rsidP="00D65A7B">
            <w:pPr>
              <w:jc w:val="both"/>
              <w:rPr>
                <w:sz w:val="20"/>
                <w:lang w:val="fr-CA"/>
              </w:rPr>
            </w:pPr>
            <w:r w:rsidRPr="001C7519">
              <w:rPr>
                <w:sz w:val="20"/>
                <w:lang w:val="fr-CA"/>
              </w:rPr>
              <w:t>Cour suprême du Canada</w:t>
            </w:r>
          </w:p>
        </w:tc>
        <w:tc>
          <w:tcPr>
            <w:tcW w:w="243" w:type="pct"/>
          </w:tcPr>
          <w:p w:rsidR="00843C56" w:rsidRPr="001C7519" w:rsidRDefault="00843C56" w:rsidP="00D65A7B">
            <w:pPr>
              <w:jc w:val="both"/>
              <w:rPr>
                <w:sz w:val="20"/>
                <w:lang w:val="fr-CA"/>
              </w:rPr>
            </w:pPr>
          </w:p>
        </w:tc>
        <w:tc>
          <w:tcPr>
            <w:tcW w:w="2330" w:type="pct"/>
          </w:tcPr>
          <w:p w:rsidR="00843C56" w:rsidRPr="001C7519" w:rsidRDefault="00843C56" w:rsidP="00D65A7B">
            <w:pPr>
              <w:jc w:val="both"/>
              <w:rPr>
                <w:sz w:val="20"/>
                <w:lang w:val="fr-CA"/>
              </w:rPr>
            </w:pPr>
            <w:r w:rsidRPr="001C7519">
              <w:rPr>
                <w:sz w:val="20"/>
                <w:lang w:val="fr-CA"/>
              </w:rPr>
              <w:t>Dépôt de la demande d’autorisation d’appel</w:t>
            </w:r>
          </w:p>
        </w:tc>
      </w:tr>
    </w:tbl>
    <w:p w:rsidR="00843C56" w:rsidRPr="001C7519" w:rsidRDefault="00843C56" w:rsidP="00D65A7B">
      <w:pPr>
        <w:jc w:val="both"/>
        <w:rPr>
          <w:sz w:val="20"/>
          <w:lang w:val="fr-CA"/>
        </w:rPr>
      </w:pPr>
    </w:p>
    <w:p w:rsidR="00843C56" w:rsidRPr="001C7519" w:rsidRDefault="00E75919" w:rsidP="00D65A7B">
      <w:pPr>
        <w:widowControl w:val="0"/>
        <w:tabs>
          <w:tab w:val="left" w:pos="3840"/>
        </w:tabs>
        <w:jc w:val="both"/>
        <w:rPr>
          <w:sz w:val="20"/>
          <w:lang w:val="fr-CA"/>
        </w:rPr>
      </w:pPr>
      <w:r>
        <w:rPr>
          <w:sz w:val="20"/>
        </w:rPr>
        <w:pict>
          <v:rect id="_x0000_i1049" style="width:2in;height:1pt" o:hrpct="0" o:hralign="center" o:hrstd="t" o:hrnoshade="t" o:hr="t" fillcolor="black [3213]" stroked="f"/>
        </w:pict>
      </w:r>
    </w:p>
    <w:p w:rsidR="00843C56" w:rsidRPr="001C7519" w:rsidRDefault="00843C56" w:rsidP="00D65A7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43C56" w:rsidRPr="001C7519" w:rsidTr="00E95A6A">
        <w:tc>
          <w:tcPr>
            <w:tcW w:w="543" w:type="pct"/>
          </w:tcPr>
          <w:p w:rsidR="00843C56" w:rsidRPr="001C7519" w:rsidRDefault="00843C56" w:rsidP="00D65A7B">
            <w:pPr>
              <w:jc w:val="both"/>
              <w:rPr>
                <w:sz w:val="20"/>
              </w:rPr>
            </w:pPr>
            <w:r w:rsidRPr="001C7519">
              <w:rPr>
                <w:rStyle w:val="SCCFileNumberChar"/>
                <w:sz w:val="20"/>
                <w:szCs w:val="20"/>
              </w:rPr>
              <w:t>39730</w:t>
            </w:r>
          </w:p>
        </w:tc>
        <w:tc>
          <w:tcPr>
            <w:tcW w:w="4457" w:type="pct"/>
            <w:gridSpan w:val="3"/>
          </w:tcPr>
          <w:p w:rsidR="00843C56" w:rsidRPr="001C7519" w:rsidRDefault="00843C56" w:rsidP="00D65A7B">
            <w:pPr>
              <w:pStyle w:val="SCCLsocParty"/>
              <w:jc w:val="both"/>
              <w:rPr>
                <w:b/>
                <w:sz w:val="20"/>
                <w:szCs w:val="20"/>
                <w:lang w:val="en-US"/>
              </w:rPr>
            </w:pPr>
            <w:r w:rsidRPr="001C7519">
              <w:rPr>
                <w:b/>
                <w:sz w:val="20"/>
                <w:szCs w:val="20"/>
                <w:lang w:val="en-US"/>
              </w:rPr>
              <w:t>Zulfiqar Ali v. Her Majesty the Queen</w:t>
            </w:r>
          </w:p>
          <w:p w:rsidR="00843C56" w:rsidRPr="001C7519" w:rsidRDefault="00843C56" w:rsidP="00D65A7B">
            <w:pPr>
              <w:jc w:val="both"/>
              <w:rPr>
                <w:sz w:val="20"/>
              </w:rPr>
            </w:pPr>
            <w:r w:rsidRPr="001C7519">
              <w:rPr>
                <w:sz w:val="20"/>
              </w:rPr>
              <w:t>(Ont.) (Criminal) (By Leave)</w:t>
            </w:r>
          </w:p>
        </w:tc>
      </w:tr>
      <w:tr w:rsidR="00843C56" w:rsidRPr="001C7519" w:rsidTr="00E95A6A">
        <w:tc>
          <w:tcPr>
            <w:tcW w:w="5000" w:type="pct"/>
            <w:gridSpan w:val="4"/>
          </w:tcPr>
          <w:p w:rsidR="00843C56" w:rsidRPr="001C7519" w:rsidRDefault="00843C56" w:rsidP="00D65A7B">
            <w:pPr>
              <w:jc w:val="both"/>
              <w:rPr>
                <w:sz w:val="20"/>
              </w:rPr>
            </w:pPr>
            <w:r w:rsidRPr="001C7519">
              <w:rPr>
                <w:sz w:val="20"/>
              </w:rPr>
              <w:t>Criminal law — Appeals — Whether extensions of time were improperly denied — Whether punishments were in line with benefits — Whether courts ignored serious factors — Interpretation of child protection clauses — Whether there was a basis to convict for breach of undertaking or assault — Whether police conduct or acquittal on charges for uttering threats should have raised reasonable doubt?</w:t>
            </w:r>
          </w:p>
        </w:tc>
      </w:tr>
      <w:tr w:rsidR="00843C56" w:rsidRPr="001C7519" w:rsidTr="00E95A6A">
        <w:tc>
          <w:tcPr>
            <w:tcW w:w="5000" w:type="pct"/>
            <w:gridSpan w:val="4"/>
          </w:tcPr>
          <w:p w:rsidR="00843C56" w:rsidRPr="001C7519" w:rsidRDefault="00843C56" w:rsidP="00D65A7B">
            <w:pPr>
              <w:jc w:val="both"/>
              <w:rPr>
                <w:sz w:val="20"/>
              </w:rPr>
            </w:pPr>
          </w:p>
        </w:tc>
      </w:tr>
      <w:tr w:rsidR="00843C56" w:rsidRPr="001C7519" w:rsidTr="00E95A6A">
        <w:tc>
          <w:tcPr>
            <w:tcW w:w="5000" w:type="pct"/>
            <w:gridSpan w:val="4"/>
          </w:tcPr>
          <w:p w:rsidR="00843C56" w:rsidRPr="001C7519" w:rsidRDefault="00843C56" w:rsidP="00D65A7B">
            <w:pPr>
              <w:jc w:val="both"/>
              <w:rPr>
                <w:sz w:val="20"/>
              </w:rPr>
            </w:pPr>
            <w:r w:rsidRPr="001C7519">
              <w:rPr>
                <w:sz w:val="20"/>
                <w:lang w:val="en"/>
              </w:rPr>
              <w:t>The applicant was convicted of failure to comply with a term of an undertaking and assault. A summary conviction appeal was dismissed. A judge of the Court of Appeal dismissed a motion for an extension of time to appeal. The applicant applied for an extension of time to have a panel of the Court of Appeal review the decision denying an extension of time. A judge of the Court of Appeal dismissed the application. The Court of Appeal dismissed an appeal from that decision.</w:t>
            </w:r>
          </w:p>
          <w:p w:rsidR="00843C56" w:rsidRPr="001C7519" w:rsidRDefault="00843C56" w:rsidP="00D65A7B">
            <w:pPr>
              <w:jc w:val="both"/>
              <w:rPr>
                <w:sz w:val="20"/>
              </w:rPr>
            </w:pPr>
          </w:p>
        </w:tc>
      </w:tr>
      <w:tr w:rsidR="00843C56" w:rsidRPr="001C7519" w:rsidTr="00E95A6A">
        <w:tc>
          <w:tcPr>
            <w:tcW w:w="2427" w:type="pct"/>
            <w:gridSpan w:val="2"/>
          </w:tcPr>
          <w:p w:rsidR="00843C56" w:rsidRPr="001C7519" w:rsidRDefault="00843C56" w:rsidP="00D65A7B">
            <w:pPr>
              <w:jc w:val="both"/>
              <w:rPr>
                <w:sz w:val="20"/>
                <w:lang w:val="en"/>
              </w:rPr>
            </w:pPr>
            <w:r w:rsidRPr="001C7519">
              <w:rPr>
                <w:sz w:val="20"/>
                <w:lang w:val="en"/>
              </w:rPr>
              <w:t xml:space="preserve">April 3, 2018 </w:t>
            </w:r>
          </w:p>
          <w:p w:rsidR="00843C56" w:rsidRPr="001C7519" w:rsidRDefault="00843C56" w:rsidP="00D65A7B">
            <w:pPr>
              <w:jc w:val="both"/>
              <w:rPr>
                <w:sz w:val="20"/>
                <w:lang w:val="en"/>
              </w:rPr>
            </w:pPr>
            <w:r w:rsidRPr="001C7519">
              <w:rPr>
                <w:sz w:val="20"/>
                <w:lang w:val="en"/>
              </w:rPr>
              <w:t>Ontario Court of Justice</w:t>
            </w:r>
          </w:p>
          <w:p w:rsidR="00843C56" w:rsidRPr="001C7519" w:rsidRDefault="00843C56" w:rsidP="00D65A7B">
            <w:pPr>
              <w:jc w:val="both"/>
              <w:rPr>
                <w:sz w:val="20"/>
              </w:rPr>
            </w:pPr>
            <w:r w:rsidRPr="001C7519">
              <w:rPr>
                <w:sz w:val="20"/>
              </w:rPr>
              <w:t>(Graydon J.)(Unreported)</w:t>
            </w:r>
          </w:p>
          <w:p w:rsidR="00843C56" w:rsidRPr="001C7519" w:rsidRDefault="00843C56" w:rsidP="00D65A7B">
            <w:pPr>
              <w:jc w:val="both"/>
              <w:rPr>
                <w:sz w:val="20"/>
              </w:rPr>
            </w:pPr>
          </w:p>
        </w:tc>
        <w:tc>
          <w:tcPr>
            <w:tcW w:w="243" w:type="pct"/>
          </w:tcPr>
          <w:p w:rsidR="00843C56" w:rsidRPr="001C7519" w:rsidRDefault="00843C56" w:rsidP="00D65A7B">
            <w:pPr>
              <w:jc w:val="both"/>
              <w:rPr>
                <w:sz w:val="20"/>
              </w:rPr>
            </w:pPr>
          </w:p>
        </w:tc>
        <w:tc>
          <w:tcPr>
            <w:tcW w:w="2330" w:type="pct"/>
          </w:tcPr>
          <w:p w:rsidR="00843C56" w:rsidRPr="001C7519" w:rsidRDefault="00843C56" w:rsidP="00D65A7B">
            <w:pPr>
              <w:jc w:val="both"/>
              <w:rPr>
                <w:sz w:val="20"/>
              </w:rPr>
            </w:pPr>
            <w:r w:rsidRPr="001C7519">
              <w:rPr>
                <w:sz w:val="20"/>
                <w:lang w:val="en"/>
              </w:rPr>
              <w:t xml:space="preserve">Conviction for breach of undertaking </w:t>
            </w:r>
          </w:p>
        </w:tc>
      </w:tr>
      <w:tr w:rsidR="00843C56" w:rsidRPr="001C7519" w:rsidTr="00E95A6A">
        <w:tc>
          <w:tcPr>
            <w:tcW w:w="2427" w:type="pct"/>
            <w:gridSpan w:val="2"/>
          </w:tcPr>
          <w:p w:rsidR="00843C56" w:rsidRPr="001C7519" w:rsidRDefault="00843C56" w:rsidP="00D65A7B">
            <w:pPr>
              <w:jc w:val="both"/>
              <w:rPr>
                <w:sz w:val="20"/>
                <w:lang w:val="en"/>
              </w:rPr>
            </w:pPr>
            <w:r w:rsidRPr="001C7519">
              <w:rPr>
                <w:sz w:val="20"/>
                <w:lang w:val="en"/>
              </w:rPr>
              <w:t xml:space="preserve">August 24, 2018 </w:t>
            </w:r>
          </w:p>
          <w:p w:rsidR="00843C56" w:rsidRPr="001C7519" w:rsidRDefault="00843C56" w:rsidP="00D65A7B">
            <w:pPr>
              <w:jc w:val="both"/>
              <w:rPr>
                <w:sz w:val="20"/>
                <w:lang w:val="en"/>
              </w:rPr>
            </w:pPr>
            <w:r w:rsidRPr="001C7519">
              <w:rPr>
                <w:sz w:val="20"/>
                <w:lang w:val="en"/>
              </w:rPr>
              <w:t>Ontario Court of Justice</w:t>
            </w:r>
          </w:p>
          <w:p w:rsidR="00843C56" w:rsidRPr="001C7519" w:rsidRDefault="00843C56" w:rsidP="00D65A7B">
            <w:pPr>
              <w:jc w:val="both"/>
              <w:rPr>
                <w:sz w:val="20"/>
              </w:rPr>
            </w:pPr>
            <w:r w:rsidRPr="001C7519">
              <w:rPr>
                <w:sz w:val="20"/>
              </w:rPr>
              <w:t>(Renaud J.) (Unreported)</w:t>
            </w:r>
          </w:p>
          <w:p w:rsidR="00843C56" w:rsidRPr="001C7519" w:rsidRDefault="00843C56" w:rsidP="00D65A7B">
            <w:pPr>
              <w:jc w:val="both"/>
              <w:rPr>
                <w:sz w:val="20"/>
              </w:rPr>
            </w:pPr>
          </w:p>
        </w:tc>
        <w:tc>
          <w:tcPr>
            <w:tcW w:w="243" w:type="pct"/>
          </w:tcPr>
          <w:p w:rsidR="00843C56" w:rsidRPr="001C7519" w:rsidRDefault="00843C56" w:rsidP="00D65A7B">
            <w:pPr>
              <w:jc w:val="both"/>
              <w:rPr>
                <w:sz w:val="20"/>
              </w:rPr>
            </w:pPr>
          </w:p>
        </w:tc>
        <w:tc>
          <w:tcPr>
            <w:tcW w:w="2330" w:type="pct"/>
          </w:tcPr>
          <w:p w:rsidR="00843C56" w:rsidRPr="001C7519" w:rsidRDefault="00843C56" w:rsidP="00D65A7B">
            <w:pPr>
              <w:jc w:val="both"/>
              <w:rPr>
                <w:sz w:val="20"/>
                <w:lang w:val="en"/>
              </w:rPr>
            </w:pPr>
            <w:r w:rsidRPr="001C7519">
              <w:rPr>
                <w:sz w:val="20"/>
                <w:lang w:val="en"/>
              </w:rPr>
              <w:t>Conviction for assault</w:t>
            </w:r>
          </w:p>
          <w:p w:rsidR="00843C56" w:rsidRPr="001C7519" w:rsidRDefault="00843C56" w:rsidP="00D65A7B">
            <w:pPr>
              <w:jc w:val="both"/>
              <w:rPr>
                <w:sz w:val="20"/>
              </w:rPr>
            </w:pPr>
          </w:p>
        </w:tc>
      </w:tr>
      <w:tr w:rsidR="00843C56" w:rsidRPr="001C7519" w:rsidTr="00E95A6A">
        <w:tc>
          <w:tcPr>
            <w:tcW w:w="2427" w:type="pct"/>
            <w:gridSpan w:val="2"/>
          </w:tcPr>
          <w:p w:rsidR="00843C56" w:rsidRPr="001C7519" w:rsidRDefault="00843C56" w:rsidP="00D65A7B">
            <w:pPr>
              <w:jc w:val="both"/>
              <w:rPr>
                <w:sz w:val="20"/>
                <w:lang w:val="en"/>
              </w:rPr>
            </w:pPr>
            <w:r w:rsidRPr="001C7519">
              <w:rPr>
                <w:sz w:val="20"/>
                <w:lang w:val="en"/>
              </w:rPr>
              <w:t>November 1, 2018</w:t>
            </w:r>
          </w:p>
          <w:p w:rsidR="00843C56" w:rsidRPr="001C7519" w:rsidRDefault="00843C56" w:rsidP="00D65A7B">
            <w:pPr>
              <w:jc w:val="both"/>
              <w:rPr>
                <w:sz w:val="20"/>
                <w:lang w:val="en"/>
              </w:rPr>
            </w:pPr>
            <w:r w:rsidRPr="001C7519">
              <w:rPr>
                <w:sz w:val="20"/>
                <w:lang w:val="en"/>
              </w:rPr>
              <w:t>Ontario Superior Court of Justice</w:t>
            </w:r>
          </w:p>
          <w:p w:rsidR="00843C56" w:rsidRPr="001C7519" w:rsidRDefault="00843C56" w:rsidP="00D65A7B">
            <w:pPr>
              <w:jc w:val="both"/>
              <w:rPr>
                <w:sz w:val="20"/>
                <w:lang w:val="en"/>
              </w:rPr>
            </w:pPr>
            <w:r w:rsidRPr="001C7519">
              <w:rPr>
                <w:sz w:val="20"/>
                <w:lang w:val="en"/>
              </w:rPr>
              <w:t>(Lafrance</w:t>
            </w:r>
            <w:r w:rsidRPr="001C7519">
              <w:rPr>
                <w:sz w:val="20"/>
                <w:lang w:val="en"/>
              </w:rPr>
              <w:noBreakHyphen/>
              <w:t>Cardinal J.)</w:t>
            </w:r>
            <w:r w:rsidRPr="001C7519">
              <w:rPr>
                <w:sz w:val="20"/>
              </w:rPr>
              <w:t xml:space="preserve"> (Unreported)</w:t>
            </w:r>
          </w:p>
          <w:p w:rsidR="00843C56" w:rsidRPr="001C7519" w:rsidRDefault="00843C56" w:rsidP="00D65A7B">
            <w:pPr>
              <w:jc w:val="both"/>
              <w:rPr>
                <w:sz w:val="20"/>
              </w:rPr>
            </w:pPr>
          </w:p>
        </w:tc>
        <w:tc>
          <w:tcPr>
            <w:tcW w:w="243" w:type="pct"/>
          </w:tcPr>
          <w:p w:rsidR="00843C56" w:rsidRPr="001C7519" w:rsidRDefault="00843C56" w:rsidP="00D65A7B">
            <w:pPr>
              <w:jc w:val="both"/>
              <w:rPr>
                <w:sz w:val="20"/>
              </w:rPr>
            </w:pPr>
          </w:p>
        </w:tc>
        <w:tc>
          <w:tcPr>
            <w:tcW w:w="2330" w:type="pct"/>
          </w:tcPr>
          <w:p w:rsidR="00843C56" w:rsidRPr="001C7519" w:rsidRDefault="00843C56" w:rsidP="00D65A7B">
            <w:pPr>
              <w:jc w:val="both"/>
              <w:rPr>
                <w:sz w:val="20"/>
              </w:rPr>
            </w:pPr>
            <w:r w:rsidRPr="001C7519">
              <w:rPr>
                <w:sz w:val="20"/>
                <w:lang w:val="en"/>
              </w:rPr>
              <w:t>Summary conviction appeals dismissed</w:t>
            </w:r>
          </w:p>
        </w:tc>
      </w:tr>
      <w:tr w:rsidR="00843C56" w:rsidRPr="001C7519" w:rsidTr="00E95A6A">
        <w:tc>
          <w:tcPr>
            <w:tcW w:w="2427" w:type="pct"/>
            <w:gridSpan w:val="2"/>
          </w:tcPr>
          <w:p w:rsidR="00843C56" w:rsidRPr="001C7519" w:rsidRDefault="00843C56" w:rsidP="00D65A7B">
            <w:pPr>
              <w:jc w:val="both"/>
              <w:rPr>
                <w:sz w:val="20"/>
                <w:lang w:val="en"/>
              </w:rPr>
            </w:pPr>
            <w:r w:rsidRPr="001C7519">
              <w:rPr>
                <w:sz w:val="20"/>
                <w:lang w:val="en"/>
              </w:rPr>
              <w:t>On October 5, 2020</w:t>
            </w:r>
          </w:p>
          <w:p w:rsidR="00843C56" w:rsidRPr="001C7519" w:rsidRDefault="00843C56" w:rsidP="00D65A7B">
            <w:pPr>
              <w:jc w:val="both"/>
              <w:rPr>
                <w:sz w:val="20"/>
                <w:lang w:val="en"/>
              </w:rPr>
            </w:pPr>
            <w:r w:rsidRPr="001C7519">
              <w:rPr>
                <w:sz w:val="20"/>
                <w:lang w:val="en"/>
              </w:rPr>
              <w:t>Court of Appeal for Ontario</w:t>
            </w:r>
          </w:p>
          <w:p w:rsidR="00843C56" w:rsidRPr="001C7519" w:rsidRDefault="00843C56" w:rsidP="00D65A7B">
            <w:pPr>
              <w:jc w:val="both"/>
              <w:rPr>
                <w:sz w:val="20"/>
                <w:lang w:val="en"/>
              </w:rPr>
            </w:pPr>
            <w:r w:rsidRPr="001C7519">
              <w:rPr>
                <w:sz w:val="20"/>
                <w:lang w:val="en"/>
              </w:rPr>
              <w:t>(MacPherson J.A.)</w:t>
            </w:r>
            <w:r w:rsidRPr="001C7519">
              <w:rPr>
                <w:sz w:val="20"/>
              </w:rPr>
              <w:t xml:space="preserve"> (Unreported)</w:t>
            </w:r>
          </w:p>
          <w:p w:rsidR="00843C56" w:rsidRPr="001C7519" w:rsidRDefault="00843C56" w:rsidP="00D65A7B">
            <w:pPr>
              <w:jc w:val="both"/>
              <w:rPr>
                <w:sz w:val="20"/>
              </w:rPr>
            </w:pPr>
          </w:p>
        </w:tc>
        <w:tc>
          <w:tcPr>
            <w:tcW w:w="243" w:type="pct"/>
          </w:tcPr>
          <w:p w:rsidR="00843C56" w:rsidRPr="001C7519" w:rsidRDefault="00843C56" w:rsidP="00D65A7B">
            <w:pPr>
              <w:jc w:val="both"/>
              <w:rPr>
                <w:sz w:val="20"/>
              </w:rPr>
            </w:pPr>
          </w:p>
        </w:tc>
        <w:tc>
          <w:tcPr>
            <w:tcW w:w="2330" w:type="pct"/>
          </w:tcPr>
          <w:p w:rsidR="00843C56" w:rsidRPr="001C7519" w:rsidRDefault="00843C56" w:rsidP="00D65A7B">
            <w:pPr>
              <w:jc w:val="both"/>
              <w:rPr>
                <w:sz w:val="20"/>
              </w:rPr>
            </w:pPr>
            <w:r w:rsidRPr="001C7519">
              <w:rPr>
                <w:sz w:val="20"/>
                <w:lang w:val="en"/>
              </w:rPr>
              <w:t xml:space="preserve">Motion for extension of time dismissed </w:t>
            </w:r>
          </w:p>
        </w:tc>
      </w:tr>
      <w:tr w:rsidR="00843C56" w:rsidRPr="001C7519" w:rsidTr="00E95A6A">
        <w:tc>
          <w:tcPr>
            <w:tcW w:w="2427" w:type="pct"/>
            <w:gridSpan w:val="2"/>
          </w:tcPr>
          <w:p w:rsidR="00843C56" w:rsidRPr="001C7519" w:rsidRDefault="00843C56" w:rsidP="00D65A7B">
            <w:pPr>
              <w:jc w:val="both"/>
              <w:rPr>
                <w:sz w:val="20"/>
                <w:lang w:val="en"/>
              </w:rPr>
            </w:pPr>
            <w:r w:rsidRPr="001C7519">
              <w:rPr>
                <w:sz w:val="20"/>
                <w:lang w:val="en"/>
              </w:rPr>
              <w:t xml:space="preserve">December 29, 2020 </w:t>
            </w:r>
          </w:p>
          <w:p w:rsidR="00843C56" w:rsidRPr="001C7519" w:rsidRDefault="00843C56" w:rsidP="00D65A7B">
            <w:pPr>
              <w:jc w:val="both"/>
              <w:rPr>
                <w:sz w:val="20"/>
                <w:lang w:val="en"/>
              </w:rPr>
            </w:pPr>
            <w:r w:rsidRPr="001C7519">
              <w:rPr>
                <w:sz w:val="20"/>
                <w:lang w:val="en"/>
              </w:rPr>
              <w:t>Court of Appeal for Ontario</w:t>
            </w:r>
          </w:p>
          <w:p w:rsidR="00843C56" w:rsidRPr="001C7519" w:rsidRDefault="00843C56" w:rsidP="00D65A7B">
            <w:pPr>
              <w:jc w:val="both"/>
              <w:rPr>
                <w:sz w:val="20"/>
                <w:lang w:val="en"/>
              </w:rPr>
            </w:pPr>
            <w:r w:rsidRPr="001C7519">
              <w:rPr>
                <w:sz w:val="20"/>
                <w:lang w:val="en"/>
              </w:rPr>
              <w:t xml:space="preserve">(Coroza J.A.) </w:t>
            </w:r>
            <w:r w:rsidRPr="001C7519">
              <w:rPr>
                <w:sz w:val="20"/>
              </w:rPr>
              <w:t>(Unreported)</w:t>
            </w:r>
          </w:p>
          <w:p w:rsidR="00843C56" w:rsidRPr="001C7519" w:rsidRDefault="00843C56" w:rsidP="00D65A7B">
            <w:pPr>
              <w:jc w:val="both"/>
              <w:rPr>
                <w:sz w:val="20"/>
              </w:rPr>
            </w:pPr>
          </w:p>
        </w:tc>
        <w:tc>
          <w:tcPr>
            <w:tcW w:w="243" w:type="pct"/>
          </w:tcPr>
          <w:p w:rsidR="00843C56" w:rsidRPr="001C7519" w:rsidRDefault="00843C56" w:rsidP="00D65A7B">
            <w:pPr>
              <w:jc w:val="both"/>
              <w:rPr>
                <w:sz w:val="20"/>
              </w:rPr>
            </w:pPr>
          </w:p>
        </w:tc>
        <w:tc>
          <w:tcPr>
            <w:tcW w:w="2330" w:type="pct"/>
          </w:tcPr>
          <w:p w:rsidR="00843C56" w:rsidRPr="001C7519" w:rsidRDefault="00843C56" w:rsidP="00D65A7B">
            <w:pPr>
              <w:jc w:val="both"/>
              <w:rPr>
                <w:sz w:val="20"/>
              </w:rPr>
            </w:pPr>
            <w:r w:rsidRPr="001C7519">
              <w:rPr>
                <w:sz w:val="20"/>
              </w:rPr>
              <w:t>Motion for ex</w:t>
            </w:r>
            <w:r w:rsidRPr="001C7519">
              <w:rPr>
                <w:sz w:val="20"/>
                <w:lang w:val="en"/>
              </w:rPr>
              <w:t>tension of time to apply for review dismissed</w:t>
            </w:r>
          </w:p>
        </w:tc>
      </w:tr>
      <w:tr w:rsidR="00843C56" w:rsidRPr="001C7519" w:rsidTr="00E95A6A">
        <w:tc>
          <w:tcPr>
            <w:tcW w:w="2427" w:type="pct"/>
            <w:gridSpan w:val="2"/>
          </w:tcPr>
          <w:p w:rsidR="00843C56" w:rsidRPr="001C7519" w:rsidRDefault="00843C56" w:rsidP="00D65A7B">
            <w:pPr>
              <w:jc w:val="both"/>
              <w:rPr>
                <w:sz w:val="20"/>
              </w:rPr>
            </w:pPr>
            <w:r w:rsidRPr="001C7519">
              <w:rPr>
                <w:sz w:val="20"/>
              </w:rPr>
              <w:t>April 9, 2021</w:t>
            </w:r>
          </w:p>
          <w:p w:rsidR="00843C56" w:rsidRPr="001C7519" w:rsidRDefault="00843C56" w:rsidP="00D65A7B">
            <w:pPr>
              <w:jc w:val="both"/>
              <w:rPr>
                <w:sz w:val="20"/>
              </w:rPr>
            </w:pPr>
            <w:r w:rsidRPr="001C7519">
              <w:rPr>
                <w:sz w:val="20"/>
              </w:rPr>
              <w:t>Court of Appeal for Ontario</w:t>
            </w:r>
          </w:p>
          <w:p w:rsidR="00843C56" w:rsidRPr="001C7519" w:rsidRDefault="00843C56" w:rsidP="00D65A7B">
            <w:pPr>
              <w:jc w:val="both"/>
              <w:rPr>
                <w:sz w:val="20"/>
              </w:rPr>
            </w:pPr>
            <w:r w:rsidRPr="001C7519">
              <w:rPr>
                <w:sz w:val="20"/>
              </w:rPr>
              <w:t>(Pardu, Brown, Paciocco JJ.A.)</w:t>
            </w:r>
          </w:p>
          <w:p w:rsidR="00843C56" w:rsidRPr="001C7519" w:rsidRDefault="00E75919" w:rsidP="00D65A7B">
            <w:pPr>
              <w:jc w:val="both"/>
              <w:rPr>
                <w:sz w:val="20"/>
                <w:lang w:val="en"/>
              </w:rPr>
            </w:pPr>
            <w:hyperlink r:id="rId67" w:history="1">
              <w:r w:rsidR="00843C56" w:rsidRPr="001C7519">
                <w:rPr>
                  <w:rStyle w:val="Hyperlink"/>
                  <w:sz w:val="20"/>
                </w:rPr>
                <w:t>2021 ONCA 218</w:t>
              </w:r>
            </w:hyperlink>
            <w:r w:rsidR="00843C56" w:rsidRPr="001C7519">
              <w:rPr>
                <w:sz w:val="20"/>
              </w:rPr>
              <w:t xml:space="preserve">; </w:t>
            </w:r>
            <w:r w:rsidR="00843C56" w:rsidRPr="001C7519">
              <w:rPr>
                <w:sz w:val="20"/>
                <w:lang w:val="en"/>
              </w:rPr>
              <w:t>M52083 (C68555)</w:t>
            </w:r>
          </w:p>
          <w:p w:rsidR="00843C56" w:rsidRPr="001C7519" w:rsidRDefault="00843C56" w:rsidP="00D65A7B">
            <w:pPr>
              <w:jc w:val="both"/>
              <w:rPr>
                <w:sz w:val="20"/>
              </w:rPr>
            </w:pPr>
          </w:p>
        </w:tc>
        <w:tc>
          <w:tcPr>
            <w:tcW w:w="243" w:type="pct"/>
          </w:tcPr>
          <w:p w:rsidR="00843C56" w:rsidRPr="001C7519" w:rsidRDefault="00843C56" w:rsidP="00D65A7B">
            <w:pPr>
              <w:jc w:val="both"/>
              <w:rPr>
                <w:sz w:val="20"/>
              </w:rPr>
            </w:pPr>
          </w:p>
        </w:tc>
        <w:tc>
          <w:tcPr>
            <w:tcW w:w="2330" w:type="pct"/>
          </w:tcPr>
          <w:p w:rsidR="00843C56" w:rsidRPr="001C7519" w:rsidRDefault="00843C56" w:rsidP="00D65A7B">
            <w:pPr>
              <w:jc w:val="both"/>
              <w:rPr>
                <w:sz w:val="20"/>
              </w:rPr>
            </w:pPr>
            <w:r w:rsidRPr="001C7519">
              <w:rPr>
                <w:sz w:val="20"/>
              </w:rPr>
              <w:t>Appeal dismissed</w:t>
            </w:r>
          </w:p>
          <w:p w:rsidR="00843C56" w:rsidRPr="001C7519" w:rsidRDefault="00843C56" w:rsidP="00D65A7B">
            <w:pPr>
              <w:jc w:val="both"/>
              <w:rPr>
                <w:sz w:val="20"/>
              </w:rPr>
            </w:pPr>
          </w:p>
        </w:tc>
      </w:tr>
      <w:tr w:rsidR="00843C56" w:rsidRPr="001C7519" w:rsidTr="00E95A6A">
        <w:tc>
          <w:tcPr>
            <w:tcW w:w="2427" w:type="pct"/>
            <w:gridSpan w:val="2"/>
          </w:tcPr>
          <w:p w:rsidR="00843C56" w:rsidRPr="001C7519" w:rsidRDefault="00843C56" w:rsidP="00D65A7B">
            <w:pPr>
              <w:jc w:val="both"/>
              <w:rPr>
                <w:sz w:val="20"/>
              </w:rPr>
            </w:pPr>
            <w:r w:rsidRPr="001C7519">
              <w:rPr>
                <w:sz w:val="20"/>
              </w:rPr>
              <w:t>April 14, 2021</w:t>
            </w:r>
          </w:p>
          <w:p w:rsidR="00843C56" w:rsidRPr="001C7519" w:rsidRDefault="00843C56" w:rsidP="00D65A7B">
            <w:pPr>
              <w:jc w:val="both"/>
              <w:rPr>
                <w:sz w:val="20"/>
              </w:rPr>
            </w:pPr>
            <w:r w:rsidRPr="001C7519">
              <w:rPr>
                <w:sz w:val="20"/>
              </w:rPr>
              <w:t>Supreme Court of Canada</w:t>
            </w:r>
          </w:p>
        </w:tc>
        <w:tc>
          <w:tcPr>
            <w:tcW w:w="243" w:type="pct"/>
          </w:tcPr>
          <w:p w:rsidR="00843C56" w:rsidRPr="001C7519" w:rsidRDefault="00843C56" w:rsidP="00D65A7B">
            <w:pPr>
              <w:jc w:val="both"/>
              <w:rPr>
                <w:sz w:val="20"/>
              </w:rPr>
            </w:pPr>
          </w:p>
        </w:tc>
        <w:tc>
          <w:tcPr>
            <w:tcW w:w="2330" w:type="pct"/>
          </w:tcPr>
          <w:p w:rsidR="00843C56" w:rsidRPr="001C7519" w:rsidRDefault="00843C56" w:rsidP="00D65A7B">
            <w:pPr>
              <w:jc w:val="both"/>
              <w:rPr>
                <w:sz w:val="20"/>
              </w:rPr>
            </w:pPr>
            <w:r w:rsidRPr="001C7519">
              <w:rPr>
                <w:sz w:val="20"/>
              </w:rPr>
              <w:t>Application for leave to appeal filed</w:t>
            </w:r>
          </w:p>
          <w:p w:rsidR="00843C56" w:rsidRPr="001C7519" w:rsidRDefault="00843C56" w:rsidP="00D65A7B">
            <w:pPr>
              <w:jc w:val="both"/>
              <w:rPr>
                <w:sz w:val="20"/>
              </w:rPr>
            </w:pPr>
          </w:p>
        </w:tc>
      </w:tr>
    </w:tbl>
    <w:p w:rsidR="00843C56" w:rsidRPr="001C7519" w:rsidRDefault="00843C56" w:rsidP="00D65A7B">
      <w:pPr>
        <w:jc w:val="both"/>
        <w:rPr>
          <w:sz w:val="20"/>
        </w:rPr>
      </w:pPr>
    </w:p>
    <w:p w:rsidR="00D65A7B" w:rsidRPr="001C7519" w:rsidRDefault="00E75919" w:rsidP="00D65A7B">
      <w:pPr>
        <w:jc w:val="both"/>
        <w:rPr>
          <w:sz w:val="20"/>
        </w:rPr>
      </w:pPr>
      <w:r>
        <w:rPr>
          <w:sz w:val="20"/>
        </w:rPr>
        <w:pict>
          <v:rect id="_x0000_i1050" style="width:2in;height:1pt" o:hrpct="0" o:hralign="center" o:hrstd="t" o:hrnoshade="t" o:hr="t" fillcolor="black [3213]" stroked="f"/>
        </w:pict>
      </w:r>
    </w:p>
    <w:p w:rsidR="00D65A7B" w:rsidRPr="001C7519" w:rsidRDefault="00D65A7B" w:rsidP="00D65A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43C56" w:rsidRPr="001C7519" w:rsidTr="00E95A6A">
        <w:tc>
          <w:tcPr>
            <w:tcW w:w="543" w:type="pct"/>
          </w:tcPr>
          <w:p w:rsidR="00843C56" w:rsidRPr="001C7519" w:rsidRDefault="00843C56" w:rsidP="00D65A7B">
            <w:pPr>
              <w:jc w:val="both"/>
              <w:rPr>
                <w:sz w:val="20"/>
                <w:lang w:val="fr-CA"/>
              </w:rPr>
            </w:pPr>
            <w:r w:rsidRPr="001C7519">
              <w:rPr>
                <w:rStyle w:val="SCCFileNumberChar"/>
                <w:sz w:val="20"/>
                <w:szCs w:val="20"/>
                <w:lang w:val="fr-CA"/>
              </w:rPr>
              <w:t>39730</w:t>
            </w:r>
          </w:p>
        </w:tc>
        <w:tc>
          <w:tcPr>
            <w:tcW w:w="4457" w:type="pct"/>
            <w:gridSpan w:val="3"/>
          </w:tcPr>
          <w:p w:rsidR="00843C56" w:rsidRPr="001C7519" w:rsidRDefault="00843C56" w:rsidP="00D65A7B">
            <w:pPr>
              <w:pStyle w:val="SCCLsocParty"/>
              <w:jc w:val="both"/>
              <w:rPr>
                <w:b/>
                <w:sz w:val="20"/>
                <w:szCs w:val="20"/>
              </w:rPr>
            </w:pPr>
            <w:r w:rsidRPr="001C7519">
              <w:rPr>
                <w:b/>
                <w:sz w:val="20"/>
                <w:szCs w:val="20"/>
              </w:rPr>
              <w:t>Zulfiqar Ali c. Sa Majesté la Reine</w:t>
            </w:r>
          </w:p>
          <w:p w:rsidR="00843C56" w:rsidRPr="001C7519" w:rsidRDefault="00843C56" w:rsidP="00D65A7B">
            <w:pPr>
              <w:jc w:val="both"/>
              <w:rPr>
                <w:sz w:val="20"/>
                <w:lang w:val="fr-CA"/>
              </w:rPr>
            </w:pPr>
            <w:r w:rsidRPr="001C7519">
              <w:rPr>
                <w:sz w:val="20"/>
                <w:lang w:val="fr-CA"/>
              </w:rPr>
              <w:t>(Ont.) (Criminelle) (Sur autorisation)</w:t>
            </w:r>
          </w:p>
        </w:tc>
      </w:tr>
      <w:tr w:rsidR="00843C56" w:rsidRPr="00E75919" w:rsidTr="00E95A6A">
        <w:tc>
          <w:tcPr>
            <w:tcW w:w="5000" w:type="pct"/>
            <w:gridSpan w:val="4"/>
          </w:tcPr>
          <w:p w:rsidR="00843C56" w:rsidRPr="001C7519" w:rsidRDefault="00843C56" w:rsidP="00D65A7B">
            <w:pPr>
              <w:jc w:val="both"/>
              <w:rPr>
                <w:sz w:val="20"/>
                <w:lang w:val="fr-CA"/>
              </w:rPr>
            </w:pPr>
            <w:r w:rsidRPr="001C7519">
              <w:rPr>
                <w:sz w:val="20"/>
                <w:lang w:val="fr-CA"/>
              </w:rPr>
              <w:t>Droit criminel — Appels — La prorogation des délais a</w:t>
            </w:r>
            <w:r w:rsidRPr="001C7519">
              <w:rPr>
                <w:sz w:val="20"/>
                <w:lang w:val="fr-CA"/>
              </w:rPr>
              <w:noBreakHyphen/>
              <w:t>t</w:t>
            </w:r>
            <w:r w:rsidRPr="001C7519">
              <w:rPr>
                <w:sz w:val="20"/>
                <w:lang w:val="fr-CA"/>
              </w:rPr>
              <w:noBreakHyphen/>
              <w:t>elle été illégitimement refusée ? — Les peines imposées cadraient</w:t>
            </w:r>
            <w:r w:rsidRPr="001C7519">
              <w:rPr>
                <w:sz w:val="20"/>
                <w:lang w:val="fr-CA"/>
              </w:rPr>
              <w:noBreakHyphen/>
              <w:t>elles avec les bénéfices ? — Les tribunaux ont</w:t>
            </w:r>
            <w:r w:rsidRPr="001C7519">
              <w:rPr>
                <w:sz w:val="20"/>
                <w:lang w:val="fr-CA"/>
              </w:rPr>
              <w:noBreakHyphen/>
              <w:t>ils ignoré des éléments importants ? — Interprétation de dispositions portant sur la protection des enfants — Existait</w:t>
            </w:r>
            <w:r w:rsidRPr="001C7519">
              <w:rPr>
                <w:sz w:val="20"/>
                <w:lang w:val="fr-CA"/>
              </w:rPr>
              <w:noBreakHyphen/>
              <w:t>il un fondement justifiant la déclaration de culpabilité pour manquement à un engagement ou agression ? — Est</w:t>
            </w:r>
            <w:r w:rsidRPr="001C7519">
              <w:rPr>
                <w:sz w:val="20"/>
                <w:lang w:val="fr-CA"/>
              </w:rPr>
              <w:noBreakHyphen/>
              <w:t>ce que la conduite des policiers ou l’acquittement relativement aux accusations d’avoir proféré des menaces aurait dû soulever un doute raisonnable ?</w:t>
            </w:r>
          </w:p>
        </w:tc>
      </w:tr>
      <w:tr w:rsidR="00843C56" w:rsidRPr="00E75919" w:rsidTr="00E95A6A">
        <w:tc>
          <w:tcPr>
            <w:tcW w:w="5000" w:type="pct"/>
            <w:gridSpan w:val="4"/>
          </w:tcPr>
          <w:p w:rsidR="00843C56" w:rsidRPr="001C7519" w:rsidRDefault="00843C56" w:rsidP="00D65A7B">
            <w:pPr>
              <w:jc w:val="both"/>
              <w:rPr>
                <w:sz w:val="20"/>
                <w:lang w:val="fr-CA"/>
              </w:rPr>
            </w:pPr>
          </w:p>
        </w:tc>
      </w:tr>
      <w:tr w:rsidR="00843C56" w:rsidRPr="001C7519" w:rsidTr="00E95A6A">
        <w:tc>
          <w:tcPr>
            <w:tcW w:w="5000" w:type="pct"/>
            <w:gridSpan w:val="4"/>
          </w:tcPr>
          <w:p w:rsidR="00843C56" w:rsidRPr="001C7519" w:rsidRDefault="00843C56" w:rsidP="00D65A7B">
            <w:pPr>
              <w:jc w:val="both"/>
              <w:rPr>
                <w:sz w:val="20"/>
                <w:lang w:val="fr-CA"/>
              </w:rPr>
            </w:pPr>
            <w:r w:rsidRPr="001C7519">
              <w:rPr>
                <w:sz w:val="20"/>
                <w:lang w:val="fr-CA"/>
              </w:rPr>
              <w:t>Le demandeur a été déclaré coupable de défaut de se conformer à une condition d’un engagement et d’agression. L’appel de la déclaration de culpabilité par procédure sommaire a été rejeté. Un juge de la Cour d’appel a rejeté la motion en prorogation du délai imparti pour faire appel de la décision. Le demandeur a présenté une demande visant la prorogation du délai pour permettre le contrôle de la décision rejetant le délai de prorogation par une formation de juges de la Cour d’appel. Un juge de la Cour d’appel a rejeté la demande. La Cour d’appel a rejeté l’appel de cette décision.</w:t>
            </w:r>
          </w:p>
          <w:p w:rsidR="00843C56" w:rsidRPr="001C7519" w:rsidRDefault="00843C56" w:rsidP="00D65A7B">
            <w:pPr>
              <w:jc w:val="both"/>
              <w:rPr>
                <w:sz w:val="20"/>
                <w:lang w:val="fr-CA"/>
              </w:rPr>
            </w:pPr>
          </w:p>
        </w:tc>
      </w:tr>
      <w:tr w:rsidR="00843C56" w:rsidRPr="00E75919" w:rsidTr="00E95A6A">
        <w:tc>
          <w:tcPr>
            <w:tcW w:w="2427" w:type="pct"/>
            <w:gridSpan w:val="2"/>
          </w:tcPr>
          <w:p w:rsidR="00843C56" w:rsidRPr="001C7519" w:rsidRDefault="00843C56" w:rsidP="00D65A7B">
            <w:pPr>
              <w:jc w:val="both"/>
              <w:rPr>
                <w:sz w:val="20"/>
                <w:lang w:val="fr-CA"/>
              </w:rPr>
            </w:pPr>
            <w:r w:rsidRPr="001C7519">
              <w:rPr>
                <w:sz w:val="20"/>
                <w:lang w:val="fr-CA"/>
              </w:rPr>
              <w:t xml:space="preserve">3 avril 2018 </w:t>
            </w:r>
          </w:p>
          <w:p w:rsidR="00843C56" w:rsidRPr="001C7519" w:rsidRDefault="00843C56" w:rsidP="00D65A7B">
            <w:pPr>
              <w:jc w:val="both"/>
              <w:rPr>
                <w:sz w:val="20"/>
                <w:lang w:val="fr-CA"/>
              </w:rPr>
            </w:pPr>
            <w:r w:rsidRPr="001C7519">
              <w:rPr>
                <w:sz w:val="20"/>
                <w:lang w:val="fr-CA"/>
              </w:rPr>
              <w:t>Cour de justice de l’Ontario</w:t>
            </w:r>
          </w:p>
          <w:p w:rsidR="00843C56" w:rsidRPr="001C7519" w:rsidRDefault="00843C56" w:rsidP="00D65A7B">
            <w:pPr>
              <w:jc w:val="both"/>
              <w:rPr>
                <w:sz w:val="20"/>
                <w:lang w:val="fr-CA"/>
              </w:rPr>
            </w:pPr>
            <w:r w:rsidRPr="001C7519">
              <w:rPr>
                <w:sz w:val="20"/>
                <w:lang w:val="fr-CA"/>
              </w:rPr>
              <w:t>(juge Graydon) (non publié)</w:t>
            </w:r>
          </w:p>
          <w:p w:rsidR="00843C56" w:rsidRPr="001C7519" w:rsidRDefault="00843C56" w:rsidP="00D65A7B">
            <w:pPr>
              <w:jc w:val="both"/>
              <w:rPr>
                <w:sz w:val="20"/>
                <w:lang w:val="fr-CA"/>
              </w:rPr>
            </w:pPr>
          </w:p>
        </w:tc>
        <w:tc>
          <w:tcPr>
            <w:tcW w:w="243" w:type="pct"/>
          </w:tcPr>
          <w:p w:rsidR="00843C56" w:rsidRPr="001C7519" w:rsidRDefault="00843C56" w:rsidP="00D65A7B">
            <w:pPr>
              <w:jc w:val="both"/>
              <w:rPr>
                <w:sz w:val="20"/>
                <w:lang w:val="fr-CA"/>
              </w:rPr>
            </w:pPr>
          </w:p>
        </w:tc>
        <w:tc>
          <w:tcPr>
            <w:tcW w:w="2330" w:type="pct"/>
          </w:tcPr>
          <w:p w:rsidR="00843C56" w:rsidRPr="001C7519" w:rsidRDefault="00843C56" w:rsidP="00D65A7B">
            <w:pPr>
              <w:jc w:val="both"/>
              <w:rPr>
                <w:sz w:val="20"/>
                <w:lang w:val="fr-CA"/>
              </w:rPr>
            </w:pPr>
            <w:r w:rsidRPr="001C7519">
              <w:rPr>
                <w:sz w:val="20"/>
                <w:lang w:val="fr-CA"/>
              </w:rPr>
              <w:t xml:space="preserve">La déclaration de culpabilité pour manquement à un engagement est rendue. </w:t>
            </w:r>
          </w:p>
        </w:tc>
      </w:tr>
      <w:tr w:rsidR="00843C56" w:rsidRPr="00E75919" w:rsidTr="00E95A6A">
        <w:tc>
          <w:tcPr>
            <w:tcW w:w="2427" w:type="pct"/>
            <w:gridSpan w:val="2"/>
          </w:tcPr>
          <w:p w:rsidR="00843C56" w:rsidRPr="001C7519" w:rsidRDefault="00843C56" w:rsidP="00D65A7B">
            <w:pPr>
              <w:jc w:val="both"/>
              <w:rPr>
                <w:sz w:val="20"/>
                <w:lang w:val="fr-CA"/>
              </w:rPr>
            </w:pPr>
            <w:r w:rsidRPr="001C7519">
              <w:rPr>
                <w:sz w:val="20"/>
                <w:lang w:val="fr-CA"/>
              </w:rPr>
              <w:t xml:space="preserve">24 août 2018 </w:t>
            </w:r>
          </w:p>
          <w:p w:rsidR="00843C56" w:rsidRPr="001C7519" w:rsidRDefault="00843C56" w:rsidP="00D65A7B">
            <w:pPr>
              <w:jc w:val="both"/>
              <w:rPr>
                <w:sz w:val="20"/>
                <w:lang w:val="fr-CA"/>
              </w:rPr>
            </w:pPr>
            <w:r w:rsidRPr="001C7519">
              <w:rPr>
                <w:sz w:val="20"/>
                <w:lang w:val="fr-CA"/>
              </w:rPr>
              <w:t>Cour de justice de l’Ontario</w:t>
            </w:r>
          </w:p>
          <w:p w:rsidR="00843C56" w:rsidRPr="001C7519" w:rsidRDefault="00843C56" w:rsidP="00D65A7B">
            <w:pPr>
              <w:jc w:val="both"/>
              <w:rPr>
                <w:sz w:val="20"/>
                <w:lang w:val="fr-CA"/>
              </w:rPr>
            </w:pPr>
            <w:r w:rsidRPr="001C7519">
              <w:rPr>
                <w:sz w:val="20"/>
                <w:lang w:val="fr-CA"/>
              </w:rPr>
              <w:t>(juge Renaud) (non publié)</w:t>
            </w:r>
          </w:p>
          <w:p w:rsidR="00843C56" w:rsidRPr="001C7519" w:rsidRDefault="00843C56" w:rsidP="00D65A7B">
            <w:pPr>
              <w:jc w:val="both"/>
              <w:rPr>
                <w:sz w:val="20"/>
                <w:lang w:val="fr-CA"/>
              </w:rPr>
            </w:pPr>
          </w:p>
        </w:tc>
        <w:tc>
          <w:tcPr>
            <w:tcW w:w="243" w:type="pct"/>
          </w:tcPr>
          <w:p w:rsidR="00843C56" w:rsidRPr="001C7519" w:rsidRDefault="00843C56" w:rsidP="00D65A7B">
            <w:pPr>
              <w:jc w:val="both"/>
              <w:rPr>
                <w:sz w:val="20"/>
                <w:lang w:val="fr-CA"/>
              </w:rPr>
            </w:pPr>
          </w:p>
        </w:tc>
        <w:tc>
          <w:tcPr>
            <w:tcW w:w="2330" w:type="pct"/>
          </w:tcPr>
          <w:p w:rsidR="00843C56" w:rsidRPr="001C7519" w:rsidRDefault="00843C56" w:rsidP="00D65A7B">
            <w:pPr>
              <w:jc w:val="both"/>
              <w:rPr>
                <w:sz w:val="20"/>
                <w:lang w:val="fr-CA"/>
              </w:rPr>
            </w:pPr>
            <w:r w:rsidRPr="001C7519">
              <w:rPr>
                <w:sz w:val="20"/>
                <w:lang w:val="fr-CA"/>
              </w:rPr>
              <w:t xml:space="preserve">La déclaration de culpabilité pour agression est rendue. </w:t>
            </w:r>
          </w:p>
        </w:tc>
      </w:tr>
      <w:tr w:rsidR="00843C56" w:rsidRPr="00E75919" w:rsidTr="00E95A6A">
        <w:tc>
          <w:tcPr>
            <w:tcW w:w="2427" w:type="pct"/>
            <w:gridSpan w:val="2"/>
          </w:tcPr>
          <w:p w:rsidR="00843C56" w:rsidRPr="001C7519" w:rsidRDefault="00843C56" w:rsidP="00D65A7B">
            <w:pPr>
              <w:jc w:val="both"/>
              <w:rPr>
                <w:sz w:val="20"/>
                <w:lang w:val="fr-CA"/>
              </w:rPr>
            </w:pPr>
            <w:r w:rsidRPr="001C7519">
              <w:rPr>
                <w:sz w:val="20"/>
                <w:lang w:val="fr-CA"/>
              </w:rPr>
              <w:t>1</w:t>
            </w:r>
            <w:r w:rsidRPr="001C7519">
              <w:rPr>
                <w:sz w:val="20"/>
                <w:vertAlign w:val="superscript"/>
                <w:lang w:val="fr-CA"/>
              </w:rPr>
              <w:t>er</w:t>
            </w:r>
            <w:r w:rsidRPr="001C7519">
              <w:rPr>
                <w:sz w:val="20"/>
                <w:lang w:val="fr-CA"/>
              </w:rPr>
              <w:t xml:space="preserve"> novembre 2018</w:t>
            </w:r>
          </w:p>
          <w:p w:rsidR="00843C56" w:rsidRPr="001C7519" w:rsidRDefault="00843C56" w:rsidP="00D65A7B">
            <w:pPr>
              <w:jc w:val="both"/>
              <w:rPr>
                <w:sz w:val="20"/>
                <w:lang w:val="fr-CA"/>
              </w:rPr>
            </w:pPr>
            <w:r w:rsidRPr="001C7519">
              <w:rPr>
                <w:sz w:val="20"/>
                <w:lang w:val="fr-CA"/>
              </w:rPr>
              <w:t xml:space="preserve">Cour de justice de l’Ontario </w:t>
            </w:r>
          </w:p>
          <w:p w:rsidR="00843C56" w:rsidRPr="001C7519" w:rsidRDefault="00843C56" w:rsidP="00D65A7B">
            <w:pPr>
              <w:jc w:val="both"/>
              <w:rPr>
                <w:sz w:val="20"/>
                <w:lang w:val="fr-CA"/>
              </w:rPr>
            </w:pPr>
            <w:r w:rsidRPr="001C7519">
              <w:rPr>
                <w:sz w:val="20"/>
                <w:lang w:val="fr-CA"/>
              </w:rPr>
              <w:t>(juge Lafrance</w:t>
            </w:r>
            <w:r w:rsidRPr="001C7519">
              <w:rPr>
                <w:sz w:val="20"/>
                <w:lang w:val="fr-CA"/>
              </w:rPr>
              <w:noBreakHyphen/>
              <w:t>Cardinal) (non publié)</w:t>
            </w:r>
          </w:p>
          <w:p w:rsidR="00843C56" w:rsidRPr="001C7519" w:rsidRDefault="00843C56" w:rsidP="00D65A7B">
            <w:pPr>
              <w:jc w:val="both"/>
              <w:rPr>
                <w:sz w:val="20"/>
                <w:lang w:val="fr-CA"/>
              </w:rPr>
            </w:pPr>
          </w:p>
        </w:tc>
        <w:tc>
          <w:tcPr>
            <w:tcW w:w="243" w:type="pct"/>
          </w:tcPr>
          <w:p w:rsidR="00843C56" w:rsidRPr="001C7519" w:rsidRDefault="00843C56" w:rsidP="00D65A7B">
            <w:pPr>
              <w:jc w:val="both"/>
              <w:rPr>
                <w:sz w:val="20"/>
                <w:lang w:val="fr-CA"/>
              </w:rPr>
            </w:pPr>
          </w:p>
        </w:tc>
        <w:tc>
          <w:tcPr>
            <w:tcW w:w="2330" w:type="pct"/>
          </w:tcPr>
          <w:p w:rsidR="00843C56" w:rsidRPr="001C7519" w:rsidRDefault="00843C56" w:rsidP="00D65A7B">
            <w:pPr>
              <w:jc w:val="both"/>
              <w:rPr>
                <w:sz w:val="20"/>
                <w:lang w:val="fr-CA"/>
              </w:rPr>
            </w:pPr>
            <w:r w:rsidRPr="001C7519">
              <w:rPr>
                <w:sz w:val="20"/>
                <w:lang w:val="fr-CA"/>
              </w:rPr>
              <w:t>Les appels des déclarations de culpabilité par procédure sommaire sont rejetés.</w:t>
            </w:r>
          </w:p>
        </w:tc>
      </w:tr>
      <w:tr w:rsidR="00843C56" w:rsidRPr="00E75919" w:rsidTr="00E95A6A">
        <w:tc>
          <w:tcPr>
            <w:tcW w:w="2427" w:type="pct"/>
            <w:gridSpan w:val="2"/>
          </w:tcPr>
          <w:p w:rsidR="00843C56" w:rsidRPr="001C7519" w:rsidRDefault="00843C56" w:rsidP="00D65A7B">
            <w:pPr>
              <w:jc w:val="both"/>
              <w:rPr>
                <w:sz w:val="20"/>
                <w:lang w:val="fr-CA"/>
              </w:rPr>
            </w:pPr>
            <w:r w:rsidRPr="001C7519">
              <w:rPr>
                <w:sz w:val="20"/>
                <w:lang w:val="fr-CA"/>
              </w:rPr>
              <w:t>5 octobre 2020</w:t>
            </w:r>
          </w:p>
          <w:p w:rsidR="00843C56" w:rsidRPr="001C7519" w:rsidRDefault="00843C56" w:rsidP="00D65A7B">
            <w:pPr>
              <w:jc w:val="both"/>
              <w:rPr>
                <w:sz w:val="20"/>
                <w:lang w:val="fr-CA"/>
              </w:rPr>
            </w:pPr>
            <w:r w:rsidRPr="001C7519">
              <w:rPr>
                <w:sz w:val="20"/>
                <w:lang w:val="fr-CA"/>
              </w:rPr>
              <w:t>Cour d’appel de l’Ontario</w:t>
            </w:r>
          </w:p>
          <w:p w:rsidR="00843C56" w:rsidRPr="001C7519" w:rsidRDefault="00843C56" w:rsidP="00D65A7B">
            <w:pPr>
              <w:jc w:val="both"/>
              <w:rPr>
                <w:sz w:val="20"/>
                <w:lang w:val="fr-CA"/>
              </w:rPr>
            </w:pPr>
            <w:r w:rsidRPr="001C7519">
              <w:rPr>
                <w:sz w:val="20"/>
                <w:lang w:val="fr-CA"/>
              </w:rPr>
              <w:t>(juge MacPherson) (non publié)</w:t>
            </w:r>
          </w:p>
          <w:p w:rsidR="00843C56" w:rsidRPr="001C7519" w:rsidRDefault="00843C56" w:rsidP="00D65A7B">
            <w:pPr>
              <w:jc w:val="both"/>
              <w:rPr>
                <w:sz w:val="20"/>
                <w:lang w:val="fr-CA"/>
              </w:rPr>
            </w:pPr>
          </w:p>
        </w:tc>
        <w:tc>
          <w:tcPr>
            <w:tcW w:w="243" w:type="pct"/>
          </w:tcPr>
          <w:p w:rsidR="00843C56" w:rsidRPr="001C7519" w:rsidRDefault="00843C56" w:rsidP="00D65A7B">
            <w:pPr>
              <w:jc w:val="both"/>
              <w:rPr>
                <w:sz w:val="20"/>
                <w:lang w:val="fr-CA"/>
              </w:rPr>
            </w:pPr>
          </w:p>
        </w:tc>
        <w:tc>
          <w:tcPr>
            <w:tcW w:w="2330" w:type="pct"/>
          </w:tcPr>
          <w:p w:rsidR="00843C56" w:rsidRPr="001C7519" w:rsidRDefault="00843C56" w:rsidP="00D65A7B">
            <w:pPr>
              <w:jc w:val="both"/>
              <w:rPr>
                <w:sz w:val="20"/>
                <w:lang w:val="fr-CA"/>
              </w:rPr>
            </w:pPr>
            <w:r w:rsidRPr="001C7519">
              <w:rPr>
                <w:sz w:val="20"/>
                <w:lang w:val="fr-CA"/>
              </w:rPr>
              <w:t xml:space="preserve">La motion en prorogation de délai est rejetée. </w:t>
            </w:r>
          </w:p>
        </w:tc>
      </w:tr>
      <w:tr w:rsidR="00843C56" w:rsidRPr="00E75919" w:rsidTr="00E95A6A">
        <w:tc>
          <w:tcPr>
            <w:tcW w:w="2427" w:type="pct"/>
            <w:gridSpan w:val="2"/>
          </w:tcPr>
          <w:p w:rsidR="00843C56" w:rsidRPr="001C7519" w:rsidRDefault="00843C56" w:rsidP="00D65A7B">
            <w:pPr>
              <w:jc w:val="both"/>
              <w:rPr>
                <w:sz w:val="20"/>
                <w:lang w:val="fr-CA"/>
              </w:rPr>
            </w:pPr>
            <w:r w:rsidRPr="001C7519">
              <w:rPr>
                <w:sz w:val="20"/>
                <w:lang w:val="fr-CA"/>
              </w:rPr>
              <w:t xml:space="preserve">29 décembre 2020 </w:t>
            </w:r>
          </w:p>
          <w:p w:rsidR="00843C56" w:rsidRPr="001C7519" w:rsidRDefault="00843C56" w:rsidP="00D65A7B">
            <w:pPr>
              <w:jc w:val="both"/>
              <w:rPr>
                <w:sz w:val="20"/>
                <w:lang w:val="fr-CA"/>
              </w:rPr>
            </w:pPr>
            <w:r w:rsidRPr="001C7519">
              <w:rPr>
                <w:sz w:val="20"/>
                <w:lang w:val="fr-CA"/>
              </w:rPr>
              <w:t>Cour d’appel de l’Ontario</w:t>
            </w:r>
          </w:p>
          <w:p w:rsidR="00843C56" w:rsidRPr="001C7519" w:rsidRDefault="00843C56" w:rsidP="00D65A7B">
            <w:pPr>
              <w:jc w:val="both"/>
              <w:rPr>
                <w:sz w:val="20"/>
                <w:lang w:val="fr-CA"/>
              </w:rPr>
            </w:pPr>
            <w:r w:rsidRPr="001C7519">
              <w:rPr>
                <w:sz w:val="20"/>
                <w:lang w:val="fr-CA"/>
              </w:rPr>
              <w:t>(juge Coroza) (non publié)</w:t>
            </w:r>
          </w:p>
          <w:p w:rsidR="00843C56" w:rsidRPr="001C7519" w:rsidRDefault="00843C56" w:rsidP="00D65A7B">
            <w:pPr>
              <w:jc w:val="both"/>
              <w:rPr>
                <w:sz w:val="20"/>
                <w:lang w:val="fr-CA"/>
              </w:rPr>
            </w:pPr>
          </w:p>
        </w:tc>
        <w:tc>
          <w:tcPr>
            <w:tcW w:w="243" w:type="pct"/>
          </w:tcPr>
          <w:p w:rsidR="00843C56" w:rsidRPr="001C7519" w:rsidRDefault="00843C56" w:rsidP="00D65A7B">
            <w:pPr>
              <w:jc w:val="both"/>
              <w:rPr>
                <w:sz w:val="20"/>
                <w:lang w:val="fr-CA"/>
              </w:rPr>
            </w:pPr>
          </w:p>
        </w:tc>
        <w:tc>
          <w:tcPr>
            <w:tcW w:w="2330" w:type="pct"/>
          </w:tcPr>
          <w:p w:rsidR="00843C56" w:rsidRPr="001C7519" w:rsidRDefault="00843C56" w:rsidP="00D65A7B">
            <w:pPr>
              <w:jc w:val="both"/>
              <w:rPr>
                <w:sz w:val="20"/>
                <w:lang w:val="fr-CA"/>
              </w:rPr>
            </w:pPr>
            <w:r w:rsidRPr="001C7519">
              <w:rPr>
                <w:sz w:val="20"/>
                <w:lang w:val="fr-CA"/>
              </w:rPr>
              <w:t>La motion en prorogation de délai pour présenter une demande de contrôle est rejetée.</w:t>
            </w:r>
          </w:p>
        </w:tc>
      </w:tr>
      <w:tr w:rsidR="00843C56" w:rsidRPr="001C7519" w:rsidTr="00E95A6A">
        <w:tc>
          <w:tcPr>
            <w:tcW w:w="2427" w:type="pct"/>
            <w:gridSpan w:val="2"/>
          </w:tcPr>
          <w:p w:rsidR="00843C56" w:rsidRPr="001C7519" w:rsidRDefault="00843C56" w:rsidP="00D65A7B">
            <w:pPr>
              <w:jc w:val="both"/>
              <w:rPr>
                <w:sz w:val="20"/>
                <w:lang w:val="fr-CA"/>
              </w:rPr>
            </w:pPr>
            <w:r w:rsidRPr="001C7519">
              <w:rPr>
                <w:sz w:val="20"/>
                <w:lang w:val="fr-CA"/>
              </w:rPr>
              <w:t>9 avril 2021</w:t>
            </w:r>
          </w:p>
          <w:p w:rsidR="00843C56" w:rsidRPr="001C7519" w:rsidRDefault="00843C56" w:rsidP="00D65A7B">
            <w:pPr>
              <w:jc w:val="both"/>
              <w:rPr>
                <w:sz w:val="20"/>
                <w:lang w:val="fr-CA"/>
              </w:rPr>
            </w:pPr>
            <w:r w:rsidRPr="001C7519">
              <w:rPr>
                <w:sz w:val="20"/>
                <w:lang w:val="fr-CA"/>
              </w:rPr>
              <w:t>Cour d’appel de l’Ontario</w:t>
            </w:r>
          </w:p>
          <w:p w:rsidR="00843C56" w:rsidRPr="001C7519" w:rsidRDefault="00843C56" w:rsidP="00D65A7B">
            <w:pPr>
              <w:jc w:val="both"/>
              <w:rPr>
                <w:sz w:val="20"/>
                <w:lang w:val="fr-CA"/>
              </w:rPr>
            </w:pPr>
            <w:r w:rsidRPr="001C7519">
              <w:rPr>
                <w:sz w:val="20"/>
                <w:lang w:val="fr-CA"/>
              </w:rPr>
              <w:t>(juges Pardu, Brown, Paciocco)</w:t>
            </w:r>
          </w:p>
          <w:p w:rsidR="00843C56" w:rsidRPr="001C7519" w:rsidRDefault="00E75919" w:rsidP="00D65A7B">
            <w:pPr>
              <w:jc w:val="both"/>
              <w:rPr>
                <w:sz w:val="20"/>
                <w:lang w:val="fr-CA"/>
              </w:rPr>
            </w:pPr>
            <w:hyperlink r:id="rId68" w:history="1">
              <w:r w:rsidR="00843C56" w:rsidRPr="001C7519">
                <w:rPr>
                  <w:rStyle w:val="Hyperlink"/>
                  <w:sz w:val="20"/>
                  <w:lang w:val="fr-CA"/>
                </w:rPr>
                <w:t>2021 ONCA 218</w:t>
              </w:r>
            </w:hyperlink>
            <w:r w:rsidR="00843C56" w:rsidRPr="001C7519">
              <w:rPr>
                <w:sz w:val="20"/>
                <w:lang w:val="fr-CA"/>
              </w:rPr>
              <w:t>; M52083 (C68555)</w:t>
            </w:r>
          </w:p>
          <w:p w:rsidR="00843C56" w:rsidRPr="001C7519" w:rsidRDefault="00843C56" w:rsidP="00D65A7B">
            <w:pPr>
              <w:jc w:val="both"/>
              <w:rPr>
                <w:sz w:val="20"/>
                <w:lang w:val="fr-CA"/>
              </w:rPr>
            </w:pPr>
          </w:p>
        </w:tc>
        <w:tc>
          <w:tcPr>
            <w:tcW w:w="243" w:type="pct"/>
          </w:tcPr>
          <w:p w:rsidR="00843C56" w:rsidRPr="001C7519" w:rsidRDefault="00843C56" w:rsidP="00D65A7B">
            <w:pPr>
              <w:jc w:val="both"/>
              <w:rPr>
                <w:sz w:val="20"/>
                <w:lang w:val="fr-CA"/>
              </w:rPr>
            </w:pPr>
          </w:p>
        </w:tc>
        <w:tc>
          <w:tcPr>
            <w:tcW w:w="2330" w:type="pct"/>
          </w:tcPr>
          <w:p w:rsidR="00843C56" w:rsidRPr="001C7519" w:rsidRDefault="00843C56" w:rsidP="00D65A7B">
            <w:pPr>
              <w:jc w:val="both"/>
              <w:rPr>
                <w:sz w:val="20"/>
                <w:lang w:val="fr-CA"/>
              </w:rPr>
            </w:pPr>
            <w:r w:rsidRPr="001C7519">
              <w:rPr>
                <w:sz w:val="20"/>
                <w:lang w:val="fr-CA"/>
              </w:rPr>
              <w:t>L’appel est rejeté.</w:t>
            </w:r>
          </w:p>
          <w:p w:rsidR="00843C56" w:rsidRPr="001C7519" w:rsidRDefault="00843C56" w:rsidP="00D65A7B">
            <w:pPr>
              <w:jc w:val="both"/>
              <w:rPr>
                <w:sz w:val="20"/>
                <w:lang w:val="fr-CA"/>
              </w:rPr>
            </w:pPr>
          </w:p>
        </w:tc>
      </w:tr>
      <w:tr w:rsidR="00843C56" w:rsidRPr="00E75919" w:rsidTr="00E95A6A">
        <w:tc>
          <w:tcPr>
            <w:tcW w:w="2427" w:type="pct"/>
            <w:gridSpan w:val="2"/>
          </w:tcPr>
          <w:p w:rsidR="00843C56" w:rsidRPr="001C7519" w:rsidRDefault="00843C56" w:rsidP="00D65A7B">
            <w:pPr>
              <w:jc w:val="both"/>
              <w:rPr>
                <w:sz w:val="20"/>
                <w:lang w:val="fr-CA"/>
              </w:rPr>
            </w:pPr>
            <w:r w:rsidRPr="001C7519">
              <w:rPr>
                <w:sz w:val="20"/>
                <w:lang w:val="fr-CA"/>
              </w:rPr>
              <w:t>14 avril 2021</w:t>
            </w:r>
          </w:p>
          <w:p w:rsidR="00843C56" w:rsidRPr="001C7519" w:rsidRDefault="00843C56" w:rsidP="00D65A7B">
            <w:pPr>
              <w:jc w:val="both"/>
              <w:rPr>
                <w:sz w:val="20"/>
                <w:lang w:val="fr-CA"/>
              </w:rPr>
            </w:pPr>
            <w:r w:rsidRPr="001C7519">
              <w:rPr>
                <w:sz w:val="20"/>
                <w:lang w:val="fr-CA"/>
              </w:rPr>
              <w:t>Cour suprême du Canada</w:t>
            </w:r>
          </w:p>
        </w:tc>
        <w:tc>
          <w:tcPr>
            <w:tcW w:w="243" w:type="pct"/>
          </w:tcPr>
          <w:p w:rsidR="00843C56" w:rsidRPr="001C7519" w:rsidRDefault="00843C56" w:rsidP="00D65A7B">
            <w:pPr>
              <w:jc w:val="both"/>
              <w:rPr>
                <w:sz w:val="20"/>
                <w:lang w:val="fr-CA"/>
              </w:rPr>
            </w:pPr>
          </w:p>
        </w:tc>
        <w:tc>
          <w:tcPr>
            <w:tcW w:w="2330" w:type="pct"/>
          </w:tcPr>
          <w:p w:rsidR="00843C56" w:rsidRPr="001C7519" w:rsidRDefault="00843C56" w:rsidP="00D65A7B">
            <w:pPr>
              <w:jc w:val="both"/>
              <w:rPr>
                <w:sz w:val="20"/>
                <w:lang w:val="fr-CA"/>
              </w:rPr>
            </w:pPr>
            <w:r w:rsidRPr="001C7519">
              <w:rPr>
                <w:sz w:val="20"/>
                <w:lang w:val="fr-CA"/>
              </w:rPr>
              <w:t>La demande d’autorisation d’appel est présentée.</w:t>
            </w:r>
          </w:p>
          <w:p w:rsidR="00843C56" w:rsidRPr="001C7519" w:rsidRDefault="00843C56" w:rsidP="00D65A7B">
            <w:pPr>
              <w:jc w:val="both"/>
              <w:rPr>
                <w:sz w:val="20"/>
                <w:lang w:val="fr-CA"/>
              </w:rPr>
            </w:pPr>
          </w:p>
        </w:tc>
      </w:tr>
    </w:tbl>
    <w:p w:rsidR="00843C56" w:rsidRPr="001C7519" w:rsidRDefault="00843C56" w:rsidP="00D65A7B">
      <w:pPr>
        <w:jc w:val="both"/>
        <w:rPr>
          <w:sz w:val="20"/>
          <w:lang w:val="fr-CA"/>
        </w:rPr>
      </w:pPr>
    </w:p>
    <w:p w:rsidR="00843C56" w:rsidRPr="001C7519" w:rsidRDefault="00E75919" w:rsidP="00D65A7B">
      <w:pPr>
        <w:widowControl w:val="0"/>
        <w:tabs>
          <w:tab w:val="left" w:pos="3840"/>
        </w:tabs>
        <w:jc w:val="both"/>
        <w:rPr>
          <w:sz w:val="20"/>
          <w:lang w:val="fr-CA"/>
        </w:rPr>
      </w:pPr>
      <w:r>
        <w:rPr>
          <w:sz w:val="20"/>
        </w:rPr>
        <w:pict>
          <v:rect id="_x0000_i1051" style="width:2in;height:1pt" o:hrpct="0" o:hralign="center" o:hrstd="t" o:hrnoshade="t" o:hr="t" fillcolor="black [3213]" stroked="f"/>
        </w:pict>
      </w:r>
    </w:p>
    <w:p w:rsidR="00843C56" w:rsidRPr="001C7519" w:rsidRDefault="00843C56" w:rsidP="00D65A7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43C56" w:rsidRPr="001C7519" w:rsidTr="00E95A6A">
        <w:tc>
          <w:tcPr>
            <w:tcW w:w="543" w:type="pct"/>
          </w:tcPr>
          <w:p w:rsidR="00843C56" w:rsidRPr="001C7519" w:rsidRDefault="00843C56" w:rsidP="00D65A7B">
            <w:pPr>
              <w:jc w:val="both"/>
              <w:rPr>
                <w:sz w:val="20"/>
              </w:rPr>
            </w:pPr>
            <w:r w:rsidRPr="001C7519">
              <w:rPr>
                <w:rStyle w:val="SCCFileNumberChar"/>
                <w:sz w:val="20"/>
                <w:szCs w:val="20"/>
              </w:rPr>
              <w:t>39628</w:t>
            </w:r>
          </w:p>
        </w:tc>
        <w:tc>
          <w:tcPr>
            <w:tcW w:w="4457" w:type="pct"/>
            <w:gridSpan w:val="3"/>
          </w:tcPr>
          <w:p w:rsidR="00843C56" w:rsidRPr="001C7519" w:rsidRDefault="00843C56" w:rsidP="00D65A7B">
            <w:pPr>
              <w:pStyle w:val="SCCLsocParty"/>
              <w:jc w:val="both"/>
              <w:rPr>
                <w:b/>
                <w:sz w:val="20"/>
                <w:szCs w:val="20"/>
                <w:lang w:val="en-US"/>
              </w:rPr>
            </w:pPr>
            <w:r w:rsidRPr="001C7519">
              <w:rPr>
                <w:b/>
                <w:sz w:val="20"/>
                <w:szCs w:val="20"/>
                <w:lang w:val="en-US"/>
              </w:rPr>
              <w:t>Nicola Valley Fish and Game Club v. Douglas Lake Cattle Company, Attorney General of British Columbia</w:t>
            </w:r>
          </w:p>
          <w:p w:rsidR="00843C56" w:rsidRPr="001C7519" w:rsidRDefault="00843C56" w:rsidP="00D65A7B">
            <w:pPr>
              <w:pStyle w:val="SCCLsocSubfileSeparator"/>
              <w:rPr>
                <w:sz w:val="20"/>
                <w:szCs w:val="20"/>
              </w:rPr>
            </w:pPr>
            <w:r w:rsidRPr="001C7519">
              <w:rPr>
                <w:sz w:val="20"/>
                <w:szCs w:val="20"/>
              </w:rPr>
              <w:t>- and between -</w:t>
            </w:r>
          </w:p>
          <w:p w:rsidR="00843C56" w:rsidRPr="001C7519" w:rsidRDefault="00843C56" w:rsidP="00D65A7B">
            <w:pPr>
              <w:pStyle w:val="SCCLsocParty"/>
              <w:jc w:val="both"/>
              <w:rPr>
                <w:b/>
                <w:sz w:val="20"/>
                <w:szCs w:val="20"/>
                <w:lang w:val="en-US"/>
              </w:rPr>
            </w:pPr>
            <w:r w:rsidRPr="001C7519">
              <w:rPr>
                <w:b/>
                <w:sz w:val="20"/>
                <w:szCs w:val="20"/>
                <w:lang w:val="en-US"/>
              </w:rPr>
              <w:t>Nicola Valley Fish and Game Club v. Douglas Lake Cattle Company, Attorney General of British Columbia, Her Majesty the Queen in right of the province of British Columbia</w:t>
            </w:r>
          </w:p>
          <w:p w:rsidR="00843C56" w:rsidRPr="001C7519" w:rsidRDefault="00843C56" w:rsidP="00D65A7B">
            <w:pPr>
              <w:pStyle w:val="SCCLsocSubfileSeparator"/>
              <w:rPr>
                <w:sz w:val="20"/>
                <w:szCs w:val="20"/>
              </w:rPr>
            </w:pPr>
            <w:r w:rsidRPr="001C7519">
              <w:rPr>
                <w:sz w:val="20"/>
                <w:szCs w:val="20"/>
              </w:rPr>
              <w:t>- and between -</w:t>
            </w:r>
          </w:p>
          <w:p w:rsidR="00843C56" w:rsidRPr="001C7519" w:rsidRDefault="00843C56" w:rsidP="00D65A7B">
            <w:pPr>
              <w:pStyle w:val="SCCLsocParty"/>
              <w:jc w:val="both"/>
              <w:rPr>
                <w:b/>
                <w:sz w:val="20"/>
                <w:szCs w:val="20"/>
                <w:lang w:val="en-US"/>
              </w:rPr>
            </w:pPr>
            <w:r w:rsidRPr="001C7519">
              <w:rPr>
                <w:b/>
                <w:sz w:val="20"/>
                <w:szCs w:val="20"/>
                <w:lang w:val="en-US"/>
              </w:rPr>
              <w:t>Nicola Valley Fish and Game Club v. Douglas Lake Cattle Company, Her Majesty the Queen in right of the province of British Columbia</w:t>
            </w:r>
          </w:p>
          <w:p w:rsidR="00843C56" w:rsidRPr="001C7519" w:rsidRDefault="00843C56" w:rsidP="00D65A7B">
            <w:pPr>
              <w:jc w:val="both"/>
              <w:rPr>
                <w:sz w:val="20"/>
              </w:rPr>
            </w:pPr>
            <w:r w:rsidRPr="001C7519">
              <w:rPr>
                <w:sz w:val="20"/>
              </w:rPr>
              <w:t>(B.C.) (Civil) (By Leave)</w:t>
            </w:r>
          </w:p>
        </w:tc>
      </w:tr>
      <w:tr w:rsidR="00843C56" w:rsidRPr="001C7519" w:rsidTr="00E95A6A">
        <w:tc>
          <w:tcPr>
            <w:tcW w:w="5000" w:type="pct"/>
            <w:gridSpan w:val="4"/>
          </w:tcPr>
          <w:p w:rsidR="00843C56" w:rsidRPr="001C7519" w:rsidRDefault="00843C56" w:rsidP="00D65A7B">
            <w:pPr>
              <w:jc w:val="both"/>
              <w:rPr>
                <w:sz w:val="20"/>
              </w:rPr>
            </w:pPr>
            <w:r w:rsidRPr="001C7519">
              <w:rPr>
                <w:sz w:val="20"/>
              </w:rPr>
              <w:t xml:space="preserve">Property — Real property — Trespass — Maritime law — Scope — Whether provincial </w:t>
            </w:r>
            <w:r w:rsidRPr="001C7519">
              <w:rPr>
                <w:i/>
                <w:sz w:val="20"/>
              </w:rPr>
              <w:t>Trespass Act</w:t>
            </w:r>
            <w:r w:rsidRPr="001C7519">
              <w:rPr>
                <w:sz w:val="20"/>
              </w:rPr>
              <w:t xml:space="preserve"> is constitutionally operable to restrict navigation for recreational purposes in a waterbody to which public access exists — Whether navigability for recreational purposes is sufficient to give rise to a right of navigation — Whether a right of navigation on water over private land is a trespass — Test for recognition of an ancient trail as an encumbrance on the title — Whether adjustment of the test for common law dedication is required?</w:t>
            </w:r>
          </w:p>
        </w:tc>
      </w:tr>
      <w:tr w:rsidR="00843C56" w:rsidRPr="001C7519" w:rsidTr="00E95A6A">
        <w:tc>
          <w:tcPr>
            <w:tcW w:w="5000" w:type="pct"/>
            <w:gridSpan w:val="4"/>
          </w:tcPr>
          <w:p w:rsidR="00843C56" w:rsidRPr="001C7519" w:rsidRDefault="00843C56" w:rsidP="00D65A7B">
            <w:pPr>
              <w:jc w:val="both"/>
              <w:rPr>
                <w:sz w:val="20"/>
              </w:rPr>
            </w:pPr>
          </w:p>
        </w:tc>
      </w:tr>
      <w:tr w:rsidR="00843C56" w:rsidRPr="001C7519" w:rsidTr="00E95A6A">
        <w:tc>
          <w:tcPr>
            <w:tcW w:w="5000" w:type="pct"/>
            <w:gridSpan w:val="4"/>
          </w:tcPr>
          <w:p w:rsidR="00843C56" w:rsidRPr="001C7519" w:rsidRDefault="00843C56" w:rsidP="00D65A7B">
            <w:pPr>
              <w:jc w:val="both"/>
              <w:rPr>
                <w:sz w:val="20"/>
              </w:rPr>
            </w:pPr>
            <w:r w:rsidRPr="001C7519">
              <w:rPr>
                <w:sz w:val="20"/>
              </w:rPr>
              <w:t xml:space="preserve">Nicola Valley Fish and Game Club applied for an order in part declaring that the public has access to two lakes contained within the boundaries of lands owned and operated as a ranch by Douglas Lake Cattle Company. The trial judge held that the public has access to both lakes. The Court of Appeal allowed an appeal and held that Douglas Lake Cattle Company may prohibit the public from crossing its property to access the lakes. </w:t>
            </w:r>
          </w:p>
          <w:p w:rsidR="00843C56" w:rsidRPr="001C7519" w:rsidRDefault="00843C56" w:rsidP="00D65A7B">
            <w:pPr>
              <w:jc w:val="both"/>
              <w:rPr>
                <w:sz w:val="20"/>
              </w:rPr>
            </w:pPr>
          </w:p>
        </w:tc>
      </w:tr>
      <w:tr w:rsidR="00843C56" w:rsidRPr="001C7519" w:rsidTr="00E95A6A">
        <w:tc>
          <w:tcPr>
            <w:tcW w:w="2427" w:type="pct"/>
            <w:gridSpan w:val="2"/>
          </w:tcPr>
          <w:p w:rsidR="00843C56" w:rsidRPr="001C7519" w:rsidRDefault="00843C56" w:rsidP="00D65A7B">
            <w:pPr>
              <w:jc w:val="both"/>
              <w:rPr>
                <w:sz w:val="20"/>
              </w:rPr>
            </w:pPr>
            <w:r w:rsidRPr="001C7519">
              <w:rPr>
                <w:sz w:val="20"/>
              </w:rPr>
              <w:t>July 5, 2019</w:t>
            </w:r>
          </w:p>
          <w:p w:rsidR="00843C56" w:rsidRPr="001C7519" w:rsidRDefault="00843C56" w:rsidP="00D65A7B">
            <w:pPr>
              <w:jc w:val="both"/>
              <w:rPr>
                <w:sz w:val="20"/>
              </w:rPr>
            </w:pPr>
            <w:r w:rsidRPr="001C7519">
              <w:rPr>
                <w:sz w:val="20"/>
              </w:rPr>
              <w:t>Supreme Court of British Columbia</w:t>
            </w:r>
          </w:p>
          <w:p w:rsidR="00843C56" w:rsidRPr="001C7519" w:rsidRDefault="00843C56" w:rsidP="00D65A7B">
            <w:pPr>
              <w:jc w:val="both"/>
              <w:rPr>
                <w:sz w:val="20"/>
              </w:rPr>
            </w:pPr>
            <w:r w:rsidRPr="001C7519">
              <w:rPr>
                <w:sz w:val="20"/>
              </w:rPr>
              <w:t>(Groves J.)</w:t>
            </w:r>
          </w:p>
          <w:p w:rsidR="00843C56" w:rsidRPr="001C7519" w:rsidRDefault="00E75919" w:rsidP="00D65A7B">
            <w:pPr>
              <w:jc w:val="both"/>
              <w:rPr>
                <w:sz w:val="20"/>
              </w:rPr>
            </w:pPr>
            <w:hyperlink r:id="rId69" w:history="1">
              <w:r w:rsidR="00843C56" w:rsidRPr="001C7519">
                <w:rPr>
                  <w:rStyle w:val="Hyperlink"/>
                  <w:sz w:val="20"/>
                </w:rPr>
                <w:t>2018 BCSC 2167</w:t>
              </w:r>
            </w:hyperlink>
          </w:p>
          <w:p w:rsidR="00843C56" w:rsidRPr="001C7519" w:rsidRDefault="00843C56" w:rsidP="00D65A7B">
            <w:pPr>
              <w:jc w:val="both"/>
              <w:rPr>
                <w:sz w:val="20"/>
              </w:rPr>
            </w:pPr>
          </w:p>
        </w:tc>
        <w:tc>
          <w:tcPr>
            <w:tcW w:w="243" w:type="pct"/>
          </w:tcPr>
          <w:p w:rsidR="00843C56" w:rsidRPr="001C7519" w:rsidRDefault="00843C56" w:rsidP="00D65A7B">
            <w:pPr>
              <w:jc w:val="both"/>
              <w:rPr>
                <w:sz w:val="20"/>
              </w:rPr>
            </w:pPr>
          </w:p>
        </w:tc>
        <w:tc>
          <w:tcPr>
            <w:tcW w:w="2330" w:type="pct"/>
          </w:tcPr>
          <w:p w:rsidR="00843C56" w:rsidRPr="001C7519" w:rsidRDefault="00843C56" w:rsidP="00D65A7B">
            <w:pPr>
              <w:jc w:val="both"/>
              <w:rPr>
                <w:sz w:val="20"/>
              </w:rPr>
            </w:pPr>
            <w:r w:rsidRPr="001C7519">
              <w:rPr>
                <w:sz w:val="20"/>
              </w:rPr>
              <w:t>Order in part declaring right of public access to two lakes</w:t>
            </w:r>
          </w:p>
          <w:p w:rsidR="00843C56" w:rsidRPr="001C7519" w:rsidRDefault="00843C56" w:rsidP="00D65A7B">
            <w:pPr>
              <w:jc w:val="both"/>
              <w:rPr>
                <w:sz w:val="20"/>
              </w:rPr>
            </w:pPr>
          </w:p>
        </w:tc>
      </w:tr>
      <w:tr w:rsidR="00843C56" w:rsidRPr="001C7519" w:rsidTr="00E95A6A">
        <w:tc>
          <w:tcPr>
            <w:tcW w:w="2427" w:type="pct"/>
            <w:gridSpan w:val="2"/>
          </w:tcPr>
          <w:p w:rsidR="00843C56" w:rsidRPr="001C7519" w:rsidRDefault="00843C56" w:rsidP="00D65A7B">
            <w:pPr>
              <w:jc w:val="both"/>
              <w:rPr>
                <w:sz w:val="20"/>
              </w:rPr>
            </w:pPr>
            <w:r w:rsidRPr="001C7519">
              <w:rPr>
                <w:sz w:val="20"/>
              </w:rPr>
              <w:t>March 5, 2021</w:t>
            </w:r>
          </w:p>
          <w:p w:rsidR="00843C56" w:rsidRPr="001C7519" w:rsidRDefault="00843C56" w:rsidP="00D65A7B">
            <w:pPr>
              <w:jc w:val="both"/>
              <w:rPr>
                <w:sz w:val="20"/>
              </w:rPr>
            </w:pPr>
            <w:r w:rsidRPr="001C7519">
              <w:rPr>
                <w:sz w:val="20"/>
              </w:rPr>
              <w:t>Court of Appeal for British Columbia (Vancouver)</w:t>
            </w:r>
          </w:p>
          <w:p w:rsidR="00843C56" w:rsidRPr="001C7519" w:rsidRDefault="00843C56" w:rsidP="00D65A7B">
            <w:pPr>
              <w:jc w:val="both"/>
              <w:rPr>
                <w:sz w:val="20"/>
              </w:rPr>
            </w:pPr>
            <w:r w:rsidRPr="001C7519">
              <w:rPr>
                <w:sz w:val="20"/>
              </w:rPr>
              <w:t>(Willcock, Fenlon, Voith JJ.A.)</w:t>
            </w:r>
          </w:p>
          <w:p w:rsidR="00843C56" w:rsidRPr="001C7519" w:rsidRDefault="00E75919" w:rsidP="00D65A7B">
            <w:pPr>
              <w:jc w:val="both"/>
              <w:rPr>
                <w:sz w:val="20"/>
              </w:rPr>
            </w:pPr>
            <w:hyperlink r:id="rId70" w:history="1">
              <w:r w:rsidR="00843C56" w:rsidRPr="001C7519">
                <w:rPr>
                  <w:rStyle w:val="Hyperlink"/>
                  <w:sz w:val="20"/>
                </w:rPr>
                <w:t>2021 BCCA 99</w:t>
              </w:r>
            </w:hyperlink>
            <w:r w:rsidR="00843C56" w:rsidRPr="001C7519">
              <w:rPr>
                <w:sz w:val="20"/>
              </w:rPr>
              <w:t>; CA45822; CA46282; CA46284</w:t>
            </w:r>
          </w:p>
          <w:p w:rsidR="00843C56" w:rsidRPr="001C7519" w:rsidRDefault="00843C56" w:rsidP="00D65A7B">
            <w:pPr>
              <w:jc w:val="both"/>
              <w:rPr>
                <w:sz w:val="20"/>
              </w:rPr>
            </w:pPr>
          </w:p>
        </w:tc>
        <w:tc>
          <w:tcPr>
            <w:tcW w:w="243" w:type="pct"/>
          </w:tcPr>
          <w:p w:rsidR="00843C56" w:rsidRPr="001C7519" w:rsidRDefault="00843C56" w:rsidP="00D65A7B">
            <w:pPr>
              <w:jc w:val="both"/>
              <w:rPr>
                <w:sz w:val="20"/>
              </w:rPr>
            </w:pPr>
          </w:p>
        </w:tc>
        <w:tc>
          <w:tcPr>
            <w:tcW w:w="2330" w:type="pct"/>
          </w:tcPr>
          <w:p w:rsidR="00843C56" w:rsidRPr="001C7519" w:rsidRDefault="00843C56" w:rsidP="00D65A7B">
            <w:pPr>
              <w:jc w:val="both"/>
              <w:rPr>
                <w:sz w:val="20"/>
              </w:rPr>
            </w:pPr>
            <w:r w:rsidRPr="001C7519">
              <w:rPr>
                <w:sz w:val="20"/>
              </w:rPr>
              <w:t xml:space="preserve">Appeal allowed </w:t>
            </w:r>
          </w:p>
          <w:p w:rsidR="00843C56" w:rsidRPr="001C7519" w:rsidRDefault="00843C56" w:rsidP="00D65A7B">
            <w:pPr>
              <w:jc w:val="both"/>
              <w:rPr>
                <w:sz w:val="20"/>
              </w:rPr>
            </w:pPr>
          </w:p>
        </w:tc>
      </w:tr>
      <w:tr w:rsidR="00843C56" w:rsidRPr="001C7519" w:rsidTr="00E95A6A">
        <w:tc>
          <w:tcPr>
            <w:tcW w:w="2427" w:type="pct"/>
            <w:gridSpan w:val="2"/>
          </w:tcPr>
          <w:p w:rsidR="00843C56" w:rsidRPr="001C7519" w:rsidRDefault="00843C56" w:rsidP="00D65A7B">
            <w:pPr>
              <w:jc w:val="both"/>
              <w:rPr>
                <w:sz w:val="20"/>
              </w:rPr>
            </w:pPr>
            <w:r w:rsidRPr="001C7519">
              <w:rPr>
                <w:sz w:val="20"/>
              </w:rPr>
              <w:t>April 7, 2021</w:t>
            </w:r>
          </w:p>
          <w:p w:rsidR="00843C56" w:rsidRPr="001C7519" w:rsidRDefault="00843C56" w:rsidP="00D65A7B">
            <w:pPr>
              <w:jc w:val="both"/>
              <w:rPr>
                <w:sz w:val="20"/>
              </w:rPr>
            </w:pPr>
            <w:r w:rsidRPr="001C7519">
              <w:rPr>
                <w:sz w:val="20"/>
              </w:rPr>
              <w:t>Supreme Court of Canada</w:t>
            </w:r>
          </w:p>
        </w:tc>
        <w:tc>
          <w:tcPr>
            <w:tcW w:w="243" w:type="pct"/>
          </w:tcPr>
          <w:p w:rsidR="00843C56" w:rsidRPr="001C7519" w:rsidRDefault="00843C56" w:rsidP="00D65A7B">
            <w:pPr>
              <w:jc w:val="both"/>
              <w:rPr>
                <w:sz w:val="20"/>
              </w:rPr>
            </w:pPr>
          </w:p>
        </w:tc>
        <w:tc>
          <w:tcPr>
            <w:tcW w:w="2330" w:type="pct"/>
          </w:tcPr>
          <w:p w:rsidR="00843C56" w:rsidRPr="001C7519" w:rsidRDefault="00843C56" w:rsidP="00D65A7B">
            <w:pPr>
              <w:jc w:val="both"/>
              <w:rPr>
                <w:sz w:val="20"/>
              </w:rPr>
            </w:pPr>
            <w:r w:rsidRPr="001C7519">
              <w:rPr>
                <w:sz w:val="20"/>
              </w:rPr>
              <w:t>Application for leave to appeal filed</w:t>
            </w:r>
          </w:p>
          <w:p w:rsidR="00843C56" w:rsidRPr="001C7519" w:rsidRDefault="00843C56" w:rsidP="00D65A7B">
            <w:pPr>
              <w:jc w:val="both"/>
              <w:rPr>
                <w:sz w:val="20"/>
              </w:rPr>
            </w:pPr>
          </w:p>
        </w:tc>
      </w:tr>
    </w:tbl>
    <w:p w:rsidR="00843C56" w:rsidRPr="001C7519" w:rsidRDefault="00843C56" w:rsidP="00D65A7B">
      <w:pPr>
        <w:jc w:val="both"/>
        <w:rPr>
          <w:sz w:val="20"/>
        </w:rPr>
      </w:pPr>
    </w:p>
    <w:p w:rsidR="00D65A7B" w:rsidRPr="001C7519" w:rsidRDefault="00E75919" w:rsidP="00D65A7B">
      <w:pPr>
        <w:jc w:val="both"/>
        <w:rPr>
          <w:sz w:val="20"/>
        </w:rPr>
      </w:pPr>
      <w:r>
        <w:rPr>
          <w:sz w:val="20"/>
        </w:rPr>
        <w:pict>
          <v:rect id="_x0000_i1052" style="width:2in;height:1pt" o:hrpct="0" o:hralign="center" o:hrstd="t" o:hrnoshade="t" o:hr="t" fillcolor="black [3213]" stroked="f"/>
        </w:pict>
      </w:r>
    </w:p>
    <w:p w:rsidR="00D65A7B" w:rsidRPr="001C7519" w:rsidRDefault="00D65A7B" w:rsidP="00D65A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43C56" w:rsidRPr="00E75919" w:rsidTr="00E95A6A">
        <w:tc>
          <w:tcPr>
            <w:tcW w:w="543" w:type="pct"/>
          </w:tcPr>
          <w:p w:rsidR="00843C56" w:rsidRPr="001C7519" w:rsidRDefault="00843C56" w:rsidP="00D65A7B">
            <w:pPr>
              <w:jc w:val="both"/>
              <w:rPr>
                <w:sz w:val="20"/>
              </w:rPr>
            </w:pPr>
            <w:r w:rsidRPr="001C7519">
              <w:rPr>
                <w:rStyle w:val="SCCFileNumberChar"/>
                <w:sz w:val="20"/>
                <w:szCs w:val="20"/>
              </w:rPr>
              <w:t>39628</w:t>
            </w:r>
          </w:p>
        </w:tc>
        <w:tc>
          <w:tcPr>
            <w:tcW w:w="4457" w:type="pct"/>
            <w:gridSpan w:val="3"/>
          </w:tcPr>
          <w:p w:rsidR="00843C56" w:rsidRPr="001C7519" w:rsidRDefault="00843C56" w:rsidP="00D65A7B">
            <w:pPr>
              <w:pStyle w:val="SCCLsocParty"/>
              <w:jc w:val="both"/>
              <w:rPr>
                <w:b/>
                <w:sz w:val="20"/>
                <w:szCs w:val="20"/>
              </w:rPr>
            </w:pPr>
            <w:r w:rsidRPr="001C7519">
              <w:rPr>
                <w:b/>
                <w:sz w:val="20"/>
                <w:szCs w:val="20"/>
              </w:rPr>
              <w:t>Nicola Valley Fish and Game Club c. Douglas Lake Cattle Company, procureur général de la Colombie-Britannique</w:t>
            </w:r>
          </w:p>
          <w:p w:rsidR="00843C56" w:rsidRPr="001C7519" w:rsidRDefault="00843C56" w:rsidP="00D65A7B">
            <w:pPr>
              <w:pStyle w:val="SCCLsocSubfileSeparator"/>
              <w:rPr>
                <w:sz w:val="20"/>
                <w:szCs w:val="20"/>
                <w:lang w:val="fr-CA"/>
              </w:rPr>
            </w:pPr>
            <w:r w:rsidRPr="001C7519">
              <w:rPr>
                <w:sz w:val="20"/>
                <w:szCs w:val="20"/>
                <w:lang w:val="fr-CA"/>
              </w:rPr>
              <w:t>- et entre -</w:t>
            </w:r>
          </w:p>
          <w:p w:rsidR="00843C56" w:rsidRPr="001C7519" w:rsidRDefault="00843C56" w:rsidP="00D65A7B">
            <w:pPr>
              <w:pStyle w:val="SCCLsocParty"/>
              <w:jc w:val="both"/>
              <w:rPr>
                <w:b/>
                <w:sz w:val="20"/>
                <w:szCs w:val="20"/>
              </w:rPr>
            </w:pPr>
            <w:r w:rsidRPr="001C7519">
              <w:rPr>
                <w:b/>
                <w:sz w:val="20"/>
                <w:szCs w:val="20"/>
              </w:rPr>
              <w:t>Nicola Valley Fish and Game Club c. Douglas Lake Cattle Company, procureur général de la Colombie-Britannique, Sa Majesté la Reine du chef de la province de la Colombie-Britannique</w:t>
            </w:r>
          </w:p>
          <w:p w:rsidR="00843C56" w:rsidRPr="001C7519" w:rsidRDefault="00843C56" w:rsidP="00D65A7B">
            <w:pPr>
              <w:pStyle w:val="SCCLsocSubfileSeparator"/>
              <w:rPr>
                <w:sz w:val="20"/>
                <w:szCs w:val="20"/>
                <w:lang w:val="fr-CA"/>
              </w:rPr>
            </w:pPr>
            <w:r w:rsidRPr="001C7519">
              <w:rPr>
                <w:sz w:val="20"/>
                <w:szCs w:val="20"/>
                <w:lang w:val="fr-CA"/>
              </w:rPr>
              <w:t>- et entre -</w:t>
            </w:r>
          </w:p>
          <w:p w:rsidR="00843C56" w:rsidRPr="001C7519" w:rsidRDefault="00843C56" w:rsidP="00D65A7B">
            <w:pPr>
              <w:pStyle w:val="SCCLsocParty"/>
              <w:jc w:val="both"/>
              <w:rPr>
                <w:b/>
                <w:sz w:val="20"/>
                <w:szCs w:val="20"/>
              </w:rPr>
            </w:pPr>
            <w:r w:rsidRPr="001C7519">
              <w:rPr>
                <w:b/>
                <w:sz w:val="20"/>
                <w:szCs w:val="20"/>
              </w:rPr>
              <w:t>Nicola Valley Fish and Game Club c. Douglas Lake Cattle Company, Sa Majesté la Reine du chef de la province de la Colombie-Britannique</w:t>
            </w:r>
          </w:p>
          <w:p w:rsidR="00843C56" w:rsidRPr="001C7519" w:rsidRDefault="00843C56" w:rsidP="00D65A7B">
            <w:pPr>
              <w:jc w:val="both"/>
              <w:rPr>
                <w:sz w:val="20"/>
                <w:lang w:val="fr-CA"/>
              </w:rPr>
            </w:pPr>
            <w:r w:rsidRPr="001C7519">
              <w:rPr>
                <w:sz w:val="20"/>
                <w:lang w:val="fr-CA"/>
              </w:rPr>
              <w:t>(C.</w:t>
            </w:r>
            <w:r w:rsidRPr="001C7519">
              <w:rPr>
                <w:sz w:val="20"/>
                <w:lang w:val="fr-CA"/>
              </w:rPr>
              <w:noBreakHyphen/>
              <w:t>B.) (Civile) (Sur autorisation)</w:t>
            </w:r>
          </w:p>
        </w:tc>
      </w:tr>
      <w:tr w:rsidR="00843C56" w:rsidRPr="00E75919" w:rsidTr="00E95A6A">
        <w:tc>
          <w:tcPr>
            <w:tcW w:w="5000" w:type="pct"/>
            <w:gridSpan w:val="4"/>
          </w:tcPr>
          <w:p w:rsidR="00843C56" w:rsidRPr="001C7519" w:rsidRDefault="00843C56" w:rsidP="00D65A7B">
            <w:pPr>
              <w:jc w:val="both"/>
              <w:rPr>
                <w:sz w:val="20"/>
                <w:lang w:val="fr-CA"/>
              </w:rPr>
            </w:pPr>
            <w:r w:rsidRPr="001C7519">
              <w:rPr>
                <w:sz w:val="20"/>
                <w:lang w:val="fr-CA"/>
              </w:rPr>
              <w:t>Biens — Biens réels — Intrusion — Droit maritime — Portée — La Constitution permet</w:t>
            </w:r>
            <w:r w:rsidRPr="001C7519">
              <w:rPr>
                <w:sz w:val="20"/>
                <w:lang w:val="fr-CA"/>
              </w:rPr>
              <w:noBreakHyphen/>
              <w:t xml:space="preserve">elle que la </w:t>
            </w:r>
            <w:r w:rsidRPr="001C7519">
              <w:rPr>
                <w:i/>
                <w:sz w:val="20"/>
                <w:lang w:val="fr-CA"/>
              </w:rPr>
              <w:t>Trespass Act</w:t>
            </w:r>
            <w:r w:rsidRPr="001C7519">
              <w:rPr>
                <w:sz w:val="20"/>
                <w:lang w:val="fr-CA"/>
              </w:rPr>
              <w:t xml:space="preserve"> provinciale s’applique de manière à restreindre la navigation de plaisance sur un cours d’eau auquel le public a accès? — La navigabilité de plaisance est</w:t>
            </w:r>
            <w:r w:rsidRPr="001C7519">
              <w:rPr>
                <w:sz w:val="20"/>
                <w:lang w:val="fr-CA"/>
              </w:rPr>
              <w:noBreakHyphen/>
              <w:t>elle suffisante pour donner naissance à un droit de navigation? — Un droit de navigation sur un cours d’eau situé dans un terrain privé constitue</w:t>
            </w:r>
            <w:r w:rsidRPr="001C7519">
              <w:rPr>
                <w:sz w:val="20"/>
                <w:lang w:val="fr-CA"/>
              </w:rPr>
              <w:noBreakHyphen/>
              <w:t>t</w:t>
            </w:r>
            <w:r w:rsidRPr="001C7519">
              <w:rPr>
                <w:sz w:val="20"/>
                <w:lang w:val="fr-CA"/>
              </w:rPr>
              <w:noBreakHyphen/>
              <w:t>il une intrusion? — Test servant à reconnaître qu’une ancienne piste est une charge grevant le titre — Est</w:t>
            </w:r>
            <w:r w:rsidRPr="001C7519">
              <w:rPr>
                <w:sz w:val="20"/>
                <w:lang w:val="fr-CA"/>
              </w:rPr>
              <w:noBreakHyphen/>
              <w:t>il nécessaire d’adapter le test pour les besoins de la common law?</w:t>
            </w:r>
          </w:p>
        </w:tc>
      </w:tr>
      <w:tr w:rsidR="00843C56" w:rsidRPr="00E75919" w:rsidTr="00E95A6A">
        <w:tc>
          <w:tcPr>
            <w:tcW w:w="5000" w:type="pct"/>
            <w:gridSpan w:val="4"/>
          </w:tcPr>
          <w:p w:rsidR="00843C56" w:rsidRPr="001C7519" w:rsidRDefault="00843C56" w:rsidP="00D65A7B">
            <w:pPr>
              <w:jc w:val="both"/>
              <w:rPr>
                <w:sz w:val="20"/>
                <w:lang w:val="fr-CA"/>
              </w:rPr>
            </w:pPr>
          </w:p>
        </w:tc>
      </w:tr>
      <w:tr w:rsidR="00843C56" w:rsidRPr="00E75919" w:rsidTr="00E95A6A">
        <w:tc>
          <w:tcPr>
            <w:tcW w:w="5000" w:type="pct"/>
            <w:gridSpan w:val="4"/>
          </w:tcPr>
          <w:p w:rsidR="00843C56" w:rsidRPr="001C7519" w:rsidRDefault="00843C56" w:rsidP="00D65A7B">
            <w:pPr>
              <w:jc w:val="both"/>
              <w:rPr>
                <w:sz w:val="20"/>
                <w:lang w:val="fr-CA"/>
              </w:rPr>
            </w:pPr>
            <w:r w:rsidRPr="001C7519">
              <w:rPr>
                <w:sz w:val="20"/>
                <w:lang w:val="fr-CA"/>
              </w:rPr>
              <w:t xml:space="preserve">Nicola Valley Fish and Game Club a demandé une ordonnance portant entre autres déclaration que le public a accès à deux lacs situés à l’intérieur des limites de terrains appartenant à la Douglas Lake Cattle Company et exploités en tant que ranch par cette dernière. Le juge de première instance a conclu que le public a accès aux deux lacs. La Cour d’appel a fait </w:t>
            </w:r>
            <w:proofErr w:type="gramStart"/>
            <w:r w:rsidRPr="001C7519">
              <w:rPr>
                <w:sz w:val="20"/>
                <w:lang w:val="fr-CA"/>
              </w:rPr>
              <w:t>droit</w:t>
            </w:r>
            <w:proofErr w:type="gramEnd"/>
            <w:r w:rsidRPr="001C7519">
              <w:rPr>
                <w:sz w:val="20"/>
                <w:lang w:val="fr-CA"/>
              </w:rPr>
              <w:t xml:space="preserve"> à un appel et jugé que la Douglas Lake Cattle Company peut interdire au public de traverser son terrain pour accéder aux lacs.  </w:t>
            </w:r>
          </w:p>
          <w:p w:rsidR="00843C56" w:rsidRPr="001C7519" w:rsidRDefault="00843C56" w:rsidP="00D65A7B">
            <w:pPr>
              <w:jc w:val="both"/>
              <w:rPr>
                <w:sz w:val="20"/>
                <w:lang w:val="fr-CA"/>
              </w:rPr>
            </w:pPr>
          </w:p>
        </w:tc>
      </w:tr>
      <w:tr w:rsidR="00843C56" w:rsidRPr="00E75919" w:rsidTr="00E95A6A">
        <w:tc>
          <w:tcPr>
            <w:tcW w:w="2427" w:type="pct"/>
            <w:gridSpan w:val="2"/>
          </w:tcPr>
          <w:p w:rsidR="00843C56" w:rsidRPr="001C7519" w:rsidRDefault="00843C56" w:rsidP="00D65A7B">
            <w:pPr>
              <w:jc w:val="both"/>
              <w:rPr>
                <w:sz w:val="20"/>
                <w:lang w:val="fr-CA"/>
              </w:rPr>
            </w:pPr>
            <w:r w:rsidRPr="001C7519">
              <w:rPr>
                <w:sz w:val="20"/>
                <w:lang w:val="fr-CA"/>
              </w:rPr>
              <w:t>5 juillet 2019</w:t>
            </w:r>
          </w:p>
          <w:p w:rsidR="00843C56" w:rsidRPr="001C7519" w:rsidRDefault="00843C56" w:rsidP="00D65A7B">
            <w:pPr>
              <w:jc w:val="both"/>
              <w:rPr>
                <w:sz w:val="20"/>
                <w:lang w:val="fr-CA"/>
              </w:rPr>
            </w:pPr>
            <w:r w:rsidRPr="001C7519">
              <w:rPr>
                <w:sz w:val="20"/>
                <w:lang w:val="fr-CA"/>
              </w:rPr>
              <w:t>Cour suprême de la Colombie</w:t>
            </w:r>
            <w:r w:rsidRPr="001C7519">
              <w:rPr>
                <w:sz w:val="20"/>
                <w:lang w:val="fr-CA"/>
              </w:rPr>
              <w:noBreakHyphen/>
              <w:t xml:space="preserve">Britannique </w:t>
            </w:r>
          </w:p>
          <w:p w:rsidR="00843C56" w:rsidRPr="001C7519" w:rsidRDefault="00843C56" w:rsidP="00D65A7B">
            <w:pPr>
              <w:jc w:val="both"/>
              <w:rPr>
                <w:sz w:val="20"/>
              </w:rPr>
            </w:pPr>
            <w:r w:rsidRPr="001C7519">
              <w:rPr>
                <w:sz w:val="20"/>
              </w:rPr>
              <w:t>(Juge Groves)</w:t>
            </w:r>
          </w:p>
          <w:p w:rsidR="00843C56" w:rsidRPr="001C7519" w:rsidRDefault="00E75919" w:rsidP="00D65A7B">
            <w:pPr>
              <w:jc w:val="both"/>
              <w:rPr>
                <w:sz w:val="20"/>
              </w:rPr>
            </w:pPr>
            <w:hyperlink r:id="rId71" w:history="1">
              <w:r w:rsidR="00843C56" w:rsidRPr="001C7519">
                <w:rPr>
                  <w:rStyle w:val="Hyperlink"/>
                  <w:sz w:val="20"/>
                </w:rPr>
                <w:t>2018 BCSC 2167</w:t>
              </w:r>
            </w:hyperlink>
          </w:p>
          <w:p w:rsidR="00843C56" w:rsidRPr="001C7519" w:rsidRDefault="00843C56" w:rsidP="00D65A7B">
            <w:pPr>
              <w:jc w:val="both"/>
              <w:rPr>
                <w:sz w:val="20"/>
              </w:rPr>
            </w:pPr>
          </w:p>
        </w:tc>
        <w:tc>
          <w:tcPr>
            <w:tcW w:w="243" w:type="pct"/>
          </w:tcPr>
          <w:p w:rsidR="00843C56" w:rsidRPr="001C7519" w:rsidRDefault="00843C56" w:rsidP="00D65A7B">
            <w:pPr>
              <w:jc w:val="both"/>
              <w:rPr>
                <w:sz w:val="20"/>
              </w:rPr>
            </w:pPr>
          </w:p>
        </w:tc>
        <w:tc>
          <w:tcPr>
            <w:tcW w:w="2330" w:type="pct"/>
          </w:tcPr>
          <w:p w:rsidR="00843C56" w:rsidRPr="001C7519" w:rsidRDefault="00843C56" w:rsidP="00D65A7B">
            <w:pPr>
              <w:jc w:val="both"/>
              <w:rPr>
                <w:sz w:val="20"/>
                <w:lang w:val="fr-CA"/>
              </w:rPr>
            </w:pPr>
            <w:r w:rsidRPr="001C7519">
              <w:rPr>
                <w:sz w:val="20"/>
                <w:lang w:val="fr-CA"/>
              </w:rPr>
              <w:t>Ordonnance portant entre autres déclaration du droit du public d’avoir accès aux deux lacs</w:t>
            </w:r>
          </w:p>
          <w:p w:rsidR="00843C56" w:rsidRPr="001C7519" w:rsidRDefault="00843C56" w:rsidP="00D65A7B">
            <w:pPr>
              <w:jc w:val="both"/>
              <w:rPr>
                <w:sz w:val="20"/>
                <w:lang w:val="fr-CA"/>
              </w:rPr>
            </w:pPr>
          </w:p>
        </w:tc>
      </w:tr>
      <w:tr w:rsidR="00843C56" w:rsidRPr="001C7519" w:rsidTr="00E95A6A">
        <w:tc>
          <w:tcPr>
            <w:tcW w:w="2427" w:type="pct"/>
            <w:gridSpan w:val="2"/>
          </w:tcPr>
          <w:p w:rsidR="00843C56" w:rsidRPr="001C7519" w:rsidRDefault="00843C56" w:rsidP="00D65A7B">
            <w:pPr>
              <w:jc w:val="both"/>
              <w:rPr>
                <w:sz w:val="20"/>
                <w:lang w:val="fr-CA"/>
              </w:rPr>
            </w:pPr>
            <w:r w:rsidRPr="001C7519">
              <w:rPr>
                <w:sz w:val="20"/>
                <w:lang w:val="fr-CA"/>
              </w:rPr>
              <w:t>5 mars 2021</w:t>
            </w:r>
          </w:p>
          <w:p w:rsidR="00843C56" w:rsidRPr="001C7519" w:rsidRDefault="00843C56" w:rsidP="00D65A7B">
            <w:pPr>
              <w:jc w:val="both"/>
              <w:rPr>
                <w:sz w:val="20"/>
                <w:lang w:val="fr-CA"/>
              </w:rPr>
            </w:pPr>
            <w:r w:rsidRPr="001C7519">
              <w:rPr>
                <w:sz w:val="20"/>
                <w:lang w:val="fr-CA"/>
              </w:rPr>
              <w:t>Cour d’appel de la Colombie</w:t>
            </w:r>
            <w:r w:rsidRPr="001C7519">
              <w:rPr>
                <w:sz w:val="20"/>
                <w:lang w:val="fr-CA"/>
              </w:rPr>
              <w:noBreakHyphen/>
              <w:t>Britannique (Vancouver)</w:t>
            </w:r>
          </w:p>
          <w:p w:rsidR="00843C56" w:rsidRPr="001C7519" w:rsidRDefault="00843C56" w:rsidP="00D65A7B">
            <w:pPr>
              <w:jc w:val="both"/>
              <w:rPr>
                <w:sz w:val="20"/>
                <w:lang w:val="fr-CA"/>
              </w:rPr>
            </w:pPr>
            <w:r w:rsidRPr="001C7519">
              <w:rPr>
                <w:sz w:val="20"/>
                <w:lang w:val="fr-CA"/>
              </w:rPr>
              <w:t>(Juges Willcock, Fenlon et Voith)</w:t>
            </w:r>
          </w:p>
          <w:p w:rsidR="00843C56" w:rsidRPr="001C7519" w:rsidRDefault="00E75919" w:rsidP="00D65A7B">
            <w:pPr>
              <w:jc w:val="both"/>
              <w:rPr>
                <w:sz w:val="20"/>
              </w:rPr>
            </w:pPr>
            <w:hyperlink r:id="rId72" w:history="1">
              <w:r w:rsidR="00843C56" w:rsidRPr="001C7519">
                <w:rPr>
                  <w:rStyle w:val="Hyperlink"/>
                  <w:sz w:val="20"/>
                </w:rPr>
                <w:t>2021 BCCA 99</w:t>
              </w:r>
            </w:hyperlink>
            <w:r w:rsidR="00843C56" w:rsidRPr="001C7519">
              <w:rPr>
                <w:sz w:val="20"/>
              </w:rPr>
              <w:t>; CA45822; CA46282; CA46284</w:t>
            </w:r>
          </w:p>
          <w:p w:rsidR="00843C56" w:rsidRPr="001C7519" w:rsidRDefault="00843C56" w:rsidP="00D65A7B">
            <w:pPr>
              <w:jc w:val="both"/>
              <w:rPr>
                <w:sz w:val="20"/>
              </w:rPr>
            </w:pPr>
          </w:p>
        </w:tc>
        <w:tc>
          <w:tcPr>
            <w:tcW w:w="243" w:type="pct"/>
          </w:tcPr>
          <w:p w:rsidR="00843C56" w:rsidRPr="001C7519" w:rsidRDefault="00843C56" w:rsidP="00D65A7B">
            <w:pPr>
              <w:jc w:val="both"/>
              <w:rPr>
                <w:sz w:val="20"/>
              </w:rPr>
            </w:pPr>
          </w:p>
        </w:tc>
        <w:tc>
          <w:tcPr>
            <w:tcW w:w="2330" w:type="pct"/>
          </w:tcPr>
          <w:p w:rsidR="00843C56" w:rsidRPr="001C7519" w:rsidRDefault="00843C56" w:rsidP="00D65A7B">
            <w:pPr>
              <w:jc w:val="both"/>
              <w:rPr>
                <w:sz w:val="20"/>
              </w:rPr>
            </w:pPr>
            <w:r w:rsidRPr="001C7519">
              <w:rPr>
                <w:sz w:val="20"/>
              </w:rPr>
              <w:t xml:space="preserve">Appel accueilli </w:t>
            </w:r>
          </w:p>
          <w:p w:rsidR="00843C56" w:rsidRPr="001C7519" w:rsidRDefault="00843C56" w:rsidP="00D65A7B">
            <w:pPr>
              <w:jc w:val="both"/>
              <w:rPr>
                <w:sz w:val="20"/>
              </w:rPr>
            </w:pPr>
          </w:p>
        </w:tc>
      </w:tr>
      <w:tr w:rsidR="00843C56" w:rsidRPr="00E75919" w:rsidTr="00E95A6A">
        <w:tc>
          <w:tcPr>
            <w:tcW w:w="2427" w:type="pct"/>
            <w:gridSpan w:val="2"/>
          </w:tcPr>
          <w:p w:rsidR="00843C56" w:rsidRPr="001C7519" w:rsidRDefault="00843C56" w:rsidP="00D65A7B">
            <w:pPr>
              <w:jc w:val="both"/>
              <w:rPr>
                <w:sz w:val="20"/>
                <w:lang w:val="fr-CA"/>
              </w:rPr>
            </w:pPr>
            <w:r w:rsidRPr="001C7519">
              <w:rPr>
                <w:sz w:val="20"/>
                <w:lang w:val="fr-CA"/>
              </w:rPr>
              <w:t>7 avril 2021</w:t>
            </w:r>
          </w:p>
          <w:p w:rsidR="00843C56" w:rsidRPr="001C7519" w:rsidRDefault="00843C56" w:rsidP="00D65A7B">
            <w:pPr>
              <w:jc w:val="both"/>
              <w:rPr>
                <w:sz w:val="20"/>
                <w:lang w:val="fr-CA"/>
              </w:rPr>
            </w:pPr>
            <w:r w:rsidRPr="001C7519">
              <w:rPr>
                <w:sz w:val="20"/>
                <w:lang w:val="fr-CA"/>
              </w:rPr>
              <w:t>Cour suprême du Canada</w:t>
            </w:r>
          </w:p>
        </w:tc>
        <w:tc>
          <w:tcPr>
            <w:tcW w:w="243" w:type="pct"/>
          </w:tcPr>
          <w:p w:rsidR="00843C56" w:rsidRPr="001C7519" w:rsidRDefault="00843C56" w:rsidP="00D65A7B">
            <w:pPr>
              <w:jc w:val="both"/>
              <w:rPr>
                <w:sz w:val="20"/>
                <w:lang w:val="fr-CA"/>
              </w:rPr>
            </w:pPr>
          </w:p>
        </w:tc>
        <w:tc>
          <w:tcPr>
            <w:tcW w:w="2330" w:type="pct"/>
          </w:tcPr>
          <w:p w:rsidR="00843C56" w:rsidRPr="001C7519" w:rsidRDefault="00843C56" w:rsidP="00D65A7B">
            <w:pPr>
              <w:jc w:val="both"/>
              <w:rPr>
                <w:sz w:val="20"/>
                <w:lang w:val="fr-CA"/>
              </w:rPr>
            </w:pPr>
            <w:r w:rsidRPr="001C7519">
              <w:rPr>
                <w:sz w:val="20"/>
                <w:lang w:val="fr-CA"/>
              </w:rPr>
              <w:t xml:space="preserve">Dépôt de la demande d’autorisation d’appel </w:t>
            </w:r>
          </w:p>
          <w:p w:rsidR="00843C56" w:rsidRPr="001C7519" w:rsidRDefault="00843C56" w:rsidP="00D65A7B">
            <w:pPr>
              <w:jc w:val="both"/>
              <w:rPr>
                <w:sz w:val="20"/>
                <w:lang w:val="fr-CA"/>
              </w:rPr>
            </w:pPr>
          </w:p>
        </w:tc>
      </w:tr>
    </w:tbl>
    <w:p w:rsidR="00843C56" w:rsidRPr="001C7519" w:rsidRDefault="00843C56" w:rsidP="00D65A7B">
      <w:pPr>
        <w:jc w:val="both"/>
        <w:rPr>
          <w:sz w:val="20"/>
          <w:lang w:val="fr-CA"/>
        </w:rPr>
      </w:pPr>
    </w:p>
    <w:p w:rsidR="00843C56" w:rsidRPr="001C7519" w:rsidRDefault="00E75919" w:rsidP="00D65A7B">
      <w:pPr>
        <w:widowControl w:val="0"/>
        <w:tabs>
          <w:tab w:val="left" w:pos="3840"/>
        </w:tabs>
        <w:jc w:val="both"/>
        <w:rPr>
          <w:sz w:val="20"/>
          <w:lang w:val="fr-CA"/>
        </w:rPr>
      </w:pPr>
      <w:r>
        <w:rPr>
          <w:sz w:val="20"/>
        </w:rPr>
        <w:pict>
          <v:rect id="_x0000_i1053" style="width:2in;height:1pt" o:hrpct="0" o:hralign="center" o:hrstd="t" o:hrnoshade="t" o:hr="t" fillcolor="black [3213]" stroked="f"/>
        </w:pict>
      </w:r>
    </w:p>
    <w:p w:rsidR="00D65A7B" w:rsidRPr="001C7519" w:rsidRDefault="00D65A7B" w:rsidP="00D65A7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43C56" w:rsidRPr="001C7519" w:rsidTr="00E95A6A">
        <w:tc>
          <w:tcPr>
            <w:tcW w:w="543" w:type="pct"/>
          </w:tcPr>
          <w:p w:rsidR="00843C56" w:rsidRPr="001C7519" w:rsidRDefault="00843C56" w:rsidP="00D65A7B">
            <w:pPr>
              <w:jc w:val="both"/>
              <w:rPr>
                <w:sz w:val="20"/>
              </w:rPr>
            </w:pPr>
            <w:r w:rsidRPr="001C7519">
              <w:rPr>
                <w:rStyle w:val="SCCFileNumberChar"/>
                <w:sz w:val="20"/>
                <w:szCs w:val="20"/>
              </w:rPr>
              <w:t>39652</w:t>
            </w:r>
          </w:p>
        </w:tc>
        <w:tc>
          <w:tcPr>
            <w:tcW w:w="4457" w:type="pct"/>
            <w:gridSpan w:val="3"/>
          </w:tcPr>
          <w:p w:rsidR="00843C56" w:rsidRPr="001C7519" w:rsidRDefault="00843C56" w:rsidP="00D65A7B">
            <w:pPr>
              <w:pStyle w:val="SCCLsocParty"/>
              <w:jc w:val="both"/>
              <w:rPr>
                <w:b/>
                <w:sz w:val="20"/>
                <w:szCs w:val="20"/>
                <w:lang w:val="en-US"/>
              </w:rPr>
            </w:pPr>
            <w:r w:rsidRPr="001C7519">
              <w:rPr>
                <w:b/>
                <w:sz w:val="20"/>
                <w:szCs w:val="20"/>
                <w:lang w:val="en-US"/>
              </w:rPr>
              <w:t>Agent E v. Attorney General of Canada (in right of the Royal Canadian Mounted Police)</w:t>
            </w:r>
          </w:p>
          <w:p w:rsidR="00843C56" w:rsidRPr="001C7519" w:rsidRDefault="00843C56" w:rsidP="00D65A7B">
            <w:pPr>
              <w:jc w:val="both"/>
              <w:rPr>
                <w:sz w:val="20"/>
              </w:rPr>
            </w:pPr>
            <w:r w:rsidRPr="001C7519">
              <w:rPr>
                <w:sz w:val="20"/>
              </w:rPr>
              <w:t>(B.C.) (Civil) (By Leave)</w:t>
            </w:r>
          </w:p>
        </w:tc>
      </w:tr>
      <w:tr w:rsidR="00843C56" w:rsidRPr="001C7519" w:rsidTr="00E95A6A">
        <w:tc>
          <w:tcPr>
            <w:tcW w:w="5000" w:type="pct"/>
            <w:gridSpan w:val="4"/>
          </w:tcPr>
          <w:p w:rsidR="00843C56" w:rsidRPr="001C7519" w:rsidRDefault="00843C56" w:rsidP="00D65A7B">
            <w:pPr>
              <w:pStyle w:val="SCCBanSummary"/>
              <w:rPr>
                <w:sz w:val="20"/>
                <w:szCs w:val="20"/>
              </w:rPr>
            </w:pPr>
            <w:r w:rsidRPr="001C7519">
              <w:rPr>
                <w:sz w:val="20"/>
                <w:szCs w:val="20"/>
              </w:rPr>
              <w:t xml:space="preserve">(Sealing order In Case) </w:t>
            </w:r>
          </w:p>
          <w:p w:rsidR="00843C56" w:rsidRPr="001C7519" w:rsidRDefault="00843C56" w:rsidP="00D65A7B">
            <w:pPr>
              <w:pStyle w:val="SCCBanSummary"/>
              <w:rPr>
                <w:sz w:val="20"/>
                <w:szCs w:val="20"/>
              </w:rPr>
            </w:pPr>
          </w:p>
          <w:p w:rsidR="00843C56" w:rsidRPr="001C7519" w:rsidRDefault="00843C56" w:rsidP="00D65A7B">
            <w:pPr>
              <w:jc w:val="both"/>
              <w:rPr>
                <w:sz w:val="20"/>
              </w:rPr>
            </w:pPr>
            <w:r w:rsidRPr="001C7519">
              <w:rPr>
                <w:sz w:val="20"/>
              </w:rPr>
              <w:t xml:space="preserve">Contracts — Contract formation — Quantum meruit — Unjust enrichment — Individual seeks compensation from Royal Canadian Mounted Police for </w:t>
            </w:r>
            <w:r w:rsidRPr="001C7519">
              <w:rPr>
                <w:sz w:val="20"/>
                <w:lang w:val="en"/>
              </w:rPr>
              <w:t>gathering and delivering information regarding activities of criminals and criminal organizations</w:t>
            </w:r>
            <w:r w:rsidRPr="001C7519">
              <w:rPr>
                <w:sz w:val="20"/>
              </w:rPr>
              <w:t xml:space="preserve"> — Context of acquiescence sufficient to bind a party to a contract — Whether provision of information by confidential informant about identities, activities and transactions of high level criminals constitutes a benefit sufficient to ground a finding of unjust enrichment — Whether there is a public policy rationale known to law that prevents payment of long-term confidential informants who are not criminals and who expect payment to the knowledge of the police?</w:t>
            </w:r>
          </w:p>
        </w:tc>
      </w:tr>
      <w:tr w:rsidR="00843C56" w:rsidRPr="001C7519" w:rsidTr="00E95A6A">
        <w:tc>
          <w:tcPr>
            <w:tcW w:w="5000" w:type="pct"/>
            <w:gridSpan w:val="4"/>
          </w:tcPr>
          <w:p w:rsidR="00843C56" w:rsidRPr="001C7519" w:rsidRDefault="00843C56" w:rsidP="00D65A7B">
            <w:pPr>
              <w:jc w:val="both"/>
              <w:rPr>
                <w:sz w:val="20"/>
              </w:rPr>
            </w:pPr>
          </w:p>
        </w:tc>
      </w:tr>
      <w:tr w:rsidR="00843C56" w:rsidRPr="001C7519" w:rsidTr="00E95A6A">
        <w:tc>
          <w:tcPr>
            <w:tcW w:w="5000" w:type="pct"/>
            <w:gridSpan w:val="4"/>
          </w:tcPr>
          <w:p w:rsidR="00843C56" w:rsidRPr="001C7519" w:rsidRDefault="00843C56" w:rsidP="00D65A7B">
            <w:pPr>
              <w:jc w:val="both"/>
              <w:rPr>
                <w:sz w:val="20"/>
              </w:rPr>
            </w:pPr>
            <w:r w:rsidRPr="001C7519">
              <w:rPr>
                <w:sz w:val="20"/>
              </w:rPr>
              <w:t>B</w:t>
            </w:r>
            <w:r w:rsidRPr="001C7519">
              <w:rPr>
                <w:sz w:val="20"/>
                <w:lang w:val="en"/>
              </w:rPr>
              <w:t xml:space="preserve">etween 2001 and 2014, Agent E gathered and delivered information to the Royal Canadian Mounted Police regarding the illegal activities of criminals and criminal organizations. Agent E believed he would be compensated monetarily. Agent E commenced an action seeking damages for breach of contract and </w:t>
            </w:r>
            <w:r w:rsidRPr="001C7519">
              <w:rPr>
                <w:i/>
                <w:iCs/>
                <w:sz w:val="20"/>
                <w:lang w:val="en"/>
              </w:rPr>
              <w:t>quantum meruit</w:t>
            </w:r>
            <w:r w:rsidRPr="001C7519">
              <w:rPr>
                <w:sz w:val="20"/>
                <w:lang w:val="en"/>
              </w:rPr>
              <w:t xml:space="preserve"> based on unjust enrichment</w:t>
            </w:r>
            <w:r w:rsidRPr="001C7519">
              <w:rPr>
                <w:sz w:val="20"/>
              </w:rPr>
              <w:t>. The trial judge dismissed the action and the Court of Appeal dismissed an appeal.</w:t>
            </w:r>
          </w:p>
          <w:p w:rsidR="00843C56" w:rsidRPr="001C7519" w:rsidRDefault="00843C56" w:rsidP="00D65A7B">
            <w:pPr>
              <w:jc w:val="both"/>
              <w:rPr>
                <w:sz w:val="20"/>
              </w:rPr>
            </w:pPr>
          </w:p>
        </w:tc>
      </w:tr>
      <w:tr w:rsidR="00843C56" w:rsidRPr="001C7519" w:rsidTr="00E95A6A">
        <w:tc>
          <w:tcPr>
            <w:tcW w:w="2427" w:type="pct"/>
            <w:gridSpan w:val="2"/>
          </w:tcPr>
          <w:p w:rsidR="00843C56" w:rsidRPr="001C7519" w:rsidRDefault="00843C56" w:rsidP="00D65A7B">
            <w:pPr>
              <w:jc w:val="both"/>
              <w:rPr>
                <w:sz w:val="20"/>
              </w:rPr>
            </w:pPr>
            <w:r w:rsidRPr="001C7519">
              <w:rPr>
                <w:sz w:val="20"/>
              </w:rPr>
              <w:t>May 29, 2018</w:t>
            </w:r>
          </w:p>
          <w:p w:rsidR="00843C56" w:rsidRPr="001C7519" w:rsidRDefault="00843C56" w:rsidP="00D65A7B">
            <w:pPr>
              <w:jc w:val="both"/>
              <w:rPr>
                <w:sz w:val="20"/>
              </w:rPr>
            </w:pPr>
            <w:r w:rsidRPr="001C7519">
              <w:rPr>
                <w:sz w:val="20"/>
              </w:rPr>
              <w:t>Supreme Court of British Columbia</w:t>
            </w:r>
          </w:p>
          <w:p w:rsidR="00843C56" w:rsidRPr="001C7519" w:rsidRDefault="00843C56" w:rsidP="00D65A7B">
            <w:pPr>
              <w:jc w:val="both"/>
              <w:rPr>
                <w:sz w:val="20"/>
              </w:rPr>
            </w:pPr>
            <w:r w:rsidRPr="001C7519">
              <w:rPr>
                <w:sz w:val="20"/>
              </w:rPr>
              <w:t>(Weatherill J.)</w:t>
            </w:r>
          </w:p>
          <w:p w:rsidR="00843C56" w:rsidRPr="001C7519" w:rsidRDefault="00843C56" w:rsidP="00D65A7B">
            <w:pPr>
              <w:jc w:val="both"/>
              <w:rPr>
                <w:sz w:val="20"/>
              </w:rPr>
            </w:pPr>
            <w:r w:rsidRPr="001C7519">
              <w:rPr>
                <w:sz w:val="20"/>
                <w:lang w:val="en"/>
              </w:rPr>
              <w:t>2018 BCSC 870</w:t>
            </w:r>
            <w:r w:rsidRPr="001C7519">
              <w:rPr>
                <w:sz w:val="20"/>
              </w:rPr>
              <w:t xml:space="preserve"> (Unreported)</w:t>
            </w:r>
          </w:p>
          <w:p w:rsidR="00843C56" w:rsidRPr="001C7519" w:rsidRDefault="00843C56" w:rsidP="00D65A7B">
            <w:pPr>
              <w:jc w:val="both"/>
              <w:rPr>
                <w:sz w:val="20"/>
              </w:rPr>
            </w:pPr>
          </w:p>
        </w:tc>
        <w:tc>
          <w:tcPr>
            <w:tcW w:w="243" w:type="pct"/>
          </w:tcPr>
          <w:p w:rsidR="00843C56" w:rsidRPr="001C7519" w:rsidRDefault="00843C56" w:rsidP="00D65A7B">
            <w:pPr>
              <w:jc w:val="both"/>
              <w:rPr>
                <w:sz w:val="20"/>
              </w:rPr>
            </w:pPr>
          </w:p>
        </w:tc>
        <w:tc>
          <w:tcPr>
            <w:tcW w:w="2330" w:type="pct"/>
          </w:tcPr>
          <w:p w:rsidR="00843C56" w:rsidRPr="001C7519" w:rsidRDefault="00843C56" w:rsidP="00D65A7B">
            <w:pPr>
              <w:jc w:val="both"/>
              <w:rPr>
                <w:sz w:val="20"/>
              </w:rPr>
            </w:pPr>
            <w:r w:rsidRPr="001C7519">
              <w:rPr>
                <w:sz w:val="20"/>
              </w:rPr>
              <w:t>Action dismissed</w:t>
            </w:r>
          </w:p>
          <w:p w:rsidR="00843C56" w:rsidRPr="001C7519" w:rsidRDefault="00843C56" w:rsidP="00D65A7B">
            <w:pPr>
              <w:jc w:val="both"/>
              <w:rPr>
                <w:sz w:val="20"/>
              </w:rPr>
            </w:pPr>
          </w:p>
        </w:tc>
      </w:tr>
      <w:tr w:rsidR="00843C56" w:rsidRPr="001C7519" w:rsidTr="00E95A6A">
        <w:tc>
          <w:tcPr>
            <w:tcW w:w="2427" w:type="pct"/>
            <w:gridSpan w:val="2"/>
          </w:tcPr>
          <w:p w:rsidR="00843C56" w:rsidRPr="001C7519" w:rsidRDefault="00843C56" w:rsidP="00D65A7B">
            <w:pPr>
              <w:jc w:val="both"/>
              <w:rPr>
                <w:sz w:val="20"/>
              </w:rPr>
            </w:pPr>
            <w:r w:rsidRPr="001C7519">
              <w:rPr>
                <w:sz w:val="20"/>
              </w:rPr>
              <w:t>March 9, 2021</w:t>
            </w:r>
          </w:p>
          <w:p w:rsidR="00843C56" w:rsidRPr="001C7519" w:rsidRDefault="00843C56" w:rsidP="00D65A7B">
            <w:pPr>
              <w:jc w:val="both"/>
              <w:rPr>
                <w:sz w:val="20"/>
              </w:rPr>
            </w:pPr>
            <w:r w:rsidRPr="001C7519">
              <w:rPr>
                <w:sz w:val="20"/>
              </w:rPr>
              <w:t>Court of Appeal for British Columbia (Vancouver)</w:t>
            </w:r>
          </w:p>
          <w:p w:rsidR="00843C56" w:rsidRPr="001C7519" w:rsidRDefault="00843C56" w:rsidP="00D65A7B">
            <w:pPr>
              <w:jc w:val="both"/>
              <w:rPr>
                <w:sz w:val="20"/>
              </w:rPr>
            </w:pPr>
            <w:r w:rsidRPr="001C7519">
              <w:rPr>
                <w:sz w:val="20"/>
              </w:rPr>
              <w:t xml:space="preserve">(Willcock, Griffin, Butler JJ.A.) </w:t>
            </w:r>
          </w:p>
          <w:p w:rsidR="00843C56" w:rsidRPr="001C7519" w:rsidRDefault="00E75919" w:rsidP="00D65A7B">
            <w:pPr>
              <w:jc w:val="both"/>
              <w:rPr>
                <w:sz w:val="20"/>
                <w:lang w:val="en"/>
              </w:rPr>
            </w:pPr>
            <w:hyperlink r:id="rId73" w:history="1">
              <w:r w:rsidR="00843C56" w:rsidRPr="001C7519">
                <w:rPr>
                  <w:rStyle w:val="Hyperlink"/>
                  <w:sz w:val="20"/>
                </w:rPr>
                <w:t>2021 BCCA 102</w:t>
              </w:r>
            </w:hyperlink>
            <w:r w:rsidR="00843C56" w:rsidRPr="001C7519">
              <w:rPr>
                <w:sz w:val="20"/>
              </w:rPr>
              <w:t xml:space="preserve">; </w:t>
            </w:r>
            <w:r w:rsidR="00843C56" w:rsidRPr="001C7519">
              <w:rPr>
                <w:sz w:val="20"/>
                <w:lang w:val="en"/>
              </w:rPr>
              <w:t xml:space="preserve">CA45379 </w:t>
            </w:r>
          </w:p>
          <w:p w:rsidR="00843C56" w:rsidRPr="001C7519" w:rsidRDefault="00843C56" w:rsidP="00D65A7B">
            <w:pPr>
              <w:jc w:val="both"/>
              <w:rPr>
                <w:sz w:val="20"/>
              </w:rPr>
            </w:pPr>
          </w:p>
        </w:tc>
        <w:tc>
          <w:tcPr>
            <w:tcW w:w="243" w:type="pct"/>
          </w:tcPr>
          <w:p w:rsidR="00843C56" w:rsidRPr="001C7519" w:rsidRDefault="00843C56" w:rsidP="00D65A7B">
            <w:pPr>
              <w:jc w:val="both"/>
              <w:rPr>
                <w:sz w:val="20"/>
              </w:rPr>
            </w:pPr>
          </w:p>
        </w:tc>
        <w:tc>
          <w:tcPr>
            <w:tcW w:w="2330" w:type="pct"/>
          </w:tcPr>
          <w:p w:rsidR="00843C56" w:rsidRPr="001C7519" w:rsidRDefault="00843C56" w:rsidP="00D65A7B">
            <w:pPr>
              <w:jc w:val="both"/>
              <w:rPr>
                <w:sz w:val="20"/>
              </w:rPr>
            </w:pPr>
            <w:r w:rsidRPr="001C7519">
              <w:rPr>
                <w:sz w:val="20"/>
              </w:rPr>
              <w:t>Appeal dismissed</w:t>
            </w:r>
          </w:p>
          <w:p w:rsidR="00843C56" w:rsidRPr="001C7519" w:rsidRDefault="00843C56" w:rsidP="00D65A7B">
            <w:pPr>
              <w:jc w:val="both"/>
              <w:rPr>
                <w:sz w:val="20"/>
              </w:rPr>
            </w:pPr>
          </w:p>
        </w:tc>
      </w:tr>
      <w:tr w:rsidR="00843C56" w:rsidRPr="001C7519" w:rsidTr="00E95A6A">
        <w:tc>
          <w:tcPr>
            <w:tcW w:w="2427" w:type="pct"/>
            <w:gridSpan w:val="2"/>
          </w:tcPr>
          <w:p w:rsidR="00843C56" w:rsidRPr="001C7519" w:rsidRDefault="00843C56" w:rsidP="00D65A7B">
            <w:pPr>
              <w:jc w:val="both"/>
              <w:rPr>
                <w:sz w:val="20"/>
              </w:rPr>
            </w:pPr>
            <w:r w:rsidRPr="001C7519">
              <w:rPr>
                <w:sz w:val="20"/>
              </w:rPr>
              <w:t>May 11, 2021</w:t>
            </w:r>
          </w:p>
          <w:p w:rsidR="00843C56" w:rsidRPr="001C7519" w:rsidRDefault="00843C56" w:rsidP="00D65A7B">
            <w:pPr>
              <w:jc w:val="both"/>
              <w:rPr>
                <w:sz w:val="20"/>
              </w:rPr>
            </w:pPr>
            <w:r w:rsidRPr="001C7519">
              <w:rPr>
                <w:sz w:val="20"/>
              </w:rPr>
              <w:t>Supreme Court of Canada</w:t>
            </w:r>
          </w:p>
        </w:tc>
        <w:tc>
          <w:tcPr>
            <w:tcW w:w="243" w:type="pct"/>
          </w:tcPr>
          <w:p w:rsidR="00843C56" w:rsidRPr="001C7519" w:rsidRDefault="00843C56" w:rsidP="00D65A7B">
            <w:pPr>
              <w:jc w:val="both"/>
              <w:rPr>
                <w:sz w:val="20"/>
              </w:rPr>
            </w:pPr>
          </w:p>
        </w:tc>
        <w:tc>
          <w:tcPr>
            <w:tcW w:w="2330" w:type="pct"/>
          </w:tcPr>
          <w:p w:rsidR="00843C56" w:rsidRPr="001C7519" w:rsidRDefault="00843C56" w:rsidP="00D65A7B">
            <w:pPr>
              <w:jc w:val="both"/>
              <w:rPr>
                <w:sz w:val="20"/>
              </w:rPr>
            </w:pPr>
            <w:r w:rsidRPr="001C7519">
              <w:rPr>
                <w:sz w:val="20"/>
              </w:rPr>
              <w:t>Motion for extension of time to file application for leave to appeal and Application for leave to appeal filed</w:t>
            </w:r>
          </w:p>
        </w:tc>
      </w:tr>
    </w:tbl>
    <w:p w:rsidR="00843C56" w:rsidRPr="001C7519" w:rsidRDefault="00843C56" w:rsidP="00D65A7B">
      <w:pPr>
        <w:jc w:val="both"/>
        <w:rPr>
          <w:sz w:val="20"/>
        </w:rPr>
      </w:pPr>
    </w:p>
    <w:p w:rsidR="00D65A7B" w:rsidRPr="001C7519" w:rsidRDefault="00E75919" w:rsidP="00D65A7B">
      <w:pPr>
        <w:jc w:val="both"/>
        <w:rPr>
          <w:sz w:val="20"/>
        </w:rPr>
      </w:pPr>
      <w:r>
        <w:rPr>
          <w:sz w:val="20"/>
        </w:rPr>
        <w:pict>
          <v:rect id="_x0000_i1054" style="width:2in;height:1pt" o:hrpct="0" o:hralign="center" o:hrstd="t" o:hrnoshade="t" o:hr="t" fillcolor="black [3213]" stroked="f"/>
        </w:pict>
      </w:r>
    </w:p>
    <w:p w:rsidR="00D65A7B" w:rsidRPr="001C7519" w:rsidRDefault="00D65A7B" w:rsidP="00D65A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43C56" w:rsidRPr="00E75919" w:rsidTr="00E95A6A">
        <w:tc>
          <w:tcPr>
            <w:tcW w:w="543" w:type="pct"/>
          </w:tcPr>
          <w:p w:rsidR="00843C56" w:rsidRPr="001C7519" w:rsidRDefault="00843C56" w:rsidP="00D65A7B">
            <w:pPr>
              <w:jc w:val="both"/>
              <w:rPr>
                <w:sz w:val="20"/>
              </w:rPr>
            </w:pPr>
            <w:r w:rsidRPr="001C7519">
              <w:rPr>
                <w:rStyle w:val="SCCFileNumberChar"/>
                <w:sz w:val="20"/>
                <w:szCs w:val="20"/>
              </w:rPr>
              <w:t>39652</w:t>
            </w:r>
          </w:p>
        </w:tc>
        <w:tc>
          <w:tcPr>
            <w:tcW w:w="4457" w:type="pct"/>
            <w:gridSpan w:val="3"/>
          </w:tcPr>
          <w:p w:rsidR="00843C56" w:rsidRPr="001C7519" w:rsidRDefault="00843C56" w:rsidP="00D65A7B">
            <w:pPr>
              <w:pStyle w:val="SCCLsocParty"/>
              <w:jc w:val="both"/>
              <w:rPr>
                <w:b/>
                <w:sz w:val="20"/>
                <w:szCs w:val="20"/>
              </w:rPr>
            </w:pPr>
            <w:r w:rsidRPr="001C7519">
              <w:rPr>
                <w:b/>
                <w:sz w:val="20"/>
                <w:szCs w:val="20"/>
              </w:rPr>
              <w:t>Agent E c. Procureur général du Canada (du chef de la Gendarmerie royale du Canada)</w:t>
            </w:r>
          </w:p>
          <w:p w:rsidR="00843C56" w:rsidRPr="001C7519" w:rsidRDefault="00843C56" w:rsidP="00D65A7B">
            <w:pPr>
              <w:jc w:val="both"/>
              <w:rPr>
                <w:sz w:val="20"/>
                <w:lang w:val="fr-CA"/>
              </w:rPr>
            </w:pPr>
            <w:r w:rsidRPr="001C7519">
              <w:rPr>
                <w:sz w:val="20"/>
                <w:lang w:val="fr-CA"/>
              </w:rPr>
              <w:t>(C.-B.) (Civile) (Sur autorisation)</w:t>
            </w:r>
          </w:p>
        </w:tc>
      </w:tr>
      <w:tr w:rsidR="00843C56" w:rsidRPr="00E75919" w:rsidTr="00E95A6A">
        <w:tc>
          <w:tcPr>
            <w:tcW w:w="5000" w:type="pct"/>
            <w:gridSpan w:val="4"/>
          </w:tcPr>
          <w:p w:rsidR="00843C56" w:rsidRPr="001C7519" w:rsidRDefault="00843C56" w:rsidP="00D65A7B">
            <w:pPr>
              <w:pStyle w:val="SCCBanSummary"/>
              <w:rPr>
                <w:sz w:val="20"/>
                <w:szCs w:val="20"/>
                <w:lang w:val="fr-CA"/>
              </w:rPr>
            </w:pPr>
            <w:r w:rsidRPr="001C7519">
              <w:rPr>
                <w:sz w:val="20"/>
                <w:szCs w:val="20"/>
                <w:lang w:val="fr-CA"/>
              </w:rPr>
              <w:t xml:space="preserve">(Ordonnance de mise sous scellés dans le dossier) </w:t>
            </w:r>
          </w:p>
          <w:p w:rsidR="00843C56" w:rsidRPr="001C7519" w:rsidRDefault="00843C56" w:rsidP="00D65A7B">
            <w:pPr>
              <w:pStyle w:val="SCCBanSummary"/>
              <w:rPr>
                <w:sz w:val="20"/>
                <w:szCs w:val="20"/>
                <w:lang w:val="fr-CA"/>
              </w:rPr>
            </w:pPr>
          </w:p>
          <w:p w:rsidR="00843C56" w:rsidRPr="001C7519" w:rsidRDefault="00843C56" w:rsidP="00D65A7B">
            <w:pPr>
              <w:jc w:val="both"/>
              <w:rPr>
                <w:sz w:val="20"/>
                <w:lang w:val="fr-CA"/>
              </w:rPr>
            </w:pPr>
            <w:r w:rsidRPr="001C7519">
              <w:rPr>
                <w:sz w:val="20"/>
                <w:lang w:val="fr-CA"/>
              </w:rPr>
              <w:t>Contrats — Formation du contrat — Quantum meruit — Enrichissement injustifié — Individu demandant à la Gendarmerie royale du Canada de le rémunérer pour avoir recueilli et transmis de l’information à propos des activités de criminels et d’organisations criminelles — Contexte d’acquiescement suffisant pour lier une partie à un contrat — La fourniture par un indicateur anonyme de renseignements sur l’identité, les activités et les transactions de grands criminels constitue-t-elle un avantage suffisant pour justifier une conclusion d’enrichissement injustifié? — Existe</w:t>
            </w:r>
            <w:r w:rsidRPr="001C7519">
              <w:rPr>
                <w:sz w:val="20"/>
                <w:lang w:val="fr-CA"/>
              </w:rPr>
              <w:noBreakHyphen/>
              <w:t>t</w:t>
            </w:r>
            <w:r w:rsidRPr="001C7519">
              <w:rPr>
                <w:sz w:val="20"/>
                <w:lang w:val="fr-CA"/>
              </w:rPr>
              <w:noBreakHyphen/>
              <w:t>il une justification d’intérêt public connue en droit qui empêche de rémunérer des indicateurs anonymes de longue date qui ne sont pas des criminels et qui s’attendent à être rémunérés à la connaissance de la police?</w:t>
            </w:r>
          </w:p>
        </w:tc>
      </w:tr>
      <w:tr w:rsidR="00843C56" w:rsidRPr="00E75919" w:rsidTr="00E95A6A">
        <w:tc>
          <w:tcPr>
            <w:tcW w:w="5000" w:type="pct"/>
            <w:gridSpan w:val="4"/>
          </w:tcPr>
          <w:p w:rsidR="00843C56" w:rsidRPr="001C7519" w:rsidRDefault="00843C56" w:rsidP="00D65A7B">
            <w:pPr>
              <w:jc w:val="both"/>
              <w:rPr>
                <w:sz w:val="20"/>
                <w:lang w:val="fr-CA"/>
              </w:rPr>
            </w:pPr>
          </w:p>
        </w:tc>
      </w:tr>
      <w:tr w:rsidR="00843C56" w:rsidRPr="00E75919" w:rsidTr="00E95A6A">
        <w:tc>
          <w:tcPr>
            <w:tcW w:w="5000" w:type="pct"/>
            <w:gridSpan w:val="4"/>
          </w:tcPr>
          <w:p w:rsidR="00843C56" w:rsidRPr="001C7519" w:rsidRDefault="00843C56" w:rsidP="00D65A7B">
            <w:pPr>
              <w:jc w:val="both"/>
              <w:rPr>
                <w:sz w:val="20"/>
                <w:lang w:val="fr-CA"/>
              </w:rPr>
            </w:pPr>
            <w:r w:rsidRPr="001C7519">
              <w:rPr>
                <w:sz w:val="20"/>
                <w:lang w:val="fr-CA"/>
              </w:rPr>
              <w:t>Entre 2001 et 2014, l’agent E a recueilli et transmis à la Gendarmerie royale du Canada de l’information sur les activités illégales de criminels et d’organisations criminelles. L’agent E croyait qu’il toucherait une rémunération financière. Il a intenté une action en dommages</w:t>
            </w:r>
            <w:r w:rsidRPr="001C7519">
              <w:rPr>
                <w:sz w:val="20"/>
                <w:lang w:val="fr-CA"/>
              </w:rPr>
              <w:noBreakHyphen/>
              <w:t xml:space="preserve">intérêts pour rupture de contrat et </w:t>
            </w:r>
            <w:r w:rsidRPr="001C7519">
              <w:rPr>
                <w:i/>
                <w:iCs/>
                <w:sz w:val="20"/>
                <w:lang w:val="fr-CA"/>
              </w:rPr>
              <w:t>quantum meruit</w:t>
            </w:r>
            <w:r w:rsidRPr="001C7519">
              <w:rPr>
                <w:sz w:val="20"/>
                <w:lang w:val="fr-CA"/>
              </w:rPr>
              <w:t xml:space="preserve"> fondé sur l’enrichissement injustifié. Le juge de première instance a rejeté l’action, et la Cour d’appel a rejeté un appel. </w:t>
            </w:r>
          </w:p>
          <w:p w:rsidR="00843C56" w:rsidRPr="001C7519" w:rsidRDefault="00843C56" w:rsidP="00D65A7B">
            <w:pPr>
              <w:jc w:val="both"/>
              <w:rPr>
                <w:sz w:val="20"/>
                <w:lang w:val="fr-CA"/>
              </w:rPr>
            </w:pPr>
          </w:p>
        </w:tc>
      </w:tr>
      <w:tr w:rsidR="00843C56" w:rsidRPr="001C7519" w:rsidTr="00E95A6A">
        <w:tc>
          <w:tcPr>
            <w:tcW w:w="2427" w:type="pct"/>
            <w:gridSpan w:val="2"/>
          </w:tcPr>
          <w:p w:rsidR="00843C56" w:rsidRPr="001C7519" w:rsidRDefault="00843C56" w:rsidP="00D65A7B">
            <w:pPr>
              <w:jc w:val="both"/>
              <w:rPr>
                <w:sz w:val="20"/>
                <w:lang w:val="fr-CA"/>
              </w:rPr>
            </w:pPr>
            <w:r w:rsidRPr="001C7519">
              <w:rPr>
                <w:sz w:val="20"/>
                <w:lang w:val="fr-CA"/>
              </w:rPr>
              <w:t>29 mai 2018</w:t>
            </w:r>
          </w:p>
          <w:p w:rsidR="00843C56" w:rsidRPr="001C7519" w:rsidRDefault="00843C56" w:rsidP="00D65A7B">
            <w:pPr>
              <w:jc w:val="both"/>
              <w:rPr>
                <w:sz w:val="20"/>
                <w:lang w:val="fr-CA"/>
              </w:rPr>
            </w:pPr>
            <w:r w:rsidRPr="001C7519">
              <w:rPr>
                <w:sz w:val="20"/>
                <w:lang w:val="fr-CA"/>
              </w:rPr>
              <w:t>Cour suprême de la Colombie</w:t>
            </w:r>
            <w:r w:rsidRPr="001C7519">
              <w:rPr>
                <w:sz w:val="20"/>
                <w:lang w:val="fr-CA"/>
              </w:rPr>
              <w:noBreakHyphen/>
              <w:t>Britannique</w:t>
            </w:r>
          </w:p>
          <w:p w:rsidR="00843C56" w:rsidRPr="001C7519" w:rsidRDefault="00843C56" w:rsidP="00D65A7B">
            <w:pPr>
              <w:jc w:val="both"/>
              <w:rPr>
                <w:sz w:val="20"/>
              </w:rPr>
            </w:pPr>
            <w:r w:rsidRPr="001C7519">
              <w:rPr>
                <w:sz w:val="20"/>
              </w:rPr>
              <w:t>(Juge Weatherill)</w:t>
            </w:r>
          </w:p>
          <w:p w:rsidR="00843C56" w:rsidRPr="001C7519" w:rsidRDefault="00843C56" w:rsidP="00D65A7B">
            <w:pPr>
              <w:jc w:val="both"/>
              <w:rPr>
                <w:sz w:val="20"/>
              </w:rPr>
            </w:pPr>
            <w:r w:rsidRPr="001C7519">
              <w:rPr>
                <w:sz w:val="20"/>
                <w:lang w:val="en"/>
              </w:rPr>
              <w:t>2018 BCSC 870</w:t>
            </w:r>
            <w:r w:rsidRPr="001C7519">
              <w:rPr>
                <w:sz w:val="20"/>
              </w:rPr>
              <w:t xml:space="preserve"> (non publiée)</w:t>
            </w:r>
          </w:p>
          <w:p w:rsidR="00843C56" w:rsidRPr="001C7519" w:rsidRDefault="00843C56" w:rsidP="00D65A7B">
            <w:pPr>
              <w:jc w:val="both"/>
              <w:rPr>
                <w:sz w:val="20"/>
              </w:rPr>
            </w:pPr>
          </w:p>
        </w:tc>
        <w:tc>
          <w:tcPr>
            <w:tcW w:w="243" w:type="pct"/>
          </w:tcPr>
          <w:p w:rsidR="00843C56" w:rsidRPr="001C7519" w:rsidRDefault="00843C56" w:rsidP="00D65A7B">
            <w:pPr>
              <w:jc w:val="both"/>
              <w:rPr>
                <w:sz w:val="20"/>
              </w:rPr>
            </w:pPr>
          </w:p>
        </w:tc>
        <w:tc>
          <w:tcPr>
            <w:tcW w:w="2330" w:type="pct"/>
          </w:tcPr>
          <w:p w:rsidR="00843C56" w:rsidRPr="001C7519" w:rsidRDefault="00843C56" w:rsidP="00D65A7B">
            <w:pPr>
              <w:jc w:val="both"/>
              <w:rPr>
                <w:sz w:val="20"/>
              </w:rPr>
            </w:pPr>
            <w:r w:rsidRPr="001C7519">
              <w:rPr>
                <w:sz w:val="20"/>
              </w:rPr>
              <w:t>Rejet de l’action</w:t>
            </w:r>
          </w:p>
          <w:p w:rsidR="00843C56" w:rsidRPr="001C7519" w:rsidRDefault="00843C56" w:rsidP="00D65A7B">
            <w:pPr>
              <w:jc w:val="both"/>
              <w:rPr>
                <w:sz w:val="20"/>
              </w:rPr>
            </w:pPr>
          </w:p>
        </w:tc>
      </w:tr>
      <w:tr w:rsidR="00843C56" w:rsidRPr="001C7519" w:rsidTr="00E95A6A">
        <w:tc>
          <w:tcPr>
            <w:tcW w:w="2427" w:type="pct"/>
            <w:gridSpan w:val="2"/>
          </w:tcPr>
          <w:p w:rsidR="00843C56" w:rsidRPr="001C7519" w:rsidRDefault="00843C56" w:rsidP="00D65A7B">
            <w:pPr>
              <w:jc w:val="both"/>
              <w:rPr>
                <w:sz w:val="20"/>
                <w:lang w:val="fr-CA"/>
              </w:rPr>
            </w:pPr>
            <w:r w:rsidRPr="001C7519">
              <w:rPr>
                <w:sz w:val="20"/>
                <w:lang w:val="fr-CA"/>
              </w:rPr>
              <w:t>9 mars 2021</w:t>
            </w:r>
          </w:p>
          <w:p w:rsidR="00843C56" w:rsidRPr="001C7519" w:rsidRDefault="00843C56" w:rsidP="00D65A7B">
            <w:pPr>
              <w:jc w:val="both"/>
              <w:rPr>
                <w:sz w:val="20"/>
                <w:lang w:val="fr-CA"/>
              </w:rPr>
            </w:pPr>
            <w:r w:rsidRPr="001C7519">
              <w:rPr>
                <w:sz w:val="20"/>
                <w:lang w:val="fr-CA"/>
              </w:rPr>
              <w:t>Cour d’appel de la Colombie</w:t>
            </w:r>
            <w:r w:rsidRPr="001C7519">
              <w:rPr>
                <w:sz w:val="20"/>
                <w:lang w:val="fr-CA"/>
              </w:rPr>
              <w:noBreakHyphen/>
              <w:t>Britannique (Vancouver)</w:t>
            </w:r>
          </w:p>
          <w:p w:rsidR="00843C56" w:rsidRPr="001C7519" w:rsidRDefault="00843C56" w:rsidP="00D65A7B">
            <w:pPr>
              <w:jc w:val="both"/>
              <w:rPr>
                <w:sz w:val="20"/>
              </w:rPr>
            </w:pPr>
            <w:r w:rsidRPr="001C7519">
              <w:rPr>
                <w:sz w:val="20"/>
              </w:rPr>
              <w:t xml:space="preserve">(Juges Willcock, Griffin et Butler) </w:t>
            </w:r>
          </w:p>
          <w:p w:rsidR="00843C56" w:rsidRPr="001C7519" w:rsidRDefault="00E75919" w:rsidP="00D65A7B">
            <w:pPr>
              <w:jc w:val="both"/>
              <w:rPr>
                <w:sz w:val="20"/>
                <w:lang w:val="en"/>
              </w:rPr>
            </w:pPr>
            <w:hyperlink r:id="rId74" w:history="1">
              <w:r w:rsidR="00843C56" w:rsidRPr="001C7519">
                <w:rPr>
                  <w:rStyle w:val="Hyperlink"/>
                  <w:sz w:val="20"/>
                </w:rPr>
                <w:t>2021 BCCA 102</w:t>
              </w:r>
            </w:hyperlink>
            <w:r w:rsidR="00843C56" w:rsidRPr="001C7519">
              <w:rPr>
                <w:sz w:val="20"/>
              </w:rPr>
              <w:t xml:space="preserve">; </w:t>
            </w:r>
            <w:r w:rsidR="00843C56" w:rsidRPr="001C7519">
              <w:rPr>
                <w:sz w:val="20"/>
                <w:lang w:val="en"/>
              </w:rPr>
              <w:t xml:space="preserve">CA45379 </w:t>
            </w:r>
          </w:p>
          <w:p w:rsidR="00843C56" w:rsidRPr="001C7519" w:rsidRDefault="00843C56" w:rsidP="00D65A7B">
            <w:pPr>
              <w:jc w:val="both"/>
              <w:rPr>
                <w:sz w:val="20"/>
              </w:rPr>
            </w:pPr>
          </w:p>
        </w:tc>
        <w:tc>
          <w:tcPr>
            <w:tcW w:w="243" w:type="pct"/>
          </w:tcPr>
          <w:p w:rsidR="00843C56" w:rsidRPr="001C7519" w:rsidRDefault="00843C56" w:rsidP="00D65A7B">
            <w:pPr>
              <w:jc w:val="both"/>
              <w:rPr>
                <w:sz w:val="20"/>
              </w:rPr>
            </w:pPr>
          </w:p>
        </w:tc>
        <w:tc>
          <w:tcPr>
            <w:tcW w:w="2330" w:type="pct"/>
          </w:tcPr>
          <w:p w:rsidR="00843C56" w:rsidRPr="001C7519" w:rsidRDefault="00843C56" w:rsidP="00D65A7B">
            <w:pPr>
              <w:jc w:val="both"/>
              <w:rPr>
                <w:sz w:val="20"/>
              </w:rPr>
            </w:pPr>
            <w:r w:rsidRPr="001C7519">
              <w:rPr>
                <w:sz w:val="20"/>
              </w:rPr>
              <w:t xml:space="preserve">Rejet d’un appel </w:t>
            </w:r>
          </w:p>
          <w:p w:rsidR="00843C56" w:rsidRPr="001C7519" w:rsidRDefault="00843C56" w:rsidP="00D65A7B">
            <w:pPr>
              <w:jc w:val="both"/>
              <w:rPr>
                <w:sz w:val="20"/>
              </w:rPr>
            </w:pPr>
          </w:p>
        </w:tc>
      </w:tr>
      <w:tr w:rsidR="00843C56" w:rsidRPr="00E75919" w:rsidTr="00E95A6A">
        <w:tc>
          <w:tcPr>
            <w:tcW w:w="2427" w:type="pct"/>
            <w:gridSpan w:val="2"/>
          </w:tcPr>
          <w:p w:rsidR="00843C56" w:rsidRPr="001C7519" w:rsidRDefault="00843C56" w:rsidP="00D65A7B">
            <w:pPr>
              <w:jc w:val="both"/>
              <w:rPr>
                <w:sz w:val="20"/>
                <w:lang w:val="fr-CA"/>
              </w:rPr>
            </w:pPr>
            <w:r w:rsidRPr="001C7519">
              <w:rPr>
                <w:sz w:val="20"/>
                <w:lang w:val="fr-CA"/>
              </w:rPr>
              <w:t>11 mai 2021</w:t>
            </w:r>
          </w:p>
          <w:p w:rsidR="00843C56" w:rsidRPr="001C7519" w:rsidRDefault="00843C56" w:rsidP="00D65A7B">
            <w:pPr>
              <w:jc w:val="both"/>
              <w:rPr>
                <w:sz w:val="20"/>
                <w:lang w:val="fr-CA"/>
              </w:rPr>
            </w:pPr>
            <w:r w:rsidRPr="001C7519">
              <w:rPr>
                <w:sz w:val="20"/>
                <w:lang w:val="fr-CA"/>
              </w:rPr>
              <w:t>Cour suprême du Canada</w:t>
            </w:r>
          </w:p>
        </w:tc>
        <w:tc>
          <w:tcPr>
            <w:tcW w:w="243" w:type="pct"/>
          </w:tcPr>
          <w:p w:rsidR="00843C56" w:rsidRPr="001C7519" w:rsidRDefault="00843C56" w:rsidP="00D65A7B">
            <w:pPr>
              <w:jc w:val="both"/>
              <w:rPr>
                <w:sz w:val="20"/>
                <w:lang w:val="fr-CA"/>
              </w:rPr>
            </w:pPr>
          </w:p>
        </w:tc>
        <w:tc>
          <w:tcPr>
            <w:tcW w:w="2330" w:type="pct"/>
          </w:tcPr>
          <w:p w:rsidR="00843C56" w:rsidRPr="001C7519" w:rsidRDefault="00843C56" w:rsidP="00D65A7B">
            <w:pPr>
              <w:jc w:val="both"/>
              <w:rPr>
                <w:sz w:val="20"/>
                <w:lang w:val="fr-CA"/>
              </w:rPr>
            </w:pPr>
            <w:r w:rsidRPr="001C7519">
              <w:rPr>
                <w:sz w:val="20"/>
                <w:lang w:val="fr-CA"/>
              </w:rPr>
              <w:t xml:space="preserve">Dépôt de la requête en prorogation du délai pour déposer la demande d’autorisation d’appel ainsi que de la demande d’autorisation d’appel </w:t>
            </w:r>
          </w:p>
        </w:tc>
      </w:tr>
    </w:tbl>
    <w:p w:rsidR="00843C56" w:rsidRPr="001C7519" w:rsidRDefault="00843C56" w:rsidP="00D65A7B">
      <w:pPr>
        <w:jc w:val="both"/>
        <w:rPr>
          <w:sz w:val="20"/>
          <w:lang w:val="fr-CA"/>
        </w:rPr>
      </w:pPr>
    </w:p>
    <w:p w:rsidR="00843C56" w:rsidRPr="001C7519" w:rsidRDefault="00E75919" w:rsidP="00D65A7B">
      <w:pPr>
        <w:widowControl w:val="0"/>
        <w:tabs>
          <w:tab w:val="left" w:pos="3840"/>
        </w:tabs>
        <w:jc w:val="both"/>
        <w:rPr>
          <w:sz w:val="20"/>
          <w:lang w:val="fr-CA"/>
        </w:rPr>
      </w:pPr>
      <w:r>
        <w:rPr>
          <w:sz w:val="20"/>
        </w:rPr>
        <w:pict>
          <v:rect id="_x0000_i1055" style="width:2in;height:1pt" o:hrpct="0" o:hralign="center" o:hrstd="t" o:hrnoshade="t" o:hr="t" fillcolor="black [3213]" stroked="f"/>
        </w:pict>
      </w:r>
    </w:p>
    <w:p w:rsidR="00843C56" w:rsidRPr="001C7519" w:rsidRDefault="00843C56" w:rsidP="00D65A7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A7B" w:rsidRPr="001C7519" w:rsidTr="00E95A6A">
        <w:tc>
          <w:tcPr>
            <w:tcW w:w="543" w:type="pct"/>
          </w:tcPr>
          <w:p w:rsidR="00D65A7B" w:rsidRPr="001C7519" w:rsidRDefault="00D65A7B" w:rsidP="00D65A7B">
            <w:pPr>
              <w:jc w:val="both"/>
              <w:rPr>
                <w:sz w:val="20"/>
                <w:lang w:val="en-CA"/>
              </w:rPr>
            </w:pPr>
            <w:r w:rsidRPr="001C7519">
              <w:rPr>
                <w:rStyle w:val="SCCFileNumberChar"/>
                <w:sz w:val="20"/>
                <w:szCs w:val="20"/>
              </w:rPr>
              <w:t>39686</w:t>
            </w:r>
          </w:p>
        </w:tc>
        <w:tc>
          <w:tcPr>
            <w:tcW w:w="4457" w:type="pct"/>
            <w:gridSpan w:val="3"/>
          </w:tcPr>
          <w:p w:rsidR="00D65A7B" w:rsidRPr="001C7519" w:rsidRDefault="00D65A7B" w:rsidP="00D65A7B">
            <w:pPr>
              <w:pStyle w:val="SCCLsocParty"/>
              <w:jc w:val="both"/>
              <w:rPr>
                <w:b/>
                <w:sz w:val="20"/>
                <w:szCs w:val="20"/>
                <w:lang w:val="en-CA"/>
              </w:rPr>
            </w:pPr>
            <w:r w:rsidRPr="001C7519">
              <w:rPr>
                <w:b/>
                <w:sz w:val="20"/>
                <w:szCs w:val="20"/>
                <w:lang w:val="en-CA"/>
              </w:rPr>
              <w:t>S...P... v. Her Majesty the Queen</w:t>
            </w:r>
          </w:p>
          <w:p w:rsidR="00D65A7B" w:rsidRPr="001C7519" w:rsidRDefault="00D65A7B" w:rsidP="00D65A7B">
            <w:pPr>
              <w:jc w:val="both"/>
              <w:rPr>
                <w:sz w:val="20"/>
                <w:lang w:val="en-CA"/>
              </w:rPr>
            </w:pPr>
            <w:r w:rsidRPr="001C7519">
              <w:rPr>
                <w:sz w:val="20"/>
                <w:lang w:val="en-CA"/>
              </w:rPr>
              <w:t>(Que.) (Criminal) (By Leave)</w:t>
            </w:r>
          </w:p>
        </w:tc>
      </w:tr>
      <w:tr w:rsidR="00D65A7B" w:rsidRPr="001C7519" w:rsidTr="00E95A6A">
        <w:tc>
          <w:tcPr>
            <w:tcW w:w="5000" w:type="pct"/>
            <w:gridSpan w:val="4"/>
          </w:tcPr>
          <w:p w:rsidR="00D65A7B" w:rsidRPr="001C7519" w:rsidRDefault="00D65A7B" w:rsidP="00D65A7B">
            <w:pPr>
              <w:jc w:val="both"/>
              <w:rPr>
                <w:sz w:val="20"/>
                <w:lang w:val="en-CA"/>
              </w:rPr>
            </w:pPr>
            <w:r w:rsidRPr="001C7519">
              <w:rPr>
                <w:sz w:val="20"/>
                <w:lang w:val="en-CA"/>
              </w:rPr>
              <w:t>(</w:t>
            </w:r>
            <w:r w:rsidRPr="001C7519">
              <w:rPr>
                <w:smallCaps/>
                <w:sz w:val="20"/>
                <w:lang w:val="en-CA"/>
              </w:rPr>
              <w:t>Publication Ban</w:t>
            </w:r>
            <w:r w:rsidRPr="001C7519">
              <w:rPr>
                <w:sz w:val="20"/>
                <w:lang w:val="en-CA"/>
              </w:rPr>
              <w:t>)</w:t>
            </w:r>
          </w:p>
          <w:p w:rsidR="00D65A7B" w:rsidRPr="001C7519" w:rsidRDefault="00D65A7B" w:rsidP="00D65A7B">
            <w:pPr>
              <w:jc w:val="both"/>
              <w:rPr>
                <w:sz w:val="20"/>
                <w:lang w:val="en-CA"/>
              </w:rPr>
            </w:pPr>
          </w:p>
          <w:p w:rsidR="00D65A7B" w:rsidRPr="001C7519" w:rsidRDefault="00D65A7B" w:rsidP="00D65A7B">
            <w:pPr>
              <w:jc w:val="both"/>
              <w:rPr>
                <w:sz w:val="20"/>
                <w:lang w:val="en-CA"/>
              </w:rPr>
            </w:pPr>
            <w:proofErr w:type="gramStart"/>
            <w:r w:rsidRPr="001C7519">
              <w:rPr>
                <w:sz w:val="20"/>
                <w:lang w:val="en-CA"/>
              </w:rPr>
              <w:t>Criminal law — Reasonable verdict — Sex crimes — Whether complainant’s judicial or out</w:t>
            </w:r>
            <w:r w:rsidRPr="001C7519">
              <w:rPr>
                <w:sz w:val="20"/>
                <w:lang w:val="en-CA"/>
              </w:rPr>
              <w:noBreakHyphen/>
              <w:t>of</w:t>
            </w:r>
            <w:r w:rsidRPr="001C7519">
              <w:rPr>
                <w:sz w:val="20"/>
                <w:lang w:val="en-CA"/>
              </w:rPr>
              <w:noBreakHyphen/>
              <w:t>court admission exonerating defendant, result of comparative testing of DNA samples that is inconclusive as to defendant’s identity, and [</w:t>
            </w:r>
            <w:r w:rsidRPr="001C7519">
              <w:rPr>
                <w:smallCaps/>
                <w:sz w:val="20"/>
                <w:lang w:val="en-CA"/>
              </w:rPr>
              <w:t>translation</w:t>
            </w:r>
            <w:r w:rsidRPr="001C7519">
              <w:rPr>
                <w:rFonts w:asciiTheme="minorBidi" w:hAnsiTheme="minorBidi"/>
                <w:sz w:val="20"/>
                <w:lang w:val="en-CA"/>
              </w:rPr>
              <w:t xml:space="preserve">] </w:t>
            </w:r>
            <w:r w:rsidRPr="001C7519">
              <w:rPr>
                <w:sz w:val="20"/>
                <w:lang w:val="en-CA"/>
              </w:rPr>
              <w:t xml:space="preserve">“scientifically possible” hypothesis that lends plausibility to explanation given by defendant at trial constitute hypotheses — “plausible theories” or “reasonable possibilities” — that must be considered hypothetico-deductively — Whether standard from </w:t>
            </w:r>
            <w:r w:rsidRPr="001C7519">
              <w:rPr>
                <w:i/>
                <w:color w:val="000000"/>
                <w:sz w:val="20"/>
                <w:lang w:val="en-CA"/>
              </w:rPr>
              <w:t>R. v</w:t>
            </w:r>
            <w:r w:rsidRPr="001C7519">
              <w:rPr>
                <w:i/>
                <w:iCs/>
                <w:color w:val="000000"/>
                <w:sz w:val="20"/>
                <w:lang w:val="en-CA"/>
              </w:rPr>
              <w:t>.</w:t>
            </w:r>
            <w:r w:rsidRPr="001C7519">
              <w:rPr>
                <w:i/>
                <w:color w:val="000000"/>
                <w:sz w:val="20"/>
                <w:lang w:val="en-CA"/>
              </w:rPr>
              <w:t xml:space="preserve"> Villaroman</w:t>
            </w:r>
            <w:r w:rsidRPr="001C7519">
              <w:rPr>
                <w:color w:val="000000"/>
                <w:sz w:val="20"/>
                <w:lang w:val="en-CA"/>
              </w:rPr>
              <w:t>, 2016 SCC 33, [2016] 1 S.C.R. 1000</w:t>
            </w:r>
            <w:r w:rsidRPr="001C7519">
              <w:rPr>
                <w:sz w:val="20"/>
                <w:lang w:val="en-CA"/>
              </w:rPr>
              <w:t xml:space="preserve">, requires criminal court judge or jury to carry out hypothetico-deductive review before determining probative value of indirect evidence where direct evidence in record incriminates defendant or where indirect evidence does not go to establishing defendant’s identity — </w:t>
            </w:r>
            <w:r w:rsidRPr="001C7519">
              <w:rPr>
                <w:i/>
                <w:sz w:val="20"/>
                <w:lang w:val="en-CA"/>
              </w:rPr>
              <w:t>Criminal Code</w:t>
            </w:r>
            <w:r w:rsidRPr="001C7519">
              <w:rPr>
                <w:sz w:val="20"/>
                <w:lang w:val="en-CA"/>
              </w:rPr>
              <w:t>, R.S.C. 1985, c. C</w:t>
            </w:r>
            <w:r w:rsidRPr="001C7519">
              <w:rPr>
                <w:sz w:val="20"/>
                <w:lang w:val="en-CA"/>
              </w:rPr>
              <w:noBreakHyphen/>
              <w:t>46, ss. 151(</w:t>
            </w:r>
            <w:r w:rsidRPr="001C7519">
              <w:rPr>
                <w:iCs/>
                <w:sz w:val="20"/>
                <w:lang w:val="en-CA"/>
              </w:rPr>
              <w:t>a</w:t>
            </w:r>
            <w:r w:rsidRPr="001C7519">
              <w:rPr>
                <w:sz w:val="20"/>
                <w:lang w:val="en-CA"/>
              </w:rPr>
              <w:t>), 152(</w:t>
            </w:r>
            <w:r w:rsidRPr="001C7519">
              <w:rPr>
                <w:iCs/>
                <w:sz w:val="20"/>
                <w:lang w:val="en-CA"/>
              </w:rPr>
              <w:t>a</w:t>
            </w:r>
            <w:r w:rsidRPr="001C7519">
              <w:rPr>
                <w:sz w:val="20"/>
                <w:lang w:val="en-CA"/>
              </w:rPr>
              <w:t>), 155(2), 271(</w:t>
            </w:r>
            <w:r w:rsidRPr="001C7519">
              <w:rPr>
                <w:iCs/>
                <w:sz w:val="20"/>
                <w:lang w:val="en-CA"/>
              </w:rPr>
              <w:t>a</w:t>
            </w:r>
            <w:r w:rsidRPr="001C7519">
              <w:rPr>
                <w:sz w:val="20"/>
                <w:lang w:val="en-CA"/>
              </w:rPr>
              <w:t>), 271(1)(</w:t>
            </w:r>
            <w:r w:rsidRPr="001C7519">
              <w:rPr>
                <w:iCs/>
                <w:sz w:val="20"/>
                <w:lang w:val="en-CA"/>
              </w:rPr>
              <w:t>a</w:t>
            </w:r>
            <w:r w:rsidRPr="001C7519">
              <w:rPr>
                <w:sz w:val="20"/>
                <w:lang w:val="en-CA"/>
              </w:rPr>
              <w:t>).</w:t>
            </w:r>
            <w:proofErr w:type="gramEnd"/>
          </w:p>
        </w:tc>
      </w:tr>
      <w:tr w:rsidR="00D65A7B" w:rsidRPr="001C7519" w:rsidTr="00E95A6A">
        <w:tc>
          <w:tcPr>
            <w:tcW w:w="5000" w:type="pct"/>
            <w:gridSpan w:val="4"/>
          </w:tcPr>
          <w:p w:rsidR="00D65A7B" w:rsidRPr="001C7519" w:rsidRDefault="00D65A7B" w:rsidP="00D65A7B">
            <w:pPr>
              <w:jc w:val="both"/>
              <w:rPr>
                <w:sz w:val="20"/>
                <w:lang w:val="en-CA"/>
              </w:rPr>
            </w:pPr>
          </w:p>
        </w:tc>
      </w:tr>
      <w:tr w:rsidR="00D65A7B" w:rsidRPr="001C7519" w:rsidTr="00E95A6A">
        <w:tc>
          <w:tcPr>
            <w:tcW w:w="5000" w:type="pct"/>
            <w:gridSpan w:val="4"/>
          </w:tcPr>
          <w:p w:rsidR="00D65A7B" w:rsidRPr="001C7519" w:rsidRDefault="00D65A7B" w:rsidP="00D65A7B">
            <w:pPr>
              <w:jc w:val="both"/>
              <w:rPr>
                <w:sz w:val="20"/>
                <w:lang w:val="en-CA"/>
              </w:rPr>
            </w:pPr>
            <w:r w:rsidRPr="001C7519">
              <w:rPr>
                <w:sz w:val="20"/>
                <w:lang w:val="en-CA"/>
              </w:rPr>
              <w:t>The applicant is the complainant’s father. The complainant stated that the applicant had touched and assaulted her sexually on several occasions from 2009, when she was 13 years old, until 2015, when she was 19 years old. Five charges were laid against the applicant under ss. 151(</w:t>
            </w:r>
            <w:r w:rsidRPr="001C7519">
              <w:rPr>
                <w:iCs/>
                <w:sz w:val="20"/>
                <w:lang w:val="en-CA"/>
              </w:rPr>
              <w:t>a</w:t>
            </w:r>
            <w:r w:rsidRPr="001C7519">
              <w:rPr>
                <w:sz w:val="20"/>
                <w:lang w:val="en-CA"/>
              </w:rPr>
              <w:t>), 152(</w:t>
            </w:r>
            <w:r w:rsidRPr="001C7519">
              <w:rPr>
                <w:iCs/>
                <w:sz w:val="20"/>
                <w:lang w:val="en-CA"/>
              </w:rPr>
              <w:t>a</w:t>
            </w:r>
            <w:r w:rsidRPr="001C7519">
              <w:rPr>
                <w:sz w:val="20"/>
                <w:lang w:val="en-CA"/>
              </w:rPr>
              <w:t>), 155(2), 271(</w:t>
            </w:r>
            <w:r w:rsidRPr="001C7519">
              <w:rPr>
                <w:iCs/>
                <w:sz w:val="20"/>
                <w:lang w:val="en-CA"/>
              </w:rPr>
              <w:t>a</w:t>
            </w:r>
            <w:r w:rsidRPr="001C7519">
              <w:rPr>
                <w:sz w:val="20"/>
                <w:lang w:val="en-CA"/>
              </w:rPr>
              <w:t>) and 271(1</w:t>
            </w:r>
            <w:proofErr w:type="gramStart"/>
            <w:r w:rsidRPr="001C7519">
              <w:rPr>
                <w:sz w:val="20"/>
                <w:lang w:val="en-CA"/>
              </w:rPr>
              <w:t>)(</w:t>
            </w:r>
            <w:proofErr w:type="gramEnd"/>
            <w:r w:rsidRPr="001C7519">
              <w:rPr>
                <w:iCs/>
                <w:sz w:val="20"/>
                <w:lang w:val="en-CA"/>
              </w:rPr>
              <w:t>a</w:t>
            </w:r>
            <w:r w:rsidRPr="001C7519">
              <w:rPr>
                <w:sz w:val="20"/>
                <w:lang w:val="en-CA"/>
              </w:rPr>
              <w:t xml:space="preserve">) </w:t>
            </w:r>
            <w:r w:rsidRPr="001C7519">
              <w:rPr>
                <w:i/>
                <w:iCs/>
                <w:sz w:val="20"/>
                <w:lang w:val="en-CA"/>
              </w:rPr>
              <w:t>Cr. C</w:t>
            </w:r>
            <w:r w:rsidRPr="001C7519">
              <w:rPr>
                <w:iCs/>
                <w:sz w:val="20"/>
                <w:lang w:val="en-CA"/>
              </w:rPr>
              <w:t>.</w:t>
            </w:r>
            <w:r w:rsidRPr="001C7519">
              <w:rPr>
                <w:i/>
                <w:iCs/>
                <w:sz w:val="20"/>
                <w:lang w:val="en-CA"/>
              </w:rPr>
              <w:t xml:space="preserve"> </w:t>
            </w:r>
            <w:r w:rsidRPr="001C7519">
              <w:rPr>
                <w:iCs/>
                <w:sz w:val="20"/>
                <w:lang w:val="en-CA"/>
              </w:rPr>
              <w:t>The Court of Québec convicted him of all the charges. The applicant appealed as of right against the convictions. The Quebec Court of Appeal dismissed the appeal.</w:t>
            </w:r>
          </w:p>
          <w:p w:rsidR="00D65A7B" w:rsidRPr="001C7519" w:rsidRDefault="00D65A7B" w:rsidP="00D65A7B">
            <w:pPr>
              <w:jc w:val="both"/>
              <w:rPr>
                <w:sz w:val="20"/>
                <w:lang w:val="en-CA"/>
              </w:rPr>
            </w:pPr>
          </w:p>
        </w:tc>
      </w:tr>
      <w:tr w:rsidR="00D65A7B" w:rsidRPr="001C7519" w:rsidTr="00E95A6A">
        <w:tc>
          <w:tcPr>
            <w:tcW w:w="2427" w:type="pct"/>
            <w:gridSpan w:val="2"/>
          </w:tcPr>
          <w:p w:rsidR="00D65A7B" w:rsidRPr="001C7519" w:rsidRDefault="00D65A7B" w:rsidP="00D65A7B">
            <w:pPr>
              <w:jc w:val="both"/>
              <w:rPr>
                <w:sz w:val="20"/>
                <w:lang w:val="en-CA"/>
              </w:rPr>
            </w:pPr>
            <w:r w:rsidRPr="001C7519">
              <w:rPr>
                <w:sz w:val="20"/>
                <w:lang w:val="en-CA"/>
              </w:rPr>
              <w:t>April 17, 2018</w:t>
            </w:r>
          </w:p>
          <w:p w:rsidR="00D65A7B" w:rsidRPr="001C7519" w:rsidRDefault="00D65A7B" w:rsidP="00D65A7B">
            <w:pPr>
              <w:jc w:val="both"/>
              <w:rPr>
                <w:sz w:val="20"/>
                <w:lang w:val="en-CA"/>
              </w:rPr>
            </w:pPr>
            <w:r w:rsidRPr="001C7519">
              <w:rPr>
                <w:sz w:val="20"/>
                <w:lang w:val="en-CA"/>
              </w:rPr>
              <w:t>Court of Québec</w:t>
            </w:r>
          </w:p>
          <w:p w:rsidR="00D65A7B" w:rsidRPr="001C7519" w:rsidRDefault="00D65A7B" w:rsidP="00D65A7B">
            <w:pPr>
              <w:jc w:val="both"/>
              <w:rPr>
                <w:sz w:val="20"/>
                <w:lang w:val="en-CA"/>
              </w:rPr>
            </w:pPr>
            <w:r w:rsidRPr="001C7519">
              <w:rPr>
                <w:sz w:val="20"/>
                <w:lang w:val="en-CA"/>
              </w:rPr>
              <w:t>(Judge Provost)</w:t>
            </w:r>
          </w:p>
          <w:p w:rsidR="00D65A7B" w:rsidRPr="001C7519" w:rsidRDefault="00D65A7B" w:rsidP="00D65A7B">
            <w:pPr>
              <w:jc w:val="both"/>
              <w:rPr>
                <w:sz w:val="20"/>
                <w:lang w:val="en-CA"/>
              </w:rPr>
            </w:pPr>
            <w:r w:rsidRPr="001C7519">
              <w:rPr>
                <w:sz w:val="20"/>
                <w:lang w:val="en-CA"/>
              </w:rPr>
              <w:t>File: 405</w:t>
            </w:r>
            <w:r w:rsidRPr="001C7519">
              <w:rPr>
                <w:sz w:val="20"/>
                <w:lang w:val="en-CA"/>
              </w:rPr>
              <w:noBreakHyphen/>
              <w:t>01</w:t>
            </w:r>
            <w:r w:rsidRPr="001C7519">
              <w:rPr>
                <w:sz w:val="20"/>
                <w:lang w:val="en-CA"/>
              </w:rPr>
              <w:noBreakHyphen/>
              <w:t>034545</w:t>
            </w:r>
            <w:r w:rsidRPr="001C7519">
              <w:rPr>
                <w:sz w:val="20"/>
                <w:lang w:val="en-CA"/>
              </w:rPr>
              <w:noBreakHyphen/>
              <w:t>151</w:t>
            </w:r>
          </w:p>
          <w:p w:rsidR="00D65A7B" w:rsidRPr="001C7519" w:rsidRDefault="00D65A7B" w:rsidP="00D65A7B">
            <w:pPr>
              <w:jc w:val="both"/>
              <w:rPr>
                <w:sz w:val="20"/>
                <w:lang w:val="en-CA"/>
              </w:rPr>
            </w:pPr>
          </w:p>
        </w:tc>
        <w:tc>
          <w:tcPr>
            <w:tcW w:w="243" w:type="pct"/>
          </w:tcPr>
          <w:p w:rsidR="00D65A7B" w:rsidRPr="001C7519" w:rsidRDefault="00D65A7B" w:rsidP="00D65A7B">
            <w:pPr>
              <w:jc w:val="both"/>
              <w:rPr>
                <w:sz w:val="20"/>
                <w:lang w:val="en-CA"/>
              </w:rPr>
            </w:pPr>
          </w:p>
        </w:tc>
        <w:tc>
          <w:tcPr>
            <w:tcW w:w="2330" w:type="pct"/>
          </w:tcPr>
          <w:p w:rsidR="00D65A7B" w:rsidRPr="001C7519" w:rsidRDefault="00D65A7B" w:rsidP="00D65A7B">
            <w:pPr>
              <w:jc w:val="both"/>
              <w:rPr>
                <w:sz w:val="20"/>
                <w:lang w:val="en-CA"/>
              </w:rPr>
            </w:pPr>
            <w:r w:rsidRPr="001C7519">
              <w:rPr>
                <w:sz w:val="20"/>
                <w:lang w:val="en-CA"/>
              </w:rPr>
              <w:t>S. P. convicted of five charges for sexual acts against complainant</w:t>
            </w:r>
          </w:p>
          <w:p w:rsidR="00D65A7B" w:rsidRPr="001C7519" w:rsidRDefault="00D65A7B" w:rsidP="00D65A7B">
            <w:pPr>
              <w:jc w:val="both"/>
              <w:rPr>
                <w:sz w:val="20"/>
                <w:lang w:val="en-CA"/>
              </w:rPr>
            </w:pPr>
          </w:p>
        </w:tc>
      </w:tr>
      <w:tr w:rsidR="00D65A7B" w:rsidRPr="001C7519" w:rsidTr="00E95A6A">
        <w:tc>
          <w:tcPr>
            <w:tcW w:w="2427" w:type="pct"/>
            <w:gridSpan w:val="2"/>
          </w:tcPr>
          <w:p w:rsidR="00D65A7B" w:rsidRPr="001C7519" w:rsidRDefault="00D65A7B" w:rsidP="00D65A7B">
            <w:pPr>
              <w:jc w:val="both"/>
              <w:rPr>
                <w:sz w:val="20"/>
                <w:lang w:val="en-CA"/>
              </w:rPr>
            </w:pPr>
            <w:r w:rsidRPr="001C7519">
              <w:rPr>
                <w:sz w:val="20"/>
                <w:lang w:val="en-CA"/>
              </w:rPr>
              <w:t>June 26, 2018</w:t>
            </w:r>
          </w:p>
          <w:p w:rsidR="00D65A7B" w:rsidRPr="001C7519" w:rsidRDefault="00D65A7B" w:rsidP="00D65A7B">
            <w:pPr>
              <w:jc w:val="both"/>
              <w:rPr>
                <w:sz w:val="20"/>
                <w:lang w:val="en-CA"/>
              </w:rPr>
            </w:pPr>
            <w:r w:rsidRPr="001C7519">
              <w:rPr>
                <w:sz w:val="20"/>
                <w:lang w:val="en-CA"/>
              </w:rPr>
              <w:t>Court of Québec</w:t>
            </w:r>
          </w:p>
          <w:p w:rsidR="00D65A7B" w:rsidRPr="001C7519" w:rsidRDefault="00D65A7B" w:rsidP="00D65A7B">
            <w:pPr>
              <w:jc w:val="both"/>
              <w:rPr>
                <w:sz w:val="20"/>
                <w:lang w:val="en-CA"/>
              </w:rPr>
            </w:pPr>
            <w:r w:rsidRPr="001C7519">
              <w:rPr>
                <w:sz w:val="20"/>
                <w:lang w:val="en-CA"/>
              </w:rPr>
              <w:t>(Judge Provost)</w:t>
            </w:r>
          </w:p>
          <w:p w:rsidR="00D65A7B" w:rsidRPr="001C7519" w:rsidRDefault="00D65A7B" w:rsidP="00D65A7B">
            <w:pPr>
              <w:jc w:val="both"/>
              <w:rPr>
                <w:sz w:val="20"/>
                <w:lang w:val="en-CA"/>
              </w:rPr>
            </w:pPr>
            <w:r w:rsidRPr="001C7519">
              <w:rPr>
                <w:sz w:val="20"/>
                <w:lang w:val="en-CA"/>
              </w:rPr>
              <w:t>File: 405</w:t>
            </w:r>
            <w:r w:rsidRPr="001C7519">
              <w:rPr>
                <w:sz w:val="20"/>
                <w:lang w:val="en-CA"/>
              </w:rPr>
              <w:noBreakHyphen/>
              <w:t>01</w:t>
            </w:r>
            <w:r w:rsidRPr="001C7519">
              <w:rPr>
                <w:sz w:val="20"/>
                <w:lang w:val="en-CA"/>
              </w:rPr>
              <w:noBreakHyphen/>
              <w:t>034545</w:t>
            </w:r>
            <w:r w:rsidRPr="001C7519">
              <w:rPr>
                <w:sz w:val="20"/>
                <w:lang w:val="en-CA"/>
              </w:rPr>
              <w:noBreakHyphen/>
              <w:t>151</w:t>
            </w:r>
          </w:p>
          <w:p w:rsidR="00D65A7B" w:rsidRPr="001C7519" w:rsidRDefault="00D65A7B" w:rsidP="00D65A7B">
            <w:pPr>
              <w:jc w:val="both"/>
              <w:rPr>
                <w:sz w:val="20"/>
                <w:lang w:val="en-CA"/>
              </w:rPr>
            </w:pPr>
          </w:p>
        </w:tc>
        <w:tc>
          <w:tcPr>
            <w:tcW w:w="243" w:type="pct"/>
          </w:tcPr>
          <w:p w:rsidR="00D65A7B" w:rsidRPr="001C7519" w:rsidRDefault="00D65A7B" w:rsidP="00D65A7B">
            <w:pPr>
              <w:jc w:val="both"/>
              <w:rPr>
                <w:sz w:val="20"/>
                <w:lang w:val="en-CA"/>
              </w:rPr>
            </w:pPr>
          </w:p>
        </w:tc>
        <w:tc>
          <w:tcPr>
            <w:tcW w:w="2330" w:type="pct"/>
          </w:tcPr>
          <w:p w:rsidR="00D65A7B" w:rsidRPr="001C7519" w:rsidRDefault="00D65A7B" w:rsidP="00D65A7B">
            <w:pPr>
              <w:jc w:val="both"/>
              <w:rPr>
                <w:sz w:val="20"/>
                <w:lang w:val="en-CA"/>
              </w:rPr>
            </w:pPr>
            <w:r w:rsidRPr="001C7519">
              <w:rPr>
                <w:sz w:val="20"/>
                <w:lang w:val="en-CA"/>
              </w:rPr>
              <w:t>S. P. sentenced to imprisonment for 7 years and 260 days</w:t>
            </w:r>
          </w:p>
        </w:tc>
      </w:tr>
      <w:tr w:rsidR="00D65A7B" w:rsidRPr="001C7519" w:rsidTr="00E95A6A">
        <w:tc>
          <w:tcPr>
            <w:tcW w:w="2427" w:type="pct"/>
            <w:gridSpan w:val="2"/>
          </w:tcPr>
          <w:p w:rsidR="00D65A7B" w:rsidRPr="001C7519" w:rsidRDefault="00D65A7B" w:rsidP="00D65A7B">
            <w:pPr>
              <w:jc w:val="both"/>
              <w:rPr>
                <w:sz w:val="20"/>
                <w:lang w:val="en-CA"/>
              </w:rPr>
            </w:pPr>
            <w:r w:rsidRPr="001C7519">
              <w:rPr>
                <w:sz w:val="20"/>
                <w:lang w:val="en-CA"/>
              </w:rPr>
              <w:t>March 12, 2021</w:t>
            </w:r>
          </w:p>
          <w:p w:rsidR="00D65A7B" w:rsidRPr="001C7519" w:rsidRDefault="00D65A7B" w:rsidP="00D65A7B">
            <w:pPr>
              <w:jc w:val="both"/>
              <w:rPr>
                <w:sz w:val="20"/>
                <w:lang w:val="en-CA"/>
              </w:rPr>
            </w:pPr>
            <w:r w:rsidRPr="001C7519">
              <w:rPr>
                <w:sz w:val="20"/>
                <w:lang w:val="en-CA"/>
              </w:rPr>
              <w:t>Quebec Court of Appeal (Montréal)</w:t>
            </w:r>
          </w:p>
          <w:p w:rsidR="00D65A7B" w:rsidRPr="001C7519" w:rsidRDefault="00D65A7B" w:rsidP="00D65A7B">
            <w:pPr>
              <w:jc w:val="both"/>
              <w:rPr>
                <w:sz w:val="20"/>
                <w:lang w:val="en-CA"/>
              </w:rPr>
            </w:pPr>
            <w:r w:rsidRPr="001C7519">
              <w:rPr>
                <w:sz w:val="20"/>
                <w:lang w:val="en-CA"/>
              </w:rPr>
              <w:t>(Bélanger, Baudouin and Bachand JJ.A.)</w:t>
            </w:r>
          </w:p>
          <w:p w:rsidR="00D65A7B" w:rsidRPr="001C7519" w:rsidRDefault="00D65A7B" w:rsidP="00D65A7B">
            <w:pPr>
              <w:jc w:val="both"/>
              <w:rPr>
                <w:sz w:val="20"/>
                <w:lang w:val="en-CA"/>
              </w:rPr>
            </w:pPr>
            <w:r w:rsidRPr="001C7519">
              <w:rPr>
                <w:sz w:val="20"/>
                <w:lang w:val="en-CA"/>
              </w:rPr>
              <w:t>File:</w:t>
            </w:r>
            <w:bookmarkStart w:id="1" w:name="NoDossier"/>
            <w:r w:rsidRPr="001C7519">
              <w:rPr>
                <w:sz w:val="20"/>
                <w:lang w:val="en-CA"/>
              </w:rPr>
              <w:t xml:space="preserve"> 500</w:t>
            </w:r>
            <w:r w:rsidRPr="001C7519">
              <w:rPr>
                <w:sz w:val="20"/>
                <w:lang w:val="en-CA"/>
              </w:rPr>
              <w:noBreakHyphen/>
              <w:t>10</w:t>
            </w:r>
            <w:r w:rsidRPr="001C7519">
              <w:rPr>
                <w:sz w:val="20"/>
                <w:lang w:val="en-CA"/>
              </w:rPr>
              <w:noBreakHyphen/>
              <w:t>006737</w:t>
            </w:r>
            <w:r w:rsidRPr="001C7519">
              <w:rPr>
                <w:sz w:val="20"/>
                <w:lang w:val="en-CA"/>
              </w:rPr>
              <w:noBreakHyphen/>
              <w:t>181</w:t>
            </w:r>
            <w:bookmarkEnd w:id="1"/>
          </w:p>
          <w:p w:rsidR="00D65A7B" w:rsidRPr="001C7519" w:rsidRDefault="00E75919" w:rsidP="00D65A7B">
            <w:pPr>
              <w:jc w:val="both"/>
              <w:rPr>
                <w:sz w:val="20"/>
                <w:lang w:val="en-CA"/>
              </w:rPr>
            </w:pPr>
            <w:hyperlink r:id="rId75" w:history="1">
              <w:r w:rsidR="00D65A7B" w:rsidRPr="001C7519">
                <w:rPr>
                  <w:rStyle w:val="Hyperlink"/>
                  <w:sz w:val="20"/>
                  <w:lang w:val="en-CA"/>
                </w:rPr>
                <w:t>2021 QCCA 413</w:t>
              </w:r>
            </w:hyperlink>
          </w:p>
          <w:p w:rsidR="00D65A7B" w:rsidRPr="001C7519" w:rsidRDefault="00D65A7B" w:rsidP="00D65A7B">
            <w:pPr>
              <w:jc w:val="both"/>
              <w:rPr>
                <w:sz w:val="20"/>
                <w:lang w:val="en-CA"/>
              </w:rPr>
            </w:pPr>
          </w:p>
        </w:tc>
        <w:tc>
          <w:tcPr>
            <w:tcW w:w="243" w:type="pct"/>
          </w:tcPr>
          <w:p w:rsidR="00D65A7B" w:rsidRPr="001C7519" w:rsidRDefault="00D65A7B" w:rsidP="00D65A7B">
            <w:pPr>
              <w:jc w:val="both"/>
              <w:rPr>
                <w:sz w:val="20"/>
                <w:lang w:val="en-CA"/>
              </w:rPr>
            </w:pPr>
          </w:p>
        </w:tc>
        <w:tc>
          <w:tcPr>
            <w:tcW w:w="2330" w:type="pct"/>
          </w:tcPr>
          <w:p w:rsidR="00D65A7B" w:rsidRPr="001C7519" w:rsidRDefault="00D65A7B" w:rsidP="00D65A7B">
            <w:pPr>
              <w:jc w:val="both"/>
              <w:rPr>
                <w:sz w:val="20"/>
                <w:lang w:val="en-CA"/>
              </w:rPr>
            </w:pPr>
            <w:r w:rsidRPr="001C7519">
              <w:rPr>
                <w:sz w:val="20"/>
                <w:lang w:val="en-CA"/>
              </w:rPr>
              <w:t>Appeal against convictions dismissed</w:t>
            </w:r>
          </w:p>
        </w:tc>
      </w:tr>
      <w:tr w:rsidR="00D65A7B" w:rsidRPr="001C7519" w:rsidTr="00E95A6A">
        <w:tc>
          <w:tcPr>
            <w:tcW w:w="2427" w:type="pct"/>
            <w:gridSpan w:val="2"/>
          </w:tcPr>
          <w:p w:rsidR="00D65A7B" w:rsidRPr="001C7519" w:rsidRDefault="00D65A7B" w:rsidP="00D65A7B">
            <w:pPr>
              <w:jc w:val="both"/>
              <w:rPr>
                <w:sz w:val="20"/>
                <w:lang w:val="en-CA"/>
              </w:rPr>
            </w:pPr>
            <w:r w:rsidRPr="001C7519">
              <w:rPr>
                <w:sz w:val="20"/>
                <w:lang w:val="en-CA"/>
              </w:rPr>
              <w:t>May 11, 2021</w:t>
            </w:r>
          </w:p>
          <w:p w:rsidR="00D65A7B" w:rsidRPr="001C7519" w:rsidRDefault="00D65A7B" w:rsidP="00D65A7B">
            <w:pPr>
              <w:jc w:val="both"/>
              <w:rPr>
                <w:sz w:val="20"/>
                <w:lang w:val="en-CA"/>
              </w:rPr>
            </w:pPr>
            <w:r w:rsidRPr="001C7519">
              <w:rPr>
                <w:sz w:val="20"/>
                <w:lang w:val="en-CA"/>
              </w:rPr>
              <w:t>Supreme Court of Canada</w:t>
            </w:r>
          </w:p>
        </w:tc>
        <w:tc>
          <w:tcPr>
            <w:tcW w:w="243" w:type="pct"/>
          </w:tcPr>
          <w:p w:rsidR="00D65A7B" w:rsidRPr="001C7519" w:rsidRDefault="00D65A7B" w:rsidP="00D65A7B">
            <w:pPr>
              <w:jc w:val="both"/>
              <w:rPr>
                <w:sz w:val="20"/>
                <w:lang w:val="en-CA"/>
              </w:rPr>
            </w:pPr>
          </w:p>
        </w:tc>
        <w:tc>
          <w:tcPr>
            <w:tcW w:w="2330" w:type="pct"/>
          </w:tcPr>
          <w:p w:rsidR="00D65A7B" w:rsidRPr="001C7519" w:rsidRDefault="00D65A7B" w:rsidP="00D65A7B">
            <w:pPr>
              <w:jc w:val="both"/>
              <w:rPr>
                <w:sz w:val="20"/>
                <w:lang w:val="en-CA"/>
              </w:rPr>
            </w:pPr>
            <w:r w:rsidRPr="001C7519">
              <w:rPr>
                <w:sz w:val="20"/>
                <w:lang w:val="en-CA"/>
              </w:rPr>
              <w:t>Application for leave to appeal filed</w:t>
            </w:r>
          </w:p>
          <w:p w:rsidR="00D65A7B" w:rsidRPr="001C7519" w:rsidRDefault="00D65A7B" w:rsidP="00D65A7B">
            <w:pPr>
              <w:jc w:val="both"/>
              <w:rPr>
                <w:sz w:val="20"/>
                <w:lang w:val="en-CA"/>
              </w:rPr>
            </w:pPr>
          </w:p>
        </w:tc>
      </w:tr>
    </w:tbl>
    <w:p w:rsidR="00D65A7B" w:rsidRPr="001C7519" w:rsidRDefault="00D65A7B" w:rsidP="00D65A7B">
      <w:pPr>
        <w:jc w:val="both"/>
        <w:rPr>
          <w:sz w:val="20"/>
          <w:lang w:val="en-CA"/>
        </w:rPr>
      </w:pPr>
    </w:p>
    <w:p w:rsidR="00D65A7B" w:rsidRPr="001C7519" w:rsidRDefault="00E75919" w:rsidP="00D65A7B">
      <w:pPr>
        <w:jc w:val="both"/>
        <w:rPr>
          <w:sz w:val="20"/>
          <w:lang w:val="en-CA"/>
        </w:rPr>
      </w:pPr>
      <w:r>
        <w:rPr>
          <w:sz w:val="20"/>
        </w:rPr>
        <w:pict>
          <v:rect id="_x0000_i1056" style="width:2in;height:1pt" o:hrpct="0" o:hralign="center" o:hrstd="t" o:hrnoshade="t" o:hr="t" fillcolor="black [3213]" stroked="f"/>
        </w:pict>
      </w:r>
    </w:p>
    <w:p w:rsidR="00D65A7B" w:rsidRPr="001C7519" w:rsidRDefault="00D65A7B" w:rsidP="00D65A7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A7B" w:rsidRPr="001C7519" w:rsidTr="00E95A6A">
        <w:tc>
          <w:tcPr>
            <w:tcW w:w="543" w:type="pct"/>
          </w:tcPr>
          <w:p w:rsidR="00D65A7B" w:rsidRPr="001C7519" w:rsidRDefault="00D65A7B" w:rsidP="00D65A7B">
            <w:pPr>
              <w:jc w:val="both"/>
              <w:rPr>
                <w:sz w:val="20"/>
              </w:rPr>
            </w:pPr>
            <w:r w:rsidRPr="001C7519">
              <w:rPr>
                <w:rStyle w:val="SCCFileNumberChar"/>
                <w:sz w:val="20"/>
                <w:szCs w:val="20"/>
              </w:rPr>
              <w:t>39686</w:t>
            </w:r>
          </w:p>
        </w:tc>
        <w:tc>
          <w:tcPr>
            <w:tcW w:w="4457" w:type="pct"/>
            <w:gridSpan w:val="3"/>
          </w:tcPr>
          <w:p w:rsidR="00D65A7B" w:rsidRPr="001C7519" w:rsidRDefault="00D65A7B" w:rsidP="00D65A7B">
            <w:pPr>
              <w:pStyle w:val="SCCLsocParty"/>
              <w:jc w:val="both"/>
              <w:rPr>
                <w:b/>
                <w:sz w:val="20"/>
                <w:szCs w:val="20"/>
              </w:rPr>
            </w:pPr>
            <w:r w:rsidRPr="001C7519">
              <w:rPr>
                <w:b/>
                <w:sz w:val="20"/>
                <w:szCs w:val="20"/>
              </w:rPr>
              <w:t>S...P... c. Sa Majesté la Reine</w:t>
            </w:r>
          </w:p>
          <w:p w:rsidR="00D65A7B" w:rsidRPr="001C7519" w:rsidRDefault="00D65A7B" w:rsidP="00D65A7B">
            <w:pPr>
              <w:jc w:val="both"/>
              <w:rPr>
                <w:sz w:val="20"/>
              </w:rPr>
            </w:pPr>
            <w:r w:rsidRPr="001C7519">
              <w:rPr>
                <w:sz w:val="20"/>
              </w:rPr>
              <w:t>(Qc) (Criminelle) (Autorisation)</w:t>
            </w:r>
          </w:p>
        </w:tc>
      </w:tr>
      <w:tr w:rsidR="00D65A7B" w:rsidRPr="00E75919" w:rsidTr="00E95A6A">
        <w:tc>
          <w:tcPr>
            <w:tcW w:w="5000" w:type="pct"/>
            <w:gridSpan w:val="4"/>
          </w:tcPr>
          <w:p w:rsidR="00D65A7B" w:rsidRPr="001C7519" w:rsidRDefault="00D65A7B" w:rsidP="00D65A7B">
            <w:pPr>
              <w:jc w:val="both"/>
              <w:rPr>
                <w:sz w:val="20"/>
                <w:lang w:val="fr-CA"/>
              </w:rPr>
            </w:pPr>
            <w:r w:rsidRPr="001C7519">
              <w:rPr>
                <w:sz w:val="20"/>
                <w:lang w:val="fr-CA"/>
              </w:rPr>
              <w:t>(</w:t>
            </w:r>
            <w:r w:rsidRPr="001C7519">
              <w:rPr>
                <w:smallCaps/>
                <w:sz w:val="20"/>
                <w:lang w:val="fr-CA"/>
              </w:rPr>
              <w:t>Ordonnance de non</w:t>
            </w:r>
            <w:r w:rsidRPr="001C7519">
              <w:rPr>
                <w:smallCaps/>
                <w:sz w:val="20"/>
                <w:lang w:val="fr-CA"/>
              </w:rPr>
              <w:noBreakHyphen/>
              <w:t>publication</w:t>
            </w:r>
            <w:r w:rsidRPr="001C7519">
              <w:rPr>
                <w:sz w:val="20"/>
                <w:lang w:val="fr-CA"/>
              </w:rPr>
              <w:t>)</w:t>
            </w:r>
          </w:p>
          <w:p w:rsidR="00D65A7B" w:rsidRPr="001C7519" w:rsidRDefault="00D65A7B" w:rsidP="00D65A7B">
            <w:pPr>
              <w:jc w:val="both"/>
              <w:rPr>
                <w:sz w:val="20"/>
                <w:lang w:val="fr-CA"/>
              </w:rPr>
            </w:pPr>
          </w:p>
          <w:p w:rsidR="00D65A7B" w:rsidRPr="001C7519" w:rsidRDefault="00D65A7B" w:rsidP="00D65A7B">
            <w:pPr>
              <w:jc w:val="both"/>
              <w:rPr>
                <w:sz w:val="20"/>
                <w:lang w:val="fr-CA"/>
              </w:rPr>
            </w:pPr>
            <w:r w:rsidRPr="001C7519">
              <w:rPr>
                <w:sz w:val="20"/>
                <w:lang w:val="fr-CA"/>
              </w:rPr>
              <w:t>Droit criminel — Verdict raisonnable — Crimes à caractère sexuel — Un aveu judiciaire ou extrajudiciaire de la plaignante disculpant le défendeur, un résultat d’examen comparatif d’échantillons d’ADN non concluant quant à l’identité du défendeur, une hypothèse « scientifiquement possible » rendant vraisemblable une explication donnée au procès par le défendeur constituent</w:t>
            </w:r>
            <w:r w:rsidRPr="001C7519">
              <w:rPr>
                <w:sz w:val="20"/>
                <w:lang w:val="fr-CA"/>
              </w:rPr>
              <w:noBreakHyphen/>
              <w:t xml:space="preserve">ils des hypothèses — « plausible theories »; « reasonable possibilities » — assujetties à un examen hypothéticodéductif? — La norme </w:t>
            </w:r>
            <w:r w:rsidRPr="001C7519">
              <w:rPr>
                <w:i/>
                <w:color w:val="000000"/>
                <w:sz w:val="20"/>
                <w:lang w:val="fr-CA"/>
              </w:rPr>
              <w:t xml:space="preserve">R. </w:t>
            </w:r>
            <w:r w:rsidRPr="001C7519">
              <w:rPr>
                <w:i/>
                <w:iCs/>
                <w:color w:val="000000"/>
                <w:sz w:val="20"/>
                <w:lang w:val="fr-CA"/>
              </w:rPr>
              <w:t>c.</w:t>
            </w:r>
            <w:r w:rsidRPr="001C7519">
              <w:rPr>
                <w:i/>
                <w:color w:val="000000"/>
                <w:sz w:val="20"/>
                <w:lang w:val="fr-CA"/>
              </w:rPr>
              <w:t xml:space="preserve"> Villaroman</w:t>
            </w:r>
            <w:r w:rsidRPr="001C7519">
              <w:rPr>
                <w:color w:val="000000"/>
                <w:sz w:val="20"/>
                <w:lang w:val="fr-CA"/>
              </w:rPr>
              <w:t>, 2016 CSC 33, [2016] 1 R.C.S. 1000</w:t>
            </w:r>
            <w:r w:rsidRPr="001C7519">
              <w:rPr>
                <w:sz w:val="20"/>
                <w:lang w:val="fr-CA"/>
              </w:rPr>
              <w:t>, impose</w:t>
            </w:r>
            <w:r w:rsidRPr="001C7519">
              <w:rPr>
                <w:sz w:val="20"/>
                <w:lang w:val="fr-CA"/>
              </w:rPr>
              <w:noBreakHyphen/>
              <w:t>t</w:t>
            </w:r>
            <w:r w:rsidRPr="001C7519">
              <w:rPr>
                <w:sz w:val="20"/>
                <w:lang w:val="fr-CA"/>
              </w:rPr>
              <w:noBreakHyphen/>
              <w:t xml:space="preserve">elle à un juge d’une cour de juridiction criminelle ou à un jury l’obligation de procéder à un examen hypothéticodéductif avant de déterminer la valeur probante d’une preuve indirecte lorsqu’une preuve directe au dossier incrimine le défendeur ou que la preuve indirecte ne vise pas à démontrer l’identité du défendeur? — </w:t>
            </w:r>
            <w:r w:rsidRPr="001C7519">
              <w:rPr>
                <w:i/>
                <w:sz w:val="20"/>
                <w:lang w:val="fr-CA"/>
              </w:rPr>
              <w:t>Code criminel</w:t>
            </w:r>
            <w:r w:rsidRPr="001C7519">
              <w:rPr>
                <w:sz w:val="20"/>
                <w:lang w:val="fr-CA"/>
              </w:rPr>
              <w:t>, L.R.C. 1985, c. C</w:t>
            </w:r>
            <w:r w:rsidRPr="001C7519">
              <w:rPr>
                <w:sz w:val="20"/>
                <w:lang w:val="fr-CA"/>
              </w:rPr>
              <w:noBreakHyphen/>
              <w:t>46, art. 151</w:t>
            </w:r>
            <w:r w:rsidRPr="001C7519">
              <w:rPr>
                <w:iCs/>
                <w:sz w:val="20"/>
                <w:lang w:val="fr-CA"/>
              </w:rPr>
              <w:t>a</w:t>
            </w:r>
            <w:r w:rsidRPr="001C7519">
              <w:rPr>
                <w:sz w:val="20"/>
                <w:lang w:val="fr-CA"/>
              </w:rPr>
              <w:t>), 152</w:t>
            </w:r>
            <w:r w:rsidRPr="001C7519">
              <w:rPr>
                <w:iCs/>
                <w:sz w:val="20"/>
                <w:lang w:val="fr-CA"/>
              </w:rPr>
              <w:t>a</w:t>
            </w:r>
            <w:r w:rsidRPr="001C7519">
              <w:rPr>
                <w:sz w:val="20"/>
                <w:lang w:val="fr-CA"/>
              </w:rPr>
              <w:t>), 155(2), 271</w:t>
            </w:r>
            <w:r w:rsidRPr="001C7519">
              <w:rPr>
                <w:iCs/>
                <w:sz w:val="20"/>
                <w:lang w:val="fr-CA"/>
              </w:rPr>
              <w:t>a</w:t>
            </w:r>
            <w:r w:rsidRPr="001C7519">
              <w:rPr>
                <w:sz w:val="20"/>
                <w:lang w:val="fr-CA"/>
              </w:rPr>
              <w:t>), 271(1)</w:t>
            </w:r>
            <w:r w:rsidRPr="001C7519">
              <w:rPr>
                <w:iCs/>
                <w:sz w:val="20"/>
                <w:lang w:val="fr-CA"/>
              </w:rPr>
              <w:t>a</w:t>
            </w:r>
            <w:r w:rsidRPr="001C7519">
              <w:rPr>
                <w:sz w:val="20"/>
                <w:lang w:val="fr-CA"/>
              </w:rPr>
              <w:t>).</w:t>
            </w:r>
          </w:p>
        </w:tc>
      </w:tr>
      <w:tr w:rsidR="00D65A7B" w:rsidRPr="00E75919" w:rsidTr="00E95A6A">
        <w:tc>
          <w:tcPr>
            <w:tcW w:w="5000" w:type="pct"/>
            <w:gridSpan w:val="4"/>
          </w:tcPr>
          <w:p w:rsidR="00D65A7B" w:rsidRPr="001C7519" w:rsidRDefault="00D65A7B" w:rsidP="00D65A7B">
            <w:pPr>
              <w:jc w:val="both"/>
              <w:rPr>
                <w:sz w:val="20"/>
                <w:lang w:val="fr-CA"/>
              </w:rPr>
            </w:pPr>
          </w:p>
        </w:tc>
      </w:tr>
      <w:tr w:rsidR="00D65A7B" w:rsidRPr="001C7519" w:rsidTr="00E95A6A">
        <w:tc>
          <w:tcPr>
            <w:tcW w:w="5000" w:type="pct"/>
            <w:gridSpan w:val="4"/>
          </w:tcPr>
          <w:p w:rsidR="00D65A7B" w:rsidRPr="001C7519" w:rsidRDefault="00D65A7B" w:rsidP="00D65A7B">
            <w:pPr>
              <w:jc w:val="both"/>
              <w:rPr>
                <w:sz w:val="20"/>
              </w:rPr>
            </w:pPr>
            <w:r w:rsidRPr="001C7519">
              <w:rPr>
                <w:sz w:val="20"/>
                <w:lang w:val="fr-CA"/>
              </w:rPr>
              <w:t>Le demandeur est le père de la plaignante. Celle</w:t>
            </w:r>
            <w:r w:rsidRPr="001C7519">
              <w:rPr>
                <w:sz w:val="20"/>
                <w:lang w:val="fr-CA"/>
              </w:rPr>
              <w:noBreakHyphen/>
              <w:t xml:space="preserve">ci relate avoir subi plusieurs attouchements et agressions sexuelles de sa part, à partir de 2009 alors qu’elle est âgée de 13 ans, jusqu’en 2015, alors qu’elle a 19 ans. Le demandeur fait face à cinq chefs d’accusation en vertu </w:t>
            </w:r>
            <w:proofErr w:type="gramStart"/>
            <w:r w:rsidRPr="001C7519">
              <w:rPr>
                <w:sz w:val="20"/>
                <w:lang w:val="fr-CA"/>
              </w:rPr>
              <w:t>des art</w:t>
            </w:r>
            <w:proofErr w:type="gramEnd"/>
            <w:r w:rsidRPr="001C7519">
              <w:rPr>
                <w:sz w:val="20"/>
                <w:lang w:val="fr-CA"/>
              </w:rPr>
              <w:t>. 151</w:t>
            </w:r>
            <w:r w:rsidRPr="001C7519">
              <w:rPr>
                <w:iCs/>
                <w:sz w:val="20"/>
                <w:lang w:val="fr-CA"/>
              </w:rPr>
              <w:t>a</w:t>
            </w:r>
            <w:r w:rsidRPr="001C7519">
              <w:rPr>
                <w:sz w:val="20"/>
                <w:lang w:val="fr-CA"/>
              </w:rPr>
              <w:t>), 152</w:t>
            </w:r>
            <w:r w:rsidRPr="001C7519">
              <w:rPr>
                <w:iCs/>
                <w:sz w:val="20"/>
                <w:lang w:val="fr-CA"/>
              </w:rPr>
              <w:t>a</w:t>
            </w:r>
            <w:r w:rsidRPr="001C7519">
              <w:rPr>
                <w:sz w:val="20"/>
                <w:lang w:val="fr-CA"/>
              </w:rPr>
              <w:t>), 155(2), 271</w:t>
            </w:r>
            <w:r w:rsidRPr="001C7519">
              <w:rPr>
                <w:iCs/>
                <w:sz w:val="20"/>
                <w:lang w:val="fr-CA"/>
              </w:rPr>
              <w:t>a</w:t>
            </w:r>
            <w:r w:rsidRPr="001C7519">
              <w:rPr>
                <w:sz w:val="20"/>
                <w:lang w:val="fr-CA"/>
              </w:rPr>
              <w:t>) et 271(1)</w:t>
            </w:r>
            <w:r w:rsidRPr="001C7519">
              <w:rPr>
                <w:iCs/>
                <w:sz w:val="20"/>
                <w:lang w:val="fr-CA"/>
              </w:rPr>
              <w:t>a</w:t>
            </w:r>
            <w:r w:rsidRPr="001C7519">
              <w:rPr>
                <w:sz w:val="20"/>
                <w:lang w:val="fr-CA"/>
              </w:rPr>
              <w:t xml:space="preserve">) </w:t>
            </w:r>
            <w:r w:rsidRPr="001C7519">
              <w:rPr>
                <w:i/>
                <w:iCs/>
                <w:sz w:val="20"/>
                <w:lang w:val="fr-CA"/>
              </w:rPr>
              <w:t xml:space="preserve">C.cr. </w:t>
            </w:r>
            <w:r w:rsidRPr="001C7519">
              <w:rPr>
                <w:iCs/>
                <w:sz w:val="20"/>
                <w:lang w:val="fr-CA"/>
              </w:rPr>
              <w:t xml:space="preserve">La Cour du Québec le </w:t>
            </w:r>
            <w:r w:rsidRPr="001C7519">
              <w:rPr>
                <w:sz w:val="20"/>
                <w:lang w:val="fr-CA"/>
              </w:rPr>
              <w:t xml:space="preserve">déclare coupable de tous les chefs d’accusation. Le demandeur se pourvoit de plein droit contre les verdicts de culpabilité. </w:t>
            </w:r>
            <w:r w:rsidRPr="001C7519">
              <w:rPr>
                <w:sz w:val="20"/>
              </w:rPr>
              <w:t>La Cour d’appel du Québec rejette l’appel.</w:t>
            </w:r>
          </w:p>
          <w:p w:rsidR="00D65A7B" w:rsidRPr="001C7519" w:rsidRDefault="00D65A7B" w:rsidP="00D65A7B">
            <w:pPr>
              <w:jc w:val="both"/>
              <w:rPr>
                <w:sz w:val="20"/>
              </w:rPr>
            </w:pPr>
          </w:p>
        </w:tc>
      </w:tr>
      <w:tr w:rsidR="00D65A7B" w:rsidRPr="00E75919" w:rsidTr="00E95A6A">
        <w:tc>
          <w:tcPr>
            <w:tcW w:w="2427" w:type="pct"/>
            <w:gridSpan w:val="2"/>
          </w:tcPr>
          <w:p w:rsidR="00D65A7B" w:rsidRPr="001C7519" w:rsidRDefault="00D65A7B" w:rsidP="00D65A7B">
            <w:pPr>
              <w:jc w:val="both"/>
              <w:rPr>
                <w:sz w:val="20"/>
                <w:lang w:val="fr-CA"/>
              </w:rPr>
            </w:pPr>
            <w:r w:rsidRPr="001C7519">
              <w:rPr>
                <w:sz w:val="20"/>
                <w:lang w:val="fr-CA"/>
              </w:rPr>
              <w:t>Le 17 avril 2018</w:t>
            </w:r>
          </w:p>
          <w:p w:rsidR="00D65A7B" w:rsidRPr="001C7519" w:rsidRDefault="00D65A7B" w:rsidP="00D65A7B">
            <w:pPr>
              <w:jc w:val="both"/>
              <w:rPr>
                <w:sz w:val="20"/>
                <w:lang w:val="fr-CA"/>
              </w:rPr>
            </w:pPr>
            <w:r w:rsidRPr="001C7519">
              <w:rPr>
                <w:sz w:val="20"/>
                <w:lang w:val="fr-CA"/>
              </w:rPr>
              <w:t>Cour du Québec</w:t>
            </w:r>
          </w:p>
          <w:p w:rsidR="00D65A7B" w:rsidRPr="001C7519" w:rsidRDefault="00D65A7B" w:rsidP="00D65A7B">
            <w:pPr>
              <w:jc w:val="both"/>
              <w:rPr>
                <w:sz w:val="20"/>
                <w:lang w:val="fr-CA"/>
              </w:rPr>
            </w:pPr>
            <w:r w:rsidRPr="001C7519">
              <w:rPr>
                <w:sz w:val="20"/>
                <w:lang w:val="fr-CA"/>
              </w:rPr>
              <w:t>(Le juge Provost)</w:t>
            </w:r>
          </w:p>
          <w:p w:rsidR="00D65A7B" w:rsidRPr="001C7519" w:rsidRDefault="00D65A7B" w:rsidP="00D65A7B">
            <w:pPr>
              <w:jc w:val="both"/>
              <w:rPr>
                <w:sz w:val="20"/>
              </w:rPr>
            </w:pPr>
            <w:r w:rsidRPr="001C7519">
              <w:rPr>
                <w:sz w:val="20"/>
              </w:rPr>
              <w:t>Dossier : 405</w:t>
            </w:r>
            <w:r w:rsidRPr="001C7519">
              <w:rPr>
                <w:sz w:val="20"/>
              </w:rPr>
              <w:noBreakHyphen/>
              <w:t>01</w:t>
            </w:r>
            <w:r w:rsidRPr="001C7519">
              <w:rPr>
                <w:sz w:val="20"/>
              </w:rPr>
              <w:noBreakHyphen/>
              <w:t>034545</w:t>
            </w:r>
            <w:r w:rsidRPr="001C7519">
              <w:rPr>
                <w:sz w:val="20"/>
              </w:rPr>
              <w:noBreakHyphen/>
              <w:t>151</w:t>
            </w:r>
          </w:p>
          <w:p w:rsidR="00D65A7B" w:rsidRPr="001C7519" w:rsidRDefault="00D65A7B" w:rsidP="00D65A7B">
            <w:pPr>
              <w:jc w:val="both"/>
              <w:rPr>
                <w:sz w:val="20"/>
              </w:rPr>
            </w:pPr>
          </w:p>
        </w:tc>
        <w:tc>
          <w:tcPr>
            <w:tcW w:w="243" w:type="pct"/>
          </w:tcPr>
          <w:p w:rsidR="00D65A7B" w:rsidRPr="001C7519" w:rsidRDefault="00D65A7B" w:rsidP="00D65A7B">
            <w:pPr>
              <w:jc w:val="both"/>
              <w:rPr>
                <w:sz w:val="20"/>
              </w:rPr>
            </w:pPr>
          </w:p>
        </w:tc>
        <w:tc>
          <w:tcPr>
            <w:tcW w:w="2330" w:type="pct"/>
          </w:tcPr>
          <w:p w:rsidR="00D65A7B" w:rsidRPr="001C7519" w:rsidRDefault="00D65A7B" w:rsidP="00D65A7B">
            <w:pPr>
              <w:jc w:val="both"/>
              <w:rPr>
                <w:sz w:val="20"/>
                <w:lang w:val="fr-CA"/>
              </w:rPr>
            </w:pPr>
            <w:r w:rsidRPr="001C7519">
              <w:rPr>
                <w:sz w:val="20"/>
                <w:lang w:val="fr-CA"/>
              </w:rPr>
              <w:t>S. P. est déclaré coupable de cinq chefs d’accusation relatifs à des gestes à caractère sexuel envers la plaignante.</w:t>
            </w:r>
          </w:p>
          <w:p w:rsidR="00D65A7B" w:rsidRPr="001C7519" w:rsidRDefault="00D65A7B" w:rsidP="00D65A7B">
            <w:pPr>
              <w:jc w:val="both"/>
              <w:rPr>
                <w:sz w:val="20"/>
                <w:lang w:val="fr-CA"/>
              </w:rPr>
            </w:pPr>
          </w:p>
        </w:tc>
      </w:tr>
      <w:tr w:rsidR="00D65A7B" w:rsidRPr="00E75919" w:rsidTr="00E95A6A">
        <w:tc>
          <w:tcPr>
            <w:tcW w:w="2427" w:type="pct"/>
            <w:gridSpan w:val="2"/>
          </w:tcPr>
          <w:p w:rsidR="00D65A7B" w:rsidRPr="001C7519" w:rsidRDefault="00D65A7B" w:rsidP="00D65A7B">
            <w:pPr>
              <w:jc w:val="both"/>
              <w:rPr>
                <w:sz w:val="20"/>
                <w:lang w:val="fr-CA"/>
              </w:rPr>
            </w:pPr>
            <w:r w:rsidRPr="001C7519">
              <w:rPr>
                <w:sz w:val="20"/>
                <w:lang w:val="fr-CA"/>
              </w:rPr>
              <w:t>Le 26 juin 2018</w:t>
            </w:r>
          </w:p>
          <w:p w:rsidR="00D65A7B" w:rsidRPr="001C7519" w:rsidRDefault="00D65A7B" w:rsidP="00D65A7B">
            <w:pPr>
              <w:jc w:val="both"/>
              <w:rPr>
                <w:sz w:val="20"/>
                <w:lang w:val="fr-CA"/>
              </w:rPr>
            </w:pPr>
            <w:r w:rsidRPr="001C7519">
              <w:rPr>
                <w:sz w:val="20"/>
                <w:lang w:val="fr-CA"/>
              </w:rPr>
              <w:t>Cour du Québec</w:t>
            </w:r>
          </w:p>
          <w:p w:rsidR="00D65A7B" w:rsidRPr="001C7519" w:rsidRDefault="00D65A7B" w:rsidP="00D65A7B">
            <w:pPr>
              <w:jc w:val="both"/>
              <w:rPr>
                <w:sz w:val="20"/>
                <w:lang w:val="fr-CA"/>
              </w:rPr>
            </w:pPr>
            <w:r w:rsidRPr="001C7519">
              <w:rPr>
                <w:sz w:val="20"/>
                <w:lang w:val="fr-CA"/>
              </w:rPr>
              <w:t>(Le juge Provost)</w:t>
            </w:r>
          </w:p>
          <w:p w:rsidR="00D65A7B" w:rsidRPr="001C7519" w:rsidRDefault="00D65A7B" w:rsidP="00D65A7B">
            <w:pPr>
              <w:jc w:val="both"/>
              <w:rPr>
                <w:sz w:val="20"/>
              </w:rPr>
            </w:pPr>
            <w:r w:rsidRPr="001C7519">
              <w:rPr>
                <w:sz w:val="20"/>
              </w:rPr>
              <w:t>Dossier : 405</w:t>
            </w:r>
            <w:r w:rsidRPr="001C7519">
              <w:rPr>
                <w:sz w:val="20"/>
              </w:rPr>
              <w:noBreakHyphen/>
              <w:t>01</w:t>
            </w:r>
            <w:r w:rsidRPr="001C7519">
              <w:rPr>
                <w:sz w:val="20"/>
              </w:rPr>
              <w:noBreakHyphen/>
              <w:t>034545</w:t>
            </w:r>
            <w:r w:rsidRPr="001C7519">
              <w:rPr>
                <w:sz w:val="20"/>
              </w:rPr>
              <w:noBreakHyphen/>
              <w:t>151</w:t>
            </w:r>
          </w:p>
          <w:p w:rsidR="00D65A7B" w:rsidRPr="001C7519" w:rsidRDefault="00D65A7B" w:rsidP="00D65A7B">
            <w:pPr>
              <w:jc w:val="both"/>
              <w:rPr>
                <w:sz w:val="20"/>
              </w:rPr>
            </w:pPr>
          </w:p>
        </w:tc>
        <w:tc>
          <w:tcPr>
            <w:tcW w:w="243" w:type="pct"/>
          </w:tcPr>
          <w:p w:rsidR="00D65A7B" w:rsidRPr="001C7519" w:rsidRDefault="00D65A7B" w:rsidP="00D65A7B">
            <w:pPr>
              <w:jc w:val="both"/>
              <w:rPr>
                <w:sz w:val="20"/>
              </w:rPr>
            </w:pPr>
          </w:p>
        </w:tc>
        <w:tc>
          <w:tcPr>
            <w:tcW w:w="2330" w:type="pct"/>
          </w:tcPr>
          <w:p w:rsidR="00D65A7B" w:rsidRPr="001C7519" w:rsidRDefault="00D65A7B" w:rsidP="00D65A7B">
            <w:pPr>
              <w:jc w:val="both"/>
              <w:rPr>
                <w:sz w:val="20"/>
                <w:lang w:val="fr-CA"/>
              </w:rPr>
            </w:pPr>
            <w:r w:rsidRPr="001C7519">
              <w:rPr>
                <w:sz w:val="20"/>
                <w:lang w:val="fr-CA"/>
              </w:rPr>
              <w:t>S. P. est condamné à 7 ans et 260 jours d’emprisonnement.</w:t>
            </w:r>
          </w:p>
        </w:tc>
      </w:tr>
      <w:tr w:rsidR="00D65A7B" w:rsidRPr="00E75919" w:rsidTr="00E95A6A">
        <w:tc>
          <w:tcPr>
            <w:tcW w:w="2427" w:type="pct"/>
            <w:gridSpan w:val="2"/>
          </w:tcPr>
          <w:p w:rsidR="00D65A7B" w:rsidRPr="001C7519" w:rsidRDefault="00D65A7B" w:rsidP="00D65A7B">
            <w:pPr>
              <w:jc w:val="both"/>
              <w:rPr>
                <w:sz w:val="20"/>
                <w:lang w:val="fr-CA"/>
              </w:rPr>
            </w:pPr>
            <w:r w:rsidRPr="001C7519">
              <w:rPr>
                <w:sz w:val="20"/>
                <w:lang w:val="fr-CA"/>
              </w:rPr>
              <w:t>Le 12 mars 2021</w:t>
            </w:r>
          </w:p>
          <w:p w:rsidR="00D65A7B" w:rsidRPr="001C7519" w:rsidRDefault="00D65A7B" w:rsidP="00D65A7B">
            <w:pPr>
              <w:jc w:val="both"/>
              <w:rPr>
                <w:sz w:val="20"/>
                <w:lang w:val="fr-CA"/>
              </w:rPr>
            </w:pPr>
            <w:r w:rsidRPr="001C7519">
              <w:rPr>
                <w:sz w:val="20"/>
                <w:lang w:val="fr-CA"/>
              </w:rPr>
              <w:t>Cour d’appel du Québec (Montréal)</w:t>
            </w:r>
          </w:p>
          <w:p w:rsidR="00D65A7B" w:rsidRPr="001C7519" w:rsidRDefault="00D65A7B" w:rsidP="00D65A7B">
            <w:pPr>
              <w:jc w:val="both"/>
              <w:rPr>
                <w:sz w:val="20"/>
                <w:lang w:val="fr-CA"/>
              </w:rPr>
            </w:pPr>
            <w:r w:rsidRPr="001C7519">
              <w:rPr>
                <w:sz w:val="20"/>
                <w:lang w:val="fr-CA"/>
              </w:rPr>
              <w:t>(Les juges Bélanger, Baudouin et Bachand)</w:t>
            </w:r>
          </w:p>
          <w:p w:rsidR="00D65A7B" w:rsidRPr="001C7519" w:rsidRDefault="00D65A7B" w:rsidP="00D65A7B">
            <w:pPr>
              <w:jc w:val="both"/>
              <w:rPr>
                <w:sz w:val="20"/>
              </w:rPr>
            </w:pPr>
            <w:r w:rsidRPr="001C7519">
              <w:rPr>
                <w:sz w:val="20"/>
              </w:rPr>
              <w:t>Dossier : 500</w:t>
            </w:r>
            <w:r w:rsidRPr="001C7519">
              <w:rPr>
                <w:sz w:val="20"/>
              </w:rPr>
              <w:noBreakHyphen/>
              <w:t>10</w:t>
            </w:r>
            <w:r w:rsidRPr="001C7519">
              <w:rPr>
                <w:sz w:val="20"/>
              </w:rPr>
              <w:noBreakHyphen/>
              <w:t>006737</w:t>
            </w:r>
            <w:r w:rsidRPr="001C7519">
              <w:rPr>
                <w:sz w:val="20"/>
              </w:rPr>
              <w:noBreakHyphen/>
              <w:t>181</w:t>
            </w:r>
          </w:p>
          <w:p w:rsidR="00D65A7B" w:rsidRPr="001C7519" w:rsidRDefault="00E75919" w:rsidP="00D65A7B">
            <w:pPr>
              <w:jc w:val="both"/>
              <w:rPr>
                <w:sz w:val="20"/>
              </w:rPr>
            </w:pPr>
            <w:hyperlink r:id="rId76" w:history="1">
              <w:r w:rsidR="00D65A7B" w:rsidRPr="001C7519">
                <w:rPr>
                  <w:rStyle w:val="Hyperlink"/>
                  <w:sz w:val="20"/>
                </w:rPr>
                <w:t>2021 QCCA 413</w:t>
              </w:r>
            </w:hyperlink>
          </w:p>
          <w:p w:rsidR="00D65A7B" w:rsidRPr="001C7519" w:rsidRDefault="00D65A7B" w:rsidP="00D65A7B">
            <w:pPr>
              <w:jc w:val="both"/>
              <w:rPr>
                <w:sz w:val="20"/>
              </w:rPr>
            </w:pPr>
          </w:p>
        </w:tc>
        <w:tc>
          <w:tcPr>
            <w:tcW w:w="243" w:type="pct"/>
          </w:tcPr>
          <w:p w:rsidR="00D65A7B" w:rsidRPr="001C7519" w:rsidRDefault="00D65A7B" w:rsidP="00D65A7B">
            <w:pPr>
              <w:jc w:val="both"/>
              <w:rPr>
                <w:sz w:val="20"/>
              </w:rPr>
            </w:pPr>
          </w:p>
        </w:tc>
        <w:tc>
          <w:tcPr>
            <w:tcW w:w="2330" w:type="pct"/>
          </w:tcPr>
          <w:p w:rsidR="00D65A7B" w:rsidRPr="001C7519" w:rsidRDefault="00D65A7B" w:rsidP="00D65A7B">
            <w:pPr>
              <w:jc w:val="both"/>
              <w:rPr>
                <w:sz w:val="20"/>
                <w:lang w:val="fr-CA"/>
              </w:rPr>
            </w:pPr>
            <w:r w:rsidRPr="001C7519">
              <w:rPr>
                <w:sz w:val="20"/>
                <w:lang w:val="fr-CA"/>
              </w:rPr>
              <w:t>Appel contre les verdicts de culpabilité rejeté.</w:t>
            </w:r>
          </w:p>
        </w:tc>
      </w:tr>
      <w:tr w:rsidR="00D65A7B" w:rsidRPr="001C7519" w:rsidTr="00E95A6A">
        <w:tc>
          <w:tcPr>
            <w:tcW w:w="2427" w:type="pct"/>
            <w:gridSpan w:val="2"/>
          </w:tcPr>
          <w:p w:rsidR="00D65A7B" w:rsidRPr="001C7519" w:rsidRDefault="00D65A7B" w:rsidP="00D65A7B">
            <w:pPr>
              <w:jc w:val="both"/>
              <w:rPr>
                <w:sz w:val="20"/>
                <w:lang w:val="fr-CA"/>
              </w:rPr>
            </w:pPr>
            <w:r w:rsidRPr="001C7519">
              <w:rPr>
                <w:sz w:val="20"/>
                <w:lang w:val="fr-CA"/>
              </w:rPr>
              <w:t>Le 11 mai 2021</w:t>
            </w:r>
          </w:p>
          <w:p w:rsidR="00D65A7B" w:rsidRPr="001C7519" w:rsidRDefault="00D65A7B" w:rsidP="00D65A7B">
            <w:pPr>
              <w:jc w:val="both"/>
              <w:rPr>
                <w:sz w:val="20"/>
                <w:lang w:val="fr-CA"/>
              </w:rPr>
            </w:pPr>
            <w:r w:rsidRPr="001C7519">
              <w:rPr>
                <w:sz w:val="20"/>
                <w:lang w:val="fr-CA"/>
              </w:rPr>
              <w:t>Cour suprême du Canada</w:t>
            </w:r>
          </w:p>
        </w:tc>
        <w:tc>
          <w:tcPr>
            <w:tcW w:w="243" w:type="pct"/>
          </w:tcPr>
          <w:p w:rsidR="00D65A7B" w:rsidRPr="001C7519" w:rsidRDefault="00D65A7B" w:rsidP="00D65A7B">
            <w:pPr>
              <w:jc w:val="both"/>
              <w:rPr>
                <w:sz w:val="20"/>
                <w:lang w:val="fr-CA"/>
              </w:rPr>
            </w:pPr>
          </w:p>
        </w:tc>
        <w:tc>
          <w:tcPr>
            <w:tcW w:w="2330" w:type="pct"/>
          </w:tcPr>
          <w:p w:rsidR="00D65A7B" w:rsidRPr="001C7519" w:rsidRDefault="00D65A7B" w:rsidP="00D65A7B">
            <w:pPr>
              <w:jc w:val="both"/>
              <w:rPr>
                <w:sz w:val="20"/>
              </w:rPr>
            </w:pPr>
            <w:r w:rsidRPr="001C7519">
              <w:rPr>
                <w:sz w:val="20"/>
              </w:rPr>
              <w:t>Demande d’autorisation d’appel déposée.</w:t>
            </w:r>
          </w:p>
          <w:p w:rsidR="00D65A7B" w:rsidRPr="001C7519" w:rsidRDefault="00D65A7B" w:rsidP="00D65A7B">
            <w:pPr>
              <w:jc w:val="both"/>
              <w:rPr>
                <w:sz w:val="20"/>
              </w:rPr>
            </w:pPr>
          </w:p>
        </w:tc>
      </w:tr>
    </w:tbl>
    <w:p w:rsidR="00843C56" w:rsidRPr="001C7519" w:rsidRDefault="00843C56" w:rsidP="00350651">
      <w:pPr>
        <w:widowControl w:val="0"/>
        <w:tabs>
          <w:tab w:val="left" w:pos="3840"/>
        </w:tabs>
        <w:jc w:val="both"/>
        <w:rPr>
          <w:sz w:val="20"/>
          <w:lang w:val="fr-CA"/>
        </w:rPr>
      </w:pPr>
    </w:p>
    <w:p w:rsidR="005A7B6B" w:rsidRPr="001C7519" w:rsidRDefault="00E75919" w:rsidP="00350651">
      <w:pPr>
        <w:widowControl w:val="0"/>
        <w:jc w:val="both"/>
        <w:rPr>
          <w:sz w:val="20"/>
        </w:rPr>
      </w:pPr>
      <w:r>
        <w:rPr>
          <w:sz w:val="20"/>
        </w:rPr>
        <w:pict>
          <v:rect id="_x0000_i1057" style="width:2in;height:1pt" o:hrpct="0" o:hralign="center" o:hrstd="t" o:hrnoshade="t" o:hr="t" fillcolor="black [3213]" stroked="f"/>
        </w:pict>
      </w:r>
    </w:p>
    <w:p w:rsidR="00FD3FA0" w:rsidRPr="001C7519" w:rsidRDefault="00FD3FA0" w:rsidP="00350651">
      <w:pPr>
        <w:ind w:left="142" w:hanging="142"/>
        <w:jc w:val="both"/>
        <w:rPr>
          <w:sz w:val="20"/>
        </w:rPr>
      </w:pPr>
    </w:p>
    <w:p w:rsidR="008F2F11" w:rsidRPr="001C7519" w:rsidRDefault="008F2F11" w:rsidP="00350651">
      <w:pPr>
        <w:ind w:left="142" w:hanging="142"/>
        <w:jc w:val="both"/>
        <w:rPr>
          <w:sz w:val="20"/>
        </w:rPr>
      </w:pPr>
    </w:p>
    <w:p w:rsidR="008F2F11" w:rsidRPr="001C7519" w:rsidRDefault="008F2F11" w:rsidP="00350651">
      <w:pPr>
        <w:ind w:left="142" w:hanging="142"/>
        <w:jc w:val="both"/>
        <w:rPr>
          <w:sz w:val="20"/>
        </w:rPr>
      </w:pPr>
    </w:p>
    <w:p w:rsidR="00D3344A" w:rsidRPr="001C7519" w:rsidRDefault="00D3344A" w:rsidP="00D3344A">
      <w:pPr>
        <w:widowControl w:val="0"/>
        <w:outlineLvl w:val="0"/>
      </w:pPr>
      <w:r w:rsidRPr="001C7519">
        <w:t xml:space="preserve">Supreme Court of Canada / Cour suprême du </w:t>
      </w:r>
      <w:proofErr w:type="gramStart"/>
      <w:r w:rsidRPr="001C7519">
        <w:t>Canad</w:t>
      </w:r>
      <w:r w:rsidR="00EE289F" w:rsidRPr="001C7519">
        <w:t>a</w:t>
      </w:r>
      <w:r w:rsidRPr="001C7519">
        <w:t xml:space="preserve"> :</w:t>
      </w:r>
      <w:proofErr w:type="gramEnd"/>
    </w:p>
    <w:p w:rsidR="00D3344A" w:rsidRPr="001C7519" w:rsidRDefault="00E75919" w:rsidP="00D3344A">
      <w:pPr>
        <w:widowControl w:val="0"/>
        <w:outlineLvl w:val="0"/>
        <w:rPr>
          <w:u w:val="single"/>
        </w:rPr>
      </w:pPr>
      <w:hyperlink r:id="rId77" w:history="1">
        <w:r w:rsidR="009B7391" w:rsidRPr="001C7519">
          <w:rPr>
            <w:rStyle w:val="Hyperlink"/>
          </w:rPr>
          <w:t>comments-commentaires@scc-csc.ca</w:t>
        </w:r>
      </w:hyperlink>
    </w:p>
    <w:p w:rsidR="00D3344A" w:rsidRPr="001C7519" w:rsidRDefault="0065588C" w:rsidP="00D3344A">
      <w:pPr>
        <w:widowControl w:val="0"/>
        <w:outlineLvl w:val="0"/>
      </w:pPr>
      <w:r w:rsidRPr="001C7519">
        <w:t>613-</w:t>
      </w:r>
      <w:r w:rsidR="00D3344A" w:rsidRPr="001C7519">
        <w:t>995-4330</w:t>
      </w:r>
    </w:p>
    <w:p w:rsidR="00497B5E" w:rsidRPr="001C7519" w:rsidRDefault="00497B5E" w:rsidP="00497B5E">
      <w:pPr>
        <w:widowControl w:val="0"/>
        <w:rPr>
          <w:sz w:val="20"/>
        </w:rPr>
      </w:pPr>
    </w:p>
    <w:p w:rsidR="00F6251B" w:rsidRPr="006E558B" w:rsidRDefault="003F43E6" w:rsidP="00F6251B">
      <w:pPr>
        <w:pStyle w:val="Footer"/>
        <w:jc w:val="center"/>
      </w:pPr>
      <w:r w:rsidRPr="001C7519">
        <w:t>- 30 -</w:t>
      </w:r>
      <w:bookmarkEnd w:id="0"/>
    </w:p>
    <w:sectPr w:rsidR="00F6251B" w:rsidRPr="006E558B" w:rsidSect="00E62F93">
      <w:headerReference w:type="even" r:id="rId78"/>
      <w:headerReference w:type="default" r:id="rId79"/>
      <w:footerReference w:type="even" r:id="rId80"/>
      <w:footerReference w:type="default" r:id="rId81"/>
      <w:headerReference w:type="first" r:id="rId82"/>
      <w:footerReference w:type="first" r:id="rId83"/>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25A" w:rsidRDefault="004C625A" w:rsidP="0034178A">
      <w:r>
        <w:separator/>
      </w:r>
    </w:p>
  </w:endnote>
  <w:endnote w:type="continuationSeparator" w:id="0">
    <w:p w:rsidR="004C625A" w:rsidRDefault="004C625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25A" w:rsidRDefault="004C6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25A" w:rsidRPr="009F77F0" w:rsidRDefault="004C625A"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25A" w:rsidRDefault="004C6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25A" w:rsidRDefault="004C625A" w:rsidP="0034178A">
      <w:r>
        <w:separator/>
      </w:r>
    </w:p>
  </w:footnote>
  <w:footnote w:type="continuationSeparator" w:id="0">
    <w:p w:rsidR="004C625A" w:rsidRDefault="004C625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25A" w:rsidRDefault="004C6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25A" w:rsidRDefault="004C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25A" w:rsidRDefault="004C6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4CB"/>
    <w:multiLevelType w:val="hybridMultilevel"/>
    <w:tmpl w:val="DDF83788"/>
    <w:lvl w:ilvl="0" w:tplc="D7CEB04C">
      <w:start w:val="7"/>
      <w:numFmt w:val="decimal"/>
      <w:lvlText w:val="%1."/>
      <w:lvlJc w:val="left"/>
      <w:pPr>
        <w:tabs>
          <w:tab w:val="num" w:pos="360"/>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0C1"/>
    <w:multiLevelType w:val="hybridMultilevel"/>
    <w:tmpl w:val="E98A046A"/>
    <w:lvl w:ilvl="0" w:tplc="9FE47D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57D53"/>
    <w:multiLevelType w:val="hybridMultilevel"/>
    <w:tmpl w:val="D4D0E024"/>
    <w:lvl w:ilvl="0" w:tplc="E500BCC8">
      <w:start w:val="5"/>
      <w:numFmt w:val="decimal"/>
      <w:lvlText w:val="%1."/>
      <w:lvlJc w:val="left"/>
      <w:pPr>
        <w:ind w:left="882" w:hanging="738"/>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9C865A2"/>
    <w:multiLevelType w:val="hybridMultilevel"/>
    <w:tmpl w:val="EB4E955E"/>
    <w:lvl w:ilvl="0" w:tplc="C6345860">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B45B2"/>
    <w:multiLevelType w:val="hybridMultilevel"/>
    <w:tmpl w:val="7A0CAA5C"/>
    <w:lvl w:ilvl="0" w:tplc="F6AA7EE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E0B80"/>
    <w:multiLevelType w:val="hybridMultilevel"/>
    <w:tmpl w:val="59C2CEF4"/>
    <w:lvl w:ilvl="0" w:tplc="13AE61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6760A"/>
    <w:multiLevelType w:val="hybridMultilevel"/>
    <w:tmpl w:val="CE2033EA"/>
    <w:lvl w:ilvl="0" w:tplc="17D23F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B3DFD"/>
    <w:multiLevelType w:val="hybridMultilevel"/>
    <w:tmpl w:val="8C925AF8"/>
    <w:lvl w:ilvl="0" w:tplc="2FD67EC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73E1D"/>
    <w:multiLevelType w:val="hybridMultilevel"/>
    <w:tmpl w:val="0D386928"/>
    <w:lvl w:ilvl="0" w:tplc="C526DC6E">
      <w:start w:val="7"/>
      <w:numFmt w:val="decimal"/>
      <w:lvlText w:val="%1."/>
      <w:lvlJc w:val="left"/>
      <w:pPr>
        <w:tabs>
          <w:tab w:val="num" w:pos="810"/>
        </w:tabs>
        <w:ind w:left="810" w:hanging="432"/>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DE3324E"/>
    <w:multiLevelType w:val="hybridMultilevel"/>
    <w:tmpl w:val="7DCEE960"/>
    <w:lvl w:ilvl="0" w:tplc="B26691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47A24"/>
    <w:multiLevelType w:val="hybridMultilevel"/>
    <w:tmpl w:val="F2042A6E"/>
    <w:lvl w:ilvl="0" w:tplc="C8201D52">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56FA4"/>
    <w:multiLevelType w:val="hybridMultilevel"/>
    <w:tmpl w:val="8E668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10077"/>
    <w:multiLevelType w:val="hybridMultilevel"/>
    <w:tmpl w:val="1EEA51E4"/>
    <w:lvl w:ilvl="0" w:tplc="F386F8FA">
      <w:start w:val="5"/>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F940AD1"/>
    <w:multiLevelType w:val="hybridMultilevel"/>
    <w:tmpl w:val="52C6D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238A6"/>
    <w:multiLevelType w:val="hybridMultilevel"/>
    <w:tmpl w:val="7ECE471E"/>
    <w:lvl w:ilvl="0" w:tplc="B85AD69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4198C"/>
    <w:multiLevelType w:val="hybridMultilevel"/>
    <w:tmpl w:val="8146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7811838"/>
    <w:multiLevelType w:val="hybridMultilevel"/>
    <w:tmpl w:val="93243EFA"/>
    <w:lvl w:ilvl="0" w:tplc="62F830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32C7D"/>
    <w:multiLevelType w:val="hybridMultilevel"/>
    <w:tmpl w:val="EC9E2B3A"/>
    <w:lvl w:ilvl="0" w:tplc="A38470F2">
      <w:start w:val="4"/>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02E80"/>
    <w:multiLevelType w:val="hybridMultilevel"/>
    <w:tmpl w:val="2556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B5570"/>
    <w:multiLevelType w:val="hybridMultilevel"/>
    <w:tmpl w:val="9698D48A"/>
    <w:lvl w:ilvl="0" w:tplc="2E2CDE1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03142F"/>
    <w:multiLevelType w:val="hybridMultilevel"/>
    <w:tmpl w:val="C5027DC4"/>
    <w:lvl w:ilvl="0" w:tplc="44F8595E">
      <w:start w:val="1"/>
      <w:numFmt w:val="decimal"/>
      <w:lvlText w:val="%1."/>
      <w:lvlJc w:val="left"/>
      <w:pPr>
        <w:ind w:left="720" w:hanging="360"/>
      </w:pPr>
      <w:rPr>
        <w:rFonts w:eastAsiaTheme="minorEastAsia" w:hint="default"/>
        <w:b w:val="0"/>
        <w:i w:val="0"/>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D13C1D"/>
    <w:multiLevelType w:val="hybridMultilevel"/>
    <w:tmpl w:val="C0C4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A3715"/>
    <w:multiLevelType w:val="hybridMultilevel"/>
    <w:tmpl w:val="9D7E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C1576A"/>
    <w:multiLevelType w:val="hybridMultilevel"/>
    <w:tmpl w:val="88B40416"/>
    <w:lvl w:ilvl="0" w:tplc="26BA182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2366B4"/>
    <w:multiLevelType w:val="hybridMultilevel"/>
    <w:tmpl w:val="1862D8FE"/>
    <w:lvl w:ilvl="0" w:tplc="094E33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F56A9E"/>
    <w:multiLevelType w:val="hybridMultilevel"/>
    <w:tmpl w:val="6C8225C0"/>
    <w:lvl w:ilvl="0" w:tplc="B39ABB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ED1985"/>
    <w:multiLevelType w:val="hybridMultilevel"/>
    <w:tmpl w:val="5FDC167E"/>
    <w:lvl w:ilvl="0" w:tplc="AE7AF138">
      <w:start w:val="3"/>
      <w:numFmt w:val="decimal"/>
      <w:lvlText w:val="%1."/>
      <w:lvlJc w:val="left"/>
      <w:pPr>
        <w:tabs>
          <w:tab w:val="num" w:pos="432"/>
        </w:tabs>
        <w:ind w:left="216" w:hanging="72"/>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A11C3E"/>
    <w:multiLevelType w:val="hybridMultilevel"/>
    <w:tmpl w:val="5CA6DF52"/>
    <w:lvl w:ilvl="0" w:tplc="0F823C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BD250F"/>
    <w:multiLevelType w:val="hybridMultilevel"/>
    <w:tmpl w:val="935CA012"/>
    <w:lvl w:ilvl="0" w:tplc="1EE82A34">
      <w:start w:val="5"/>
      <w:numFmt w:val="decimal"/>
      <w:lvlText w:val="%1."/>
      <w:lvlJc w:val="left"/>
      <w:pPr>
        <w:tabs>
          <w:tab w:val="num" w:pos="360"/>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210304"/>
    <w:multiLevelType w:val="hybridMultilevel"/>
    <w:tmpl w:val="DF600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3C185E"/>
    <w:multiLevelType w:val="hybridMultilevel"/>
    <w:tmpl w:val="01E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B26B2E"/>
    <w:multiLevelType w:val="hybridMultilevel"/>
    <w:tmpl w:val="15B8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1E13BB"/>
    <w:multiLevelType w:val="hybridMultilevel"/>
    <w:tmpl w:val="F79E2C60"/>
    <w:lvl w:ilvl="0" w:tplc="B91615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A607CE"/>
    <w:multiLevelType w:val="hybridMultilevel"/>
    <w:tmpl w:val="32FA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CE65A6"/>
    <w:multiLevelType w:val="hybridMultilevel"/>
    <w:tmpl w:val="A7645834"/>
    <w:lvl w:ilvl="0" w:tplc="4C48F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044618"/>
    <w:multiLevelType w:val="hybridMultilevel"/>
    <w:tmpl w:val="9D926EC6"/>
    <w:lvl w:ilvl="0" w:tplc="3B2EA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8"/>
  </w:num>
  <w:num w:numId="3">
    <w:abstractNumId w:val="14"/>
  </w:num>
  <w:num w:numId="4">
    <w:abstractNumId w:val="34"/>
  </w:num>
  <w:num w:numId="5">
    <w:abstractNumId w:val="48"/>
  </w:num>
  <w:num w:numId="6">
    <w:abstractNumId w:val="33"/>
  </w:num>
  <w:num w:numId="7">
    <w:abstractNumId w:val="40"/>
  </w:num>
  <w:num w:numId="8">
    <w:abstractNumId w:val="23"/>
  </w:num>
  <w:num w:numId="9">
    <w:abstractNumId w:val="2"/>
  </w:num>
  <w:num w:numId="10">
    <w:abstractNumId w:val="45"/>
  </w:num>
  <w:num w:numId="11">
    <w:abstractNumId w:val="30"/>
  </w:num>
  <w:num w:numId="12">
    <w:abstractNumId w:val="28"/>
  </w:num>
  <w:num w:numId="13">
    <w:abstractNumId w:val="27"/>
  </w:num>
  <w:num w:numId="14">
    <w:abstractNumId w:val="49"/>
  </w:num>
  <w:num w:numId="15">
    <w:abstractNumId w:val="36"/>
  </w:num>
  <w:num w:numId="16">
    <w:abstractNumId w:val="6"/>
  </w:num>
  <w:num w:numId="17">
    <w:abstractNumId w:val="11"/>
  </w:num>
  <w:num w:numId="18">
    <w:abstractNumId w:val="44"/>
  </w:num>
  <w:num w:numId="19">
    <w:abstractNumId w:val="47"/>
  </w:num>
  <w:num w:numId="20">
    <w:abstractNumId w:val="43"/>
  </w:num>
  <w:num w:numId="21">
    <w:abstractNumId w:val="17"/>
  </w:num>
  <w:num w:numId="22">
    <w:abstractNumId w:val="19"/>
  </w:num>
  <w:num w:numId="23">
    <w:abstractNumId w:val="32"/>
  </w:num>
  <w:num w:numId="24">
    <w:abstractNumId w:val="1"/>
  </w:num>
  <w:num w:numId="25">
    <w:abstractNumId w:val="13"/>
  </w:num>
  <w:num w:numId="26">
    <w:abstractNumId w:val="7"/>
  </w:num>
  <w:num w:numId="27">
    <w:abstractNumId w:val="8"/>
  </w:num>
  <w:num w:numId="28">
    <w:abstractNumId w:val="24"/>
  </w:num>
  <w:num w:numId="29">
    <w:abstractNumId w:val="20"/>
  </w:num>
  <w:num w:numId="30">
    <w:abstractNumId w:val="4"/>
  </w:num>
  <w:num w:numId="31">
    <w:abstractNumId w:val="3"/>
  </w:num>
  <w:num w:numId="32">
    <w:abstractNumId w:val="5"/>
  </w:num>
  <w:num w:numId="33">
    <w:abstractNumId w:val="9"/>
  </w:num>
  <w:num w:numId="34">
    <w:abstractNumId w:val="42"/>
  </w:num>
  <w:num w:numId="35">
    <w:abstractNumId w:val="31"/>
  </w:num>
  <w:num w:numId="36">
    <w:abstractNumId w:val="22"/>
  </w:num>
  <w:num w:numId="37">
    <w:abstractNumId w:val="41"/>
  </w:num>
  <w:num w:numId="38">
    <w:abstractNumId w:val="15"/>
  </w:num>
  <w:num w:numId="39">
    <w:abstractNumId w:val="0"/>
  </w:num>
  <w:num w:numId="40">
    <w:abstractNumId w:val="38"/>
  </w:num>
  <w:num w:numId="41">
    <w:abstractNumId w:val="10"/>
  </w:num>
  <w:num w:numId="42">
    <w:abstractNumId w:val="26"/>
  </w:num>
  <w:num w:numId="43">
    <w:abstractNumId w:val="29"/>
  </w:num>
  <w:num w:numId="44">
    <w:abstractNumId w:val="21"/>
  </w:num>
  <w:num w:numId="45">
    <w:abstractNumId w:val="25"/>
  </w:num>
  <w:num w:numId="46">
    <w:abstractNumId w:val="16"/>
  </w:num>
  <w:num w:numId="47">
    <w:abstractNumId w:val="39"/>
  </w:num>
  <w:num w:numId="48">
    <w:abstractNumId w:val="12"/>
  </w:num>
  <w:num w:numId="49">
    <w:abstractNumId w:val="35"/>
  </w:num>
  <w:num w:numId="50">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2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C1A"/>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9BD"/>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19"/>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1E4C"/>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25A"/>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0E6"/>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3C56"/>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599"/>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A3D"/>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6E98"/>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09BE"/>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A7B"/>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5919"/>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5D4"/>
    <w:rsid w:val="00FB56BD"/>
    <w:rsid w:val="00FB578C"/>
    <w:rsid w:val="00FB58BB"/>
    <w:rsid w:val="00FB597D"/>
    <w:rsid w:val="00FB5AF9"/>
    <w:rsid w:val="00FB634D"/>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668" TargetMode="External"/><Relationship Id="rId18" Type="http://schemas.openxmlformats.org/officeDocument/2006/relationships/hyperlink" Target="https://www.scc-csc.ca/case-dossier/info/sum-som-fra.aspx?cas=39658" TargetMode="External"/><Relationship Id="rId26" Type="http://schemas.openxmlformats.org/officeDocument/2006/relationships/hyperlink" Target="https://www.canlii.org/en/bc/bcca/doc/2021/2021bcca2/2021bcca2.html?autocompleteStr=2021%20BCCA%202&amp;autocompletePos=1" TargetMode="External"/><Relationship Id="rId39" Type="http://schemas.openxmlformats.org/officeDocument/2006/relationships/hyperlink" Target="https://www.canlii.org/en/ca/fca/doc/2021/2021fca40/2021fca40.pdf" TargetMode="External"/><Relationship Id="rId21" Type="http://schemas.openxmlformats.org/officeDocument/2006/relationships/hyperlink" Target="https://www.scc-csc.ca/case-dossier/info/sum-som-eng.aspx?cas=39628" TargetMode="External"/><Relationship Id="rId34" Type="http://schemas.openxmlformats.org/officeDocument/2006/relationships/hyperlink" Target="https://www.canlii.org/fr/ca/cfpi/doc/2019/2019cf1604/2019cf1604.pdf" TargetMode="External"/><Relationship Id="rId42" Type="http://schemas.openxmlformats.org/officeDocument/2006/relationships/hyperlink" Target="https://www.canlii.org/fr/ca/caf/doc/2021/2021caf40/2021caf40.pdf" TargetMode="External"/><Relationship Id="rId47" Type="http://schemas.openxmlformats.org/officeDocument/2006/relationships/hyperlink" Target="https://www.canlii.org/en/on/onsc/doc/2019/2019onsc5303/2019onsc5303.html" TargetMode="External"/><Relationship Id="rId50" Type="http://schemas.openxmlformats.org/officeDocument/2006/relationships/hyperlink" Target="https://www.canlii.org/en/on/onca/doc/2020/2020onca846/2020onca846.html" TargetMode="External"/><Relationship Id="rId55" Type="http://schemas.openxmlformats.org/officeDocument/2006/relationships/hyperlink" Target="https://canlii.ca/t/jbnxf" TargetMode="External"/><Relationship Id="rId63" Type="http://schemas.openxmlformats.org/officeDocument/2006/relationships/hyperlink" Target="https://www.canlii.org/en/bc/bcsc/doc/2019/2019bcsc1624/2019bcsc1624.html?resultIndex=1" TargetMode="External"/><Relationship Id="rId68" Type="http://schemas.openxmlformats.org/officeDocument/2006/relationships/hyperlink" Target="https://www.canlii.org/en/on/onca/doc/2021/2021onca218/2021onca218.html?resultIndex=1" TargetMode="External"/><Relationship Id="rId76" Type="http://schemas.openxmlformats.org/officeDocument/2006/relationships/hyperlink" Target="https://www.canlii.org/fr/qc/qcca/doc/2021/2021qcca413/2021qcca413.html?autocompleteStr=%2C%202021%20QCCA%20413%20(&amp;autocompletePos=1"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anlii.org/en/bc/bcsc/doc/2018/2018bcsc2167/2018bcsc2167.html?resultIndex=1" TargetMode="External"/><Relationship Id="rId2" Type="http://schemas.openxmlformats.org/officeDocument/2006/relationships/numbering" Target="numbering.xml"/><Relationship Id="rId16" Type="http://schemas.openxmlformats.org/officeDocument/2006/relationships/hyperlink" Target="https://www.scc-csc.ca/case-dossier/info/sum-som-eng.aspx?cas=39535" TargetMode="External"/><Relationship Id="rId29" Type="http://schemas.openxmlformats.org/officeDocument/2006/relationships/hyperlink" Target="https://www.canlii.org/en/bc/bcca/doc/2021/2021bcca2/2021bcca2.html?autocompleteStr=2021%20BCCA%202&amp;autocompletePos=1" TargetMode="External"/><Relationship Id="rId11" Type="http://schemas.openxmlformats.org/officeDocument/2006/relationships/hyperlink" Target="https://www.scc-csc.ca/case-dossier/info/sum-som-fra.aspx?cas=39614" TargetMode="External"/><Relationship Id="rId24" Type="http://schemas.openxmlformats.org/officeDocument/2006/relationships/hyperlink" Target="https://www.canlii.org/en/bc/bcsc/doc/2015/2015bcsc1400/2015bcsc1400.html?autocompleteStr=2015%20BCSC%201400&amp;autocompletePos=1" TargetMode="External"/><Relationship Id="rId32" Type="http://schemas.openxmlformats.org/officeDocument/2006/relationships/hyperlink" Target="https://www.canlii.org/en/sk/skca/doc/2021/2021skca34/2021skca34.html?resultIndex=1" TargetMode="External"/><Relationship Id="rId37" Type="http://schemas.openxmlformats.org/officeDocument/2006/relationships/hyperlink" Target="https://www.canlii.org/fr/ca/cfpi/doc/2019/2019cf1604/2019cf1604.pdf" TargetMode="External"/><Relationship Id="rId40" Type="http://schemas.openxmlformats.org/officeDocument/2006/relationships/hyperlink" Target="https://www.canlii.org/fr/ca/cfpi/doc/2019/2019cf1604/2019cf1604.pdf" TargetMode="External"/><Relationship Id="rId45" Type="http://schemas.openxmlformats.org/officeDocument/2006/relationships/hyperlink" Target="https://www.canlii.org/en/bc/bcsc/doc/2019/2019bcsc2216/2019bcsc2216.html" TargetMode="External"/><Relationship Id="rId53" Type="http://schemas.openxmlformats.org/officeDocument/2006/relationships/hyperlink" Target="https://www.canlii.org/fr/qc/qccs/doc/2019/2019qccs1726/2019qccs1726.pdf" TargetMode="External"/><Relationship Id="rId58" Type="http://schemas.openxmlformats.org/officeDocument/2006/relationships/hyperlink" Target="https://www.canlii.org/en/ca/fca/doc/2020/2020fca210/2020fca210.html" TargetMode="External"/><Relationship Id="rId66" Type="http://schemas.openxmlformats.org/officeDocument/2006/relationships/hyperlink" Target="https://www.canlii.org/en/bc/bcca/doc/2021/2021bcca97/2021bcca97.html?resultIndex=1" TargetMode="External"/><Relationship Id="rId74" Type="http://schemas.openxmlformats.org/officeDocument/2006/relationships/hyperlink" Target="https://www.canlii.org/en/bc/bcca/doc/2021/2021bcca102/2021bcca102.html?autocompleteStr=2021%20bcca%20102&amp;autocompletePos=1"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canlii.org/fr/qc/qcca/doc/2020/2020qcca1210/2020qcca1210.html?autocompleteStr=2020%20QCCA%201210&amp;autocompletePos=1" TargetMode="External"/><Relationship Id="rId82" Type="http://schemas.openxmlformats.org/officeDocument/2006/relationships/header" Target="header3.xml"/><Relationship Id="rId19" Type="http://schemas.openxmlformats.org/officeDocument/2006/relationships/hyperlink" Target="https://www.scc-csc.ca/case-dossier/info/sum-som-eng.aspx?cas=39653" TargetMode="External"/><Relationship Id="rId4" Type="http://schemas.openxmlformats.org/officeDocument/2006/relationships/settings" Target="settings.xml"/><Relationship Id="rId9" Type="http://schemas.openxmlformats.org/officeDocument/2006/relationships/hyperlink" Target="https://www.scc-csc.ca/case-dossier/info/sum-som-eng.aspx?cas=39646" TargetMode="External"/><Relationship Id="rId14" Type="http://schemas.openxmlformats.org/officeDocument/2006/relationships/hyperlink" Target="https://www.scc-csc.ca/case-dossier/info/sum-som-eng.aspx?cas=39671" TargetMode="External"/><Relationship Id="rId22" Type="http://schemas.openxmlformats.org/officeDocument/2006/relationships/hyperlink" Target="https://www.scc-csc.ca/case-dossier/info/sum-som-eng.aspx?cas=39652" TargetMode="External"/><Relationship Id="rId27" Type="http://schemas.openxmlformats.org/officeDocument/2006/relationships/hyperlink" Target="https://www.canlii.org/en/bc/bcsc/doc/2015/2015bcsc1400/2015bcsc1400.html?autocompleteStr=2015%20BCSC%201400&amp;autocompletePos=1" TargetMode="External"/><Relationship Id="rId30" Type="http://schemas.openxmlformats.org/officeDocument/2006/relationships/hyperlink" Target="https://canlii.ca/t/hxzsw" TargetMode="External"/><Relationship Id="rId35" Type="http://schemas.openxmlformats.org/officeDocument/2006/relationships/hyperlink" Target="https://www.canlii.org/en/ca/fct/doc/2020/2020fc789/2020fc789.pdf" TargetMode="External"/><Relationship Id="rId43" Type="http://schemas.openxmlformats.org/officeDocument/2006/relationships/hyperlink" Target="https://www.canlii.org/en/bc/bcsc/doc/2019/2019bcsc2216/2019bcsc2216.html" TargetMode="External"/><Relationship Id="rId48" Type="http://schemas.openxmlformats.org/officeDocument/2006/relationships/hyperlink" Target="https://www.canlii.org/en/on/onca/doc/2020/2020onca846/2020onca846.html" TargetMode="External"/><Relationship Id="rId56" Type="http://schemas.openxmlformats.org/officeDocument/2006/relationships/hyperlink" Target="https://canlii.ca/t/jbnxf" TargetMode="External"/><Relationship Id="rId64" Type="http://schemas.openxmlformats.org/officeDocument/2006/relationships/hyperlink" Target="https://www.canlii.org/en/bc/bcca/doc/2021/2021bcca97/2021bcca97.html?resultIndex=1" TargetMode="External"/><Relationship Id="rId69" Type="http://schemas.openxmlformats.org/officeDocument/2006/relationships/hyperlink" Target="https://www.canlii.org/en/bc/bcsc/doc/2018/2018bcsc2167/2018bcsc2167.html?resultIndex=1" TargetMode="External"/><Relationship Id="rId77" Type="http://schemas.openxmlformats.org/officeDocument/2006/relationships/hyperlink" Target="mailto:comments-commentaires@scc-csc.ca" TargetMode="External"/><Relationship Id="rId8" Type="http://schemas.openxmlformats.org/officeDocument/2006/relationships/hyperlink" Target="https://www.scc-csc.ca/case-dossier/info/sum-som-eng.aspx?cas=39621" TargetMode="External"/><Relationship Id="rId51" Type="http://schemas.openxmlformats.org/officeDocument/2006/relationships/hyperlink" Target="https://www.canlii.org/fr/qc/qccs/doc/2019/2019qccs1726/2019qccs1726.pdf" TargetMode="External"/><Relationship Id="rId72" Type="http://schemas.openxmlformats.org/officeDocument/2006/relationships/hyperlink" Target="https://www.canlii.org/en/bc/bcca/doc/2021/2021bcca99/2021bcca99.html?resultIndex=1"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cc-csc.ca/case-dossier/info/sum-som-fra.aspx?cas=39636" TargetMode="External"/><Relationship Id="rId17" Type="http://schemas.openxmlformats.org/officeDocument/2006/relationships/hyperlink" Target="https://www.scc-csc.ca/case-dossier/info/sum-som-eng.aspx?cas=39576" TargetMode="External"/><Relationship Id="rId25" Type="http://schemas.openxmlformats.org/officeDocument/2006/relationships/hyperlink" Target="https://www.canlii.org/en/bc/bcsc/doc/2019/2019bcsc1336/2019bcsc1336.html?autocompleteStr=2019%20BCSC%201336&amp;autocompletePos=1" TargetMode="External"/><Relationship Id="rId33" Type="http://schemas.openxmlformats.org/officeDocument/2006/relationships/hyperlink" Target="https://www.canlii.org/en/sk/skca/doc/2021/2021skca34/2021skca34.html?resultIndex=1" TargetMode="External"/><Relationship Id="rId38" Type="http://schemas.openxmlformats.org/officeDocument/2006/relationships/hyperlink" Target="https://www.canlii.org/fr/ca/cfpi/doc/2020/2020cf602/2020cf602.pdf" TargetMode="External"/><Relationship Id="rId46" Type="http://schemas.openxmlformats.org/officeDocument/2006/relationships/hyperlink" Target="https://www.canlii.org/en/bc/bcca/doc/2021/2021bcca152/2021bcca152.html" TargetMode="External"/><Relationship Id="rId59" Type="http://schemas.openxmlformats.org/officeDocument/2006/relationships/hyperlink" Target="https://www.canlii.org/fr/ca/cfpi/doc/2019/2019cf1104/2019cf1104.html" TargetMode="External"/><Relationship Id="rId67" Type="http://schemas.openxmlformats.org/officeDocument/2006/relationships/hyperlink" Target="https://www.canlii.org/en/on/onca/doc/2021/2021onca218/2021onca218.html?resultIndex=1" TargetMode="External"/><Relationship Id="rId20" Type="http://schemas.openxmlformats.org/officeDocument/2006/relationships/hyperlink" Target="https://www.scc-csc.ca/case-dossier/info/sum-som-eng.aspx?cas=39730" TargetMode="External"/><Relationship Id="rId41" Type="http://schemas.openxmlformats.org/officeDocument/2006/relationships/hyperlink" Target="https://www.canlii.org/fr/ca/cfpi/doc/2020/2020cf602/2020cf602.pdf" TargetMode="External"/><Relationship Id="rId54" Type="http://schemas.openxmlformats.org/officeDocument/2006/relationships/hyperlink" Target="https://www.canlii.org/fr/qc/qcca/doc/2021/2021qcca324/2021qcca324.pdf" TargetMode="External"/><Relationship Id="rId62" Type="http://schemas.openxmlformats.org/officeDocument/2006/relationships/hyperlink" Target="https://www.canlii.org/fr/qc/qcca/doc/2020/2020qcca1210/2020qcca1210.html?autocompleteStr=2020%20QCCA%201210&amp;autocompletePos=1" TargetMode="External"/><Relationship Id="rId70" Type="http://schemas.openxmlformats.org/officeDocument/2006/relationships/hyperlink" Target="https://www.canlii.org/en/bc/bcca/doc/2021/2021bcca99/2021bcca99.html?resultIndex=1" TargetMode="External"/><Relationship Id="rId75" Type="http://schemas.openxmlformats.org/officeDocument/2006/relationships/hyperlink" Target="https://www.canlii.org/fr/qc/qcca/doc/2021/2021qcca413/2021qcca413.html?autocompleteStr=%2C%202021%20QCCA%20413%20(&amp;autocompletePos=1"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fra.aspx?cas=39640" TargetMode="External"/><Relationship Id="rId23" Type="http://schemas.openxmlformats.org/officeDocument/2006/relationships/hyperlink" Target="https://www.scc-csc.ca/case-dossier/info/sum-som-fra.aspx?cas=39686" TargetMode="External"/><Relationship Id="rId28" Type="http://schemas.openxmlformats.org/officeDocument/2006/relationships/hyperlink" Target="https://www.canlii.org/en/bc/bcsc/doc/2019/2019bcsc1336/2019bcsc1336.html?autocompleteStr=2019%20BCSC%201336&amp;autocompletePos=1" TargetMode="External"/><Relationship Id="rId36" Type="http://schemas.openxmlformats.org/officeDocument/2006/relationships/hyperlink" Target="https://www.canlii.org/en/ca/fca/doc/2021/2021fca8/2021fca8.pdf" TargetMode="External"/><Relationship Id="rId49" Type="http://schemas.openxmlformats.org/officeDocument/2006/relationships/hyperlink" Target="https://www.canlii.org/en/on/onsc/doc/2019/2019onsc5303/2019onsc5303.html" TargetMode="External"/><Relationship Id="rId57" Type="http://schemas.openxmlformats.org/officeDocument/2006/relationships/hyperlink" Target="https://www.canlii.org/en/ca/fct/doc/2019/2019fc1104/2019fc1104.html" TargetMode="External"/><Relationship Id="rId10" Type="http://schemas.openxmlformats.org/officeDocument/2006/relationships/hyperlink" Target="https://www.scc-csc.ca/case-dossier/info/sum-som-eng.aspx?cas=39651" TargetMode="External"/><Relationship Id="rId31" Type="http://schemas.openxmlformats.org/officeDocument/2006/relationships/hyperlink" Target="https://canlii.ca/t/hxzsw" TargetMode="External"/><Relationship Id="rId44" Type="http://schemas.openxmlformats.org/officeDocument/2006/relationships/hyperlink" Target="https://www.canlii.org/en/bc/bcca/doc/2021/2021bcca152/2021bcca152.html" TargetMode="External"/><Relationship Id="rId52" Type="http://schemas.openxmlformats.org/officeDocument/2006/relationships/hyperlink" Target="https://www.canlii.org/fr/qc/qcca/doc/2021/2021qcca324/2021qcca324.pdf" TargetMode="External"/><Relationship Id="rId60" Type="http://schemas.openxmlformats.org/officeDocument/2006/relationships/hyperlink" Target="https://www.canlii.org/fr/ca/caf/doc/2020/2020caf210/2020caf210.html" TargetMode="External"/><Relationship Id="rId65" Type="http://schemas.openxmlformats.org/officeDocument/2006/relationships/hyperlink" Target="https://www.canlii.org/en/bc/bcsc/doc/2019/2019bcsc1624/2019bcsc1624.html?resultIndex=1" TargetMode="External"/><Relationship Id="rId73" Type="http://schemas.openxmlformats.org/officeDocument/2006/relationships/hyperlink" Target="https://www.canlii.org/en/bc/bcca/doc/2021/2021bcca102/2021bcca102.html?autocompleteStr=2021%20bcca%20102&amp;autocompletePos=1" TargetMode="External"/><Relationship Id="rId78" Type="http://schemas.openxmlformats.org/officeDocument/2006/relationships/header" Target="header1.xml"/><Relationship Id="rId8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E7652-5D2E-4C77-BA23-D8EC3AEC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12674</Words>
  <Characters>72247</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84752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2021-09-27T12:07:00Z</dcterms:modified>
</cp:coreProperties>
</file>