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E4F84" w:rsidRDefault="000E391F" w:rsidP="000E391F">
      <w:pPr>
        <w:pStyle w:val="Header"/>
        <w:jc w:val="center"/>
        <w:rPr>
          <w:b/>
          <w:sz w:val="32"/>
        </w:rPr>
      </w:pPr>
      <w:r w:rsidRPr="008E4F84">
        <w:rPr>
          <w:b/>
          <w:sz w:val="32"/>
        </w:rPr>
        <w:t>Supreme Court of Canada / Cour suprême du Canada</w:t>
      </w:r>
    </w:p>
    <w:p w:rsidR="000E391F" w:rsidRPr="008E4F84" w:rsidRDefault="000E391F" w:rsidP="000E391F">
      <w:pPr>
        <w:widowControl w:val="0"/>
      </w:pPr>
    </w:p>
    <w:p w:rsidR="000E391F" w:rsidRPr="008E4F84" w:rsidRDefault="000E391F" w:rsidP="000E391F">
      <w:pPr>
        <w:widowControl w:val="0"/>
        <w:rPr>
          <w:i/>
        </w:rPr>
      </w:pPr>
    </w:p>
    <w:p w:rsidR="006F2579" w:rsidRPr="008E4F84" w:rsidRDefault="006F2579" w:rsidP="006F2579">
      <w:pPr>
        <w:widowControl w:val="0"/>
        <w:rPr>
          <w:i/>
          <w:sz w:val="20"/>
        </w:rPr>
      </w:pPr>
      <w:r w:rsidRPr="008E4F84">
        <w:rPr>
          <w:i/>
          <w:sz w:val="20"/>
        </w:rPr>
        <w:t>(</w:t>
      </w:r>
      <w:r w:rsidR="003240B6" w:rsidRPr="008E4F84">
        <w:rPr>
          <w:i/>
          <w:sz w:val="20"/>
        </w:rPr>
        <w:t>L</w:t>
      </w:r>
      <w:r w:rsidRPr="008E4F84">
        <w:rPr>
          <w:i/>
          <w:sz w:val="20"/>
        </w:rPr>
        <w:t>e français suit)</w:t>
      </w:r>
    </w:p>
    <w:p w:rsidR="006F2579" w:rsidRPr="008E4F84" w:rsidRDefault="006F2579" w:rsidP="006F2579">
      <w:pPr>
        <w:widowControl w:val="0"/>
      </w:pPr>
    </w:p>
    <w:p w:rsidR="006F2579" w:rsidRPr="008E4F84" w:rsidRDefault="00B07908" w:rsidP="006F2579">
      <w:pPr>
        <w:widowControl w:val="0"/>
        <w:jc w:val="center"/>
        <w:rPr>
          <w:b/>
        </w:rPr>
      </w:pPr>
      <w:r w:rsidRPr="008E4F84">
        <w:fldChar w:fldCharType="begin"/>
      </w:r>
      <w:r w:rsidR="006F2579" w:rsidRPr="008E4F84">
        <w:instrText xml:space="preserve"> SEQ CHAPTER \h \r 1</w:instrText>
      </w:r>
      <w:r w:rsidRPr="008E4F84">
        <w:fldChar w:fldCharType="end"/>
      </w:r>
      <w:r w:rsidR="006F2579" w:rsidRPr="008E4F84">
        <w:rPr>
          <w:b/>
        </w:rPr>
        <w:t>JUDGMENT</w:t>
      </w:r>
      <w:r w:rsidR="00B17AAC" w:rsidRPr="008E4F84">
        <w:rPr>
          <w:b/>
        </w:rPr>
        <w:t>S</w:t>
      </w:r>
      <w:r w:rsidR="006F2579" w:rsidRPr="008E4F84">
        <w:rPr>
          <w:b/>
        </w:rPr>
        <w:t xml:space="preserve"> TO B</w:t>
      </w:r>
      <w:r w:rsidR="00001846" w:rsidRPr="008E4F84">
        <w:rPr>
          <w:b/>
        </w:rPr>
        <w:t>E RENDERED IN LE</w:t>
      </w:r>
      <w:r w:rsidR="00A0288A" w:rsidRPr="008E4F84">
        <w:rPr>
          <w:b/>
        </w:rPr>
        <w:t>A</w:t>
      </w:r>
      <w:r w:rsidR="00001846" w:rsidRPr="008E4F84">
        <w:rPr>
          <w:b/>
        </w:rPr>
        <w:t>VE APPLICATION</w:t>
      </w:r>
      <w:r w:rsidR="00511288" w:rsidRPr="008E4F84">
        <w:rPr>
          <w:b/>
        </w:rPr>
        <w:t>S</w:t>
      </w:r>
    </w:p>
    <w:p w:rsidR="006F2579" w:rsidRPr="008E4F84" w:rsidRDefault="006F2579" w:rsidP="006F2579">
      <w:pPr>
        <w:widowControl w:val="0"/>
      </w:pPr>
    </w:p>
    <w:p w:rsidR="006F2579" w:rsidRPr="008E4F84" w:rsidRDefault="00F45DCD" w:rsidP="006F2579">
      <w:pPr>
        <w:widowControl w:val="0"/>
      </w:pPr>
      <w:r w:rsidRPr="008E4F84">
        <w:rPr>
          <w:b/>
        </w:rPr>
        <w:t>Octo</w:t>
      </w:r>
      <w:r w:rsidR="00777ECC" w:rsidRPr="008E4F84">
        <w:rPr>
          <w:b/>
        </w:rPr>
        <w:t>ber</w:t>
      </w:r>
      <w:r w:rsidR="00A15B66" w:rsidRPr="008E4F84">
        <w:rPr>
          <w:b/>
        </w:rPr>
        <w:t xml:space="preserve"> </w:t>
      </w:r>
      <w:r w:rsidRPr="008E4F84">
        <w:rPr>
          <w:b/>
        </w:rPr>
        <w:t>4</w:t>
      </w:r>
      <w:r w:rsidR="004441C7" w:rsidRPr="008E4F84">
        <w:rPr>
          <w:b/>
        </w:rPr>
        <w:t>,</w:t>
      </w:r>
      <w:r w:rsidR="006F2579" w:rsidRPr="008E4F84">
        <w:rPr>
          <w:b/>
        </w:rPr>
        <w:t xml:space="preserve"> </w:t>
      </w:r>
      <w:r w:rsidR="0054689F" w:rsidRPr="008E4F84">
        <w:rPr>
          <w:b/>
        </w:rPr>
        <w:t>20</w:t>
      </w:r>
      <w:r w:rsidR="00526754" w:rsidRPr="008E4F84">
        <w:rPr>
          <w:b/>
        </w:rPr>
        <w:t>2</w:t>
      </w:r>
      <w:r w:rsidR="0068416C" w:rsidRPr="008E4F84">
        <w:rPr>
          <w:b/>
        </w:rPr>
        <w:t>1</w:t>
      </w:r>
    </w:p>
    <w:p w:rsidR="006F2579" w:rsidRPr="008E4F84" w:rsidRDefault="00674F39" w:rsidP="006F2579">
      <w:pPr>
        <w:widowControl w:val="0"/>
        <w:rPr>
          <w:b/>
        </w:rPr>
      </w:pPr>
      <w:r w:rsidRPr="008E4F84">
        <w:rPr>
          <w:b/>
        </w:rPr>
        <w:t>For immediate release</w:t>
      </w:r>
    </w:p>
    <w:p w:rsidR="006F2579" w:rsidRPr="008E4F84" w:rsidRDefault="006F2579" w:rsidP="006F2579">
      <w:pPr>
        <w:widowControl w:val="0"/>
      </w:pPr>
    </w:p>
    <w:p w:rsidR="006F2579" w:rsidRPr="008E4F84" w:rsidRDefault="006F2579" w:rsidP="006F2579">
      <w:pPr>
        <w:widowControl w:val="0"/>
        <w:rPr>
          <w:lang w:val="fr-CA"/>
        </w:rPr>
      </w:pPr>
      <w:r w:rsidRPr="008E4F84">
        <w:rPr>
          <w:b/>
        </w:rPr>
        <w:t>OTTAWA</w:t>
      </w:r>
      <w:r w:rsidRPr="008E4F84">
        <w:t xml:space="preserve"> – The Supreme Court of Canad</w:t>
      </w:r>
      <w:r w:rsidR="006246E4" w:rsidRPr="008E4F84">
        <w:t>a</w:t>
      </w:r>
      <w:r w:rsidRPr="008E4F84">
        <w:t xml:space="preserve"> announced today that judgment in the following </w:t>
      </w:r>
      <w:r w:rsidR="00DB6199" w:rsidRPr="008E4F84">
        <w:t xml:space="preserve">leave applications </w:t>
      </w:r>
      <w:r w:rsidRPr="008E4F84">
        <w:t xml:space="preserve">will be delivered at 9:45 a.m. </w:t>
      </w:r>
      <w:r w:rsidR="00E05816" w:rsidRPr="008E4F84">
        <w:t>E</w:t>
      </w:r>
      <w:r w:rsidR="0098345D" w:rsidRPr="008E4F84">
        <w:t>D</w:t>
      </w:r>
      <w:r w:rsidR="00E05816" w:rsidRPr="008E4F84">
        <w:t>T</w:t>
      </w:r>
      <w:r w:rsidRPr="008E4F84">
        <w:t xml:space="preserve"> on </w:t>
      </w:r>
      <w:r w:rsidR="00C833AB" w:rsidRPr="008E4F84">
        <w:t>Thurs</w:t>
      </w:r>
      <w:r w:rsidR="00680A85" w:rsidRPr="008E4F84">
        <w:t>day</w:t>
      </w:r>
      <w:r w:rsidRPr="008E4F84">
        <w:t xml:space="preserve">, </w:t>
      </w:r>
      <w:r w:rsidR="00F45DCD" w:rsidRPr="008E4F84">
        <w:t>October</w:t>
      </w:r>
      <w:r w:rsidR="00455912" w:rsidRPr="008E4F84">
        <w:t xml:space="preserve"> </w:t>
      </w:r>
      <w:r w:rsidR="00F45DCD" w:rsidRPr="008E4F84">
        <w:t>7</w:t>
      </w:r>
      <w:r w:rsidR="007E112F" w:rsidRPr="008E4F84">
        <w:t>,</w:t>
      </w:r>
      <w:r w:rsidR="002F38D7" w:rsidRPr="008E4F84">
        <w:t xml:space="preserve"> </w:t>
      </w:r>
      <w:r w:rsidR="006648D1" w:rsidRPr="008E4F84">
        <w:t>20</w:t>
      </w:r>
      <w:r w:rsidR="00526754" w:rsidRPr="008E4F84">
        <w:t>2</w:t>
      </w:r>
      <w:r w:rsidR="00DD65CF" w:rsidRPr="008E4F84">
        <w:t>1</w:t>
      </w:r>
      <w:r w:rsidRPr="008E4F84">
        <w:t xml:space="preserve">. </w:t>
      </w:r>
      <w:r w:rsidRPr="008E4F84">
        <w:rPr>
          <w:lang w:val="fr-CA"/>
        </w:rPr>
        <w:t>This list is subject to chang</w:t>
      </w:r>
      <w:r w:rsidR="00192F7F" w:rsidRPr="008E4F84">
        <w:rPr>
          <w:lang w:val="fr-CA"/>
        </w:rPr>
        <w:t>e</w:t>
      </w:r>
      <w:r w:rsidRPr="008E4F84">
        <w:rPr>
          <w:lang w:val="fr-CA"/>
        </w:rPr>
        <w:t>.</w:t>
      </w:r>
    </w:p>
    <w:p w:rsidR="00FF5AA4" w:rsidRPr="008E4F84" w:rsidRDefault="00FF5AA4" w:rsidP="006F2579">
      <w:pPr>
        <w:widowControl w:val="0"/>
        <w:rPr>
          <w:lang w:val="fr-CA"/>
        </w:rPr>
      </w:pPr>
    </w:p>
    <w:p w:rsidR="00B43418" w:rsidRPr="008E4F84" w:rsidRDefault="00B43418" w:rsidP="006F2579">
      <w:pPr>
        <w:widowControl w:val="0"/>
        <w:rPr>
          <w:lang w:val="fr-CA"/>
        </w:rPr>
      </w:pPr>
    </w:p>
    <w:p w:rsidR="006F2579" w:rsidRPr="008E4F84" w:rsidRDefault="006F2579" w:rsidP="006F2579">
      <w:pPr>
        <w:widowControl w:val="0"/>
        <w:jc w:val="center"/>
        <w:rPr>
          <w:lang w:val="fr-CA"/>
        </w:rPr>
      </w:pPr>
      <w:r w:rsidRPr="008E4F84">
        <w:rPr>
          <w:b/>
          <w:lang w:val="fr-CA"/>
        </w:rPr>
        <w:t>PROCHAIN</w:t>
      </w:r>
      <w:r w:rsidR="00B17AAC" w:rsidRPr="008E4F84">
        <w:rPr>
          <w:b/>
          <w:lang w:val="fr-CA"/>
        </w:rPr>
        <w:t>S</w:t>
      </w:r>
      <w:r w:rsidRPr="008E4F84">
        <w:rPr>
          <w:b/>
          <w:lang w:val="fr-CA"/>
        </w:rPr>
        <w:t xml:space="preserve"> JUGEMENT</w:t>
      </w:r>
      <w:r w:rsidR="00B17AAC" w:rsidRPr="008E4F84">
        <w:rPr>
          <w:b/>
          <w:lang w:val="fr-CA"/>
        </w:rPr>
        <w:t>S</w:t>
      </w:r>
      <w:r w:rsidR="00001846" w:rsidRPr="008E4F84">
        <w:rPr>
          <w:b/>
          <w:lang w:val="fr-CA"/>
        </w:rPr>
        <w:t xml:space="preserve"> SUR DEMANDE</w:t>
      </w:r>
      <w:r w:rsidR="00B17AAC" w:rsidRPr="008E4F84">
        <w:rPr>
          <w:b/>
          <w:lang w:val="fr-CA"/>
        </w:rPr>
        <w:t>S</w:t>
      </w:r>
      <w:r w:rsidRPr="008E4F84">
        <w:rPr>
          <w:b/>
          <w:lang w:val="fr-CA"/>
        </w:rPr>
        <w:t xml:space="preserve"> D’AUTORISATION</w:t>
      </w:r>
    </w:p>
    <w:p w:rsidR="006F2579" w:rsidRPr="008E4F84" w:rsidRDefault="006F2579" w:rsidP="006F2579">
      <w:pPr>
        <w:widowControl w:val="0"/>
        <w:rPr>
          <w:lang w:val="fr-CA"/>
        </w:rPr>
      </w:pPr>
    </w:p>
    <w:p w:rsidR="006F2579" w:rsidRPr="008E4F84" w:rsidRDefault="006F2579" w:rsidP="006F2579">
      <w:pPr>
        <w:widowControl w:val="0"/>
        <w:rPr>
          <w:lang w:val="fr-CA"/>
        </w:rPr>
      </w:pPr>
      <w:r w:rsidRPr="008E4F84">
        <w:rPr>
          <w:b/>
          <w:lang w:val="fr-CA"/>
        </w:rPr>
        <w:t>Le</w:t>
      </w:r>
      <w:r w:rsidR="00957A76" w:rsidRPr="008E4F84">
        <w:rPr>
          <w:b/>
          <w:lang w:val="fr-CA"/>
        </w:rPr>
        <w:t xml:space="preserve"> </w:t>
      </w:r>
      <w:r w:rsidR="00F45DCD" w:rsidRPr="008E4F84">
        <w:rPr>
          <w:b/>
          <w:lang w:val="fr-CA"/>
        </w:rPr>
        <w:t>4</w:t>
      </w:r>
      <w:r w:rsidR="00825246" w:rsidRPr="008E4F84">
        <w:rPr>
          <w:b/>
          <w:lang w:val="fr-CA"/>
        </w:rPr>
        <w:t xml:space="preserve"> </w:t>
      </w:r>
      <w:r w:rsidR="00F45DCD" w:rsidRPr="008E4F84">
        <w:rPr>
          <w:b/>
          <w:lang w:val="fr-CA"/>
        </w:rPr>
        <w:t>octo</w:t>
      </w:r>
      <w:r w:rsidR="00777ECC" w:rsidRPr="008E4F84">
        <w:rPr>
          <w:b/>
          <w:lang w:val="fr-CA"/>
        </w:rPr>
        <w:t>bre</w:t>
      </w:r>
      <w:r w:rsidR="00A151D1" w:rsidRPr="008E4F84">
        <w:rPr>
          <w:b/>
          <w:lang w:val="fr-CA"/>
        </w:rPr>
        <w:t xml:space="preserve"> 20</w:t>
      </w:r>
      <w:r w:rsidR="00526754" w:rsidRPr="008E4F84">
        <w:rPr>
          <w:b/>
          <w:lang w:val="fr-CA"/>
        </w:rPr>
        <w:t>2</w:t>
      </w:r>
      <w:r w:rsidR="0068416C" w:rsidRPr="008E4F84">
        <w:rPr>
          <w:b/>
          <w:lang w:val="fr-CA"/>
        </w:rPr>
        <w:t>1</w:t>
      </w:r>
    </w:p>
    <w:p w:rsidR="006F2579" w:rsidRPr="008E4F84" w:rsidRDefault="006F2579" w:rsidP="006F2579">
      <w:pPr>
        <w:widowControl w:val="0"/>
        <w:rPr>
          <w:b/>
          <w:lang w:val="fr-CA"/>
        </w:rPr>
      </w:pPr>
      <w:r w:rsidRPr="008E4F84">
        <w:rPr>
          <w:b/>
          <w:lang w:val="fr-CA"/>
        </w:rPr>
        <w:t>Pour diffusion immédiate</w:t>
      </w:r>
    </w:p>
    <w:p w:rsidR="006F2579" w:rsidRPr="008E4F84" w:rsidRDefault="006F2579" w:rsidP="006F2579">
      <w:pPr>
        <w:widowControl w:val="0"/>
        <w:rPr>
          <w:lang w:val="fr-CA"/>
        </w:rPr>
      </w:pPr>
    </w:p>
    <w:p w:rsidR="006F2579" w:rsidRPr="008E4F84" w:rsidRDefault="006F2579" w:rsidP="006F2579">
      <w:pPr>
        <w:widowControl w:val="0"/>
        <w:rPr>
          <w:lang w:val="fr-CA"/>
        </w:rPr>
      </w:pPr>
      <w:r w:rsidRPr="008E4F84">
        <w:rPr>
          <w:b/>
          <w:lang w:val="fr-CA"/>
        </w:rPr>
        <w:t>OTTAWA</w:t>
      </w:r>
      <w:r w:rsidRPr="008E4F84">
        <w:rPr>
          <w:lang w:val="fr-CA"/>
        </w:rPr>
        <w:t xml:space="preserve"> – La Cour suprême du Canada annonce que jugement ser</w:t>
      </w:r>
      <w:r w:rsidR="004259F9" w:rsidRPr="008E4F84">
        <w:rPr>
          <w:lang w:val="fr-CA"/>
        </w:rPr>
        <w:t>a</w:t>
      </w:r>
      <w:r w:rsidRPr="008E4F84">
        <w:rPr>
          <w:lang w:val="fr-CA"/>
        </w:rPr>
        <w:t xml:space="preserve"> rendu dans l</w:t>
      </w:r>
      <w:r w:rsidR="008600ED" w:rsidRPr="008E4F84">
        <w:rPr>
          <w:lang w:val="fr-CA"/>
        </w:rPr>
        <w:t>es</w:t>
      </w:r>
      <w:r w:rsidRPr="008E4F84">
        <w:rPr>
          <w:lang w:val="fr-CA"/>
        </w:rPr>
        <w:t xml:space="preserve"> demande</w:t>
      </w:r>
      <w:r w:rsidR="008600ED" w:rsidRPr="008E4F84">
        <w:rPr>
          <w:lang w:val="fr-CA"/>
        </w:rPr>
        <w:t>s</w:t>
      </w:r>
      <w:r w:rsidRPr="008E4F84">
        <w:rPr>
          <w:lang w:val="fr-CA"/>
        </w:rPr>
        <w:t xml:space="preserve"> d</w:t>
      </w:r>
      <w:r w:rsidR="00001846" w:rsidRPr="008E4F84">
        <w:rPr>
          <w:lang w:val="fr-CA"/>
        </w:rPr>
        <w:t>’autorisation suivante</w:t>
      </w:r>
      <w:r w:rsidR="008600ED" w:rsidRPr="008E4F84">
        <w:rPr>
          <w:lang w:val="fr-CA"/>
        </w:rPr>
        <w:t>s</w:t>
      </w:r>
      <w:r w:rsidRPr="008E4F84">
        <w:rPr>
          <w:lang w:val="fr-CA"/>
        </w:rPr>
        <w:t xml:space="preserve"> le </w:t>
      </w:r>
      <w:r w:rsidR="00C833AB" w:rsidRPr="008E4F84">
        <w:rPr>
          <w:lang w:val="fr-CA"/>
        </w:rPr>
        <w:t>jeu</w:t>
      </w:r>
      <w:r w:rsidR="00680A85" w:rsidRPr="008E4F84">
        <w:rPr>
          <w:lang w:val="fr-CA"/>
        </w:rPr>
        <w:t>di</w:t>
      </w:r>
      <w:r w:rsidRPr="008E4F84">
        <w:rPr>
          <w:lang w:val="fr-CA"/>
        </w:rPr>
        <w:t xml:space="preserve"> </w:t>
      </w:r>
      <w:r w:rsidR="00F45DCD" w:rsidRPr="008E4F84">
        <w:rPr>
          <w:lang w:val="fr-CA"/>
        </w:rPr>
        <w:t>7</w:t>
      </w:r>
      <w:r w:rsidR="009E0BD3" w:rsidRPr="008E4F84">
        <w:rPr>
          <w:lang w:val="fr-CA"/>
        </w:rPr>
        <w:t xml:space="preserve"> </w:t>
      </w:r>
      <w:r w:rsidR="00F45DCD" w:rsidRPr="008E4F84">
        <w:rPr>
          <w:lang w:val="fr-CA"/>
        </w:rPr>
        <w:t>octo</w:t>
      </w:r>
      <w:r w:rsidR="00777ECC" w:rsidRPr="008E4F84">
        <w:rPr>
          <w:lang w:val="fr-CA"/>
        </w:rPr>
        <w:t>bre</w:t>
      </w:r>
      <w:r w:rsidR="00694391" w:rsidRPr="008E4F84">
        <w:rPr>
          <w:lang w:val="fr-CA"/>
        </w:rPr>
        <w:t xml:space="preserve"> 2</w:t>
      </w:r>
      <w:r w:rsidR="006648D1" w:rsidRPr="008E4F84">
        <w:rPr>
          <w:lang w:val="fr-CA"/>
        </w:rPr>
        <w:t>0</w:t>
      </w:r>
      <w:r w:rsidR="00526754" w:rsidRPr="008E4F84">
        <w:rPr>
          <w:lang w:val="fr-CA"/>
        </w:rPr>
        <w:t>2</w:t>
      </w:r>
      <w:r w:rsidR="0068416C" w:rsidRPr="008E4F84">
        <w:rPr>
          <w:lang w:val="fr-CA"/>
        </w:rPr>
        <w:t>1</w:t>
      </w:r>
      <w:r w:rsidRPr="008E4F84">
        <w:rPr>
          <w:lang w:val="fr-CA"/>
        </w:rPr>
        <w:t xml:space="preserve">, à 9 h 45 </w:t>
      </w:r>
      <w:r w:rsidR="000627A2" w:rsidRPr="008E4F84">
        <w:rPr>
          <w:lang w:val="fr-CA"/>
        </w:rPr>
        <w:t>H</w:t>
      </w:r>
      <w:r w:rsidR="0098345D" w:rsidRPr="008E4F84">
        <w:rPr>
          <w:lang w:val="fr-CA"/>
        </w:rPr>
        <w:t>A</w:t>
      </w:r>
      <w:r w:rsidRPr="008E4F84">
        <w:rPr>
          <w:lang w:val="fr-CA"/>
        </w:rPr>
        <w:t>E. Cette liste est sujette à modification</w:t>
      </w:r>
      <w:r w:rsidR="00130ADB" w:rsidRPr="008E4F84">
        <w:rPr>
          <w:lang w:val="fr-CA"/>
        </w:rPr>
        <w:t>s</w:t>
      </w:r>
      <w:r w:rsidRPr="008E4F84">
        <w:rPr>
          <w:lang w:val="fr-CA"/>
        </w:rPr>
        <w:t>.</w:t>
      </w:r>
    </w:p>
    <w:p w:rsidR="0080556B" w:rsidRPr="008E4F84" w:rsidRDefault="0080556B" w:rsidP="005F2A78">
      <w:pPr>
        <w:widowControl w:val="0"/>
        <w:tabs>
          <w:tab w:val="left" w:pos="3840"/>
        </w:tabs>
        <w:jc w:val="both"/>
        <w:rPr>
          <w:sz w:val="20"/>
          <w:lang w:val="fr-CA"/>
        </w:rPr>
      </w:pPr>
    </w:p>
    <w:p w:rsidR="00867C61" w:rsidRPr="008E4F84" w:rsidRDefault="008E4F84" w:rsidP="009B14F4">
      <w:pPr>
        <w:widowControl w:val="0"/>
        <w:jc w:val="both"/>
        <w:rPr>
          <w:sz w:val="20"/>
        </w:rPr>
      </w:pPr>
      <w:r w:rsidRPr="008E4F84">
        <w:rPr>
          <w:sz w:val="20"/>
        </w:rPr>
        <w:pict>
          <v:rect id="_x0000_i1025" style="width:2in;height:1pt" o:hrpct="0" o:hralign="center" o:hrstd="t" o:hrnoshade="t" o:hr="t" fillcolor="black [3213]" stroked="f"/>
        </w:pict>
      </w:r>
    </w:p>
    <w:p w:rsidR="004A6E51" w:rsidRPr="008E4F84" w:rsidRDefault="004A6E51" w:rsidP="00777ECC">
      <w:pPr>
        <w:ind w:left="357" w:hanging="357"/>
        <w:rPr>
          <w:sz w:val="20"/>
          <w:lang w:val="fr-CA"/>
        </w:rPr>
      </w:pPr>
    </w:p>
    <w:p w:rsidR="00F45DCD" w:rsidRPr="008E4F84" w:rsidRDefault="00F45DCD" w:rsidP="00041E3A">
      <w:pPr>
        <w:pStyle w:val="ListParagraph"/>
        <w:numPr>
          <w:ilvl w:val="0"/>
          <w:numId w:val="2"/>
        </w:numPr>
        <w:ind w:left="357" w:hanging="357"/>
        <w:rPr>
          <w:rFonts w:eastAsiaTheme="minorHAnsi" w:cstheme="minorBidi"/>
          <w:sz w:val="20"/>
          <w:lang w:val="fr-CA"/>
        </w:rPr>
      </w:pPr>
      <w:r w:rsidRPr="008E4F84">
        <w:rPr>
          <w:rFonts w:eastAsiaTheme="minorHAnsi" w:cstheme="minorBidi"/>
          <w:i/>
          <w:sz w:val="20"/>
          <w:lang w:val="fr-CA"/>
        </w:rPr>
        <w:t>Guillaume St. Louis c. Sa Majesté la Reine</w:t>
      </w:r>
      <w:r w:rsidRPr="008E4F84">
        <w:rPr>
          <w:rFonts w:eastAsiaTheme="minorHAnsi" w:cstheme="minorBidi"/>
          <w:sz w:val="20"/>
          <w:lang w:val="fr-CA"/>
        </w:rPr>
        <w:t xml:space="preserve"> (Qc) (Criminelle) (Autorisation) </w:t>
      </w:r>
      <w:r w:rsidRPr="008E4F84">
        <w:rPr>
          <w:rFonts w:eastAsia="Calibri"/>
          <w:sz w:val="20"/>
          <w:lang w:val="fr-CA"/>
        </w:rPr>
        <w:t>(</w:t>
      </w:r>
      <w:hyperlink r:id="rId8" w:history="1">
        <w:r w:rsidRPr="008E4F84">
          <w:rPr>
            <w:rStyle w:val="Hyperlink"/>
            <w:rFonts w:eastAsia="Calibri"/>
            <w:sz w:val="20"/>
            <w:szCs w:val="20"/>
            <w:lang w:val="fr-CA"/>
          </w:rPr>
          <w:t>396</w:t>
        </w:r>
        <w:r w:rsidR="00322A59" w:rsidRPr="008E4F84">
          <w:rPr>
            <w:rStyle w:val="Hyperlink"/>
            <w:rFonts w:eastAsia="Calibri"/>
            <w:sz w:val="20"/>
            <w:szCs w:val="20"/>
            <w:lang w:val="fr-CA"/>
          </w:rPr>
          <w:t>34</w:t>
        </w:r>
      </w:hyperlink>
      <w:r w:rsidRPr="008E4F84">
        <w:rPr>
          <w:rFonts w:eastAsia="Calibri"/>
          <w:sz w:val="20"/>
          <w:lang w:val="fr-CA"/>
        </w:rPr>
        <w:t>)</w:t>
      </w:r>
    </w:p>
    <w:p w:rsidR="00F45DCD" w:rsidRPr="008E4F84" w:rsidRDefault="00F45DCD" w:rsidP="00041E3A">
      <w:pPr>
        <w:ind w:left="357" w:hanging="357"/>
        <w:rPr>
          <w:rFonts w:eastAsiaTheme="minorHAnsi" w:cstheme="minorBidi"/>
          <w:sz w:val="20"/>
          <w:lang w:val="fr-CA"/>
        </w:rPr>
      </w:pPr>
    </w:p>
    <w:p w:rsidR="00F45DCD" w:rsidRPr="008E4F84" w:rsidRDefault="00F45DCD" w:rsidP="00041E3A">
      <w:pPr>
        <w:pStyle w:val="ListParagraph"/>
        <w:numPr>
          <w:ilvl w:val="0"/>
          <w:numId w:val="2"/>
        </w:numPr>
        <w:ind w:left="357" w:hanging="357"/>
        <w:rPr>
          <w:rFonts w:eastAsiaTheme="minorHAnsi" w:cstheme="minorBidi"/>
          <w:sz w:val="20"/>
        </w:rPr>
      </w:pPr>
      <w:r w:rsidRPr="008E4F84">
        <w:rPr>
          <w:rFonts w:eastAsiaTheme="minorHAnsi" w:cstheme="minorBidi"/>
          <w:i/>
          <w:sz w:val="20"/>
        </w:rPr>
        <w:t>Ali Moussa Ghadban v. Her Majesty the Queen</w:t>
      </w:r>
      <w:r w:rsidRPr="008E4F84">
        <w:rPr>
          <w:rFonts w:eastAsiaTheme="minorHAnsi" w:cstheme="minorBidi"/>
          <w:sz w:val="20"/>
        </w:rPr>
        <w:t xml:space="preserve"> (B.C.) (Civil) (By Leave) </w:t>
      </w:r>
      <w:r w:rsidRPr="008E4F84">
        <w:rPr>
          <w:rFonts w:eastAsia="Calibri"/>
          <w:sz w:val="20"/>
          <w:lang w:val="en-CA"/>
        </w:rPr>
        <w:t>(</w:t>
      </w:r>
      <w:hyperlink r:id="rId9" w:history="1">
        <w:r w:rsidRPr="008E4F84">
          <w:rPr>
            <w:rStyle w:val="Hyperlink"/>
            <w:rFonts w:eastAsia="Calibri"/>
            <w:sz w:val="20"/>
            <w:szCs w:val="20"/>
            <w:lang w:val="en-CA"/>
          </w:rPr>
          <w:t>396</w:t>
        </w:r>
        <w:r w:rsidR="00322A59" w:rsidRPr="008E4F84">
          <w:rPr>
            <w:rStyle w:val="Hyperlink"/>
            <w:rFonts w:eastAsia="Calibri"/>
            <w:sz w:val="20"/>
            <w:szCs w:val="20"/>
            <w:lang w:val="en-CA"/>
          </w:rPr>
          <w:t>32</w:t>
        </w:r>
      </w:hyperlink>
      <w:r w:rsidRPr="008E4F84">
        <w:rPr>
          <w:rFonts w:eastAsia="Calibri"/>
          <w:sz w:val="20"/>
          <w:lang w:val="en-CA"/>
        </w:rPr>
        <w:t>)</w:t>
      </w:r>
    </w:p>
    <w:p w:rsidR="00F45DCD" w:rsidRPr="008E4F84" w:rsidRDefault="00F45DCD" w:rsidP="00041E3A">
      <w:pPr>
        <w:ind w:left="357" w:hanging="357"/>
        <w:rPr>
          <w:sz w:val="20"/>
        </w:rPr>
      </w:pPr>
    </w:p>
    <w:p w:rsidR="00F45DCD" w:rsidRPr="008E4F84" w:rsidRDefault="00F45DCD" w:rsidP="00041E3A">
      <w:pPr>
        <w:pStyle w:val="ListParagraph"/>
        <w:numPr>
          <w:ilvl w:val="0"/>
          <w:numId w:val="2"/>
        </w:numPr>
        <w:ind w:left="357" w:hanging="357"/>
        <w:rPr>
          <w:rFonts w:eastAsiaTheme="minorHAnsi" w:cstheme="minorBidi"/>
          <w:sz w:val="20"/>
        </w:rPr>
      </w:pPr>
      <w:r w:rsidRPr="008E4F84">
        <w:rPr>
          <w:rFonts w:eastAsiaTheme="minorHAnsi" w:cstheme="minorBidi"/>
          <w:i/>
          <w:sz w:val="20"/>
          <w:lang w:val="fr-CA"/>
        </w:rPr>
        <w:t xml:space="preserve">0678786 B.C. Ltd., et al. v. Bennett Jones LLP, et al. </w:t>
      </w:r>
      <w:r w:rsidRPr="008E4F84">
        <w:rPr>
          <w:sz w:val="20"/>
        </w:rPr>
        <w:t xml:space="preserve">(Alta.) </w:t>
      </w:r>
      <w:r w:rsidRPr="008E4F84">
        <w:rPr>
          <w:rFonts w:eastAsiaTheme="minorHAnsi" w:cstheme="minorBidi"/>
          <w:sz w:val="20"/>
        </w:rPr>
        <w:t xml:space="preserve">(Civil) (By Leave) </w:t>
      </w:r>
      <w:r w:rsidRPr="008E4F84">
        <w:rPr>
          <w:rFonts w:eastAsia="Calibri"/>
          <w:sz w:val="20"/>
          <w:lang w:val="en-CA"/>
        </w:rPr>
        <w:t>(</w:t>
      </w:r>
      <w:hyperlink r:id="rId10" w:history="1">
        <w:r w:rsidRPr="008E4F84">
          <w:rPr>
            <w:rStyle w:val="Hyperlink"/>
            <w:rFonts w:eastAsia="Calibri"/>
            <w:sz w:val="20"/>
            <w:szCs w:val="20"/>
            <w:lang w:val="en-CA"/>
          </w:rPr>
          <w:t>39</w:t>
        </w:r>
        <w:r w:rsidR="00322A59" w:rsidRPr="008E4F84">
          <w:rPr>
            <w:rStyle w:val="Hyperlink"/>
            <w:rFonts w:eastAsia="Calibri"/>
            <w:sz w:val="20"/>
            <w:szCs w:val="20"/>
            <w:lang w:val="en-CA"/>
          </w:rPr>
          <w:t>57</w:t>
        </w:r>
        <w:r w:rsidRPr="008E4F84">
          <w:rPr>
            <w:rStyle w:val="Hyperlink"/>
            <w:rFonts w:eastAsia="Calibri"/>
            <w:sz w:val="20"/>
            <w:szCs w:val="20"/>
            <w:lang w:val="en-CA"/>
          </w:rPr>
          <w:t>8</w:t>
        </w:r>
      </w:hyperlink>
      <w:r w:rsidRPr="008E4F84">
        <w:rPr>
          <w:rFonts w:eastAsia="Calibri"/>
          <w:sz w:val="20"/>
          <w:lang w:val="en-CA"/>
        </w:rPr>
        <w:t>)</w:t>
      </w:r>
    </w:p>
    <w:p w:rsidR="00F45DCD" w:rsidRPr="008E4F84" w:rsidRDefault="00F45DCD" w:rsidP="00041E3A">
      <w:pPr>
        <w:ind w:left="357" w:hanging="357"/>
        <w:rPr>
          <w:rFonts w:eastAsiaTheme="minorHAnsi" w:cstheme="minorBidi"/>
          <w:sz w:val="20"/>
        </w:rPr>
      </w:pPr>
    </w:p>
    <w:p w:rsidR="00F45DCD" w:rsidRPr="008E4F84" w:rsidRDefault="00F45DCD" w:rsidP="00041E3A">
      <w:pPr>
        <w:pStyle w:val="ListParagraph"/>
        <w:numPr>
          <w:ilvl w:val="0"/>
          <w:numId w:val="2"/>
        </w:numPr>
        <w:ind w:left="357" w:hanging="357"/>
        <w:rPr>
          <w:rFonts w:eastAsiaTheme="minorHAnsi" w:cstheme="minorBidi"/>
          <w:sz w:val="20"/>
        </w:rPr>
      </w:pPr>
      <w:r w:rsidRPr="008E4F84">
        <w:rPr>
          <w:rFonts w:eastAsiaTheme="minorHAnsi" w:cstheme="minorBidi"/>
          <w:i/>
          <w:sz w:val="20"/>
        </w:rPr>
        <w:t>Louise Hickey v. North Atlantic Marine Supplies &amp; Services Inc. now known as North Atlantic Offshore Inc.</w:t>
      </w:r>
      <w:r w:rsidRPr="008E4F84">
        <w:rPr>
          <w:rFonts w:eastAsiaTheme="minorHAnsi" w:cstheme="minorBidi"/>
          <w:sz w:val="20"/>
        </w:rPr>
        <w:t xml:space="preserve"> </w:t>
      </w:r>
      <w:r w:rsidRPr="008E4F84">
        <w:rPr>
          <w:sz w:val="20"/>
        </w:rPr>
        <w:t xml:space="preserve">(N.L.) </w:t>
      </w:r>
      <w:r w:rsidRPr="008E4F84">
        <w:rPr>
          <w:rFonts w:eastAsiaTheme="minorHAnsi" w:cstheme="minorBidi"/>
          <w:sz w:val="20"/>
        </w:rPr>
        <w:t xml:space="preserve">(Civil) (By Leave) </w:t>
      </w:r>
      <w:r w:rsidRPr="008E4F84">
        <w:rPr>
          <w:rFonts w:eastAsia="Calibri"/>
          <w:sz w:val="20"/>
          <w:lang w:val="en-CA"/>
        </w:rPr>
        <w:t>(</w:t>
      </w:r>
      <w:hyperlink r:id="rId11" w:history="1">
        <w:r w:rsidRPr="008E4F84">
          <w:rPr>
            <w:rStyle w:val="Hyperlink"/>
            <w:rFonts w:eastAsia="Calibri"/>
            <w:sz w:val="20"/>
            <w:szCs w:val="20"/>
            <w:lang w:val="en-CA"/>
          </w:rPr>
          <w:t>396</w:t>
        </w:r>
        <w:r w:rsidR="00322A59" w:rsidRPr="008E4F84">
          <w:rPr>
            <w:rStyle w:val="Hyperlink"/>
            <w:rFonts w:eastAsia="Calibri"/>
            <w:sz w:val="20"/>
            <w:szCs w:val="20"/>
            <w:lang w:val="en-CA"/>
          </w:rPr>
          <w:t>63</w:t>
        </w:r>
      </w:hyperlink>
      <w:r w:rsidRPr="008E4F84">
        <w:rPr>
          <w:rFonts w:eastAsia="Calibri"/>
          <w:sz w:val="20"/>
          <w:lang w:val="en-CA"/>
        </w:rPr>
        <w:t>)</w:t>
      </w:r>
    </w:p>
    <w:p w:rsidR="00F45DCD" w:rsidRPr="008E4F84" w:rsidRDefault="00F45DCD" w:rsidP="00041E3A">
      <w:pPr>
        <w:ind w:left="357" w:hanging="357"/>
        <w:rPr>
          <w:sz w:val="20"/>
        </w:rPr>
      </w:pPr>
    </w:p>
    <w:p w:rsidR="00F45DCD" w:rsidRPr="008E4F84" w:rsidRDefault="00F45DCD" w:rsidP="00041E3A">
      <w:pPr>
        <w:pStyle w:val="ListParagraph"/>
        <w:numPr>
          <w:ilvl w:val="0"/>
          <w:numId w:val="2"/>
        </w:numPr>
        <w:ind w:left="357" w:hanging="357"/>
        <w:rPr>
          <w:rFonts w:eastAsiaTheme="minorHAnsi" w:cstheme="minorBidi"/>
          <w:sz w:val="20"/>
        </w:rPr>
      </w:pPr>
      <w:r w:rsidRPr="008E4F84">
        <w:rPr>
          <w:rFonts w:eastAsiaTheme="minorHAnsi" w:cstheme="minorBidi"/>
          <w:i/>
          <w:sz w:val="20"/>
        </w:rPr>
        <w:t>Mill Street &amp; Co. Inc., et al. v. Madison Joe Holdings Inc.</w:t>
      </w:r>
      <w:r w:rsidRPr="008E4F84">
        <w:rPr>
          <w:rFonts w:eastAsiaTheme="minorHAnsi" w:cstheme="minorBidi"/>
          <w:sz w:val="20"/>
        </w:rPr>
        <w:t xml:space="preserve"> (Ont.) (Civil) (By Leave) </w:t>
      </w:r>
      <w:r w:rsidRPr="008E4F84">
        <w:rPr>
          <w:rFonts w:eastAsia="Calibri"/>
          <w:sz w:val="20"/>
          <w:lang w:val="en-CA"/>
        </w:rPr>
        <w:t>(</w:t>
      </w:r>
      <w:hyperlink r:id="rId12" w:history="1">
        <w:r w:rsidRPr="008E4F84">
          <w:rPr>
            <w:rStyle w:val="Hyperlink"/>
            <w:rFonts w:eastAsia="Calibri"/>
            <w:sz w:val="20"/>
            <w:szCs w:val="20"/>
            <w:lang w:val="en-CA"/>
          </w:rPr>
          <w:t>396</w:t>
        </w:r>
        <w:r w:rsidR="00322A59" w:rsidRPr="008E4F84">
          <w:rPr>
            <w:rStyle w:val="Hyperlink"/>
            <w:rFonts w:eastAsia="Calibri"/>
            <w:sz w:val="20"/>
            <w:szCs w:val="20"/>
            <w:lang w:val="en-CA"/>
          </w:rPr>
          <w:t>92</w:t>
        </w:r>
      </w:hyperlink>
      <w:r w:rsidRPr="008E4F84">
        <w:rPr>
          <w:rFonts w:eastAsia="Calibri"/>
          <w:sz w:val="20"/>
          <w:lang w:val="en-CA"/>
        </w:rPr>
        <w:t>)</w:t>
      </w:r>
    </w:p>
    <w:p w:rsidR="00F45DCD" w:rsidRPr="008E4F84" w:rsidRDefault="00F45DCD" w:rsidP="00041E3A">
      <w:pPr>
        <w:ind w:left="357" w:hanging="357"/>
        <w:rPr>
          <w:sz w:val="20"/>
        </w:rPr>
      </w:pPr>
    </w:p>
    <w:p w:rsidR="00F45DCD" w:rsidRPr="008E4F84" w:rsidRDefault="00F45DCD" w:rsidP="00041E3A">
      <w:pPr>
        <w:pStyle w:val="ListParagraph"/>
        <w:numPr>
          <w:ilvl w:val="0"/>
          <w:numId w:val="2"/>
        </w:numPr>
        <w:ind w:left="357" w:hanging="357"/>
        <w:rPr>
          <w:rFonts w:eastAsia="Calibri"/>
          <w:sz w:val="20"/>
        </w:rPr>
      </w:pPr>
      <w:r w:rsidRPr="008E4F84">
        <w:rPr>
          <w:rFonts w:eastAsia="Calibri"/>
          <w:i/>
          <w:sz w:val="20"/>
        </w:rPr>
        <w:t>Christopher Gero v. Her Majesty the Queen</w:t>
      </w:r>
      <w:r w:rsidRPr="008E4F84">
        <w:rPr>
          <w:rFonts w:eastAsia="Calibri"/>
          <w:sz w:val="20"/>
        </w:rPr>
        <w:t xml:space="preserve"> (Ont.) (Criminal) (By Leave) </w:t>
      </w:r>
      <w:r w:rsidRPr="008E4F84">
        <w:rPr>
          <w:rFonts w:eastAsia="Calibri"/>
          <w:sz w:val="20"/>
          <w:lang w:val="en-CA"/>
        </w:rPr>
        <w:t>(</w:t>
      </w:r>
      <w:hyperlink r:id="rId13" w:history="1">
        <w:r w:rsidRPr="008E4F84">
          <w:rPr>
            <w:rStyle w:val="Hyperlink"/>
            <w:rFonts w:eastAsia="Calibri"/>
            <w:sz w:val="20"/>
            <w:szCs w:val="20"/>
            <w:lang w:val="en-CA"/>
          </w:rPr>
          <w:t>396</w:t>
        </w:r>
        <w:r w:rsidR="00322A59" w:rsidRPr="008E4F84">
          <w:rPr>
            <w:rStyle w:val="Hyperlink"/>
            <w:rFonts w:eastAsia="Calibri"/>
            <w:sz w:val="20"/>
            <w:szCs w:val="20"/>
            <w:lang w:val="en-CA"/>
          </w:rPr>
          <w:t>65</w:t>
        </w:r>
      </w:hyperlink>
      <w:r w:rsidRPr="008E4F84">
        <w:rPr>
          <w:rFonts w:eastAsia="Calibri"/>
          <w:sz w:val="20"/>
          <w:lang w:val="en-CA"/>
        </w:rPr>
        <w:t>)</w:t>
      </w:r>
    </w:p>
    <w:p w:rsidR="00F45DCD" w:rsidRPr="008E4F84" w:rsidRDefault="00F45DCD" w:rsidP="00041E3A">
      <w:pPr>
        <w:widowControl w:val="0"/>
        <w:autoSpaceDE w:val="0"/>
        <w:autoSpaceDN w:val="0"/>
        <w:adjustRightInd w:val="0"/>
        <w:ind w:left="357" w:hanging="357"/>
        <w:rPr>
          <w:rFonts w:eastAsia="Calibri"/>
          <w:sz w:val="20"/>
        </w:rPr>
      </w:pPr>
    </w:p>
    <w:p w:rsidR="00F45DCD" w:rsidRPr="008E4F84" w:rsidRDefault="00F45DCD" w:rsidP="00041E3A">
      <w:pPr>
        <w:pStyle w:val="ListParagraph"/>
        <w:numPr>
          <w:ilvl w:val="0"/>
          <w:numId w:val="2"/>
        </w:numPr>
        <w:ind w:left="357" w:hanging="357"/>
        <w:rPr>
          <w:rFonts w:eastAsia="Calibri"/>
          <w:sz w:val="20"/>
        </w:rPr>
      </w:pPr>
      <w:r w:rsidRPr="008E4F84">
        <w:rPr>
          <w:rFonts w:eastAsia="Calibri"/>
          <w:i/>
          <w:sz w:val="20"/>
          <w:lang w:val="fr-CA"/>
        </w:rPr>
        <w:t xml:space="preserve">Apotex Inc. v. Shire LLC, </w:t>
      </w:r>
      <w:r w:rsidR="00322A59" w:rsidRPr="008E4F84">
        <w:rPr>
          <w:rFonts w:eastAsia="Calibri"/>
          <w:i/>
          <w:sz w:val="20"/>
          <w:lang w:val="fr-CA"/>
        </w:rPr>
        <w:t>et al.</w:t>
      </w:r>
      <w:r w:rsidRPr="008E4F84">
        <w:rPr>
          <w:rFonts w:eastAsia="Calibri"/>
          <w:sz w:val="20"/>
          <w:lang w:val="fr-CA"/>
        </w:rPr>
        <w:t xml:space="preserve"> </w:t>
      </w:r>
      <w:r w:rsidRPr="008E4F84">
        <w:rPr>
          <w:rFonts w:eastAsia="Calibri"/>
          <w:sz w:val="20"/>
        </w:rPr>
        <w:t xml:space="preserve">(F.C.) (Civil) (By Leave) </w:t>
      </w:r>
      <w:r w:rsidRPr="008E4F84">
        <w:rPr>
          <w:rFonts w:eastAsia="Calibri"/>
          <w:sz w:val="20"/>
          <w:lang w:val="en-CA"/>
        </w:rPr>
        <w:t>(</w:t>
      </w:r>
      <w:hyperlink r:id="rId14" w:history="1">
        <w:r w:rsidRPr="008E4F84">
          <w:rPr>
            <w:rStyle w:val="Hyperlink"/>
            <w:rFonts w:eastAsia="Calibri"/>
            <w:sz w:val="20"/>
            <w:szCs w:val="20"/>
            <w:lang w:val="en-CA"/>
          </w:rPr>
          <w:t>396</w:t>
        </w:r>
        <w:r w:rsidR="00322A59" w:rsidRPr="008E4F84">
          <w:rPr>
            <w:rStyle w:val="Hyperlink"/>
            <w:rFonts w:eastAsia="Calibri"/>
            <w:sz w:val="20"/>
            <w:szCs w:val="20"/>
            <w:lang w:val="en-CA"/>
          </w:rPr>
          <w:t>62</w:t>
        </w:r>
      </w:hyperlink>
      <w:r w:rsidRPr="008E4F84">
        <w:rPr>
          <w:rFonts w:eastAsia="Calibri"/>
          <w:sz w:val="20"/>
          <w:lang w:val="en-CA"/>
        </w:rPr>
        <w:t>)</w:t>
      </w:r>
    </w:p>
    <w:p w:rsidR="00041E3A" w:rsidRPr="008E4F84" w:rsidRDefault="00041E3A" w:rsidP="00041E3A">
      <w:pPr>
        <w:ind w:left="357" w:hanging="357"/>
        <w:rPr>
          <w:sz w:val="20"/>
        </w:rPr>
      </w:pPr>
    </w:p>
    <w:p w:rsidR="00041E3A" w:rsidRPr="008E4F84" w:rsidRDefault="00041E3A" w:rsidP="00041E3A">
      <w:pPr>
        <w:pStyle w:val="ListParagraph"/>
        <w:numPr>
          <w:ilvl w:val="0"/>
          <w:numId w:val="2"/>
        </w:numPr>
        <w:ind w:left="357" w:hanging="357"/>
        <w:rPr>
          <w:sz w:val="20"/>
        </w:rPr>
      </w:pPr>
      <w:r w:rsidRPr="008E4F84">
        <w:rPr>
          <w:i/>
          <w:sz w:val="20"/>
        </w:rPr>
        <w:t>M.L.R. and F.A.M., parents of “Infant A” v. Her Majesty the Queen as represented by the Ministry of Education, et al.</w:t>
      </w:r>
      <w:r w:rsidRPr="008E4F84">
        <w:rPr>
          <w:sz w:val="20"/>
        </w:rPr>
        <w:t xml:space="preserve"> (B.C.) (Civil) (By Leave) </w:t>
      </w:r>
      <w:r w:rsidRPr="008E4F84">
        <w:rPr>
          <w:rFonts w:eastAsia="Calibri"/>
          <w:sz w:val="20"/>
          <w:lang w:val="en-CA"/>
        </w:rPr>
        <w:t>(</w:t>
      </w:r>
      <w:hyperlink r:id="rId15" w:history="1">
        <w:r w:rsidRPr="008E4F84">
          <w:rPr>
            <w:rStyle w:val="Hyperlink"/>
            <w:rFonts w:eastAsia="Calibri"/>
            <w:sz w:val="20"/>
            <w:szCs w:val="20"/>
            <w:lang w:val="en-CA"/>
          </w:rPr>
          <w:t>39</w:t>
        </w:r>
        <w:r w:rsidR="00322A59" w:rsidRPr="008E4F84">
          <w:rPr>
            <w:rStyle w:val="Hyperlink"/>
            <w:rFonts w:eastAsia="Calibri"/>
            <w:sz w:val="20"/>
            <w:szCs w:val="20"/>
            <w:lang w:val="en-CA"/>
          </w:rPr>
          <w:t>729</w:t>
        </w:r>
      </w:hyperlink>
      <w:r w:rsidRPr="008E4F84">
        <w:rPr>
          <w:rFonts w:eastAsia="Calibri"/>
          <w:sz w:val="20"/>
          <w:lang w:val="en-CA"/>
        </w:rPr>
        <w:t>)</w:t>
      </w:r>
    </w:p>
    <w:p w:rsidR="00041E3A" w:rsidRPr="008E4F84" w:rsidRDefault="00041E3A" w:rsidP="000A7017">
      <w:pPr>
        <w:rPr>
          <w:sz w:val="20"/>
        </w:rPr>
      </w:pPr>
    </w:p>
    <w:p w:rsidR="0057402C" w:rsidRPr="008E4F84" w:rsidRDefault="008E4F84" w:rsidP="009B14F4">
      <w:pPr>
        <w:widowControl w:val="0"/>
        <w:jc w:val="both"/>
        <w:rPr>
          <w:sz w:val="20"/>
        </w:rPr>
      </w:pPr>
      <w:r w:rsidRPr="008E4F84">
        <w:rPr>
          <w:sz w:val="20"/>
        </w:rPr>
        <w:pict>
          <v:rect id="_x0000_i1026" style="width:2in;height:1pt" o:hrpct="0" o:hralign="center" o:hrstd="t" o:hrnoshade="t" o:hr="t" fillcolor="black [3213]" stroked="f"/>
        </w:pict>
      </w:r>
    </w:p>
    <w:p w:rsidR="00F45DCD" w:rsidRPr="008E4F84" w:rsidRDefault="00F45DCD"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lang w:val="en-CA"/>
              </w:rPr>
            </w:pPr>
            <w:r w:rsidRPr="008E4F84">
              <w:rPr>
                <w:rStyle w:val="SCCFileNumberChar"/>
                <w:sz w:val="20"/>
                <w:szCs w:val="20"/>
              </w:rPr>
              <w:t>39634</w:t>
            </w:r>
          </w:p>
        </w:tc>
        <w:tc>
          <w:tcPr>
            <w:tcW w:w="4457" w:type="pct"/>
            <w:gridSpan w:val="3"/>
          </w:tcPr>
          <w:p w:rsidR="00310C1E" w:rsidRPr="008E4F84" w:rsidRDefault="00310C1E" w:rsidP="00310C1E">
            <w:pPr>
              <w:pStyle w:val="SCCLsocParty"/>
              <w:jc w:val="both"/>
              <w:rPr>
                <w:b/>
                <w:sz w:val="20"/>
                <w:szCs w:val="20"/>
                <w:lang w:val="en-CA"/>
              </w:rPr>
            </w:pPr>
            <w:r w:rsidRPr="008E4F84">
              <w:rPr>
                <w:b/>
                <w:sz w:val="20"/>
                <w:szCs w:val="20"/>
                <w:lang w:val="en-CA"/>
              </w:rPr>
              <w:t>Guillaume St-Louis v. Her Majesty the Queen</w:t>
            </w:r>
          </w:p>
          <w:p w:rsidR="00310C1E" w:rsidRPr="008E4F84" w:rsidRDefault="00310C1E" w:rsidP="00310C1E">
            <w:pPr>
              <w:jc w:val="both"/>
              <w:rPr>
                <w:sz w:val="20"/>
                <w:lang w:val="en-CA"/>
              </w:rPr>
            </w:pPr>
            <w:r w:rsidRPr="008E4F84">
              <w:rPr>
                <w:sz w:val="20"/>
                <w:lang w:val="en-CA"/>
              </w:rPr>
              <w:t>(Que.) (Criminal) (By Leave)</w:t>
            </w:r>
          </w:p>
        </w:tc>
      </w:tr>
      <w:tr w:rsidR="00310C1E" w:rsidRPr="008E4F84" w:rsidTr="00310C1E">
        <w:tc>
          <w:tcPr>
            <w:tcW w:w="5000" w:type="pct"/>
            <w:gridSpan w:val="4"/>
          </w:tcPr>
          <w:p w:rsidR="00310C1E" w:rsidRPr="008E4F84" w:rsidRDefault="00310C1E" w:rsidP="00310C1E">
            <w:pPr>
              <w:jc w:val="both"/>
              <w:rPr>
                <w:sz w:val="20"/>
                <w:lang w:val="en-CA"/>
              </w:rPr>
            </w:pPr>
            <w:proofErr w:type="gramStart"/>
            <w:r w:rsidRPr="008E4F84">
              <w:rPr>
                <w:sz w:val="20"/>
                <w:lang w:val="en-CA"/>
              </w:rPr>
              <w:t xml:space="preserve">Criminal law ⸺ Power of Superior Court sitting as summary conviction appeal court to intervene with respect to error of law made by trial court ⸺ Curative proviso set out in </w:t>
            </w:r>
            <w:r w:rsidRPr="008E4F84">
              <w:rPr>
                <w:i/>
                <w:sz w:val="20"/>
                <w:lang w:val="en-CA"/>
              </w:rPr>
              <w:t>Criminal Code</w:t>
            </w:r>
            <w:r w:rsidRPr="008E4F84">
              <w:rPr>
                <w:sz w:val="20"/>
                <w:lang w:val="en-CA"/>
              </w:rPr>
              <w:t xml:space="preserve"> ⸺ Whether Quebec Court of Appeal </w:t>
            </w:r>
            <w:r w:rsidRPr="008E4F84">
              <w:rPr>
                <w:sz w:val="20"/>
                <w:lang w:val="en-CA"/>
              </w:rPr>
              <w:lastRenderedPageBreak/>
              <w:t xml:space="preserve">erred in law in finding that Quebec Superior Court had not implicitly applied curative proviso in s. 686(1)(b)(iii) of </w:t>
            </w:r>
            <w:r w:rsidRPr="008E4F84">
              <w:rPr>
                <w:i/>
                <w:sz w:val="20"/>
                <w:lang w:val="en-CA"/>
              </w:rPr>
              <w:t>Criminal Code</w:t>
            </w:r>
            <w:r w:rsidRPr="008E4F84">
              <w:rPr>
                <w:sz w:val="20"/>
                <w:lang w:val="en-CA"/>
              </w:rPr>
              <w:t xml:space="preserve"> ⸺ Whether appellate court can have recourse </w:t>
            </w:r>
            <w:r w:rsidRPr="008E4F84">
              <w:rPr>
                <w:i/>
                <w:sz w:val="20"/>
                <w:lang w:val="en-CA"/>
              </w:rPr>
              <w:t>proprio motu</w:t>
            </w:r>
            <w:r w:rsidRPr="008E4F84">
              <w:rPr>
                <w:sz w:val="20"/>
                <w:lang w:val="en-CA"/>
              </w:rPr>
              <w:t xml:space="preserve"> to curative proviso in s. 686(1)(b)(iii) of </w:t>
            </w:r>
            <w:r w:rsidRPr="008E4F84">
              <w:rPr>
                <w:i/>
                <w:sz w:val="20"/>
                <w:lang w:val="en-CA"/>
              </w:rPr>
              <w:t>Criminal Code</w:t>
            </w:r>
            <w:r w:rsidRPr="008E4F84">
              <w:rPr>
                <w:sz w:val="20"/>
                <w:lang w:val="en-CA"/>
              </w:rPr>
              <w:t xml:space="preserve"> even though Crown specifically chose not to rely on it ⸺ </w:t>
            </w:r>
            <w:r w:rsidRPr="008E4F84">
              <w:rPr>
                <w:i/>
                <w:sz w:val="20"/>
                <w:lang w:val="en-CA"/>
              </w:rPr>
              <w:t>Criminal Code</w:t>
            </w:r>
            <w:r w:rsidRPr="008E4F84">
              <w:rPr>
                <w:sz w:val="20"/>
                <w:lang w:val="en-CA"/>
              </w:rPr>
              <w:t>,</w:t>
            </w:r>
            <w:r w:rsidRPr="008E4F84">
              <w:rPr>
                <w:i/>
                <w:sz w:val="20"/>
                <w:lang w:val="en-CA"/>
              </w:rPr>
              <w:t xml:space="preserve"> </w:t>
            </w:r>
            <w:r w:rsidRPr="008E4F84">
              <w:rPr>
                <w:sz w:val="20"/>
                <w:lang w:val="en-CA" w:eastAsia="fr-CA"/>
              </w:rPr>
              <w:t>R.S.C. 1985, c. C</w:t>
            </w:r>
            <w:r w:rsidRPr="008E4F84">
              <w:rPr>
                <w:sz w:val="20"/>
                <w:lang w:val="en-CA" w:eastAsia="fr-CA"/>
              </w:rPr>
              <w:noBreakHyphen/>
              <w:t>46, s. </w:t>
            </w:r>
            <w:r w:rsidRPr="008E4F84">
              <w:rPr>
                <w:sz w:val="20"/>
                <w:lang w:val="en-CA"/>
              </w:rPr>
              <w:t>686(1)(b)(iii).</w:t>
            </w:r>
            <w:proofErr w:type="gramEnd"/>
          </w:p>
        </w:tc>
      </w:tr>
      <w:tr w:rsidR="00310C1E" w:rsidRPr="008E4F84" w:rsidTr="00310C1E">
        <w:tc>
          <w:tcPr>
            <w:tcW w:w="5000" w:type="pct"/>
            <w:gridSpan w:val="4"/>
          </w:tcPr>
          <w:p w:rsidR="00310C1E" w:rsidRPr="008E4F84" w:rsidRDefault="00310C1E" w:rsidP="00310C1E">
            <w:pPr>
              <w:jc w:val="both"/>
              <w:rPr>
                <w:sz w:val="20"/>
                <w:lang w:val="en-CA"/>
              </w:rPr>
            </w:pPr>
          </w:p>
        </w:tc>
      </w:tr>
      <w:tr w:rsidR="00310C1E" w:rsidRPr="008E4F84" w:rsidTr="00310C1E">
        <w:tc>
          <w:tcPr>
            <w:tcW w:w="5000" w:type="pct"/>
            <w:gridSpan w:val="4"/>
          </w:tcPr>
          <w:p w:rsidR="00310C1E" w:rsidRPr="008E4F84" w:rsidRDefault="00310C1E" w:rsidP="00310C1E">
            <w:pPr>
              <w:jc w:val="both"/>
              <w:rPr>
                <w:sz w:val="20"/>
                <w:lang w:val="en-CA"/>
              </w:rPr>
            </w:pPr>
            <w:r w:rsidRPr="008E4F84">
              <w:rPr>
                <w:sz w:val="20"/>
                <w:lang w:val="en-CA"/>
              </w:rPr>
              <w:t>The applicant, Guillaume St</w:t>
            </w:r>
            <w:r w:rsidRPr="008E4F84">
              <w:rPr>
                <w:sz w:val="20"/>
                <w:lang w:val="en-CA"/>
              </w:rPr>
              <w:noBreakHyphen/>
              <w:t xml:space="preserve">Louis, is a police officer who </w:t>
            </w:r>
            <w:proofErr w:type="gramStart"/>
            <w:r w:rsidRPr="008E4F84">
              <w:rPr>
                <w:sz w:val="20"/>
                <w:lang w:val="en-CA"/>
              </w:rPr>
              <w:t>was tried</w:t>
            </w:r>
            <w:proofErr w:type="gramEnd"/>
            <w:r w:rsidRPr="008E4F84">
              <w:rPr>
                <w:sz w:val="20"/>
                <w:lang w:val="en-CA"/>
              </w:rPr>
              <w:t xml:space="preserve"> for his alleged actions during the arrest of the complainant, Alexandre Hébert, on the morning of December 9, 2014, when Mr. Hébert was driving in the residential neighbourhood where he lived. The reason given by Mr. St</w:t>
            </w:r>
            <w:r w:rsidRPr="008E4F84">
              <w:rPr>
                <w:sz w:val="20"/>
                <w:lang w:val="en-CA"/>
              </w:rPr>
              <w:noBreakHyphen/>
              <w:t xml:space="preserve">Louis for stopping the complainant was that his car windows </w:t>
            </w:r>
            <w:proofErr w:type="gramStart"/>
            <w:r w:rsidRPr="008E4F84">
              <w:rPr>
                <w:sz w:val="20"/>
                <w:lang w:val="en-CA"/>
              </w:rPr>
              <w:t>were tinted</w:t>
            </w:r>
            <w:proofErr w:type="gramEnd"/>
            <w:r w:rsidRPr="008E4F84">
              <w:rPr>
                <w:sz w:val="20"/>
                <w:lang w:val="en-CA"/>
              </w:rPr>
              <w:t xml:space="preserve"> too darkly. Three charges were laid against Mr. St</w:t>
            </w:r>
            <w:r w:rsidRPr="008E4F84">
              <w:rPr>
                <w:sz w:val="20"/>
                <w:lang w:val="en-CA"/>
              </w:rPr>
              <w:noBreakHyphen/>
              <w:t xml:space="preserve">Louis under the </w:t>
            </w:r>
            <w:r w:rsidRPr="008E4F84">
              <w:rPr>
                <w:i/>
                <w:sz w:val="20"/>
                <w:lang w:val="en-CA"/>
              </w:rPr>
              <w:t>Criminal Code</w:t>
            </w:r>
            <w:r w:rsidRPr="008E4F84">
              <w:rPr>
                <w:sz w:val="20"/>
                <w:lang w:val="en-CA"/>
              </w:rPr>
              <w:t xml:space="preserve">, </w:t>
            </w:r>
            <w:r w:rsidRPr="008E4F84">
              <w:rPr>
                <w:sz w:val="20"/>
                <w:lang w:val="en-CA" w:eastAsia="fr-CA"/>
              </w:rPr>
              <w:t>R.S.C. 1985, c. C</w:t>
            </w:r>
            <w:r w:rsidRPr="008E4F84">
              <w:rPr>
                <w:sz w:val="20"/>
                <w:lang w:val="en-CA" w:eastAsia="fr-CA"/>
              </w:rPr>
              <w:noBreakHyphen/>
              <w:t>46 (Cr. C.): assault with a weapon under s. </w:t>
            </w:r>
            <w:r w:rsidRPr="008E4F84">
              <w:rPr>
                <w:sz w:val="20"/>
                <w:lang w:val="en-CA"/>
              </w:rPr>
              <w:t>267(a), assault causing bodily harm under s. 267(b) and careless use of a prohibited weapon under s. 86(1). At trial, the applicant and the complainant testified and gave diametrically opposed versions of the events surrounding the complainant’s arrest. The Court of Québec judge found Mr. St</w:t>
            </w:r>
            <w:r w:rsidRPr="008E4F84">
              <w:rPr>
                <w:sz w:val="20"/>
                <w:lang w:val="en-CA"/>
              </w:rPr>
              <w:noBreakHyphen/>
              <w:t xml:space="preserve">Louis guilty of </w:t>
            </w:r>
            <w:r w:rsidRPr="008E4F84">
              <w:rPr>
                <w:sz w:val="20"/>
                <w:lang w:val="en-CA" w:eastAsia="fr-CA"/>
              </w:rPr>
              <w:t>assault with a weapon under s. </w:t>
            </w:r>
            <w:r w:rsidRPr="008E4F84">
              <w:rPr>
                <w:sz w:val="20"/>
                <w:lang w:val="en-CA"/>
              </w:rPr>
              <w:t xml:space="preserve">267(a) and assault causing bodily harm under s. 267(b) Cr. C. He entered a stay of proceedings on the count of </w:t>
            </w:r>
            <w:r w:rsidRPr="008E4F84">
              <w:rPr>
                <w:sz w:val="20"/>
                <w:lang w:val="en-CA" w:eastAsia="fr-CA"/>
              </w:rPr>
              <w:t>assault with a weapon under s. </w:t>
            </w:r>
            <w:r w:rsidRPr="008E4F84">
              <w:rPr>
                <w:sz w:val="20"/>
                <w:lang w:val="en-CA"/>
              </w:rPr>
              <w:t>267(a) Cr. C. based on the rule against multiple convictions. Mr. St</w:t>
            </w:r>
            <w:r w:rsidRPr="008E4F84">
              <w:rPr>
                <w:sz w:val="20"/>
                <w:lang w:val="en-CA"/>
              </w:rPr>
              <w:noBreakHyphen/>
              <w:t>Louis was acquitted of careless use of a prohibited weapon under s. 86(1) Cr. C. The Superior Court, sitting as a summary conviction appeal court, dismissed the appeal from the conviction. The Court of Appeal dismissed the appeal.</w:t>
            </w:r>
          </w:p>
          <w:p w:rsidR="00310C1E" w:rsidRPr="008E4F84" w:rsidRDefault="00310C1E" w:rsidP="00310C1E">
            <w:pPr>
              <w:jc w:val="both"/>
              <w:rPr>
                <w:sz w:val="20"/>
                <w:lang w:val="en-CA"/>
              </w:rPr>
            </w:pPr>
          </w:p>
        </w:tc>
      </w:tr>
      <w:tr w:rsidR="00310C1E" w:rsidRPr="008E4F84" w:rsidTr="00310C1E">
        <w:tc>
          <w:tcPr>
            <w:tcW w:w="2427" w:type="pct"/>
            <w:gridSpan w:val="2"/>
          </w:tcPr>
          <w:p w:rsidR="00310C1E" w:rsidRPr="008E4F84" w:rsidRDefault="00310C1E" w:rsidP="00310C1E">
            <w:pPr>
              <w:jc w:val="both"/>
              <w:rPr>
                <w:sz w:val="20"/>
                <w:lang w:val="en-CA"/>
              </w:rPr>
            </w:pPr>
            <w:r w:rsidRPr="008E4F84">
              <w:rPr>
                <w:sz w:val="20"/>
                <w:lang w:val="en-CA"/>
              </w:rPr>
              <w:t xml:space="preserve">December 8, 2017 </w:t>
            </w:r>
          </w:p>
          <w:p w:rsidR="00310C1E" w:rsidRPr="008E4F84" w:rsidRDefault="00310C1E" w:rsidP="00310C1E">
            <w:pPr>
              <w:jc w:val="both"/>
              <w:rPr>
                <w:sz w:val="20"/>
                <w:lang w:val="en-CA"/>
              </w:rPr>
            </w:pPr>
            <w:r w:rsidRPr="008E4F84">
              <w:rPr>
                <w:sz w:val="20"/>
                <w:lang w:val="en-CA"/>
              </w:rPr>
              <w:t>Court of Québec</w:t>
            </w:r>
          </w:p>
          <w:p w:rsidR="00310C1E" w:rsidRPr="008E4F84" w:rsidRDefault="00310C1E" w:rsidP="00310C1E">
            <w:pPr>
              <w:jc w:val="both"/>
              <w:rPr>
                <w:sz w:val="20"/>
                <w:lang w:val="en-CA"/>
              </w:rPr>
            </w:pPr>
            <w:r w:rsidRPr="008E4F84">
              <w:rPr>
                <w:sz w:val="20"/>
                <w:lang w:val="en-CA"/>
              </w:rPr>
              <w:t xml:space="preserve">(Judge Richer) </w:t>
            </w:r>
          </w:p>
          <w:p w:rsidR="00310C1E" w:rsidRPr="008E4F84" w:rsidRDefault="008E4F84" w:rsidP="00310C1E">
            <w:pPr>
              <w:jc w:val="both"/>
              <w:rPr>
                <w:sz w:val="20"/>
                <w:lang w:val="en-CA"/>
              </w:rPr>
            </w:pPr>
            <w:hyperlink r:id="rId16" w:history="1">
              <w:r w:rsidR="00310C1E" w:rsidRPr="008E4F84">
                <w:rPr>
                  <w:rStyle w:val="Hyperlink"/>
                  <w:sz w:val="20"/>
                  <w:lang w:val="en-CA"/>
                </w:rPr>
                <w:t>2017 QCCQ 14477</w:t>
              </w:r>
            </w:hyperlink>
          </w:p>
          <w:p w:rsidR="00310C1E" w:rsidRPr="008E4F84" w:rsidRDefault="00310C1E" w:rsidP="00310C1E">
            <w:pPr>
              <w:jc w:val="both"/>
              <w:rPr>
                <w:sz w:val="20"/>
                <w:lang w:val="en-CA"/>
              </w:rPr>
            </w:pPr>
          </w:p>
        </w:tc>
        <w:tc>
          <w:tcPr>
            <w:tcW w:w="243" w:type="pct"/>
          </w:tcPr>
          <w:p w:rsidR="00310C1E" w:rsidRPr="008E4F84" w:rsidRDefault="00310C1E" w:rsidP="00310C1E">
            <w:pPr>
              <w:jc w:val="both"/>
              <w:rPr>
                <w:sz w:val="20"/>
                <w:lang w:val="en-CA"/>
              </w:rPr>
            </w:pPr>
          </w:p>
        </w:tc>
        <w:tc>
          <w:tcPr>
            <w:tcW w:w="2330" w:type="pct"/>
          </w:tcPr>
          <w:p w:rsidR="00310C1E" w:rsidRPr="008E4F84" w:rsidRDefault="00310C1E" w:rsidP="00310C1E">
            <w:pPr>
              <w:jc w:val="both"/>
              <w:rPr>
                <w:sz w:val="20"/>
                <w:lang w:val="en-CA"/>
              </w:rPr>
            </w:pPr>
            <w:r w:rsidRPr="008E4F84">
              <w:rPr>
                <w:sz w:val="20"/>
                <w:lang w:val="en-CA" w:eastAsia="fr-CA"/>
              </w:rPr>
              <w:t>Applicant convicted of counts of assault with weapon under s. </w:t>
            </w:r>
            <w:r w:rsidRPr="008E4F84">
              <w:rPr>
                <w:sz w:val="20"/>
                <w:lang w:val="en-CA"/>
              </w:rPr>
              <w:t xml:space="preserve">267(a) and assault causing bodily harm under s. 267(b) of </w:t>
            </w:r>
            <w:r w:rsidRPr="008E4F84">
              <w:rPr>
                <w:i/>
                <w:sz w:val="20"/>
                <w:lang w:val="en-CA"/>
              </w:rPr>
              <w:t>Criminal Code</w:t>
            </w:r>
          </w:p>
          <w:p w:rsidR="00310C1E" w:rsidRPr="008E4F84" w:rsidRDefault="00310C1E" w:rsidP="00310C1E">
            <w:pPr>
              <w:jc w:val="both"/>
              <w:rPr>
                <w:sz w:val="20"/>
                <w:lang w:val="en-CA"/>
              </w:rPr>
            </w:pPr>
            <w:r w:rsidRPr="008E4F84">
              <w:rPr>
                <w:sz w:val="20"/>
                <w:lang w:val="en-CA"/>
              </w:rPr>
              <w:t xml:space="preserve">Conditional stay of proceedings entered on count of </w:t>
            </w:r>
            <w:r w:rsidRPr="008E4F84">
              <w:rPr>
                <w:sz w:val="20"/>
                <w:lang w:val="en-CA" w:eastAsia="fr-CA"/>
              </w:rPr>
              <w:t>assault with weapon under s. </w:t>
            </w:r>
            <w:r w:rsidRPr="008E4F84">
              <w:rPr>
                <w:sz w:val="20"/>
                <w:lang w:val="en-CA"/>
              </w:rPr>
              <w:t xml:space="preserve">267(a) of </w:t>
            </w:r>
            <w:r w:rsidRPr="008E4F84">
              <w:rPr>
                <w:i/>
                <w:sz w:val="20"/>
                <w:lang w:val="en-CA"/>
              </w:rPr>
              <w:t>Criminal Code</w:t>
            </w:r>
            <w:r w:rsidRPr="008E4F84">
              <w:rPr>
                <w:sz w:val="20"/>
                <w:lang w:val="en-CA"/>
              </w:rPr>
              <w:t xml:space="preserve"> based on rule against multiple convictions</w:t>
            </w:r>
          </w:p>
          <w:p w:rsidR="00310C1E" w:rsidRPr="008E4F84" w:rsidRDefault="00310C1E" w:rsidP="00310C1E">
            <w:pPr>
              <w:jc w:val="both"/>
              <w:rPr>
                <w:sz w:val="20"/>
                <w:lang w:val="en-CA"/>
              </w:rPr>
            </w:pPr>
            <w:r w:rsidRPr="008E4F84">
              <w:rPr>
                <w:sz w:val="20"/>
                <w:lang w:val="en-CA"/>
              </w:rPr>
              <w:t xml:space="preserve">Applicant acquitted of count of careless use of prohibited weapon under s. 86(1) of </w:t>
            </w:r>
            <w:r w:rsidRPr="008E4F84">
              <w:rPr>
                <w:i/>
                <w:sz w:val="20"/>
                <w:lang w:val="en-CA"/>
              </w:rPr>
              <w:t>Criminal Code</w:t>
            </w:r>
          </w:p>
          <w:p w:rsidR="00310C1E" w:rsidRPr="008E4F84" w:rsidRDefault="00310C1E" w:rsidP="00310C1E">
            <w:pPr>
              <w:jc w:val="both"/>
              <w:rPr>
                <w:sz w:val="20"/>
                <w:lang w:val="en-CA"/>
              </w:rPr>
            </w:pPr>
          </w:p>
        </w:tc>
      </w:tr>
      <w:tr w:rsidR="00310C1E" w:rsidRPr="008E4F84" w:rsidTr="00310C1E">
        <w:tc>
          <w:tcPr>
            <w:tcW w:w="2427" w:type="pct"/>
            <w:gridSpan w:val="2"/>
          </w:tcPr>
          <w:p w:rsidR="00310C1E" w:rsidRPr="008E4F84" w:rsidRDefault="00310C1E" w:rsidP="00310C1E">
            <w:pPr>
              <w:jc w:val="both"/>
              <w:rPr>
                <w:sz w:val="20"/>
                <w:lang w:val="en-CA"/>
              </w:rPr>
            </w:pPr>
            <w:r w:rsidRPr="008E4F84">
              <w:rPr>
                <w:sz w:val="20"/>
                <w:lang w:val="en-CA"/>
              </w:rPr>
              <w:t>July 9, 2019</w:t>
            </w:r>
          </w:p>
          <w:p w:rsidR="00310C1E" w:rsidRPr="008E4F84" w:rsidRDefault="00310C1E" w:rsidP="00310C1E">
            <w:pPr>
              <w:jc w:val="both"/>
              <w:rPr>
                <w:sz w:val="20"/>
                <w:lang w:val="en-CA"/>
              </w:rPr>
            </w:pPr>
            <w:r w:rsidRPr="008E4F84">
              <w:rPr>
                <w:sz w:val="20"/>
                <w:lang w:val="en-CA"/>
              </w:rPr>
              <w:t>Quebec Superior Court</w:t>
            </w:r>
          </w:p>
          <w:p w:rsidR="00310C1E" w:rsidRPr="008E4F84" w:rsidRDefault="00310C1E" w:rsidP="00310C1E">
            <w:pPr>
              <w:jc w:val="both"/>
              <w:rPr>
                <w:sz w:val="20"/>
                <w:lang w:val="en-CA"/>
              </w:rPr>
            </w:pPr>
            <w:r w:rsidRPr="008E4F84">
              <w:rPr>
                <w:sz w:val="20"/>
                <w:lang w:val="en-CA"/>
              </w:rPr>
              <w:t>(Charbonneau J.)</w:t>
            </w:r>
          </w:p>
          <w:p w:rsidR="00310C1E" w:rsidRPr="008E4F84" w:rsidRDefault="008E4F84" w:rsidP="00310C1E">
            <w:pPr>
              <w:jc w:val="both"/>
              <w:rPr>
                <w:sz w:val="20"/>
                <w:lang w:val="en-CA"/>
              </w:rPr>
            </w:pPr>
            <w:hyperlink r:id="rId17" w:history="1">
              <w:r w:rsidR="00310C1E" w:rsidRPr="008E4F84">
                <w:rPr>
                  <w:rStyle w:val="Hyperlink"/>
                  <w:sz w:val="20"/>
                  <w:lang w:val="en-CA"/>
                </w:rPr>
                <w:t>2019 QCCS 2826</w:t>
              </w:r>
            </w:hyperlink>
          </w:p>
          <w:p w:rsidR="00310C1E" w:rsidRPr="008E4F84" w:rsidRDefault="00310C1E" w:rsidP="00310C1E">
            <w:pPr>
              <w:jc w:val="both"/>
              <w:rPr>
                <w:sz w:val="20"/>
                <w:lang w:val="en-CA"/>
              </w:rPr>
            </w:pPr>
          </w:p>
        </w:tc>
        <w:tc>
          <w:tcPr>
            <w:tcW w:w="243" w:type="pct"/>
          </w:tcPr>
          <w:p w:rsidR="00310C1E" w:rsidRPr="008E4F84" w:rsidRDefault="00310C1E" w:rsidP="00310C1E">
            <w:pPr>
              <w:jc w:val="both"/>
              <w:rPr>
                <w:sz w:val="20"/>
                <w:lang w:val="en-CA"/>
              </w:rPr>
            </w:pPr>
          </w:p>
        </w:tc>
        <w:tc>
          <w:tcPr>
            <w:tcW w:w="2330" w:type="pct"/>
          </w:tcPr>
          <w:p w:rsidR="00310C1E" w:rsidRPr="008E4F84" w:rsidRDefault="00310C1E" w:rsidP="00310C1E">
            <w:pPr>
              <w:jc w:val="both"/>
              <w:rPr>
                <w:sz w:val="20"/>
                <w:lang w:val="en-CA"/>
              </w:rPr>
            </w:pPr>
            <w:r w:rsidRPr="008E4F84">
              <w:rPr>
                <w:sz w:val="20"/>
                <w:lang w:val="en-CA"/>
              </w:rPr>
              <w:t>Appeal against conviction dismissed</w:t>
            </w:r>
          </w:p>
          <w:p w:rsidR="00310C1E" w:rsidRPr="008E4F84" w:rsidRDefault="00310C1E" w:rsidP="00310C1E">
            <w:pPr>
              <w:jc w:val="both"/>
              <w:rPr>
                <w:sz w:val="20"/>
                <w:lang w:val="en-CA"/>
              </w:rPr>
            </w:pPr>
          </w:p>
        </w:tc>
      </w:tr>
      <w:tr w:rsidR="00310C1E" w:rsidRPr="008E4F84" w:rsidTr="00310C1E">
        <w:tc>
          <w:tcPr>
            <w:tcW w:w="2427" w:type="pct"/>
            <w:gridSpan w:val="2"/>
          </w:tcPr>
          <w:p w:rsidR="00310C1E" w:rsidRPr="008E4F84" w:rsidRDefault="00310C1E" w:rsidP="00310C1E">
            <w:pPr>
              <w:jc w:val="both"/>
              <w:rPr>
                <w:sz w:val="20"/>
                <w:lang w:val="en-CA"/>
              </w:rPr>
            </w:pPr>
            <w:r w:rsidRPr="008E4F84">
              <w:rPr>
                <w:sz w:val="20"/>
                <w:lang w:val="en-CA"/>
              </w:rPr>
              <w:t>February 12, 2021</w:t>
            </w:r>
          </w:p>
          <w:p w:rsidR="00310C1E" w:rsidRPr="008E4F84" w:rsidRDefault="00310C1E" w:rsidP="00310C1E">
            <w:pPr>
              <w:jc w:val="both"/>
              <w:rPr>
                <w:sz w:val="20"/>
                <w:lang w:val="en-CA"/>
              </w:rPr>
            </w:pPr>
            <w:r w:rsidRPr="008E4F84">
              <w:rPr>
                <w:sz w:val="20"/>
                <w:lang w:val="en-CA"/>
              </w:rPr>
              <w:t>Quebec Court of Appeal (Montréal)</w:t>
            </w:r>
          </w:p>
          <w:p w:rsidR="00310C1E" w:rsidRPr="008E4F84" w:rsidRDefault="00310C1E" w:rsidP="00310C1E">
            <w:pPr>
              <w:jc w:val="both"/>
              <w:rPr>
                <w:sz w:val="20"/>
                <w:lang w:val="en-CA"/>
              </w:rPr>
            </w:pPr>
            <w:r w:rsidRPr="008E4F84">
              <w:rPr>
                <w:sz w:val="20"/>
                <w:lang w:val="en-CA"/>
              </w:rPr>
              <w:t>(Dutil, Healy and Ruel JJ.A.)</w:t>
            </w:r>
          </w:p>
          <w:p w:rsidR="00310C1E" w:rsidRPr="008E4F84" w:rsidRDefault="008E4F84" w:rsidP="00310C1E">
            <w:pPr>
              <w:jc w:val="both"/>
              <w:rPr>
                <w:sz w:val="20"/>
                <w:lang w:val="en-CA"/>
              </w:rPr>
            </w:pPr>
            <w:hyperlink r:id="rId18" w:history="1">
              <w:r w:rsidR="00310C1E" w:rsidRPr="008E4F84">
                <w:rPr>
                  <w:rStyle w:val="Hyperlink"/>
                  <w:sz w:val="20"/>
                  <w:lang w:val="en-CA"/>
                </w:rPr>
                <w:t>2021 QCCA 244</w:t>
              </w:r>
            </w:hyperlink>
          </w:p>
          <w:p w:rsidR="00310C1E" w:rsidRPr="008E4F84" w:rsidRDefault="00310C1E" w:rsidP="00310C1E">
            <w:pPr>
              <w:jc w:val="both"/>
              <w:rPr>
                <w:sz w:val="20"/>
                <w:lang w:val="en-CA"/>
              </w:rPr>
            </w:pPr>
          </w:p>
        </w:tc>
        <w:tc>
          <w:tcPr>
            <w:tcW w:w="243" w:type="pct"/>
          </w:tcPr>
          <w:p w:rsidR="00310C1E" w:rsidRPr="008E4F84" w:rsidRDefault="00310C1E" w:rsidP="00310C1E">
            <w:pPr>
              <w:jc w:val="both"/>
              <w:rPr>
                <w:sz w:val="20"/>
                <w:lang w:val="en-CA"/>
              </w:rPr>
            </w:pPr>
          </w:p>
        </w:tc>
        <w:tc>
          <w:tcPr>
            <w:tcW w:w="2330" w:type="pct"/>
          </w:tcPr>
          <w:p w:rsidR="00310C1E" w:rsidRPr="008E4F84" w:rsidRDefault="00310C1E" w:rsidP="00310C1E">
            <w:pPr>
              <w:jc w:val="both"/>
              <w:rPr>
                <w:sz w:val="20"/>
                <w:lang w:val="en-CA"/>
              </w:rPr>
            </w:pPr>
            <w:r w:rsidRPr="008E4F84">
              <w:rPr>
                <w:sz w:val="20"/>
                <w:lang w:val="en-CA"/>
              </w:rPr>
              <w:t>Appeal dismissed</w:t>
            </w:r>
          </w:p>
          <w:p w:rsidR="00310C1E" w:rsidRPr="008E4F84" w:rsidRDefault="00310C1E" w:rsidP="00310C1E">
            <w:pPr>
              <w:jc w:val="both"/>
              <w:rPr>
                <w:sz w:val="20"/>
                <w:lang w:val="en-CA"/>
              </w:rPr>
            </w:pPr>
          </w:p>
        </w:tc>
      </w:tr>
      <w:tr w:rsidR="00310C1E" w:rsidRPr="008E4F84" w:rsidTr="00310C1E">
        <w:tc>
          <w:tcPr>
            <w:tcW w:w="2427" w:type="pct"/>
            <w:gridSpan w:val="2"/>
          </w:tcPr>
          <w:p w:rsidR="00310C1E" w:rsidRPr="008E4F84" w:rsidRDefault="00310C1E" w:rsidP="00310C1E">
            <w:pPr>
              <w:jc w:val="both"/>
              <w:rPr>
                <w:sz w:val="20"/>
                <w:lang w:val="en-CA"/>
              </w:rPr>
            </w:pPr>
            <w:r w:rsidRPr="008E4F84">
              <w:rPr>
                <w:sz w:val="20"/>
                <w:lang w:val="en-CA"/>
              </w:rPr>
              <w:t>April 9, 2021</w:t>
            </w:r>
          </w:p>
          <w:p w:rsidR="00310C1E" w:rsidRPr="008E4F84" w:rsidRDefault="00310C1E" w:rsidP="00310C1E">
            <w:pPr>
              <w:jc w:val="both"/>
              <w:rPr>
                <w:sz w:val="20"/>
                <w:lang w:val="en-CA"/>
              </w:rPr>
            </w:pPr>
            <w:r w:rsidRPr="008E4F84">
              <w:rPr>
                <w:sz w:val="20"/>
                <w:lang w:val="en-CA"/>
              </w:rPr>
              <w:t>Supreme Court of Canada</w:t>
            </w:r>
          </w:p>
        </w:tc>
        <w:tc>
          <w:tcPr>
            <w:tcW w:w="243" w:type="pct"/>
          </w:tcPr>
          <w:p w:rsidR="00310C1E" w:rsidRPr="008E4F84" w:rsidRDefault="00310C1E" w:rsidP="00310C1E">
            <w:pPr>
              <w:jc w:val="both"/>
              <w:rPr>
                <w:sz w:val="20"/>
                <w:lang w:val="en-CA"/>
              </w:rPr>
            </w:pPr>
          </w:p>
        </w:tc>
        <w:tc>
          <w:tcPr>
            <w:tcW w:w="2330" w:type="pct"/>
          </w:tcPr>
          <w:p w:rsidR="00310C1E" w:rsidRPr="008E4F84" w:rsidRDefault="00310C1E" w:rsidP="00310C1E">
            <w:pPr>
              <w:jc w:val="both"/>
              <w:rPr>
                <w:sz w:val="20"/>
                <w:lang w:val="en-CA"/>
              </w:rPr>
            </w:pPr>
            <w:r w:rsidRPr="008E4F84">
              <w:rPr>
                <w:sz w:val="20"/>
                <w:lang w:val="en-CA"/>
              </w:rPr>
              <w:t>Application for leave to appeal filed</w:t>
            </w:r>
          </w:p>
          <w:p w:rsidR="00310C1E" w:rsidRPr="008E4F84" w:rsidRDefault="00310C1E" w:rsidP="00310C1E">
            <w:pPr>
              <w:jc w:val="both"/>
              <w:rPr>
                <w:sz w:val="20"/>
                <w:lang w:val="en-CA"/>
              </w:rPr>
            </w:pPr>
          </w:p>
        </w:tc>
      </w:tr>
    </w:tbl>
    <w:p w:rsidR="00310C1E" w:rsidRPr="008E4F84" w:rsidRDefault="00310C1E" w:rsidP="00310C1E">
      <w:pPr>
        <w:jc w:val="both"/>
        <w:rPr>
          <w:sz w:val="20"/>
          <w:lang w:val="en-CA"/>
        </w:rPr>
      </w:pPr>
    </w:p>
    <w:p w:rsidR="00310C1E" w:rsidRPr="008E4F84" w:rsidRDefault="008E4F84" w:rsidP="00310C1E">
      <w:pPr>
        <w:jc w:val="both"/>
        <w:rPr>
          <w:sz w:val="20"/>
          <w:lang w:val="en-CA"/>
        </w:rPr>
      </w:pPr>
      <w:r w:rsidRPr="008E4F84">
        <w:rPr>
          <w:sz w:val="20"/>
        </w:rPr>
        <w:pict>
          <v:rect id="_x0000_i1027" style="width:2in;height:1pt" o:hrpct="0" o:hralign="center" o:hrstd="t" o:hrnoshade="t" o:hr="t" fillcolor="black [3213]" stroked="f"/>
        </w:pict>
      </w:r>
    </w:p>
    <w:p w:rsidR="00310C1E" w:rsidRPr="008E4F84" w:rsidRDefault="00310C1E" w:rsidP="00310C1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rPr>
            </w:pPr>
            <w:r w:rsidRPr="008E4F84">
              <w:rPr>
                <w:rStyle w:val="SCCFileNumberChar"/>
                <w:sz w:val="20"/>
                <w:szCs w:val="20"/>
              </w:rPr>
              <w:t>39634</w:t>
            </w:r>
          </w:p>
        </w:tc>
        <w:tc>
          <w:tcPr>
            <w:tcW w:w="4457" w:type="pct"/>
            <w:gridSpan w:val="3"/>
          </w:tcPr>
          <w:p w:rsidR="00310C1E" w:rsidRPr="008E4F84" w:rsidRDefault="00310C1E" w:rsidP="00310C1E">
            <w:pPr>
              <w:pStyle w:val="SCCLsocParty"/>
              <w:jc w:val="both"/>
              <w:rPr>
                <w:b/>
                <w:sz w:val="20"/>
                <w:szCs w:val="20"/>
              </w:rPr>
            </w:pPr>
            <w:r w:rsidRPr="008E4F84">
              <w:rPr>
                <w:b/>
                <w:sz w:val="20"/>
                <w:szCs w:val="20"/>
              </w:rPr>
              <w:t>Guillaume St. Louis c. Sa Majesté la Reine</w:t>
            </w:r>
          </w:p>
          <w:p w:rsidR="00310C1E" w:rsidRPr="008E4F84" w:rsidRDefault="00310C1E" w:rsidP="00310C1E">
            <w:pPr>
              <w:jc w:val="both"/>
              <w:rPr>
                <w:sz w:val="20"/>
              </w:rPr>
            </w:pPr>
            <w:r w:rsidRPr="008E4F84">
              <w:rPr>
                <w:sz w:val="20"/>
              </w:rPr>
              <w:t>(Qc) (Criminelle) (Autorisation)</w:t>
            </w:r>
          </w:p>
        </w:tc>
      </w:tr>
      <w:tr w:rsidR="00310C1E" w:rsidRPr="008E4F84" w:rsidTr="00310C1E">
        <w:tc>
          <w:tcPr>
            <w:tcW w:w="5000" w:type="pct"/>
            <w:gridSpan w:val="4"/>
          </w:tcPr>
          <w:p w:rsidR="00310C1E" w:rsidRPr="008E4F84" w:rsidRDefault="00310C1E" w:rsidP="00310C1E">
            <w:pPr>
              <w:jc w:val="both"/>
              <w:rPr>
                <w:sz w:val="20"/>
                <w:lang w:val="fr-CA"/>
              </w:rPr>
            </w:pPr>
            <w:r w:rsidRPr="008E4F84">
              <w:rPr>
                <w:sz w:val="20"/>
                <w:lang w:val="fr-CA"/>
              </w:rPr>
              <w:t xml:space="preserve">Droit criminel </w:t>
            </w:r>
            <w:r w:rsidRPr="008E4F84">
              <w:rPr>
                <w:sz w:val="20"/>
              </w:rPr>
              <w:t>⸺</w:t>
            </w:r>
            <w:r w:rsidRPr="008E4F84">
              <w:rPr>
                <w:sz w:val="20"/>
                <w:lang w:val="fr-CA"/>
              </w:rPr>
              <w:t xml:space="preserve"> Pouvoir d’intervention de la Cour supérieure siégeant en appel en matière d’infraction sommaire relativement à une erreur de droit commise par le tribunal de première instance </w:t>
            </w:r>
            <w:r w:rsidRPr="008E4F84">
              <w:rPr>
                <w:sz w:val="20"/>
              </w:rPr>
              <w:t>⸺</w:t>
            </w:r>
            <w:r w:rsidRPr="008E4F84">
              <w:rPr>
                <w:sz w:val="20"/>
                <w:lang w:val="fr-CA"/>
              </w:rPr>
              <w:t xml:space="preserve"> Disposition réparatrice prévue au </w:t>
            </w:r>
            <w:r w:rsidRPr="008E4F84">
              <w:rPr>
                <w:i/>
                <w:sz w:val="20"/>
                <w:lang w:val="fr-CA"/>
              </w:rPr>
              <w:t>Code criminel</w:t>
            </w:r>
            <w:r w:rsidRPr="008E4F84">
              <w:rPr>
                <w:sz w:val="20"/>
                <w:lang w:val="fr-CA"/>
              </w:rPr>
              <w:t xml:space="preserve"> </w:t>
            </w:r>
            <w:r w:rsidRPr="008E4F84">
              <w:rPr>
                <w:sz w:val="20"/>
              </w:rPr>
              <w:t>⸺</w:t>
            </w:r>
            <w:r w:rsidRPr="008E4F84">
              <w:rPr>
                <w:sz w:val="20"/>
                <w:lang w:val="fr-CA"/>
              </w:rPr>
              <w:t xml:space="preserve"> La Cour d’appel du Québec a</w:t>
            </w:r>
            <w:r w:rsidRPr="008E4F84">
              <w:rPr>
                <w:sz w:val="20"/>
                <w:lang w:val="fr-CA"/>
              </w:rPr>
              <w:noBreakHyphen/>
              <w:t>t</w:t>
            </w:r>
            <w:r w:rsidRPr="008E4F84">
              <w:rPr>
                <w:sz w:val="20"/>
                <w:lang w:val="fr-CA"/>
              </w:rPr>
              <w:noBreakHyphen/>
              <w:t>elle erré en droit en concluant que la Cour supérieure du Québec n’a pas appliqué implicitement la disposition réparatrice énoncée au sous</w:t>
            </w:r>
            <w:r w:rsidRPr="008E4F84">
              <w:rPr>
                <w:sz w:val="20"/>
                <w:lang w:val="fr-CA"/>
              </w:rPr>
              <w:noBreakHyphen/>
              <w:t xml:space="preserve">alinéa 686(1)b)(iii) du </w:t>
            </w:r>
            <w:r w:rsidRPr="008E4F84">
              <w:rPr>
                <w:i/>
                <w:sz w:val="20"/>
                <w:lang w:val="fr-CA"/>
              </w:rPr>
              <w:t>Code criminel</w:t>
            </w:r>
            <w:r w:rsidRPr="008E4F84">
              <w:rPr>
                <w:sz w:val="20"/>
                <w:lang w:val="fr-CA"/>
              </w:rPr>
              <w:t xml:space="preserve">? </w:t>
            </w:r>
            <w:r w:rsidRPr="008E4F84">
              <w:rPr>
                <w:sz w:val="20"/>
              </w:rPr>
              <w:t>⸺</w:t>
            </w:r>
            <w:r w:rsidRPr="008E4F84">
              <w:rPr>
                <w:sz w:val="20"/>
                <w:lang w:val="fr-CA"/>
              </w:rPr>
              <w:t xml:space="preserve"> Une cour d’appel peut</w:t>
            </w:r>
            <w:r w:rsidRPr="008E4F84">
              <w:rPr>
                <w:sz w:val="20"/>
                <w:lang w:val="fr-CA"/>
              </w:rPr>
              <w:noBreakHyphen/>
              <w:t xml:space="preserve">elle recourir </w:t>
            </w:r>
            <w:r w:rsidRPr="008E4F84">
              <w:rPr>
                <w:i/>
                <w:sz w:val="20"/>
                <w:lang w:val="fr-CA"/>
              </w:rPr>
              <w:t>proprio motu</w:t>
            </w:r>
            <w:r w:rsidRPr="008E4F84">
              <w:rPr>
                <w:sz w:val="20"/>
                <w:lang w:val="fr-CA"/>
              </w:rPr>
              <w:t xml:space="preserve"> à la disposition réparatrice énoncée au sous</w:t>
            </w:r>
            <w:r w:rsidRPr="008E4F84">
              <w:rPr>
                <w:sz w:val="20"/>
                <w:lang w:val="fr-CA"/>
              </w:rPr>
              <w:noBreakHyphen/>
              <w:t>alinéa 686(1</w:t>
            </w:r>
            <w:proofErr w:type="gramStart"/>
            <w:r w:rsidRPr="008E4F84">
              <w:rPr>
                <w:sz w:val="20"/>
                <w:lang w:val="fr-CA"/>
              </w:rPr>
              <w:t>)b</w:t>
            </w:r>
            <w:proofErr w:type="gramEnd"/>
            <w:r w:rsidRPr="008E4F84">
              <w:rPr>
                <w:sz w:val="20"/>
                <w:lang w:val="fr-CA"/>
              </w:rPr>
              <w:t xml:space="preserve">)(iii) du </w:t>
            </w:r>
            <w:r w:rsidRPr="008E4F84">
              <w:rPr>
                <w:i/>
                <w:sz w:val="20"/>
                <w:lang w:val="fr-CA"/>
              </w:rPr>
              <w:t>Code criminel</w:t>
            </w:r>
            <w:r w:rsidRPr="008E4F84">
              <w:rPr>
                <w:sz w:val="20"/>
                <w:lang w:val="fr-CA"/>
              </w:rPr>
              <w:t xml:space="preserve">, et ce, malgré que le ministère public ait expressément choisi de ne pas l’invoquer? </w:t>
            </w:r>
            <w:r w:rsidRPr="008E4F84">
              <w:rPr>
                <w:sz w:val="20"/>
              </w:rPr>
              <w:t>⸺</w:t>
            </w:r>
            <w:r w:rsidRPr="008E4F84">
              <w:rPr>
                <w:sz w:val="20"/>
                <w:lang w:val="fr-CA"/>
              </w:rPr>
              <w:t xml:space="preserve"> </w:t>
            </w:r>
            <w:r w:rsidRPr="008E4F84">
              <w:rPr>
                <w:i/>
                <w:sz w:val="20"/>
                <w:lang w:val="fr-CA"/>
              </w:rPr>
              <w:t xml:space="preserve">Code criminel, </w:t>
            </w:r>
            <w:r w:rsidRPr="008E4F84">
              <w:rPr>
                <w:sz w:val="20"/>
                <w:lang w:val="fr-FR" w:eastAsia="fr-CA"/>
              </w:rPr>
              <w:t>L.R.C. 1985, c. C</w:t>
            </w:r>
            <w:r w:rsidRPr="008E4F84">
              <w:rPr>
                <w:sz w:val="20"/>
                <w:lang w:val="fr-FR" w:eastAsia="fr-CA"/>
              </w:rPr>
              <w:noBreakHyphen/>
              <w:t>46, art. </w:t>
            </w:r>
            <w:r w:rsidRPr="008E4F84">
              <w:rPr>
                <w:sz w:val="20"/>
                <w:lang w:val="fr-CA"/>
              </w:rPr>
              <w:t>686(1)b</w:t>
            </w:r>
            <w:proofErr w:type="gramStart"/>
            <w:r w:rsidRPr="008E4F84">
              <w:rPr>
                <w:sz w:val="20"/>
                <w:lang w:val="fr-CA"/>
              </w:rPr>
              <w:t>)(</w:t>
            </w:r>
            <w:proofErr w:type="gramEnd"/>
            <w:r w:rsidRPr="008E4F84">
              <w:rPr>
                <w:sz w:val="20"/>
                <w:lang w:val="fr-CA"/>
              </w:rPr>
              <w:t>iii).</w:t>
            </w:r>
          </w:p>
        </w:tc>
      </w:tr>
      <w:tr w:rsidR="00310C1E" w:rsidRPr="008E4F84" w:rsidTr="00310C1E">
        <w:tc>
          <w:tcPr>
            <w:tcW w:w="5000" w:type="pct"/>
            <w:gridSpan w:val="4"/>
          </w:tcPr>
          <w:p w:rsidR="00310C1E" w:rsidRPr="008E4F84" w:rsidRDefault="00310C1E" w:rsidP="00310C1E">
            <w:pPr>
              <w:jc w:val="both"/>
              <w:rPr>
                <w:sz w:val="20"/>
                <w:lang w:val="fr-CA"/>
              </w:rPr>
            </w:pPr>
          </w:p>
        </w:tc>
      </w:tr>
      <w:tr w:rsidR="00310C1E" w:rsidRPr="008E4F84" w:rsidTr="00310C1E">
        <w:tc>
          <w:tcPr>
            <w:tcW w:w="5000" w:type="pct"/>
            <w:gridSpan w:val="4"/>
          </w:tcPr>
          <w:p w:rsidR="00310C1E" w:rsidRPr="008E4F84" w:rsidRDefault="00310C1E" w:rsidP="00310C1E">
            <w:pPr>
              <w:jc w:val="both"/>
              <w:rPr>
                <w:sz w:val="20"/>
                <w:lang w:val="fr-CA"/>
              </w:rPr>
            </w:pPr>
            <w:r w:rsidRPr="008E4F84">
              <w:rPr>
                <w:sz w:val="20"/>
                <w:lang w:val="fr-CA"/>
              </w:rPr>
              <w:t>Le demandeur, M. Guillaume St</w:t>
            </w:r>
            <w:r w:rsidRPr="008E4F84">
              <w:rPr>
                <w:sz w:val="20"/>
                <w:lang w:val="fr-CA"/>
              </w:rPr>
              <w:noBreakHyphen/>
              <w:t>Louis est un policier ayant subi un procès en raison de gestes qu’il aurait posés lors de l’arrestation de M. Alexandre Hébert, plaignant, alors que ce dernier circulait en voiture dans le quartier résidentiel où il habitait le matin du 9 décembre 2014. Le motif d’arrestation invoqué par M. St</w:t>
            </w:r>
            <w:r w:rsidRPr="008E4F84">
              <w:rPr>
                <w:sz w:val="20"/>
                <w:lang w:val="fr-CA"/>
              </w:rPr>
              <w:noBreakHyphen/>
              <w:t xml:space="preserve">Louis était la présence de vitres </w:t>
            </w:r>
            <w:r w:rsidRPr="008E4F84">
              <w:rPr>
                <w:sz w:val="20"/>
                <w:lang w:val="fr-CA"/>
              </w:rPr>
              <w:lastRenderedPageBreak/>
              <w:t>teintées trop foncées sur la voiture du plaignant. Trois chefs d’accusation ont été déposés à l’endroit de M. St</w:t>
            </w:r>
            <w:r w:rsidRPr="008E4F84">
              <w:rPr>
                <w:sz w:val="20"/>
                <w:lang w:val="fr-CA"/>
              </w:rPr>
              <w:noBreakHyphen/>
              <w:t xml:space="preserve">Louis en vertu du </w:t>
            </w:r>
            <w:r w:rsidRPr="008E4F84">
              <w:rPr>
                <w:i/>
                <w:sz w:val="20"/>
                <w:lang w:val="fr-CA"/>
              </w:rPr>
              <w:t>Code criminel</w:t>
            </w:r>
            <w:r w:rsidRPr="008E4F84">
              <w:rPr>
                <w:sz w:val="20"/>
                <w:lang w:val="fr-CA"/>
              </w:rPr>
              <w:t xml:space="preserve">, </w:t>
            </w:r>
            <w:r w:rsidRPr="008E4F84">
              <w:rPr>
                <w:sz w:val="20"/>
                <w:lang w:val="fr-FR" w:eastAsia="fr-CA"/>
              </w:rPr>
              <w:t>L.R.C. 1985, c. C</w:t>
            </w:r>
            <w:r w:rsidRPr="008E4F84">
              <w:rPr>
                <w:sz w:val="20"/>
                <w:lang w:val="fr-FR" w:eastAsia="fr-CA"/>
              </w:rPr>
              <w:noBreakHyphen/>
              <w:t xml:space="preserve">46 (C.C.) </w:t>
            </w:r>
            <w:r w:rsidRPr="008E4F84">
              <w:rPr>
                <w:sz w:val="20"/>
                <w:lang w:val="fr-CA"/>
              </w:rPr>
              <w:t>à savoir : voies de fait en utilisant une arme suivant l’al. 267a), voie de fait causant des lésions corporelles suivant l’al. 267b) et utilisation d’une arme prohibée d’une manière négligente suivant le par. 86(1). Lors du procès, le demandeur et le plaignant ont offert par voie de témoignage des versions diamétralement opposée des événements entourant l’arrestation du plaignant. En première instance, le juge de la Cour du Québec, a conclu à la culpabilité de M. St</w:t>
            </w:r>
            <w:r w:rsidRPr="008E4F84">
              <w:rPr>
                <w:sz w:val="20"/>
                <w:lang w:val="fr-CA"/>
              </w:rPr>
              <w:noBreakHyphen/>
              <w:t>Louis relativement aux chefs d’accusation pour voie de fait en utilisant une arme en vertu de l’al. 267a) C.C. et pour voie de fait causant des lésions corporelles en vertu de l’al. 267b) C.C. Il a prononcé l’arrêt des procédures quant au chef d’accusation pour voie de fait en utilisant une arme en vertu de l’al. 267a) C.C., et ce, suivant la règle interdisant les condamnations multiples. M. St</w:t>
            </w:r>
            <w:r w:rsidRPr="008E4F84">
              <w:rPr>
                <w:sz w:val="20"/>
                <w:lang w:val="fr-CA"/>
              </w:rPr>
              <w:noBreakHyphen/>
              <w:t>Louis a été acquitté relativement au chef d’accusation pour utilisation d’une arme prohibée d’une manière négligente en vertu du par. 86(1) C.C. La Cour supérieure, siégeant en d’appel en matière d’infraction sommaire a rejeté l’appel quant au verdict de culpabilité et la Cour d’appel a rejeté d’appel.</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lastRenderedPageBreak/>
              <w:t xml:space="preserve">Le 8 décembre 2017 </w:t>
            </w:r>
          </w:p>
          <w:p w:rsidR="00310C1E" w:rsidRPr="008E4F84" w:rsidRDefault="00310C1E" w:rsidP="00310C1E">
            <w:pPr>
              <w:jc w:val="both"/>
              <w:rPr>
                <w:sz w:val="20"/>
                <w:lang w:val="fr-CA"/>
              </w:rPr>
            </w:pPr>
            <w:r w:rsidRPr="008E4F84">
              <w:rPr>
                <w:sz w:val="20"/>
                <w:lang w:val="fr-CA"/>
              </w:rPr>
              <w:t>Cour du Québec</w:t>
            </w:r>
          </w:p>
          <w:p w:rsidR="00310C1E" w:rsidRPr="008E4F84" w:rsidRDefault="00310C1E" w:rsidP="00310C1E">
            <w:pPr>
              <w:jc w:val="both"/>
              <w:rPr>
                <w:sz w:val="20"/>
                <w:lang w:val="fr-CA"/>
              </w:rPr>
            </w:pPr>
            <w:r w:rsidRPr="008E4F84">
              <w:rPr>
                <w:sz w:val="20"/>
                <w:lang w:val="fr-CA"/>
              </w:rPr>
              <w:t xml:space="preserve">(Le juge Richer) </w:t>
            </w:r>
          </w:p>
          <w:p w:rsidR="00310C1E" w:rsidRPr="008E4F84" w:rsidRDefault="00310C1E" w:rsidP="00310C1E">
            <w:pPr>
              <w:jc w:val="both"/>
              <w:rPr>
                <w:sz w:val="20"/>
              </w:rPr>
            </w:pPr>
            <w:r w:rsidRPr="008E4F84">
              <w:rPr>
                <w:rStyle w:val="Hyperlink"/>
                <w:sz w:val="20"/>
              </w:rPr>
              <w:t>2017 QCCQ 14477</w:t>
            </w:r>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lang w:val="fr-CA"/>
              </w:rPr>
            </w:pPr>
            <w:r w:rsidRPr="008E4F84">
              <w:rPr>
                <w:sz w:val="20"/>
                <w:lang w:val="fr-CA"/>
              </w:rPr>
              <w:t xml:space="preserve">Déclaration de culpabilité quant aux chefs d’accusation pour voie de fait en utilisant une arme en vertu de l’al. 267a) et pour voie de fait causant des lésions corporelles en vertu de l’al. 267b) du </w:t>
            </w:r>
            <w:r w:rsidRPr="008E4F84">
              <w:rPr>
                <w:i/>
                <w:sz w:val="20"/>
                <w:lang w:val="fr-CA"/>
              </w:rPr>
              <w:t>Code criminel</w:t>
            </w:r>
            <w:r w:rsidRPr="008E4F84">
              <w:rPr>
                <w:sz w:val="20"/>
                <w:lang w:val="fr-CA"/>
              </w:rPr>
              <w:t>.</w:t>
            </w:r>
          </w:p>
          <w:p w:rsidR="00310C1E" w:rsidRPr="008E4F84" w:rsidRDefault="00310C1E" w:rsidP="00310C1E">
            <w:pPr>
              <w:jc w:val="both"/>
              <w:rPr>
                <w:sz w:val="20"/>
                <w:lang w:val="fr-CA"/>
              </w:rPr>
            </w:pPr>
            <w:r w:rsidRPr="008E4F84">
              <w:rPr>
                <w:sz w:val="20"/>
                <w:lang w:val="fr-CA"/>
              </w:rPr>
              <w:t xml:space="preserve">Arrêt conditionnel des procédures quant au chef d’accusation pour voie de fait en utilisant une arme en vertu de l’al. 267a) du </w:t>
            </w:r>
            <w:r w:rsidRPr="008E4F84">
              <w:rPr>
                <w:i/>
                <w:sz w:val="20"/>
                <w:lang w:val="fr-CA"/>
              </w:rPr>
              <w:t>Code criminel</w:t>
            </w:r>
            <w:r w:rsidRPr="008E4F84">
              <w:rPr>
                <w:sz w:val="20"/>
                <w:lang w:val="fr-CA"/>
              </w:rPr>
              <w:t xml:space="preserve"> en ce, suivant la règle interdisant les condamnations multiples.</w:t>
            </w:r>
          </w:p>
          <w:p w:rsidR="00310C1E" w:rsidRPr="008E4F84" w:rsidRDefault="00310C1E" w:rsidP="00310C1E">
            <w:pPr>
              <w:jc w:val="both"/>
              <w:rPr>
                <w:sz w:val="20"/>
                <w:lang w:val="fr-CA"/>
              </w:rPr>
            </w:pPr>
            <w:r w:rsidRPr="008E4F84">
              <w:rPr>
                <w:sz w:val="20"/>
                <w:lang w:val="fr-CA"/>
              </w:rPr>
              <w:t xml:space="preserve">Déclaration d’acquittement quant au chef d’accusation pour utilisation d’une arme prohibée d’une manière négligente en vertu du par. 86(1) du </w:t>
            </w:r>
            <w:r w:rsidRPr="008E4F84">
              <w:rPr>
                <w:i/>
                <w:sz w:val="20"/>
                <w:lang w:val="fr-CA"/>
              </w:rPr>
              <w:t>Code criminel</w:t>
            </w:r>
            <w:r w:rsidRPr="008E4F84">
              <w:rPr>
                <w:sz w:val="20"/>
                <w:lang w:val="fr-CA"/>
              </w:rPr>
              <w:t>.</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Le 9 juillet 2019</w:t>
            </w:r>
          </w:p>
          <w:p w:rsidR="00310C1E" w:rsidRPr="008E4F84" w:rsidRDefault="00310C1E" w:rsidP="00310C1E">
            <w:pPr>
              <w:jc w:val="both"/>
              <w:rPr>
                <w:sz w:val="20"/>
                <w:lang w:val="fr-CA"/>
              </w:rPr>
            </w:pPr>
            <w:r w:rsidRPr="008E4F84">
              <w:rPr>
                <w:sz w:val="20"/>
                <w:lang w:val="fr-CA"/>
              </w:rPr>
              <w:t>Cour supérieure du Québec</w:t>
            </w:r>
          </w:p>
          <w:p w:rsidR="00310C1E" w:rsidRPr="008E4F84" w:rsidRDefault="00310C1E" w:rsidP="00310C1E">
            <w:pPr>
              <w:jc w:val="both"/>
              <w:rPr>
                <w:sz w:val="20"/>
              </w:rPr>
            </w:pPr>
            <w:r w:rsidRPr="008E4F84">
              <w:rPr>
                <w:sz w:val="20"/>
              </w:rPr>
              <w:t>(La juge Charbonneau)</w:t>
            </w:r>
          </w:p>
          <w:p w:rsidR="00310C1E" w:rsidRPr="008E4F84" w:rsidRDefault="00310C1E" w:rsidP="00310C1E">
            <w:pPr>
              <w:jc w:val="both"/>
              <w:rPr>
                <w:sz w:val="20"/>
              </w:rPr>
            </w:pPr>
            <w:r w:rsidRPr="008E4F84">
              <w:rPr>
                <w:rStyle w:val="Hyperlink"/>
                <w:sz w:val="20"/>
              </w:rPr>
              <w:t>2019 QCCS 2826</w:t>
            </w:r>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lang w:val="fr-CA"/>
              </w:rPr>
            </w:pPr>
            <w:r w:rsidRPr="008E4F84">
              <w:rPr>
                <w:sz w:val="20"/>
                <w:lang w:val="fr-CA"/>
              </w:rPr>
              <w:t>Appel quant au verdict de culpabilité rejeté.</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Le 12 février 2021</w:t>
            </w:r>
          </w:p>
          <w:p w:rsidR="00310C1E" w:rsidRPr="008E4F84" w:rsidRDefault="00310C1E" w:rsidP="00310C1E">
            <w:pPr>
              <w:jc w:val="both"/>
              <w:rPr>
                <w:sz w:val="20"/>
                <w:lang w:val="fr-CA"/>
              </w:rPr>
            </w:pPr>
            <w:r w:rsidRPr="008E4F84">
              <w:rPr>
                <w:sz w:val="20"/>
                <w:lang w:val="fr-CA"/>
              </w:rPr>
              <w:t>Cour d’appel du Québec (Montréal)</w:t>
            </w:r>
          </w:p>
          <w:p w:rsidR="00310C1E" w:rsidRPr="008E4F84" w:rsidRDefault="00310C1E" w:rsidP="00310C1E">
            <w:pPr>
              <w:jc w:val="both"/>
              <w:rPr>
                <w:sz w:val="20"/>
                <w:lang w:val="fr-CA"/>
              </w:rPr>
            </w:pPr>
            <w:r w:rsidRPr="008E4F84">
              <w:rPr>
                <w:sz w:val="20"/>
                <w:lang w:val="fr-CA"/>
              </w:rPr>
              <w:t>(Les juges Dutil, Healy et Ruel)</w:t>
            </w:r>
          </w:p>
          <w:p w:rsidR="00310C1E" w:rsidRPr="008E4F84" w:rsidRDefault="00310C1E" w:rsidP="00310C1E">
            <w:pPr>
              <w:jc w:val="both"/>
              <w:rPr>
                <w:sz w:val="20"/>
              </w:rPr>
            </w:pPr>
            <w:r w:rsidRPr="008E4F84">
              <w:rPr>
                <w:rStyle w:val="Hyperlink"/>
                <w:sz w:val="20"/>
              </w:rPr>
              <w:t>2021 QCCA 244</w:t>
            </w:r>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Appel rejeté.</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Le 9 avril 2021</w:t>
            </w:r>
          </w:p>
          <w:p w:rsidR="00310C1E" w:rsidRPr="008E4F84" w:rsidRDefault="00310C1E" w:rsidP="00310C1E">
            <w:pPr>
              <w:jc w:val="both"/>
              <w:rPr>
                <w:sz w:val="20"/>
                <w:lang w:val="fr-CA"/>
              </w:rPr>
            </w:pPr>
            <w:r w:rsidRPr="008E4F84">
              <w:rPr>
                <w:sz w:val="20"/>
                <w:lang w:val="fr-CA"/>
              </w:rPr>
              <w:t>Cour suprême du Canada</w:t>
            </w: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rPr>
            </w:pPr>
            <w:r w:rsidRPr="008E4F84">
              <w:rPr>
                <w:sz w:val="20"/>
              </w:rPr>
              <w:t>Demande d’autorisation d’appel déposée</w:t>
            </w:r>
          </w:p>
          <w:p w:rsidR="00310C1E" w:rsidRPr="008E4F84" w:rsidRDefault="00310C1E" w:rsidP="00310C1E">
            <w:pPr>
              <w:jc w:val="both"/>
              <w:rPr>
                <w:sz w:val="20"/>
              </w:rPr>
            </w:pPr>
          </w:p>
        </w:tc>
      </w:tr>
    </w:tbl>
    <w:p w:rsidR="00310C1E" w:rsidRPr="008E4F84" w:rsidRDefault="00310C1E" w:rsidP="00310C1E">
      <w:pPr>
        <w:jc w:val="both"/>
        <w:rPr>
          <w:sz w:val="20"/>
        </w:rPr>
      </w:pPr>
    </w:p>
    <w:p w:rsidR="00310C1E" w:rsidRPr="008E4F84" w:rsidRDefault="008E4F84" w:rsidP="00310C1E">
      <w:pPr>
        <w:jc w:val="both"/>
        <w:rPr>
          <w:sz w:val="20"/>
        </w:rPr>
      </w:pPr>
      <w:r w:rsidRPr="008E4F84">
        <w:rPr>
          <w:sz w:val="20"/>
        </w:rPr>
        <w:pict>
          <v:rect id="_x0000_i1028" style="width:2in;height:1pt" o:hrpct="0" o:hralign="center" o:hrstd="t" o:hrnoshade="t" o:hr="t" fillcolor="black [3213]" stroked="f"/>
        </w:pict>
      </w:r>
    </w:p>
    <w:p w:rsidR="00310C1E" w:rsidRPr="008E4F84" w:rsidRDefault="00310C1E" w:rsidP="00310C1E">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rPr>
            </w:pPr>
            <w:r w:rsidRPr="008E4F84">
              <w:rPr>
                <w:rStyle w:val="SCCFileNumberChar"/>
                <w:sz w:val="20"/>
                <w:szCs w:val="20"/>
              </w:rPr>
              <w:t>39632</w:t>
            </w:r>
          </w:p>
        </w:tc>
        <w:tc>
          <w:tcPr>
            <w:tcW w:w="4457" w:type="pct"/>
            <w:gridSpan w:val="3"/>
          </w:tcPr>
          <w:p w:rsidR="00310C1E" w:rsidRPr="008E4F84" w:rsidRDefault="00310C1E" w:rsidP="00310C1E">
            <w:pPr>
              <w:pStyle w:val="SCCLsocParty"/>
              <w:jc w:val="both"/>
              <w:rPr>
                <w:b/>
                <w:sz w:val="20"/>
                <w:szCs w:val="20"/>
                <w:lang w:val="en-US"/>
              </w:rPr>
            </w:pPr>
            <w:r w:rsidRPr="008E4F84">
              <w:rPr>
                <w:b/>
                <w:sz w:val="20"/>
                <w:szCs w:val="20"/>
                <w:lang w:val="en-US"/>
              </w:rPr>
              <w:t>Ali Moussa Ghadban v. Her Majesty the Queen</w:t>
            </w:r>
          </w:p>
          <w:p w:rsidR="00310C1E" w:rsidRPr="008E4F84" w:rsidRDefault="00310C1E" w:rsidP="00310C1E">
            <w:pPr>
              <w:jc w:val="both"/>
              <w:rPr>
                <w:sz w:val="20"/>
              </w:rPr>
            </w:pPr>
            <w:r w:rsidRPr="008E4F84">
              <w:rPr>
                <w:sz w:val="20"/>
              </w:rPr>
              <w:t>(B.C.) (Civil) (By Leave)</w:t>
            </w:r>
          </w:p>
        </w:tc>
      </w:tr>
      <w:tr w:rsidR="00310C1E" w:rsidRPr="008E4F84" w:rsidTr="00310C1E">
        <w:tc>
          <w:tcPr>
            <w:tcW w:w="5000" w:type="pct"/>
            <w:gridSpan w:val="4"/>
          </w:tcPr>
          <w:p w:rsidR="00310C1E" w:rsidRPr="008E4F84" w:rsidRDefault="00310C1E" w:rsidP="00310C1E">
            <w:pPr>
              <w:jc w:val="both"/>
              <w:rPr>
                <w:sz w:val="20"/>
              </w:rPr>
            </w:pPr>
            <w:r w:rsidRPr="008E4F84">
              <w:rPr>
                <w:sz w:val="20"/>
              </w:rPr>
              <w:t xml:space="preserve">Provincial Offenses — Motor assisted cycles — Rider of electric scooter (Motorino XMr) charged with driving without a driver’s licence and without insurance — Rider contending electric scooter is motor assisted cycle rather than motor vehicle — Whether electric scooters or electric bicycles with motor that is alternative to human power, rather than supplemental to it, meet the definition of “motor assisted cycle” under applicable legislation — </w:t>
            </w:r>
            <w:r w:rsidRPr="008E4F84">
              <w:rPr>
                <w:i/>
                <w:sz w:val="20"/>
              </w:rPr>
              <w:t>Motor Vehicle Act</w:t>
            </w:r>
            <w:r w:rsidRPr="008E4F84">
              <w:rPr>
                <w:sz w:val="20"/>
              </w:rPr>
              <w:t xml:space="preserve">, R.S.B.C. 1996, c. 318, s. 1 — </w:t>
            </w:r>
            <w:r w:rsidRPr="008E4F84">
              <w:rPr>
                <w:i/>
                <w:sz w:val="20"/>
              </w:rPr>
              <w:t>Motor Assisted Cycle Regulation</w:t>
            </w:r>
            <w:r w:rsidRPr="008E4F84">
              <w:rPr>
                <w:sz w:val="20"/>
              </w:rPr>
              <w:t>, B.C. Reg. 151/2002.</w:t>
            </w:r>
          </w:p>
        </w:tc>
      </w:tr>
      <w:tr w:rsidR="00310C1E" w:rsidRPr="008E4F84" w:rsidTr="00310C1E">
        <w:tc>
          <w:tcPr>
            <w:tcW w:w="5000" w:type="pct"/>
            <w:gridSpan w:val="4"/>
          </w:tcPr>
          <w:p w:rsidR="00310C1E" w:rsidRPr="008E4F84" w:rsidRDefault="00310C1E" w:rsidP="00310C1E">
            <w:pPr>
              <w:jc w:val="both"/>
              <w:rPr>
                <w:sz w:val="20"/>
              </w:rPr>
            </w:pPr>
          </w:p>
        </w:tc>
      </w:tr>
      <w:tr w:rsidR="00310C1E" w:rsidRPr="008E4F84" w:rsidTr="00310C1E">
        <w:tc>
          <w:tcPr>
            <w:tcW w:w="5000" w:type="pct"/>
            <w:gridSpan w:val="4"/>
          </w:tcPr>
          <w:p w:rsidR="00310C1E" w:rsidRPr="008E4F84" w:rsidRDefault="00310C1E" w:rsidP="00310C1E">
            <w:pPr>
              <w:jc w:val="both"/>
              <w:rPr>
                <w:sz w:val="20"/>
              </w:rPr>
            </w:pPr>
            <w:r w:rsidRPr="008E4F84">
              <w:rPr>
                <w:sz w:val="20"/>
              </w:rPr>
              <w:t xml:space="preserve">The applicant, Mr. Ghadban, was charged with driving without a driver’s licence and without insurance after riding his electric scooter, a Motorino XMr, on a public road. Mr. Ghadban believed that his electric scooter fell within the definition of “motor assisted cycle” so that he did not require a driver’s licence and insurance to operate it. The electric scooter can be pedalled but its motor cannot be used while pedaling. It either operates as a low-powered electric motorcycle, with the motor providing all of the motive force, or as a heavy bicycle, with the motor not operating. The Provincial Court held that the electric scooter was not a motor assisted cycle because its primary method of propulsion was not human power. The Supreme Court of British Columbia and a majority of the Court of Appeal dismissed Mr. Ghadban’s appeals, agreeing that the Provincial Court made no error of law. The majority of the Court of Appeal held that motor assisted cycles must be designed </w:t>
            </w:r>
            <w:r w:rsidRPr="008E4F84">
              <w:rPr>
                <w:sz w:val="20"/>
                <w:lang w:val="en" w:eastAsia="en-CA"/>
              </w:rPr>
              <w:t>to contemplate human power being a primary means of propulsion, and must allow for a person to pedal at the same time as the motor is providing assistance.</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March 26, 2019</w:t>
            </w:r>
          </w:p>
          <w:p w:rsidR="00310C1E" w:rsidRPr="008E4F84" w:rsidRDefault="00310C1E" w:rsidP="00310C1E">
            <w:pPr>
              <w:jc w:val="both"/>
              <w:rPr>
                <w:sz w:val="20"/>
              </w:rPr>
            </w:pPr>
            <w:r w:rsidRPr="008E4F84">
              <w:rPr>
                <w:sz w:val="20"/>
              </w:rPr>
              <w:t>Provincial Court of British Columbia (Traffic Court)</w:t>
            </w:r>
          </w:p>
          <w:p w:rsidR="00310C1E" w:rsidRPr="008E4F84" w:rsidRDefault="00310C1E" w:rsidP="00310C1E">
            <w:pPr>
              <w:jc w:val="both"/>
              <w:rPr>
                <w:sz w:val="20"/>
              </w:rPr>
            </w:pPr>
            <w:r w:rsidRPr="008E4F84">
              <w:rPr>
                <w:sz w:val="20"/>
              </w:rPr>
              <w:t>(Beer J.)</w:t>
            </w:r>
          </w:p>
          <w:p w:rsidR="00310C1E" w:rsidRPr="008E4F84" w:rsidRDefault="00310C1E" w:rsidP="00310C1E">
            <w:pPr>
              <w:jc w:val="both"/>
              <w:rPr>
                <w:sz w:val="20"/>
              </w:rPr>
            </w:pPr>
            <w:r w:rsidRPr="008E4F84">
              <w:rPr>
                <w:sz w:val="20"/>
              </w:rPr>
              <w:t>Unreported. Docket AJ07827150</w:t>
            </w:r>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Applicant found guilty of driving without a driver’s license and driving without insurance</w:t>
            </w:r>
          </w:p>
        </w:tc>
      </w:tr>
      <w:tr w:rsidR="00310C1E" w:rsidRPr="008E4F84" w:rsidTr="00310C1E">
        <w:tc>
          <w:tcPr>
            <w:tcW w:w="2427" w:type="pct"/>
            <w:gridSpan w:val="2"/>
          </w:tcPr>
          <w:p w:rsidR="00310C1E" w:rsidRPr="008E4F84" w:rsidRDefault="00310C1E" w:rsidP="00310C1E">
            <w:pPr>
              <w:jc w:val="both"/>
              <w:rPr>
                <w:sz w:val="20"/>
              </w:rPr>
            </w:pPr>
            <w:r w:rsidRPr="008E4F84">
              <w:rPr>
                <w:sz w:val="20"/>
              </w:rPr>
              <w:t>April 29, 2020</w:t>
            </w:r>
          </w:p>
          <w:p w:rsidR="00310C1E" w:rsidRPr="008E4F84" w:rsidRDefault="00310C1E" w:rsidP="00310C1E">
            <w:pPr>
              <w:jc w:val="both"/>
              <w:rPr>
                <w:sz w:val="20"/>
              </w:rPr>
            </w:pPr>
            <w:r w:rsidRPr="008E4F84">
              <w:rPr>
                <w:sz w:val="20"/>
              </w:rPr>
              <w:t>Supreme Court of British Columbia</w:t>
            </w:r>
          </w:p>
          <w:p w:rsidR="00310C1E" w:rsidRPr="008E4F84" w:rsidRDefault="00310C1E" w:rsidP="00310C1E">
            <w:pPr>
              <w:jc w:val="both"/>
              <w:rPr>
                <w:sz w:val="20"/>
              </w:rPr>
            </w:pPr>
            <w:r w:rsidRPr="008E4F84">
              <w:rPr>
                <w:sz w:val="20"/>
              </w:rPr>
              <w:t>(Jenkins J.)</w:t>
            </w:r>
          </w:p>
          <w:p w:rsidR="00310C1E" w:rsidRPr="008E4F84" w:rsidRDefault="008E4F84" w:rsidP="00310C1E">
            <w:pPr>
              <w:jc w:val="both"/>
              <w:rPr>
                <w:sz w:val="20"/>
              </w:rPr>
            </w:pPr>
            <w:hyperlink r:id="rId19" w:history="1">
              <w:r w:rsidR="00310C1E" w:rsidRPr="008E4F84">
                <w:rPr>
                  <w:rStyle w:val="Hyperlink"/>
                  <w:sz w:val="20"/>
                </w:rPr>
                <w:t>2020 BCSC 664</w:t>
              </w:r>
            </w:hyperlink>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 xml:space="preserve">Appeal dismissed </w:t>
            </w:r>
          </w:p>
        </w:tc>
      </w:tr>
      <w:tr w:rsidR="00310C1E" w:rsidRPr="008E4F84" w:rsidTr="00310C1E">
        <w:tc>
          <w:tcPr>
            <w:tcW w:w="2427" w:type="pct"/>
            <w:gridSpan w:val="2"/>
          </w:tcPr>
          <w:p w:rsidR="00310C1E" w:rsidRPr="008E4F84" w:rsidRDefault="00310C1E" w:rsidP="00310C1E">
            <w:pPr>
              <w:jc w:val="both"/>
              <w:rPr>
                <w:sz w:val="20"/>
              </w:rPr>
            </w:pPr>
            <w:r w:rsidRPr="008E4F84">
              <w:rPr>
                <w:sz w:val="20"/>
              </w:rPr>
              <w:t>February 9, 2021</w:t>
            </w:r>
          </w:p>
          <w:p w:rsidR="00310C1E" w:rsidRPr="008E4F84" w:rsidRDefault="00310C1E" w:rsidP="00310C1E">
            <w:pPr>
              <w:jc w:val="both"/>
              <w:rPr>
                <w:sz w:val="20"/>
              </w:rPr>
            </w:pPr>
            <w:r w:rsidRPr="008E4F84">
              <w:rPr>
                <w:sz w:val="20"/>
              </w:rPr>
              <w:t>Court of Appeal for British Columbia (Vancouver)</w:t>
            </w:r>
          </w:p>
          <w:p w:rsidR="00310C1E" w:rsidRPr="008E4F84" w:rsidRDefault="00310C1E" w:rsidP="00310C1E">
            <w:pPr>
              <w:jc w:val="both"/>
              <w:rPr>
                <w:sz w:val="20"/>
              </w:rPr>
            </w:pPr>
            <w:r w:rsidRPr="008E4F84">
              <w:rPr>
                <w:sz w:val="20"/>
              </w:rPr>
              <w:t>(Saunders [dissenting], Groberman and Stromberg</w:t>
            </w:r>
            <w:r w:rsidRPr="008E4F84">
              <w:rPr>
                <w:sz w:val="20"/>
              </w:rPr>
              <w:noBreakHyphen/>
              <w:t>Stein JJ.A.)</w:t>
            </w:r>
          </w:p>
          <w:p w:rsidR="00310C1E" w:rsidRPr="008E4F84" w:rsidRDefault="008E4F84" w:rsidP="00310C1E">
            <w:pPr>
              <w:jc w:val="both"/>
              <w:rPr>
                <w:sz w:val="20"/>
              </w:rPr>
            </w:pPr>
            <w:hyperlink r:id="rId20" w:history="1">
              <w:r w:rsidR="00310C1E" w:rsidRPr="008E4F84">
                <w:rPr>
                  <w:rStyle w:val="Hyperlink"/>
                  <w:sz w:val="20"/>
                </w:rPr>
                <w:t>2021 BCCA 69</w:t>
              </w:r>
            </w:hyperlink>
            <w:r w:rsidR="00310C1E" w:rsidRPr="008E4F84">
              <w:rPr>
                <w:sz w:val="20"/>
              </w:rPr>
              <w:t xml:space="preserve"> (Docket CA46865)</w:t>
            </w:r>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Appeal dismissed</w:t>
            </w:r>
          </w:p>
        </w:tc>
      </w:tr>
      <w:tr w:rsidR="00310C1E" w:rsidRPr="008E4F84" w:rsidTr="00310C1E">
        <w:tc>
          <w:tcPr>
            <w:tcW w:w="2427" w:type="pct"/>
            <w:gridSpan w:val="2"/>
          </w:tcPr>
          <w:p w:rsidR="00310C1E" w:rsidRPr="008E4F84" w:rsidRDefault="00310C1E" w:rsidP="00310C1E">
            <w:pPr>
              <w:jc w:val="both"/>
              <w:rPr>
                <w:sz w:val="20"/>
              </w:rPr>
            </w:pPr>
            <w:r w:rsidRPr="008E4F84">
              <w:rPr>
                <w:sz w:val="20"/>
              </w:rPr>
              <w:t>April 7, 2021</w:t>
            </w:r>
          </w:p>
          <w:p w:rsidR="00310C1E" w:rsidRPr="008E4F84" w:rsidRDefault="00310C1E" w:rsidP="00310C1E">
            <w:pPr>
              <w:jc w:val="both"/>
              <w:rPr>
                <w:sz w:val="20"/>
              </w:rPr>
            </w:pPr>
            <w:r w:rsidRPr="008E4F84">
              <w:rPr>
                <w:sz w:val="20"/>
              </w:rPr>
              <w:t>Supreme Court of Canada</w:t>
            </w: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Application for leave to appeal filed</w:t>
            </w:r>
          </w:p>
          <w:p w:rsidR="00310C1E" w:rsidRPr="008E4F84" w:rsidRDefault="00310C1E" w:rsidP="00310C1E">
            <w:pPr>
              <w:jc w:val="both"/>
              <w:rPr>
                <w:sz w:val="20"/>
              </w:rPr>
            </w:pPr>
          </w:p>
        </w:tc>
      </w:tr>
    </w:tbl>
    <w:p w:rsidR="00310C1E" w:rsidRPr="008E4F84" w:rsidRDefault="00310C1E" w:rsidP="00310C1E">
      <w:pPr>
        <w:jc w:val="both"/>
        <w:rPr>
          <w:sz w:val="20"/>
        </w:rPr>
      </w:pPr>
    </w:p>
    <w:p w:rsidR="00310C1E" w:rsidRPr="008E4F84" w:rsidRDefault="008E4F84" w:rsidP="00310C1E">
      <w:pPr>
        <w:jc w:val="both"/>
        <w:rPr>
          <w:sz w:val="20"/>
        </w:rPr>
      </w:pPr>
      <w:r w:rsidRPr="008E4F84">
        <w:rPr>
          <w:sz w:val="20"/>
        </w:rPr>
        <w:pict>
          <v:rect id="_x0000_i1029" style="width:2in;height:1pt" o:hrpct="0" o:hralign="center" o:hrstd="t" o:hrnoshade="t" o:hr="t" fillcolor="black [3213]" stroked="f"/>
        </w:pict>
      </w:r>
    </w:p>
    <w:p w:rsidR="00310C1E" w:rsidRPr="008E4F84" w:rsidRDefault="00310C1E" w:rsidP="00310C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lang w:val="fr-CA"/>
              </w:rPr>
            </w:pPr>
            <w:r w:rsidRPr="008E4F84">
              <w:rPr>
                <w:rStyle w:val="SCCFileNumberChar"/>
                <w:sz w:val="20"/>
                <w:szCs w:val="20"/>
                <w:lang w:val="fr-CA"/>
              </w:rPr>
              <w:t>39632</w:t>
            </w:r>
          </w:p>
        </w:tc>
        <w:tc>
          <w:tcPr>
            <w:tcW w:w="4457" w:type="pct"/>
            <w:gridSpan w:val="3"/>
          </w:tcPr>
          <w:p w:rsidR="00310C1E" w:rsidRPr="008E4F84" w:rsidRDefault="00310C1E" w:rsidP="00310C1E">
            <w:pPr>
              <w:pStyle w:val="SCCLsocParty"/>
              <w:jc w:val="both"/>
              <w:rPr>
                <w:b/>
                <w:sz w:val="20"/>
                <w:szCs w:val="20"/>
              </w:rPr>
            </w:pPr>
            <w:r w:rsidRPr="008E4F84">
              <w:rPr>
                <w:b/>
                <w:sz w:val="20"/>
                <w:szCs w:val="20"/>
              </w:rPr>
              <w:t>Ali Moussa Ghadban c. Sa Majesté la Reine</w:t>
            </w:r>
          </w:p>
          <w:p w:rsidR="00310C1E" w:rsidRPr="008E4F84" w:rsidRDefault="00310C1E" w:rsidP="00310C1E">
            <w:pPr>
              <w:jc w:val="both"/>
              <w:rPr>
                <w:sz w:val="20"/>
                <w:lang w:val="fr-CA"/>
              </w:rPr>
            </w:pPr>
            <w:r w:rsidRPr="008E4F84">
              <w:rPr>
                <w:sz w:val="20"/>
                <w:lang w:val="fr-CA"/>
              </w:rPr>
              <w:t>(C.-B.) (Civile) (Sur autorisation)</w:t>
            </w:r>
          </w:p>
        </w:tc>
      </w:tr>
      <w:tr w:rsidR="00310C1E" w:rsidRPr="008E4F84" w:rsidTr="00310C1E">
        <w:tc>
          <w:tcPr>
            <w:tcW w:w="5000" w:type="pct"/>
            <w:gridSpan w:val="4"/>
          </w:tcPr>
          <w:p w:rsidR="00310C1E" w:rsidRPr="008E4F84" w:rsidRDefault="00310C1E" w:rsidP="00310C1E">
            <w:pPr>
              <w:jc w:val="both"/>
              <w:rPr>
                <w:sz w:val="20"/>
                <w:lang w:val="fr-CA"/>
              </w:rPr>
            </w:pPr>
            <w:r w:rsidRPr="008E4F84">
              <w:rPr>
                <w:sz w:val="20"/>
                <w:lang w:val="fr-CA"/>
              </w:rPr>
              <w:t>Infractions provinciales — Cyclomoteurs — Usager d’un scooteur électrique (Motorino XMr) accusé de conduite sans permis et sans assurance — L’usager soutient que le scooteur électrique est un cyclomoteur plutôt qu’une automobile — Les scooteurs électriques ou les vélos électriques munis d’un moteur qui vise à remplacer la force humaine, plutôt que de s’y ajouter, satisfont</w:t>
            </w:r>
            <w:r w:rsidRPr="008E4F84">
              <w:rPr>
                <w:sz w:val="20"/>
                <w:lang w:val="fr-CA"/>
              </w:rPr>
              <w:noBreakHyphen/>
              <w:t xml:space="preserve">ils à la définition de « motor assisted cycle » (cyclomoteur) en vertu de la législation applicable ? — </w:t>
            </w:r>
            <w:r w:rsidRPr="008E4F84">
              <w:rPr>
                <w:i/>
                <w:sz w:val="20"/>
                <w:lang w:val="fr-CA"/>
              </w:rPr>
              <w:t>Motor Vehicle Act</w:t>
            </w:r>
            <w:r w:rsidRPr="008E4F84">
              <w:rPr>
                <w:sz w:val="20"/>
                <w:lang w:val="fr-CA"/>
              </w:rPr>
              <w:t xml:space="preserve">, R.S.B.C. 1996, c. 318, art. 1 — </w:t>
            </w:r>
            <w:r w:rsidRPr="008E4F84">
              <w:rPr>
                <w:i/>
                <w:sz w:val="20"/>
                <w:lang w:val="fr-CA"/>
              </w:rPr>
              <w:t>Motor Assisted Cycle Regulation</w:t>
            </w:r>
            <w:r w:rsidRPr="008E4F84">
              <w:rPr>
                <w:sz w:val="20"/>
                <w:lang w:val="fr-CA"/>
              </w:rPr>
              <w:t>, B.C. Reg. 151/2002.</w:t>
            </w:r>
          </w:p>
        </w:tc>
      </w:tr>
      <w:tr w:rsidR="00310C1E" w:rsidRPr="008E4F84" w:rsidTr="00310C1E">
        <w:tc>
          <w:tcPr>
            <w:tcW w:w="5000" w:type="pct"/>
            <w:gridSpan w:val="4"/>
          </w:tcPr>
          <w:p w:rsidR="00310C1E" w:rsidRPr="008E4F84" w:rsidRDefault="00310C1E" w:rsidP="00310C1E">
            <w:pPr>
              <w:jc w:val="both"/>
              <w:rPr>
                <w:sz w:val="20"/>
                <w:lang w:val="fr-CA"/>
              </w:rPr>
            </w:pPr>
          </w:p>
        </w:tc>
      </w:tr>
      <w:tr w:rsidR="00310C1E" w:rsidRPr="008E4F84" w:rsidTr="00310C1E">
        <w:tc>
          <w:tcPr>
            <w:tcW w:w="5000" w:type="pct"/>
            <w:gridSpan w:val="4"/>
          </w:tcPr>
          <w:p w:rsidR="00310C1E" w:rsidRPr="008E4F84" w:rsidRDefault="00310C1E" w:rsidP="00310C1E">
            <w:pPr>
              <w:jc w:val="both"/>
              <w:rPr>
                <w:sz w:val="20"/>
                <w:lang w:val="fr-CA"/>
              </w:rPr>
            </w:pPr>
            <w:r w:rsidRPr="008E4F84">
              <w:rPr>
                <w:sz w:val="20"/>
                <w:lang w:val="fr-CA"/>
              </w:rPr>
              <w:t>Le demandeur, M. Ghadban, a été accusé de conduite sans permis et sans assurance après avoir conduit son scooteur électrique, de marque Motorino XMr, sur une voie publique. M. Ghadban croyait que son scooteur électrique s’inscrivait dans la définition de « motor assisted cycle » (cyclomoteur) de sorte qu’il n’était pas nécessaire pour lui d’obtenir un permis et une assurance pour conduire celui</w:t>
            </w:r>
            <w:r w:rsidRPr="008E4F84">
              <w:rPr>
                <w:sz w:val="20"/>
                <w:lang w:val="fr-CA"/>
              </w:rPr>
              <w:noBreakHyphen/>
              <w:t>ci. L’usager d’un scooteur électrique peut pédaler, mais le moteur ne peut être mis en marche en même temps que ce dernier pédale. Il fonctionne soit comme motocyclette électrique à faible puissance, le moteur fournissant toute la force motrice, soit comme vélo lourd, sans que le moteur soit mis en marche. La Cour provinciale a conclu que le scooteur électrique n’était pas un cyclomoteur parce que la force humaine n’était pas son mode de propulsion principal. La Cour suprême de la Colombie-Britannique et les juges majoritaires de la Cour d’appel ont rejeté les appels de M. Ghadban, convenant que la Cour provinciale n’avait commis aucune erreur de droit. Les juges majoritaires de la Cour d’appel ont conclu que les cyclomoteurs doivent être conçus de manière à ce que la force humaine soit le mode principal de propulsion</w:t>
            </w:r>
            <w:r w:rsidRPr="008E4F84">
              <w:rPr>
                <w:sz w:val="20"/>
                <w:lang w:val="fr-CA" w:eastAsia="en-CA"/>
              </w:rPr>
              <w:t>, et doivent permettre à l’usager de pédaler conjointement avec l'aide du moteur.</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26 mars 2019</w:t>
            </w:r>
          </w:p>
          <w:p w:rsidR="00310C1E" w:rsidRPr="008E4F84" w:rsidRDefault="00310C1E" w:rsidP="00310C1E">
            <w:pPr>
              <w:jc w:val="both"/>
              <w:rPr>
                <w:sz w:val="20"/>
                <w:lang w:val="fr-CA"/>
              </w:rPr>
            </w:pPr>
            <w:r w:rsidRPr="008E4F84">
              <w:rPr>
                <w:sz w:val="20"/>
                <w:lang w:val="fr-CA"/>
              </w:rPr>
              <w:t>Cour provinciale de la Colombie</w:t>
            </w:r>
            <w:r w:rsidRPr="008E4F84">
              <w:rPr>
                <w:sz w:val="20"/>
                <w:lang w:val="fr-CA"/>
              </w:rPr>
              <w:noBreakHyphen/>
              <w:t>Britannique (tribunal chargé d’instruire des procédures relatives à la circulation routière)</w:t>
            </w:r>
          </w:p>
          <w:p w:rsidR="00310C1E" w:rsidRPr="008E4F84" w:rsidRDefault="00310C1E" w:rsidP="00310C1E">
            <w:pPr>
              <w:jc w:val="both"/>
              <w:rPr>
                <w:sz w:val="20"/>
                <w:lang w:val="fr-CA"/>
              </w:rPr>
            </w:pPr>
            <w:r w:rsidRPr="008E4F84">
              <w:rPr>
                <w:sz w:val="20"/>
                <w:lang w:val="fr-CA"/>
              </w:rPr>
              <w:t>(juge Beer)</w:t>
            </w:r>
          </w:p>
          <w:p w:rsidR="00310C1E" w:rsidRPr="008E4F84" w:rsidRDefault="00310C1E" w:rsidP="00310C1E">
            <w:pPr>
              <w:jc w:val="both"/>
              <w:rPr>
                <w:sz w:val="20"/>
                <w:lang w:val="fr-CA"/>
              </w:rPr>
            </w:pPr>
            <w:r w:rsidRPr="008E4F84">
              <w:rPr>
                <w:sz w:val="20"/>
                <w:lang w:val="fr-CA"/>
              </w:rPr>
              <w:t>Non publié. N</w:t>
            </w:r>
            <w:r w:rsidRPr="008E4F84">
              <w:rPr>
                <w:sz w:val="20"/>
                <w:vertAlign w:val="superscript"/>
                <w:lang w:val="fr-CA"/>
              </w:rPr>
              <w:t>o</w:t>
            </w:r>
            <w:r w:rsidRPr="008E4F84">
              <w:rPr>
                <w:sz w:val="20"/>
                <w:lang w:val="fr-CA"/>
              </w:rPr>
              <w:t xml:space="preserve"> de dossier : AJ07827150</w:t>
            </w:r>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Le demandeur est reconnu coupable d’avoir conduit sans permis et sans assurance.</w:t>
            </w: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29 avril 2020</w:t>
            </w:r>
          </w:p>
          <w:p w:rsidR="00310C1E" w:rsidRPr="008E4F84" w:rsidRDefault="00310C1E" w:rsidP="00310C1E">
            <w:pPr>
              <w:jc w:val="both"/>
              <w:rPr>
                <w:sz w:val="20"/>
                <w:lang w:val="fr-CA"/>
              </w:rPr>
            </w:pPr>
            <w:r w:rsidRPr="008E4F84">
              <w:rPr>
                <w:sz w:val="20"/>
                <w:lang w:val="fr-CA"/>
              </w:rPr>
              <w:t>Cour suprême de la Colombie</w:t>
            </w:r>
            <w:r w:rsidRPr="008E4F84">
              <w:rPr>
                <w:sz w:val="20"/>
                <w:lang w:val="fr-CA"/>
              </w:rPr>
              <w:noBreakHyphen/>
              <w:t>Britannique</w:t>
            </w:r>
          </w:p>
          <w:p w:rsidR="00310C1E" w:rsidRPr="008E4F84" w:rsidRDefault="00310C1E" w:rsidP="00310C1E">
            <w:pPr>
              <w:jc w:val="both"/>
              <w:rPr>
                <w:sz w:val="20"/>
                <w:lang w:val="fr-CA"/>
              </w:rPr>
            </w:pPr>
            <w:r w:rsidRPr="008E4F84">
              <w:rPr>
                <w:sz w:val="20"/>
                <w:lang w:val="fr-CA"/>
              </w:rPr>
              <w:t>(juge Jenkins)</w:t>
            </w:r>
          </w:p>
          <w:p w:rsidR="00310C1E" w:rsidRPr="008E4F84" w:rsidRDefault="008E4F84" w:rsidP="00310C1E">
            <w:pPr>
              <w:jc w:val="both"/>
              <w:rPr>
                <w:sz w:val="20"/>
                <w:lang w:val="fr-CA"/>
              </w:rPr>
            </w:pPr>
            <w:hyperlink r:id="rId21" w:history="1">
              <w:r w:rsidR="00310C1E" w:rsidRPr="008E4F84">
                <w:rPr>
                  <w:rStyle w:val="Hyperlink"/>
                  <w:sz w:val="20"/>
                  <w:lang w:val="fr-CA"/>
                </w:rPr>
                <w:t>2020 BCSC 664</w:t>
              </w:r>
            </w:hyperlink>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 xml:space="preserve">L’appel est rejeté. </w:t>
            </w: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9 février 2021</w:t>
            </w:r>
          </w:p>
          <w:p w:rsidR="00310C1E" w:rsidRPr="008E4F84" w:rsidRDefault="00310C1E" w:rsidP="00310C1E">
            <w:pPr>
              <w:jc w:val="both"/>
              <w:rPr>
                <w:sz w:val="20"/>
                <w:lang w:val="fr-CA"/>
              </w:rPr>
            </w:pPr>
            <w:r w:rsidRPr="008E4F84">
              <w:rPr>
                <w:sz w:val="20"/>
                <w:lang w:val="fr-CA"/>
              </w:rPr>
              <w:t>Cour d’appel de la Colombie</w:t>
            </w:r>
            <w:r w:rsidRPr="008E4F84">
              <w:rPr>
                <w:sz w:val="20"/>
                <w:lang w:val="fr-CA"/>
              </w:rPr>
              <w:noBreakHyphen/>
              <w:t>Britannique (Vancouver)</w:t>
            </w:r>
          </w:p>
          <w:p w:rsidR="00310C1E" w:rsidRPr="008E4F84" w:rsidRDefault="00310C1E" w:rsidP="00310C1E">
            <w:pPr>
              <w:jc w:val="both"/>
              <w:rPr>
                <w:sz w:val="20"/>
                <w:lang w:val="fr-CA"/>
              </w:rPr>
            </w:pPr>
            <w:r w:rsidRPr="008E4F84">
              <w:rPr>
                <w:sz w:val="20"/>
                <w:lang w:val="fr-CA"/>
              </w:rPr>
              <w:t>(juges Saunders [dissidente], Groberman et Stromberg</w:t>
            </w:r>
            <w:r w:rsidRPr="008E4F84">
              <w:rPr>
                <w:sz w:val="20"/>
                <w:lang w:val="fr-CA"/>
              </w:rPr>
              <w:noBreakHyphen/>
              <w:t>Stein)</w:t>
            </w:r>
          </w:p>
          <w:p w:rsidR="00310C1E" w:rsidRPr="008E4F84" w:rsidRDefault="008E4F84" w:rsidP="00310C1E">
            <w:pPr>
              <w:jc w:val="both"/>
              <w:rPr>
                <w:sz w:val="20"/>
                <w:lang w:val="fr-CA"/>
              </w:rPr>
            </w:pPr>
            <w:hyperlink r:id="rId22" w:history="1">
              <w:r w:rsidR="00310C1E" w:rsidRPr="008E4F84">
                <w:rPr>
                  <w:rStyle w:val="Hyperlink"/>
                  <w:sz w:val="20"/>
                  <w:lang w:val="fr-CA"/>
                </w:rPr>
                <w:t>2021 BCCA 69</w:t>
              </w:r>
            </w:hyperlink>
            <w:r w:rsidR="00310C1E" w:rsidRPr="008E4F84">
              <w:rPr>
                <w:sz w:val="20"/>
                <w:lang w:val="fr-CA"/>
              </w:rPr>
              <w:t xml:space="preserve"> (N</w:t>
            </w:r>
            <w:r w:rsidR="00310C1E" w:rsidRPr="008E4F84">
              <w:rPr>
                <w:sz w:val="20"/>
                <w:vertAlign w:val="superscript"/>
                <w:lang w:val="fr-CA"/>
              </w:rPr>
              <w:t>o</w:t>
            </w:r>
            <w:r w:rsidR="00310C1E" w:rsidRPr="008E4F84">
              <w:rPr>
                <w:sz w:val="20"/>
                <w:lang w:val="fr-CA"/>
              </w:rPr>
              <w:t xml:space="preserve"> de dossier : CA46865)</w:t>
            </w:r>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L’appel est rejeté.</w:t>
            </w: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7 avril 2021</w:t>
            </w:r>
          </w:p>
          <w:p w:rsidR="00310C1E" w:rsidRPr="008E4F84" w:rsidRDefault="00310C1E" w:rsidP="00310C1E">
            <w:pPr>
              <w:jc w:val="both"/>
              <w:rPr>
                <w:sz w:val="20"/>
                <w:lang w:val="fr-CA"/>
              </w:rPr>
            </w:pPr>
            <w:r w:rsidRPr="008E4F84">
              <w:rPr>
                <w:sz w:val="20"/>
                <w:lang w:val="fr-CA"/>
              </w:rPr>
              <w:t>Cour suprême du Canada</w:t>
            </w: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La demande d’autorisation d’appel est présentée.</w:t>
            </w:r>
          </w:p>
        </w:tc>
      </w:tr>
    </w:tbl>
    <w:p w:rsidR="00310C1E" w:rsidRPr="008E4F84" w:rsidRDefault="00310C1E" w:rsidP="00310C1E">
      <w:pPr>
        <w:jc w:val="both"/>
        <w:rPr>
          <w:sz w:val="20"/>
          <w:lang w:val="fr-CA"/>
        </w:rPr>
      </w:pPr>
    </w:p>
    <w:p w:rsidR="00310C1E" w:rsidRPr="008E4F84" w:rsidRDefault="008E4F84" w:rsidP="00310C1E">
      <w:pPr>
        <w:jc w:val="both"/>
        <w:rPr>
          <w:sz w:val="20"/>
          <w:lang w:val="fr-CA"/>
        </w:rPr>
      </w:pPr>
      <w:r w:rsidRPr="008E4F84">
        <w:rPr>
          <w:sz w:val="20"/>
        </w:rPr>
        <w:pict>
          <v:rect id="_x0000_i1030" style="width:2in;height:1pt" o:hrpct="0" o:hralign="center" o:hrstd="t" o:hrnoshade="t" o:hr="t" fillcolor="black [3213]" stroked="f"/>
        </w:pict>
      </w:r>
    </w:p>
    <w:p w:rsidR="00310C1E" w:rsidRPr="008E4F84" w:rsidRDefault="00310C1E" w:rsidP="00310C1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rPr>
            </w:pPr>
            <w:r w:rsidRPr="008E4F84">
              <w:rPr>
                <w:rStyle w:val="SCCFileNumberChar"/>
                <w:sz w:val="20"/>
                <w:szCs w:val="20"/>
              </w:rPr>
              <w:t>39578</w:t>
            </w:r>
          </w:p>
        </w:tc>
        <w:tc>
          <w:tcPr>
            <w:tcW w:w="4457" w:type="pct"/>
            <w:gridSpan w:val="3"/>
          </w:tcPr>
          <w:p w:rsidR="00310C1E" w:rsidRPr="008E4F84" w:rsidRDefault="00310C1E" w:rsidP="00310C1E">
            <w:pPr>
              <w:pStyle w:val="SCCLsocParty"/>
              <w:jc w:val="both"/>
              <w:rPr>
                <w:b/>
                <w:sz w:val="20"/>
                <w:szCs w:val="20"/>
                <w:lang w:val="en-US"/>
              </w:rPr>
            </w:pPr>
            <w:r w:rsidRPr="008E4F84">
              <w:rPr>
                <w:b/>
                <w:sz w:val="20"/>
                <w:szCs w:val="20"/>
                <w:lang w:val="en-US"/>
              </w:rPr>
              <w:t>0678786 B.C. Ltd. v. Bennett Jones LLP, Robert W. Staley, Raj S. Sahni, Jonathan G. Bell, Ilan Ishai, Grant N. Stapon, Voorheis &amp; Co. LLP</w:t>
            </w:r>
          </w:p>
          <w:p w:rsidR="00310C1E" w:rsidRPr="008E4F84" w:rsidRDefault="00310C1E" w:rsidP="00310C1E">
            <w:pPr>
              <w:pStyle w:val="SCCLsocSubfileSeparator"/>
              <w:rPr>
                <w:sz w:val="20"/>
                <w:szCs w:val="20"/>
              </w:rPr>
            </w:pPr>
            <w:r w:rsidRPr="008E4F84">
              <w:rPr>
                <w:sz w:val="20"/>
                <w:szCs w:val="20"/>
              </w:rPr>
              <w:t>- and between -</w:t>
            </w:r>
          </w:p>
          <w:p w:rsidR="00310C1E" w:rsidRPr="008E4F84" w:rsidRDefault="00310C1E" w:rsidP="00310C1E">
            <w:pPr>
              <w:pStyle w:val="SCCLsocParty"/>
              <w:jc w:val="both"/>
              <w:rPr>
                <w:b/>
                <w:sz w:val="20"/>
                <w:szCs w:val="20"/>
              </w:rPr>
            </w:pPr>
            <w:r w:rsidRPr="008E4F84">
              <w:rPr>
                <w:b/>
                <w:sz w:val="20"/>
                <w:szCs w:val="20"/>
                <w:lang w:val="en-US"/>
              </w:rPr>
              <w:t xml:space="preserve">0678786 B.C. Ltd., 8028702 Canada Inc. v. Bennett Jones LLP, Robert W. Staley, Raj S. Sahni, Jonathan G. Bell, Ilan Ishai, Amanda C. McLachlan, Derek Bell, Grant N. Stapon, Voorheis &amp; Co. </w:t>
            </w:r>
            <w:r w:rsidRPr="008E4F84">
              <w:rPr>
                <w:b/>
                <w:sz w:val="20"/>
                <w:szCs w:val="20"/>
              </w:rPr>
              <w:t>LLP</w:t>
            </w:r>
          </w:p>
          <w:p w:rsidR="00310C1E" w:rsidRPr="008E4F84" w:rsidRDefault="00310C1E" w:rsidP="00310C1E">
            <w:pPr>
              <w:jc w:val="both"/>
              <w:rPr>
                <w:sz w:val="20"/>
              </w:rPr>
            </w:pPr>
            <w:r w:rsidRPr="008E4F84">
              <w:rPr>
                <w:sz w:val="20"/>
              </w:rPr>
              <w:t>(Alta.) (Civil) (By Leave)</w:t>
            </w:r>
          </w:p>
        </w:tc>
      </w:tr>
      <w:tr w:rsidR="00310C1E" w:rsidRPr="008E4F84" w:rsidTr="00310C1E">
        <w:tc>
          <w:tcPr>
            <w:tcW w:w="5000" w:type="pct"/>
            <w:gridSpan w:val="4"/>
          </w:tcPr>
          <w:p w:rsidR="00310C1E" w:rsidRPr="008E4F84" w:rsidRDefault="00310C1E" w:rsidP="00310C1E">
            <w:pPr>
              <w:pStyle w:val="SCCBanSummary"/>
              <w:rPr>
                <w:sz w:val="20"/>
                <w:szCs w:val="20"/>
              </w:rPr>
            </w:pPr>
            <w:r w:rsidRPr="008E4F84">
              <w:rPr>
                <w:sz w:val="20"/>
                <w:szCs w:val="20"/>
              </w:rPr>
              <w:t>(Publication ban in case) (Sealing order) (Certain information not available to the public)</w:t>
            </w:r>
          </w:p>
          <w:p w:rsidR="00310C1E" w:rsidRPr="008E4F84" w:rsidRDefault="00310C1E" w:rsidP="00310C1E">
            <w:pPr>
              <w:jc w:val="both"/>
              <w:rPr>
                <w:sz w:val="20"/>
              </w:rPr>
            </w:pPr>
          </w:p>
          <w:p w:rsidR="00310C1E" w:rsidRPr="008E4F84" w:rsidRDefault="00310C1E" w:rsidP="00310C1E">
            <w:pPr>
              <w:jc w:val="both"/>
              <w:rPr>
                <w:sz w:val="20"/>
              </w:rPr>
            </w:pPr>
            <w:r w:rsidRPr="008E4F84">
              <w:rPr>
                <w:sz w:val="20"/>
              </w:rPr>
              <w:t>Law of professions — Barristers and solicitors — Conflict of interest — Solicitor</w:t>
            </w:r>
            <w:r w:rsidRPr="008E4F84">
              <w:rPr>
                <w:sz w:val="20"/>
              </w:rPr>
              <w:noBreakHyphen/>
              <w:t xml:space="preserve">client privilege — Waiver — Whether the lower courts correctly assessed the scope of the implied waiver of privilege — Whether fairness and consistency require the extension of the implied waiver of privilege to other situations — Whether the law should recognize a limited waiver of privilege where the lawyer acts in a conflict of interest for a second client against a first client, when the first client remains silent about the law firm’s conflict and acquiesces to the firm asking for the second client — Where reasons for judgment publicly disclose otherwise privileged information, can a purely punitive order that prevents a party from using that public information be justified, particularly where the information discloses a </w:t>
            </w:r>
            <w:r w:rsidRPr="008E4F84">
              <w:rPr>
                <w:i/>
                <w:sz w:val="20"/>
              </w:rPr>
              <w:t>prima facie</w:t>
            </w:r>
            <w:r w:rsidRPr="008E4F84">
              <w:rPr>
                <w:sz w:val="20"/>
              </w:rPr>
              <w:t xml:space="preserve"> breach of that party’s rights.</w:t>
            </w:r>
          </w:p>
        </w:tc>
      </w:tr>
      <w:tr w:rsidR="00310C1E" w:rsidRPr="008E4F84" w:rsidTr="00310C1E">
        <w:tc>
          <w:tcPr>
            <w:tcW w:w="5000" w:type="pct"/>
            <w:gridSpan w:val="4"/>
          </w:tcPr>
          <w:p w:rsidR="00310C1E" w:rsidRPr="008E4F84" w:rsidRDefault="00310C1E" w:rsidP="00310C1E">
            <w:pPr>
              <w:jc w:val="both"/>
              <w:rPr>
                <w:sz w:val="20"/>
              </w:rPr>
            </w:pPr>
          </w:p>
        </w:tc>
      </w:tr>
      <w:tr w:rsidR="00310C1E" w:rsidRPr="008E4F84" w:rsidTr="00310C1E">
        <w:tc>
          <w:tcPr>
            <w:tcW w:w="5000" w:type="pct"/>
            <w:gridSpan w:val="4"/>
          </w:tcPr>
          <w:p w:rsidR="00310C1E" w:rsidRPr="008E4F84" w:rsidRDefault="00310C1E" w:rsidP="00310C1E">
            <w:pPr>
              <w:jc w:val="both"/>
              <w:rPr>
                <w:sz w:val="20"/>
              </w:rPr>
            </w:pPr>
            <w:r w:rsidRPr="008E4F84">
              <w:rPr>
                <w:sz w:val="20"/>
              </w:rPr>
              <w:t>An Ontario law firm asked Bennett Jones to provide advice and opinions concerning the merits, strategy and structuring of a possible class action against an Ontario company. The lawyer who provided the advice created notes that were subject to solicitor-client privilege, and they made reference to a third party lenders. Bennett Jones was later retained to represent one of the third party lenders in CCAA proceedings against the same Ontario company, and the Ontario law firm was retained to represent the Chief Restructuring Officer. No mention of the earlier contact or the notes was made by either firm. The third party lender later began a suit against Bennett Jones. The notes were included in the disclosure provided by Bennett Jones. Upon realizing that it had included the notes in the disclosure, Bennett Jones began its attempts to obtain their return, first with the third party lender’s counsel, and then by initiating the instant application. The third party lenders began a second action which differed from the first only in their reference to the notes.</w:t>
            </w:r>
          </w:p>
          <w:p w:rsidR="00310C1E" w:rsidRPr="008E4F84" w:rsidRDefault="00310C1E" w:rsidP="00310C1E">
            <w:pPr>
              <w:jc w:val="both"/>
              <w:rPr>
                <w:sz w:val="20"/>
              </w:rPr>
            </w:pPr>
          </w:p>
          <w:p w:rsidR="00310C1E" w:rsidRPr="008E4F84" w:rsidRDefault="00310C1E" w:rsidP="00310C1E">
            <w:pPr>
              <w:jc w:val="both"/>
              <w:rPr>
                <w:sz w:val="20"/>
              </w:rPr>
            </w:pPr>
            <w:r w:rsidRPr="008E4F84">
              <w:rPr>
                <w:sz w:val="20"/>
              </w:rPr>
              <w:t>The parties agreed that the notes were privileged. The case management judge found that there had been no waiver of privilege. He ordered their return, made other orders to protect the privilege, and dismissed the second action. He declined to remove the third party lenders’ new counsel from the file. The Court of Appeal dismissed the appeal.</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February 14, 2020</w:t>
            </w:r>
          </w:p>
          <w:p w:rsidR="00310C1E" w:rsidRPr="008E4F84" w:rsidRDefault="00310C1E" w:rsidP="00310C1E">
            <w:pPr>
              <w:jc w:val="both"/>
              <w:rPr>
                <w:sz w:val="20"/>
              </w:rPr>
            </w:pPr>
            <w:r w:rsidRPr="008E4F84">
              <w:rPr>
                <w:sz w:val="20"/>
              </w:rPr>
              <w:t>Court of Queen’s Bench of Alberta</w:t>
            </w:r>
          </w:p>
          <w:p w:rsidR="00310C1E" w:rsidRPr="008E4F84" w:rsidRDefault="00310C1E" w:rsidP="00310C1E">
            <w:pPr>
              <w:jc w:val="both"/>
              <w:rPr>
                <w:sz w:val="20"/>
              </w:rPr>
            </w:pPr>
            <w:r w:rsidRPr="008E4F84">
              <w:rPr>
                <w:sz w:val="20"/>
              </w:rPr>
              <w:t>(Jeffrey J.)</w:t>
            </w:r>
          </w:p>
          <w:p w:rsidR="00310C1E" w:rsidRPr="008E4F84" w:rsidRDefault="008E4F84" w:rsidP="00310C1E">
            <w:pPr>
              <w:jc w:val="both"/>
              <w:rPr>
                <w:rStyle w:val="Hyperlink"/>
                <w:color w:val="auto"/>
                <w:sz w:val="20"/>
                <w:u w:val="none"/>
              </w:rPr>
            </w:pPr>
            <w:hyperlink r:id="rId23" w:history="1">
              <w:r w:rsidR="00310C1E" w:rsidRPr="008E4F84">
                <w:rPr>
                  <w:rStyle w:val="Hyperlink"/>
                  <w:sz w:val="20"/>
                </w:rPr>
                <w:t>2020 ABQB 115</w:t>
              </w:r>
            </w:hyperlink>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Certain documents declared to be subject to solicitor</w:t>
            </w:r>
            <w:r w:rsidRPr="008E4F84">
              <w:rPr>
                <w:sz w:val="20"/>
              </w:rPr>
              <w:noBreakHyphen/>
              <w:t>counsel privilege; consequential relief granted to protect privilege</w:t>
            </w:r>
          </w:p>
        </w:tc>
      </w:tr>
      <w:tr w:rsidR="00310C1E" w:rsidRPr="008E4F84" w:rsidTr="00310C1E">
        <w:tc>
          <w:tcPr>
            <w:tcW w:w="2427" w:type="pct"/>
            <w:gridSpan w:val="2"/>
          </w:tcPr>
          <w:p w:rsidR="00310C1E" w:rsidRPr="008E4F84" w:rsidRDefault="00310C1E" w:rsidP="00310C1E">
            <w:pPr>
              <w:jc w:val="both"/>
              <w:rPr>
                <w:sz w:val="20"/>
              </w:rPr>
            </w:pPr>
            <w:r w:rsidRPr="008E4F84">
              <w:rPr>
                <w:sz w:val="20"/>
              </w:rPr>
              <w:t>February 17, 2021</w:t>
            </w:r>
          </w:p>
          <w:p w:rsidR="00310C1E" w:rsidRPr="008E4F84" w:rsidRDefault="00310C1E" w:rsidP="00310C1E">
            <w:pPr>
              <w:jc w:val="both"/>
              <w:rPr>
                <w:sz w:val="20"/>
              </w:rPr>
            </w:pPr>
            <w:r w:rsidRPr="008E4F84">
              <w:rPr>
                <w:sz w:val="20"/>
              </w:rPr>
              <w:t>Court of Appeal of Alberta (Calgary)</w:t>
            </w:r>
          </w:p>
          <w:p w:rsidR="00310C1E" w:rsidRPr="008E4F84" w:rsidRDefault="00310C1E" w:rsidP="00310C1E">
            <w:pPr>
              <w:jc w:val="both"/>
              <w:rPr>
                <w:sz w:val="20"/>
              </w:rPr>
            </w:pPr>
            <w:r w:rsidRPr="008E4F84">
              <w:rPr>
                <w:sz w:val="20"/>
              </w:rPr>
              <w:t>(Slatter, Wakeling, Greckol JJ.A.)</w:t>
            </w:r>
          </w:p>
          <w:p w:rsidR="00310C1E" w:rsidRPr="008E4F84" w:rsidRDefault="008E4F84" w:rsidP="00310C1E">
            <w:pPr>
              <w:jc w:val="both"/>
              <w:rPr>
                <w:rStyle w:val="Hyperlink"/>
                <w:color w:val="auto"/>
                <w:sz w:val="20"/>
                <w:u w:val="none"/>
              </w:rPr>
            </w:pPr>
            <w:hyperlink r:id="rId24" w:history="1">
              <w:r w:rsidR="00310C1E" w:rsidRPr="008E4F84">
                <w:rPr>
                  <w:rStyle w:val="Hyperlink"/>
                  <w:sz w:val="20"/>
                </w:rPr>
                <w:t>2021 ABCA 62</w:t>
              </w:r>
            </w:hyperlink>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Appeal dismissed</w:t>
            </w:r>
          </w:p>
        </w:tc>
      </w:tr>
      <w:tr w:rsidR="00310C1E" w:rsidRPr="008E4F84" w:rsidTr="00310C1E">
        <w:tc>
          <w:tcPr>
            <w:tcW w:w="2427" w:type="pct"/>
            <w:gridSpan w:val="2"/>
          </w:tcPr>
          <w:p w:rsidR="00310C1E" w:rsidRPr="008E4F84" w:rsidRDefault="00310C1E" w:rsidP="00310C1E">
            <w:pPr>
              <w:jc w:val="both"/>
              <w:rPr>
                <w:sz w:val="20"/>
              </w:rPr>
            </w:pPr>
            <w:r w:rsidRPr="008E4F84">
              <w:rPr>
                <w:sz w:val="20"/>
              </w:rPr>
              <w:t>April 14, 2021</w:t>
            </w:r>
          </w:p>
          <w:p w:rsidR="00310C1E" w:rsidRPr="008E4F84" w:rsidRDefault="00310C1E" w:rsidP="00310C1E">
            <w:pPr>
              <w:jc w:val="both"/>
              <w:rPr>
                <w:sz w:val="20"/>
              </w:rPr>
            </w:pPr>
            <w:r w:rsidRPr="008E4F84">
              <w:rPr>
                <w:sz w:val="20"/>
              </w:rPr>
              <w:t>Supreme Court of Canada</w:t>
            </w:r>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Motion to extend time granted</w:t>
            </w:r>
          </w:p>
        </w:tc>
      </w:tr>
      <w:tr w:rsidR="00310C1E" w:rsidRPr="008E4F84" w:rsidTr="00310C1E">
        <w:tc>
          <w:tcPr>
            <w:tcW w:w="2427" w:type="pct"/>
            <w:gridSpan w:val="2"/>
          </w:tcPr>
          <w:p w:rsidR="00310C1E" w:rsidRPr="008E4F84" w:rsidRDefault="00310C1E" w:rsidP="00310C1E">
            <w:pPr>
              <w:jc w:val="both"/>
              <w:rPr>
                <w:sz w:val="20"/>
              </w:rPr>
            </w:pPr>
            <w:r w:rsidRPr="008E4F84">
              <w:rPr>
                <w:sz w:val="20"/>
              </w:rPr>
              <w:t>June 22, 2021</w:t>
            </w:r>
          </w:p>
          <w:p w:rsidR="00310C1E" w:rsidRPr="008E4F84" w:rsidRDefault="00310C1E" w:rsidP="00310C1E">
            <w:pPr>
              <w:jc w:val="both"/>
              <w:rPr>
                <w:sz w:val="20"/>
              </w:rPr>
            </w:pPr>
            <w:r w:rsidRPr="008E4F84">
              <w:rPr>
                <w:sz w:val="20"/>
              </w:rPr>
              <w:t>Supreme Court of Canada</w:t>
            </w: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Application for leave to appeal filed</w:t>
            </w:r>
          </w:p>
        </w:tc>
      </w:tr>
    </w:tbl>
    <w:p w:rsidR="00310C1E" w:rsidRPr="008E4F84" w:rsidRDefault="00310C1E" w:rsidP="00310C1E">
      <w:pPr>
        <w:jc w:val="both"/>
        <w:rPr>
          <w:sz w:val="20"/>
        </w:rPr>
      </w:pPr>
    </w:p>
    <w:p w:rsidR="00310C1E" w:rsidRPr="008E4F84" w:rsidRDefault="008E4F84" w:rsidP="00310C1E">
      <w:pPr>
        <w:jc w:val="both"/>
        <w:rPr>
          <w:sz w:val="20"/>
        </w:rPr>
      </w:pPr>
      <w:r w:rsidRPr="008E4F84">
        <w:rPr>
          <w:sz w:val="20"/>
        </w:rPr>
        <w:pict>
          <v:rect id="_x0000_i1031" style="width:2in;height:1pt" o:hrpct="0" o:hralign="center" o:hrstd="t" o:hrnoshade="t" o:hr="t" fillcolor="black [3213]" stroked="f"/>
        </w:pict>
      </w:r>
    </w:p>
    <w:p w:rsidR="00310C1E" w:rsidRPr="008E4F84" w:rsidRDefault="00310C1E" w:rsidP="00310C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lang w:val="fr-CA"/>
              </w:rPr>
            </w:pPr>
            <w:r w:rsidRPr="008E4F84">
              <w:rPr>
                <w:rStyle w:val="SCCFileNumberChar"/>
                <w:sz w:val="20"/>
                <w:szCs w:val="20"/>
                <w:lang w:val="fr-CA"/>
              </w:rPr>
              <w:t>39578</w:t>
            </w:r>
          </w:p>
        </w:tc>
        <w:tc>
          <w:tcPr>
            <w:tcW w:w="4457" w:type="pct"/>
            <w:gridSpan w:val="3"/>
          </w:tcPr>
          <w:p w:rsidR="00310C1E" w:rsidRPr="008E4F84" w:rsidRDefault="00310C1E" w:rsidP="00310C1E">
            <w:pPr>
              <w:pStyle w:val="SCCLsocParty"/>
              <w:jc w:val="both"/>
              <w:rPr>
                <w:b/>
                <w:sz w:val="20"/>
                <w:szCs w:val="20"/>
                <w:lang w:val="en-US"/>
              </w:rPr>
            </w:pPr>
            <w:r w:rsidRPr="008E4F84">
              <w:rPr>
                <w:b/>
                <w:sz w:val="20"/>
                <w:szCs w:val="20"/>
                <w:lang w:val="en-US"/>
              </w:rPr>
              <w:t>0678786 B.C. Ltd. c. Bennett Jones LLP, Robert W. Staley, Raj S. Sahni, Jonathan G. Bell, Ilan Ishai, Grant N. Stapon, Voorheis &amp; Co. LLP</w:t>
            </w:r>
          </w:p>
          <w:p w:rsidR="00310C1E" w:rsidRPr="008E4F84" w:rsidRDefault="00310C1E" w:rsidP="00310C1E">
            <w:pPr>
              <w:pStyle w:val="SCCLsocSubfileSeparator"/>
              <w:rPr>
                <w:sz w:val="20"/>
                <w:szCs w:val="20"/>
              </w:rPr>
            </w:pPr>
            <w:r w:rsidRPr="008E4F84">
              <w:rPr>
                <w:sz w:val="20"/>
                <w:szCs w:val="20"/>
              </w:rPr>
              <w:t>- et entre -</w:t>
            </w:r>
          </w:p>
          <w:p w:rsidR="00310C1E" w:rsidRPr="008E4F84" w:rsidRDefault="00310C1E" w:rsidP="00310C1E">
            <w:pPr>
              <w:pStyle w:val="SCCLsocParty"/>
              <w:jc w:val="both"/>
              <w:rPr>
                <w:b/>
                <w:sz w:val="20"/>
                <w:szCs w:val="20"/>
              </w:rPr>
            </w:pPr>
            <w:r w:rsidRPr="008E4F84">
              <w:rPr>
                <w:b/>
                <w:sz w:val="20"/>
                <w:szCs w:val="20"/>
                <w:lang w:val="en-US"/>
              </w:rPr>
              <w:t xml:space="preserve">0678786 B.C. Ltd., 8028702 Canada Inc. c. Bennett Jones LLP, Robert W. Staley, Raj S. Sahni, Jonathan G. Bell, Ilan Ishai, Amanda C. McLachlan, Derek Bell, Grant N. Stapon, Voorheis &amp; Co. </w:t>
            </w:r>
            <w:r w:rsidRPr="008E4F84">
              <w:rPr>
                <w:b/>
                <w:sz w:val="20"/>
                <w:szCs w:val="20"/>
              </w:rPr>
              <w:t>LLP</w:t>
            </w:r>
          </w:p>
          <w:p w:rsidR="00310C1E" w:rsidRPr="008E4F84" w:rsidRDefault="00310C1E" w:rsidP="00310C1E">
            <w:pPr>
              <w:jc w:val="both"/>
              <w:rPr>
                <w:sz w:val="20"/>
                <w:lang w:val="fr-CA"/>
              </w:rPr>
            </w:pPr>
            <w:r w:rsidRPr="008E4F84">
              <w:rPr>
                <w:sz w:val="20"/>
                <w:lang w:val="fr-CA"/>
              </w:rPr>
              <w:t>(Alb.) (Civile) (Sur autorisation)</w:t>
            </w:r>
          </w:p>
        </w:tc>
      </w:tr>
      <w:tr w:rsidR="00310C1E" w:rsidRPr="008E4F84" w:rsidTr="00310C1E">
        <w:tc>
          <w:tcPr>
            <w:tcW w:w="5000" w:type="pct"/>
            <w:gridSpan w:val="4"/>
          </w:tcPr>
          <w:p w:rsidR="00310C1E" w:rsidRPr="008E4F84" w:rsidRDefault="00310C1E" w:rsidP="00310C1E">
            <w:pPr>
              <w:pStyle w:val="SCCBanSummary"/>
              <w:rPr>
                <w:sz w:val="20"/>
                <w:szCs w:val="20"/>
                <w:lang w:val="fr-CA"/>
              </w:rPr>
            </w:pPr>
            <w:r w:rsidRPr="008E4F84">
              <w:rPr>
                <w:sz w:val="20"/>
                <w:szCs w:val="20"/>
                <w:lang w:val="fr-CA"/>
              </w:rPr>
              <w:t>(Ordonnance de non</w:t>
            </w:r>
            <w:r w:rsidRPr="008E4F84">
              <w:rPr>
                <w:sz w:val="20"/>
                <w:szCs w:val="20"/>
                <w:lang w:val="fr-CA"/>
              </w:rPr>
              <w:noBreakHyphen/>
              <w:t>publication dans le dossier) (ordonnance de mise sous scellés) (Certains renseignements ne sont pas accessibles au public)</w:t>
            </w:r>
          </w:p>
          <w:p w:rsidR="00310C1E" w:rsidRPr="008E4F84" w:rsidRDefault="00310C1E" w:rsidP="00310C1E">
            <w:pPr>
              <w:jc w:val="both"/>
              <w:rPr>
                <w:sz w:val="20"/>
                <w:lang w:val="fr-CA"/>
              </w:rPr>
            </w:pPr>
          </w:p>
          <w:p w:rsidR="00310C1E" w:rsidRPr="008E4F84" w:rsidRDefault="00310C1E" w:rsidP="00310C1E">
            <w:pPr>
              <w:jc w:val="both"/>
              <w:rPr>
                <w:sz w:val="20"/>
                <w:lang w:val="fr-CA"/>
              </w:rPr>
            </w:pPr>
            <w:r w:rsidRPr="008E4F84">
              <w:rPr>
                <w:sz w:val="20"/>
                <w:lang w:val="fr-CA"/>
              </w:rPr>
              <w:t>Droit des professions — Avocats et procureurs — Conflit d’intérêts — Secret professionnel de l’avocat — Renonciation — Les tribunaux inférieurs ont</w:t>
            </w:r>
            <w:r w:rsidRPr="008E4F84">
              <w:rPr>
                <w:sz w:val="20"/>
                <w:lang w:val="fr-CA"/>
              </w:rPr>
              <w:noBreakHyphen/>
              <w:t>ils correctement évalué la portée de la renonciation implicite au privilège? — L’équité et la conformité exigent</w:t>
            </w:r>
            <w:r w:rsidRPr="008E4F84">
              <w:rPr>
                <w:sz w:val="20"/>
                <w:lang w:val="fr-CA"/>
              </w:rPr>
              <w:noBreakHyphen/>
              <w:t>elles que la renonciation implicite au privilège s’étende à d’autres situations? — La loi devrait</w:t>
            </w:r>
            <w:r w:rsidRPr="008E4F84">
              <w:rPr>
                <w:sz w:val="20"/>
                <w:lang w:val="fr-CA"/>
              </w:rPr>
              <w:noBreakHyphen/>
              <w:t>elle reconnaître une renonciation au privilège de portée restreinte lorsque l’avocat en situation de conflit d’intérêts agit au nom d’un deuxième client contre un premier client, dans le cas où ce dernier reste muet quant au conflit d’intérêts du cabinet d’avocats et acquiesce à la demande de représentation du deuxième client par le cabinet? — Lorsque les motifs de jugement révèlent publiquement des renseignements par ailleurs privilégiés, une ordonnance à caractère purement punitive qui empêche une partie d’utiliser ces renseignements publics peut</w:t>
            </w:r>
            <w:r w:rsidRPr="008E4F84">
              <w:rPr>
                <w:sz w:val="20"/>
                <w:lang w:val="fr-CA"/>
              </w:rPr>
              <w:noBreakHyphen/>
              <w:t>elle se justifier, particulièrement lorsque les renseignements révèlent une atteinte à première vue aux droits de cette partie?</w:t>
            </w:r>
          </w:p>
        </w:tc>
      </w:tr>
      <w:tr w:rsidR="00310C1E" w:rsidRPr="008E4F84" w:rsidTr="00310C1E">
        <w:tc>
          <w:tcPr>
            <w:tcW w:w="5000" w:type="pct"/>
            <w:gridSpan w:val="4"/>
          </w:tcPr>
          <w:p w:rsidR="00310C1E" w:rsidRPr="008E4F84" w:rsidRDefault="00310C1E" w:rsidP="00310C1E">
            <w:pPr>
              <w:jc w:val="both"/>
              <w:rPr>
                <w:sz w:val="20"/>
                <w:lang w:val="fr-CA"/>
              </w:rPr>
            </w:pPr>
          </w:p>
        </w:tc>
      </w:tr>
      <w:tr w:rsidR="00310C1E" w:rsidRPr="008E4F84" w:rsidTr="00310C1E">
        <w:tc>
          <w:tcPr>
            <w:tcW w:w="5000" w:type="pct"/>
            <w:gridSpan w:val="4"/>
          </w:tcPr>
          <w:p w:rsidR="00310C1E" w:rsidRPr="008E4F84" w:rsidRDefault="00310C1E" w:rsidP="00310C1E">
            <w:pPr>
              <w:jc w:val="both"/>
              <w:rPr>
                <w:sz w:val="20"/>
                <w:lang w:val="fr-CA"/>
              </w:rPr>
            </w:pPr>
            <w:r w:rsidRPr="008E4F84">
              <w:rPr>
                <w:sz w:val="20"/>
                <w:lang w:val="fr-CA"/>
              </w:rPr>
              <w:t>Un cabinet d’avocats de l’Ontario a demandé au cabinet Bennett Jones de lui fournir des conseils et des avis concernant le bien</w:t>
            </w:r>
            <w:r w:rsidRPr="008E4F84">
              <w:rPr>
                <w:sz w:val="20"/>
                <w:lang w:val="fr-CA"/>
              </w:rPr>
              <w:noBreakHyphen/>
              <w:t xml:space="preserve">fondé, la stratégie et la structuration d’un recours collectif possible contre une société ontarienne. L’avocat qui a fourni les conseils a écrit des notes protégées par le secret professionnel de l’avocat mentionnant des tiers prêteurs. Bennett Jones a plus tard été chargé de représenter l’un de ces tiers prêteurs dans le cadre d’une procédure intentée sous le régime de la LACC contre cette même société ontarienne, et le cabinet d’avocat de l’Ontario a été chargé de représenter le chef de la restructuration. Aucune mention des contacts qu’ils avaient eus auparavant ou des notes n’a été faite par l’un ou l’autre des cabinets. Le tiers prêteur </w:t>
            </w:r>
            <w:proofErr w:type="gramStart"/>
            <w:r w:rsidRPr="008E4F84">
              <w:rPr>
                <w:sz w:val="20"/>
                <w:lang w:val="fr-CA"/>
              </w:rPr>
              <w:t>a</w:t>
            </w:r>
            <w:proofErr w:type="gramEnd"/>
            <w:r w:rsidRPr="008E4F84">
              <w:rPr>
                <w:sz w:val="20"/>
                <w:lang w:val="fr-CA"/>
              </w:rPr>
              <w:t xml:space="preserve"> plus tard intenté une action contre Bennett Jones. Les notes étaient comprises dans les documents communiqués par Bennett Jones. Lorsque Bennett Jones s’est rendu compte de ce fait, il a tenté de faire en sorte qu’elles lui soient remises, en premier, auprès de l’avocat du tiers prêteur, et par la suite, en présentant la présente demande. Les tiers prêteurs ont intenté une deuxième action qui différait de la première uniquement en ce qui a trait à la mention des notes.</w:t>
            </w:r>
          </w:p>
          <w:p w:rsidR="00310C1E" w:rsidRPr="008E4F84" w:rsidRDefault="00310C1E" w:rsidP="00310C1E">
            <w:pPr>
              <w:jc w:val="both"/>
              <w:rPr>
                <w:sz w:val="20"/>
                <w:lang w:val="fr-CA"/>
              </w:rPr>
            </w:pPr>
          </w:p>
          <w:p w:rsidR="00310C1E" w:rsidRPr="008E4F84" w:rsidRDefault="00310C1E" w:rsidP="00310C1E">
            <w:pPr>
              <w:jc w:val="both"/>
              <w:rPr>
                <w:sz w:val="20"/>
                <w:lang w:val="fr-CA"/>
              </w:rPr>
            </w:pPr>
            <w:r w:rsidRPr="008E4F84">
              <w:rPr>
                <w:sz w:val="20"/>
                <w:lang w:val="fr-CA"/>
              </w:rPr>
              <w:t>Les parties ont convenu que les notes étaient protégées par le secret professionnel de l’avocat. Le juge responsable de la gestion de l’instance a conclu qu’il n’y avait pas eu renonciation au privilège. Il a ordonné que les notes soient remises, a rendu d’autres ordonnances visant à protéger le privilège, et a rejeté la deuxième action. Il a refusé de retirer le nouvel avocat des tiers prêteurs du dossier. La Cour d’appel a rejeté l’appel.</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14 février 2020</w:t>
            </w:r>
          </w:p>
          <w:p w:rsidR="00310C1E" w:rsidRPr="008E4F84" w:rsidRDefault="00310C1E" w:rsidP="00310C1E">
            <w:pPr>
              <w:jc w:val="both"/>
              <w:rPr>
                <w:sz w:val="20"/>
                <w:lang w:val="fr-CA"/>
              </w:rPr>
            </w:pPr>
            <w:r w:rsidRPr="008E4F84">
              <w:rPr>
                <w:sz w:val="20"/>
                <w:lang w:val="fr-CA"/>
              </w:rPr>
              <w:t>Cour du Banc de la Reine de l’Alberta</w:t>
            </w:r>
          </w:p>
          <w:p w:rsidR="00310C1E" w:rsidRPr="008E4F84" w:rsidRDefault="00310C1E" w:rsidP="00310C1E">
            <w:pPr>
              <w:jc w:val="both"/>
              <w:rPr>
                <w:sz w:val="20"/>
                <w:lang w:val="fr-CA"/>
              </w:rPr>
            </w:pPr>
            <w:r w:rsidRPr="008E4F84">
              <w:rPr>
                <w:sz w:val="20"/>
                <w:lang w:val="fr-CA"/>
              </w:rPr>
              <w:t>(juge Jeffrey)</w:t>
            </w:r>
          </w:p>
          <w:p w:rsidR="00310C1E" w:rsidRPr="008E4F84" w:rsidRDefault="008E4F84" w:rsidP="00310C1E">
            <w:pPr>
              <w:jc w:val="both"/>
              <w:rPr>
                <w:rStyle w:val="Hyperlink"/>
                <w:color w:val="auto"/>
                <w:sz w:val="20"/>
                <w:u w:val="none"/>
                <w:lang w:val="fr-CA"/>
              </w:rPr>
            </w:pPr>
            <w:hyperlink r:id="rId25" w:history="1">
              <w:r w:rsidR="00310C1E" w:rsidRPr="008E4F84">
                <w:rPr>
                  <w:rStyle w:val="Hyperlink"/>
                  <w:sz w:val="20"/>
                  <w:lang w:val="fr-CA"/>
                </w:rPr>
                <w:t>2020 ABQB 115</w:t>
              </w:r>
            </w:hyperlink>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Certains des documents sont déclarés comme étant protégés par le secret professionnel de l’avocat; un redressement est accordé en conséquence visant à protéger ce privilège.</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17 février 2021</w:t>
            </w:r>
          </w:p>
          <w:p w:rsidR="00310C1E" w:rsidRPr="008E4F84" w:rsidRDefault="00310C1E" w:rsidP="00310C1E">
            <w:pPr>
              <w:jc w:val="both"/>
              <w:rPr>
                <w:sz w:val="20"/>
                <w:lang w:val="fr-CA"/>
              </w:rPr>
            </w:pPr>
            <w:r w:rsidRPr="008E4F84">
              <w:rPr>
                <w:sz w:val="20"/>
                <w:lang w:val="fr-CA"/>
              </w:rPr>
              <w:t>Cour d’appel de l’Alberta (Calgary)</w:t>
            </w:r>
          </w:p>
          <w:p w:rsidR="00310C1E" w:rsidRPr="008E4F84" w:rsidRDefault="00310C1E" w:rsidP="00310C1E">
            <w:pPr>
              <w:jc w:val="both"/>
              <w:rPr>
                <w:sz w:val="20"/>
              </w:rPr>
            </w:pPr>
            <w:r w:rsidRPr="008E4F84">
              <w:rPr>
                <w:sz w:val="20"/>
              </w:rPr>
              <w:t>(juges Slatter, Wakeling, Greckol)</w:t>
            </w:r>
          </w:p>
          <w:p w:rsidR="00310C1E" w:rsidRPr="008E4F84" w:rsidRDefault="008E4F84" w:rsidP="00310C1E">
            <w:pPr>
              <w:jc w:val="both"/>
              <w:rPr>
                <w:rStyle w:val="Hyperlink"/>
                <w:color w:val="auto"/>
                <w:sz w:val="20"/>
                <w:u w:val="none"/>
              </w:rPr>
            </w:pPr>
            <w:hyperlink r:id="rId26" w:history="1">
              <w:r w:rsidR="00310C1E" w:rsidRPr="008E4F84">
                <w:rPr>
                  <w:rStyle w:val="Hyperlink"/>
                  <w:sz w:val="20"/>
                </w:rPr>
                <w:t>2021 ABCA 62</w:t>
              </w:r>
            </w:hyperlink>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lang w:val="fr-CA"/>
              </w:rPr>
            </w:pPr>
            <w:r w:rsidRPr="008E4F84">
              <w:rPr>
                <w:sz w:val="20"/>
                <w:lang w:val="fr-CA"/>
              </w:rPr>
              <w:t>L’appel est rejeté.</w:t>
            </w: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14 avril 2021</w:t>
            </w:r>
          </w:p>
          <w:p w:rsidR="00310C1E" w:rsidRPr="008E4F84" w:rsidRDefault="00310C1E" w:rsidP="00310C1E">
            <w:pPr>
              <w:jc w:val="both"/>
              <w:rPr>
                <w:sz w:val="20"/>
                <w:lang w:val="fr-CA"/>
              </w:rPr>
            </w:pPr>
            <w:r w:rsidRPr="008E4F84">
              <w:rPr>
                <w:sz w:val="20"/>
                <w:lang w:val="fr-CA"/>
              </w:rPr>
              <w:t>Cour suprême du Canada</w:t>
            </w:r>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La requête en prorogation de délai est accueillie.</w:t>
            </w: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22 juin 2021</w:t>
            </w:r>
          </w:p>
          <w:p w:rsidR="00310C1E" w:rsidRPr="008E4F84" w:rsidRDefault="00310C1E" w:rsidP="00310C1E">
            <w:pPr>
              <w:jc w:val="both"/>
              <w:rPr>
                <w:sz w:val="20"/>
                <w:lang w:val="fr-CA"/>
              </w:rPr>
            </w:pPr>
            <w:r w:rsidRPr="008E4F84">
              <w:rPr>
                <w:sz w:val="20"/>
                <w:lang w:val="fr-CA"/>
              </w:rPr>
              <w:t>Cour suprême du Canada</w:t>
            </w: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La demande d’autorisation d’appel est présentée.</w:t>
            </w:r>
          </w:p>
        </w:tc>
      </w:tr>
    </w:tbl>
    <w:p w:rsidR="00310C1E" w:rsidRPr="008E4F84" w:rsidRDefault="00310C1E" w:rsidP="00310C1E">
      <w:pPr>
        <w:jc w:val="both"/>
        <w:rPr>
          <w:sz w:val="20"/>
          <w:lang w:val="fr-CA"/>
        </w:rPr>
      </w:pPr>
    </w:p>
    <w:p w:rsidR="00310C1E" w:rsidRPr="008E4F84" w:rsidRDefault="008E4F84" w:rsidP="00310C1E">
      <w:pPr>
        <w:jc w:val="both"/>
        <w:rPr>
          <w:sz w:val="20"/>
          <w:lang w:val="fr-CA"/>
        </w:rPr>
      </w:pPr>
      <w:r w:rsidRPr="008E4F84">
        <w:rPr>
          <w:sz w:val="20"/>
        </w:rPr>
        <w:pict>
          <v:rect id="_x0000_i1032" style="width:2in;height:1pt" o:hrpct="0" o:hralign="center" o:hrstd="t" o:hrnoshade="t" o:hr="t" fillcolor="black [3213]" stroked="f"/>
        </w:pict>
      </w:r>
    </w:p>
    <w:p w:rsidR="00310C1E" w:rsidRPr="008E4F84" w:rsidRDefault="00310C1E" w:rsidP="00310C1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rPr>
            </w:pPr>
            <w:r w:rsidRPr="008E4F84">
              <w:rPr>
                <w:rStyle w:val="SCCFileNumberChar"/>
                <w:sz w:val="20"/>
                <w:szCs w:val="20"/>
              </w:rPr>
              <w:t>39663</w:t>
            </w:r>
          </w:p>
        </w:tc>
        <w:tc>
          <w:tcPr>
            <w:tcW w:w="4457" w:type="pct"/>
            <w:gridSpan w:val="3"/>
          </w:tcPr>
          <w:p w:rsidR="00310C1E" w:rsidRPr="008E4F84" w:rsidRDefault="00310C1E" w:rsidP="00310C1E">
            <w:pPr>
              <w:pStyle w:val="SCCLsocParty"/>
              <w:jc w:val="both"/>
              <w:rPr>
                <w:b/>
                <w:sz w:val="20"/>
                <w:szCs w:val="20"/>
                <w:lang w:val="en-US"/>
              </w:rPr>
            </w:pPr>
            <w:r w:rsidRPr="008E4F84">
              <w:rPr>
                <w:b/>
                <w:sz w:val="20"/>
                <w:szCs w:val="20"/>
                <w:lang w:val="en-US"/>
              </w:rPr>
              <w:t>Louise Hickey v. North Atlantic Marine Supplies &amp; Services Inc. now known as North Atlantic Offshore Inc.</w:t>
            </w:r>
          </w:p>
          <w:p w:rsidR="00310C1E" w:rsidRPr="008E4F84" w:rsidRDefault="00310C1E" w:rsidP="00310C1E">
            <w:pPr>
              <w:jc w:val="both"/>
              <w:rPr>
                <w:sz w:val="20"/>
              </w:rPr>
            </w:pPr>
            <w:r w:rsidRPr="008E4F84">
              <w:rPr>
                <w:sz w:val="20"/>
              </w:rPr>
              <w:t>(N.L.) (Civil) (By Leave)</w:t>
            </w:r>
          </w:p>
        </w:tc>
      </w:tr>
      <w:tr w:rsidR="00310C1E" w:rsidRPr="008E4F84" w:rsidTr="00310C1E">
        <w:tc>
          <w:tcPr>
            <w:tcW w:w="5000" w:type="pct"/>
            <w:gridSpan w:val="4"/>
          </w:tcPr>
          <w:p w:rsidR="00310C1E" w:rsidRPr="008E4F84" w:rsidRDefault="00310C1E" w:rsidP="00310C1E">
            <w:pPr>
              <w:jc w:val="both"/>
              <w:rPr>
                <w:sz w:val="20"/>
              </w:rPr>
            </w:pPr>
            <w:r w:rsidRPr="008E4F84">
              <w:rPr>
                <w:sz w:val="20"/>
              </w:rPr>
              <w:t>Contracts — Formation — Settlement agreement — How context of settlement negotiations between counsel should inform analysis of whether settlement agreement reached — Whether Court of Appeal erred in respect of whether settlement agreement was reached?</w:t>
            </w:r>
          </w:p>
        </w:tc>
      </w:tr>
      <w:tr w:rsidR="00310C1E" w:rsidRPr="008E4F84" w:rsidTr="00310C1E">
        <w:tc>
          <w:tcPr>
            <w:tcW w:w="5000" w:type="pct"/>
            <w:gridSpan w:val="4"/>
          </w:tcPr>
          <w:p w:rsidR="00310C1E" w:rsidRPr="008E4F84" w:rsidRDefault="00310C1E" w:rsidP="00310C1E">
            <w:pPr>
              <w:jc w:val="both"/>
              <w:rPr>
                <w:sz w:val="20"/>
              </w:rPr>
            </w:pPr>
          </w:p>
        </w:tc>
      </w:tr>
      <w:tr w:rsidR="00310C1E" w:rsidRPr="008E4F84" w:rsidTr="00310C1E">
        <w:tc>
          <w:tcPr>
            <w:tcW w:w="5000" w:type="pct"/>
            <w:gridSpan w:val="4"/>
          </w:tcPr>
          <w:p w:rsidR="00310C1E" w:rsidRPr="008E4F84" w:rsidRDefault="00310C1E" w:rsidP="00310C1E">
            <w:pPr>
              <w:widowControl w:val="0"/>
              <w:jc w:val="both"/>
              <w:rPr>
                <w:sz w:val="20"/>
                <w:lang w:val="en"/>
              </w:rPr>
            </w:pPr>
            <w:r w:rsidRPr="008E4F84">
              <w:rPr>
                <w:sz w:val="20"/>
                <w:lang w:val="en"/>
              </w:rPr>
              <w:t>Ms. Hickey commenced an action for damages and pay in lieu of notice following her dismissal from employment by North Atlantic Marine Supplies and Services Inc. Counsel commenced negotiations to settle the claim. Based on counsel’s communications, Ms. Hickey claimed that a settlement agreement had been reached. A motions judge granted summary judgment to Ms. Hickey. The Court of Appeal allowed an appeal and set aside the summary judgment.</w:t>
            </w:r>
          </w:p>
          <w:p w:rsidR="00310C1E" w:rsidRPr="008E4F84" w:rsidRDefault="00310C1E" w:rsidP="00310C1E">
            <w:pPr>
              <w:jc w:val="both"/>
              <w:rPr>
                <w:sz w:val="20"/>
                <w:lang w:val="en"/>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October 30, 2019</w:t>
            </w:r>
          </w:p>
          <w:p w:rsidR="00310C1E" w:rsidRPr="008E4F84" w:rsidRDefault="00310C1E" w:rsidP="00310C1E">
            <w:pPr>
              <w:jc w:val="both"/>
              <w:rPr>
                <w:sz w:val="20"/>
              </w:rPr>
            </w:pPr>
            <w:r w:rsidRPr="008E4F84">
              <w:rPr>
                <w:sz w:val="20"/>
              </w:rPr>
              <w:t xml:space="preserve">Supreme Court of Newfoundland and </w:t>
            </w:r>
          </w:p>
          <w:p w:rsidR="00310C1E" w:rsidRPr="008E4F84" w:rsidRDefault="00310C1E" w:rsidP="00310C1E">
            <w:pPr>
              <w:jc w:val="both"/>
              <w:rPr>
                <w:sz w:val="20"/>
              </w:rPr>
            </w:pPr>
            <w:r w:rsidRPr="008E4F84">
              <w:rPr>
                <w:sz w:val="20"/>
              </w:rPr>
              <w:t>Labrador, General Division</w:t>
            </w:r>
          </w:p>
          <w:p w:rsidR="00310C1E" w:rsidRPr="008E4F84" w:rsidRDefault="00310C1E" w:rsidP="00310C1E">
            <w:pPr>
              <w:jc w:val="both"/>
              <w:rPr>
                <w:sz w:val="20"/>
              </w:rPr>
            </w:pPr>
            <w:r w:rsidRPr="008E4F84">
              <w:rPr>
                <w:sz w:val="20"/>
              </w:rPr>
              <w:t>(Burrage J.)</w:t>
            </w:r>
          </w:p>
          <w:p w:rsidR="00310C1E" w:rsidRPr="008E4F84" w:rsidRDefault="008E4F84" w:rsidP="00310C1E">
            <w:pPr>
              <w:jc w:val="both"/>
              <w:rPr>
                <w:sz w:val="20"/>
              </w:rPr>
            </w:pPr>
            <w:hyperlink r:id="rId27" w:history="1">
              <w:r w:rsidR="00310C1E" w:rsidRPr="008E4F84">
                <w:rPr>
                  <w:rStyle w:val="Hyperlink"/>
                  <w:sz w:val="20"/>
                </w:rPr>
                <w:t>2019 NLSC 194</w:t>
              </w:r>
            </w:hyperlink>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 xml:space="preserve">Summary judgment granted awarding </w:t>
            </w:r>
            <w:r w:rsidRPr="008E4F84">
              <w:rPr>
                <w:sz w:val="20"/>
                <w:lang w:val="en"/>
              </w:rPr>
              <w:t xml:space="preserve"> $135,562.55 less statutory deductions and amounts paid</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January 11, 2021</w:t>
            </w:r>
          </w:p>
          <w:p w:rsidR="00310C1E" w:rsidRPr="008E4F84" w:rsidRDefault="00310C1E" w:rsidP="00310C1E">
            <w:pPr>
              <w:jc w:val="both"/>
              <w:rPr>
                <w:sz w:val="20"/>
              </w:rPr>
            </w:pPr>
            <w:r w:rsidRPr="008E4F84">
              <w:rPr>
                <w:sz w:val="20"/>
              </w:rPr>
              <w:t xml:space="preserve">Court of Appeal of Newfoundland and </w:t>
            </w:r>
          </w:p>
          <w:p w:rsidR="00310C1E" w:rsidRPr="008E4F84" w:rsidRDefault="00310C1E" w:rsidP="00310C1E">
            <w:pPr>
              <w:jc w:val="both"/>
              <w:rPr>
                <w:sz w:val="20"/>
              </w:rPr>
            </w:pPr>
            <w:r w:rsidRPr="008E4F84">
              <w:rPr>
                <w:sz w:val="20"/>
              </w:rPr>
              <w:t>Labrador</w:t>
            </w:r>
          </w:p>
          <w:p w:rsidR="00310C1E" w:rsidRPr="008E4F84" w:rsidRDefault="00310C1E" w:rsidP="00310C1E">
            <w:pPr>
              <w:jc w:val="both"/>
              <w:rPr>
                <w:sz w:val="20"/>
              </w:rPr>
            </w:pPr>
            <w:r w:rsidRPr="008E4F84">
              <w:rPr>
                <w:sz w:val="20"/>
              </w:rPr>
              <w:t>(Fry C.J., Welsh and Goodridge JJ.A.)</w:t>
            </w:r>
          </w:p>
          <w:p w:rsidR="00310C1E" w:rsidRPr="008E4F84" w:rsidRDefault="008E4F84" w:rsidP="00310C1E">
            <w:pPr>
              <w:jc w:val="both"/>
              <w:rPr>
                <w:sz w:val="20"/>
              </w:rPr>
            </w:pPr>
            <w:hyperlink r:id="rId28" w:history="1">
              <w:r w:rsidR="00310C1E" w:rsidRPr="008E4F84">
                <w:rPr>
                  <w:rStyle w:val="Hyperlink"/>
                  <w:sz w:val="20"/>
                </w:rPr>
                <w:t>2021 NLCA 4</w:t>
              </w:r>
            </w:hyperlink>
            <w:r w:rsidR="00310C1E" w:rsidRPr="008E4F84">
              <w:rPr>
                <w:sz w:val="20"/>
              </w:rPr>
              <w:t>; 201901H0101</w:t>
            </w:r>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Appeal allowed</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March 12, 2021</w:t>
            </w:r>
          </w:p>
          <w:p w:rsidR="00310C1E" w:rsidRPr="008E4F84" w:rsidRDefault="00310C1E" w:rsidP="00310C1E">
            <w:pPr>
              <w:jc w:val="both"/>
              <w:rPr>
                <w:sz w:val="20"/>
              </w:rPr>
            </w:pPr>
            <w:r w:rsidRPr="008E4F84">
              <w:rPr>
                <w:sz w:val="20"/>
              </w:rPr>
              <w:t>Supreme Court of Canada</w:t>
            </w: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Application for leave to appeal filed</w:t>
            </w:r>
          </w:p>
          <w:p w:rsidR="00310C1E" w:rsidRPr="008E4F84" w:rsidRDefault="00310C1E" w:rsidP="00310C1E">
            <w:pPr>
              <w:jc w:val="both"/>
              <w:rPr>
                <w:sz w:val="20"/>
              </w:rPr>
            </w:pPr>
          </w:p>
        </w:tc>
      </w:tr>
    </w:tbl>
    <w:p w:rsidR="00310C1E" w:rsidRPr="008E4F84" w:rsidRDefault="00310C1E" w:rsidP="00310C1E">
      <w:pPr>
        <w:jc w:val="both"/>
        <w:rPr>
          <w:sz w:val="20"/>
        </w:rPr>
      </w:pPr>
    </w:p>
    <w:p w:rsidR="00310C1E" w:rsidRPr="008E4F84" w:rsidRDefault="008E4F84" w:rsidP="00310C1E">
      <w:pPr>
        <w:jc w:val="both"/>
        <w:rPr>
          <w:sz w:val="20"/>
        </w:rPr>
      </w:pPr>
      <w:r w:rsidRPr="008E4F84">
        <w:rPr>
          <w:sz w:val="20"/>
        </w:rPr>
        <w:pict>
          <v:rect id="_x0000_i1033" style="width:2in;height:1pt" o:hrpct="0" o:hralign="center" o:hrstd="t" o:hrnoshade="t" o:hr="t" fillcolor="black [3213]" stroked="f"/>
        </w:pict>
      </w:r>
    </w:p>
    <w:p w:rsidR="00310C1E" w:rsidRPr="008E4F84" w:rsidRDefault="00310C1E" w:rsidP="00310C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lang w:val="fr-CA"/>
              </w:rPr>
            </w:pPr>
            <w:r w:rsidRPr="008E4F84">
              <w:rPr>
                <w:rStyle w:val="SCCFileNumberChar"/>
                <w:sz w:val="20"/>
                <w:szCs w:val="20"/>
                <w:lang w:val="fr-CA"/>
              </w:rPr>
              <w:t>39663</w:t>
            </w:r>
          </w:p>
        </w:tc>
        <w:tc>
          <w:tcPr>
            <w:tcW w:w="4457" w:type="pct"/>
            <w:gridSpan w:val="3"/>
          </w:tcPr>
          <w:p w:rsidR="00310C1E" w:rsidRPr="008E4F84" w:rsidRDefault="00310C1E" w:rsidP="00310C1E">
            <w:pPr>
              <w:pStyle w:val="SCCLsocParty"/>
              <w:jc w:val="both"/>
              <w:rPr>
                <w:b/>
                <w:sz w:val="20"/>
                <w:szCs w:val="20"/>
              </w:rPr>
            </w:pPr>
            <w:r w:rsidRPr="008E4F84">
              <w:rPr>
                <w:b/>
                <w:sz w:val="20"/>
                <w:szCs w:val="20"/>
              </w:rPr>
              <w:t>Louise Hickey c. North Atlantic Marine Supplies &amp; Services Inc. maintenant connue sous le nom de North Atlantic Offshore Inc.</w:t>
            </w:r>
          </w:p>
          <w:p w:rsidR="00310C1E" w:rsidRPr="008E4F84" w:rsidRDefault="00310C1E" w:rsidP="00310C1E">
            <w:pPr>
              <w:jc w:val="both"/>
              <w:rPr>
                <w:sz w:val="20"/>
                <w:lang w:val="fr-CA"/>
              </w:rPr>
            </w:pPr>
            <w:r w:rsidRPr="008E4F84">
              <w:rPr>
                <w:sz w:val="20"/>
                <w:lang w:val="fr-CA"/>
              </w:rPr>
              <w:t>(T.</w:t>
            </w:r>
            <w:r w:rsidRPr="008E4F84">
              <w:rPr>
                <w:sz w:val="20"/>
                <w:lang w:val="fr-CA"/>
              </w:rPr>
              <w:noBreakHyphen/>
              <w:t>N.) (Civile) (Sur autorisation)</w:t>
            </w:r>
          </w:p>
        </w:tc>
      </w:tr>
      <w:tr w:rsidR="00310C1E" w:rsidRPr="008E4F84" w:rsidTr="00310C1E">
        <w:tc>
          <w:tcPr>
            <w:tcW w:w="5000" w:type="pct"/>
            <w:gridSpan w:val="4"/>
          </w:tcPr>
          <w:p w:rsidR="00310C1E" w:rsidRPr="008E4F84" w:rsidRDefault="00310C1E" w:rsidP="00310C1E">
            <w:pPr>
              <w:jc w:val="both"/>
              <w:rPr>
                <w:sz w:val="20"/>
                <w:lang w:val="fr-CA"/>
              </w:rPr>
            </w:pPr>
            <w:r w:rsidRPr="008E4F84">
              <w:rPr>
                <w:sz w:val="20"/>
                <w:lang w:val="fr-CA"/>
              </w:rPr>
              <w:t>Contrats — Formation — Convention de règlement — De quelle façon le contexte des négociations en vue d’un règlement entre les avocats devrait</w:t>
            </w:r>
            <w:r w:rsidRPr="008E4F84">
              <w:rPr>
                <w:sz w:val="20"/>
                <w:lang w:val="fr-CA"/>
              </w:rPr>
              <w:noBreakHyphen/>
              <w:t>il guider l’analyse afin de déterminer si les parties ont conclu une convention de règlement? — La Cour d’appel a</w:t>
            </w:r>
            <w:r w:rsidRPr="008E4F84">
              <w:rPr>
                <w:sz w:val="20"/>
                <w:lang w:val="fr-CA"/>
              </w:rPr>
              <w:noBreakHyphen/>
              <w:t>t</w:t>
            </w:r>
            <w:r w:rsidRPr="008E4F84">
              <w:rPr>
                <w:sz w:val="20"/>
                <w:lang w:val="fr-CA"/>
              </w:rPr>
              <w:noBreakHyphen/>
              <w:t>elle commis une erreur quant à la question de savoir si une contention de règlement avait été conclue?</w:t>
            </w:r>
          </w:p>
        </w:tc>
      </w:tr>
      <w:tr w:rsidR="00310C1E" w:rsidRPr="008E4F84" w:rsidTr="00310C1E">
        <w:tc>
          <w:tcPr>
            <w:tcW w:w="5000" w:type="pct"/>
            <w:gridSpan w:val="4"/>
          </w:tcPr>
          <w:p w:rsidR="00310C1E" w:rsidRPr="008E4F84" w:rsidRDefault="00310C1E" w:rsidP="00310C1E">
            <w:pPr>
              <w:jc w:val="both"/>
              <w:rPr>
                <w:sz w:val="20"/>
                <w:lang w:val="fr-CA"/>
              </w:rPr>
            </w:pPr>
          </w:p>
        </w:tc>
      </w:tr>
      <w:tr w:rsidR="00310C1E" w:rsidRPr="008E4F84" w:rsidTr="00310C1E">
        <w:tc>
          <w:tcPr>
            <w:tcW w:w="5000" w:type="pct"/>
            <w:gridSpan w:val="4"/>
          </w:tcPr>
          <w:p w:rsidR="00310C1E" w:rsidRPr="008E4F84" w:rsidRDefault="00310C1E" w:rsidP="00310C1E">
            <w:pPr>
              <w:widowControl w:val="0"/>
              <w:jc w:val="both"/>
              <w:rPr>
                <w:sz w:val="20"/>
                <w:lang w:val="fr-CA"/>
              </w:rPr>
            </w:pPr>
            <w:r w:rsidRPr="008E4F84">
              <w:rPr>
                <w:sz w:val="20"/>
                <w:lang w:val="fr-CA"/>
              </w:rPr>
              <w:t>Mme Hickey a intenté une action dans laquelle elle réclamait des dommages</w:t>
            </w:r>
            <w:r w:rsidRPr="008E4F84">
              <w:rPr>
                <w:sz w:val="20"/>
                <w:lang w:val="fr-CA"/>
              </w:rPr>
              <w:noBreakHyphen/>
              <w:t>intérêts et une indemnité tenant lieu de préavis à la suite de son congédiement par la North Atlantic Marine Supplies and Services Inc. Les avocats ont entamé des négociations en vue de régler l’affaire. Se fondant sur les communications des avocats, Mme Hickey a allégué qu’une convention de règlement avait été conclue. Le juge saisi de la requête a rendu un jugement sommaire en faveur de Mme Hickey. La Cour d’appel a accueilli l’appel et a annulé le jugement sommaire.</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30 octobre 2019</w:t>
            </w:r>
          </w:p>
          <w:p w:rsidR="00310C1E" w:rsidRPr="008E4F84" w:rsidRDefault="00310C1E" w:rsidP="00310C1E">
            <w:pPr>
              <w:jc w:val="both"/>
              <w:rPr>
                <w:sz w:val="20"/>
                <w:lang w:val="fr-CA"/>
              </w:rPr>
            </w:pPr>
            <w:r w:rsidRPr="008E4F84">
              <w:rPr>
                <w:sz w:val="20"/>
                <w:lang w:val="fr-CA"/>
              </w:rPr>
              <w:t>Cour suprême de Terre</w:t>
            </w:r>
            <w:r w:rsidRPr="008E4F84">
              <w:rPr>
                <w:sz w:val="20"/>
                <w:lang w:val="fr-CA"/>
              </w:rPr>
              <w:noBreakHyphen/>
              <w:t>Neuve</w:t>
            </w:r>
            <w:r w:rsidRPr="008E4F84">
              <w:rPr>
                <w:sz w:val="20"/>
                <w:lang w:val="fr-CA"/>
              </w:rPr>
              <w:noBreakHyphen/>
              <w:t>et</w:t>
            </w:r>
            <w:r w:rsidRPr="008E4F84">
              <w:rPr>
                <w:sz w:val="20"/>
                <w:lang w:val="fr-CA"/>
              </w:rPr>
              <w:noBreakHyphen/>
              <w:t>Labrador, Division générale</w:t>
            </w:r>
          </w:p>
          <w:p w:rsidR="00310C1E" w:rsidRPr="008E4F84" w:rsidRDefault="00310C1E" w:rsidP="00310C1E">
            <w:pPr>
              <w:jc w:val="both"/>
              <w:rPr>
                <w:sz w:val="20"/>
                <w:lang w:val="fr-CA"/>
              </w:rPr>
            </w:pPr>
            <w:r w:rsidRPr="008E4F84">
              <w:rPr>
                <w:sz w:val="20"/>
                <w:lang w:val="fr-CA"/>
              </w:rPr>
              <w:t>(juge Burrage)</w:t>
            </w:r>
          </w:p>
          <w:p w:rsidR="00310C1E" w:rsidRPr="008E4F84" w:rsidRDefault="008E4F84" w:rsidP="00310C1E">
            <w:pPr>
              <w:jc w:val="both"/>
              <w:rPr>
                <w:sz w:val="20"/>
                <w:lang w:val="fr-CA"/>
              </w:rPr>
            </w:pPr>
            <w:hyperlink r:id="rId29" w:history="1">
              <w:r w:rsidR="00310C1E" w:rsidRPr="008E4F84">
                <w:rPr>
                  <w:rStyle w:val="Hyperlink"/>
                  <w:sz w:val="20"/>
                  <w:lang w:val="fr-CA"/>
                </w:rPr>
                <w:t>2019 NLSC 194</w:t>
              </w:r>
            </w:hyperlink>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Un jugement sommaire accordant 135 562,55 $, moins les déductions prévues par la loi et les montants payés, est rendu.</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11 janvier 2021</w:t>
            </w:r>
          </w:p>
          <w:p w:rsidR="00310C1E" w:rsidRPr="008E4F84" w:rsidRDefault="00310C1E" w:rsidP="00310C1E">
            <w:pPr>
              <w:jc w:val="both"/>
              <w:rPr>
                <w:sz w:val="20"/>
                <w:lang w:val="fr-CA"/>
              </w:rPr>
            </w:pPr>
            <w:r w:rsidRPr="008E4F84">
              <w:rPr>
                <w:sz w:val="20"/>
                <w:lang w:val="fr-CA"/>
              </w:rPr>
              <w:t>Cour d’appel de Terre</w:t>
            </w:r>
            <w:r w:rsidRPr="008E4F84">
              <w:rPr>
                <w:sz w:val="20"/>
                <w:lang w:val="fr-CA"/>
              </w:rPr>
              <w:noBreakHyphen/>
              <w:t>Neuve</w:t>
            </w:r>
            <w:r w:rsidRPr="008E4F84">
              <w:rPr>
                <w:sz w:val="20"/>
                <w:lang w:val="fr-CA"/>
              </w:rPr>
              <w:noBreakHyphen/>
              <w:t>et</w:t>
            </w:r>
            <w:r w:rsidRPr="008E4F84">
              <w:rPr>
                <w:sz w:val="20"/>
                <w:lang w:val="fr-CA"/>
              </w:rPr>
              <w:noBreakHyphen/>
              <w:t>Labrador</w:t>
            </w:r>
          </w:p>
          <w:p w:rsidR="00310C1E" w:rsidRPr="008E4F84" w:rsidRDefault="00310C1E" w:rsidP="00310C1E">
            <w:pPr>
              <w:jc w:val="both"/>
              <w:rPr>
                <w:sz w:val="20"/>
                <w:lang w:val="fr-CA"/>
              </w:rPr>
            </w:pPr>
            <w:r w:rsidRPr="008E4F84">
              <w:rPr>
                <w:sz w:val="20"/>
                <w:lang w:val="fr-CA"/>
              </w:rPr>
              <w:t>(juge en chef Fry, juges Welsh et Goodridge)</w:t>
            </w:r>
          </w:p>
          <w:p w:rsidR="00310C1E" w:rsidRPr="008E4F84" w:rsidRDefault="008E4F84" w:rsidP="00310C1E">
            <w:pPr>
              <w:jc w:val="both"/>
              <w:rPr>
                <w:sz w:val="20"/>
                <w:lang w:val="fr-CA"/>
              </w:rPr>
            </w:pPr>
            <w:hyperlink r:id="rId30" w:history="1">
              <w:r w:rsidR="00310C1E" w:rsidRPr="008E4F84">
                <w:rPr>
                  <w:rStyle w:val="Hyperlink"/>
                  <w:sz w:val="20"/>
                  <w:lang w:val="fr-CA"/>
                </w:rPr>
                <w:t>2021 NLCA 4</w:t>
              </w:r>
            </w:hyperlink>
            <w:r w:rsidR="00310C1E" w:rsidRPr="008E4F84">
              <w:rPr>
                <w:sz w:val="20"/>
                <w:lang w:val="fr-CA"/>
              </w:rPr>
              <w:t>; 201901H0101</w:t>
            </w:r>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L’appel est accueilli.</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12 mars 2021</w:t>
            </w:r>
          </w:p>
          <w:p w:rsidR="00310C1E" w:rsidRPr="008E4F84" w:rsidRDefault="00310C1E" w:rsidP="00310C1E">
            <w:pPr>
              <w:jc w:val="both"/>
              <w:rPr>
                <w:sz w:val="20"/>
                <w:lang w:val="fr-CA"/>
              </w:rPr>
            </w:pPr>
            <w:r w:rsidRPr="008E4F84">
              <w:rPr>
                <w:sz w:val="20"/>
                <w:lang w:val="fr-CA"/>
              </w:rPr>
              <w:t>Cour suprême du Canada</w:t>
            </w: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La demande d’autorisation d’appel est présentée.</w:t>
            </w:r>
          </w:p>
          <w:p w:rsidR="00310C1E" w:rsidRPr="008E4F84" w:rsidRDefault="00310C1E" w:rsidP="00310C1E">
            <w:pPr>
              <w:jc w:val="both"/>
              <w:rPr>
                <w:sz w:val="20"/>
                <w:lang w:val="fr-CA"/>
              </w:rPr>
            </w:pPr>
          </w:p>
        </w:tc>
      </w:tr>
    </w:tbl>
    <w:p w:rsidR="00310C1E" w:rsidRPr="008E4F84" w:rsidRDefault="00310C1E" w:rsidP="00310C1E">
      <w:pPr>
        <w:jc w:val="both"/>
        <w:rPr>
          <w:sz w:val="20"/>
          <w:lang w:val="fr-CA"/>
        </w:rPr>
      </w:pPr>
    </w:p>
    <w:p w:rsidR="00F45DCD" w:rsidRPr="008E4F84" w:rsidRDefault="008E4F84" w:rsidP="00310C1E">
      <w:pPr>
        <w:widowControl w:val="0"/>
        <w:tabs>
          <w:tab w:val="left" w:pos="3840"/>
        </w:tabs>
        <w:jc w:val="both"/>
        <w:rPr>
          <w:sz w:val="20"/>
          <w:lang w:val="fr-CA"/>
        </w:rPr>
      </w:pPr>
      <w:r w:rsidRPr="008E4F84">
        <w:rPr>
          <w:sz w:val="20"/>
        </w:rPr>
        <w:pict>
          <v:rect id="_x0000_i1034" style="width:2in;height:1pt" o:hrpct="0" o:hralign="center" o:hrstd="t" o:hrnoshade="t" o:hr="t" fillcolor="black [3213]" stroked="f"/>
        </w:pict>
      </w:r>
    </w:p>
    <w:p w:rsidR="00F45DCD" w:rsidRPr="008E4F84" w:rsidRDefault="00F45DCD" w:rsidP="00310C1E">
      <w:pPr>
        <w:widowControl w:val="0"/>
        <w:tabs>
          <w:tab w:val="left" w:pos="3840"/>
        </w:tabs>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10C1E" w:rsidRPr="008E4F84" w:rsidTr="00310C1E">
        <w:trPr>
          <w:gridAfter w:val="1"/>
          <w:wAfter w:w="48" w:type="pct"/>
        </w:trPr>
        <w:tc>
          <w:tcPr>
            <w:tcW w:w="537" w:type="pct"/>
          </w:tcPr>
          <w:p w:rsidR="00310C1E" w:rsidRPr="008E4F84" w:rsidRDefault="00310C1E" w:rsidP="00310C1E">
            <w:pPr>
              <w:jc w:val="both"/>
              <w:rPr>
                <w:sz w:val="20"/>
              </w:rPr>
            </w:pPr>
            <w:r w:rsidRPr="008E4F84">
              <w:rPr>
                <w:rStyle w:val="SCCFileNumberChar"/>
                <w:sz w:val="20"/>
                <w:szCs w:val="20"/>
              </w:rPr>
              <w:t>39692</w:t>
            </w:r>
          </w:p>
        </w:tc>
        <w:tc>
          <w:tcPr>
            <w:tcW w:w="4415" w:type="pct"/>
            <w:gridSpan w:val="3"/>
          </w:tcPr>
          <w:p w:rsidR="00310C1E" w:rsidRPr="008E4F84" w:rsidRDefault="00310C1E" w:rsidP="00310C1E">
            <w:pPr>
              <w:pStyle w:val="SCCLsocParty"/>
              <w:jc w:val="both"/>
              <w:rPr>
                <w:b/>
                <w:sz w:val="20"/>
                <w:szCs w:val="20"/>
                <w:lang w:val="en-US"/>
              </w:rPr>
            </w:pPr>
            <w:r w:rsidRPr="008E4F84">
              <w:rPr>
                <w:b/>
                <w:sz w:val="20"/>
                <w:szCs w:val="20"/>
                <w:lang w:val="en-US"/>
              </w:rPr>
              <w:t>Mill Street &amp; Co. Inc., All Source Security Container Mfg. Corp., Roy Murad, Noah Murad v. Madison Joe Holdings Inc.</w:t>
            </w:r>
          </w:p>
          <w:p w:rsidR="00310C1E" w:rsidRPr="008E4F84" w:rsidRDefault="00310C1E" w:rsidP="00310C1E">
            <w:pPr>
              <w:jc w:val="both"/>
              <w:rPr>
                <w:sz w:val="20"/>
              </w:rPr>
            </w:pPr>
            <w:r w:rsidRPr="008E4F84">
              <w:rPr>
                <w:sz w:val="20"/>
              </w:rPr>
              <w:t>(Ont.) (Civil) (By Leave)</w:t>
            </w:r>
          </w:p>
        </w:tc>
      </w:tr>
      <w:tr w:rsidR="00310C1E" w:rsidRPr="008E4F84" w:rsidTr="00310C1E">
        <w:trPr>
          <w:gridAfter w:val="1"/>
          <w:wAfter w:w="48" w:type="pct"/>
        </w:trPr>
        <w:tc>
          <w:tcPr>
            <w:tcW w:w="4952" w:type="pct"/>
            <w:gridSpan w:val="4"/>
          </w:tcPr>
          <w:p w:rsidR="00310C1E" w:rsidRPr="008E4F84" w:rsidRDefault="00310C1E" w:rsidP="00310C1E">
            <w:pPr>
              <w:jc w:val="both"/>
              <w:rPr>
                <w:sz w:val="20"/>
              </w:rPr>
            </w:pPr>
            <w:r w:rsidRPr="008E4F84">
              <w:rPr>
                <w:sz w:val="20"/>
              </w:rPr>
              <w:t>Suretyship — Contracts — Guarantors — Whether guarantor can be liable when debt obligation of principal debtor is not due or owing or otherwise in default — Whether parties to a transaction can ignore rights of third</w:t>
            </w:r>
            <w:r w:rsidRPr="008E4F84">
              <w:rPr>
                <w:sz w:val="20"/>
              </w:rPr>
              <w:noBreakHyphen/>
              <w:t>party lender who approved their transaction on their explicit agreement to respect the third party’s rights?</w:t>
            </w:r>
          </w:p>
        </w:tc>
      </w:tr>
      <w:tr w:rsidR="00310C1E" w:rsidRPr="008E4F84" w:rsidTr="00310C1E">
        <w:trPr>
          <w:gridAfter w:val="1"/>
          <w:wAfter w:w="48" w:type="pct"/>
        </w:trPr>
        <w:tc>
          <w:tcPr>
            <w:tcW w:w="4952" w:type="pct"/>
            <w:gridSpan w:val="4"/>
          </w:tcPr>
          <w:p w:rsidR="00310C1E" w:rsidRPr="008E4F84" w:rsidRDefault="00310C1E" w:rsidP="00310C1E">
            <w:pPr>
              <w:jc w:val="both"/>
              <w:rPr>
                <w:sz w:val="20"/>
              </w:rPr>
            </w:pPr>
          </w:p>
        </w:tc>
      </w:tr>
      <w:tr w:rsidR="00310C1E" w:rsidRPr="008E4F84" w:rsidTr="00310C1E">
        <w:trPr>
          <w:gridAfter w:val="1"/>
          <w:wAfter w:w="48" w:type="pct"/>
        </w:trPr>
        <w:tc>
          <w:tcPr>
            <w:tcW w:w="4952" w:type="pct"/>
            <w:gridSpan w:val="4"/>
          </w:tcPr>
          <w:p w:rsidR="00310C1E" w:rsidRPr="008E4F84" w:rsidRDefault="00310C1E" w:rsidP="00310C1E">
            <w:pPr>
              <w:widowControl w:val="0"/>
              <w:jc w:val="both"/>
              <w:rPr>
                <w:sz w:val="20"/>
                <w:lang w:val="en"/>
              </w:rPr>
            </w:pPr>
            <w:r w:rsidRPr="008E4F84">
              <w:rPr>
                <w:sz w:val="20"/>
                <w:lang w:val="en"/>
              </w:rPr>
              <w:t xml:space="preserve">A purchase of shares was financed with a lending agreement with a bank and promissory notes backed by guarantees. When the notes matured the notes holder demanded payment of principal and interest. The bank exercised a right under the lending agreement and refused to consent to the payments. </w:t>
            </w:r>
            <w:r w:rsidRPr="008E4F84">
              <w:rPr>
                <w:sz w:val="20"/>
              </w:rPr>
              <w:t>A motions judge granted summary judgment against the principal debtor for the interest due under the notes and against the guarantors for both the principal and interest due under the notes. A majority of the Court of Appeal dismissed an appeal.</w:t>
            </w:r>
          </w:p>
          <w:p w:rsidR="00310C1E" w:rsidRPr="008E4F84" w:rsidRDefault="00310C1E" w:rsidP="00310C1E">
            <w:pPr>
              <w:jc w:val="both"/>
              <w:rPr>
                <w:sz w:val="20"/>
              </w:rPr>
            </w:pPr>
          </w:p>
        </w:tc>
      </w:tr>
      <w:tr w:rsidR="00310C1E" w:rsidRPr="008E4F84" w:rsidTr="00310C1E">
        <w:tblPrEx>
          <w:tblCellMar>
            <w:bottom w:w="0" w:type="dxa"/>
          </w:tblCellMar>
        </w:tblPrEx>
        <w:tc>
          <w:tcPr>
            <w:tcW w:w="2367" w:type="pct"/>
            <w:gridSpan w:val="2"/>
          </w:tcPr>
          <w:p w:rsidR="00310C1E" w:rsidRPr="008E4F84" w:rsidRDefault="00310C1E" w:rsidP="00310C1E">
            <w:pPr>
              <w:jc w:val="both"/>
              <w:rPr>
                <w:sz w:val="20"/>
              </w:rPr>
            </w:pPr>
            <w:r w:rsidRPr="008E4F84">
              <w:rPr>
                <w:sz w:val="20"/>
              </w:rPr>
              <w:t>March 10, 2020</w:t>
            </w:r>
          </w:p>
          <w:p w:rsidR="00310C1E" w:rsidRPr="008E4F84" w:rsidRDefault="00310C1E" w:rsidP="00310C1E">
            <w:pPr>
              <w:jc w:val="both"/>
              <w:rPr>
                <w:sz w:val="20"/>
              </w:rPr>
            </w:pPr>
            <w:r w:rsidRPr="008E4F84">
              <w:rPr>
                <w:sz w:val="20"/>
              </w:rPr>
              <w:t>Ontario Superior Court of Justice</w:t>
            </w:r>
          </w:p>
          <w:p w:rsidR="00310C1E" w:rsidRPr="008E4F84" w:rsidRDefault="00310C1E" w:rsidP="00310C1E">
            <w:pPr>
              <w:jc w:val="both"/>
              <w:rPr>
                <w:sz w:val="20"/>
              </w:rPr>
            </w:pPr>
            <w:r w:rsidRPr="008E4F84">
              <w:rPr>
                <w:sz w:val="20"/>
              </w:rPr>
              <w:t>(Kimmel J.)</w:t>
            </w:r>
          </w:p>
          <w:p w:rsidR="00310C1E" w:rsidRPr="008E4F84" w:rsidRDefault="008E4F84" w:rsidP="00310C1E">
            <w:pPr>
              <w:jc w:val="both"/>
              <w:rPr>
                <w:sz w:val="20"/>
              </w:rPr>
            </w:pPr>
            <w:hyperlink r:id="rId31" w:history="1">
              <w:r w:rsidR="00310C1E" w:rsidRPr="008E4F84">
                <w:rPr>
                  <w:rStyle w:val="Hyperlink"/>
                  <w:sz w:val="20"/>
                </w:rPr>
                <w:t>2020 ONSC 1429</w:t>
              </w:r>
            </w:hyperlink>
          </w:p>
          <w:p w:rsidR="00310C1E" w:rsidRPr="008E4F84" w:rsidRDefault="00310C1E" w:rsidP="00310C1E">
            <w:pPr>
              <w:jc w:val="both"/>
              <w:rPr>
                <w:sz w:val="20"/>
              </w:rPr>
            </w:pPr>
          </w:p>
        </w:tc>
        <w:tc>
          <w:tcPr>
            <w:tcW w:w="267" w:type="pct"/>
          </w:tcPr>
          <w:p w:rsidR="00310C1E" w:rsidRPr="008E4F84" w:rsidRDefault="00310C1E" w:rsidP="00310C1E">
            <w:pPr>
              <w:jc w:val="both"/>
              <w:rPr>
                <w:sz w:val="20"/>
              </w:rPr>
            </w:pPr>
          </w:p>
        </w:tc>
        <w:tc>
          <w:tcPr>
            <w:tcW w:w="2366" w:type="pct"/>
            <w:gridSpan w:val="2"/>
          </w:tcPr>
          <w:p w:rsidR="00310C1E" w:rsidRPr="008E4F84" w:rsidRDefault="00310C1E" w:rsidP="00310C1E">
            <w:pPr>
              <w:jc w:val="both"/>
              <w:rPr>
                <w:sz w:val="20"/>
              </w:rPr>
            </w:pPr>
            <w:r w:rsidRPr="008E4F84">
              <w:rPr>
                <w:sz w:val="20"/>
              </w:rPr>
              <w:t>Summary judgment granted against debtor for interest due under notes and against debtor’s guarantors for principal and interest due under notes</w:t>
            </w:r>
          </w:p>
          <w:p w:rsidR="00310C1E" w:rsidRPr="008E4F84" w:rsidRDefault="00310C1E" w:rsidP="00310C1E">
            <w:pPr>
              <w:jc w:val="both"/>
              <w:rPr>
                <w:sz w:val="20"/>
              </w:rPr>
            </w:pPr>
          </w:p>
        </w:tc>
      </w:tr>
      <w:tr w:rsidR="00310C1E" w:rsidRPr="008E4F84" w:rsidTr="00310C1E">
        <w:tblPrEx>
          <w:tblCellMar>
            <w:bottom w:w="0" w:type="dxa"/>
          </w:tblCellMar>
        </w:tblPrEx>
        <w:tc>
          <w:tcPr>
            <w:tcW w:w="2367" w:type="pct"/>
            <w:gridSpan w:val="2"/>
          </w:tcPr>
          <w:p w:rsidR="00310C1E" w:rsidRPr="008E4F84" w:rsidRDefault="00310C1E" w:rsidP="00310C1E">
            <w:pPr>
              <w:jc w:val="both"/>
              <w:rPr>
                <w:sz w:val="20"/>
              </w:rPr>
            </w:pPr>
            <w:r w:rsidRPr="008E4F84">
              <w:rPr>
                <w:sz w:val="20"/>
              </w:rPr>
              <w:t>April 6, 2021</w:t>
            </w:r>
          </w:p>
          <w:p w:rsidR="00310C1E" w:rsidRPr="008E4F84" w:rsidRDefault="00310C1E" w:rsidP="00310C1E">
            <w:pPr>
              <w:jc w:val="both"/>
              <w:rPr>
                <w:sz w:val="20"/>
              </w:rPr>
            </w:pPr>
            <w:r w:rsidRPr="008E4F84">
              <w:rPr>
                <w:sz w:val="20"/>
              </w:rPr>
              <w:t>Court of Appeal for Ontario</w:t>
            </w:r>
          </w:p>
          <w:p w:rsidR="00310C1E" w:rsidRPr="008E4F84" w:rsidRDefault="00310C1E" w:rsidP="00310C1E">
            <w:pPr>
              <w:jc w:val="both"/>
              <w:rPr>
                <w:sz w:val="20"/>
              </w:rPr>
            </w:pPr>
            <w:r w:rsidRPr="008E4F84">
              <w:rPr>
                <w:sz w:val="20"/>
              </w:rPr>
              <w:t>(MacPherson, Gillese, Nordheimer [dissenting] JJ.A.)</w:t>
            </w:r>
          </w:p>
          <w:p w:rsidR="00310C1E" w:rsidRPr="008E4F84" w:rsidRDefault="008E4F84" w:rsidP="00310C1E">
            <w:pPr>
              <w:jc w:val="both"/>
              <w:rPr>
                <w:sz w:val="20"/>
                <w:lang w:val="fr-FR"/>
              </w:rPr>
            </w:pPr>
            <w:hyperlink r:id="rId32" w:history="1">
              <w:r w:rsidR="00310C1E" w:rsidRPr="008E4F84">
                <w:rPr>
                  <w:rStyle w:val="Hyperlink"/>
                  <w:sz w:val="20"/>
                  <w:lang w:val="fr-FR"/>
                </w:rPr>
                <w:t>2021 ONCA 205</w:t>
              </w:r>
            </w:hyperlink>
            <w:r w:rsidR="00310C1E" w:rsidRPr="008E4F84">
              <w:rPr>
                <w:sz w:val="20"/>
                <w:lang w:val="fr-FR"/>
              </w:rPr>
              <w:t>; C68275</w:t>
            </w:r>
          </w:p>
          <w:p w:rsidR="00310C1E" w:rsidRPr="008E4F84" w:rsidRDefault="00310C1E" w:rsidP="00310C1E">
            <w:pPr>
              <w:jc w:val="both"/>
              <w:rPr>
                <w:sz w:val="20"/>
                <w:lang w:val="fr-FR"/>
              </w:rPr>
            </w:pPr>
          </w:p>
        </w:tc>
        <w:tc>
          <w:tcPr>
            <w:tcW w:w="267" w:type="pct"/>
          </w:tcPr>
          <w:p w:rsidR="00310C1E" w:rsidRPr="008E4F84" w:rsidRDefault="00310C1E" w:rsidP="00310C1E">
            <w:pPr>
              <w:jc w:val="both"/>
              <w:rPr>
                <w:sz w:val="20"/>
                <w:lang w:val="fr-FR"/>
              </w:rPr>
            </w:pPr>
          </w:p>
        </w:tc>
        <w:tc>
          <w:tcPr>
            <w:tcW w:w="2366" w:type="pct"/>
            <w:gridSpan w:val="2"/>
          </w:tcPr>
          <w:p w:rsidR="00310C1E" w:rsidRPr="008E4F84" w:rsidRDefault="00310C1E" w:rsidP="00310C1E">
            <w:pPr>
              <w:jc w:val="both"/>
              <w:rPr>
                <w:sz w:val="20"/>
              </w:rPr>
            </w:pPr>
            <w:r w:rsidRPr="008E4F84">
              <w:rPr>
                <w:sz w:val="20"/>
              </w:rPr>
              <w:t>Appeal dismissed</w:t>
            </w:r>
          </w:p>
          <w:p w:rsidR="00310C1E" w:rsidRPr="008E4F84" w:rsidRDefault="00310C1E" w:rsidP="00310C1E">
            <w:pPr>
              <w:jc w:val="both"/>
              <w:rPr>
                <w:sz w:val="20"/>
              </w:rPr>
            </w:pPr>
          </w:p>
        </w:tc>
      </w:tr>
      <w:tr w:rsidR="00310C1E" w:rsidRPr="008E4F84" w:rsidTr="00BF74A4">
        <w:tblPrEx>
          <w:tblCellMar>
            <w:bottom w:w="0" w:type="dxa"/>
          </w:tblCellMar>
        </w:tblPrEx>
        <w:trPr>
          <w:trHeight w:val="551"/>
        </w:trPr>
        <w:tc>
          <w:tcPr>
            <w:tcW w:w="2367" w:type="pct"/>
            <w:gridSpan w:val="2"/>
          </w:tcPr>
          <w:p w:rsidR="00310C1E" w:rsidRPr="008E4F84" w:rsidRDefault="00310C1E" w:rsidP="00310C1E">
            <w:pPr>
              <w:jc w:val="both"/>
              <w:rPr>
                <w:sz w:val="20"/>
              </w:rPr>
            </w:pPr>
            <w:r w:rsidRPr="008E4F84">
              <w:rPr>
                <w:sz w:val="20"/>
              </w:rPr>
              <w:t>June 7, 2021</w:t>
            </w:r>
          </w:p>
          <w:p w:rsidR="00310C1E" w:rsidRPr="008E4F84" w:rsidRDefault="00310C1E" w:rsidP="00310C1E">
            <w:pPr>
              <w:jc w:val="both"/>
              <w:rPr>
                <w:sz w:val="20"/>
              </w:rPr>
            </w:pPr>
            <w:r w:rsidRPr="008E4F84">
              <w:rPr>
                <w:sz w:val="20"/>
              </w:rPr>
              <w:t>Supreme Court of Canada</w:t>
            </w:r>
          </w:p>
        </w:tc>
        <w:tc>
          <w:tcPr>
            <w:tcW w:w="267" w:type="pct"/>
          </w:tcPr>
          <w:p w:rsidR="00310C1E" w:rsidRPr="008E4F84" w:rsidRDefault="00310C1E" w:rsidP="00310C1E">
            <w:pPr>
              <w:jc w:val="both"/>
              <w:rPr>
                <w:sz w:val="20"/>
              </w:rPr>
            </w:pPr>
          </w:p>
        </w:tc>
        <w:tc>
          <w:tcPr>
            <w:tcW w:w="2366" w:type="pct"/>
            <w:gridSpan w:val="2"/>
          </w:tcPr>
          <w:p w:rsidR="00310C1E" w:rsidRPr="008E4F84" w:rsidRDefault="00310C1E" w:rsidP="00310C1E">
            <w:pPr>
              <w:jc w:val="both"/>
              <w:rPr>
                <w:sz w:val="20"/>
              </w:rPr>
            </w:pPr>
            <w:r w:rsidRPr="008E4F84">
              <w:rPr>
                <w:sz w:val="20"/>
              </w:rPr>
              <w:t>Application for leave to appeal filed</w:t>
            </w:r>
          </w:p>
          <w:p w:rsidR="00310C1E" w:rsidRPr="008E4F84" w:rsidRDefault="00310C1E" w:rsidP="00310C1E">
            <w:pPr>
              <w:jc w:val="both"/>
              <w:rPr>
                <w:sz w:val="20"/>
              </w:rPr>
            </w:pPr>
          </w:p>
        </w:tc>
      </w:tr>
    </w:tbl>
    <w:p w:rsidR="00310C1E" w:rsidRPr="008E4F84" w:rsidRDefault="00310C1E" w:rsidP="00310C1E">
      <w:pPr>
        <w:jc w:val="both"/>
        <w:rPr>
          <w:sz w:val="20"/>
        </w:rPr>
      </w:pPr>
    </w:p>
    <w:p w:rsidR="00BF74A4" w:rsidRPr="008E4F84" w:rsidRDefault="008E4F84" w:rsidP="00310C1E">
      <w:pPr>
        <w:jc w:val="both"/>
        <w:rPr>
          <w:sz w:val="20"/>
        </w:rPr>
      </w:pPr>
      <w:r w:rsidRPr="008E4F84">
        <w:rPr>
          <w:sz w:val="20"/>
        </w:rPr>
        <w:pict>
          <v:rect id="_x0000_i1035" style="width:2in;height:1pt" o:hrpct="0" o:hralign="center" o:hrstd="t" o:hrnoshade="t" o:hr="t" fillcolor="black [3213]" stroked="f"/>
        </w:pict>
      </w:r>
    </w:p>
    <w:p w:rsidR="00BF74A4" w:rsidRPr="008E4F84" w:rsidRDefault="00BF74A4" w:rsidP="00310C1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10C1E" w:rsidRPr="008E4F84" w:rsidTr="00310C1E">
        <w:trPr>
          <w:gridAfter w:val="1"/>
          <w:wAfter w:w="48" w:type="pct"/>
        </w:trPr>
        <w:tc>
          <w:tcPr>
            <w:tcW w:w="537" w:type="pct"/>
          </w:tcPr>
          <w:p w:rsidR="00310C1E" w:rsidRPr="008E4F84" w:rsidRDefault="00310C1E" w:rsidP="00310C1E">
            <w:pPr>
              <w:jc w:val="both"/>
              <w:rPr>
                <w:sz w:val="20"/>
                <w:lang w:val="fr-CA"/>
              </w:rPr>
            </w:pPr>
            <w:r w:rsidRPr="008E4F84">
              <w:rPr>
                <w:rStyle w:val="SCCFileNumberChar"/>
                <w:sz w:val="20"/>
                <w:szCs w:val="20"/>
                <w:lang w:val="fr-CA"/>
              </w:rPr>
              <w:t>39692</w:t>
            </w:r>
          </w:p>
        </w:tc>
        <w:tc>
          <w:tcPr>
            <w:tcW w:w="4415" w:type="pct"/>
            <w:gridSpan w:val="3"/>
          </w:tcPr>
          <w:p w:rsidR="00310C1E" w:rsidRPr="008E4F84" w:rsidRDefault="00310C1E" w:rsidP="00310C1E">
            <w:pPr>
              <w:pStyle w:val="SCCLsocParty"/>
              <w:jc w:val="both"/>
              <w:rPr>
                <w:b/>
                <w:sz w:val="20"/>
                <w:szCs w:val="20"/>
                <w:lang w:val="en-US"/>
              </w:rPr>
            </w:pPr>
            <w:r w:rsidRPr="008E4F84">
              <w:rPr>
                <w:b/>
                <w:sz w:val="20"/>
                <w:szCs w:val="20"/>
                <w:lang w:val="en-US"/>
              </w:rPr>
              <w:t>Mill Street &amp; Co. Inc., All Source Security Container Mfg. Corp., Roy Murad, Noah Murad c. Madison Joe Holdings Inc.</w:t>
            </w:r>
          </w:p>
          <w:p w:rsidR="00310C1E" w:rsidRPr="008E4F84" w:rsidRDefault="00310C1E" w:rsidP="00310C1E">
            <w:pPr>
              <w:jc w:val="both"/>
              <w:rPr>
                <w:sz w:val="20"/>
                <w:lang w:val="fr-CA"/>
              </w:rPr>
            </w:pPr>
            <w:r w:rsidRPr="008E4F84">
              <w:rPr>
                <w:sz w:val="20"/>
                <w:lang w:val="fr-CA"/>
              </w:rPr>
              <w:t>(Ont.) (Civile) (Sur autorisation)</w:t>
            </w:r>
          </w:p>
        </w:tc>
      </w:tr>
      <w:tr w:rsidR="00310C1E" w:rsidRPr="008E4F84" w:rsidTr="00310C1E">
        <w:trPr>
          <w:gridAfter w:val="1"/>
          <w:wAfter w:w="48" w:type="pct"/>
        </w:trPr>
        <w:tc>
          <w:tcPr>
            <w:tcW w:w="4952" w:type="pct"/>
            <w:gridSpan w:val="4"/>
          </w:tcPr>
          <w:p w:rsidR="00310C1E" w:rsidRPr="008E4F84" w:rsidRDefault="00310C1E" w:rsidP="00310C1E">
            <w:pPr>
              <w:jc w:val="both"/>
              <w:rPr>
                <w:sz w:val="20"/>
                <w:lang w:val="fr-CA"/>
              </w:rPr>
            </w:pPr>
            <w:r w:rsidRPr="008E4F84">
              <w:rPr>
                <w:sz w:val="20"/>
                <w:lang w:val="fr-CA"/>
              </w:rPr>
              <w:t>Cautionnement — Contrats — Garants — Le garant peut</w:t>
            </w:r>
            <w:r w:rsidRPr="008E4F84">
              <w:rPr>
                <w:sz w:val="20"/>
                <w:lang w:val="fr-CA"/>
              </w:rPr>
              <w:noBreakHyphen/>
              <w:t>il être responsable lorsque la dette du débiteur principal n’est pas exigible ou due ou autrement en souffrance? — Les parties à une transaction peuvent</w:t>
            </w:r>
            <w:r w:rsidRPr="008E4F84">
              <w:rPr>
                <w:sz w:val="20"/>
                <w:lang w:val="fr-CA"/>
              </w:rPr>
              <w:noBreakHyphen/>
              <w:t>elles ignorer les droits des tiers prêteurs qui ont approuvé leur transaction en fonction de leur accord exprès de respecter les droits des tiers?</w:t>
            </w:r>
          </w:p>
        </w:tc>
      </w:tr>
      <w:tr w:rsidR="00310C1E" w:rsidRPr="008E4F84" w:rsidTr="00310C1E">
        <w:trPr>
          <w:gridAfter w:val="1"/>
          <w:wAfter w:w="48" w:type="pct"/>
        </w:trPr>
        <w:tc>
          <w:tcPr>
            <w:tcW w:w="4952" w:type="pct"/>
            <w:gridSpan w:val="4"/>
          </w:tcPr>
          <w:p w:rsidR="00310C1E" w:rsidRPr="008E4F84" w:rsidRDefault="00310C1E" w:rsidP="00310C1E">
            <w:pPr>
              <w:jc w:val="both"/>
              <w:rPr>
                <w:sz w:val="20"/>
                <w:lang w:val="fr-CA"/>
              </w:rPr>
            </w:pPr>
          </w:p>
        </w:tc>
      </w:tr>
      <w:tr w:rsidR="00310C1E" w:rsidRPr="008E4F84" w:rsidTr="00310C1E">
        <w:trPr>
          <w:gridAfter w:val="1"/>
          <w:wAfter w:w="48" w:type="pct"/>
        </w:trPr>
        <w:tc>
          <w:tcPr>
            <w:tcW w:w="4952" w:type="pct"/>
            <w:gridSpan w:val="4"/>
          </w:tcPr>
          <w:p w:rsidR="00310C1E" w:rsidRPr="008E4F84" w:rsidRDefault="00310C1E" w:rsidP="00310C1E">
            <w:pPr>
              <w:widowControl w:val="0"/>
              <w:jc w:val="both"/>
              <w:rPr>
                <w:sz w:val="20"/>
                <w:lang w:val="fr-CA"/>
              </w:rPr>
            </w:pPr>
            <w:r w:rsidRPr="008E4F84">
              <w:rPr>
                <w:sz w:val="20"/>
                <w:lang w:val="fr-CA"/>
              </w:rPr>
              <w:t>L’achat d’actions a été financé au moyen d’une convention de prêt conclue avec une banque et de billets à ordre assortis de garanties. Lorsque les billets sont venus à échéance, le détenteur des billets a exigé le paiement du capital et des intérêts. La banque a exercé son droit en vertu de la convention de prêt et a refusé de consentir aux paiements. La juge saisie de la motion a rendu un jugement sommaire contre le débiteur principal pour le paiement des intérêts dus en vertu des billets et contre les garants pour le paiement du capital et des intérêts dus en vertu de ceux-ci. Les juges majoritaires de la Cour d’appel ont rejeté l’appel.</w:t>
            </w:r>
          </w:p>
          <w:p w:rsidR="00310C1E" w:rsidRPr="008E4F84" w:rsidRDefault="00310C1E" w:rsidP="00310C1E">
            <w:pPr>
              <w:jc w:val="both"/>
              <w:rPr>
                <w:sz w:val="20"/>
                <w:lang w:val="fr-CA"/>
              </w:rPr>
            </w:pPr>
          </w:p>
        </w:tc>
      </w:tr>
      <w:tr w:rsidR="00310C1E" w:rsidRPr="008E4F84" w:rsidTr="00310C1E">
        <w:tblPrEx>
          <w:tblCellMar>
            <w:bottom w:w="0" w:type="dxa"/>
          </w:tblCellMar>
        </w:tblPrEx>
        <w:tc>
          <w:tcPr>
            <w:tcW w:w="2367" w:type="pct"/>
            <w:gridSpan w:val="2"/>
          </w:tcPr>
          <w:p w:rsidR="00310C1E" w:rsidRPr="008E4F84" w:rsidRDefault="00310C1E" w:rsidP="00310C1E">
            <w:pPr>
              <w:jc w:val="both"/>
              <w:rPr>
                <w:sz w:val="20"/>
                <w:lang w:val="fr-CA"/>
              </w:rPr>
            </w:pPr>
            <w:r w:rsidRPr="008E4F84">
              <w:rPr>
                <w:sz w:val="20"/>
                <w:lang w:val="fr-CA"/>
              </w:rPr>
              <w:t>10 mars 2020</w:t>
            </w:r>
          </w:p>
          <w:p w:rsidR="00310C1E" w:rsidRPr="008E4F84" w:rsidRDefault="00310C1E" w:rsidP="00310C1E">
            <w:pPr>
              <w:jc w:val="both"/>
              <w:rPr>
                <w:sz w:val="20"/>
                <w:lang w:val="fr-CA"/>
              </w:rPr>
            </w:pPr>
            <w:r w:rsidRPr="008E4F84">
              <w:rPr>
                <w:sz w:val="20"/>
                <w:lang w:val="fr-CA"/>
              </w:rPr>
              <w:t>Cour supérieure de justice de l’Ontario</w:t>
            </w:r>
          </w:p>
          <w:p w:rsidR="00310C1E" w:rsidRPr="008E4F84" w:rsidRDefault="00310C1E" w:rsidP="00310C1E">
            <w:pPr>
              <w:jc w:val="both"/>
              <w:rPr>
                <w:sz w:val="20"/>
                <w:lang w:val="fr-CA"/>
              </w:rPr>
            </w:pPr>
            <w:r w:rsidRPr="008E4F84">
              <w:rPr>
                <w:sz w:val="20"/>
                <w:lang w:val="fr-CA"/>
              </w:rPr>
              <w:t>(juge Kimmel)</w:t>
            </w:r>
          </w:p>
          <w:p w:rsidR="00310C1E" w:rsidRPr="008E4F84" w:rsidRDefault="008E4F84" w:rsidP="00310C1E">
            <w:pPr>
              <w:jc w:val="both"/>
              <w:rPr>
                <w:sz w:val="20"/>
                <w:lang w:val="fr-CA"/>
              </w:rPr>
            </w:pPr>
            <w:hyperlink r:id="rId33" w:history="1">
              <w:r w:rsidR="00310C1E" w:rsidRPr="008E4F84">
                <w:rPr>
                  <w:rStyle w:val="Hyperlink"/>
                  <w:sz w:val="20"/>
                  <w:lang w:val="fr-CA"/>
                </w:rPr>
                <w:t>2020 ONSC 1429</w:t>
              </w:r>
            </w:hyperlink>
          </w:p>
          <w:p w:rsidR="00310C1E" w:rsidRPr="008E4F84" w:rsidRDefault="00310C1E" w:rsidP="00310C1E">
            <w:pPr>
              <w:jc w:val="both"/>
              <w:rPr>
                <w:sz w:val="20"/>
                <w:lang w:val="fr-CA"/>
              </w:rPr>
            </w:pPr>
          </w:p>
        </w:tc>
        <w:tc>
          <w:tcPr>
            <w:tcW w:w="267" w:type="pct"/>
          </w:tcPr>
          <w:p w:rsidR="00310C1E" w:rsidRPr="008E4F84" w:rsidRDefault="00310C1E" w:rsidP="00310C1E">
            <w:pPr>
              <w:jc w:val="both"/>
              <w:rPr>
                <w:sz w:val="20"/>
                <w:lang w:val="fr-CA"/>
              </w:rPr>
            </w:pPr>
          </w:p>
        </w:tc>
        <w:tc>
          <w:tcPr>
            <w:tcW w:w="2366" w:type="pct"/>
            <w:gridSpan w:val="2"/>
          </w:tcPr>
          <w:p w:rsidR="00310C1E" w:rsidRPr="008E4F84" w:rsidRDefault="00310C1E" w:rsidP="00310C1E">
            <w:pPr>
              <w:jc w:val="both"/>
              <w:rPr>
                <w:sz w:val="20"/>
                <w:lang w:val="fr-CA"/>
              </w:rPr>
            </w:pPr>
            <w:r w:rsidRPr="008E4F84">
              <w:rPr>
                <w:sz w:val="20"/>
                <w:lang w:val="fr-CA"/>
              </w:rPr>
              <w:t>Un jugement sommaire est rendu contre le débiteur pour le paiement des intérêts dus en vertu des billets et contre les garants du débiteur pour le paiement du capital et des intérêts dus en vertu des billets.</w:t>
            </w:r>
          </w:p>
          <w:p w:rsidR="00310C1E" w:rsidRPr="008E4F84" w:rsidRDefault="00310C1E" w:rsidP="00310C1E">
            <w:pPr>
              <w:jc w:val="both"/>
              <w:rPr>
                <w:sz w:val="20"/>
                <w:lang w:val="fr-CA"/>
              </w:rPr>
            </w:pPr>
          </w:p>
        </w:tc>
      </w:tr>
      <w:tr w:rsidR="00310C1E" w:rsidRPr="008E4F84" w:rsidTr="00310C1E">
        <w:tblPrEx>
          <w:tblCellMar>
            <w:bottom w:w="0" w:type="dxa"/>
          </w:tblCellMar>
        </w:tblPrEx>
        <w:tc>
          <w:tcPr>
            <w:tcW w:w="2367" w:type="pct"/>
            <w:gridSpan w:val="2"/>
          </w:tcPr>
          <w:p w:rsidR="00310C1E" w:rsidRPr="008E4F84" w:rsidRDefault="00310C1E" w:rsidP="00310C1E">
            <w:pPr>
              <w:jc w:val="both"/>
              <w:rPr>
                <w:sz w:val="20"/>
                <w:lang w:val="fr-CA"/>
              </w:rPr>
            </w:pPr>
            <w:r w:rsidRPr="008E4F84">
              <w:rPr>
                <w:sz w:val="20"/>
                <w:lang w:val="fr-CA"/>
              </w:rPr>
              <w:t>6 avril 2021</w:t>
            </w:r>
          </w:p>
          <w:p w:rsidR="00310C1E" w:rsidRPr="008E4F84" w:rsidRDefault="00310C1E" w:rsidP="00310C1E">
            <w:pPr>
              <w:jc w:val="both"/>
              <w:rPr>
                <w:sz w:val="20"/>
                <w:lang w:val="fr-CA"/>
              </w:rPr>
            </w:pPr>
            <w:r w:rsidRPr="008E4F84">
              <w:rPr>
                <w:sz w:val="20"/>
                <w:lang w:val="fr-CA"/>
              </w:rPr>
              <w:t>Cour d’appel de l’Ontario</w:t>
            </w:r>
          </w:p>
          <w:p w:rsidR="00310C1E" w:rsidRPr="008E4F84" w:rsidRDefault="00310C1E" w:rsidP="00310C1E">
            <w:pPr>
              <w:jc w:val="both"/>
              <w:rPr>
                <w:sz w:val="20"/>
                <w:lang w:val="fr-CA"/>
              </w:rPr>
            </w:pPr>
            <w:r w:rsidRPr="008E4F84">
              <w:rPr>
                <w:sz w:val="20"/>
                <w:lang w:val="fr-CA"/>
              </w:rPr>
              <w:t>(juges MacPherson, Gillese, Nordheimer [dissident])</w:t>
            </w:r>
          </w:p>
          <w:p w:rsidR="00310C1E" w:rsidRPr="008E4F84" w:rsidRDefault="008E4F84" w:rsidP="00310C1E">
            <w:pPr>
              <w:jc w:val="both"/>
              <w:rPr>
                <w:sz w:val="20"/>
                <w:lang w:val="fr-CA"/>
              </w:rPr>
            </w:pPr>
            <w:hyperlink r:id="rId34" w:history="1">
              <w:r w:rsidR="00310C1E" w:rsidRPr="008E4F84">
                <w:rPr>
                  <w:rStyle w:val="Hyperlink"/>
                  <w:sz w:val="20"/>
                  <w:lang w:val="fr-CA"/>
                </w:rPr>
                <w:t>2021 ONCA 205</w:t>
              </w:r>
            </w:hyperlink>
            <w:r w:rsidR="00310C1E" w:rsidRPr="008E4F84">
              <w:rPr>
                <w:sz w:val="20"/>
                <w:lang w:val="fr-CA"/>
              </w:rPr>
              <w:t>; C68275</w:t>
            </w:r>
          </w:p>
          <w:p w:rsidR="00310C1E" w:rsidRPr="008E4F84" w:rsidRDefault="00310C1E" w:rsidP="00310C1E">
            <w:pPr>
              <w:jc w:val="both"/>
              <w:rPr>
                <w:sz w:val="20"/>
                <w:lang w:val="fr-CA"/>
              </w:rPr>
            </w:pPr>
          </w:p>
        </w:tc>
        <w:tc>
          <w:tcPr>
            <w:tcW w:w="267" w:type="pct"/>
          </w:tcPr>
          <w:p w:rsidR="00310C1E" w:rsidRPr="008E4F84" w:rsidRDefault="00310C1E" w:rsidP="00310C1E">
            <w:pPr>
              <w:jc w:val="both"/>
              <w:rPr>
                <w:sz w:val="20"/>
                <w:lang w:val="fr-CA"/>
              </w:rPr>
            </w:pPr>
          </w:p>
        </w:tc>
        <w:tc>
          <w:tcPr>
            <w:tcW w:w="2366" w:type="pct"/>
            <w:gridSpan w:val="2"/>
          </w:tcPr>
          <w:p w:rsidR="00310C1E" w:rsidRPr="008E4F84" w:rsidRDefault="00310C1E" w:rsidP="00310C1E">
            <w:pPr>
              <w:jc w:val="both"/>
              <w:rPr>
                <w:sz w:val="20"/>
                <w:lang w:val="fr-CA"/>
              </w:rPr>
            </w:pPr>
            <w:r w:rsidRPr="008E4F84">
              <w:rPr>
                <w:sz w:val="20"/>
                <w:lang w:val="fr-CA"/>
              </w:rPr>
              <w:t>L’appel est rejeté.</w:t>
            </w:r>
          </w:p>
          <w:p w:rsidR="00310C1E" w:rsidRPr="008E4F84" w:rsidRDefault="00310C1E" w:rsidP="00310C1E">
            <w:pPr>
              <w:jc w:val="both"/>
              <w:rPr>
                <w:sz w:val="20"/>
                <w:lang w:val="fr-CA"/>
              </w:rPr>
            </w:pPr>
          </w:p>
        </w:tc>
      </w:tr>
      <w:tr w:rsidR="00310C1E" w:rsidRPr="008E4F84" w:rsidTr="00BF74A4">
        <w:tblPrEx>
          <w:tblCellMar>
            <w:bottom w:w="0" w:type="dxa"/>
          </w:tblCellMar>
        </w:tblPrEx>
        <w:trPr>
          <w:trHeight w:val="598"/>
        </w:trPr>
        <w:tc>
          <w:tcPr>
            <w:tcW w:w="2367" w:type="pct"/>
            <w:gridSpan w:val="2"/>
          </w:tcPr>
          <w:p w:rsidR="00310C1E" w:rsidRPr="008E4F84" w:rsidRDefault="00310C1E" w:rsidP="00310C1E">
            <w:pPr>
              <w:jc w:val="both"/>
              <w:rPr>
                <w:sz w:val="20"/>
                <w:lang w:val="fr-CA"/>
              </w:rPr>
            </w:pPr>
            <w:r w:rsidRPr="008E4F84">
              <w:rPr>
                <w:sz w:val="20"/>
                <w:lang w:val="fr-CA"/>
              </w:rPr>
              <w:t>7 juin 2021</w:t>
            </w:r>
          </w:p>
          <w:p w:rsidR="00310C1E" w:rsidRPr="008E4F84" w:rsidRDefault="00310C1E" w:rsidP="00310C1E">
            <w:pPr>
              <w:jc w:val="both"/>
              <w:rPr>
                <w:sz w:val="20"/>
                <w:lang w:val="fr-CA"/>
              </w:rPr>
            </w:pPr>
            <w:r w:rsidRPr="008E4F84">
              <w:rPr>
                <w:sz w:val="20"/>
                <w:lang w:val="fr-CA"/>
              </w:rPr>
              <w:t>Cour suprême du Canada</w:t>
            </w:r>
          </w:p>
        </w:tc>
        <w:tc>
          <w:tcPr>
            <w:tcW w:w="267" w:type="pct"/>
          </w:tcPr>
          <w:p w:rsidR="00310C1E" w:rsidRPr="008E4F84" w:rsidRDefault="00310C1E" w:rsidP="00310C1E">
            <w:pPr>
              <w:jc w:val="both"/>
              <w:rPr>
                <w:sz w:val="20"/>
                <w:lang w:val="fr-CA"/>
              </w:rPr>
            </w:pPr>
          </w:p>
        </w:tc>
        <w:tc>
          <w:tcPr>
            <w:tcW w:w="2366" w:type="pct"/>
            <w:gridSpan w:val="2"/>
          </w:tcPr>
          <w:p w:rsidR="00310C1E" w:rsidRPr="008E4F84" w:rsidRDefault="00310C1E" w:rsidP="00310C1E">
            <w:pPr>
              <w:jc w:val="both"/>
              <w:rPr>
                <w:sz w:val="20"/>
                <w:lang w:val="fr-CA"/>
              </w:rPr>
            </w:pPr>
            <w:r w:rsidRPr="008E4F84">
              <w:rPr>
                <w:sz w:val="20"/>
                <w:lang w:val="fr-CA"/>
              </w:rPr>
              <w:t>La demande d’autorisation d’appel est présentée.</w:t>
            </w:r>
          </w:p>
          <w:p w:rsidR="00310C1E" w:rsidRPr="008E4F84" w:rsidRDefault="00310C1E" w:rsidP="00310C1E">
            <w:pPr>
              <w:jc w:val="both"/>
              <w:rPr>
                <w:sz w:val="20"/>
                <w:lang w:val="fr-CA"/>
              </w:rPr>
            </w:pPr>
          </w:p>
        </w:tc>
      </w:tr>
    </w:tbl>
    <w:p w:rsidR="00310C1E" w:rsidRPr="008E4F84" w:rsidRDefault="00310C1E" w:rsidP="00310C1E">
      <w:pPr>
        <w:jc w:val="both"/>
        <w:rPr>
          <w:sz w:val="20"/>
          <w:lang w:val="fr-CA"/>
        </w:rPr>
      </w:pPr>
    </w:p>
    <w:p w:rsidR="00BF74A4" w:rsidRPr="008E4F84" w:rsidRDefault="008E4F84" w:rsidP="00310C1E">
      <w:pPr>
        <w:jc w:val="both"/>
        <w:rPr>
          <w:sz w:val="20"/>
          <w:lang w:val="fr-CA"/>
        </w:rPr>
      </w:pPr>
      <w:r w:rsidRPr="008E4F84">
        <w:rPr>
          <w:sz w:val="20"/>
        </w:rPr>
        <w:pict>
          <v:rect id="_x0000_i1036" style="width:2in;height:1pt" o:hrpct="0" o:hralign="center" o:hrstd="t" o:hrnoshade="t" o:hr="t" fillcolor="black [3213]" stroked="f"/>
        </w:pict>
      </w:r>
    </w:p>
    <w:p w:rsidR="00F45DCD" w:rsidRPr="008E4F84" w:rsidRDefault="00F45DCD" w:rsidP="00310C1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rPr>
            </w:pPr>
            <w:r w:rsidRPr="008E4F84">
              <w:rPr>
                <w:rStyle w:val="SCCFileNumberChar"/>
                <w:sz w:val="20"/>
                <w:szCs w:val="20"/>
              </w:rPr>
              <w:t>39665</w:t>
            </w:r>
          </w:p>
        </w:tc>
        <w:tc>
          <w:tcPr>
            <w:tcW w:w="4457" w:type="pct"/>
            <w:gridSpan w:val="3"/>
          </w:tcPr>
          <w:p w:rsidR="00310C1E" w:rsidRPr="008E4F84" w:rsidRDefault="00310C1E" w:rsidP="00310C1E">
            <w:pPr>
              <w:pStyle w:val="SCCLsocParty"/>
              <w:jc w:val="both"/>
              <w:rPr>
                <w:b/>
                <w:sz w:val="20"/>
                <w:szCs w:val="20"/>
                <w:lang w:val="en-US"/>
              </w:rPr>
            </w:pPr>
            <w:r w:rsidRPr="008E4F84">
              <w:rPr>
                <w:b/>
                <w:sz w:val="20"/>
                <w:szCs w:val="20"/>
                <w:lang w:val="en-US"/>
              </w:rPr>
              <w:t>Christopher Gero v. Her Majesty the Queen</w:t>
            </w:r>
          </w:p>
          <w:p w:rsidR="00310C1E" w:rsidRPr="008E4F84" w:rsidRDefault="00310C1E" w:rsidP="00310C1E">
            <w:pPr>
              <w:jc w:val="both"/>
              <w:rPr>
                <w:sz w:val="20"/>
              </w:rPr>
            </w:pPr>
            <w:r w:rsidRPr="008E4F84">
              <w:rPr>
                <w:sz w:val="20"/>
              </w:rPr>
              <w:t>(Ont.) (Criminal) (By Leave)</w:t>
            </w:r>
          </w:p>
        </w:tc>
      </w:tr>
      <w:tr w:rsidR="00310C1E" w:rsidRPr="008E4F84" w:rsidTr="00310C1E">
        <w:tc>
          <w:tcPr>
            <w:tcW w:w="5000" w:type="pct"/>
            <w:gridSpan w:val="4"/>
          </w:tcPr>
          <w:p w:rsidR="00310C1E" w:rsidRPr="008E4F84" w:rsidRDefault="00310C1E" w:rsidP="00310C1E">
            <w:pPr>
              <w:jc w:val="both"/>
              <w:rPr>
                <w:sz w:val="20"/>
              </w:rPr>
            </w:pPr>
            <w:r w:rsidRPr="008E4F84">
              <w:rPr>
                <w:i/>
                <w:sz w:val="20"/>
              </w:rPr>
              <w:t>Charter of Rights and Freedoms</w:t>
            </w:r>
            <w:r w:rsidRPr="008E4F84">
              <w:rPr>
                <w:sz w:val="20"/>
              </w:rPr>
              <w:t xml:space="preserve"> — Right to life, liberty and security of the person — Search and seizure — Criminal law — Search warrants — Whether the Court of Appeal erred in finding that the “step six” procedure, as originally set out in this Court’s decision of </w:t>
            </w:r>
            <w:r w:rsidRPr="008E4F84">
              <w:rPr>
                <w:i/>
                <w:sz w:val="20"/>
              </w:rPr>
              <w:t>R. v. Garofoli1</w:t>
            </w:r>
            <w:r w:rsidRPr="008E4F84">
              <w:rPr>
                <w:sz w:val="20"/>
              </w:rPr>
              <w:t xml:space="preserve">, is constitutional and does not violate s. 7 of the </w:t>
            </w:r>
            <w:r w:rsidRPr="008E4F84">
              <w:rPr>
                <w:i/>
                <w:sz w:val="20"/>
              </w:rPr>
              <w:t xml:space="preserve">Charter — </w:t>
            </w:r>
            <w:r w:rsidRPr="008E4F84">
              <w:rPr>
                <w:sz w:val="20"/>
              </w:rPr>
              <w:t xml:space="preserve">Whether there are issues public importance raised — </w:t>
            </w:r>
            <w:r w:rsidRPr="008E4F84">
              <w:rPr>
                <w:i/>
                <w:sz w:val="20"/>
              </w:rPr>
              <w:t>Charter of Rights and Freedoms</w:t>
            </w:r>
            <w:r w:rsidRPr="008E4F84">
              <w:rPr>
                <w:sz w:val="20"/>
              </w:rPr>
              <w:t>, ss. 7 and 8.</w:t>
            </w:r>
          </w:p>
        </w:tc>
      </w:tr>
      <w:tr w:rsidR="00310C1E" w:rsidRPr="008E4F84" w:rsidTr="00310C1E">
        <w:tc>
          <w:tcPr>
            <w:tcW w:w="5000" w:type="pct"/>
            <w:gridSpan w:val="4"/>
          </w:tcPr>
          <w:p w:rsidR="00310C1E" w:rsidRPr="008E4F84" w:rsidRDefault="00310C1E" w:rsidP="00310C1E">
            <w:pPr>
              <w:jc w:val="both"/>
              <w:rPr>
                <w:sz w:val="20"/>
              </w:rPr>
            </w:pPr>
          </w:p>
        </w:tc>
      </w:tr>
      <w:tr w:rsidR="00310C1E" w:rsidRPr="008E4F84" w:rsidTr="00310C1E">
        <w:tc>
          <w:tcPr>
            <w:tcW w:w="5000" w:type="pct"/>
            <w:gridSpan w:val="4"/>
          </w:tcPr>
          <w:p w:rsidR="00310C1E" w:rsidRPr="008E4F84" w:rsidRDefault="00310C1E" w:rsidP="00310C1E">
            <w:pPr>
              <w:jc w:val="both"/>
              <w:rPr>
                <w:sz w:val="20"/>
              </w:rPr>
            </w:pPr>
            <w:r w:rsidRPr="008E4F84">
              <w:rPr>
                <w:sz w:val="20"/>
              </w:rPr>
              <w:t>T</w:t>
            </w:r>
            <w:r w:rsidRPr="008E4F84">
              <w:rPr>
                <w:sz w:val="20"/>
                <w:lang w:val="en"/>
              </w:rPr>
              <w:t xml:space="preserve">he Toronto Police Service received a tip from a CI that the CI had recently purchased drugs from the applicant, Mr. Gero, at his apartment. A search warrant was executed. During a search of the applicant’s apartment, the police found packaging materials, two digital scales, an electrical grinder covered in drug residue, a drug press, cocaine, Oxycocet pills, and cash. The applicant challenged the validity of the search warrant pursuant to ss. 7 and 8 of the </w:t>
            </w:r>
            <w:r w:rsidRPr="008E4F84">
              <w:rPr>
                <w:rStyle w:val="Emphasis"/>
                <w:sz w:val="20"/>
                <w:lang w:val="en"/>
              </w:rPr>
              <w:t>Charter</w:t>
            </w:r>
            <w:r w:rsidRPr="008E4F84">
              <w:rPr>
                <w:sz w:val="20"/>
                <w:lang w:val="en"/>
              </w:rPr>
              <w:t xml:space="preserve">. Both of the lower courts held that the step six procedure does not breach s. 7 or s. 8 of the </w:t>
            </w:r>
            <w:r w:rsidRPr="008E4F84">
              <w:rPr>
                <w:rStyle w:val="Emphasis"/>
                <w:sz w:val="20"/>
                <w:lang w:val="en"/>
              </w:rPr>
              <w:t>Charter</w:t>
            </w:r>
            <w:r w:rsidRPr="008E4F84">
              <w:rPr>
                <w:sz w:val="20"/>
                <w:lang w:val="en"/>
              </w:rPr>
              <w:t>. The applicant was convicted of two counts of possession of a controlled substance for the purpose of trafficking and one count of possession of the proceeds of crime. The applicant’s appeal was dismissed.</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November 6, 2017</w:t>
            </w:r>
          </w:p>
          <w:p w:rsidR="00310C1E" w:rsidRPr="008E4F84" w:rsidRDefault="00310C1E" w:rsidP="00310C1E">
            <w:pPr>
              <w:jc w:val="both"/>
              <w:rPr>
                <w:sz w:val="20"/>
              </w:rPr>
            </w:pPr>
            <w:r w:rsidRPr="008E4F84">
              <w:rPr>
                <w:sz w:val="20"/>
              </w:rPr>
              <w:t>Ontario Superior Court of Justice</w:t>
            </w:r>
          </w:p>
          <w:p w:rsidR="00310C1E" w:rsidRPr="008E4F84" w:rsidRDefault="00310C1E" w:rsidP="00310C1E">
            <w:pPr>
              <w:jc w:val="both"/>
              <w:rPr>
                <w:sz w:val="20"/>
              </w:rPr>
            </w:pPr>
            <w:r w:rsidRPr="008E4F84">
              <w:rPr>
                <w:sz w:val="20"/>
              </w:rPr>
              <w:t>(Gilmore J.)</w:t>
            </w:r>
          </w:p>
          <w:p w:rsidR="00310C1E" w:rsidRPr="008E4F84" w:rsidRDefault="00310C1E" w:rsidP="00310C1E">
            <w:pPr>
              <w:jc w:val="both"/>
              <w:rPr>
                <w:sz w:val="20"/>
              </w:rPr>
            </w:pPr>
            <w:r w:rsidRPr="008E4F84">
              <w:rPr>
                <w:sz w:val="20"/>
              </w:rPr>
              <w:t>(unreported)</w:t>
            </w:r>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Convictions entered:</w:t>
            </w:r>
            <w:r w:rsidRPr="008E4F84">
              <w:rPr>
                <w:sz w:val="20"/>
                <w:lang w:val="en"/>
              </w:rPr>
              <w:t xml:space="preserve"> two counts of possession of a controlled substance for the purpose of trafficking and one count of possession of the proceeds of crime</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January 27, 2021</w:t>
            </w:r>
          </w:p>
          <w:p w:rsidR="00310C1E" w:rsidRPr="008E4F84" w:rsidRDefault="00310C1E" w:rsidP="00310C1E">
            <w:pPr>
              <w:jc w:val="both"/>
              <w:rPr>
                <w:sz w:val="20"/>
              </w:rPr>
            </w:pPr>
            <w:r w:rsidRPr="008E4F84">
              <w:rPr>
                <w:sz w:val="20"/>
              </w:rPr>
              <w:t>Court of Appeal for Ontario</w:t>
            </w:r>
          </w:p>
          <w:p w:rsidR="00310C1E" w:rsidRPr="008E4F84" w:rsidRDefault="00310C1E" w:rsidP="00310C1E">
            <w:pPr>
              <w:jc w:val="both"/>
              <w:rPr>
                <w:sz w:val="20"/>
              </w:rPr>
            </w:pPr>
            <w:r w:rsidRPr="008E4F84">
              <w:rPr>
                <w:sz w:val="20"/>
              </w:rPr>
              <w:t>(Feldman, Tulloch and Hourigan JJ.A.)</w:t>
            </w:r>
          </w:p>
          <w:p w:rsidR="00310C1E" w:rsidRPr="008E4F84" w:rsidRDefault="00310C1E" w:rsidP="00310C1E">
            <w:pPr>
              <w:jc w:val="both"/>
              <w:rPr>
                <w:sz w:val="20"/>
                <w:u w:val="single"/>
              </w:rPr>
            </w:pPr>
            <w:r w:rsidRPr="008E4F84">
              <w:rPr>
                <w:sz w:val="20"/>
              </w:rPr>
              <w:t xml:space="preserve">C64561; </w:t>
            </w:r>
            <w:hyperlink r:id="rId35" w:history="1">
              <w:r w:rsidRPr="008E4F84">
                <w:rPr>
                  <w:rStyle w:val="Hyperlink"/>
                  <w:sz w:val="20"/>
                </w:rPr>
                <w:t>2021 ONCA 50</w:t>
              </w:r>
            </w:hyperlink>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Appeal dismissed</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April 23, 2021</w:t>
            </w:r>
          </w:p>
          <w:p w:rsidR="00310C1E" w:rsidRPr="008E4F84" w:rsidRDefault="00310C1E" w:rsidP="00BF74A4">
            <w:pPr>
              <w:jc w:val="both"/>
              <w:rPr>
                <w:sz w:val="20"/>
              </w:rPr>
            </w:pPr>
            <w:r w:rsidRPr="008E4F84">
              <w:rPr>
                <w:sz w:val="20"/>
              </w:rPr>
              <w:t>Supreme Court of Canada</w:t>
            </w:r>
          </w:p>
        </w:tc>
        <w:tc>
          <w:tcPr>
            <w:tcW w:w="243" w:type="pct"/>
          </w:tcPr>
          <w:p w:rsidR="00310C1E" w:rsidRPr="008E4F84" w:rsidRDefault="00310C1E" w:rsidP="00310C1E">
            <w:pPr>
              <w:jc w:val="both"/>
              <w:rPr>
                <w:sz w:val="20"/>
              </w:rPr>
            </w:pPr>
          </w:p>
        </w:tc>
        <w:tc>
          <w:tcPr>
            <w:tcW w:w="2330" w:type="pct"/>
          </w:tcPr>
          <w:p w:rsidR="00310C1E" w:rsidRPr="008E4F84" w:rsidRDefault="00310C1E" w:rsidP="00BF74A4">
            <w:pPr>
              <w:jc w:val="both"/>
              <w:rPr>
                <w:sz w:val="20"/>
              </w:rPr>
            </w:pPr>
            <w:r w:rsidRPr="008E4F84">
              <w:rPr>
                <w:sz w:val="20"/>
              </w:rPr>
              <w:t>Motion for an extension of time to serve and file the application for leave to appeal and application for leave to appeal filed</w:t>
            </w:r>
          </w:p>
        </w:tc>
      </w:tr>
    </w:tbl>
    <w:p w:rsidR="00310C1E" w:rsidRPr="008E4F84" w:rsidRDefault="00310C1E" w:rsidP="00310C1E">
      <w:pPr>
        <w:jc w:val="both"/>
        <w:rPr>
          <w:sz w:val="20"/>
        </w:rPr>
      </w:pPr>
    </w:p>
    <w:p w:rsidR="00BF74A4" w:rsidRPr="008E4F84" w:rsidRDefault="008E4F84" w:rsidP="00310C1E">
      <w:pPr>
        <w:jc w:val="both"/>
        <w:rPr>
          <w:sz w:val="20"/>
        </w:rPr>
      </w:pPr>
      <w:r w:rsidRPr="008E4F84">
        <w:rPr>
          <w:sz w:val="20"/>
        </w:rPr>
        <w:pict>
          <v:rect id="_x0000_i1037" style="width:2in;height:1pt" o:hrpct="0" o:hralign="center" o:hrstd="t" o:hrnoshade="t" o:hr="t" fillcolor="black [3213]" stroked="f"/>
        </w:pict>
      </w:r>
    </w:p>
    <w:p w:rsidR="00BF74A4" w:rsidRPr="008E4F84" w:rsidRDefault="00BF74A4" w:rsidP="00310C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lang w:val="fr-CA"/>
              </w:rPr>
            </w:pPr>
            <w:r w:rsidRPr="008E4F84">
              <w:rPr>
                <w:rStyle w:val="SCCFileNumberChar"/>
                <w:sz w:val="20"/>
                <w:szCs w:val="20"/>
                <w:lang w:val="fr-CA"/>
              </w:rPr>
              <w:t>39665</w:t>
            </w:r>
          </w:p>
        </w:tc>
        <w:tc>
          <w:tcPr>
            <w:tcW w:w="4457" w:type="pct"/>
            <w:gridSpan w:val="3"/>
          </w:tcPr>
          <w:p w:rsidR="00310C1E" w:rsidRPr="008E4F84" w:rsidRDefault="00310C1E" w:rsidP="00310C1E">
            <w:pPr>
              <w:pStyle w:val="SCCLsocParty"/>
              <w:jc w:val="both"/>
              <w:rPr>
                <w:b/>
                <w:sz w:val="20"/>
                <w:szCs w:val="20"/>
              </w:rPr>
            </w:pPr>
            <w:r w:rsidRPr="008E4F84">
              <w:rPr>
                <w:b/>
                <w:sz w:val="20"/>
                <w:szCs w:val="20"/>
              </w:rPr>
              <w:t>Christopher Gero c. Sa Majesté la Reine</w:t>
            </w:r>
          </w:p>
          <w:p w:rsidR="00310C1E" w:rsidRPr="008E4F84" w:rsidRDefault="00310C1E" w:rsidP="00310C1E">
            <w:pPr>
              <w:jc w:val="both"/>
              <w:rPr>
                <w:sz w:val="20"/>
                <w:lang w:val="fr-CA"/>
              </w:rPr>
            </w:pPr>
            <w:r w:rsidRPr="008E4F84">
              <w:rPr>
                <w:sz w:val="20"/>
                <w:lang w:val="fr-CA"/>
              </w:rPr>
              <w:t>(Ont.) (Criminelle) (Sur autorisation)</w:t>
            </w:r>
          </w:p>
        </w:tc>
      </w:tr>
      <w:tr w:rsidR="00310C1E" w:rsidRPr="008E4F84" w:rsidTr="00310C1E">
        <w:tc>
          <w:tcPr>
            <w:tcW w:w="5000" w:type="pct"/>
            <w:gridSpan w:val="4"/>
          </w:tcPr>
          <w:p w:rsidR="00310C1E" w:rsidRPr="008E4F84" w:rsidRDefault="00310C1E" w:rsidP="00310C1E">
            <w:pPr>
              <w:jc w:val="both"/>
              <w:rPr>
                <w:sz w:val="20"/>
                <w:lang w:val="fr-CA"/>
              </w:rPr>
            </w:pPr>
            <w:r w:rsidRPr="008E4F84">
              <w:rPr>
                <w:i/>
                <w:sz w:val="20"/>
                <w:lang w:val="fr-CA"/>
              </w:rPr>
              <w:t>Charte des droits et libertés</w:t>
            </w:r>
            <w:r w:rsidRPr="008E4F84">
              <w:rPr>
                <w:sz w:val="20"/>
                <w:lang w:val="fr-CA"/>
              </w:rPr>
              <w:t xml:space="preserve"> — Droit à la vie, la liberté et la sécurité de la personne — </w:t>
            </w:r>
            <w:r w:rsidRPr="008E4F84">
              <w:rPr>
                <w:iCs/>
                <w:sz w:val="20"/>
                <w:lang w:val="fr-CA"/>
              </w:rPr>
              <w:t>Fouilles, perquisitions et saisies</w:t>
            </w:r>
            <w:r w:rsidRPr="008E4F84">
              <w:rPr>
                <w:sz w:val="20"/>
                <w:lang w:val="fr-CA"/>
              </w:rPr>
              <w:t xml:space="preserve"> — Droit criminel — Mandats de perquisition — La Cour d’appel a</w:t>
            </w:r>
            <w:r w:rsidRPr="008E4F84">
              <w:rPr>
                <w:sz w:val="20"/>
                <w:lang w:val="fr-CA"/>
              </w:rPr>
              <w:noBreakHyphen/>
              <w:t>t</w:t>
            </w:r>
            <w:r w:rsidRPr="008E4F84">
              <w:rPr>
                <w:sz w:val="20"/>
                <w:lang w:val="fr-CA"/>
              </w:rPr>
              <w:noBreakHyphen/>
              <w:t xml:space="preserve">elle commis une erreur en concluant que la procédure à « la sixième étape » qui a été établie, au départ, par la Cour suprême du Canada dans l’arrêt </w:t>
            </w:r>
            <w:r w:rsidRPr="008E4F84">
              <w:rPr>
                <w:i/>
                <w:sz w:val="20"/>
                <w:lang w:val="fr-CA"/>
              </w:rPr>
              <w:t>R. c. Garofoli</w:t>
            </w:r>
            <w:r w:rsidRPr="008E4F84">
              <w:rPr>
                <w:sz w:val="20"/>
                <w:lang w:val="fr-CA"/>
              </w:rPr>
              <w:t xml:space="preserve">, est constitutionnelle et ne viole pas l’art. 7 de la </w:t>
            </w:r>
            <w:r w:rsidRPr="008E4F84">
              <w:rPr>
                <w:i/>
                <w:sz w:val="20"/>
                <w:lang w:val="fr-CA"/>
              </w:rPr>
              <w:t>Charte </w:t>
            </w:r>
            <w:r w:rsidRPr="008E4F84">
              <w:rPr>
                <w:sz w:val="20"/>
                <w:lang w:val="fr-CA"/>
              </w:rPr>
              <w:t>?</w:t>
            </w:r>
            <w:r w:rsidRPr="008E4F84">
              <w:rPr>
                <w:i/>
                <w:sz w:val="20"/>
                <w:lang w:val="fr-CA"/>
              </w:rPr>
              <w:t xml:space="preserve"> — </w:t>
            </w:r>
            <w:r w:rsidRPr="008E4F84">
              <w:rPr>
                <w:sz w:val="20"/>
                <w:lang w:val="fr-CA"/>
              </w:rPr>
              <w:t>L’affaire soulève</w:t>
            </w:r>
            <w:r w:rsidRPr="008E4F84">
              <w:rPr>
                <w:sz w:val="20"/>
                <w:lang w:val="fr-CA"/>
              </w:rPr>
              <w:noBreakHyphen/>
              <w:t>t</w:t>
            </w:r>
            <w:r w:rsidRPr="008E4F84">
              <w:rPr>
                <w:sz w:val="20"/>
                <w:lang w:val="fr-CA"/>
              </w:rPr>
              <w:noBreakHyphen/>
              <w:t xml:space="preserve">elle des questions d’importance pour le public ? — </w:t>
            </w:r>
            <w:r w:rsidRPr="008E4F84">
              <w:rPr>
                <w:i/>
                <w:sz w:val="20"/>
                <w:lang w:val="fr-CA"/>
              </w:rPr>
              <w:t>Charte des droits et libertés</w:t>
            </w:r>
            <w:r w:rsidRPr="008E4F84">
              <w:rPr>
                <w:sz w:val="20"/>
                <w:lang w:val="fr-CA"/>
              </w:rPr>
              <w:t>, art. 7 et 8</w:t>
            </w:r>
          </w:p>
        </w:tc>
      </w:tr>
      <w:tr w:rsidR="00310C1E" w:rsidRPr="008E4F84" w:rsidTr="00310C1E">
        <w:tc>
          <w:tcPr>
            <w:tcW w:w="5000" w:type="pct"/>
            <w:gridSpan w:val="4"/>
          </w:tcPr>
          <w:p w:rsidR="00310C1E" w:rsidRPr="008E4F84" w:rsidRDefault="00310C1E" w:rsidP="00310C1E">
            <w:pPr>
              <w:jc w:val="both"/>
              <w:rPr>
                <w:sz w:val="20"/>
                <w:lang w:val="fr-CA"/>
              </w:rPr>
            </w:pPr>
          </w:p>
        </w:tc>
      </w:tr>
      <w:tr w:rsidR="00310C1E" w:rsidRPr="008E4F84" w:rsidTr="00310C1E">
        <w:tc>
          <w:tcPr>
            <w:tcW w:w="5000" w:type="pct"/>
            <w:gridSpan w:val="4"/>
          </w:tcPr>
          <w:p w:rsidR="00310C1E" w:rsidRPr="008E4F84" w:rsidRDefault="00310C1E" w:rsidP="00310C1E">
            <w:pPr>
              <w:jc w:val="both"/>
              <w:rPr>
                <w:sz w:val="20"/>
                <w:lang w:val="fr-CA"/>
              </w:rPr>
            </w:pPr>
            <w:r w:rsidRPr="008E4F84">
              <w:rPr>
                <w:sz w:val="20"/>
                <w:lang w:val="fr-CA"/>
              </w:rPr>
              <w:t xml:space="preserve">Le service de police de Toronto a été informé par un indicateur confidentiel du fait qu’il avait récemment acheté de la drogue du demandeur, M. Gero, dans son appartement. Un mandat de perquisition a été exécuté. Lors d’une perquisition dans l’appartement du demandeur, la police a trouvé du matériel d’emballage, deux balances digitales, un hachoir électrique couvert de résidus de drogue, une presse à drogue, de la cocaïne, des comprimés d’Oxycocet et de l’argent. Le demandeur a contesté la validité du mandat de perquisition en vertu de l’art. 7 et de l’art. 8 de la </w:t>
            </w:r>
            <w:r w:rsidRPr="008E4F84">
              <w:rPr>
                <w:rStyle w:val="Emphasis"/>
                <w:sz w:val="20"/>
                <w:lang w:val="fr-CA"/>
              </w:rPr>
              <w:t>Charte</w:t>
            </w:r>
            <w:r w:rsidRPr="008E4F84">
              <w:rPr>
                <w:sz w:val="20"/>
                <w:lang w:val="fr-CA"/>
              </w:rPr>
              <w:t xml:space="preserve">. Les tribunaux inférieurs ont tous les deux conclu que la procédure à la sixième étape ne viole pas l’art. 7 ou l’art. 8 de la </w:t>
            </w:r>
            <w:r w:rsidRPr="008E4F84">
              <w:rPr>
                <w:rStyle w:val="Emphasis"/>
                <w:sz w:val="20"/>
                <w:lang w:val="fr-CA"/>
              </w:rPr>
              <w:t>Charte</w:t>
            </w:r>
            <w:r w:rsidRPr="008E4F84">
              <w:rPr>
                <w:sz w:val="20"/>
                <w:lang w:val="fr-CA"/>
              </w:rPr>
              <w:t>. Le demandeur a été déclaré coupable de deux chefs de possession d’une substance désignée en vue d’en faire le trafic et d’un chef de possession de produits de la criminalité. L’appel du demandeur a été rejeté.</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6 novembre 2017</w:t>
            </w:r>
          </w:p>
          <w:p w:rsidR="00310C1E" w:rsidRPr="008E4F84" w:rsidRDefault="00310C1E" w:rsidP="00310C1E">
            <w:pPr>
              <w:jc w:val="both"/>
              <w:rPr>
                <w:sz w:val="20"/>
                <w:lang w:val="fr-CA"/>
              </w:rPr>
            </w:pPr>
            <w:r w:rsidRPr="008E4F84">
              <w:rPr>
                <w:sz w:val="20"/>
                <w:lang w:val="fr-CA"/>
              </w:rPr>
              <w:t xml:space="preserve">Cour supérieure de justice de l’Ontario </w:t>
            </w:r>
          </w:p>
          <w:p w:rsidR="00310C1E" w:rsidRPr="008E4F84" w:rsidRDefault="00310C1E" w:rsidP="00310C1E">
            <w:pPr>
              <w:jc w:val="both"/>
              <w:rPr>
                <w:sz w:val="20"/>
                <w:lang w:val="fr-CA"/>
              </w:rPr>
            </w:pPr>
            <w:r w:rsidRPr="008E4F84">
              <w:rPr>
                <w:sz w:val="20"/>
                <w:lang w:val="fr-CA"/>
              </w:rPr>
              <w:t>(juge Gilmore)</w:t>
            </w:r>
          </w:p>
          <w:p w:rsidR="00310C1E" w:rsidRPr="008E4F84" w:rsidRDefault="00310C1E" w:rsidP="00310C1E">
            <w:pPr>
              <w:jc w:val="both"/>
              <w:rPr>
                <w:sz w:val="20"/>
                <w:lang w:val="fr-CA"/>
              </w:rPr>
            </w:pPr>
            <w:r w:rsidRPr="008E4F84">
              <w:rPr>
                <w:sz w:val="20"/>
                <w:lang w:val="fr-CA"/>
              </w:rPr>
              <w:t>(non publié)</w:t>
            </w:r>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Déclarations de culpabilité prononcées : deux chefs de possession d’une substance désignée en vue d’en faire le trafic et un chef de possession de produits de la criminalité</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27 janvier 2021</w:t>
            </w:r>
          </w:p>
          <w:p w:rsidR="00310C1E" w:rsidRPr="008E4F84" w:rsidRDefault="00310C1E" w:rsidP="00310C1E">
            <w:pPr>
              <w:jc w:val="both"/>
              <w:rPr>
                <w:sz w:val="20"/>
                <w:lang w:val="fr-CA"/>
              </w:rPr>
            </w:pPr>
            <w:r w:rsidRPr="008E4F84">
              <w:rPr>
                <w:sz w:val="20"/>
                <w:lang w:val="fr-CA"/>
              </w:rPr>
              <w:t>Cour d’appel de l’Ontario</w:t>
            </w:r>
          </w:p>
          <w:p w:rsidR="00310C1E" w:rsidRPr="008E4F84" w:rsidRDefault="00310C1E" w:rsidP="00310C1E">
            <w:pPr>
              <w:jc w:val="both"/>
              <w:rPr>
                <w:sz w:val="20"/>
                <w:lang w:val="fr-CA"/>
              </w:rPr>
            </w:pPr>
            <w:r w:rsidRPr="008E4F84">
              <w:rPr>
                <w:sz w:val="20"/>
                <w:lang w:val="fr-CA"/>
              </w:rPr>
              <w:t>(juges Feldman, Tulloch et Hourigan)</w:t>
            </w:r>
          </w:p>
          <w:p w:rsidR="00310C1E" w:rsidRPr="008E4F84" w:rsidRDefault="00310C1E" w:rsidP="00310C1E">
            <w:pPr>
              <w:jc w:val="both"/>
              <w:rPr>
                <w:sz w:val="20"/>
                <w:lang w:val="fr-CA"/>
              </w:rPr>
            </w:pPr>
            <w:r w:rsidRPr="008E4F84">
              <w:rPr>
                <w:sz w:val="20"/>
                <w:lang w:val="fr-CA"/>
              </w:rPr>
              <w:t xml:space="preserve">C64561; </w:t>
            </w:r>
            <w:hyperlink r:id="rId36" w:history="1">
              <w:r w:rsidRPr="008E4F84">
                <w:rPr>
                  <w:rStyle w:val="Hyperlink"/>
                  <w:sz w:val="20"/>
                  <w:lang w:val="fr-CA"/>
                </w:rPr>
                <w:t>2021 ONCA 50</w:t>
              </w:r>
            </w:hyperlink>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Appel rejeté</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23 avril 2021</w:t>
            </w:r>
          </w:p>
          <w:p w:rsidR="00310C1E" w:rsidRPr="008E4F84" w:rsidRDefault="00310C1E" w:rsidP="00310C1E">
            <w:pPr>
              <w:jc w:val="both"/>
              <w:rPr>
                <w:sz w:val="20"/>
                <w:lang w:val="fr-CA"/>
              </w:rPr>
            </w:pPr>
            <w:r w:rsidRPr="008E4F84">
              <w:rPr>
                <w:sz w:val="20"/>
                <w:lang w:val="fr-CA"/>
              </w:rPr>
              <w:t>Cour suprême du Canada</w:t>
            </w:r>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BF74A4">
            <w:pPr>
              <w:jc w:val="both"/>
              <w:rPr>
                <w:sz w:val="20"/>
                <w:lang w:val="fr-CA"/>
              </w:rPr>
            </w:pPr>
            <w:r w:rsidRPr="008E4F84">
              <w:rPr>
                <w:sz w:val="20"/>
                <w:lang w:val="fr-CA"/>
              </w:rPr>
              <w:t>Dépôt de la requête en prorogation du délai de signification et de dépôt de la demande d’autorisation d’appel et de la demande d’autorisation d’appel</w:t>
            </w:r>
          </w:p>
        </w:tc>
      </w:tr>
    </w:tbl>
    <w:p w:rsidR="00310C1E" w:rsidRPr="008E4F84" w:rsidRDefault="00310C1E" w:rsidP="00310C1E">
      <w:pPr>
        <w:jc w:val="both"/>
        <w:rPr>
          <w:sz w:val="20"/>
          <w:lang w:val="fr-CA"/>
        </w:rPr>
      </w:pPr>
    </w:p>
    <w:p w:rsidR="00BF74A4" w:rsidRPr="008E4F84" w:rsidRDefault="008E4F84" w:rsidP="00310C1E">
      <w:pPr>
        <w:jc w:val="both"/>
        <w:rPr>
          <w:sz w:val="20"/>
          <w:lang w:val="fr-CA"/>
        </w:rPr>
      </w:pPr>
      <w:r w:rsidRPr="008E4F84">
        <w:rPr>
          <w:sz w:val="20"/>
        </w:rPr>
        <w:pict>
          <v:rect id="_x0000_i1038" style="width:2in;height:1pt" o:hrpct="0" o:hralign="center" o:hrstd="t" o:hrnoshade="t" o:hr="t" fillcolor="black [3213]" stroked="f"/>
        </w:pict>
      </w:r>
    </w:p>
    <w:p w:rsidR="00F45DCD" w:rsidRPr="008E4F84" w:rsidRDefault="00F45DCD" w:rsidP="00310C1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rPr>
            </w:pPr>
            <w:r w:rsidRPr="008E4F84">
              <w:rPr>
                <w:rStyle w:val="SCCFileNumberChar"/>
                <w:sz w:val="20"/>
                <w:szCs w:val="20"/>
              </w:rPr>
              <w:t>39662</w:t>
            </w:r>
          </w:p>
        </w:tc>
        <w:tc>
          <w:tcPr>
            <w:tcW w:w="4457" w:type="pct"/>
            <w:gridSpan w:val="3"/>
          </w:tcPr>
          <w:p w:rsidR="00310C1E" w:rsidRPr="008E4F84" w:rsidRDefault="00310C1E" w:rsidP="00310C1E">
            <w:pPr>
              <w:pStyle w:val="SCCLsocParty"/>
              <w:jc w:val="both"/>
              <w:rPr>
                <w:b/>
                <w:sz w:val="20"/>
                <w:szCs w:val="20"/>
              </w:rPr>
            </w:pPr>
            <w:r w:rsidRPr="008E4F84">
              <w:rPr>
                <w:b/>
                <w:sz w:val="20"/>
                <w:szCs w:val="20"/>
              </w:rPr>
              <w:t>Apotex Inc. v. Shire LLC, Shire Pharma Canada ULC</w:t>
            </w:r>
          </w:p>
          <w:p w:rsidR="00310C1E" w:rsidRPr="008E4F84" w:rsidRDefault="00310C1E" w:rsidP="00310C1E">
            <w:pPr>
              <w:jc w:val="both"/>
              <w:rPr>
                <w:sz w:val="20"/>
              </w:rPr>
            </w:pPr>
            <w:r w:rsidRPr="008E4F84">
              <w:rPr>
                <w:sz w:val="20"/>
              </w:rPr>
              <w:t>(F</w:t>
            </w:r>
            <w:r w:rsidR="00BF74A4" w:rsidRPr="008E4F84">
              <w:rPr>
                <w:sz w:val="20"/>
              </w:rPr>
              <w:t>.</w:t>
            </w:r>
            <w:r w:rsidRPr="008E4F84">
              <w:rPr>
                <w:sz w:val="20"/>
              </w:rPr>
              <w:t>C</w:t>
            </w:r>
            <w:r w:rsidR="00BF74A4" w:rsidRPr="008E4F84">
              <w:rPr>
                <w:sz w:val="20"/>
              </w:rPr>
              <w:t>.</w:t>
            </w:r>
            <w:r w:rsidRPr="008E4F84">
              <w:rPr>
                <w:sz w:val="20"/>
              </w:rPr>
              <w:t>) (Civil) (By Leave)</w:t>
            </w:r>
          </w:p>
        </w:tc>
      </w:tr>
      <w:tr w:rsidR="00310C1E" w:rsidRPr="008E4F84" w:rsidTr="00310C1E">
        <w:tc>
          <w:tcPr>
            <w:tcW w:w="5000" w:type="pct"/>
            <w:gridSpan w:val="4"/>
          </w:tcPr>
          <w:p w:rsidR="00310C1E" w:rsidRPr="008E4F84" w:rsidRDefault="00310C1E" w:rsidP="00310C1E">
            <w:pPr>
              <w:jc w:val="both"/>
              <w:rPr>
                <w:sz w:val="20"/>
              </w:rPr>
            </w:pPr>
            <w:r w:rsidRPr="008E4F84">
              <w:rPr>
                <w:sz w:val="20"/>
              </w:rPr>
              <w:t xml:space="preserve">Intellectual property — Patents — Medicines — Validity of respondents’ patent for a chemical compound used in the treatment ADHD that was resistant to abuse challenged by applicant on basis of, </w:t>
            </w:r>
            <w:r w:rsidRPr="008E4F84">
              <w:rPr>
                <w:i/>
                <w:sz w:val="20"/>
              </w:rPr>
              <w:t>inter alia</w:t>
            </w:r>
            <w:r w:rsidRPr="008E4F84">
              <w:rPr>
                <w:sz w:val="20"/>
              </w:rPr>
              <w:t>, obviousness — What is the proper approach to assessment of obviousness in Canadian patent law? — What is the proper end point for the obviousness analysis?</w:t>
            </w:r>
          </w:p>
        </w:tc>
      </w:tr>
      <w:tr w:rsidR="00310C1E" w:rsidRPr="008E4F84" w:rsidTr="00310C1E">
        <w:tc>
          <w:tcPr>
            <w:tcW w:w="5000" w:type="pct"/>
            <w:gridSpan w:val="4"/>
          </w:tcPr>
          <w:p w:rsidR="00310C1E" w:rsidRPr="008E4F84" w:rsidRDefault="00310C1E" w:rsidP="00310C1E">
            <w:pPr>
              <w:jc w:val="both"/>
              <w:rPr>
                <w:sz w:val="20"/>
              </w:rPr>
            </w:pPr>
          </w:p>
        </w:tc>
      </w:tr>
      <w:tr w:rsidR="00310C1E" w:rsidRPr="008E4F84" w:rsidTr="00310C1E">
        <w:tc>
          <w:tcPr>
            <w:tcW w:w="5000" w:type="pct"/>
            <w:gridSpan w:val="4"/>
          </w:tcPr>
          <w:p w:rsidR="00310C1E" w:rsidRPr="008E4F84" w:rsidRDefault="00310C1E" w:rsidP="00310C1E">
            <w:pPr>
              <w:jc w:val="both"/>
              <w:rPr>
                <w:sz w:val="20"/>
              </w:rPr>
            </w:pPr>
            <w:r w:rsidRPr="008E4F84">
              <w:rPr>
                <w:sz w:val="20"/>
              </w:rPr>
              <w:t xml:space="preserve">The Shire respondents (“Shire”) own the 646 Patent entitled “Abuse Resistant Amphetamine Compounds” related to the compound lisdexamfetamine (“LDX”), its compounds, methods of delivery and use in the treatment of Attention Deficit and Hyperactivity Disorder. An important drawback to both immediate and sustained release formulations of amphetamine is their potential for abuse. The 646 Patent addressed the need for an abuse-resistant dosage of amphetamine that was therapeutically effective. Apotex Inc., a generic drug manufacturer, served Notices of Allegation on Shire, seeking to obtain a Notice of Compliance from the Minister of Health to market its generic version of LDX under the </w:t>
            </w:r>
            <w:r w:rsidRPr="008E4F84">
              <w:rPr>
                <w:i/>
                <w:sz w:val="20"/>
              </w:rPr>
              <w:t>Patented Medicines (Notice of Compliance Regulations</w:t>
            </w:r>
            <w:r w:rsidRPr="008E4F84">
              <w:rPr>
                <w:sz w:val="20"/>
              </w:rPr>
              <w:t>, SOR/93</w:t>
            </w:r>
            <w:r w:rsidRPr="008E4F84">
              <w:rPr>
                <w:sz w:val="20"/>
              </w:rPr>
              <w:noBreakHyphen/>
              <w:t xml:space="preserve">133. Shire responded by filing prohibition applications under s. 6(1) of the </w:t>
            </w:r>
            <w:r w:rsidRPr="008E4F84">
              <w:rPr>
                <w:i/>
                <w:sz w:val="20"/>
              </w:rPr>
              <w:t>Regulations</w:t>
            </w:r>
            <w:r w:rsidRPr="008E4F84">
              <w:rPr>
                <w:sz w:val="20"/>
              </w:rPr>
              <w:t xml:space="preserve">, to prevent the Minister from issuing a NOC to Apotex until after the expiry of its 646 Patent. Apotex also commenced an impeachment action under s. 60 of the </w:t>
            </w:r>
            <w:r w:rsidRPr="008E4F84">
              <w:rPr>
                <w:i/>
                <w:sz w:val="20"/>
              </w:rPr>
              <w:t>Patent Act</w:t>
            </w:r>
            <w:r w:rsidRPr="008E4F84">
              <w:rPr>
                <w:sz w:val="20"/>
              </w:rPr>
              <w:t>, R.S.C. 1985, c. P</w:t>
            </w:r>
            <w:r w:rsidRPr="008E4F84">
              <w:rPr>
                <w:sz w:val="20"/>
              </w:rPr>
              <w:noBreakHyphen/>
              <w:t>4 for declarations that the 646 Patent was invalid on the grounds of anticipation, obviousness, overbreadth or insufficiency of specification. The Federal Court dismissed the impeachment action and granted the order of prohibition sought by Shire. These decisions were upheld on appeal.</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June 29, 2018</w:t>
            </w:r>
          </w:p>
          <w:p w:rsidR="00310C1E" w:rsidRPr="008E4F84" w:rsidRDefault="00310C1E" w:rsidP="00310C1E">
            <w:pPr>
              <w:jc w:val="both"/>
              <w:rPr>
                <w:sz w:val="20"/>
              </w:rPr>
            </w:pPr>
            <w:r w:rsidRPr="008E4F84">
              <w:rPr>
                <w:sz w:val="20"/>
              </w:rPr>
              <w:t>Federal Court</w:t>
            </w:r>
          </w:p>
          <w:p w:rsidR="00310C1E" w:rsidRPr="008E4F84" w:rsidRDefault="00310C1E" w:rsidP="00310C1E">
            <w:pPr>
              <w:jc w:val="both"/>
              <w:rPr>
                <w:sz w:val="20"/>
              </w:rPr>
            </w:pPr>
            <w:r w:rsidRPr="008E4F84">
              <w:rPr>
                <w:sz w:val="20"/>
              </w:rPr>
              <w:t>(Fothergill J.)</w:t>
            </w:r>
          </w:p>
          <w:p w:rsidR="00310C1E" w:rsidRPr="008E4F84" w:rsidRDefault="008E4F84" w:rsidP="00310C1E">
            <w:pPr>
              <w:jc w:val="both"/>
              <w:rPr>
                <w:sz w:val="20"/>
              </w:rPr>
            </w:pPr>
            <w:hyperlink r:id="rId37" w:history="1">
              <w:r w:rsidR="00310C1E" w:rsidRPr="008E4F84">
                <w:rPr>
                  <w:rStyle w:val="Hyperlink"/>
                  <w:sz w:val="20"/>
                </w:rPr>
                <w:t>2018 FC 637</w:t>
              </w:r>
            </w:hyperlink>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Claims of 646 Patent held not to be invalid; Minister prohibited from issuing a NOC to Apotex for its generic product</w:t>
            </w:r>
          </w:p>
          <w:p w:rsidR="00310C1E" w:rsidRPr="008E4F84" w:rsidRDefault="00310C1E" w:rsidP="00310C1E">
            <w:pPr>
              <w:jc w:val="both"/>
              <w:rPr>
                <w:sz w:val="20"/>
              </w:rPr>
            </w:pP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March 11, 2021</w:t>
            </w:r>
          </w:p>
          <w:p w:rsidR="00310C1E" w:rsidRPr="008E4F84" w:rsidRDefault="00310C1E" w:rsidP="00310C1E">
            <w:pPr>
              <w:jc w:val="both"/>
              <w:rPr>
                <w:sz w:val="20"/>
              </w:rPr>
            </w:pPr>
            <w:r w:rsidRPr="008E4F84">
              <w:rPr>
                <w:sz w:val="20"/>
              </w:rPr>
              <w:t>Federal Court of Appeal</w:t>
            </w:r>
          </w:p>
          <w:p w:rsidR="00310C1E" w:rsidRPr="008E4F84" w:rsidRDefault="00310C1E" w:rsidP="00310C1E">
            <w:pPr>
              <w:jc w:val="both"/>
              <w:rPr>
                <w:sz w:val="20"/>
              </w:rPr>
            </w:pPr>
            <w:r w:rsidRPr="008E4F84">
              <w:rPr>
                <w:sz w:val="20"/>
              </w:rPr>
              <w:t>(Rennie, De Montigny and Gleason JJ.A.)</w:t>
            </w:r>
          </w:p>
          <w:p w:rsidR="00310C1E" w:rsidRPr="008E4F84" w:rsidRDefault="008E4F84" w:rsidP="00310C1E">
            <w:pPr>
              <w:jc w:val="both"/>
              <w:rPr>
                <w:sz w:val="20"/>
              </w:rPr>
            </w:pPr>
            <w:hyperlink r:id="rId38" w:history="1">
              <w:r w:rsidR="00310C1E" w:rsidRPr="008E4F84">
                <w:rPr>
                  <w:rStyle w:val="Hyperlink"/>
                  <w:sz w:val="20"/>
                </w:rPr>
                <w:t>2021 FCA 52</w:t>
              </w:r>
            </w:hyperlink>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Apotex’s appeals dismissed</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May 10, 2021</w:t>
            </w:r>
          </w:p>
          <w:p w:rsidR="00310C1E" w:rsidRPr="008E4F84" w:rsidRDefault="00310C1E" w:rsidP="00310C1E">
            <w:pPr>
              <w:jc w:val="both"/>
              <w:rPr>
                <w:sz w:val="20"/>
              </w:rPr>
            </w:pPr>
            <w:r w:rsidRPr="008E4F84">
              <w:rPr>
                <w:sz w:val="20"/>
              </w:rPr>
              <w:t>Supreme Court of Canada</w:t>
            </w: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Application for leave to appeal filed</w:t>
            </w:r>
          </w:p>
          <w:p w:rsidR="00310C1E" w:rsidRPr="008E4F84" w:rsidRDefault="00310C1E" w:rsidP="00310C1E">
            <w:pPr>
              <w:jc w:val="both"/>
              <w:rPr>
                <w:sz w:val="20"/>
              </w:rPr>
            </w:pPr>
          </w:p>
        </w:tc>
      </w:tr>
    </w:tbl>
    <w:p w:rsidR="00310C1E" w:rsidRPr="008E4F84" w:rsidRDefault="00310C1E" w:rsidP="00310C1E">
      <w:pPr>
        <w:jc w:val="both"/>
        <w:rPr>
          <w:sz w:val="20"/>
        </w:rPr>
      </w:pPr>
    </w:p>
    <w:p w:rsidR="00BF74A4" w:rsidRPr="008E4F84" w:rsidRDefault="008E4F84" w:rsidP="00310C1E">
      <w:pPr>
        <w:jc w:val="both"/>
        <w:rPr>
          <w:sz w:val="20"/>
        </w:rPr>
      </w:pPr>
      <w:r w:rsidRPr="008E4F84">
        <w:rPr>
          <w:sz w:val="20"/>
        </w:rPr>
        <w:pict>
          <v:rect id="_x0000_i1039" style="width:2in;height:1pt" o:hrpct="0" o:hralign="center" o:hrstd="t" o:hrnoshade="t" o:hr="t" fillcolor="black [3213]" stroked="f"/>
        </w:pict>
      </w:r>
    </w:p>
    <w:p w:rsidR="00BF74A4" w:rsidRPr="008E4F84" w:rsidRDefault="00BF74A4" w:rsidP="00310C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lang w:val="fr-CA"/>
              </w:rPr>
            </w:pPr>
            <w:r w:rsidRPr="008E4F84">
              <w:rPr>
                <w:rStyle w:val="SCCFileNumberChar"/>
                <w:sz w:val="20"/>
                <w:szCs w:val="20"/>
                <w:lang w:val="fr-CA"/>
              </w:rPr>
              <w:t>39662</w:t>
            </w:r>
          </w:p>
        </w:tc>
        <w:tc>
          <w:tcPr>
            <w:tcW w:w="4457" w:type="pct"/>
            <w:gridSpan w:val="3"/>
          </w:tcPr>
          <w:p w:rsidR="00310C1E" w:rsidRPr="008E4F84" w:rsidRDefault="00310C1E" w:rsidP="00310C1E">
            <w:pPr>
              <w:pStyle w:val="SCCLsocParty"/>
              <w:jc w:val="both"/>
              <w:rPr>
                <w:b/>
                <w:sz w:val="20"/>
                <w:szCs w:val="20"/>
              </w:rPr>
            </w:pPr>
            <w:r w:rsidRPr="008E4F84">
              <w:rPr>
                <w:b/>
                <w:sz w:val="20"/>
                <w:szCs w:val="20"/>
              </w:rPr>
              <w:t>Apotex Inc. c. Shire LLC, Shire Pharma Canada ULC</w:t>
            </w:r>
          </w:p>
          <w:p w:rsidR="00310C1E" w:rsidRPr="008E4F84" w:rsidRDefault="00310C1E" w:rsidP="00310C1E">
            <w:pPr>
              <w:jc w:val="both"/>
              <w:rPr>
                <w:sz w:val="20"/>
                <w:lang w:val="fr-CA"/>
              </w:rPr>
            </w:pPr>
            <w:r w:rsidRPr="008E4F84">
              <w:rPr>
                <w:sz w:val="20"/>
                <w:lang w:val="fr-CA"/>
              </w:rPr>
              <w:t>(C</w:t>
            </w:r>
            <w:r w:rsidR="00BF74A4" w:rsidRPr="008E4F84">
              <w:rPr>
                <w:sz w:val="20"/>
                <w:lang w:val="fr-CA"/>
              </w:rPr>
              <w:t>.</w:t>
            </w:r>
            <w:r w:rsidRPr="008E4F84">
              <w:rPr>
                <w:sz w:val="20"/>
                <w:lang w:val="fr-CA"/>
              </w:rPr>
              <w:t>F</w:t>
            </w:r>
            <w:r w:rsidR="00BF74A4" w:rsidRPr="008E4F84">
              <w:rPr>
                <w:sz w:val="20"/>
                <w:lang w:val="fr-CA"/>
              </w:rPr>
              <w:t>.</w:t>
            </w:r>
            <w:r w:rsidRPr="008E4F84">
              <w:rPr>
                <w:sz w:val="20"/>
                <w:lang w:val="fr-CA"/>
              </w:rPr>
              <w:t>) (Civile) (Sur autorisation)</w:t>
            </w:r>
          </w:p>
        </w:tc>
      </w:tr>
      <w:tr w:rsidR="00310C1E" w:rsidRPr="008E4F84" w:rsidTr="00310C1E">
        <w:tc>
          <w:tcPr>
            <w:tcW w:w="5000" w:type="pct"/>
            <w:gridSpan w:val="4"/>
          </w:tcPr>
          <w:p w:rsidR="00310C1E" w:rsidRPr="008E4F84" w:rsidRDefault="00310C1E" w:rsidP="00310C1E">
            <w:pPr>
              <w:jc w:val="both"/>
              <w:rPr>
                <w:sz w:val="20"/>
                <w:lang w:val="fr-CA"/>
              </w:rPr>
            </w:pPr>
            <w:r w:rsidRPr="008E4F84">
              <w:rPr>
                <w:sz w:val="20"/>
                <w:lang w:val="fr-CA"/>
              </w:rPr>
              <w:t>Propriété intellectuelle — Brevets — Médicaments — La validité du brevet des intimées pour un composé chimique utilisé dans le traitement du TDAH qui était résistant à l’abus a été contestée par la demanderesse pour cause, entre autres, d’évidence — Quelle approche convient-il d’adopter dans le cadre de l’analyse quant à l’évidence en droit canadien des brevets ? — Quel est le point d’arrivée approprié dans le cadre de l’analyse quant à l’évidence ?</w:t>
            </w:r>
          </w:p>
        </w:tc>
      </w:tr>
      <w:tr w:rsidR="00310C1E" w:rsidRPr="008E4F84" w:rsidTr="00310C1E">
        <w:tc>
          <w:tcPr>
            <w:tcW w:w="5000" w:type="pct"/>
            <w:gridSpan w:val="4"/>
          </w:tcPr>
          <w:p w:rsidR="00310C1E" w:rsidRPr="008E4F84" w:rsidRDefault="00310C1E" w:rsidP="00310C1E">
            <w:pPr>
              <w:jc w:val="both"/>
              <w:rPr>
                <w:sz w:val="20"/>
                <w:lang w:val="fr-CA"/>
              </w:rPr>
            </w:pPr>
          </w:p>
        </w:tc>
      </w:tr>
      <w:tr w:rsidR="00310C1E" w:rsidRPr="008E4F84" w:rsidTr="00310C1E">
        <w:tc>
          <w:tcPr>
            <w:tcW w:w="5000" w:type="pct"/>
            <w:gridSpan w:val="4"/>
          </w:tcPr>
          <w:p w:rsidR="00310C1E" w:rsidRPr="008E4F84" w:rsidRDefault="00310C1E" w:rsidP="00310C1E">
            <w:pPr>
              <w:jc w:val="both"/>
              <w:rPr>
                <w:sz w:val="20"/>
                <w:lang w:val="fr-FR"/>
              </w:rPr>
            </w:pPr>
            <w:r w:rsidRPr="008E4F84">
              <w:rPr>
                <w:sz w:val="20"/>
                <w:lang w:val="fr-CA"/>
              </w:rPr>
              <w:t xml:space="preserve">Les intimés Shire (« Shire ») sont titulaires du brevet 646 intitulé « Composés </w:t>
            </w:r>
            <w:r w:rsidRPr="008E4F84">
              <w:rPr>
                <w:sz w:val="20"/>
                <w:lang w:val="fr-FR"/>
              </w:rPr>
              <w:t>d’amphétamine résistant aux abus »</w:t>
            </w:r>
            <w:r w:rsidRPr="008E4F84">
              <w:rPr>
                <w:sz w:val="20"/>
                <w:lang w:val="fr-CA"/>
              </w:rPr>
              <w:t xml:space="preserve"> recouvrant le composé lisdexamfetamine (« LDX »), ses composés, ses modes d’administration et ses utilisations pour traiter le </w:t>
            </w:r>
            <w:r w:rsidRPr="008E4F84">
              <w:rPr>
                <w:sz w:val="20"/>
                <w:lang w:val="fr-FR"/>
              </w:rPr>
              <w:t>trouble déficitaire de l’attention avec hyperactivité</w:t>
            </w:r>
            <w:r w:rsidRPr="008E4F84">
              <w:rPr>
                <w:sz w:val="20"/>
                <w:lang w:val="fr-CA"/>
              </w:rPr>
              <w:t xml:space="preserve">. </w:t>
            </w:r>
            <w:r w:rsidRPr="008E4F84">
              <w:rPr>
                <w:sz w:val="20"/>
                <w:lang w:val="fr-FR"/>
              </w:rPr>
              <w:t>Le risque d’abus associé aux formulations à libération immédiate et à libération soutenue représente l’un des inconvénients majeurs de celles</w:t>
            </w:r>
            <w:r w:rsidRPr="008E4F84">
              <w:rPr>
                <w:sz w:val="20"/>
                <w:lang w:val="fr-FR"/>
              </w:rPr>
              <w:noBreakHyphen/>
              <w:t>ci.</w:t>
            </w:r>
            <w:r w:rsidRPr="008E4F84">
              <w:rPr>
                <w:sz w:val="20"/>
                <w:lang w:val="fr-CA"/>
              </w:rPr>
              <w:t xml:space="preserve"> Le brevet 646 a comblé le besoin d’un dosage d’amphétamine résistant à l’abus qui est efficace sur le plan thérapeutique. Apotex Inc., un fabricant de médicaments génériques, a signifié des avis d’allégation à Shire visant à obtenir un avis de conformité du ministre de la Santé pour commercialiser sa version générique de la LDX en vertu du </w:t>
            </w:r>
            <w:r w:rsidRPr="008E4F84">
              <w:rPr>
                <w:i/>
                <w:sz w:val="20"/>
                <w:lang w:val="fr-CA"/>
              </w:rPr>
              <w:t>Règlement sur les médicaments brevetés (avis de conformité)</w:t>
            </w:r>
            <w:r w:rsidRPr="008E4F84">
              <w:rPr>
                <w:sz w:val="20"/>
                <w:lang w:val="fr-CA"/>
              </w:rPr>
              <w:t xml:space="preserve">, DORS/93-133. Shire a répondu en présentant des </w:t>
            </w:r>
            <w:r w:rsidRPr="008E4F84">
              <w:rPr>
                <w:sz w:val="20"/>
                <w:lang w:val="fr-FR"/>
              </w:rPr>
              <w:t>requêtes en interdiction en vertu du par.</w:t>
            </w:r>
            <w:r w:rsidRPr="008E4F84">
              <w:rPr>
                <w:sz w:val="20"/>
                <w:lang w:val="fr-CA"/>
              </w:rPr>
              <w:t xml:space="preserve"> 6(1) du </w:t>
            </w:r>
            <w:r w:rsidRPr="008E4F84">
              <w:rPr>
                <w:i/>
                <w:sz w:val="20"/>
                <w:lang w:val="fr-CA"/>
              </w:rPr>
              <w:t>Règlement</w:t>
            </w:r>
            <w:r w:rsidRPr="008E4F84">
              <w:rPr>
                <w:sz w:val="20"/>
                <w:lang w:val="fr-CA"/>
              </w:rPr>
              <w:t xml:space="preserve">, afin </w:t>
            </w:r>
            <w:r w:rsidRPr="008E4F84">
              <w:rPr>
                <w:sz w:val="20"/>
                <w:lang w:val="fr-FR"/>
              </w:rPr>
              <w:t xml:space="preserve">d’interdire au ministre de délivrer un avis de conformité à </w:t>
            </w:r>
            <w:r w:rsidRPr="008E4F84">
              <w:rPr>
                <w:sz w:val="20"/>
                <w:lang w:val="fr-CA"/>
              </w:rPr>
              <w:t xml:space="preserve">Apotex jusqu’à ce que son brevet 646 soit expiré. Apotex a également intenté une action en invalidation en vertu de l’art. 60 de la </w:t>
            </w:r>
            <w:r w:rsidRPr="008E4F84">
              <w:rPr>
                <w:i/>
                <w:sz w:val="20"/>
                <w:lang w:val="fr-CA"/>
              </w:rPr>
              <w:t>Loi sur les brevets</w:t>
            </w:r>
            <w:r w:rsidRPr="008E4F84">
              <w:rPr>
                <w:sz w:val="20"/>
                <w:lang w:val="fr-CA"/>
              </w:rPr>
              <w:t>, L.R.C. 1985, c. P</w:t>
            </w:r>
            <w:r w:rsidRPr="008E4F84">
              <w:rPr>
                <w:sz w:val="20"/>
                <w:lang w:val="fr-CA"/>
              </w:rPr>
              <w:noBreakHyphen/>
              <w:t xml:space="preserve">4, en vue d’obtenir une déclaration portant que le brevet 646 était invalide pour cause d’antériorité, d’évidence, </w:t>
            </w:r>
            <w:r w:rsidRPr="008E4F84">
              <w:rPr>
                <w:sz w:val="20"/>
                <w:lang w:val="fr-FR"/>
              </w:rPr>
              <w:t>de portée excessive ou d’insuffisance du mémoire descriptif. La Cour fédérale a rejeté l’action en invalidation et a rendu l’ordonnance</w:t>
            </w:r>
            <w:r w:rsidRPr="008E4F84">
              <w:rPr>
                <w:sz w:val="20"/>
                <w:lang w:val="fr-CA"/>
              </w:rPr>
              <w:t xml:space="preserve"> d’interdiction demandée par Shire. Ces décisions ont été confirmées en appel.</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29 juin 2018</w:t>
            </w:r>
          </w:p>
          <w:p w:rsidR="00310C1E" w:rsidRPr="008E4F84" w:rsidRDefault="00310C1E" w:rsidP="00310C1E">
            <w:pPr>
              <w:jc w:val="both"/>
              <w:rPr>
                <w:sz w:val="20"/>
                <w:lang w:val="fr-CA"/>
              </w:rPr>
            </w:pPr>
            <w:r w:rsidRPr="008E4F84">
              <w:rPr>
                <w:sz w:val="20"/>
                <w:lang w:val="fr-CA"/>
              </w:rPr>
              <w:t>Cour fédérale</w:t>
            </w:r>
          </w:p>
          <w:p w:rsidR="00310C1E" w:rsidRPr="008E4F84" w:rsidRDefault="00310C1E" w:rsidP="00310C1E">
            <w:pPr>
              <w:jc w:val="both"/>
              <w:rPr>
                <w:sz w:val="20"/>
                <w:lang w:val="fr-CA"/>
              </w:rPr>
            </w:pPr>
            <w:r w:rsidRPr="008E4F84">
              <w:rPr>
                <w:sz w:val="20"/>
                <w:lang w:val="fr-CA"/>
              </w:rPr>
              <w:t>(juge Fothergill)</w:t>
            </w:r>
          </w:p>
          <w:p w:rsidR="00310C1E" w:rsidRPr="008E4F84" w:rsidRDefault="008E4F84" w:rsidP="00310C1E">
            <w:pPr>
              <w:jc w:val="both"/>
              <w:rPr>
                <w:sz w:val="20"/>
                <w:lang w:val="fr-CA"/>
              </w:rPr>
            </w:pPr>
            <w:hyperlink r:id="rId39" w:history="1">
              <w:r w:rsidR="00310C1E" w:rsidRPr="008E4F84">
                <w:rPr>
                  <w:rStyle w:val="Hyperlink"/>
                  <w:sz w:val="20"/>
                  <w:lang w:val="fr-CA"/>
                </w:rPr>
                <w:t>2018 CF 637</w:t>
              </w:r>
            </w:hyperlink>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Les revendications du brevet 646 ne sont pas jugées invalides; il est interdit au ministre de délivrer un avis de conformité à Apotex concernant son produit générique.</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11 mars 2021</w:t>
            </w:r>
          </w:p>
          <w:p w:rsidR="00310C1E" w:rsidRPr="008E4F84" w:rsidRDefault="00310C1E" w:rsidP="00310C1E">
            <w:pPr>
              <w:jc w:val="both"/>
              <w:rPr>
                <w:sz w:val="20"/>
                <w:lang w:val="fr-CA"/>
              </w:rPr>
            </w:pPr>
            <w:r w:rsidRPr="008E4F84">
              <w:rPr>
                <w:sz w:val="20"/>
                <w:lang w:val="fr-CA"/>
              </w:rPr>
              <w:t>Cour d’appel fédérale</w:t>
            </w:r>
          </w:p>
          <w:p w:rsidR="00310C1E" w:rsidRPr="008E4F84" w:rsidRDefault="00310C1E" w:rsidP="00310C1E">
            <w:pPr>
              <w:jc w:val="both"/>
              <w:rPr>
                <w:sz w:val="20"/>
                <w:lang w:val="fr-CA"/>
              </w:rPr>
            </w:pPr>
            <w:r w:rsidRPr="008E4F84">
              <w:rPr>
                <w:sz w:val="20"/>
                <w:lang w:val="fr-CA"/>
              </w:rPr>
              <w:t>(juges Rennie, De Montigny et Gleason)</w:t>
            </w:r>
          </w:p>
          <w:p w:rsidR="00310C1E" w:rsidRPr="008E4F84" w:rsidRDefault="008E4F84" w:rsidP="00310C1E">
            <w:pPr>
              <w:jc w:val="both"/>
              <w:rPr>
                <w:sz w:val="20"/>
                <w:lang w:val="fr-CA"/>
              </w:rPr>
            </w:pPr>
            <w:hyperlink r:id="rId40" w:history="1">
              <w:r w:rsidR="00310C1E" w:rsidRPr="008E4F84">
                <w:rPr>
                  <w:rStyle w:val="Hyperlink"/>
                  <w:sz w:val="20"/>
                  <w:lang w:val="fr-CA"/>
                </w:rPr>
                <w:t>2021 FCA 52</w:t>
              </w:r>
            </w:hyperlink>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Les appels d’Apotex sont rejetés.</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10 mai 2021</w:t>
            </w:r>
          </w:p>
          <w:p w:rsidR="00310C1E" w:rsidRPr="008E4F84" w:rsidRDefault="00310C1E" w:rsidP="00310C1E">
            <w:pPr>
              <w:jc w:val="both"/>
              <w:rPr>
                <w:sz w:val="20"/>
                <w:lang w:val="fr-CA"/>
              </w:rPr>
            </w:pPr>
            <w:r w:rsidRPr="008E4F84">
              <w:rPr>
                <w:sz w:val="20"/>
                <w:lang w:val="fr-CA"/>
              </w:rPr>
              <w:t>Cour suprême du Canada</w:t>
            </w: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La demande d’autorisation d’appel est présentée.</w:t>
            </w:r>
          </w:p>
          <w:p w:rsidR="00310C1E" w:rsidRPr="008E4F84" w:rsidRDefault="00310C1E" w:rsidP="00310C1E">
            <w:pPr>
              <w:jc w:val="both"/>
              <w:rPr>
                <w:sz w:val="20"/>
                <w:lang w:val="fr-CA"/>
              </w:rPr>
            </w:pPr>
          </w:p>
        </w:tc>
      </w:tr>
    </w:tbl>
    <w:p w:rsidR="00310C1E" w:rsidRPr="008E4F84" w:rsidRDefault="00310C1E" w:rsidP="00310C1E">
      <w:pPr>
        <w:jc w:val="both"/>
        <w:rPr>
          <w:sz w:val="20"/>
          <w:lang w:val="fr-CA"/>
        </w:rPr>
      </w:pPr>
    </w:p>
    <w:p w:rsidR="00310C1E" w:rsidRPr="008E4F84" w:rsidRDefault="008E4F84" w:rsidP="00310C1E">
      <w:pPr>
        <w:widowControl w:val="0"/>
        <w:tabs>
          <w:tab w:val="left" w:pos="3840"/>
        </w:tabs>
        <w:jc w:val="both"/>
        <w:rPr>
          <w:sz w:val="20"/>
          <w:lang w:val="fr-CA"/>
        </w:rPr>
      </w:pPr>
      <w:r w:rsidRPr="008E4F84">
        <w:rPr>
          <w:sz w:val="20"/>
        </w:rPr>
        <w:pict>
          <v:rect id="_x0000_i1040" style="width:2in;height:1pt" o:hrpct="0" o:hralign="center" o:hrstd="t" o:hrnoshade="t" o:hr="t" fillcolor="black [3213]" stroked="f"/>
        </w:pict>
      </w:r>
    </w:p>
    <w:p w:rsidR="00310C1E" w:rsidRPr="008E4F84" w:rsidRDefault="00310C1E" w:rsidP="00310C1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rPr>
            </w:pPr>
            <w:r w:rsidRPr="008E4F84">
              <w:rPr>
                <w:rStyle w:val="SCCFileNumberChar"/>
                <w:sz w:val="20"/>
                <w:szCs w:val="20"/>
              </w:rPr>
              <w:t>39729</w:t>
            </w:r>
          </w:p>
        </w:tc>
        <w:tc>
          <w:tcPr>
            <w:tcW w:w="4457" w:type="pct"/>
            <w:gridSpan w:val="3"/>
          </w:tcPr>
          <w:p w:rsidR="00310C1E" w:rsidRPr="008E4F84" w:rsidRDefault="00310C1E" w:rsidP="00310C1E">
            <w:pPr>
              <w:pStyle w:val="SCCLsocParty"/>
              <w:jc w:val="both"/>
              <w:rPr>
                <w:b/>
                <w:sz w:val="20"/>
                <w:szCs w:val="20"/>
                <w:lang w:val="en-US"/>
              </w:rPr>
            </w:pPr>
            <w:r w:rsidRPr="008E4F84">
              <w:rPr>
                <w:b/>
                <w:sz w:val="20"/>
                <w:szCs w:val="20"/>
                <w:lang w:val="en-US"/>
              </w:rPr>
              <w:t>M.L.R. and F.A.M., parents of “Infant A” v. Her Majesty the Queen as represented by the Ministry of Education, Coquitlam Board of Education of School District #43, BC Attorney General and BC Human Rights Tribunal, Coquitlam School District # 43</w:t>
            </w:r>
          </w:p>
          <w:p w:rsidR="00310C1E" w:rsidRPr="008E4F84" w:rsidRDefault="00310C1E" w:rsidP="00310C1E">
            <w:pPr>
              <w:jc w:val="both"/>
              <w:rPr>
                <w:sz w:val="20"/>
              </w:rPr>
            </w:pPr>
            <w:r w:rsidRPr="008E4F84">
              <w:rPr>
                <w:sz w:val="20"/>
              </w:rPr>
              <w:t>(B.C.) (Civil) (By Leave)</w:t>
            </w:r>
          </w:p>
        </w:tc>
      </w:tr>
      <w:tr w:rsidR="00310C1E" w:rsidRPr="008E4F84" w:rsidTr="00310C1E">
        <w:tc>
          <w:tcPr>
            <w:tcW w:w="5000" w:type="pct"/>
            <w:gridSpan w:val="4"/>
          </w:tcPr>
          <w:p w:rsidR="00310C1E" w:rsidRPr="008E4F84" w:rsidRDefault="00310C1E" w:rsidP="00310C1E">
            <w:pPr>
              <w:jc w:val="both"/>
              <w:rPr>
                <w:sz w:val="20"/>
              </w:rPr>
            </w:pPr>
            <w:r w:rsidRPr="008E4F84">
              <w:rPr>
                <w:sz w:val="20"/>
              </w:rPr>
              <w:t>Civil procedure — Time — Extension of time — Whether the Court of Appeal gave sufficient weight to the materials filed in support of the application for an extension of time — Whether the Court of Appeal ignored the evidence detailing the reasons why the notice of appeal was not within the 30</w:t>
            </w:r>
            <w:r w:rsidRPr="008E4F84">
              <w:rPr>
                <w:sz w:val="20"/>
              </w:rPr>
              <w:noBreakHyphen/>
              <w:t xml:space="preserve">day limitation period — Whether the Court of Appeal relied exclusively on the respondents’ view of matters — If so, whether it erred in doing so — Whether the Court of Appeal based its decision or order on an erroneous finding of fact that it made in a perverse or capricious manner or without regard for the material before it — Whether the Court of Appeal’s finding of the applicants’ appeal had no merit — Whether the Court of Appeal decision fails to differentiate the human rights matter from the </w:t>
            </w:r>
            <w:r w:rsidRPr="008E4F84">
              <w:rPr>
                <w:i/>
                <w:sz w:val="20"/>
              </w:rPr>
              <w:t>Charter</w:t>
            </w:r>
            <w:r w:rsidRPr="008E4F84">
              <w:rPr>
                <w:sz w:val="20"/>
              </w:rPr>
              <w:t xml:space="preserve"> claim — Whether the Court of Appeal failed to assess the merits of the grounds for appeal or whether there was an arguable case to be made.</w:t>
            </w:r>
          </w:p>
        </w:tc>
      </w:tr>
      <w:tr w:rsidR="00310C1E" w:rsidRPr="008E4F84" w:rsidTr="00310C1E">
        <w:tc>
          <w:tcPr>
            <w:tcW w:w="5000" w:type="pct"/>
            <w:gridSpan w:val="4"/>
          </w:tcPr>
          <w:p w:rsidR="00310C1E" w:rsidRPr="008E4F84" w:rsidRDefault="00310C1E" w:rsidP="00310C1E">
            <w:pPr>
              <w:jc w:val="both"/>
              <w:rPr>
                <w:sz w:val="20"/>
              </w:rPr>
            </w:pPr>
          </w:p>
          <w:p w:rsidR="00310C1E" w:rsidRPr="008E4F84" w:rsidRDefault="00310C1E" w:rsidP="00310C1E">
            <w:pPr>
              <w:jc w:val="both"/>
              <w:rPr>
                <w:sz w:val="20"/>
              </w:rPr>
            </w:pPr>
            <w:r w:rsidRPr="008E4F84">
              <w:rPr>
                <w:sz w:val="20"/>
              </w:rPr>
              <w:t>The applicants applied for leave to have Dr. Ayangma, a non</w:t>
            </w:r>
            <w:r w:rsidRPr="008E4F84">
              <w:rPr>
                <w:sz w:val="20"/>
              </w:rPr>
              <w:noBreakHyphen/>
              <w:t>lawyer, to represent them in two legal proceedings they had brought before the Supreme Court of British Columbia.</w:t>
            </w:r>
          </w:p>
          <w:p w:rsidR="00310C1E" w:rsidRPr="008E4F84" w:rsidRDefault="00310C1E" w:rsidP="00310C1E">
            <w:pPr>
              <w:jc w:val="both"/>
              <w:rPr>
                <w:sz w:val="20"/>
              </w:rPr>
            </w:pPr>
          </w:p>
          <w:p w:rsidR="00310C1E" w:rsidRPr="008E4F84" w:rsidRDefault="00310C1E" w:rsidP="00310C1E">
            <w:pPr>
              <w:jc w:val="both"/>
              <w:rPr>
                <w:sz w:val="20"/>
              </w:rPr>
            </w:pPr>
            <w:r w:rsidRPr="008E4F84">
              <w:rPr>
                <w:sz w:val="20"/>
              </w:rPr>
              <w:t>Although Holmes J. acknowledged that the court had discretion to allow representation by a non-lawyer based on the court’s assessment of the interests of justice, she found that Dr. Ayangma’s participation in this appeal was not likely to further the interests of justice. The applicants applied for an extension of time to file a motion for leave to appeal. The motion was filed approximately 18 months late. The extension of time was denied. Dr. Ayangma was granted leave to present oral arguments on appeal. On the assumption that the decision was open to appeal, the Court of Appeal dismissed the appeal.</w:t>
            </w:r>
          </w:p>
        </w:tc>
      </w:tr>
      <w:tr w:rsidR="00310C1E" w:rsidRPr="008E4F84" w:rsidTr="00310C1E">
        <w:tc>
          <w:tcPr>
            <w:tcW w:w="5000" w:type="pct"/>
            <w:gridSpan w:val="4"/>
          </w:tcPr>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April 27, 2018</w:t>
            </w:r>
          </w:p>
          <w:p w:rsidR="00310C1E" w:rsidRPr="008E4F84" w:rsidRDefault="00310C1E" w:rsidP="00310C1E">
            <w:pPr>
              <w:jc w:val="both"/>
              <w:rPr>
                <w:sz w:val="20"/>
              </w:rPr>
            </w:pPr>
            <w:r w:rsidRPr="008E4F84">
              <w:rPr>
                <w:sz w:val="20"/>
              </w:rPr>
              <w:t>Supreme Court of British Columbia</w:t>
            </w:r>
          </w:p>
          <w:p w:rsidR="00310C1E" w:rsidRPr="008E4F84" w:rsidRDefault="00310C1E" w:rsidP="00310C1E">
            <w:pPr>
              <w:jc w:val="both"/>
              <w:rPr>
                <w:rStyle w:val="Hyperlink"/>
                <w:sz w:val="20"/>
              </w:rPr>
            </w:pPr>
            <w:r w:rsidRPr="008E4F84">
              <w:rPr>
                <w:sz w:val="20"/>
              </w:rPr>
              <w:t>(Holmes J.)</w:t>
            </w:r>
            <w:r w:rsidRPr="008E4F84">
              <w:rPr>
                <w:sz w:val="20"/>
              </w:rPr>
              <w:fldChar w:fldCharType="begin"/>
            </w:r>
            <w:r w:rsidRPr="008E4F84">
              <w:rPr>
                <w:sz w:val="20"/>
              </w:rPr>
              <w:instrText xml:space="preserve"> HYPERLINK "https://www.canlii.org/en/bc/bcsc/doc/2018/2018bcsc980/2018bcsc980.html?autocompleteStr=2018%20bcsc%20980&amp;autocompletePos=1" </w:instrText>
            </w:r>
            <w:r w:rsidRPr="008E4F84">
              <w:rPr>
                <w:sz w:val="20"/>
              </w:rPr>
              <w:fldChar w:fldCharType="separate"/>
            </w:r>
          </w:p>
          <w:p w:rsidR="00310C1E" w:rsidRPr="008E4F84" w:rsidRDefault="00310C1E" w:rsidP="00310C1E">
            <w:pPr>
              <w:jc w:val="both"/>
              <w:rPr>
                <w:sz w:val="20"/>
              </w:rPr>
            </w:pPr>
            <w:r w:rsidRPr="008E4F84">
              <w:rPr>
                <w:rStyle w:val="Hyperlink"/>
                <w:sz w:val="20"/>
              </w:rPr>
              <w:t>2018 BCSC 980</w:t>
            </w:r>
            <w:r w:rsidRPr="008E4F84">
              <w:rPr>
                <w:sz w:val="20"/>
              </w:rPr>
              <w:fldChar w:fldCharType="end"/>
            </w:r>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tabs>
                <w:tab w:val="left" w:pos="1461"/>
              </w:tabs>
              <w:jc w:val="both"/>
              <w:rPr>
                <w:sz w:val="20"/>
              </w:rPr>
            </w:pPr>
            <w:r w:rsidRPr="008E4F84">
              <w:rPr>
                <w:sz w:val="20"/>
              </w:rPr>
              <w:t>Application to allow non-lawyer to represent the applicants denied</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February 21, 2020</w:t>
            </w:r>
          </w:p>
          <w:p w:rsidR="00310C1E" w:rsidRPr="008E4F84" w:rsidRDefault="00310C1E" w:rsidP="00310C1E">
            <w:pPr>
              <w:jc w:val="both"/>
              <w:rPr>
                <w:sz w:val="20"/>
              </w:rPr>
            </w:pPr>
            <w:r w:rsidRPr="008E4F84">
              <w:rPr>
                <w:sz w:val="20"/>
              </w:rPr>
              <w:t xml:space="preserve">Court of Appeal for British Columbia </w:t>
            </w:r>
          </w:p>
          <w:p w:rsidR="00310C1E" w:rsidRPr="008E4F84" w:rsidRDefault="00310C1E" w:rsidP="00310C1E">
            <w:pPr>
              <w:jc w:val="both"/>
              <w:rPr>
                <w:sz w:val="20"/>
              </w:rPr>
            </w:pPr>
            <w:r w:rsidRPr="008E4F84">
              <w:rPr>
                <w:sz w:val="20"/>
              </w:rPr>
              <w:t>(Vancouver)</w:t>
            </w:r>
          </w:p>
          <w:p w:rsidR="00310C1E" w:rsidRPr="008E4F84" w:rsidRDefault="00310C1E" w:rsidP="00310C1E">
            <w:pPr>
              <w:jc w:val="both"/>
              <w:rPr>
                <w:sz w:val="20"/>
              </w:rPr>
            </w:pPr>
            <w:r w:rsidRPr="008E4F84">
              <w:rPr>
                <w:sz w:val="20"/>
              </w:rPr>
              <w:t>(Fenlon J.A.)</w:t>
            </w:r>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Extension of time to file application for leave to appeal decision of Holmes J. dismissed</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November 9, 2020</w:t>
            </w:r>
          </w:p>
          <w:p w:rsidR="00310C1E" w:rsidRPr="008E4F84" w:rsidRDefault="00310C1E" w:rsidP="00310C1E">
            <w:pPr>
              <w:jc w:val="both"/>
              <w:rPr>
                <w:sz w:val="20"/>
              </w:rPr>
            </w:pPr>
            <w:r w:rsidRPr="008E4F84">
              <w:rPr>
                <w:sz w:val="20"/>
              </w:rPr>
              <w:t xml:space="preserve">Court of Appeal for British Columbia </w:t>
            </w:r>
          </w:p>
          <w:p w:rsidR="00310C1E" w:rsidRPr="008E4F84" w:rsidRDefault="00310C1E" w:rsidP="00310C1E">
            <w:pPr>
              <w:jc w:val="both"/>
              <w:rPr>
                <w:sz w:val="20"/>
                <w:lang w:val="fr-CA"/>
              </w:rPr>
            </w:pPr>
            <w:r w:rsidRPr="008E4F84">
              <w:rPr>
                <w:sz w:val="20"/>
                <w:lang w:val="fr-CA"/>
              </w:rPr>
              <w:t>(Vancouver)</w:t>
            </w:r>
          </w:p>
          <w:p w:rsidR="00310C1E" w:rsidRPr="008E4F84" w:rsidRDefault="00310C1E" w:rsidP="00310C1E">
            <w:pPr>
              <w:jc w:val="both"/>
              <w:rPr>
                <w:sz w:val="20"/>
                <w:lang w:val="fr-CA"/>
              </w:rPr>
            </w:pPr>
            <w:r w:rsidRPr="008E4F84">
              <w:rPr>
                <w:sz w:val="20"/>
                <w:lang w:val="fr-CA"/>
              </w:rPr>
              <w:t>(Groberman, Harris, Grauer JJ.A.)</w:t>
            </w:r>
          </w:p>
          <w:p w:rsidR="00310C1E" w:rsidRPr="008E4F84" w:rsidRDefault="008E4F84" w:rsidP="00310C1E">
            <w:pPr>
              <w:jc w:val="both"/>
              <w:rPr>
                <w:rStyle w:val="Hyperlink"/>
                <w:color w:val="auto"/>
                <w:sz w:val="20"/>
                <w:u w:val="none"/>
                <w:lang w:val="en"/>
              </w:rPr>
            </w:pPr>
            <w:hyperlink r:id="rId41" w:history="1">
              <w:r w:rsidR="00310C1E" w:rsidRPr="008E4F84">
                <w:rPr>
                  <w:rStyle w:val="Hyperlink"/>
                  <w:sz w:val="20"/>
                  <w:lang w:val="en"/>
                </w:rPr>
                <w:t>2020 BCCA 324</w:t>
              </w:r>
            </w:hyperlink>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Leave to have representative deliver oral submissions on behalf of applicants granted; application to vary order of chambers judge dismissed</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January 6, 2021</w:t>
            </w:r>
          </w:p>
          <w:p w:rsidR="00310C1E" w:rsidRPr="008E4F84" w:rsidRDefault="00310C1E" w:rsidP="00310C1E">
            <w:pPr>
              <w:jc w:val="both"/>
              <w:rPr>
                <w:sz w:val="20"/>
              </w:rPr>
            </w:pPr>
            <w:r w:rsidRPr="008E4F84">
              <w:rPr>
                <w:sz w:val="20"/>
              </w:rPr>
              <w:t>Supreme Court of Canada</w:t>
            </w:r>
          </w:p>
          <w:p w:rsidR="00310C1E" w:rsidRPr="008E4F84" w:rsidRDefault="00310C1E" w:rsidP="00310C1E">
            <w:pPr>
              <w:jc w:val="both"/>
              <w:rPr>
                <w:sz w:val="20"/>
              </w:rPr>
            </w:pP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Application for leave to appeal filed</w:t>
            </w:r>
          </w:p>
          <w:p w:rsidR="00310C1E" w:rsidRPr="008E4F84" w:rsidRDefault="00310C1E" w:rsidP="00310C1E">
            <w:pPr>
              <w:jc w:val="both"/>
              <w:rPr>
                <w:sz w:val="20"/>
              </w:rPr>
            </w:pPr>
          </w:p>
        </w:tc>
      </w:tr>
      <w:tr w:rsidR="00310C1E" w:rsidRPr="008E4F84" w:rsidTr="00310C1E">
        <w:tc>
          <w:tcPr>
            <w:tcW w:w="2427" w:type="pct"/>
            <w:gridSpan w:val="2"/>
          </w:tcPr>
          <w:p w:rsidR="00310C1E" w:rsidRPr="008E4F84" w:rsidRDefault="00310C1E" w:rsidP="00310C1E">
            <w:pPr>
              <w:jc w:val="both"/>
              <w:rPr>
                <w:sz w:val="20"/>
              </w:rPr>
            </w:pPr>
            <w:r w:rsidRPr="008E4F84">
              <w:rPr>
                <w:sz w:val="20"/>
              </w:rPr>
              <w:t>August 6, 2021</w:t>
            </w:r>
          </w:p>
          <w:p w:rsidR="00310C1E" w:rsidRPr="008E4F84" w:rsidRDefault="00310C1E" w:rsidP="00310C1E">
            <w:pPr>
              <w:jc w:val="both"/>
              <w:rPr>
                <w:sz w:val="20"/>
              </w:rPr>
            </w:pPr>
            <w:r w:rsidRPr="008E4F84">
              <w:rPr>
                <w:sz w:val="20"/>
              </w:rPr>
              <w:t>Supreme Court of Canada</w:t>
            </w:r>
          </w:p>
        </w:tc>
        <w:tc>
          <w:tcPr>
            <w:tcW w:w="243" w:type="pct"/>
          </w:tcPr>
          <w:p w:rsidR="00310C1E" w:rsidRPr="008E4F84" w:rsidRDefault="00310C1E" w:rsidP="00310C1E">
            <w:pPr>
              <w:jc w:val="both"/>
              <w:rPr>
                <w:sz w:val="20"/>
              </w:rPr>
            </w:pPr>
          </w:p>
        </w:tc>
        <w:tc>
          <w:tcPr>
            <w:tcW w:w="2330" w:type="pct"/>
          </w:tcPr>
          <w:p w:rsidR="00310C1E" w:rsidRPr="008E4F84" w:rsidRDefault="00310C1E" w:rsidP="00310C1E">
            <w:pPr>
              <w:jc w:val="both"/>
              <w:rPr>
                <w:sz w:val="20"/>
              </w:rPr>
            </w:pPr>
            <w:r w:rsidRPr="008E4F84">
              <w:rPr>
                <w:sz w:val="20"/>
              </w:rPr>
              <w:t>Motion for stay filed</w:t>
            </w:r>
          </w:p>
          <w:p w:rsidR="00310C1E" w:rsidRPr="008E4F84" w:rsidRDefault="00310C1E" w:rsidP="00310C1E">
            <w:pPr>
              <w:jc w:val="both"/>
              <w:rPr>
                <w:sz w:val="20"/>
              </w:rPr>
            </w:pPr>
          </w:p>
        </w:tc>
      </w:tr>
    </w:tbl>
    <w:p w:rsidR="00310C1E" w:rsidRPr="008E4F84" w:rsidRDefault="00310C1E" w:rsidP="00310C1E">
      <w:pPr>
        <w:jc w:val="both"/>
        <w:rPr>
          <w:sz w:val="20"/>
        </w:rPr>
      </w:pPr>
    </w:p>
    <w:p w:rsidR="00BF74A4" w:rsidRPr="008E4F84" w:rsidRDefault="008E4F84" w:rsidP="00310C1E">
      <w:pPr>
        <w:jc w:val="both"/>
        <w:rPr>
          <w:sz w:val="20"/>
        </w:rPr>
      </w:pPr>
      <w:r w:rsidRPr="008E4F84">
        <w:rPr>
          <w:sz w:val="20"/>
        </w:rPr>
        <w:pict>
          <v:rect id="_x0000_i1041" style="width:2in;height:1pt" o:hrpct="0" o:hralign="center" o:hrstd="t" o:hrnoshade="t" o:hr="t" fillcolor="black [3213]" stroked="f"/>
        </w:pict>
      </w:r>
    </w:p>
    <w:p w:rsidR="00BF74A4" w:rsidRPr="008E4F84" w:rsidRDefault="00BF74A4" w:rsidP="00310C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C1E" w:rsidRPr="008E4F84" w:rsidTr="00310C1E">
        <w:tc>
          <w:tcPr>
            <w:tcW w:w="543" w:type="pct"/>
          </w:tcPr>
          <w:p w:rsidR="00310C1E" w:rsidRPr="008E4F84" w:rsidRDefault="00310C1E" w:rsidP="00310C1E">
            <w:pPr>
              <w:jc w:val="both"/>
              <w:rPr>
                <w:sz w:val="20"/>
                <w:lang w:val="fr-CA"/>
              </w:rPr>
            </w:pPr>
            <w:r w:rsidRPr="008E4F84">
              <w:rPr>
                <w:rStyle w:val="SCCFileNumberChar"/>
                <w:sz w:val="20"/>
                <w:szCs w:val="20"/>
                <w:lang w:val="fr-CA"/>
              </w:rPr>
              <w:t>39729</w:t>
            </w:r>
          </w:p>
        </w:tc>
        <w:tc>
          <w:tcPr>
            <w:tcW w:w="4457" w:type="pct"/>
            <w:gridSpan w:val="3"/>
          </w:tcPr>
          <w:p w:rsidR="00310C1E" w:rsidRPr="008E4F84" w:rsidRDefault="00310C1E" w:rsidP="00310C1E">
            <w:pPr>
              <w:pStyle w:val="SCCLsocParty"/>
              <w:jc w:val="both"/>
              <w:rPr>
                <w:b/>
                <w:sz w:val="20"/>
                <w:szCs w:val="20"/>
              </w:rPr>
            </w:pPr>
            <w:r w:rsidRPr="008E4F84">
              <w:rPr>
                <w:b/>
                <w:sz w:val="20"/>
                <w:szCs w:val="20"/>
              </w:rPr>
              <w:t>M.L.R. et F.A.M., parents du « mineur A » c. Sa Majesté la Reine représentée par le ministère de l’Éducation, Coquitlam Board of Education of School District #43, Procureur générale de la Colombie-Britannique et BC Human Rights Tribunal, Coquitlam School District # 43</w:t>
            </w:r>
          </w:p>
          <w:p w:rsidR="00310C1E" w:rsidRPr="008E4F84" w:rsidRDefault="00310C1E" w:rsidP="00310C1E">
            <w:pPr>
              <w:jc w:val="both"/>
              <w:rPr>
                <w:sz w:val="20"/>
                <w:lang w:val="fr-CA"/>
              </w:rPr>
            </w:pPr>
            <w:r w:rsidRPr="008E4F84">
              <w:rPr>
                <w:sz w:val="20"/>
                <w:lang w:val="fr-CA"/>
              </w:rPr>
              <w:t>(C.</w:t>
            </w:r>
            <w:r w:rsidRPr="008E4F84">
              <w:rPr>
                <w:sz w:val="20"/>
                <w:lang w:val="fr-CA"/>
              </w:rPr>
              <w:noBreakHyphen/>
            </w:r>
            <w:r w:rsidR="00BF74A4" w:rsidRPr="008E4F84">
              <w:rPr>
                <w:sz w:val="20"/>
                <w:lang w:val="fr-CA"/>
              </w:rPr>
              <w:t>B.) (Civile) (Sur autorisation)</w:t>
            </w:r>
          </w:p>
        </w:tc>
      </w:tr>
      <w:tr w:rsidR="00310C1E" w:rsidRPr="008E4F84" w:rsidTr="00310C1E">
        <w:tc>
          <w:tcPr>
            <w:tcW w:w="5000" w:type="pct"/>
            <w:gridSpan w:val="4"/>
          </w:tcPr>
          <w:p w:rsidR="00310C1E" w:rsidRPr="008E4F84" w:rsidRDefault="00310C1E" w:rsidP="00310C1E">
            <w:pPr>
              <w:jc w:val="both"/>
              <w:rPr>
                <w:sz w:val="20"/>
                <w:lang w:val="fr-CA"/>
              </w:rPr>
            </w:pPr>
            <w:r w:rsidRPr="008E4F84">
              <w:rPr>
                <w:sz w:val="20"/>
                <w:lang w:val="fr-CA"/>
              </w:rPr>
              <w:t>Procédure civile — Délai — Prorogation de délai — La Cour d’appel a</w:t>
            </w:r>
            <w:r w:rsidRPr="008E4F84">
              <w:rPr>
                <w:sz w:val="20"/>
                <w:lang w:val="fr-CA"/>
              </w:rPr>
              <w:noBreakHyphen/>
              <w:t>t</w:t>
            </w:r>
            <w:r w:rsidRPr="008E4F84">
              <w:rPr>
                <w:sz w:val="20"/>
                <w:lang w:val="fr-CA"/>
              </w:rPr>
              <w:noBreakHyphen/>
              <w:t>elle accordé suffisamment d’importance aux documents déposés à l’appui d’une demande de prorogation de délai? — La Cour d’appel a</w:t>
            </w:r>
            <w:r w:rsidRPr="008E4F84">
              <w:rPr>
                <w:sz w:val="20"/>
                <w:lang w:val="fr-CA"/>
              </w:rPr>
              <w:noBreakHyphen/>
              <w:t>t</w:t>
            </w:r>
            <w:r w:rsidRPr="008E4F84">
              <w:rPr>
                <w:sz w:val="20"/>
                <w:lang w:val="fr-CA"/>
              </w:rPr>
              <w:noBreakHyphen/>
              <w:t>elle négligé d’examiner les éléments de preuve précisant les raisons pour lesquelles l’avis d’appel n’a pas été présenté dans le délai de 30 jours? — La Cour d’appel s’est</w:t>
            </w:r>
            <w:r w:rsidRPr="008E4F84">
              <w:rPr>
                <w:sz w:val="20"/>
                <w:lang w:val="fr-CA"/>
              </w:rPr>
              <w:noBreakHyphen/>
              <w:t>elle uniquement appuyée sur le point de vue des intimés à l’égard des questions? — Dans l’affirmative, a</w:t>
            </w:r>
            <w:r w:rsidRPr="008E4F84">
              <w:rPr>
                <w:sz w:val="20"/>
                <w:lang w:val="fr-CA"/>
              </w:rPr>
              <w:noBreakHyphen/>
              <w:t>t</w:t>
            </w:r>
            <w:r w:rsidRPr="008E4F84">
              <w:rPr>
                <w:sz w:val="20"/>
                <w:lang w:val="fr-CA"/>
              </w:rPr>
              <w:noBreakHyphen/>
              <w:t>elle, ce faisant, commis une erreur? — La Cour d’appel a</w:t>
            </w:r>
            <w:r w:rsidRPr="008E4F84">
              <w:rPr>
                <w:sz w:val="20"/>
                <w:lang w:val="fr-CA"/>
              </w:rPr>
              <w:noBreakHyphen/>
              <w:t>t</w:t>
            </w:r>
            <w:r w:rsidRPr="008E4F84">
              <w:rPr>
                <w:sz w:val="20"/>
                <w:lang w:val="fr-CA"/>
              </w:rPr>
              <w:noBreakHyphen/>
              <w:t>elle fondé sa décision ou son ordonnance sur des conclusions de fait erronées qu’elle aurait tirées de façon abusive ou arbitraire ou sans égard aux documents dont elle disposait? — Les conclusions tirées par la Cour d’appel lors de l’appel des demandeurs étaient</w:t>
            </w:r>
            <w:r w:rsidRPr="008E4F84">
              <w:rPr>
                <w:sz w:val="20"/>
                <w:lang w:val="fr-CA"/>
              </w:rPr>
              <w:noBreakHyphen/>
              <w:t>elles sans fondement? — La décision de la Cour d’appel omet</w:t>
            </w:r>
            <w:r w:rsidRPr="008E4F84">
              <w:rPr>
                <w:sz w:val="20"/>
                <w:lang w:val="fr-CA"/>
              </w:rPr>
              <w:noBreakHyphen/>
              <w:t xml:space="preserve">elle de tenir compte des différences entre la question relative aux droits de la personne et la demande fondée sur la </w:t>
            </w:r>
            <w:r w:rsidRPr="008E4F84">
              <w:rPr>
                <w:i/>
                <w:sz w:val="20"/>
                <w:lang w:val="fr-CA"/>
              </w:rPr>
              <w:t>Charte</w:t>
            </w:r>
            <w:r w:rsidRPr="008E4F84">
              <w:rPr>
                <w:sz w:val="20"/>
                <w:lang w:val="fr-CA"/>
              </w:rPr>
              <w:t>? — La Cour d’appel a</w:t>
            </w:r>
            <w:r w:rsidRPr="008E4F84">
              <w:rPr>
                <w:sz w:val="20"/>
                <w:lang w:val="fr-CA"/>
              </w:rPr>
              <w:noBreakHyphen/>
              <w:t>t</w:t>
            </w:r>
            <w:r w:rsidRPr="008E4F84">
              <w:rPr>
                <w:sz w:val="20"/>
                <w:lang w:val="fr-CA"/>
              </w:rPr>
              <w:noBreakHyphen/>
              <w:t>elle omis d’évaluer le bien-fondé des motifs d’appel ou la question de savoir si la preuve invoquée était défendable?</w:t>
            </w:r>
          </w:p>
        </w:tc>
      </w:tr>
      <w:tr w:rsidR="00310C1E" w:rsidRPr="008E4F84" w:rsidTr="00310C1E">
        <w:tc>
          <w:tcPr>
            <w:tcW w:w="5000" w:type="pct"/>
            <w:gridSpan w:val="4"/>
          </w:tcPr>
          <w:p w:rsidR="00310C1E" w:rsidRPr="008E4F84" w:rsidRDefault="00310C1E" w:rsidP="00310C1E">
            <w:pPr>
              <w:jc w:val="both"/>
              <w:rPr>
                <w:sz w:val="20"/>
                <w:lang w:val="fr-CA"/>
              </w:rPr>
            </w:pPr>
          </w:p>
          <w:p w:rsidR="00310C1E" w:rsidRPr="008E4F84" w:rsidRDefault="00310C1E" w:rsidP="00310C1E">
            <w:pPr>
              <w:jc w:val="both"/>
              <w:rPr>
                <w:sz w:val="20"/>
                <w:lang w:val="fr-CA"/>
              </w:rPr>
            </w:pPr>
            <w:r w:rsidRPr="008E4F84">
              <w:rPr>
                <w:sz w:val="20"/>
                <w:lang w:val="fr-CA"/>
              </w:rPr>
              <w:t>Les demandeurs ont présenté une demande d’autorisation en vue de se faire représenter par le Dr Ayangma, qui n’est pas un avocat, dans le cadre de deux instances judiciaires qu’ils avaient intentées devant la Cour suprême de la Colombie</w:t>
            </w:r>
            <w:r w:rsidRPr="008E4F84">
              <w:rPr>
                <w:sz w:val="20"/>
                <w:lang w:val="fr-CA"/>
              </w:rPr>
              <w:noBreakHyphen/>
              <w:t>Britannique.</w:t>
            </w:r>
          </w:p>
          <w:p w:rsidR="00310C1E" w:rsidRPr="008E4F84" w:rsidRDefault="00310C1E" w:rsidP="00310C1E">
            <w:pPr>
              <w:jc w:val="both"/>
              <w:rPr>
                <w:sz w:val="20"/>
                <w:lang w:val="fr-CA"/>
              </w:rPr>
            </w:pPr>
          </w:p>
          <w:p w:rsidR="00310C1E" w:rsidRPr="008E4F84" w:rsidRDefault="00310C1E" w:rsidP="00310C1E">
            <w:pPr>
              <w:jc w:val="both"/>
              <w:rPr>
                <w:sz w:val="20"/>
                <w:lang w:val="fr-CA"/>
              </w:rPr>
            </w:pPr>
            <w:r w:rsidRPr="008E4F84">
              <w:rPr>
                <w:sz w:val="20"/>
                <w:lang w:val="fr-CA"/>
              </w:rPr>
              <w:t>Même si la juge Holmes a reconnu le fait que le tribunal a le pouvoir discrétionnaire de permettre la représentation par une personne qui n’est pas un avocat en se fondant sur l’évaluation des intérêts de la justice, elle a conclu que la participation du Dr Ayangma dans l’appel en question ne permettrait pas vraisemblablement de servir l’intérêt de la justice. Les demandeurs ont présenté une demande de prorogation de délai pour déposer une requête en autorisation d’appel. La requête a été déposée environ 18 mois en retard. La prorogation de délai a été refusée. Le Dr Ayangma a été autorisé à présenter une plaidoirie orale en appel. En présumant que la décision pouvait faire l’objet d’un appel, la Cour d’appel a rejeté l’appel.</w:t>
            </w:r>
          </w:p>
        </w:tc>
      </w:tr>
      <w:tr w:rsidR="00310C1E" w:rsidRPr="008E4F84" w:rsidTr="00310C1E">
        <w:tc>
          <w:tcPr>
            <w:tcW w:w="5000" w:type="pct"/>
            <w:gridSpan w:val="4"/>
          </w:tcPr>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27 avril 2018</w:t>
            </w:r>
          </w:p>
          <w:p w:rsidR="00310C1E" w:rsidRPr="008E4F84" w:rsidRDefault="00310C1E" w:rsidP="00310C1E">
            <w:pPr>
              <w:jc w:val="both"/>
              <w:rPr>
                <w:sz w:val="20"/>
                <w:lang w:val="fr-CA"/>
              </w:rPr>
            </w:pPr>
            <w:r w:rsidRPr="008E4F84">
              <w:rPr>
                <w:sz w:val="20"/>
                <w:lang w:val="fr-CA"/>
              </w:rPr>
              <w:t>Cour suprême de la Colombie</w:t>
            </w:r>
            <w:r w:rsidRPr="008E4F84">
              <w:rPr>
                <w:sz w:val="20"/>
                <w:lang w:val="fr-CA"/>
              </w:rPr>
              <w:noBreakHyphen/>
              <w:t>Britannique</w:t>
            </w:r>
          </w:p>
          <w:p w:rsidR="00310C1E" w:rsidRPr="008E4F84" w:rsidRDefault="00310C1E" w:rsidP="00310C1E">
            <w:pPr>
              <w:jc w:val="both"/>
              <w:rPr>
                <w:rStyle w:val="Hyperlink"/>
                <w:sz w:val="20"/>
                <w:lang w:val="fr-CA"/>
              </w:rPr>
            </w:pPr>
            <w:r w:rsidRPr="008E4F84">
              <w:rPr>
                <w:sz w:val="20"/>
                <w:lang w:val="fr-CA"/>
              </w:rPr>
              <w:t>(juge Holmes)</w:t>
            </w:r>
            <w:r w:rsidRPr="008E4F84">
              <w:rPr>
                <w:sz w:val="20"/>
                <w:lang w:val="fr-CA"/>
              </w:rPr>
              <w:fldChar w:fldCharType="begin"/>
            </w:r>
            <w:r w:rsidRPr="008E4F84">
              <w:rPr>
                <w:sz w:val="20"/>
                <w:lang w:val="fr-CA"/>
              </w:rPr>
              <w:instrText xml:space="preserve"> HYPERLINK "https://www.canlii.org/en/bc/bcsc/doc/2018/2018bcsc980/2018bcsc980.html?autocompleteStr=2018%20bcsc%20980&amp;autocompletePos=1" </w:instrText>
            </w:r>
            <w:r w:rsidRPr="008E4F84">
              <w:rPr>
                <w:sz w:val="20"/>
                <w:lang w:val="fr-CA"/>
              </w:rPr>
              <w:fldChar w:fldCharType="separate"/>
            </w:r>
          </w:p>
          <w:p w:rsidR="00310C1E" w:rsidRPr="008E4F84" w:rsidRDefault="00310C1E" w:rsidP="00310C1E">
            <w:pPr>
              <w:jc w:val="both"/>
              <w:rPr>
                <w:sz w:val="20"/>
                <w:lang w:val="fr-CA"/>
              </w:rPr>
            </w:pPr>
            <w:r w:rsidRPr="008E4F84">
              <w:rPr>
                <w:rStyle w:val="Hyperlink"/>
                <w:sz w:val="20"/>
                <w:lang w:val="fr-CA"/>
              </w:rPr>
              <w:t>2018 BCSC 980</w:t>
            </w:r>
            <w:r w:rsidRPr="008E4F84">
              <w:rPr>
                <w:sz w:val="20"/>
                <w:lang w:val="fr-CA"/>
              </w:rPr>
              <w:fldChar w:fldCharType="end"/>
            </w:r>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tabs>
                <w:tab w:val="left" w:pos="1461"/>
              </w:tabs>
              <w:jc w:val="both"/>
              <w:rPr>
                <w:sz w:val="20"/>
                <w:lang w:val="fr-CA"/>
              </w:rPr>
            </w:pPr>
            <w:r w:rsidRPr="008E4F84">
              <w:rPr>
                <w:sz w:val="20"/>
                <w:lang w:val="fr-CA"/>
              </w:rPr>
              <w:t xml:space="preserve">La demande en vue d’autoriser une personne qui n’est pas un avocat à représenter les demandeurs est </w:t>
            </w:r>
            <w:proofErr w:type="gramStart"/>
            <w:r w:rsidRPr="008E4F84">
              <w:rPr>
                <w:sz w:val="20"/>
                <w:lang w:val="fr-CA"/>
              </w:rPr>
              <w:t>rejetée</w:t>
            </w:r>
            <w:proofErr w:type="gramEnd"/>
            <w:r w:rsidRPr="008E4F84">
              <w:rPr>
                <w:sz w:val="20"/>
                <w:lang w:val="fr-CA"/>
              </w:rPr>
              <w:t>.</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21 février 2020</w:t>
            </w:r>
          </w:p>
          <w:p w:rsidR="00310C1E" w:rsidRPr="008E4F84" w:rsidRDefault="00310C1E" w:rsidP="00310C1E">
            <w:pPr>
              <w:jc w:val="both"/>
              <w:rPr>
                <w:sz w:val="20"/>
                <w:lang w:val="fr-CA"/>
              </w:rPr>
            </w:pPr>
            <w:r w:rsidRPr="008E4F84">
              <w:rPr>
                <w:sz w:val="20"/>
                <w:lang w:val="fr-CA"/>
              </w:rPr>
              <w:t>Cour d’appel de la Colombie</w:t>
            </w:r>
            <w:r w:rsidRPr="008E4F84">
              <w:rPr>
                <w:sz w:val="20"/>
                <w:lang w:val="fr-CA"/>
              </w:rPr>
              <w:noBreakHyphen/>
              <w:t>Britannique</w:t>
            </w:r>
          </w:p>
          <w:p w:rsidR="00310C1E" w:rsidRPr="008E4F84" w:rsidRDefault="00310C1E" w:rsidP="00310C1E">
            <w:pPr>
              <w:jc w:val="both"/>
              <w:rPr>
                <w:sz w:val="20"/>
                <w:lang w:val="fr-CA"/>
              </w:rPr>
            </w:pPr>
            <w:r w:rsidRPr="008E4F84">
              <w:rPr>
                <w:sz w:val="20"/>
                <w:lang w:val="fr-CA"/>
              </w:rPr>
              <w:t>(Vancouver)</w:t>
            </w:r>
          </w:p>
          <w:p w:rsidR="00310C1E" w:rsidRPr="008E4F84" w:rsidRDefault="00310C1E" w:rsidP="00310C1E">
            <w:pPr>
              <w:jc w:val="both"/>
              <w:rPr>
                <w:sz w:val="20"/>
                <w:lang w:val="fr-CA"/>
              </w:rPr>
            </w:pPr>
            <w:r w:rsidRPr="008E4F84">
              <w:rPr>
                <w:sz w:val="20"/>
                <w:lang w:val="fr-CA"/>
              </w:rPr>
              <w:t>(juge Fenlon)</w:t>
            </w:r>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La demande de prorogation de délai pour déposer une requête en autorisation d’appel de la décision de la juge Holmes est rejetée.</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9 novembre 2020</w:t>
            </w:r>
          </w:p>
          <w:p w:rsidR="00310C1E" w:rsidRPr="008E4F84" w:rsidRDefault="00310C1E" w:rsidP="00310C1E">
            <w:pPr>
              <w:jc w:val="both"/>
              <w:rPr>
                <w:sz w:val="20"/>
                <w:lang w:val="fr-CA"/>
              </w:rPr>
            </w:pPr>
            <w:r w:rsidRPr="008E4F84">
              <w:rPr>
                <w:sz w:val="20"/>
                <w:lang w:val="fr-CA"/>
              </w:rPr>
              <w:t>Cour d’appel de la Colombie</w:t>
            </w:r>
            <w:r w:rsidRPr="008E4F84">
              <w:rPr>
                <w:sz w:val="20"/>
                <w:lang w:val="fr-CA"/>
              </w:rPr>
              <w:noBreakHyphen/>
              <w:t>Britannique</w:t>
            </w:r>
          </w:p>
          <w:p w:rsidR="00310C1E" w:rsidRPr="008E4F84" w:rsidRDefault="00310C1E" w:rsidP="00310C1E">
            <w:pPr>
              <w:jc w:val="both"/>
              <w:rPr>
                <w:sz w:val="20"/>
                <w:lang w:val="fr-CA"/>
              </w:rPr>
            </w:pPr>
            <w:r w:rsidRPr="008E4F84">
              <w:rPr>
                <w:sz w:val="20"/>
                <w:lang w:val="fr-CA"/>
              </w:rPr>
              <w:t>(Vancouver)</w:t>
            </w:r>
          </w:p>
          <w:p w:rsidR="00310C1E" w:rsidRPr="008E4F84" w:rsidRDefault="00310C1E" w:rsidP="00310C1E">
            <w:pPr>
              <w:jc w:val="both"/>
              <w:rPr>
                <w:sz w:val="20"/>
                <w:lang w:val="fr-CA"/>
              </w:rPr>
            </w:pPr>
            <w:r w:rsidRPr="008E4F84">
              <w:rPr>
                <w:sz w:val="20"/>
                <w:lang w:val="fr-CA"/>
              </w:rPr>
              <w:t>(juges Groberman, Harris, Grauer)</w:t>
            </w:r>
          </w:p>
          <w:p w:rsidR="00310C1E" w:rsidRPr="008E4F84" w:rsidRDefault="008E4F84" w:rsidP="00310C1E">
            <w:pPr>
              <w:jc w:val="both"/>
              <w:rPr>
                <w:rStyle w:val="Hyperlink"/>
                <w:color w:val="auto"/>
                <w:sz w:val="20"/>
                <w:u w:val="none"/>
                <w:lang w:val="fr-CA"/>
              </w:rPr>
            </w:pPr>
            <w:hyperlink r:id="rId42" w:history="1">
              <w:r w:rsidR="00310C1E" w:rsidRPr="008E4F84">
                <w:rPr>
                  <w:rStyle w:val="Hyperlink"/>
                  <w:sz w:val="20"/>
                  <w:lang w:val="fr-CA"/>
                </w:rPr>
                <w:t>2020 BCCA 324</w:t>
              </w:r>
            </w:hyperlink>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L’autorisation est accordée au représentant afin de présenter une plaidoirie orale au nom des demandeurs; la demande de modification de l’ordonnance de la juge en cabinet est rejetée.</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6 janvier 2021</w:t>
            </w:r>
          </w:p>
          <w:p w:rsidR="00310C1E" w:rsidRPr="008E4F84" w:rsidRDefault="00310C1E" w:rsidP="00310C1E">
            <w:pPr>
              <w:jc w:val="both"/>
              <w:rPr>
                <w:sz w:val="20"/>
                <w:lang w:val="fr-CA"/>
              </w:rPr>
            </w:pPr>
            <w:r w:rsidRPr="008E4F84">
              <w:rPr>
                <w:sz w:val="20"/>
                <w:lang w:val="fr-CA"/>
              </w:rPr>
              <w:t>Cour suprême du Canada</w:t>
            </w:r>
          </w:p>
          <w:p w:rsidR="00310C1E" w:rsidRPr="008E4F84" w:rsidRDefault="00310C1E" w:rsidP="00310C1E">
            <w:pPr>
              <w:jc w:val="both"/>
              <w:rPr>
                <w:sz w:val="20"/>
                <w:lang w:val="fr-CA"/>
              </w:rPr>
            </w:pP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La demande d’autorisation d’appel est présentée.</w:t>
            </w:r>
          </w:p>
          <w:p w:rsidR="00310C1E" w:rsidRPr="008E4F84" w:rsidRDefault="00310C1E" w:rsidP="00310C1E">
            <w:pPr>
              <w:jc w:val="both"/>
              <w:rPr>
                <w:sz w:val="20"/>
                <w:lang w:val="fr-CA"/>
              </w:rPr>
            </w:pPr>
          </w:p>
        </w:tc>
      </w:tr>
      <w:tr w:rsidR="00310C1E" w:rsidRPr="008E4F84" w:rsidTr="00310C1E">
        <w:tc>
          <w:tcPr>
            <w:tcW w:w="2427" w:type="pct"/>
            <w:gridSpan w:val="2"/>
          </w:tcPr>
          <w:p w:rsidR="00310C1E" w:rsidRPr="008E4F84" w:rsidRDefault="00310C1E" w:rsidP="00310C1E">
            <w:pPr>
              <w:jc w:val="both"/>
              <w:rPr>
                <w:sz w:val="20"/>
                <w:lang w:val="fr-CA"/>
              </w:rPr>
            </w:pPr>
            <w:r w:rsidRPr="008E4F84">
              <w:rPr>
                <w:sz w:val="20"/>
                <w:lang w:val="fr-CA"/>
              </w:rPr>
              <w:t>6 août 2021</w:t>
            </w:r>
          </w:p>
          <w:p w:rsidR="00310C1E" w:rsidRPr="008E4F84" w:rsidRDefault="00310C1E" w:rsidP="00310C1E">
            <w:pPr>
              <w:jc w:val="both"/>
              <w:rPr>
                <w:sz w:val="20"/>
                <w:lang w:val="fr-CA"/>
              </w:rPr>
            </w:pPr>
            <w:r w:rsidRPr="008E4F84">
              <w:rPr>
                <w:sz w:val="20"/>
                <w:lang w:val="fr-CA"/>
              </w:rPr>
              <w:t>Cour suprême du Canada</w:t>
            </w:r>
          </w:p>
        </w:tc>
        <w:tc>
          <w:tcPr>
            <w:tcW w:w="243" w:type="pct"/>
          </w:tcPr>
          <w:p w:rsidR="00310C1E" w:rsidRPr="008E4F84" w:rsidRDefault="00310C1E" w:rsidP="00310C1E">
            <w:pPr>
              <w:jc w:val="both"/>
              <w:rPr>
                <w:sz w:val="20"/>
                <w:lang w:val="fr-CA"/>
              </w:rPr>
            </w:pPr>
          </w:p>
        </w:tc>
        <w:tc>
          <w:tcPr>
            <w:tcW w:w="2330" w:type="pct"/>
          </w:tcPr>
          <w:p w:rsidR="00310C1E" w:rsidRPr="008E4F84" w:rsidRDefault="00310C1E" w:rsidP="00310C1E">
            <w:pPr>
              <w:jc w:val="both"/>
              <w:rPr>
                <w:sz w:val="20"/>
                <w:lang w:val="fr-CA"/>
              </w:rPr>
            </w:pPr>
            <w:r w:rsidRPr="008E4F84">
              <w:rPr>
                <w:sz w:val="20"/>
                <w:lang w:val="fr-CA"/>
              </w:rPr>
              <w:t>La requête en sursis d’exécution est présentée.</w:t>
            </w:r>
          </w:p>
          <w:p w:rsidR="00310C1E" w:rsidRPr="008E4F84" w:rsidRDefault="00310C1E" w:rsidP="00310C1E">
            <w:pPr>
              <w:jc w:val="both"/>
              <w:rPr>
                <w:sz w:val="20"/>
                <w:lang w:val="fr-CA"/>
              </w:rPr>
            </w:pPr>
          </w:p>
        </w:tc>
      </w:tr>
    </w:tbl>
    <w:p w:rsidR="00777ECC" w:rsidRPr="008E4F84" w:rsidRDefault="00777ECC" w:rsidP="00350651">
      <w:pPr>
        <w:widowControl w:val="0"/>
        <w:tabs>
          <w:tab w:val="left" w:pos="3840"/>
        </w:tabs>
        <w:jc w:val="both"/>
        <w:rPr>
          <w:sz w:val="20"/>
          <w:lang w:val="fr-CA"/>
        </w:rPr>
      </w:pPr>
    </w:p>
    <w:p w:rsidR="005A7B6B" w:rsidRPr="008E4F84" w:rsidRDefault="008E4F84" w:rsidP="00350651">
      <w:pPr>
        <w:widowControl w:val="0"/>
        <w:jc w:val="both"/>
        <w:rPr>
          <w:sz w:val="20"/>
        </w:rPr>
      </w:pPr>
      <w:r w:rsidRPr="008E4F84">
        <w:rPr>
          <w:sz w:val="20"/>
        </w:rPr>
        <w:pict>
          <v:rect id="_x0000_i1042" style="width:2in;height:1pt" o:hrpct="0" o:hralign="center" o:hrstd="t" o:hrnoshade="t" o:hr="t" fillcolor="black [3213]" stroked="f"/>
        </w:pict>
      </w:r>
    </w:p>
    <w:p w:rsidR="00FD3FA0" w:rsidRPr="008E4F84" w:rsidRDefault="00FD3FA0" w:rsidP="00350651">
      <w:pPr>
        <w:ind w:left="142" w:hanging="142"/>
        <w:jc w:val="both"/>
        <w:rPr>
          <w:sz w:val="20"/>
        </w:rPr>
      </w:pPr>
    </w:p>
    <w:p w:rsidR="008F2F11" w:rsidRPr="008E4F84" w:rsidRDefault="008F2F11" w:rsidP="00350651">
      <w:pPr>
        <w:ind w:left="142" w:hanging="142"/>
        <w:jc w:val="both"/>
        <w:rPr>
          <w:sz w:val="20"/>
        </w:rPr>
      </w:pPr>
    </w:p>
    <w:p w:rsidR="008F2F11" w:rsidRPr="008E4F84" w:rsidRDefault="008F2F11" w:rsidP="00350651">
      <w:pPr>
        <w:ind w:left="142" w:hanging="142"/>
        <w:jc w:val="both"/>
        <w:rPr>
          <w:sz w:val="20"/>
        </w:rPr>
      </w:pPr>
    </w:p>
    <w:p w:rsidR="00D3344A" w:rsidRPr="008E4F84" w:rsidRDefault="00D3344A" w:rsidP="00D3344A">
      <w:pPr>
        <w:widowControl w:val="0"/>
        <w:outlineLvl w:val="0"/>
      </w:pPr>
      <w:r w:rsidRPr="008E4F84">
        <w:t xml:space="preserve">Supreme Court of Canada / Cour suprême du </w:t>
      </w:r>
      <w:proofErr w:type="gramStart"/>
      <w:r w:rsidRPr="008E4F84">
        <w:t>Canad</w:t>
      </w:r>
      <w:r w:rsidR="00EE289F" w:rsidRPr="008E4F84">
        <w:t>a</w:t>
      </w:r>
      <w:r w:rsidRPr="008E4F84">
        <w:t xml:space="preserve"> :</w:t>
      </w:r>
      <w:proofErr w:type="gramEnd"/>
    </w:p>
    <w:p w:rsidR="00D3344A" w:rsidRPr="008E4F84" w:rsidRDefault="008E4F84" w:rsidP="00D3344A">
      <w:pPr>
        <w:widowControl w:val="0"/>
        <w:outlineLvl w:val="0"/>
        <w:rPr>
          <w:u w:val="single"/>
        </w:rPr>
      </w:pPr>
      <w:hyperlink r:id="rId43" w:history="1">
        <w:r w:rsidR="009B7391" w:rsidRPr="008E4F84">
          <w:rPr>
            <w:rStyle w:val="Hyperlink"/>
          </w:rPr>
          <w:t>comments-commentaires@scc-csc.ca</w:t>
        </w:r>
      </w:hyperlink>
    </w:p>
    <w:p w:rsidR="00D3344A" w:rsidRPr="008E4F84" w:rsidRDefault="0065588C" w:rsidP="00D3344A">
      <w:pPr>
        <w:widowControl w:val="0"/>
        <w:outlineLvl w:val="0"/>
      </w:pPr>
      <w:r w:rsidRPr="008E4F84">
        <w:t>613-</w:t>
      </w:r>
      <w:r w:rsidR="00D3344A" w:rsidRPr="008E4F84">
        <w:t>995-4330</w:t>
      </w:r>
    </w:p>
    <w:p w:rsidR="00497B5E" w:rsidRPr="008E4F84" w:rsidRDefault="00497B5E" w:rsidP="00497B5E">
      <w:pPr>
        <w:widowControl w:val="0"/>
        <w:rPr>
          <w:sz w:val="20"/>
        </w:rPr>
      </w:pPr>
    </w:p>
    <w:p w:rsidR="00F6251B" w:rsidRPr="006E558B" w:rsidRDefault="003F43E6" w:rsidP="00F6251B">
      <w:pPr>
        <w:pStyle w:val="Footer"/>
        <w:jc w:val="center"/>
      </w:pPr>
      <w:r w:rsidRPr="008E4F84">
        <w:t>- 30 -</w:t>
      </w:r>
      <w:bookmarkStart w:id="0" w:name="_GoBack"/>
      <w:bookmarkEnd w:id="0"/>
    </w:p>
    <w:sectPr w:rsidR="00F6251B" w:rsidRPr="006E558B" w:rsidSect="00E62F93">
      <w:headerReference w:type="even" r:id="rId44"/>
      <w:headerReference w:type="default" r:id="rId45"/>
      <w:footerReference w:type="even" r:id="rId46"/>
      <w:footerReference w:type="default" r:id="rId47"/>
      <w:headerReference w:type="first" r:id="rId48"/>
      <w:footerReference w:type="first" r:id="rId4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1E" w:rsidRDefault="00310C1E" w:rsidP="0034178A">
      <w:r>
        <w:separator/>
      </w:r>
    </w:p>
  </w:endnote>
  <w:endnote w:type="continuationSeparator" w:id="0">
    <w:p w:rsidR="00310C1E" w:rsidRDefault="00310C1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1E" w:rsidRDefault="00310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1E" w:rsidRPr="009F77F0" w:rsidRDefault="00310C1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1E" w:rsidRDefault="00310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1E" w:rsidRDefault="00310C1E" w:rsidP="0034178A">
      <w:r>
        <w:separator/>
      </w:r>
    </w:p>
  </w:footnote>
  <w:footnote w:type="continuationSeparator" w:id="0">
    <w:p w:rsidR="00310C1E" w:rsidRDefault="00310C1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1E" w:rsidRDefault="00310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1E" w:rsidRDefault="00310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1E" w:rsidRDefault="00310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2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1E3A"/>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0C1E"/>
    <w:rsid w:val="00311663"/>
    <w:rsid w:val="00311B59"/>
    <w:rsid w:val="00311E4C"/>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5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4F84"/>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4A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4232547">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665" TargetMode="External"/><Relationship Id="rId18" Type="http://schemas.openxmlformats.org/officeDocument/2006/relationships/hyperlink" Target="https://www.canlii.org/fr/qc/qcca/doc/2021/2021qcca244/2021qcca244.pdf" TargetMode="External"/><Relationship Id="rId26" Type="http://schemas.openxmlformats.org/officeDocument/2006/relationships/hyperlink" Target="https://www.canlii.org/en/ab/abca/doc/2021/2021abca62/2021abca62.html?autocompleteStr=2021%20abca%2062&amp;autocompletePos=1" TargetMode="External"/><Relationship Id="rId39" Type="http://schemas.openxmlformats.org/officeDocument/2006/relationships/hyperlink" Target="https://www.canlii.org/fr/ca/cfpi/doc/2018/2018cf637/2018cf637.html" TargetMode="External"/><Relationship Id="rId3" Type="http://schemas.openxmlformats.org/officeDocument/2006/relationships/styles" Target="styles.xml"/><Relationship Id="rId21" Type="http://schemas.openxmlformats.org/officeDocument/2006/relationships/hyperlink" Target="https://www.canlii.org/en/bc/bcsc/doc/2020/2020bcsc664/2020bcsc664.html" TargetMode="External"/><Relationship Id="rId34" Type="http://schemas.openxmlformats.org/officeDocument/2006/relationships/hyperlink" Target="https://www.canlii.org/en/on/onca/doc/2021/2021onca205/2021onca205.html?resultIndex=1" TargetMode="External"/><Relationship Id="rId42" Type="http://schemas.openxmlformats.org/officeDocument/2006/relationships/hyperlink" Target="https://www.canlii.org/en/bc/bcca/doc/2020/2020bcca324/2020bcca324.html?searchUrlHash=AAAAAAAAAAEAFjIwMTggQkNTQyA5ODAgKENhbkxJSSkAAAABAAwvMjAxOGJjc2M5ODAB"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9692" TargetMode="External"/><Relationship Id="rId17" Type="http://schemas.openxmlformats.org/officeDocument/2006/relationships/hyperlink" Target="https://www.canlii.org/fr/qc/qccs/doc/2019/2019qccs2826/2019qccs2826.pdf" TargetMode="External"/><Relationship Id="rId25" Type="http://schemas.openxmlformats.org/officeDocument/2006/relationships/hyperlink" Target="https://www.canlii.org/en/ab/abqb/doc/2020/2020abqb115/2020abqb115.html" TargetMode="External"/><Relationship Id="rId33" Type="http://schemas.openxmlformats.org/officeDocument/2006/relationships/hyperlink" Target="https://www.canlii.org/en/on/onsc/doc/2020/2020onsc1429/2020onsc1429.html?resultIndex=1" TargetMode="External"/><Relationship Id="rId38" Type="http://schemas.openxmlformats.org/officeDocument/2006/relationships/hyperlink" Target="https://canlii.ca/t/jdns3"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nlii.org/fr/qc/qccq/doc/2017/2017qccq14477/2017qccq14477.pdf" TargetMode="External"/><Relationship Id="rId20" Type="http://schemas.openxmlformats.org/officeDocument/2006/relationships/hyperlink" Target="https://www.canlii.org/en/bc/bcca/doc/2021/2021bcca69/2021bcca69.html" TargetMode="External"/><Relationship Id="rId29" Type="http://schemas.openxmlformats.org/officeDocument/2006/relationships/hyperlink" Target="https://www.canlii.org/en/nl/nlsc/doc/2019/2019nlsc194/2019nlsc194.html?resultIndex=1" TargetMode="External"/><Relationship Id="rId41" Type="http://schemas.openxmlformats.org/officeDocument/2006/relationships/hyperlink" Target="https://www.canlii.org/en/bc/bcca/doc/2020/2020bcca324/2020bcca324.html?searchUrlHash=AAAAAAAAAAEAFjIwMTggQkNTQyA5ODAgKENhbkxJSSkAAAABAAwvMjAxOGJjc2M5OD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663" TargetMode="External"/><Relationship Id="rId24" Type="http://schemas.openxmlformats.org/officeDocument/2006/relationships/hyperlink" Target="https://www.canlii.org/en/ab/abca/doc/2021/2021abca62/2021abca62.html?autocompleteStr=2021%20abca%2062&amp;autocompletePos=1" TargetMode="External"/><Relationship Id="rId32" Type="http://schemas.openxmlformats.org/officeDocument/2006/relationships/hyperlink" Target="https://www.canlii.org/en/on/onca/doc/2021/2021onca205/2021onca205.html?resultIndex=1" TargetMode="External"/><Relationship Id="rId37" Type="http://schemas.openxmlformats.org/officeDocument/2006/relationships/hyperlink" Target="https://canlii.ca/t/hszzc" TargetMode="External"/><Relationship Id="rId40" Type="http://schemas.openxmlformats.org/officeDocument/2006/relationships/hyperlink" Target="https://canlii.ca/t/jdns3"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eng.aspx?cas=39729" TargetMode="External"/><Relationship Id="rId23" Type="http://schemas.openxmlformats.org/officeDocument/2006/relationships/hyperlink" Target="https://www.canlii.org/en/ab/abqb/doc/2020/2020abqb115/2020abqb115.html" TargetMode="External"/><Relationship Id="rId28" Type="http://schemas.openxmlformats.org/officeDocument/2006/relationships/hyperlink" Target="https://www.canlii.org/en/nl/nlca/doc/2021/2021nlca4/2021nlca4.html" TargetMode="External"/><Relationship Id="rId36" Type="http://schemas.openxmlformats.org/officeDocument/2006/relationships/hyperlink" Target="https://canlii.ca/t/jct8h" TargetMode="External"/><Relationship Id="rId49" Type="http://schemas.openxmlformats.org/officeDocument/2006/relationships/footer" Target="footer3.xml"/><Relationship Id="rId10" Type="http://schemas.openxmlformats.org/officeDocument/2006/relationships/hyperlink" Target="https://www.scc-csc.ca/case-dossier/info/sum-som-eng.aspx?cas=39578" TargetMode="External"/><Relationship Id="rId19" Type="http://schemas.openxmlformats.org/officeDocument/2006/relationships/hyperlink" Target="https://www.canlii.org/en/bc/bcsc/doc/2020/2020bcsc664/2020bcsc664.html" TargetMode="External"/><Relationship Id="rId31" Type="http://schemas.openxmlformats.org/officeDocument/2006/relationships/hyperlink" Target="https://www.canlii.org/en/on/onsc/doc/2020/2020onsc1429/2020onsc1429.html?resultIndex=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39632" TargetMode="External"/><Relationship Id="rId14" Type="http://schemas.openxmlformats.org/officeDocument/2006/relationships/hyperlink" Target="https://www.scc-csc.ca/case-dossier/info/sum-som-eng.aspx?cas=39662" TargetMode="External"/><Relationship Id="rId22" Type="http://schemas.openxmlformats.org/officeDocument/2006/relationships/hyperlink" Target="https://www.canlii.org/en/bc/bcca/doc/2021/2021bcca69/2021bcca69.html" TargetMode="External"/><Relationship Id="rId27" Type="http://schemas.openxmlformats.org/officeDocument/2006/relationships/hyperlink" Target="https://www.canlii.org/en/nl/nlsc/doc/2019/2019nlsc194/2019nlsc194.html?resultIndex=1" TargetMode="External"/><Relationship Id="rId30" Type="http://schemas.openxmlformats.org/officeDocument/2006/relationships/hyperlink" Target="https://www.canlii.org/en/nl/nlca/doc/2021/2021nlca4/2021nlca4.html" TargetMode="External"/><Relationship Id="rId35" Type="http://schemas.openxmlformats.org/officeDocument/2006/relationships/hyperlink" Target="https://canlii.ca/t/jct8h" TargetMode="External"/><Relationship Id="rId43" Type="http://schemas.openxmlformats.org/officeDocument/2006/relationships/hyperlink" Target="mailto:comments-commentaires@scc-csc.ca" TargetMode="External"/><Relationship Id="rId48" Type="http://schemas.openxmlformats.org/officeDocument/2006/relationships/header" Target="header3.xml"/><Relationship Id="rId8" Type="http://schemas.openxmlformats.org/officeDocument/2006/relationships/hyperlink" Target="https://www.scc-csc.ca/case-dossier/info/sum-som-fra.aspx?cas=39634"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B3FB-C896-49ED-8A5B-5E4A868F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6569</Words>
  <Characters>37446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43928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2021-10-01T12:38:00Z</dcterms:modified>
</cp:coreProperties>
</file>