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52F38" w:rsidRDefault="003F43E6" w:rsidP="003F43E6">
      <w:pPr>
        <w:pStyle w:val="Header"/>
        <w:jc w:val="center"/>
        <w:rPr>
          <w:b/>
          <w:sz w:val="32"/>
        </w:rPr>
      </w:pPr>
      <w:r w:rsidRPr="00952F38">
        <w:rPr>
          <w:b/>
          <w:sz w:val="32"/>
        </w:rPr>
        <w:t>Supreme Court of Canada / Cour suprême du Canada</w:t>
      </w:r>
    </w:p>
    <w:p w:rsidR="003F43E6" w:rsidRPr="00952F38" w:rsidRDefault="003F43E6" w:rsidP="006F2579">
      <w:pPr>
        <w:widowControl w:val="0"/>
        <w:rPr>
          <w:i/>
        </w:rPr>
      </w:pPr>
    </w:p>
    <w:p w:rsidR="003F43E6" w:rsidRPr="00952F38" w:rsidRDefault="003F43E6" w:rsidP="006F2579">
      <w:pPr>
        <w:widowControl w:val="0"/>
        <w:rPr>
          <w:i/>
        </w:rPr>
      </w:pPr>
    </w:p>
    <w:p w:rsidR="006F2579" w:rsidRPr="00952F38" w:rsidRDefault="006F2579" w:rsidP="006F2579">
      <w:pPr>
        <w:widowControl w:val="0"/>
        <w:rPr>
          <w:i/>
          <w:sz w:val="20"/>
        </w:rPr>
      </w:pPr>
      <w:r w:rsidRPr="00952F38">
        <w:rPr>
          <w:i/>
          <w:sz w:val="20"/>
        </w:rPr>
        <w:t>(</w:t>
      </w:r>
      <w:r w:rsidR="00E37DE3" w:rsidRPr="00952F38">
        <w:rPr>
          <w:i/>
          <w:sz w:val="20"/>
        </w:rPr>
        <w:t>L</w:t>
      </w:r>
      <w:r w:rsidRPr="00952F38">
        <w:rPr>
          <w:i/>
          <w:sz w:val="20"/>
        </w:rPr>
        <w:t>e français suit)</w:t>
      </w:r>
    </w:p>
    <w:p w:rsidR="006F2579" w:rsidRPr="00952F38" w:rsidRDefault="006F2579" w:rsidP="006F2579">
      <w:pPr>
        <w:widowControl w:val="0"/>
      </w:pPr>
    </w:p>
    <w:p w:rsidR="006F2579" w:rsidRPr="00952F38" w:rsidRDefault="00D01D61" w:rsidP="006F2579">
      <w:pPr>
        <w:widowControl w:val="0"/>
        <w:jc w:val="center"/>
        <w:rPr>
          <w:b/>
        </w:rPr>
      </w:pPr>
      <w:r w:rsidRPr="00952F38">
        <w:fldChar w:fldCharType="begin"/>
      </w:r>
      <w:r w:rsidR="006F2579" w:rsidRPr="00952F38">
        <w:instrText xml:space="preserve"> SEQ CHAPTER \h \r 1</w:instrText>
      </w:r>
      <w:r w:rsidRPr="00952F38">
        <w:fldChar w:fldCharType="end"/>
      </w:r>
      <w:r w:rsidR="002767DF" w:rsidRPr="00952F38">
        <w:rPr>
          <w:b/>
        </w:rPr>
        <w:t xml:space="preserve">JUDGMENTS </w:t>
      </w:r>
      <w:r w:rsidR="004C4C26" w:rsidRPr="00952F38">
        <w:rPr>
          <w:b/>
        </w:rPr>
        <w:t>IN APPEAL AND LEAVE APPLIC</w:t>
      </w:r>
      <w:r w:rsidR="002E6185" w:rsidRPr="00952F38">
        <w:rPr>
          <w:b/>
        </w:rPr>
        <w:t>A</w:t>
      </w:r>
      <w:r w:rsidR="004C4C26" w:rsidRPr="00952F38">
        <w:rPr>
          <w:b/>
        </w:rPr>
        <w:t>TION</w:t>
      </w:r>
      <w:r w:rsidR="00A35C4D" w:rsidRPr="00952F38">
        <w:rPr>
          <w:b/>
        </w:rPr>
        <w:t>S</w:t>
      </w:r>
    </w:p>
    <w:p w:rsidR="006F2579" w:rsidRPr="00952F38" w:rsidRDefault="006F2579" w:rsidP="006F2579">
      <w:pPr>
        <w:widowControl w:val="0"/>
      </w:pPr>
    </w:p>
    <w:p w:rsidR="006F2579" w:rsidRPr="00952F38" w:rsidRDefault="003941DC" w:rsidP="006F2579">
      <w:pPr>
        <w:widowControl w:val="0"/>
      </w:pPr>
      <w:r w:rsidRPr="00952F38">
        <w:rPr>
          <w:b/>
        </w:rPr>
        <w:t>October</w:t>
      </w:r>
      <w:r w:rsidR="00372704" w:rsidRPr="00952F38">
        <w:rPr>
          <w:b/>
        </w:rPr>
        <w:t xml:space="preserve"> </w:t>
      </w:r>
      <w:r w:rsidR="00C16FF2" w:rsidRPr="00952F38">
        <w:rPr>
          <w:b/>
        </w:rPr>
        <w:t>14</w:t>
      </w:r>
      <w:r w:rsidR="002E4682" w:rsidRPr="00952F38">
        <w:rPr>
          <w:b/>
        </w:rPr>
        <w:t>, 20</w:t>
      </w:r>
      <w:r w:rsidR="00FE3C93" w:rsidRPr="00952F38">
        <w:rPr>
          <w:b/>
        </w:rPr>
        <w:t>2</w:t>
      </w:r>
      <w:r w:rsidR="00687B3F" w:rsidRPr="00952F38">
        <w:rPr>
          <w:b/>
        </w:rPr>
        <w:t>1</w:t>
      </w:r>
    </w:p>
    <w:p w:rsidR="006F2579" w:rsidRPr="00952F38" w:rsidRDefault="006F2579" w:rsidP="006F2579">
      <w:pPr>
        <w:widowControl w:val="0"/>
        <w:rPr>
          <w:b/>
        </w:rPr>
      </w:pPr>
      <w:r w:rsidRPr="00952F38">
        <w:rPr>
          <w:b/>
        </w:rPr>
        <w:t>For immediate release</w:t>
      </w:r>
    </w:p>
    <w:p w:rsidR="006F2579" w:rsidRPr="00952F38" w:rsidRDefault="006F2579" w:rsidP="006F2579">
      <w:pPr>
        <w:widowControl w:val="0"/>
      </w:pPr>
    </w:p>
    <w:p w:rsidR="002767DF" w:rsidRPr="00952F38" w:rsidRDefault="002767DF" w:rsidP="002767DF">
      <w:pPr>
        <w:widowControl w:val="0"/>
      </w:pPr>
      <w:r w:rsidRPr="00952F38">
        <w:rPr>
          <w:b/>
        </w:rPr>
        <w:t>OTTAWA</w:t>
      </w:r>
      <w:r w:rsidRPr="00952F38">
        <w:t xml:space="preserve"> – The Supreme Court of Canada has today deposited with the Registrar judgment</w:t>
      </w:r>
      <w:r w:rsidR="00320863" w:rsidRPr="00952F38">
        <w:t>s</w:t>
      </w:r>
      <w:r w:rsidRPr="00952F38">
        <w:t xml:space="preserve"> in the following appeal and </w:t>
      </w:r>
      <w:r w:rsidR="009B2F43" w:rsidRPr="00952F38">
        <w:t xml:space="preserve">leave </w:t>
      </w:r>
      <w:r w:rsidRPr="00952F38">
        <w:t>application</w:t>
      </w:r>
      <w:r w:rsidR="00CC044F" w:rsidRPr="00952F38">
        <w:t>s</w:t>
      </w:r>
      <w:r w:rsidRPr="00952F38">
        <w:t>.</w:t>
      </w:r>
    </w:p>
    <w:p w:rsidR="006F2579" w:rsidRPr="00952F38" w:rsidRDefault="006F2579" w:rsidP="006F2579">
      <w:pPr>
        <w:widowControl w:val="0"/>
      </w:pPr>
    </w:p>
    <w:p w:rsidR="006F2579" w:rsidRPr="00952F38" w:rsidRDefault="006F2579" w:rsidP="006F2579">
      <w:pPr>
        <w:widowControl w:val="0"/>
      </w:pPr>
    </w:p>
    <w:p w:rsidR="002767DF" w:rsidRPr="00952F38" w:rsidRDefault="002767DF" w:rsidP="002767DF">
      <w:pPr>
        <w:widowControl w:val="0"/>
        <w:jc w:val="center"/>
        <w:rPr>
          <w:lang w:val="fr-CA"/>
        </w:rPr>
      </w:pPr>
      <w:r w:rsidRPr="00952F38">
        <w:rPr>
          <w:b/>
          <w:lang w:val="fr-CA"/>
        </w:rPr>
        <w:t>JUGEMENT</w:t>
      </w:r>
      <w:r w:rsidR="004C4C26" w:rsidRPr="00952F38">
        <w:rPr>
          <w:b/>
          <w:lang w:val="fr-CA"/>
        </w:rPr>
        <w:t>S SUR APPEL ET DEMANDE</w:t>
      </w:r>
      <w:r w:rsidR="00CC044F" w:rsidRPr="00952F38">
        <w:rPr>
          <w:b/>
          <w:lang w:val="fr-CA"/>
        </w:rPr>
        <w:t>S</w:t>
      </w:r>
      <w:r w:rsidRPr="00952F38">
        <w:rPr>
          <w:b/>
          <w:lang w:val="fr-CA"/>
        </w:rPr>
        <w:t xml:space="preserve"> D’AUTORISATION</w:t>
      </w:r>
    </w:p>
    <w:p w:rsidR="006F2579" w:rsidRPr="00952F38" w:rsidRDefault="006F2579" w:rsidP="006F2579">
      <w:pPr>
        <w:widowControl w:val="0"/>
        <w:rPr>
          <w:lang w:val="fr-CA"/>
        </w:rPr>
      </w:pPr>
    </w:p>
    <w:p w:rsidR="006F2579" w:rsidRPr="00952F38" w:rsidRDefault="006F2579" w:rsidP="006F2579">
      <w:pPr>
        <w:widowControl w:val="0"/>
        <w:rPr>
          <w:lang w:val="fr-CA"/>
        </w:rPr>
      </w:pPr>
      <w:r w:rsidRPr="00952F38">
        <w:rPr>
          <w:b/>
          <w:lang w:val="fr-CA"/>
        </w:rPr>
        <w:t>Le</w:t>
      </w:r>
      <w:r w:rsidR="008825DB" w:rsidRPr="00952F38">
        <w:rPr>
          <w:b/>
          <w:lang w:val="fr-CA"/>
        </w:rPr>
        <w:t xml:space="preserve"> </w:t>
      </w:r>
      <w:r w:rsidR="003941DC" w:rsidRPr="00952F38">
        <w:rPr>
          <w:b/>
          <w:lang w:val="fr-CA"/>
        </w:rPr>
        <w:t>1</w:t>
      </w:r>
      <w:r w:rsidR="00C16FF2" w:rsidRPr="00952F38">
        <w:rPr>
          <w:b/>
          <w:lang w:val="fr-CA"/>
        </w:rPr>
        <w:t>4</w:t>
      </w:r>
      <w:r w:rsidR="00FF4756" w:rsidRPr="00952F38">
        <w:rPr>
          <w:b/>
          <w:lang w:val="fr-CA"/>
        </w:rPr>
        <w:t xml:space="preserve"> </w:t>
      </w:r>
      <w:r w:rsidR="003941DC" w:rsidRPr="00952F38">
        <w:rPr>
          <w:b/>
          <w:lang w:val="fr-CA"/>
        </w:rPr>
        <w:t>octobre</w:t>
      </w:r>
      <w:r w:rsidR="002E4682" w:rsidRPr="00952F38">
        <w:rPr>
          <w:b/>
          <w:lang w:val="fr-CA"/>
        </w:rPr>
        <w:t xml:space="preserve"> </w:t>
      </w:r>
      <w:r w:rsidR="008825DB" w:rsidRPr="00952F38">
        <w:rPr>
          <w:b/>
          <w:lang w:val="fr-CA"/>
        </w:rPr>
        <w:t>20</w:t>
      </w:r>
      <w:r w:rsidR="00FE3C93" w:rsidRPr="00952F38">
        <w:rPr>
          <w:b/>
          <w:lang w:val="fr-CA"/>
        </w:rPr>
        <w:t>2</w:t>
      </w:r>
      <w:r w:rsidR="00687B3F" w:rsidRPr="00952F38">
        <w:rPr>
          <w:b/>
          <w:lang w:val="fr-CA"/>
        </w:rPr>
        <w:t>1</w:t>
      </w:r>
    </w:p>
    <w:p w:rsidR="006F2579" w:rsidRPr="00952F38" w:rsidRDefault="006F2579" w:rsidP="006F2579">
      <w:pPr>
        <w:widowControl w:val="0"/>
        <w:rPr>
          <w:b/>
          <w:lang w:val="fr-CA"/>
        </w:rPr>
      </w:pPr>
      <w:r w:rsidRPr="00952F38">
        <w:rPr>
          <w:b/>
          <w:lang w:val="fr-CA"/>
        </w:rPr>
        <w:t>Pour diffusion immédiate</w:t>
      </w:r>
    </w:p>
    <w:p w:rsidR="006F2579" w:rsidRPr="00952F38" w:rsidRDefault="006F2579" w:rsidP="006F2579">
      <w:pPr>
        <w:widowControl w:val="0"/>
        <w:rPr>
          <w:sz w:val="20"/>
          <w:lang w:val="fr-CA"/>
        </w:rPr>
      </w:pPr>
    </w:p>
    <w:p w:rsidR="002767DF" w:rsidRPr="00952F38" w:rsidRDefault="002767DF" w:rsidP="002767DF">
      <w:pPr>
        <w:widowControl w:val="0"/>
        <w:rPr>
          <w:lang w:val="fr-CA"/>
        </w:rPr>
      </w:pPr>
      <w:r w:rsidRPr="00952F38">
        <w:rPr>
          <w:b/>
          <w:lang w:val="fr-CA"/>
        </w:rPr>
        <w:t>OTTAWA</w:t>
      </w:r>
      <w:r w:rsidRPr="00952F38">
        <w:rPr>
          <w:lang w:val="fr-CA"/>
        </w:rPr>
        <w:t xml:space="preserve"> – La Cour suprême du Canada a déposé aujourd’hui auprès du registraire les jugement</w:t>
      </w:r>
      <w:r w:rsidR="005D2479" w:rsidRPr="00952F38">
        <w:rPr>
          <w:lang w:val="fr-CA"/>
        </w:rPr>
        <w:t>s</w:t>
      </w:r>
      <w:r w:rsidRPr="00952F38">
        <w:rPr>
          <w:lang w:val="fr-CA"/>
        </w:rPr>
        <w:t xml:space="preserve"> dans l</w:t>
      </w:r>
      <w:r w:rsidR="00DF6BD5" w:rsidRPr="00952F38">
        <w:rPr>
          <w:lang w:val="fr-CA"/>
        </w:rPr>
        <w:t>’</w:t>
      </w:r>
      <w:r w:rsidRPr="00952F38">
        <w:rPr>
          <w:lang w:val="fr-CA"/>
        </w:rPr>
        <w:t>appel</w:t>
      </w:r>
      <w:r w:rsidR="003941DC" w:rsidRPr="00952F38">
        <w:rPr>
          <w:lang w:val="fr-CA"/>
        </w:rPr>
        <w:t xml:space="preserve"> </w:t>
      </w:r>
      <w:r w:rsidRPr="00952F38">
        <w:rPr>
          <w:lang w:val="fr-CA"/>
        </w:rPr>
        <w:t>et</w:t>
      </w:r>
      <w:r w:rsidR="00CC044F" w:rsidRPr="00952F38">
        <w:rPr>
          <w:lang w:val="fr-CA"/>
        </w:rPr>
        <w:t xml:space="preserve"> </w:t>
      </w:r>
      <w:r w:rsidR="004C4C26" w:rsidRPr="00952F38">
        <w:rPr>
          <w:lang w:val="fr-CA"/>
        </w:rPr>
        <w:t>demande</w:t>
      </w:r>
      <w:r w:rsidR="00CC044F" w:rsidRPr="00952F38">
        <w:rPr>
          <w:lang w:val="fr-CA"/>
        </w:rPr>
        <w:t>s</w:t>
      </w:r>
      <w:r w:rsidRPr="00952F38">
        <w:rPr>
          <w:lang w:val="fr-CA"/>
        </w:rPr>
        <w:t xml:space="preserve"> d’autorisation suiv</w:t>
      </w:r>
      <w:r w:rsidR="00B466A3" w:rsidRPr="00952F38">
        <w:rPr>
          <w:lang w:val="fr-CA"/>
        </w:rPr>
        <w:t>a</w:t>
      </w:r>
      <w:r w:rsidRPr="00952F38">
        <w:rPr>
          <w:lang w:val="fr-CA"/>
        </w:rPr>
        <w:t>nt</w:t>
      </w:r>
      <w:r w:rsidR="00B466A3" w:rsidRPr="00952F38">
        <w:rPr>
          <w:lang w:val="fr-CA"/>
        </w:rPr>
        <w:t>s</w:t>
      </w:r>
      <w:r w:rsidRPr="00952F38">
        <w:rPr>
          <w:lang w:val="fr-CA"/>
        </w:rPr>
        <w:t>.</w:t>
      </w:r>
    </w:p>
    <w:p w:rsidR="002767DF" w:rsidRPr="00952F38" w:rsidRDefault="002767DF" w:rsidP="002767DF">
      <w:pPr>
        <w:widowControl w:val="0"/>
        <w:rPr>
          <w:szCs w:val="24"/>
          <w:lang w:val="fr-CA"/>
        </w:rPr>
      </w:pPr>
    </w:p>
    <w:p w:rsidR="005B47C3" w:rsidRPr="00952F38" w:rsidRDefault="00952F38" w:rsidP="002767DF">
      <w:pPr>
        <w:widowControl w:val="0"/>
        <w:rPr>
          <w:szCs w:val="24"/>
          <w:lang w:val="fr-CA"/>
        </w:rPr>
      </w:pPr>
      <w:r w:rsidRPr="00952F38">
        <w:rPr>
          <w:sz w:val="20"/>
        </w:rPr>
        <w:pict>
          <v:rect id="_x0000_i1025" style="width:2in;height:1pt" o:hrpct="0" o:hralign="center" o:hrstd="t" o:hrnoshade="t" o:hr="t" fillcolor="black [3213]" stroked="f"/>
        </w:pict>
      </w:r>
    </w:p>
    <w:p w:rsidR="002767DF" w:rsidRPr="00952F38" w:rsidRDefault="002767DF" w:rsidP="002767DF">
      <w:pPr>
        <w:widowControl w:val="0"/>
        <w:jc w:val="both"/>
        <w:rPr>
          <w:szCs w:val="24"/>
          <w:lang w:val="fr-CA"/>
        </w:rPr>
      </w:pPr>
    </w:p>
    <w:p w:rsidR="002767DF" w:rsidRPr="00952F38" w:rsidRDefault="002767DF" w:rsidP="002767DF">
      <w:pPr>
        <w:outlineLvl w:val="0"/>
        <w:rPr>
          <w:b/>
          <w:szCs w:val="24"/>
          <w:lang w:val="fr-CA"/>
        </w:rPr>
      </w:pPr>
      <w:r w:rsidRPr="00952F38">
        <w:rPr>
          <w:b/>
          <w:szCs w:val="24"/>
          <w:lang w:val="fr-CA"/>
        </w:rPr>
        <w:t>APPEAL / APPEL</w:t>
      </w:r>
    </w:p>
    <w:p w:rsidR="002767DF" w:rsidRPr="00952F38" w:rsidRDefault="002767DF" w:rsidP="002767DF">
      <w:pPr>
        <w:rPr>
          <w:szCs w:val="24"/>
          <w:lang w:val="fr-CA"/>
        </w:rPr>
      </w:pPr>
    </w:p>
    <w:p w:rsidR="00B1256C" w:rsidRPr="00952F38" w:rsidRDefault="008A5E61" w:rsidP="008A5E61">
      <w:pPr>
        <w:tabs>
          <w:tab w:val="left" w:pos="720"/>
          <w:tab w:val="left" w:pos="1296"/>
          <w:tab w:val="left" w:pos="2160"/>
          <w:tab w:val="left" w:pos="2880"/>
          <w:tab w:val="left" w:pos="4320"/>
          <w:tab w:val="left" w:pos="10224"/>
          <w:tab w:val="left" w:pos="11376"/>
        </w:tabs>
        <w:jc w:val="both"/>
        <w:rPr>
          <w:lang w:val="fr-CA"/>
        </w:rPr>
      </w:pPr>
      <w:r w:rsidRPr="00952F38">
        <w:rPr>
          <w:lang w:val="fr-CA"/>
        </w:rPr>
        <w:t xml:space="preserve">The </w:t>
      </w:r>
      <w:hyperlink r:id="rId7" w:history="1">
        <w:r w:rsidR="002676BE" w:rsidRPr="00952F38">
          <w:rPr>
            <w:rStyle w:val="Hyperlink"/>
            <w:lang w:val="fr-CA"/>
          </w:rPr>
          <w:t>reasons for judgment</w:t>
        </w:r>
      </w:hyperlink>
      <w:r w:rsidR="002676BE" w:rsidRPr="00952F38">
        <w:rPr>
          <w:lang w:val="fr-CA"/>
        </w:rPr>
        <w:t xml:space="preserve"> and the </w:t>
      </w:r>
      <w:hyperlink r:id="rId8" w:history="1">
        <w:r w:rsidR="002676BE" w:rsidRPr="00952F38">
          <w:rPr>
            <w:rStyle w:val="Hyperlink"/>
            <w:lang w:val="fr-CA"/>
          </w:rPr>
          <w:t>Case in Brief</w:t>
        </w:r>
      </w:hyperlink>
      <w:r w:rsidR="002676BE" w:rsidRPr="00952F38">
        <w:rPr>
          <w:lang w:val="fr-CA"/>
        </w:rPr>
        <w:t xml:space="preserve"> will</w:t>
      </w:r>
      <w:r w:rsidR="002767DF" w:rsidRPr="00952F38">
        <w:rPr>
          <w:lang w:val="fr-CA"/>
        </w:rPr>
        <w:t xml:space="preserve"> be available shortly</w:t>
      </w:r>
      <w:r w:rsidRPr="00952F38">
        <w:rPr>
          <w:lang w:val="fr-CA"/>
        </w:rPr>
        <w:t>.</w:t>
      </w:r>
      <w:r w:rsidR="002767DF" w:rsidRPr="00952F38">
        <w:rPr>
          <w:lang w:val="fr-CA"/>
        </w:rPr>
        <w:t xml:space="preserve"> / </w:t>
      </w:r>
      <w:r w:rsidRPr="00952F38">
        <w:rPr>
          <w:lang w:val="fr-CA"/>
        </w:rPr>
        <w:t xml:space="preserve">Les </w:t>
      </w:r>
      <w:hyperlink r:id="rId9" w:history="1">
        <w:r w:rsidR="002676BE" w:rsidRPr="00952F38">
          <w:rPr>
            <w:rStyle w:val="Hyperlink"/>
            <w:lang w:val="fr-CA"/>
          </w:rPr>
          <w:t>motifs de jugement</w:t>
        </w:r>
      </w:hyperlink>
      <w:r w:rsidR="002676BE" w:rsidRPr="00952F38">
        <w:rPr>
          <w:lang w:val="fr-CA"/>
        </w:rPr>
        <w:t xml:space="preserve"> et </w:t>
      </w:r>
      <w:hyperlink r:id="rId10" w:history="1">
        <w:r w:rsidR="002676BE" w:rsidRPr="00952F38">
          <w:rPr>
            <w:rStyle w:val="Hyperlink"/>
            <w:i/>
            <w:lang w:val="fr-CA"/>
          </w:rPr>
          <w:t>La caus</w:t>
        </w:r>
        <w:r w:rsidR="003941DC" w:rsidRPr="00952F38">
          <w:rPr>
            <w:rStyle w:val="Hyperlink"/>
            <w:i/>
            <w:lang w:val="fr-CA"/>
          </w:rPr>
          <w:t>e</w:t>
        </w:r>
        <w:r w:rsidR="002676BE" w:rsidRPr="00952F38">
          <w:rPr>
            <w:rStyle w:val="Hyperlink"/>
            <w:i/>
            <w:lang w:val="fr-CA"/>
          </w:rPr>
          <w:t xml:space="preserve"> en bref</w:t>
        </w:r>
      </w:hyperlink>
      <w:r w:rsidR="00623896" w:rsidRPr="00952F38">
        <w:rPr>
          <w:lang w:val="fr-CA"/>
        </w:rPr>
        <w:t xml:space="preserve"> </w:t>
      </w:r>
      <w:r w:rsidRPr="00952F38">
        <w:rPr>
          <w:lang w:val="fr-CA"/>
        </w:rPr>
        <w:t xml:space="preserve">seront </w:t>
      </w:r>
      <w:r w:rsidR="003413DF" w:rsidRPr="00952F38">
        <w:rPr>
          <w:lang w:val="fr-CA"/>
        </w:rPr>
        <w:t>disponible</w:t>
      </w:r>
      <w:r w:rsidR="000D01C7" w:rsidRPr="00952F38">
        <w:rPr>
          <w:lang w:val="fr-CA"/>
        </w:rPr>
        <w:t>s</w:t>
      </w:r>
      <w:r w:rsidR="002767DF" w:rsidRPr="00952F38">
        <w:rPr>
          <w:lang w:val="fr-CA"/>
        </w:rPr>
        <w:t xml:space="preserve"> sous peu</w:t>
      </w:r>
      <w:r w:rsidRPr="00952F38">
        <w:rPr>
          <w:lang w:val="fr-CA"/>
        </w:rPr>
        <w:t>.</w:t>
      </w:r>
    </w:p>
    <w:p w:rsidR="002767DF" w:rsidRPr="00952F38" w:rsidRDefault="002767DF" w:rsidP="002767DF">
      <w:pPr>
        <w:rPr>
          <w:lang w:val="fr-CA"/>
        </w:rPr>
      </w:pPr>
    </w:p>
    <w:p w:rsidR="00C16FF2" w:rsidRPr="00952F38" w:rsidRDefault="00C16FF2" w:rsidP="00C16FF2">
      <w:pPr>
        <w:ind w:left="1440" w:hanging="1440"/>
        <w:jc w:val="both"/>
        <w:rPr>
          <w:rFonts w:eastAsiaTheme="minorHAnsi" w:cstheme="minorBidi"/>
          <w:sz w:val="20"/>
          <w:lang w:val="fr-CA"/>
        </w:rPr>
      </w:pPr>
      <w:r w:rsidRPr="00952F38">
        <w:rPr>
          <w:b/>
          <w:sz w:val="20"/>
        </w:rPr>
        <w:fldChar w:fldCharType="begin"/>
      </w:r>
      <w:r w:rsidRPr="00952F38">
        <w:rPr>
          <w:b/>
          <w:sz w:val="20"/>
          <w:lang w:val="fr-CA"/>
        </w:rPr>
        <w:instrText xml:space="preserve"> SEQ CHAPTER \h \r 1</w:instrText>
      </w:r>
      <w:r w:rsidRPr="00952F38">
        <w:rPr>
          <w:b/>
          <w:sz w:val="20"/>
        </w:rPr>
        <w:fldChar w:fldCharType="end"/>
      </w:r>
      <w:r w:rsidRPr="00952F38">
        <w:rPr>
          <w:b/>
          <w:sz w:val="20"/>
          <w:lang w:val="fr-CA"/>
        </w:rPr>
        <w:t>39112</w:t>
      </w:r>
      <w:r w:rsidRPr="00952F38">
        <w:rPr>
          <w:color w:val="FF0000"/>
          <w:sz w:val="20"/>
          <w:lang w:val="fr-CA"/>
        </w:rPr>
        <w:tab/>
      </w:r>
      <w:r w:rsidRPr="00952F38">
        <w:rPr>
          <w:b/>
          <w:bCs/>
          <w:color w:val="000000"/>
          <w:sz w:val="20"/>
          <w:lang w:val="fr-CA"/>
        </w:rPr>
        <w:t>Peter Khill v. Her Majesty The Queen</w:t>
      </w:r>
      <w:r w:rsidRPr="00952F38">
        <w:rPr>
          <w:rFonts w:eastAsiaTheme="minorHAnsi" w:cstheme="minorBidi"/>
          <w:b/>
          <w:sz w:val="20"/>
          <w:lang w:val="fr-CA"/>
        </w:rPr>
        <w:t xml:space="preserve"> - and - Association québécoise des avocats et avocates de la défense and Criminal Lawyers’ Association (Ontario) </w:t>
      </w:r>
      <w:r w:rsidRPr="00952F38">
        <w:rPr>
          <w:rFonts w:eastAsiaTheme="minorHAnsi" w:cstheme="minorBidi"/>
          <w:iCs/>
          <w:sz w:val="20"/>
          <w:lang w:val="fr-CA"/>
        </w:rPr>
        <w:t>(Ont.)</w:t>
      </w:r>
    </w:p>
    <w:p w:rsidR="00C16FF2" w:rsidRPr="00952F38" w:rsidRDefault="00C16FF2" w:rsidP="00C16FF2">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952F38">
        <w:rPr>
          <w:rFonts w:eastAsiaTheme="minorHAnsi" w:cstheme="minorBidi"/>
          <w:b/>
          <w:sz w:val="20"/>
        </w:rPr>
        <w:t>2021 SCC 3</w:t>
      </w:r>
      <w:r w:rsidR="00952F38" w:rsidRPr="00952F38">
        <w:rPr>
          <w:rFonts w:eastAsiaTheme="minorHAnsi" w:cstheme="minorBidi"/>
          <w:b/>
          <w:sz w:val="20"/>
        </w:rPr>
        <w:t>7</w:t>
      </w:r>
      <w:r w:rsidRPr="00952F38">
        <w:rPr>
          <w:rFonts w:eastAsiaTheme="minorHAnsi" w:cstheme="minorBidi"/>
          <w:b/>
          <w:sz w:val="20"/>
        </w:rPr>
        <w:t xml:space="preserve"> / 2021 CSC 3</w:t>
      </w:r>
      <w:r w:rsidR="00952F38" w:rsidRPr="00952F38">
        <w:rPr>
          <w:rFonts w:eastAsiaTheme="minorHAnsi" w:cstheme="minorBidi"/>
          <w:b/>
          <w:sz w:val="20"/>
        </w:rPr>
        <w:t>7</w:t>
      </w:r>
    </w:p>
    <w:p w:rsidR="00C16FF2" w:rsidRPr="00952F38" w:rsidRDefault="00C16FF2" w:rsidP="00C16FF2">
      <w:pPr>
        <w:ind w:left="1440" w:hanging="1440"/>
        <w:jc w:val="both"/>
        <w:rPr>
          <w:sz w:val="20"/>
        </w:rPr>
      </w:pPr>
    </w:p>
    <w:p w:rsidR="00C16FF2" w:rsidRPr="00952F38" w:rsidRDefault="00C16FF2" w:rsidP="00C16FF2">
      <w:pPr>
        <w:ind w:left="1440" w:hanging="1440"/>
        <w:rPr>
          <w:sz w:val="20"/>
        </w:rPr>
      </w:pPr>
      <w:r w:rsidRPr="00952F38">
        <w:rPr>
          <w:sz w:val="20"/>
        </w:rPr>
        <w:t>Coram:</w:t>
      </w:r>
      <w:r w:rsidRPr="00952F38">
        <w:rPr>
          <w:sz w:val="20"/>
        </w:rPr>
        <w:tab/>
        <w:t>Wagner C.J. and Abella, Moldaver, Karakatsanis, Côté, Brown, Rowe, Martin and Kasirer JJ.</w:t>
      </w:r>
    </w:p>
    <w:p w:rsidR="00C16FF2" w:rsidRPr="00952F38" w:rsidRDefault="00C16FF2" w:rsidP="00C16FF2">
      <w:pPr>
        <w:jc w:val="both"/>
        <w:rPr>
          <w:sz w:val="20"/>
        </w:rPr>
      </w:pPr>
    </w:p>
    <w:p w:rsidR="00BF5F65" w:rsidRPr="00952F38" w:rsidRDefault="00BF5F65" w:rsidP="00BF5F65">
      <w:pPr>
        <w:jc w:val="both"/>
        <w:rPr>
          <w:sz w:val="20"/>
          <w:lang w:val="fr-CA"/>
        </w:rPr>
      </w:pPr>
      <w:r w:rsidRPr="00952F38">
        <w:rPr>
          <w:sz w:val="20"/>
        </w:rPr>
        <w:t xml:space="preserve">The appeal from the judgment </w:t>
      </w:r>
      <w:bookmarkStart w:id="0" w:name="BM_1_"/>
      <w:bookmarkEnd w:id="0"/>
      <w:r w:rsidRPr="00952F38">
        <w:rPr>
          <w:sz w:val="20"/>
        </w:rPr>
        <w:t xml:space="preserve">of the Court of Appeal for Ontario, Number C65655, 2020 ONCA 151, dated February 26, 2020, heard on February 18, 2021, is dismissed. </w:t>
      </w:r>
      <w:r w:rsidRPr="00952F38">
        <w:rPr>
          <w:sz w:val="20"/>
          <w:lang w:val="fr-CA"/>
        </w:rPr>
        <w:t>Côté J. dissents.</w:t>
      </w:r>
    </w:p>
    <w:p w:rsidR="00C16FF2" w:rsidRPr="00952F38" w:rsidRDefault="00C16FF2" w:rsidP="00C16FF2">
      <w:pPr>
        <w:jc w:val="both"/>
        <w:rPr>
          <w:sz w:val="20"/>
          <w:lang w:val="fr-CA"/>
        </w:rPr>
      </w:pPr>
    </w:p>
    <w:p w:rsidR="00BF5F65" w:rsidRPr="00952F38" w:rsidRDefault="00BF5F65" w:rsidP="00BF5F65">
      <w:pPr>
        <w:jc w:val="both"/>
        <w:rPr>
          <w:sz w:val="20"/>
          <w:lang w:val="fr-CA"/>
        </w:rPr>
      </w:pPr>
      <w:r w:rsidRPr="00952F38">
        <w:rPr>
          <w:sz w:val="20"/>
          <w:lang w:val="fr-CA"/>
        </w:rPr>
        <w:t>L’appel interjeté contre l’arrêt de la Cour d’appel de l’Ontario, numéro C65655, 2020 ONCA 151, daté du 26 février 2020, entendu le 18 février 2021, est rejeté. La juge Côté est dissidente.</w:t>
      </w:r>
    </w:p>
    <w:p w:rsidR="00062C6D" w:rsidRPr="00952F38" w:rsidRDefault="00062C6D" w:rsidP="00062C6D">
      <w:pPr>
        <w:ind w:left="1440" w:hanging="1440"/>
        <w:rPr>
          <w:rFonts w:eastAsiaTheme="minorHAnsi" w:cstheme="minorBidi"/>
          <w:sz w:val="20"/>
          <w:lang w:val="fr-CA"/>
        </w:rPr>
      </w:pPr>
    </w:p>
    <w:p w:rsidR="005B47C3" w:rsidRPr="00952F38" w:rsidRDefault="00952F38" w:rsidP="005B47C3">
      <w:pPr>
        <w:rPr>
          <w:rFonts w:eastAsiaTheme="minorHAnsi" w:cstheme="minorBidi"/>
          <w:sz w:val="20"/>
          <w:lang w:val="fr-CA"/>
        </w:rPr>
      </w:pPr>
      <w:r w:rsidRPr="00952F38">
        <w:rPr>
          <w:sz w:val="20"/>
        </w:rPr>
        <w:pict>
          <v:rect id="_x0000_i1026" style="width:2in;height:1pt" o:hrpct="0" o:hralign="center" o:hrstd="t" o:hrnoshade="t" o:hr="t" fillcolor="black [3213]" stroked="f"/>
        </w:pict>
      </w:r>
    </w:p>
    <w:p w:rsidR="00844741" w:rsidRPr="00952F38" w:rsidRDefault="00844741" w:rsidP="00104BEE">
      <w:pPr>
        <w:jc w:val="both"/>
        <w:rPr>
          <w:sz w:val="20"/>
          <w:lang w:val="fr-CA"/>
        </w:rPr>
      </w:pPr>
    </w:p>
    <w:p w:rsidR="009D2AD9" w:rsidRPr="00952F38" w:rsidRDefault="00D01D61" w:rsidP="009D2AD9">
      <w:pPr>
        <w:rPr>
          <w:lang w:val="fr-CA"/>
        </w:rPr>
      </w:pPr>
      <w:r w:rsidRPr="00952F38">
        <w:rPr>
          <w:szCs w:val="24"/>
        </w:rPr>
        <w:fldChar w:fldCharType="begin"/>
      </w:r>
      <w:r w:rsidR="009D2AD9" w:rsidRPr="00952F38">
        <w:rPr>
          <w:szCs w:val="24"/>
          <w:lang w:val="fr-CA"/>
        </w:rPr>
        <w:instrText xml:space="preserve"> SEQ CHAPTER \h \r 1</w:instrText>
      </w:r>
      <w:r w:rsidRPr="00952F38">
        <w:rPr>
          <w:szCs w:val="24"/>
        </w:rPr>
        <w:fldChar w:fldCharType="end"/>
      </w:r>
      <w:r w:rsidR="009D2AD9" w:rsidRPr="00952F38">
        <w:rPr>
          <w:b/>
          <w:bCs/>
          <w:szCs w:val="24"/>
          <w:lang w:val="fr-CA"/>
        </w:rPr>
        <w:t>APPLICATION</w:t>
      </w:r>
      <w:r w:rsidR="0044099A" w:rsidRPr="00952F38">
        <w:rPr>
          <w:b/>
          <w:bCs/>
          <w:szCs w:val="24"/>
          <w:lang w:val="fr-CA"/>
        </w:rPr>
        <w:t>S</w:t>
      </w:r>
      <w:r w:rsidR="009D2AD9" w:rsidRPr="00952F38">
        <w:rPr>
          <w:b/>
          <w:bCs/>
          <w:szCs w:val="24"/>
          <w:lang w:val="fr-CA"/>
        </w:rPr>
        <w:t xml:space="preserve"> FOR LEAVE / DEMANDE</w:t>
      </w:r>
      <w:r w:rsidR="0044099A" w:rsidRPr="00952F38">
        <w:rPr>
          <w:b/>
          <w:bCs/>
          <w:szCs w:val="24"/>
          <w:lang w:val="fr-CA"/>
        </w:rPr>
        <w:t>S</w:t>
      </w:r>
      <w:r w:rsidR="009D2AD9" w:rsidRPr="00952F38">
        <w:rPr>
          <w:b/>
          <w:bCs/>
          <w:szCs w:val="24"/>
          <w:lang w:val="fr-CA"/>
        </w:rPr>
        <w:t xml:space="preserve"> D’AUTORISATION :</w:t>
      </w:r>
    </w:p>
    <w:p w:rsidR="009D2AD9" w:rsidRPr="00952F38" w:rsidRDefault="009D2AD9" w:rsidP="000627A2">
      <w:pPr>
        <w:widowControl w:val="0"/>
        <w:jc w:val="both"/>
        <w:rPr>
          <w:sz w:val="20"/>
          <w:lang w:val="fr-CA"/>
        </w:rPr>
      </w:pPr>
    </w:p>
    <w:p w:rsidR="00974DE9" w:rsidRPr="00952F38" w:rsidRDefault="00974DE9" w:rsidP="00974DE9">
      <w:pPr>
        <w:jc w:val="both"/>
        <w:rPr>
          <w:b/>
          <w:sz w:val="22"/>
          <w:szCs w:val="22"/>
        </w:rPr>
      </w:pPr>
      <w:r w:rsidRPr="00952F38">
        <w:rPr>
          <w:b/>
          <w:sz w:val="22"/>
          <w:szCs w:val="22"/>
        </w:rPr>
        <w:t>GRANTED / ACCORDÉES</w:t>
      </w:r>
    </w:p>
    <w:p w:rsidR="00974DE9" w:rsidRPr="00952F38" w:rsidRDefault="00974DE9" w:rsidP="00974DE9">
      <w:pPr>
        <w:jc w:val="both"/>
        <w:rPr>
          <w:sz w:val="20"/>
        </w:rPr>
      </w:pPr>
    </w:p>
    <w:p w:rsidR="001F3271" w:rsidRPr="00952F38" w:rsidRDefault="001F3271" w:rsidP="001F3271">
      <w:pPr>
        <w:rPr>
          <w:sz w:val="22"/>
          <w:szCs w:val="22"/>
        </w:rPr>
      </w:pPr>
      <w:r w:rsidRPr="00952F38">
        <w:rPr>
          <w:i/>
          <w:sz w:val="22"/>
          <w:szCs w:val="22"/>
        </w:rPr>
        <w:t>Transportation Safety Board of Canada v. Kathleen Carroll-Byrne, Asher Hodara, Georges Liboy, Air Canada, Airbus S.A.S., Nav Canada, Halifax International Airport Authority, Attorney General of Canada representing Her Majesty the Queen in right of Canada, John Doe#1, John Doe#2 and Air Canada Pilots’ Association</w:t>
      </w:r>
      <w:r w:rsidRPr="00952F38">
        <w:rPr>
          <w:sz w:val="22"/>
          <w:szCs w:val="22"/>
        </w:rPr>
        <w:t xml:space="preserve"> (N.S.) (Civil) (By Leave) </w:t>
      </w:r>
      <w:r w:rsidRPr="00952F38">
        <w:rPr>
          <w:rFonts w:eastAsia="Calibri"/>
          <w:sz w:val="22"/>
          <w:szCs w:val="22"/>
        </w:rPr>
        <w:t>(</w:t>
      </w:r>
      <w:hyperlink r:id="rId11" w:history="1">
        <w:r w:rsidRPr="00952F38">
          <w:rPr>
            <w:rStyle w:val="Hyperlink"/>
            <w:rFonts w:eastAsia="Calibri"/>
            <w:sz w:val="22"/>
            <w:szCs w:val="22"/>
          </w:rPr>
          <w:t>39661</w:t>
        </w:r>
      </w:hyperlink>
      <w:r w:rsidRPr="00952F38">
        <w:rPr>
          <w:rFonts w:eastAsia="Calibri"/>
          <w:sz w:val="22"/>
          <w:szCs w:val="22"/>
        </w:rPr>
        <w:t>)</w:t>
      </w:r>
    </w:p>
    <w:p w:rsidR="00974DE9" w:rsidRPr="00952F38" w:rsidRDefault="00974DE9" w:rsidP="00974DE9">
      <w:pPr>
        <w:jc w:val="both"/>
        <w:rPr>
          <w:sz w:val="20"/>
        </w:rPr>
      </w:pPr>
    </w:p>
    <w:p w:rsidR="001F3271" w:rsidRPr="00952F38" w:rsidRDefault="001F3271" w:rsidP="001F3271">
      <w:pPr>
        <w:jc w:val="both"/>
        <w:rPr>
          <w:sz w:val="20"/>
        </w:rPr>
      </w:pPr>
      <w:r w:rsidRPr="00952F38">
        <w:rPr>
          <w:sz w:val="20"/>
        </w:rPr>
        <w:lastRenderedPageBreak/>
        <w:t>The application for leave to appeal from the judgment of the Nova Scotia Court of Appeal, Number CA 495035, 2021 NSCA 34, dated April 16, 2021, is granted. The decision on costs is referred to the panel hearing the appeal.</w:t>
      </w:r>
    </w:p>
    <w:p w:rsidR="001F3271" w:rsidRPr="00952F38" w:rsidRDefault="001F3271" w:rsidP="001F3271">
      <w:pPr>
        <w:jc w:val="both"/>
        <w:rPr>
          <w:sz w:val="20"/>
        </w:rPr>
      </w:pPr>
    </w:p>
    <w:p w:rsidR="001F3271" w:rsidRPr="00952F38" w:rsidRDefault="001F3271" w:rsidP="001F3271">
      <w:pPr>
        <w:jc w:val="both"/>
        <w:rPr>
          <w:sz w:val="20"/>
        </w:rPr>
      </w:pPr>
      <w:r w:rsidRPr="00952F38">
        <w:rPr>
          <w:sz w:val="20"/>
        </w:rPr>
        <w:t>The motion to expedite the hearing of the appeal is granted.</w:t>
      </w:r>
    </w:p>
    <w:p w:rsidR="001F3271" w:rsidRPr="00952F38" w:rsidRDefault="001F3271" w:rsidP="001F3271">
      <w:pPr>
        <w:jc w:val="both"/>
        <w:rPr>
          <w:sz w:val="20"/>
        </w:rPr>
      </w:pPr>
    </w:p>
    <w:p w:rsidR="001F3271" w:rsidRPr="00952F38" w:rsidRDefault="001F3271" w:rsidP="001F3271">
      <w:pPr>
        <w:jc w:val="both"/>
        <w:rPr>
          <w:sz w:val="20"/>
        </w:rPr>
      </w:pPr>
      <w:r w:rsidRPr="00952F38">
        <w:rPr>
          <w:sz w:val="20"/>
        </w:rPr>
        <w:t>The Acting Registrar shall set the filing deadlines.</w:t>
      </w:r>
    </w:p>
    <w:p w:rsidR="001F3271" w:rsidRPr="00952F38" w:rsidRDefault="001F3271" w:rsidP="00974DE9">
      <w:pPr>
        <w:jc w:val="both"/>
        <w:rPr>
          <w:sz w:val="20"/>
        </w:rPr>
      </w:pPr>
    </w:p>
    <w:p w:rsidR="001F3271" w:rsidRPr="00952F38" w:rsidRDefault="001F3271" w:rsidP="001F3271">
      <w:pPr>
        <w:jc w:val="both"/>
        <w:rPr>
          <w:sz w:val="20"/>
          <w:lang w:val="fr-CA"/>
        </w:rPr>
      </w:pPr>
      <w:r w:rsidRPr="00952F38">
        <w:rPr>
          <w:sz w:val="20"/>
          <w:lang w:val="fr-CA"/>
        </w:rPr>
        <w:t>La demande d’autorisation d’appel de l’arrêt de la Cour d’appel de la Nouvelle-Écosse, numéro CA 495035, 2021 NSCA 34, daté du 16 avril 2021, est accueillie. La décision quant aux dépens est renvoyée à la formation de la Cour qui entendra l’appel.</w:t>
      </w:r>
    </w:p>
    <w:p w:rsidR="001F3271" w:rsidRPr="00952F38" w:rsidRDefault="001F3271" w:rsidP="001F3271">
      <w:pPr>
        <w:jc w:val="both"/>
        <w:rPr>
          <w:sz w:val="20"/>
          <w:lang w:val="fr-CA"/>
        </w:rPr>
      </w:pPr>
    </w:p>
    <w:p w:rsidR="001F3271" w:rsidRPr="00952F38" w:rsidRDefault="001F3271" w:rsidP="001F3271">
      <w:pPr>
        <w:jc w:val="both"/>
        <w:rPr>
          <w:sz w:val="20"/>
          <w:lang w:val="fr-CA"/>
        </w:rPr>
      </w:pPr>
      <w:r w:rsidRPr="00952F38">
        <w:rPr>
          <w:sz w:val="20"/>
          <w:lang w:val="fr-CA"/>
        </w:rPr>
        <w:t>La requête pour accélérer l’audition de l’appel est accueillie.</w:t>
      </w:r>
    </w:p>
    <w:p w:rsidR="001F3271" w:rsidRPr="00952F38" w:rsidRDefault="001F3271" w:rsidP="001F3271">
      <w:pPr>
        <w:jc w:val="both"/>
        <w:rPr>
          <w:sz w:val="20"/>
          <w:lang w:val="fr-CA"/>
        </w:rPr>
      </w:pPr>
    </w:p>
    <w:p w:rsidR="001F3271" w:rsidRPr="00952F38" w:rsidRDefault="001F3271" w:rsidP="001F3271">
      <w:pPr>
        <w:jc w:val="both"/>
        <w:rPr>
          <w:sz w:val="20"/>
          <w:lang w:val="fr-CA"/>
        </w:rPr>
      </w:pPr>
      <w:r w:rsidRPr="00952F38">
        <w:rPr>
          <w:sz w:val="20"/>
          <w:lang w:val="fr-CA"/>
        </w:rPr>
        <w:t>Le registraire par intérim fixera les délais de dépôt.</w:t>
      </w:r>
    </w:p>
    <w:p w:rsidR="00974DE9" w:rsidRPr="00952F38" w:rsidRDefault="00974DE9" w:rsidP="00974DE9">
      <w:pPr>
        <w:jc w:val="both"/>
        <w:rPr>
          <w:sz w:val="20"/>
          <w:lang w:val="fr-CA"/>
        </w:rPr>
      </w:pPr>
    </w:p>
    <w:p w:rsidR="005B47C3" w:rsidRPr="00952F38" w:rsidRDefault="00952F38" w:rsidP="00974DE9">
      <w:pPr>
        <w:jc w:val="both"/>
        <w:rPr>
          <w:sz w:val="20"/>
        </w:rPr>
      </w:pPr>
      <w:r w:rsidRPr="00952F38">
        <w:rPr>
          <w:sz w:val="20"/>
        </w:rPr>
        <w:pict>
          <v:rect id="_x0000_i1027" style="width:2in;height:1pt" o:hrpct="0" o:hralign="center" o:hrstd="t" o:hrnoshade="t" o:hr="t" fillcolor="black [3213]" stroked="f"/>
        </w:pict>
      </w:r>
    </w:p>
    <w:p w:rsidR="00974DE9" w:rsidRPr="00952F38" w:rsidRDefault="00974DE9" w:rsidP="009F09C0">
      <w:pPr>
        <w:jc w:val="both"/>
        <w:rPr>
          <w:sz w:val="20"/>
        </w:rPr>
      </w:pPr>
    </w:p>
    <w:p w:rsidR="00435F05" w:rsidRPr="00952F38" w:rsidRDefault="00435F05" w:rsidP="00435F05">
      <w:pPr>
        <w:rPr>
          <w:rFonts w:eastAsia="Calibri"/>
          <w:sz w:val="22"/>
          <w:szCs w:val="22"/>
          <w:lang w:val="en-CA"/>
        </w:rPr>
      </w:pPr>
      <w:r w:rsidRPr="00952F38">
        <w:rPr>
          <w:rFonts w:eastAsia="Calibri"/>
          <w:i/>
          <w:sz w:val="22"/>
          <w:szCs w:val="22"/>
        </w:rPr>
        <w:t>Corporal C.R. McGregor v. Her Majesty the Queen</w:t>
      </w:r>
      <w:r w:rsidRPr="00952F38">
        <w:rPr>
          <w:rFonts w:eastAsia="Calibri"/>
          <w:sz w:val="22"/>
          <w:szCs w:val="22"/>
        </w:rPr>
        <w:t xml:space="preserve"> </w:t>
      </w:r>
      <w:r w:rsidRPr="00952F38">
        <w:rPr>
          <w:rFonts w:eastAsia="Calibri"/>
          <w:sz w:val="22"/>
          <w:szCs w:val="22"/>
          <w:lang w:val="en-CA"/>
        </w:rPr>
        <w:t>(C.M.A.C.) (Criminal) (By Leave) (</w:t>
      </w:r>
      <w:hyperlink r:id="rId12" w:history="1">
        <w:r w:rsidRPr="00952F38">
          <w:rPr>
            <w:rStyle w:val="Hyperlink"/>
            <w:rFonts w:eastAsia="Calibri"/>
            <w:sz w:val="22"/>
            <w:szCs w:val="22"/>
            <w:lang w:val="en-CA"/>
          </w:rPr>
          <w:t>39543</w:t>
        </w:r>
      </w:hyperlink>
      <w:r w:rsidRPr="00952F38">
        <w:rPr>
          <w:rFonts w:eastAsia="Calibri"/>
          <w:sz w:val="22"/>
          <w:szCs w:val="22"/>
          <w:lang w:val="en-CA"/>
        </w:rPr>
        <w:t>)</w:t>
      </w:r>
    </w:p>
    <w:p w:rsidR="00FE6D9C" w:rsidRPr="00952F38" w:rsidRDefault="00FE6D9C" w:rsidP="009F09C0">
      <w:pPr>
        <w:jc w:val="both"/>
        <w:rPr>
          <w:sz w:val="20"/>
        </w:rPr>
      </w:pPr>
    </w:p>
    <w:p w:rsidR="00435F05" w:rsidRPr="00952F38" w:rsidRDefault="00435F05" w:rsidP="00435F05">
      <w:pPr>
        <w:jc w:val="both"/>
        <w:rPr>
          <w:sz w:val="20"/>
        </w:rPr>
      </w:pPr>
      <w:r w:rsidRPr="00952F38">
        <w:rPr>
          <w:sz w:val="20"/>
        </w:rPr>
        <w:t>The application for leave to appeal from the judgment of the Court Martial Appeal Court of Canada, Number CMAC-602, 2020 CMAC 8, dated December 31, 2020, is granted.</w:t>
      </w:r>
    </w:p>
    <w:p w:rsidR="00FE6D9C" w:rsidRPr="00952F38" w:rsidRDefault="00FE6D9C" w:rsidP="009F09C0">
      <w:pPr>
        <w:jc w:val="both"/>
        <w:rPr>
          <w:sz w:val="20"/>
        </w:rPr>
      </w:pPr>
    </w:p>
    <w:p w:rsidR="00FE6D9C" w:rsidRPr="00952F38" w:rsidRDefault="00435F05" w:rsidP="009F09C0">
      <w:pPr>
        <w:jc w:val="both"/>
        <w:rPr>
          <w:sz w:val="20"/>
          <w:lang w:val="fr-CA"/>
        </w:rPr>
      </w:pPr>
      <w:r w:rsidRPr="00952F38">
        <w:rPr>
          <w:sz w:val="20"/>
          <w:lang w:val="fr-CA"/>
        </w:rPr>
        <w:t>La demande d’autorisation d’appel de l’arrêt de la Cour d’appel de la cour martiale du Canada, numéro CMAC-602, 2020 CMAC 8, daté du 31 décembre 2020, est accueillie.</w:t>
      </w:r>
    </w:p>
    <w:p w:rsidR="00FE6D9C" w:rsidRPr="00952F38" w:rsidRDefault="00FE6D9C" w:rsidP="009F09C0">
      <w:pPr>
        <w:jc w:val="both"/>
        <w:rPr>
          <w:sz w:val="20"/>
          <w:lang w:val="fr-CA"/>
        </w:rPr>
      </w:pPr>
    </w:p>
    <w:p w:rsidR="00FE6D9C" w:rsidRPr="00952F38" w:rsidRDefault="00952F38" w:rsidP="009F09C0">
      <w:pPr>
        <w:jc w:val="both"/>
        <w:rPr>
          <w:sz w:val="20"/>
        </w:rPr>
      </w:pPr>
      <w:r w:rsidRPr="00952F38">
        <w:rPr>
          <w:sz w:val="20"/>
        </w:rPr>
        <w:pict>
          <v:rect id="_x0000_i1028" style="width:2in;height:1pt" o:hrpct="0" o:hralign="center" o:hrstd="t" o:hrnoshade="t" o:hr="t" fillcolor="black [3213]" stroked="f"/>
        </w:pict>
      </w:r>
    </w:p>
    <w:p w:rsidR="00FE6D9C" w:rsidRPr="00952F38" w:rsidRDefault="00FE6D9C" w:rsidP="009F09C0">
      <w:pPr>
        <w:jc w:val="both"/>
        <w:rPr>
          <w:sz w:val="20"/>
        </w:rPr>
      </w:pPr>
    </w:p>
    <w:p w:rsidR="009F09C0" w:rsidRPr="00952F38" w:rsidRDefault="009F09C0" w:rsidP="009F09C0">
      <w:pPr>
        <w:jc w:val="both"/>
        <w:rPr>
          <w:b/>
          <w:sz w:val="22"/>
          <w:szCs w:val="22"/>
        </w:rPr>
      </w:pPr>
      <w:r w:rsidRPr="00952F38">
        <w:rPr>
          <w:b/>
          <w:sz w:val="22"/>
          <w:szCs w:val="22"/>
        </w:rPr>
        <w:t>DISMISSED / REJETÉES</w:t>
      </w:r>
    </w:p>
    <w:p w:rsidR="009971D8" w:rsidRPr="00952F38" w:rsidRDefault="009971D8" w:rsidP="00026162">
      <w:pPr>
        <w:widowControl w:val="0"/>
        <w:rPr>
          <w:sz w:val="20"/>
        </w:rPr>
      </w:pPr>
    </w:p>
    <w:p w:rsidR="001F3271" w:rsidRPr="00952F38" w:rsidRDefault="001F3271" w:rsidP="001F3271">
      <w:pPr>
        <w:rPr>
          <w:sz w:val="22"/>
          <w:szCs w:val="22"/>
        </w:rPr>
      </w:pPr>
      <w:r w:rsidRPr="00952F38">
        <w:rPr>
          <w:i/>
          <w:sz w:val="22"/>
          <w:szCs w:val="22"/>
        </w:rPr>
        <w:t>Attorney General of Ontario v. Ontario Nurses’ Association, Service Employees International Union, Local 1 and Pay Equity Hearings Tribunal</w:t>
      </w:r>
      <w:r w:rsidRPr="00952F38">
        <w:rPr>
          <w:sz w:val="22"/>
          <w:szCs w:val="22"/>
        </w:rPr>
        <w:t xml:space="preserve"> </w:t>
      </w:r>
      <w:r w:rsidRPr="00952F38">
        <w:rPr>
          <w:i/>
          <w:sz w:val="22"/>
          <w:szCs w:val="22"/>
        </w:rPr>
        <w:t>- and between - Participating Nursing Homes v. Ontario Nurses’ Association, Service Employees International Union, Local 1 and Pay Equity Hearings Tribunal</w:t>
      </w:r>
      <w:r w:rsidRPr="00952F38">
        <w:rPr>
          <w:sz w:val="22"/>
          <w:szCs w:val="22"/>
        </w:rPr>
        <w:t xml:space="preserve"> (Ont.) (Civil) (By Leave) </w:t>
      </w:r>
      <w:r w:rsidRPr="00952F38">
        <w:rPr>
          <w:rFonts w:eastAsia="Calibri"/>
          <w:sz w:val="22"/>
          <w:szCs w:val="22"/>
        </w:rPr>
        <w:t>(</w:t>
      </w:r>
      <w:hyperlink r:id="rId13" w:history="1">
        <w:r w:rsidRPr="00952F38">
          <w:rPr>
            <w:rStyle w:val="Hyperlink"/>
            <w:rFonts w:eastAsia="Calibri"/>
            <w:sz w:val="22"/>
            <w:szCs w:val="22"/>
          </w:rPr>
          <w:t>39650</w:t>
        </w:r>
      </w:hyperlink>
      <w:r w:rsidRPr="00952F38">
        <w:rPr>
          <w:rFonts w:eastAsia="Calibri"/>
          <w:sz w:val="22"/>
          <w:szCs w:val="22"/>
        </w:rPr>
        <w:t>)</w:t>
      </w:r>
    </w:p>
    <w:p w:rsidR="006F0310" w:rsidRPr="00952F38" w:rsidRDefault="006F0310" w:rsidP="00026162">
      <w:pPr>
        <w:widowControl w:val="0"/>
        <w:rPr>
          <w:sz w:val="20"/>
        </w:rPr>
      </w:pPr>
    </w:p>
    <w:p w:rsidR="001F3271" w:rsidRPr="00952F38" w:rsidRDefault="001F3271" w:rsidP="001F3271">
      <w:pPr>
        <w:jc w:val="both"/>
        <w:rPr>
          <w:sz w:val="20"/>
        </w:rPr>
      </w:pPr>
      <w:r w:rsidRPr="00952F38">
        <w:rPr>
          <w:sz w:val="20"/>
        </w:rPr>
        <w:t>The applications for leave to appeal from the judgment of the Court of Appeal for Ontario, Numbers C67495 and C67497, 2021 ONCA 148, dated March 9, 2021, are dismissed with costs to the Service Employees International Union, Local 1.</w:t>
      </w:r>
    </w:p>
    <w:p w:rsidR="006F0310" w:rsidRPr="00952F38" w:rsidRDefault="006F0310" w:rsidP="00026162">
      <w:pPr>
        <w:widowControl w:val="0"/>
        <w:rPr>
          <w:sz w:val="20"/>
        </w:rPr>
      </w:pPr>
    </w:p>
    <w:p w:rsidR="00A357F9" w:rsidRPr="00952F38" w:rsidRDefault="001F3271" w:rsidP="00B942F0">
      <w:pPr>
        <w:widowControl w:val="0"/>
        <w:jc w:val="both"/>
        <w:rPr>
          <w:sz w:val="20"/>
          <w:lang w:val="fr-CA"/>
        </w:rPr>
      </w:pPr>
      <w:r w:rsidRPr="00952F38">
        <w:rPr>
          <w:sz w:val="20"/>
          <w:lang w:val="fr-CA"/>
        </w:rPr>
        <w:t>Les demandes d’autorisation d’appel de l’arrêt de la Cour d’appel de l’Ontario, numéros C67495 et C67497, 2021 ONCA 148, daté du 9 mars 2021, sont rejetées avec dépens en faveur de l’intimé, the Service Employees International Union, Local 1.</w:t>
      </w:r>
    </w:p>
    <w:p w:rsidR="001F3271" w:rsidRPr="00952F38" w:rsidRDefault="001F3271" w:rsidP="00A357F9">
      <w:pPr>
        <w:widowControl w:val="0"/>
        <w:rPr>
          <w:sz w:val="20"/>
          <w:lang w:val="fr-CA"/>
        </w:rPr>
      </w:pPr>
    </w:p>
    <w:p w:rsidR="005B47C3" w:rsidRPr="00952F38" w:rsidRDefault="00952F38" w:rsidP="00A357F9">
      <w:pPr>
        <w:widowControl w:val="0"/>
        <w:rPr>
          <w:sz w:val="20"/>
          <w:lang w:val="fr-CA"/>
        </w:rPr>
      </w:pPr>
      <w:r w:rsidRPr="00952F38">
        <w:rPr>
          <w:sz w:val="20"/>
        </w:rPr>
        <w:pict>
          <v:rect id="_x0000_i1029" style="width:2in;height:1pt" o:hrpct="0" o:hralign="center" o:hrstd="t" o:hrnoshade="t" o:hr="t" fillcolor="black [3213]" stroked="f"/>
        </w:pict>
      </w:r>
    </w:p>
    <w:p w:rsidR="00EC6323" w:rsidRPr="00952F38" w:rsidRDefault="00EC6323" w:rsidP="00026162">
      <w:pPr>
        <w:widowControl w:val="0"/>
        <w:rPr>
          <w:sz w:val="20"/>
        </w:rPr>
      </w:pPr>
    </w:p>
    <w:p w:rsidR="001F3271" w:rsidRPr="00952F38" w:rsidRDefault="001F3271" w:rsidP="001F3271">
      <w:pPr>
        <w:rPr>
          <w:sz w:val="22"/>
          <w:szCs w:val="22"/>
        </w:rPr>
      </w:pPr>
      <w:r w:rsidRPr="00952F38">
        <w:rPr>
          <w:i/>
          <w:sz w:val="22"/>
          <w:szCs w:val="22"/>
          <w:lang w:val="fr-CA"/>
        </w:rPr>
        <w:t>Unidisc Music Inc. v. Agence du revenu du Québec</w:t>
      </w:r>
      <w:r w:rsidRPr="00952F38">
        <w:rPr>
          <w:sz w:val="22"/>
          <w:szCs w:val="22"/>
          <w:lang w:val="fr-CA"/>
        </w:rPr>
        <w:t xml:space="preserve"> (Que.) </w:t>
      </w:r>
      <w:r w:rsidRPr="00952F38">
        <w:rPr>
          <w:sz w:val="22"/>
          <w:szCs w:val="22"/>
        </w:rPr>
        <w:t>(Civil) (By Leave)</w:t>
      </w:r>
      <w:r w:rsidRPr="00952F38">
        <w:rPr>
          <w:rFonts w:eastAsia="Calibri"/>
          <w:sz w:val="22"/>
          <w:szCs w:val="22"/>
        </w:rPr>
        <w:t xml:space="preserve"> (</w:t>
      </w:r>
      <w:hyperlink r:id="rId14" w:history="1">
        <w:r w:rsidRPr="00952F38">
          <w:rPr>
            <w:rStyle w:val="Hyperlink"/>
            <w:rFonts w:eastAsia="Calibri"/>
            <w:sz w:val="22"/>
            <w:szCs w:val="22"/>
          </w:rPr>
          <w:t>39657</w:t>
        </w:r>
      </w:hyperlink>
      <w:r w:rsidRPr="00952F38">
        <w:rPr>
          <w:rFonts w:eastAsia="Calibri"/>
          <w:sz w:val="22"/>
          <w:szCs w:val="22"/>
        </w:rPr>
        <w:t>)</w:t>
      </w:r>
    </w:p>
    <w:p w:rsidR="008D70F6" w:rsidRPr="00952F38" w:rsidRDefault="008D70F6" w:rsidP="00026162">
      <w:pPr>
        <w:widowControl w:val="0"/>
        <w:rPr>
          <w:sz w:val="20"/>
          <w:lang w:val="en-CA"/>
        </w:rPr>
      </w:pPr>
    </w:p>
    <w:p w:rsidR="001F3271" w:rsidRPr="00952F38" w:rsidRDefault="001F3271" w:rsidP="001F3271">
      <w:pPr>
        <w:jc w:val="both"/>
        <w:rPr>
          <w:sz w:val="20"/>
        </w:rPr>
      </w:pPr>
      <w:r w:rsidRPr="00952F38">
        <w:rPr>
          <w:sz w:val="20"/>
        </w:rPr>
        <w:t>The application for leave to appeal from the judgment of the Court of Appeal of Quebec (Montréal), Number 500-09-028299-196, 2021 QCCA 393, dated March 10, 2021, is dismissed with costs.</w:t>
      </w:r>
    </w:p>
    <w:p w:rsidR="00D212C8" w:rsidRPr="00952F38" w:rsidRDefault="00D212C8" w:rsidP="00026162">
      <w:pPr>
        <w:widowControl w:val="0"/>
        <w:rPr>
          <w:sz w:val="20"/>
        </w:rPr>
      </w:pPr>
    </w:p>
    <w:p w:rsidR="00D212C8" w:rsidRPr="00952F38" w:rsidRDefault="001F3271" w:rsidP="00B942F0">
      <w:pPr>
        <w:widowControl w:val="0"/>
        <w:jc w:val="both"/>
        <w:rPr>
          <w:sz w:val="20"/>
          <w:lang w:val="fr-CA"/>
        </w:rPr>
      </w:pPr>
      <w:r w:rsidRPr="00952F38">
        <w:rPr>
          <w:sz w:val="20"/>
          <w:lang w:val="fr-CA"/>
        </w:rPr>
        <w:t>La demande d’autorisation d’appel de l’arrêt de la Cour d’appel du Québec (Montréal), numéro 500-09-028299-196, 2021 QCCA 393, daté du 10 mars 2021, est rejetée avec dépens.</w:t>
      </w:r>
    </w:p>
    <w:p w:rsidR="006F0310" w:rsidRPr="00952F38" w:rsidRDefault="006F0310" w:rsidP="00FE6D9C">
      <w:pPr>
        <w:ind w:left="357" w:hanging="357"/>
        <w:jc w:val="both"/>
        <w:rPr>
          <w:sz w:val="20"/>
          <w:lang w:val="fr-CA"/>
        </w:rPr>
      </w:pPr>
    </w:p>
    <w:p w:rsidR="005B47C3" w:rsidRPr="00952F38" w:rsidRDefault="00952F38" w:rsidP="005B47C3">
      <w:pPr>
        <w:contextualSpacing/>
        <w:jc w:val="both"/>
        <w:rPr>
          <w:sz w:val="20"/>
          <w:lang w:val="fr-CA"/>
        </w:rPr>
      </w:pPr>
      <w:r w:rsidRPr="00952F38">
        <w:rPr>
          <w:sz w:val="20"/>
        </w:rPr>
        <w:pict>
          <v:rect id="_x0000_i1030" style="width:2in;height:1pt" o:hrpct="0" o:hralign="center" o:hrstd="t" o:hrnoshade="t" o:hr="t" fillcolor="black [3213]" stroked="f"/>
        </w:pict>
      </w:r>
    </w:p>
    <w:p w:rsidR="00AD4F01" w:rsidRPr="00952F38" w:rsidRDefault="00AD4F01" w:rsidP="00AD4F01">
      <w:pPr>
        <w:jc w:val="both"/>
        <w:rPr>
          <w:sz w:val="20"/>
        </w:rPr>
      </w:pPr>
    </w:p>
    <w:p w:rsidR="001F3271" w:rsidRPr="00952F38" w:rsidRDefault="001F3271" w:rsidP="001F3271">
      <w:pPr>
        <w:rPr>
          <w:rFonts w:eastAsiaTheme="minorHAnsi" w:cstheme="minorBidi"/>
          <w:sz w:val="22"/>
          <w:szCs w:val="22"/>
          <w:lang w:val="fr-CA"/>
        </w:rPr>
      </w:pPr>
      <w:r w:rsidRPr="00952F38">
        <w:rPr>
          <w:rFonts w:eastAsiaTheme="minorHAnsi" w:cstheme="minorBidi"/>
          <w:i/>
          <w:sz w:val="22"/>
          <w:szCs w:val="22"/>
          <w:lang w:val="fr-CA"/>
        </w:rPr>
        <w:t>Seul Eche Manrique c. Sa Majesté la Reine</w:t>
      </w:r>
      <w:r w:rsidRPr="00952F38">
        <w:rPr>
          <w:rFonts w:eastAsiaTheme="minorHAnsi" w:cstheme="minorBidi"/>
          <w:sz w:val="22"/>
          <w:szCs w:val="22"/>
          <w:lang w:val="fr-CA"/>
        </w:rPr>
        <w:t xml:space="preserve"> (Qc) (Criminelle) (Autorisation) </w:t>
      </w:r>
      <w:r w:rsidRPr="00952F38">
        <w:rPr>
          <w:rFonts w:eastAsia="Calibri"/>
          <w:sz w:val="22"/>
          <w:szCs w:val="22"/>
          <w:lang w:val="fr-CA"/>
        </w:rPr>
        <w:t>(</w:t>
      </w:r>
      <w:hyperlink r:id="rId15" w:history="1">
        <w:r w:rsidRPr="00952F38">
          <w:rPr>
            <w:rStyle w:val="Hyperlink"/>
            <w:rFonts w:eastAsia="Calibri"/>
            <w:sz w:val="22"/>
            <w:szCs w:val="22"/>
            <w:lang w:val="fr-CA"/>
          </w:rPr>
          <w:t>39694</w:t>
        </w:r>
      </w:hyperlink>
      <w:r w:rsidRPr="00952F38">
        <w:rPr>
          <w:rFonts w:eastAsia="Calibri"/>
          <w:sz w:val="22"/>
          <w:szCs w:val="22"/>
          <w:lang w:val="fr-CA"/>
        </w:rPr>
        <w:t>)</w:t>
      </w:r>
    </w:p>
    <w:p w:rsidR="00FE6D9C" w:rsidRPr="00952F38" w:rsidRDefault="00FE6D9C" w:rsidP="00AD4F01">
      <w:pPr>
        <w:jc w:val="both"/>
        <w:rPr>
          <w:sz w:val="20"/>
          <w:lang w:val="fr-CA"/>
        </w:rPr>
      </w:pPr>
    </w:p>
    <w:p w:rsidR="001F3271" w:rsidRPr="00952F38" w:rsidRDefault="001F3271" w:rsidP="001F3271">
      <w:pPr>
        <w:jc w:val="both"/>
        <w:rPr>
          <w:sz w:val="20"/>
          <w:lang w:val="fr-CA"/>
        </w:rPr>
      </w:pPr>
      <w:r w:rsidRPr="00952F38">
        <w:rPr>
          <w:sz w:val="20"/>
          <w:lang w:val="fr-CA"/>
        </w:rPr>
        <w:lastRenderedPageBreak/>
        <w:t>La requête en prorogation du délai de signification et de dépôt de la demande d’autorisation d’appel est accueillie. La demande d’autorisation d’appel de l’arrêt de la Cour d’appel du Québec (Montréal), numéro 500-10-006911-182, 2020 QCCA 1170, daté du 17 septembre 2020, est rejetée.</w:t>
      </w:r>
    </w:p>
    <w:p w:rsidR="00FE6D9C" w:rsidRPr="00952F38" w:rsidRDefault="00FE6D9C" w:rsidP="00AD4F01">
      <w:pPr>
        <w:jc w:val="both"/>
        <w:rPr>
          <w:sz w:val="20"/>
          <w:lang w:val="fr-CA"/>
        </w:rPr>
      </w:pPr>
    </w:p>
    <w:p w:rsidR="001F3271" w:rsidRPr="00952F38" w:rsidRDefault="001F3271" w:rsidP="001F3271">
      <w:pPr>
        <w:jc w:val="both"/>
        <w:rPr>
          <w:sz w:val="20"/>
          <w:lang w:val="en-CA"/>
        </w:rPr>
      </w:pPr>
      <w:r w:rsidRPr="00952F38">
        <w:rPr>
          <w:sz w:val="20"/>
          <w:lang w:val="en-CA"/>
        </w:rPr>
        <w:t xml:space="preserve">The motion for an extension of time to serve and file the application for leave to appeal is granted. The application for leave to appeal from the judgment of the </w:t>
      </w:r>
      <w:r w:rsidRPr="00952F38">
        <w:rPr>
          <w:sz w:val="20"/>
        </w:rPr>
        <w:t>Court of Appeal of Quebec (Montréal)</w:t>
      </w:r>
      <w:r w:rsidRPr="00952F38">
        <w:rPr>
          <w:sz w:val="20"/>
          <w:lang w:val="en-CA"/>
        </w:rPr>
        <w:t xml:space="preserve">, Number </w:t>
      </w:r>
      <w:r w:rsidRPr="00952F38">
        <w:rPr>
          <w:sz w:val="20"/>
        </w:rPr>
        <w:t>500-10-006911-182</w:t>
      </w:r>
      <w:r w:rsidRPr="00952F38">
        <w:rPr>
          <w:sz w:val="20"/>
          <w:lang w:val="en-CA"/>
        </w:rPr>
        <w:t xml:space="preserve">, </w:t>
      </w:r>
      <w:r w:rsidRPr="00952F38">
        <w:rPr>
          <w:sz w:val="20"/>
        </w:rPr>
        <w:t xml:space="preserve">2020 QCCA 1170, </w:t>
      </w:r>
      <w:r w:rsidRPr="00952F38">
        <w:rPr>
          <w:sz w:val="20"/>
          <w:lang w:val="en-CA"/>
        </w:rPr>
        <w:t xml:space="preserve">dated </w:t>
      </w:r>
      <w:r w:rsidRPr="00952F38">
        <w:rPr>
          <w:sz w:val="20"/>
        </w:rPr>
        <w:t>September 17, 2020,</w:t>
      </w:r>
      <w:r w:rsidRPr="00952F38">
        <w:rPr>
          <w:sz w:val="20"/>
          <w:lang w:val="en-CA"/>
        </w:rPr>
        <w:t xml:space="preserve"> is dismissed.</w:t>
      </w:r>
    </w:p>
    <w:p w:rsidR="00FE6D9C" w:rsidRPr="00952F38" w:rsidRDefault="00FE6D9C" w:rsidP="00FE6D9C">
      <w:pPr>
        <w:ind w:left="357" w:hanging="357"/>
        <w:jc w:val="both"/>
        <w:rPr>
          <w:sz w:val="20"/>
        </w:rPr>
      </w:pPr>
    </w:p>
    <w:p w:rsidR="00FE6D9C" w:rsidRPr="00952F38" w:rsidRDefault="00952F38" w:rsidP="00FE6D9C">
      <w:pPr>
        <w:contextualSpacing/>
        <w:jc w:val="both"/>
        <w:rPr>
          <w:sz w:val="20"/>
          <w:lang w:val="fr-CA"/>
        </w:rPr>
      </w:pPr>
      <w:r w:rsidRPr="00952F38">
        <w:rPr>
          <w:sz w:val="20"/>
        </w:rPr>
        <w:pict>
          <v:rect id="_x0000_i1031" style="width:2in;height:1pt" o:hrpct="0" o:hralign="center" o:hrstd="t" o:hrnoshade="t" o:hr="t" fillcolor="black [3213]" stroked="f"/>
        </w:pict>
      </w:r>
    </w:p>
    <w:p w:rsidR="00FE6D9C" w:rsidRPr="00952F38" w:rsidRDefault="00FE6D9C" w:rsidP="00FE6D9C">
      <w:pPr>
        <w:jc w:val="both"/>
        <w:rPr>
          <w:sz w:val="20"/>
        </w:rPr>
      </w:pPr>
    </w:p>
    <w:p w:rsidR="00435F05" w:rsidRPr="00952F38" w:rsidRDefault="00435F05" w:rsidP="00435F05">
      <w:pPr>
        <w:rPr>
          <w:rFonts w:eastAsiaTheme="minorHAnsi" w:cstheme="minorBidi"/>
          <w:sz w:val="22"/>
          <w:szCs w:val="22"/>
        </w:rPr>
      </w:pPr>
      <w:r w:rsidRPr="00952F38">
        <w:rPr>
          <w:rFonts w:eastAsiaTheme="minorHAnsi" w:cstheme="minorBidi"/>
          <w:i/>
          <w:sz w:val="22"/>
          <w:szCs w:val="22"/>
        </w:rPr>
        <w:t xml:space="preserve">Gaganjot Singh Sidhu v. Her Majesty the Queen </w:t>
      </w:r>
      <w:r w:rsidRPr="00952F38">
        <w:rPr>
          <w:rFonts w:eastAsiaTheme="minorHAnsi" w:cstheme="minorBidi"/>
          <w:sz w:val="22"/>
          <w:szCs w:val="22"/>
        </w:rPr>
        <w:t>(Alta.) (Criminal) (By Leave)</w:t>
      </w:r>
      <w:r w:rsidRPr="00952F38">
        <w:rPr>
          <w:rFonts w:eastAsiaTheme="minorHAnsi" w:cstheme="minorBidi"/>
          <w:i/>
          <w:sz w:val="22"/>
          <w:szCs w:val="22"/>
        </w:rPr>
        <w:t xml:space="preserve"> </w:t>
      </w:r>
      <w:r w:rsidRPr="00952F38">
        <w:rPr>
          <w:rFonts w:eastAsia="Calibri"/>
          <w:sz w:val="22"/>
          <w:szCs w:val="22"/>
          <w:lang w:val="en-CA"/>
        </w:rPr>
        <w:t>(</w:t>
      </w:r>
      <w:hyperlink r:id="rId16" w:history="1">
        <w:r w:rsidRPr="00952F38">
          <w:rPr>
            <w:rStyle w:val="Hyperlink"/>
            <w:rFonts w:eastAsia="Calibri"/>
            <w:sz w:val="22"/>
            <w:szCs w:val="22"/>
            <w:lang w:val="en-CA"/>
          </w:rPr>
          <w:t>39720</w:t>
        </w:r>
      </w:hyperlink>
      <w:r w:rsidRPr="00952F38">
        <w:rPr>
          <w:rFonts w:eastAsia="Calibri"/>
          <w:sz w:val="22"/>
          <w:szCs w:val="22"/>
          <w:lang w:val="en-CA"/>
        </w:rPr>
        <w:t>)</w:t>
      </w:r>
    </w:p>
    <w:p w:rsidR="00FE6D9C" w:rsidRPr="00952F38" w:rsidRDefault="00FE6D9C" w:rsidP="00AD4F01">
      <w:pPr>
        <w:jc w:val="both"/>
        <w:rPr>
          <w:sz w:val="20"/>
        </w:rPr>
      </w:pPr>
    </w:p>
    <w:p w:rsidR="00435F05" w:rsidRPr="00952F38" w:rsidRDefault="00435F05" w:rsidP="00435F05">
      <w:pPr>
        <w:jc w:val="both"/>
        <w:rPr>
          <w:sz w:val="20"/>
        </w:rPr>
      </w:pPr>
      <w:r w:rsidRPr="00952F38">
        <w:rPr>
          <w:sz w:val="20"/>
        </w:rPr>
        <w:t>The motion for an extension of time to serve and file the application for leave to appeal is granted. The application for leave to appeal from the judgment of the Court of Appeal of Alberta (Edmonton), Number 2003-0170-A, 2021 ABCA 56, dated February 10, 2021, is dismissed.</w:t>
      </w:r>
    </w:p>
    <w:p w:rsidR="00FE6D9C" w:rsidRPr="00952F38" w:rsidRDefault="00FE6D9C" w:rsidP="00AD4F01">
      <w:pPr>
        <w:jc w:val="both"/>
        <w:rPr>
          <w:sz w:val="20"/>
        </w:rPr>
      </w:pPr>
    </w:p>
    <w:p w:rsidR="00FE6D9C" w:rsidRPr="00952F38" w:rsidRDefault="00435F05" w:rsidP="00AD4F01">
      <w:pPr>
        <w:jc w:val="both"/>
        <w:rPr>
          <w:sz w:val="20"/>
          <w:lang w:val="fr-CA"/>
        </w:rPr>
      </w:pPr>
      <w:r w:rsidRPr="00952F38">
        <w:rPr>
          <w:sz w:val="20"/>
          <w:lang w:val="fr-CA"/>
        </w:rPr>
        <w:t>La requête en prorogation du délai de signification et de dépôt de la demande d’autorisation d’appel est accueillie. La demande d’autorisation d’appel de l’arrêt de la Cour d'appel de l’Alberta (Edmonton), numéro 2003-0170-A, 2021 ABCA 56, daté du 10 février 2021, est rejetée.</w:t>
      </w:r>
    </w:p>
    <w:p w:rsidR="00FE6D9C" w:rsidRPr="00952F38" w:rsidRDefault="00FE6D9C" w:rsidP="00FE6D9C">
      <w:pPr>
        <w:ind w:left="357" w:hanging="357"/>
        <w:jc w:val="both"/>
        <w:rPr>
          <w:sz w:val="20"/>
          <w:lang w:val="fr-CA"/>
        </w:rPr>
      </w:pPr>
    </w:p>
    <w:p w:rsidR="00FE6D9C" w:rsidRPr="00952F38" w:rsidRDefault="00952F38" w:rsidP="00FE6D9C">
      <w:pPr>
        <w:contextualSpacing/>
        <w:jc w:val="both"/>
        <w:rPr>
          <w:sz w:val="20"/>
          <w:lang w:val="fr-CA"/>
        </w:rPr>
      </w:pPr>
      <w:r w:rsidRPr="00952F38">
        <w:rPr>
          <w:sz w:val="20"/>
        </w:rPr>
        <w:pict>
          <v:rect id="_x0000_i1032" style="width:2in;height:1pt" o:hrpct="0" o:hralign="center" o:hrstd="t" o:hrnoshade="t" o:hr="t" fillcolor="black [3213]" stroked="f"/>
        </w:pict>
      </w:r>
    </w:p>
    <w:p w:rsidR="00FE6D9C" w:rsidRPr="00952F38" w:rsidRDefault="00FE6D9C" w:rsidP="00FE6D9C">
      <w:pPr>
        <w:jc w:val="both"/>
        <w:rPr>
          <w:sz w:val="20"/>
        </w:rPr>
      </w:pPr>
    </w:p>
    <w:p w:rsidR="00435F05" w:rsidRPr="00952F38" w:rsidRDefault="00435F05" w:rsidP="00435F05">
      <w:pPr>
        <w:rPr>
          <w:sz w:val="22"/>
          <w:szCs w:val="22"/>
        </w:rPr>
      </w:pPr>
      <w:r w:rsidRPr="00952F38">
        <w:rPr>
          <w:rFonts w:eastAsiaTheme="minorHAnsi" w:cstheme="minorBidi"/>
          <w:i/>
          <w:sz w:val="22"/>
          <w:szCs w:val="22"/>
        </w:rPr>
        <w:t xml:space="preserve">Gabriella Kindylides v. Attorney General of Canada and the Minister of Justice of the Province of British Columbia </w:t>
      </w:r>
      <w:r w:rsidRPr="00952F38">
        <w:rPr>
          <w:rFonts w:eastAsiaTheme="minorHAnsi" w:cstheme="minorBidi"/>
          <w:sz w:val="22"/>
          <w:szCs w:val="22"/>
        </w:rPr>
        <w:t xml:space="preserve">(B.C.) (Civil) (By Leave) </w:t>
      </w:r>
      <w:r w:rsidRPr="00952F38">
        <w:rPr>
          <w:rFonts w:eastAsia="Calibri"/>
          <w:sz w:val="22"/>
          <w:szCs w:val="22"/>
          <w:lang w:val="en-CA"/>
        </w:rPr>
        <w:t>(</w:t>
      </w:r>
      <w:hyperlink r:id="rId17" w:history="1">
        <w:r w:rsidRPr="00952F38">
          <w:rPr>
            <w:rStyle w:val="Hyperlink"/>
            <w:rFonts w:eastAsia="Calibri"/>
            <w:sz w:val="22"/>
            <w:szCs w:val="22"/>
            <w:lang w:val="en-CA"/>
          </w:rPr>
          <w:t>39728</w:t>
        </w:r>
      </w:hyperlink>
      <w:r w:rsidRPr="00952F38">
        <w:rPr>
          <w:rFonts w:eastAsia="Calibri"/>
          <w:sz w:val="22"/>
          <w:szCs w:val="22"/>
          <w:lang w:val="en-CA"/>
        </w:rPr>
        <w:t>)</w:t>
      </w:r>
    </w:p>
    <w:p w:rsidR="00FE6D9C" w:rsidRPr="00952F38" w:rsidRDefault="00FE6D9C" w:rsidP="00AD4F01">
      <w:pPr>
        <w:jc w:val="both"/>
        <w:rPr>
          <w:sz w:val="20"/>
        </w:rPr>
      </w:pPr>
    </w:p>
    <w:p w:rsidR="00435F05" w:rsidRPr="00952F38" w:rsidRDefault="00435F05" w:rsidP="00435F05">
      <w:pPr>
        <w:jc w:val="both"/>
        <w:rPr>
          <w:sz w:val="20"/>
        </w:rPr>
      </w:pPr>
      <w:r w:rsidRPr="00952F38">
        <w:rPr>
          <w:sz w:val="20"/>
        </w:rPr>
        <w:t>The motion to waive the requirement to file documents in electronic format is granted. The motion for stay of execution is dismissed. The application for leave to appeal from the judgment of the Court of Appeal for British Columbia (Vancouver), Number CA46790, 2020 BCCA 330, dated November 24, 2020, is dismissed with costs.</w:t>
      </w:r>
    </w:p>
    <w:p w:rsidR="001F3271" w:rsidRPr="00952F38" w:rsidRDefault="001F3271" w:rsidP="00AD4F01">
      <w:pPr>
        <w:jc w:val="both"/>
        <w:rPr>
          <w:sz w:val="20"/>
        </w:rPr>
      </w:pPr>
    </w:p>
    <w:p w:rsidR="00FE6D9C" w:rsidRPr="00952F38" w:rsidRDefault="00435F05" w:rsidP="00AD4F01">
      <w:pPr>
        <w:jc w:val="both"/>
        <w:rPr>
          <w:sz w:val="20"/>
          <w:lang w:val="fr-CA"/>
        </w:rPr>
      </w:pPr>
      <w:r w:rsidRPr="00952F38">
        <w:rPr>
          <w:sz w:val="20"/>
          <w:lang w:val="fr-CA"/>
        </w:rPr>
        <w:t>La requête en dérogation à l'obligation de déposer les documents en format électronique est accueillie. La requête en sursis est rejetée. La demande d’autorisation d’appel de l’arrêt de la Cour d’appel de la Colombie-Britannique (Vancouver), numéro CA46790; 2020 BCCA 330, daté du 24 novembre 2020, est rejetée avec dépens.</w:t>
      </w:r>
    </w:p>
    <w:p w:rsidR="00B942F0" w:rsidRPr="00952F38" w:rsidRDefault="00B942F0" w:rsidP="00AD4F01">
      <w:pPr>
        <w:jc w:val="both"/>
        <w:rPr>
          <w:sz w:val="20"/>
          <w:lang w:val="fr-CA"/>
        </w:rPr>
      </w:pPr>
    </w:p>
    <w:p w:rsidR="00FE6D9C" w:rsidRPr="00952F38" w:rsidRDefault="00952F38" w:rsidP="00FE6D9C">
      <w:pPr>
        <w:contextualSpacing/>
        <w:jc w:val="both"/>
        <w:rPr>
          <w:sz w:val="20"/>
          <w:lang w:val="fr-CA"/>
        </w:rPr>
      </w:pPr>
      <w:r w:rsidRPr="00952F38">
        <w:rPr>
          <w:sz w:val="20"/>
        </w:rPr>
        <w:pict>
          <v:rect id="_x0000_i1033" style="width:2in;height:1pt" o:hrpct="0" o:hralign="center" o:hrstd="t" o:hrnoshade="t" o:hr="t" fillcolor="black [3213]" stroked="f"/>
        </w:pict>
      </w:r>
    </w:p>
    <w:p w:rsidR="00FE6D9C" w:rsidRPr="00952F38" w:rsidRDefault="00FE6D9C" w:rsidP="00FE6D9C">
      <w:pPr>
        <w:jc w:val="both"/>
        <w:rPr>
          <w:sz w:val="20"/>
        </w:rPr>
      </w:pPr>
    </w:p>
    <w:p w:rsidR="00435F05" w:rsidRPr="00952F38" w:rsidRDefault="00435F05" w:rsidP="00435F05">
      <w:pPr>
        <w:pStyle w:val="SCCLsocParty"/>
        <w:jc w:val="left"/>
        <w:rPr>
          <w:sz w:val="22"/>
          <w:lang w:val="en-US"/>
        </w:rPr>
      </w:pPr>
      <w:r w:rsidRPr="00952F38">
        <w:rPr>
          <w:i/>
          <w:sz w:val="22"/>
          <w:lang w:val="en-US"/>
        </w:rPr>
        <w:t xml:space="preserve">Toronto-Dominion Bank v. Her Majesty the Queen </w:t>
      </w:r>
      <w:r w:rsidRPr="00952F38">
        <w:rPr>
          <w:sz w:val="22"/>
          <w:lang w:val="en-US"/>
        </w:rPr>
        <w:t xml:space="preserve">(F.C.) (Civil) (By Leave) </w:t>
      </w:r>
      <w:r w:rsidRPr="00952F38">
        <w:rPr>
          <w:sz w:val="22"/>
          <w:lang w:val="en-CA"/>
        </w:rPr>
        <w:t>(</w:t>
      </w:r>
      <w:hyperlink r:id="rId18" w:history="1">
        <w:r w:rsidRPr="00952F38">
          <w:rPr>
            <w:rStyle w:val="Hyperlink"/>
            <w:sz w:val="22"/>
            <w:lang w:val="en-CA"/>
          </w:rPr>
          <w:t>39238</w:t>
        </w:r>
      </w:hyperlink>
      <w:r w:rsidRPr="00952F38">
        <w:rPr>
          <w:sz w:val="22"/>
          <w:lang w:val="en-CA"/>
        </w:rPr>
        <w:t>)</w:t>
      </w:r>
    </w:p>
    <w:p w:rsidR="00FE6D9C" w:rsidRPr="00952F38" w:rsidRDefault="00FE6D9C" w:rsidP="00AD4F01">
      <w:pPr>
        <w:jc w:val="both"/>
        <w:rPr>
          <w:sz w:val="20"/>
        </w:rPr>
      </w:pPr>
    </w:p>
    <w:p w:rsidR="00435F05" w:rsidRPr="00952F38" w:rsidRDefault="00435F05" w:rsidP="00435F05">
      <w:pPr>
        <w:jc w:val="both"/>
        <w:rPr>
          <w:sz w:val="20"/>
        </w:rPr>
      </w:pPr>
      <w:r w:rsidRPr="00952F38">
        <w:rPr>
          <w:sz w:val="20"/>
        </w:rPr>
        <w:t>The application for leave to appeal from the judgment of the Federal Court of Appeal, Number A-183-18, 2020 FCA 80, dated April 29, 2020, is dismissed with costs.</w:t>
      </w:r>
    </w:p>
    <w:p w:rsidR="00FE6D9C" w:rsidRPr="00952F38" w:rsidRDefault="00FE6D9C" w:rsidP="00AD4F01">
      <w:pPr>
        <w:jc w:val="both"/>
        <w:rPr>
          <w:sz w:val="20"/>
        </w:rPr>
      </w:pPr>
    </w:p>
    <w:p w:rsidR="001F3271" w:rsidRPr="00952F38" w:rsidRDefault="00435F05" w:rsidP="00AD4F01">
      <w:pPr>
        <w:jc w:val="both"/>
        <w:rPr>
          <w:sz w:val="20"/>
          <w:lang w:val="fr-CA"/>
        </w:rPr>
      </w:pPr>
      <w:r w:rsidRPr="00952F38">
        <w:rPr>
          <w:sz w:val="20"/>
          <w:lang w:val="fr-CA"/>
        </w:rPr>
        <w:t>La demande d’autorisation d’appel de l’arrêt de la Cour d’appel fédérale, numéro A-183-18, 2020 CAF 80, daté du 29 avril 2020, est rejetée avec dépens.</w:t>
      </w:r>
    </w:p>
    <w:p w:rsidR="00FE6D9C" w:rsidRPr="00952F38" w:rsidRDefault="00FE6D9C" w:rsidP="00FE6D9C">
      <w:pPr>
        <w:ind w:left="357" w:hanging="357"/>
        <w:jc w:val="both"/>
        <w:rPr>
          <w:sz w:val="20"/>
          <w:lang w:val="fr-CA"/>
        </w:rPr>
      </w:pPr>
    </w:p>
    <w:p w:rsidR="00FE6D9C" w:rsidRPr="00952F38" w:rsidRDefault="00952F38" w:rsidP="00FE6D9C">
      <w:pPr>
        <w:contextualSpacing/>
        <w:jc w:val="both"/>
        <w:rPr>
          <w:sz w:val="20"/>
          <w:lang w:val="fr-CA"/>
        </w:rPr>
      </w:pPr>
      <w:r w:rsidRPr="00952F38">
        <w:rPr>
          <w:sz w:val="20"/>
        </w:rPr>
        <w:pict>
          <v:rect id="_x0000_i1034" style="width:2in;height:1pt" o:hrpct="0" o:hralign="center" o:hrstd="t" o:hrnoshade="t" o:hr="t" fillcolor="black [3213]" stroked="f"/>
        </w:pict>
      </w:r>
    </w:p>
    <w:p w:rsidR="00FE6D9C" w:rsidRPr="00952F38" w:rsidRDefault="00FE6D9C" w:rsidP="00FE6D9C">
      <w:pPr>
        <w:jc w:val="both"/>
        <w:rPr>
          <w:sz w:val="20"/>
        </w:rPr>
      </w:pPr>
    </w:p>
    <w:p w:rsidR="00435F05" w:rsidRPr="00952F38" w:rsidRDefault="00435F05" w:rsidP="00435F05">
      <w:pPr>
        <w:rPr>
          <w:rFonts w:eastAsia="Calibri"/>
          <w:sz w:val="22"/>
          <w:szCs w:val="22"/>
        </w:rPr>
      </w:pPr>
      <w:r w:rsidRPr="00952F38">
        <w:rPr>
          <w:rFonts w:eastAsia="Calibri"/>
          <w:i/>
          <w:sz w:val="22"/>
          <w:szCs w:val="22"/>
        </w:rPr>
        <w:t>Judith Angella Chin v. Her Majesty the Queen</w:t>
      </w:r>
      <w:r w:rsidRPr="00952F38">
        <w:rPr>
          <w:rFonts w:eastAsia="Calibri"/>
          <w:sz w:val="22"/>
          <w:szCs w:val="22"/>
        </w:rPr>
        <w:t xml:space="preserve"> (F.C.) (Civil) (By Leave) </w:t>
      </w:r>
      <w:r w:rsidRPr="00952F38">
        <w:rPr>
          <w:rFonts w:eastAsia="Calibri"/>
          <w:sz w:val="22"/>
          <w:szCs w:val="22"/>
          <w:lang w:val="en-CA"/>
        </w:rPr>
        <w:t>(</w:t>
      </w:r>
      <w:hyperlink r:id="rId19" w:history="1">
        <w:r w:rsidRPr="00952F38">
          <w:rPr>
            <w:rStyle w:val="Hyperlink"/>
            <w:rFonts w:eastAsia="Calibri"/>
            <w:sz w:val="22"/>
            <w:szCs w:val="22"/>
            <w:lang w:val="en-CA"/>
          </w:rPr>
          <w:t>39698</w:t>
        </w:r>
      </w:hyperlink>
      <w:r w:rsidRPr="00952F38">
        <w:rPr>
          <w:rFonts w:eastAsia="Calibri"/>
          <w:sz w:val="22"/>
          <w:szCs w:val="22"/>
          <w:lang w:val="en-CA"/>
        </w:rPr>
        <w:t>)</w:t>
      </w:r>
    </w:p>
    <w:p w:rsidR="00FE6D9C" w:rsidRPr="00952F38" w:rsidRDefault="00FE6D9C" w:rsidP="00AD4F01">
      <w:pPr>
        <w:jc w:val="both"/>
        <w:rPr>
          <w:sz w:val="20"/>
        </w:rPr>
      </w:pPr>
    </w:p>
    <w:p w:rsidR="00435F05" w:rsidRPr="00952F38" w:rsidRDefault="00435F05" w:rsidP="00435F05">
      <w:pPr>
        <w:jc w:val="both"/>
        <w:rPr>
          <w:sz w:val="20"/>
        </w:rPr>
      </w:pPr>
      <w:r w:rsidRPr="00952F38">
        <w:rPr>
          <w:sz w:val="20"/>
        </w:rPr>
        <w:t>The application for leave to appeal from the judgment of the Federal Court of Appeal, Number A-416-19, 2021 FCA 16, dated January 28, 2021, is dismissed with costs.</w:t>
      </w:r>
    </w:p>
    <w:p w:rsidR="00FE6D9C" w:rsidRPr="00952F38" w:rsidRDefault="00FE6D9C" w:rsidP="00AD4F01">
      <w:pPr>
        <w:jc w:val="both"/>
        <w:rPr>
          <w:sz w:val="20"/>
        </w:rPr>
      </w:pPr>
    </w:p>
    <w:p w:rsidR="00FE6D9C" w:rsidRPr="00952F38" w:rsidRDefault="00435F05" w:rsidP="00AD4F01">
      <w:pPr>
        <w:jc w:val="both"/>
        <w:rPr>
          <w:sz w:val="20"/>
          <w:lang w:val="fr-CA"/>
        </w:rPr>
      </w:pPr>
      <w:r w:rsidRPr="00952F38">
        <w:rPr>
          <w:sz w:val="20"/>
          <w:lang w:val="fr-CA"/>
        </w:rPr>
        <w:t>La demande d’autorisation d’appel de l’arrêt de la Cour d’appel fédérale, numéro A-416-19, 2021 FCA 16, daté du 28 janvier 2021, est rejetée avec dépens.</w:t>
      </w:r>
    </w:p>
    <w:p w:rsidR="00B942F0" w:rsidRPr="00952F38" w:rsidRDefault="00B942F0" w:rsidP="00AD4F01">
      <w:pPr>
        <w:jc w:val="both"/>
        <w:rPr>
          <w:sz w:val="20"/>
          <w:lang w:val="fr-CA"/>
        </w:rPr>
      </w:pPr>
    </w:p>
    <w:p w:rsidR="00FE6D9C" w:rsidRPr="00952F38" w:rsidRDefault="00952F38" w:rsidP="00FE6D9C">
      <w:pPr>
        <w:contextualSpacing/>
        <w:jc w:val="both"/>
        <w:rPr>
          <w:sz w:val="20"/>
          <w:lang w:val="fr-CA"/>
        </w:rPr>
      </w:pPr>
      <w:r w:rsidRPr="00952F38">
        <w:rPr>
          <w:sz w:val="20"/>
        </w:rPr>
        <w:pict>
          <v:rect id="_x0000_i1035" style="width:2in;height:1pt" o:hrpct="0" o:hralign="center" o:hrstd="t" o:hrnoshade="t" o:hr="t" fillcolor="black [3213]" stroked="f"/>
        </w:pict>
      </w:r>
    </w:p>
    <w:p w:rsidR="00FE6D9C" w:rsidRPr="00952F38" w:rsidRDefault="00FE6D9C" w:rsidP="00FE6D9C">
      <w:pPr>
        <w:jc w:val="both"/>
        <w:rPr>
          <w:sz w:val="20"/>
        </w:rPr>
      </w:pPr>
    </w:p>
    <w:p w:rsidR="00435F05" w:rsidRPr="00952F38" w:rsidRDefault="00435F05" w:rsidP="00435F05">
      <w:pPr>
        <w:pStyle w:val="SCCLsocParty"/>
        <w:jc w:val="left"/>
        <w:rPr>
          <w:i/>
          <w:sz w:val="22"/>
        </w:rPr>
      </w:pPr>
      <w:r w:rsidRPr="00952F38">
        <w:rPr>
          <w:i/>
          <w:sz w:val="22"/>
        </w:rPr>
        <w:t>Douglas Consultants Inc. c. Unigertec inc. et Ville de Beaupré</w:t>
      </w:r>
      <w:r w:rsidRPr="00952F38">
        <w:rPr>
          <w:sz w:val="22"/>
        </w:rPr>
        <w:t xml:space="preserve"> (Qc) (Civile) (Autorisation) (</w:t>
      </w:r>
      <w:hyperlink r:id="rId20" w:history="1">
        <w:r w:rsidRPr="00952F38">
          <w:rPr>
            <w:rStyle w:val="Hyperlink"/>
            <w:sz w:val="22"/>
          </w:rPr>
          <w:t>39679</w:t>
        </w:r>
      </w:hyperlink>
      <w:r w:rsidRPr="00952F38">
        <w:rPr>
          <w:sz w:val="22"/>
        </w:rPr>
        <w:t>)</w:t>
      </w:r>
    </w:p>
    <w:p w:rsidR="00FE6D9C" w:rsidRPr="00952F38" w:rsidRDefault="00FE6D9C" w:rsidP="00AD4F01">
      <w:pPr>
        <w:jc w:val="both"/>
        <w:rPr>
          <w:sz w:val="20"/>
          <w:lang w:val="fr-CA"/>
        </w:rPr>
      </w:pPr>
    </w:p>
    <w:p w:rsidR="00FE6D9C" w:rsidRPr="00952F38" w:rsidRDefault="00435F05" w:rsidP="00AD4F01">
      <w:pPr>
        <w:jc w:val="both"/>
        <w:rPr>
          <w:sz w:val="20"/>
          <w:lang w:val="fr-CA"/>
        </w:rPr>
      </w:pPr>
      <w:r w:rsidRPr="00952F38">
        <w:rPr>
          <w:sz w:val="20"/>
          <w:lang w:val="fr-CA"/>
        </w:rPr>
        <w:t>La demande d’autorisation d’appel de l’arrêt de la Cour d’appel du Québec (Montréal), numéro 200-09-009995-199, 2021 QCCA 384, daté du 8 mars 2021, est rejetée avec dépens.</w:t>
      </w:r>
    </w:p>
    <w:p w:rsidR="00FE6D9C" w:rsidRPr="00952F38" w:rsidRDefault="00FE6D9C" w:rsidP="00AD4F01">
      <w:pPr>
        <w:jc w:val="both"/>
        <w:rPr>
          <w:sz w:val="20"/>
          <w:lang w:val="fr-CA"/>
        </w:rPr>
      </w:pPr>
    </w:p>
    <w:p w:rsidR="00FE6D9C" w:rsidRPr="00952F38" w:rsidRDefault="00435F05" w:rsidP="00AD4F01">
      <w:pPr>
        <w:jc w:val="both"/>
        <w:rPr>
          <w:sz w:val="20"/>
          <w:lang w:val="en-CA"/>
        </w:rPr>
      </w:pPr>
      <w:r w:rsidRPr="00952F38">
        <w:rPr>
          <w:sz w:val="20"/>
          <w:lang w:val="en-CA"/>
        </w:rPr>
        <w:t xml:space="preserve">The application for leave to appeal from the judgment of the </w:t>
      </w:r>
      <w:r w:rsidRPr="00952F38">
        <w:rPr>
          <w:sz w:val="20"/>
        </w:rPr>
        <w:t>Court of Appeal of Quebec (Montréal)</w:t>
      </w:r>
      <w:r w:rsidRPr="00952F38">
        <w:rPr>
          <w:sz w:val="20"/>
          <w:lang w:val="en-CA"/>
        </w:rPr>
        <w:t xml:space="preserve">, Number </w:t>
      </w:r>
      <w:r w:rsidRPr="00952F38">
        <w:rPr>
          <w:sz w:val="20"/>
        </w:rPr>
        <w:t>200-09-009995-199, 2021 QCCA 384</w:t>
      </w:r>
      <w:r w:rsidRPr="00952F38">
        <w:rPr>
          <w:sz w:val="20"/>
          <w:lang w:val="en-CA"/>
        </w:rPr>
        <w:t xml:space="preserve">, dated </w:t>
      </w:r>
      <w:r w:rsidRPr="00952F38">
        <w:rPr>
          <w:sz w:val="20"/>
        </w:rPr>
        <w:t>March 8, 2021</w:t>
      </w:r>
      <w:r w:rsidRPr="00952F38">
        <w:rPr>
          <w:sz w:val="20"/>
          <w:lang w:val="en-CA"/>
        </w:rPr>
        <w:t xml:space="preserve"> is dismissed with costs.</w:t>
      </w:r>
    </w:p>
    <w:p w:rsidR="00B942F0" w:rsidRPr="00952F38" w:rsidRDefault="00B942F0" w:rsidP="00AD4F01">
      <w:pPr>
        <w:jc w:val="both"/>
        <w:rPr>
          <w:sz w:val="20"/>
        </w:rPr>
      </w:pPr>
    </w:p>
    <w:p w:rsidR="00FE6D9C" w:rsidRPr="00952F38" w:rsidRDefault="00952F38" w:rsidP="00FE6D9C">
      <w:pPr>
        <w:contextualSpacing/>
        <w:jc w:val="both"/>
        <w:rPr>
          <w:sz w:val="20"/>
          <w:lang w:val="fr-CA"/>
        </w:rPr>
      </w:pPr>
      <w:r w:rsidRPr="00952F38">
        <w:rPr>
          <w:sz w:val="20"/>
        </w:rPr>
        <w:pict>
          <v:rect id="_x0000_i1036" style="width:2in;height:1pt" o:hrpct="0" o:hralign="center" o:hrstd="t" o:hrnoshade="t" o:hr="t" fillcolor="black [3213]" stroked="f"/>
        </w:pict>
      </w:r>
    </w:p>
    <w:p w:rsidR="00FE6D9C" w:rsidRPr="00952F38" w:rsidRDefault="00FE6D9C" w:rsidP="00FE6D9C">
      <w:pPr>
        <w:jc w:val="both"/>
        <w:rPr>
          <w:sz w:val="20"/>
        </w:rPr>
      </w:pPr>
    </w:p>
    <w:p w:rsidR="00B942F0" w:rsidRPr="00952F38" w:rsidRDefault="00B942F0" w:rsidP="00B942F0">
      <w:pPr>
        <w:rPr>
          <w:sz w:val="22"/>
          <w:szCs w:val="22"/>
          <w:lang w:val="fr-CA"/>
        </w:rPr>
      </w:pPr>
      <w:r w:rsidRPr="00952F38">
        <w:rPr>
          <w:i/>
          <w:sz w:val="22"/>
          <w:szCs w:val="22"/>
          <w:lang w:val="fr-CA"/>
        </w:rPr>
        <w:t xml:space="preserve">Procureur général du Québec et Pierre Moreau, en sa qualité de président du Conseil du Trésor c. Les avocats et notaires de l’État québécois - et - Agence du revenu du Québec - et </w:t>
      </w:r>
      <w:proofErr w:type="gramStart"/>
      <w:r w:rsidRPr="00952F38">
        <w:rPr>
          <w:i/>
          <w:sz w:val="22"/>
          <w:szCs w:val="22"/>
          <w:lang w:val="fr-CA"/>
        </w:rPr>
        <w:t>entre -</w:t>
      </w:r>
      <w:proofErr w:type="gramEnd"/>
      <w:r w:rsidRPr="00952F38">
        <w:rPr>
          <w:i/>
          <w:sz w:val="22"/>
          <w:szCs w:val="22"/>
          <w:lang w:val="fr-CA"/>
        </w:rPr>
        <w:t xml:space="preserve"> Les avocats et notaires de l’État québécois c. Procureur général du Québec, Pierre Moreau, en sa qualité de président du Conseil du Trésor et Agence du revenu du Québec</w:t>
      </w:r>
      <w:r w:rsidRPr="00952F38">
        <w:rPr>
          <w:sz w:val="22"/>
          <w:szCs w:val="22"/>
          <w:lang w:val="fr-CA"/>
        </w:rPr>
        <w:t xml:space="preserve"> (Qc) (Civile) (Autorisation) </w:t>
      </w:r>
      <w:r w:rsidRPr="00952F38">
        <w:rPr>
          <w:rFonts w:eastAsia="Calibri"/>
          <w:sz w:val="22"/>
          <w:szCs w:val="22"/>
          <w:lang w:val="fr-CA"/>
        </w:rPr>
        <w:t>(</w:t>
      </w:r>
      <w:hyperlink r:id="rId21" w:history="1">
        <w:r w:rsidRPr="00952F38">
          <w:rPr>
            <w:rStyle w:val="Hyperlink"/>
            <w:rFonts w:eastAsia="Calibri"/>
            <w:sz w:val="22"/>
            <w:szCs w:val="22"/>
            <w:lang w:val="fr-CA"/>
          </w:rPr>
          <w:t>39695</w:t>
        </w:r>
      </w:hyperlink>
      <w:r w:rsidRPr="00952F38">
        <w:rPr>
          <w:rFonts w:eastAsia="Calibri"/>
          <w:sz w:val="22"/>
          <w:szCs w:val="22"/>
          <w:lang w:val="fr-CA"/>
        </w:rPr>
        <w:t>)</w:t>
      </w:r>
    </w:p>
    <w:p w:rsidR="00FE6D9C" w:rsidRPr="00952F38" w:rsidRDefault="00FE6D9C" w:rsidP="00AD4F01">
      <w:pPr>
        <w:jc w:val="both"/>
        <w:rPr>
          <w:sz w:val="20"/>
          <w:lang w:val="fr-CA"/>
        </w:rPr>
      </w:pPr>
    </w:p>
    <w:p w:rsidR="00B942F0" w:rsidRPr="00952F38" w:rsidRDefault="00B942F0" w:rsidP="00B942F0">
      <w:pPr>
        <w:jc w:val="both"/>
        <w:rPr>
          <w:sz w:val="20"/>
          <w:lang w:val="fr-CA"/>
        </w:rPr>
      </w:pPr>
      <w:r w:rsidRPr="00952F38">
        <w:rPr>
          <w:sz w:val="20"/>
          <w:lang w:val="fr-CA"/>
        </w:rPr>
        <w:t>La demande d’autorisation d’appel, déposée par le procureur général du Québec et Pierre Moreau, en sa qualité de président du Conseil du Trésor, de l’arrêt de la Cour d’appel du Québec (Montréal), numéro 500-09-028609-196, 2021 QCCA 559, daté du 7 avril 2021, est rejetée avec dépens en faveur de l’intimée Les avocats et notaires de l’État québécois.</w:t>
      </w:r>
    </w:p>
    <w:p w:rsidR="00B942F0" w:rsidRPr="00952F38" w:rsidRDefault="00B942F0" w:rsidP="00B942F0">
      <w:pPr>
        <w:jc w:val="both"/>
        <w:rPr>
          <w:sz w:val="20"/>
          <w:lang w:val="fr-CA"/>
        </w:rPr>
      </w:pPr>
    </w:p>
    <w:p w:rsidR="00FE6D9C" w:rsidRPr="00952F38" w:rsidRDefault="00B942F0" w:rsidP="00B942F0">
      <w:pPr>
        <w:jc w:val="both"/>
        <w:rPr>
          <w:sz w:val="20"/>
          <w:lang w:val="fr-CA"/>
        </w:rPr>
      </w:pPr>
      <w:r w:rsidRPr="00952F38">
        <w:rPr>
          <w:sz w:val="20"/>
          <w:lang w:val="fr-CA"/>
        </w:rPr>
        <w:t>La demande d’autorisation d’appel déposée par Les avocats et notaires de l’État québécois, de l’arrêt de la Cour d’appel du Québec (Montréal), numéro 500-09-028609-196, 2021 QCCA 559, daté du 7 avril 2021, est rejetée avec dépens en faveur des intimés, procureur général du Québec et Pierre Moreau, en sa qualité de président du Conseil du Trésor.</w:t>
      </w:r>
    </w:p>
    <w:p w:rsidR="00B942F0" w:rsidRPr="00952F38" w:rsidRDefault="00B942F0" w:rsidP="00AD4F01">
      <w:pPr>
        <w:jc w:val="both"/>
        <w:rPr>
          <w:sz w:val="20"/>
          <w:lang w:val="fr-CA"/>
        </w:rPr>
      </w:pPr>
    </w:p>
    <w:p w:rsidR="00B942F0" w:rsidRPr="00952F38" w:rsidRDefault="00B942F0" w:rsidP="00B942F0">
      <w:pPr>
        <w:jc w:val="both"/>
        <w:rPr>
          <w:sz w:val="20"/>
          <w:lang w:val="en-CA"/>
        </w:rPr>
      </w:pPr>
      <w:r w:rsidRPr="00952F38">
        <w:rPr>
          <w:sz w:val="20"/>
          <w:lang w:val="en-CA"/>
        </w:rPr>
        <w:t xml:space="preserve">The application for leave to appeal, filed by the </w:t>
      </w:r>
      <w:r w:rsidRPr="00952F38">
        <w:rPr>
          <w:sz w:val="20"/>
        </w:rPr>
        <w:t>Attorney General of Quebec and Pierre Moreau, in his capacity as chair of the Conseil du Trésor,</w:t>
      </w:r>
      <w:r w:rsidRPr="00952F38">
        <w:rPr>
          <w:sz w:val="20"/>
          <w:lang w:val="en-CA"/>
        </w:rPr>
        <w:t xml:space="preserve"> from the judgment of the </w:t>
      </w:r>
      <w:r w:rsidRPr="00952F38">
        <w:rPr>
          <w:sz w:val="20"/>
        </w:rPr>
        <w:t>Court of Appeal of Quebec (Montréal)</w:t>
      </w:r>
      <w:r w:rsidRPr="00952F38">
        <w:rPr>
          <w:sz w:val="20"/>
          <w:lang w:val="en-CA"/>
        </w:rPr>
        <w:t xml:space="preserve">, Number </w:t>
      </w:r>
      <w:r w:rsidRPr="00952F38">
        <w:rPr>
          <w:sz w:val="20"/>
        </w:rPr>
        <w:t>500-09-028609-196</w:t>
      </w:r>
      <w:r w:rsidRPr="00952F38">
        <w:rPr>
          <w:sz w:val="20"/>
          <w:lang w:val="en-CA"/>
        </w:rPr>
        <w:t xml:space="preserve">, </w:t>
      </w:r>
      <w:r w:rsidRPr="00952F38">
        <w:rPr>
          <w:sz w:val="20"/>
        </w:rPr>
        <w:t xml:space="preserve">2021 QCCA 559, </w:t>
      </w:r>
      <w:r w:rsidRPr="00952F38">
        <w:rPr>
          <w:sz w:val="20"/>
          <w:lang w:val="en-CA"/>
        </w:rPr>
        <w:t xml:space="preserve">dated </w:t>
      </w:r>
      <w:r w:rsidRPr="00952F38">
        <w:rPr>
          <w:sz w:val="20"/>
        </w:rPr>
        <w:t>April 7, 2021,</w:t>
      </w:r>
      <w:r w:rsidRPr="00952F38">
        <w:rPr>
          <w:sz w:val="20"/>
          <w:lang w:val="en-CA"/>
        </w:rPr>
        <w:t xml:space="preserve"> is dismissed with costs to the respondent, Les Avocats et notaires de l’État québécois.</w:t>
      </w:r>
    </w:p>
    <w:p w:rsidR="00B942F0" w:rsidRPr="00952F38" w:rsidRDefault="00B942F0" w:rsidP="00B942F0">
      <w:pPr>
        <w:jc w:val="both"/>
        <w:rPr>
          <w:sz w:val="20"/>
          <w:lang w:val="en-CA"/>
        </w:rPr>
      </w:pPr>
    </w:p>
    <w:p w:rsidR="00B942F0" w:rsidRPr="00952F38" w:rsidRDefault="00B942F0" w:rsidP="00B942F0">
      <w:pPr>
        <w:jc w:val="both"/>
        <w:rPr>
          <w:sz w:val="20"/>
        </w:rPr>
      </w:pPr>
      <w:r w:rsidRPr="00952F38">
        <w:rPr>
          <w:sz w:val="20"/>
        </w:rPr>
        <w:t>The application for leave to appeal, filed by Les avocats et notaires de l’État québécois,</w:t>
      </w:r>
      <w:r w:rsidRPr="00952F38">
        <w:rPr>
          <w:sz w:val="20"/>
          <w:lang w:val="en-CA"/>
        </w:rPr>
        <w:t xml:space="preserve"> from the judgment of the </w:t>
      </w:r>
      <w:r w:rsidRPr="00952F38">
        <w:rPr>
          <w:sz w:val="20"/>
        </w:rPr>
        <w:t>Court of Appeal of Quebec (Montréal)</w:t>
      </w:r>
      <w:r w:rsidRPr="00952F38">
        <w:rPr>
          <w:sz w:val="20"/>
          <w:lang w:val="en-CA"/>
        </w:rPr>
        <w:t xml:space="preserve">, Number </w:t>
      </w:r>
      <w:r w:rsidRPr="00952F38">
        <w:rPr>
          <w:sz w:val="20"/>
        </w:rPr>
        <w:t>500-09-028609-196</w:t>
      </w:r>
      <w:r w:rsidRPr="00952F38">
        <w:rPr>
          <w:sz w:val="20"/>
          <w:lang w:val="en-CA"/>
        </w:rPr>
        <w:t xml:space="preserve">, </w:t>
      </w:r>
      <w:r w:rsidRPr="00952F38">
        <w:rPr>
          <w:sz w:val="20"/>
        </w:rPr>
        <w:t xml:space="preserve">2021 QCCA 559, </w:t>
      </w:r>
      <w:r w:rsidRPr="00952F38">
        <w:rPr>
          <w:sz w:val="20"/>
          <w:lang w:val="en-CA"/>
        </w:rPr>
        <w:t xml:space="preserve">dated </w:t>
      </w:r>
      <w:r w:rsidRPr="00952F38">
        <w:rPr>
          <w:sz w:val="20"/>
        </w:rPr>
        <w:t>April 7, 2021, is dismissed with costs to the respondents, Attorney General of Quebec and Pierre Moreau, in his capacity as chair of the Conseil du Trésor.</w:t>
      </w:r>
    </w:p>
    <w:p w:rsidR="00FE6D9C" w:rsidRPr="00952F38" w:rsidRDefault="00FE6D9C" w:rsidP="00AD4F01">
      <w:pPr>
        <w:jc w:val="both"/>
        <w:rPr>
          <w:sz w:val="20"/>
        </w:rPr>
      </w:pPr>
    </w:p>
    <w:p w:rsidR="005B47C3" w:rsidRPr="00952F38" w:rsidRDefault="00952F38" w:rsidP="00AD4F01">
      <w:pPr>
        <w:jc w:val="both"/>
        <w:rPr>
          <w:sz w:val="20"/>
        </w:rPr>
      </w:pPr>
      <w:r w:rsidRPr="00952F38">
        <w:rPr>
          <w:sz w:val="20"/>
        </w:rPr>
        <w:pict>
          <v:rect id="_x0000_i1037" style="width:2in;height:1pt" o:hrpct="0" o:hralign="center" o:hrstd="t" o:hrnoshade="t" o:hr="t" fillcolor="black [3213]" stroked="f"/>
        </w:pict>
      </w:r>
    </w:p>
    <w:p w:rsidR="003941DC" w:rsidRPr="00952F38" w:rsidRDefault="003941DC" w:rsidP="00B942F0">
      <w:pPr>
        <w:jc w:val="both"/>
        <w:rPr>
          <w:sz w:val="20"/>
          <w:lang w:val="fr-CA"/>
        </w:rPr>
      </w:pPr>
    </w:p>
    <w:p w:rsidR="003941DC" w:rsidRPr="00952F38" w:rsidRDefault="003941DC" w:rsidP="00B942F0">
      <w:pPr>
        <w:ind w:left="357" w:hanging="357"/>
        <w:jc w:val="both"/>
        <w:rPr>
          <w:sz w:val="20"/>
          <w:lang w:val="fr-CA"/>
        </w:rPr>
      </w:pPr>
    </w:p>
    <w:p w:rsidR="00824220" w:rsidRPr="00952F38" w:rsidRDefault="00824220" w:rsidP="00B942F0">
      <w:pPr>
        <w:ind w:left="357" w:hanging="357"/>
        <w:jc w:val="both"/>
        <w:rPr>
          <w:sz w:val="20"/>
          <w:lang w:val="fr-CA"/>
        </w:rPr>
      </w:pPr>
    </w:p>
    <w:p w:rsidR="002E4682" w:rsidRPr="00952F38" w:rsidRDefault="002E4682" w:rsidP="002E4682">
      <w:pPr>
        <w:widowControl w:val="0"/>
        <w:outlineLvl w:val="0"/>
      </w:pPr>
      <w:r w:rsidRPr="00952F38">
        <w:t xml:space="preserve">Supreme Court of Canada / Cour suprême du </w:t>
      </w:r>
      <w:proofErr w:type="gramStart"/>
      <w:r w:rsidRPr="00952F38">
        <w:t>Canada :</w:t>
      </w:r>
      <w:proofErr w:type="gramEnd"/>
      <w:r w:rsidRPr="00952F38">
        <w:t xml:space="preserve"> </w:t>
      </w:r>
    </w:p>
    <w:p w:rsidR="002E4682" w:rsidRPr="00952F38" w:rsidRDefault="00952F38" w:rsidP="002E4682">
      <w:pPr>
        <w:widowControl w:val="0"/>
        <w:outlineLvl w:val="0"/>
        <w:rPr>
          <w:color w:val="0000FF"/>
          <w:u w:val="single"/>
        </w:rPr>
      </w:pPr>
      <w:hyperlink r:id="rId22" w:history="1">
        <w:r w:rsidR="002E4682" w:rsidRPr="00952F38">
          <w:rPr>
            <w:rStyle w:val="Hyperlink"/>
          </w:rPr>
          <w:t>comments-commentaires@scc-csc.ca</w:t>
        </w:r>
      </w:hyperlink>
    </w:p>
    <w:p w:rsidR="002E4682" w:rsidRPr="00952F38" w:rsidRDefault="002E4682" w:rsidP="002E4682">
      <w:pPr>
        <w:widowControl w:val="0"/>
        <w:outlineLvl w:val="0"/>
      </w:pPr>
      <w:r w:rsidRPr="00952F38">
        <w:t>(613) 995-4330</w:t>
      </w:r>
    </w:p>
    <w:p w:rsidR="002E4682" w:rsidRPr="00952F38" w:rsidRDefault="002E4682" w:rsidP="002E4682">
      <w:pPr>
        <w:widowControl w:val="0"/>
        <w:rPr>
          <w:sz w:val="20"/>
        </w:rPr>
      </w:pPr>
    </w:p>
    <w:p w:rsidR="002E4682" w:rsidRPr="00952F38" w:rsidRDefault="002E4682" w:rsidP="002E4682">
      <w:pPr>
        <w:widowControl w:val="0"/>
        <w:rPr>
          <w:sz w:val="20"/>
        </w:rPr>
      </w:pPr>
    </w:p>
    <w:p w:rsidR="000C541E" w:rsidRPr="0057289B" w:rsidRDefault="002E4682">
      <w:pPr>
        <w:pStyle w:val="Footer"/>
        <w:jc w:val="center"/>
      </w:pPr>
      <w:r w:rsidRPr="00952F38">
        <w:t>- 30 -</w:t>
      </w:r>
      <w:bookmarkStart w:id="1" w:name="_GoBack"/>
      <w:bookmarkEnd w:id="1"/>
    </w:p>
    <w:sectPr w:rsidR="000C541E" w:rsidRPr="0057289B" w:rsidSect="007C3E99">
      <w:footerReference w:type="default" r:id="rId2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AB6" w:rsidRDefault="00A11AB6" w:rsidP="0034178A">
      <w:r>
        <w:separator/>
      </w:r>
    </w:p>
  </w:endnote>
  <w:endnote w:type="continuationSeparator" w:id="0">
    <w:p w:rsidR="00A11AB6" w:rsidRDefault="00A11AB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AB6" w:rsidRDefault="00A11AB6" w:rsidP="0034178A">
      <w:r>
        <w:separator/>
      </w:r>
    </w:p>
  </w:footnote>
  <w:footnote w:type="continuationSeparator" w:id="0">
    <w:p w:rsidR="00A11AB6" w:rsidRDefault="00A11AB6"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5664B"/>
    <w:multiLevelType w:val="hybridMultilevel"/>
    <w:tmpl w:val="CB5C1338"/>
    <w:lvl w:ilvl="0" w:tplc="B84840E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9"/>
  </w:num>
  <w:num w:numId="4">
    <w:abstractNumId w:val="5"/>
  </w:num>
  <w:num w:numId="5">
    <w:abstractNumId w:val="28"/>
  </w:num>
  <w:num w:numId="6">
    <w:abstractNumId w:val="21"/>
  </w:num>
  <w:num w:numId="7">
    <w:abstractNumId w:val="3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3"/>
  </w:num>
  <w:num w:numId="12">
    <w:abstractNumId w:val="25"/>
  </w:num>
  <w:num w:numId="13">
    <w:abstractNumId w:val="8"/>
  </w:num>
  <w:num w:numId="14">
    <w:abstractNumId w:val="6"/>
  </w:num>
  <w:num w:numId="15">
    <w:abstractNumId w:val="27"/>
  </w:num>
  <w:num w:numId="16">
    <w:abstractNumId w:val="14"/>
  </w:num>
  <w:num w:numId="17">
    <w:abstractNumId w:val="29"/>
  </w:num>
  <w:num w:numId="18">
    <w:abstractNumId w:val="16"/>
  </w:num>
  <w:num w:numId="19">
    <w:abstractNumId w:val="0"/>
  </w:num>
  <w:num w:numId="20">
    <w:abstractNumId w:val="2"/>
  </w:num>
  <w:num w:numId="21">
    <w:abstractNumId w:val="24"/>
  </w:num>
  <w:num w:numId="22">
    <w:abstractNumId w:val="31"/>
  </w:num>
  <w:num w:numId="23">
    <w:abstractNumId w:val="19"/>
  </w:num>
  <w:num w:numId="24">
    <w:abstractNumId w:val="30"/>
  </w:num>
  <w:num w:numId="25">
    <w:abstractNumId w:val="4"/>
  </w:num>
  <w:num w:numId="26">
    <w:abstractNumId w:val="26"/>
  </w:num>
  <w:num w:numId="27">
    <w:abstractNumId w:val="34"/>
  </w:num>
  <w:num w:numId="28">
    <w:abstractNumId w:val="33"/>
  </w:num>
  <w:num w:numId="29">
    <w:abstractNumId w:val="35"/>
  </w:num>
  <w:num w:numId="30">
    <w:abstractNumId w:val="36"/>
  </w:num>
  <w:num w:numId="31">
    <w:abstractNumId w:val="17"/>
  </w:num>
  <w:num w:numId="32">
    <w:abstractNumId w:val="22"/>
  </w:num>
  <w:num w:numId="33">
    <w:abstractNumId w:val="1"/>
  </w:num>
  <w:num w:numId="34">
    <w:abstractNumId w:val="3"/>
  </w:num>
  <w:num w:numId="35">
    <w:abstractNumId w:val="20"/>
  </w:num>
  <w:num w:numId="36">
    <w:abstractNumId w:val="13"/>
  </w:num>
  <w:num w:numId="37">
    <w:abstractNumId w:val="15"/>
  </w:num>
  <w:num w:numId="38">
    <w:abstractNumId w:val="37"/>
  </w:num>
  <w:num w:numId="39">
    <w:abstractNumId w:val="11"/>
  </w:num>
  <w:num w:numId="40">
    <w:abstractNumId w:val="38"/>
  </w:num>
  <w:num w:numId="41">
    <w:abstractNumId w:val="3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B6"/>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91"/>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A01"/>
    <w:rsid w:val="00027B69"/>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2C6D"/>
    <w:rsid w:val="00064C3D"/>
    <w:rsid w:val="00065F8F"/>
    <w:rsid w:val="000660E6"/>
    <w:rsid w:val="00066B80"/>
    <w:rsid w:val="00067298"/>
    <w:rsid w:val="00067929"/>
    <w:rsid w:val="00067F50"/>
    <w:rsid w:val="00070830"/>
    <w:rsid w:val="00072F91"/>
    <w:rsid w:val="000731E6"/>
    <w:rsid w:val="00073C1E"/>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6DA"/>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DEC"/>
    <w:rsid w:val="00125133"/>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027"/>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95C65"/>
    <w:rsid w:val="00196DF0"/>
    <w:rsid w:val="001A06DE"/>
    <w:rsid w:val="001A1AE7"/>
    <w:rsid w:val="001A2314"/>
    <w:rsid w:val="001A35B0"/>
    <w:rsid w:val="001A4547"/>
    <w:rsid w:val="001A485B"/>
    <w:rsid w:val="001A48FB"/>
    <w:rsid w:val="001A4F22"/>
    <w:rsid w:val="001A562F"/>
    <w:rsid w:val="001B07C7"/>
    <w:rsid w:val="001B1337"/>
    <w:rsid w:val="001B3248"/>
    <w:rsid w:val="001B3257"/>
    <w:rsid w:val="001B32DC"/>
    <w:rsid w:val="001B3762"/>
    <w:rsid w:val="001B37B3"/>
    <w:rsid w:val="001B3C91"/>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F1186"/>
    <w:rsid w:val="001F27B1"/>
    <w:rsid w:val="001F30DD"/>
    <w:rsid w:val="001F3271"/>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28B"/>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8AD"/>
    <w:rsid w:val="00262C42"/>
    <w:rsid w:val="0026349D"/>
    <w:rsid w:val="002655B9"/>
    <w:rsid w:val="00265E51"/>
    <w:rsid w:val="00266E0E"/>
    <w:rsid w:val="002671CC"/>
    <w:rsid w:val="002676BE"/>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669"/>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5583"/>
    <w:rsid w:val="00306E8A"/>
    <w:rsid w:val="00307DB0"/>
    <w:rsid w:val="00312D0B"/>
    <w:rsid w:val="003134D7"/>
    <w:rsid w:val="00313652"/>
    <w:rsid w:val="00314319"/>
    <w:rsid w:val="003151B5"/>
    <w:rsid w:val="00315AF3"/>
    <w:rsid w:val="00315FF3"/>
    <w:rsid w:val="00316DFA"/>
    <w:rsid w:val="003205B7"/>
    <w:rsid w:val="003207FB"/>
    <w:rsid w:val="00320863"/>
    <w:rsid w:val="0032335F"/>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4BD0"/>
    <w:rsid w:val="0038547C"/>
    <w:rsid w:val="00385A88"/>
    <w:rsid w:val="00385D39"/>
    <w:rsid w:val="00387AF8"/>
    <w:rsid w:val="00390065"/>
    <w:rsid w:val="00391197"/>
    <w:rsid w:val="003925DD"/>
    <w:rsid w:val="00393660"/>
    <w:rsid w:val="003940A4"/>
    <w:rsid w:val="003941DC"/>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CB3"/>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35F05"/>
    <w:rsid w:val="0044099A"/>
    <w:rsid w:val="00444072"/>
    <w:rsid w:val="004511AB"/>
    <w:rsid w:val="00451AD0"/>
    <w:rsid w:val="0045235F"/>
    <w:rsid w:val="004533F1"/>
    <w:rsid w:val="00453400"/>
    <w:rsid w:val="00453ABE"/>
    <w:rsid w:val="00453FC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47D"/>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B7D44"/>
    <w:rsid w:val="004C0544"/>
    <w:rsid w:val="004C2585"/>
    <w:rsid w:val="004C281D"/>
    <w:rsid w:val="004C2E9D"/>
    <w:rsid w:val="004C4513"/>
    <w:rsid w:val="004C4C26"/>
    <w:rsid w:val="004C7FC6"/>
    <w:rsid w:val="004D0704"/>
    <w:rsid w:val="004D16CE"/>
    <w:rsid w:val="004D422A"/>
    <w:rsid w:val="004E020B"/>
    <w:rsid w:val="004E0B2F"/>
    <w:rsid w:val="004E1B3F"/>
    <w:rsid w:val="004E33C5"/>
    <w:rsid w:val="004E3524"/>
    <w:rsid w:val="004F0EC9"/>
    <w:rsid w:val="004F12DF"/>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7026"/>
    <w:rsid w:val="0051062F"/>
    <w:rsid w:val="00511E62"/>
    <w:rsid w:val="00512BC5"/>
    <w:rsid w:val="005146FA"/>
    <w:rsid w:val="00514D57"/>
    <w:rsid w:val="0051517F"/>
    <w:rsid w:val="00516260"/>
    <w:rsid w:val="00516E12"/>
    <w:rsid w:val="005208AC"/>
    <w:rsid w:val="00521EFA"/>
    <w:rsid w:val="005229FF"/>
    <w:rsid w:val="005232E3"/>
    <w:rsid w:val="00525B79"/>
    <w:rsid w:val="005301A3"/>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6119"/>
    <w:rsid w:val="00557DCC"/>
    <w:rsid w:val="005617DA"/>
    <w:rsid w:val="00561B18"/>
    <w:rsid w:val="00566C79"/>
    <w:rsid w:val="00570169"/>
    <w:rsid w:val="0057289B"/>
    <w:rsid w:val="005756A3"/>
    <w:rsid w:val="005805A8"/>
    <w:rsid w:val="005812EF"/>
    <w:rsid w:val="00583F19"/>
    <w:rsid w:val="0058734E"/>
    <w:rsid w:val="00587897"/>
    <w:rsid w:val="00587914"/>
    <w:rsid w:val="005910F3"/>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28C2"/>
    <w:rsid w:val="005B47C3"/>
    <w:rsid w:val="005B4EB8"/>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9DE"/>
    <w:rsid w:val="005D2C20"/>
    <w:rsid w:val="005D2DE6"/>
    <w:rsid w:val="005D3069"/>
    <w:rsid w:val="005D3730"/>
    <w:rsid w:val="005D7831"/>
    <w:rsid w:val="005E0EF2"/>
    <w:rsid w:val="005E2F85"/>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87B3F"/>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4B3F"/>
    <w:rsid w:val="006A503A"/>
    <w:rsid w:val="006B0BF3"/>
    <w:rsid w:val="006B1C34"/>
    <w:rsid w:val="006B1D4C"/>
    <w:rsid w:val="006B293F"/>
    <w:rsid w:val="006B40C1"/>
    <w:rsid w:val="006B6A20"/>
    <w:rsid w:val="006B71F7"/>
    <w:rsid w:val="006B772F"/>
    <w:rsid w:val="006B7F76"/>
    <w:rsid w:val="006C152B"/>
    <w:rsid w:val="006C1659"/>
    <w:rsid w:val="006C2011"/>
    <w:rsid w:val="006C4010"/>
    <w:rsid w:val="006C477E"/>
    <w:rsid w:val="006C6301"/>
    <w:rsid w:val="006D0DD8"/>
    <w:rsid w:val="006D0F19"/>
    <w:rsid w:val="006D1F99"/>
    <w:rsid w:val="006D3FB0"/>
    <w:rsid w:val="006D443D"/>
    <w:rsid w:val="006D4C3A"/>
    <w:rsid w:val="006D50F8"/>
    <w:rsid w:val="006D56E9"/>
    <w:rsid w:val="006D614A"/>
    <w:rsid w:val="006D6930"/>
    <w:rsid w:val="006D6B5E"/>
    <w:rsid w:val="006D7DA7"/>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46E"/>
    <w:rsid w:val="00725ED5"/>
    <w:rsid w:val="007266F1"/>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8C8"/>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C37"/>
    <w:rsid w:val="00841DF8"/>
    <w:rsid w:val="00844741"/>
    <w:rsid w:val="0084497D"/>
    <w:rsid w:val="008456E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90762"/>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B18"/>
    <w:rsid w:val="00901343"/>
    <w:rsid w:val="00902AD7"/>
    <w:rsid w:val="009035A2"/>
    <w:rsid w:val="00907409"/>
    <w:rsid w:val="009074C8"/>
    <w:rsid w:val="00910442"/>
    <w:rsid w:val="00912BCC"/>
    <w:rsid w:val="00913D1E"/>
    <w:rsid w:val="00914783"/>
    <w:rsid w:val="009152C1"/>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38"/>
    <w:rsid w:val="00952FCA"/>
    <w:rsid w:val="00953692"/>
    <w:rsid w:val="00956067"/>
    <w:rsid w:val="009571E4"/>
    <w:rsid w:val="009574CC"/>
    <w:rsid w:val="00957921"/>
    <w:rsid w:val="00957C00"/>
    <w:rsid w:val="00957EFD"/>
    <w:rsid w:val="009619CF"/>
    <w:rsid w:val="00964197"/>
    <w:rsid w:val="00966191"/>
    <w:rsid w:val="00966A89"/>
    <w:rsid w:val="0097114B"/>
    <w:rsid w:val="00971A04"/>
    <w:rsid w:val="00971F36"/>
    <w:rsid w:val="00972A4E"/>
    <w:rsid w:val="00974DE9"/>
    <w:rsid w:val="0097588C"/>
    <w:rsid w:val="00977C25"/>
    <w:rsid w:val="009807C9"/>
    <w:rsid w:val="0098122A"/>
    <w:rsid w:val="009833CB"/>
    <w:rsid w:val="009837A3"/>
    <w:rsid w:val="0098395F"/>
    <w:rsid w:val="00983AFA"/>
    <w:rsid w:val="00983EE6"/>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987"/>
    <w:rsid w:val="009B2F43"/>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2D70"/>
    <w:rsid w:val="00A041C7"/>
    <w:rsid w:val="00A04539"/>
    <w:rsid w:val="00A06B3C"/>
    <w:rsid w:val="00A1003F"/>
    <w:rsid w:val="00A101C0"/>
    <w:rsid w:val="00A117F4"/>
    <w:rsid w:val="00A11AB6"/>
    <w:rsid w:val="00A12CC9"/>
    <w:rsid w:val="00A12DC8"/>
    <w:rsid w:val="00A138C3"/>
    <w:rsid w:val="00A15F1F"/>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4DD"/>
    <w:rsid w:val="00A4492D"/>
    <w:rsid w:val="00A45F29"/>
    <w:rsid w:val="00A466AC"/>
    <w:rsid w:val="00A476D4"/>
    <w:rsid w:val="00A50604"/>
    <w:rsid w:val="00A50E26"/>
    <w:rsid w:val="00A52186"/>
    <w:rsid w:val="00A54818"/>
    <w:rsid w:val="00A56409"/>
    <w:rsid w:val="00A5682D"/>
    <w:rsid w:val="00A575AD"/>
    <w:rsid w:val="00A57B79"/>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36AD"/>
    <w:rsid w:val="00A94210"/>
    <w:rsid w:val="00A960E9"/>
    <w:rsid w:val="00A96928"/>
    <w:rsid w:val="00A97F93"/>
    <w:rsid w:val="00AA0E4D"/>
    <w:rsid w:val="00AA1E5C"/>
    <w:rsid w:val="00AB05C9"/>
    <w:rsid w:val="00AB0760"/>
    <w:rsid w:val="00AB09B6"/>
    <w:rsid w:val="00AB2AAE"/>
    <w:rsid w:val="00AB2C0F"/>
    <w:rsid w:val="00AB3365"/>
    <w:rsid w:val="00AB5604"/>
    <w:rsid w:val="00AB59AC"/>
    <w:rsid w:val="00AC0AB0"/>
    <w:rsid w:val="00AC21C6"/>
    <w:rsid w:val="00AC33F8"/>
    <w:rsid w:val="00AC3779"/>
    <w:rsid w:val="00AC41BC"/>
    <w:rsid w:val="00AC5AEC"/>
    <w:rsid w:val="00AD0097"/>
    <w:rsid w:val="00AD020B"/>
    <w:rsid w:val="00AD30C3"/>
    <w:rsid w:val="00AD3CB0"/>
    <w:rsid w:val="00AD4780"/>
    <w:rsid w:val="00AD4F01"/>
    <w:rsid w:val="00AD52A6"/>
    <w:rsid w:val="00AD68F4"/>
    <w:rsid w:val="00AD6AD0"/>
    <w:rsid w:val="00AD7038"/>
    <w:rsid w:val="00AE2218"/>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3CAD"/>
    <w:rsid w:val="00B1445B"/>
    <w:rsid w:val="00B14A2A"/>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66A3"/>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60E3"/>
    <w:rsid w:val="00B7733B"/>
    <w:rsid w:val="00B80F85"/>
    <w:rsid w:val="00B820C2"/>
    <w:rsid w:val="00B83D3B"/>
    <w:rsid w:val="00B83EBF"/>
    <w:rsid w:val="00B84490"/>
    <w:rsid w:val="00B84553"/>
    <w:rsid w:val="00B84F90"/>
    <w:rsid w:val="00B86D28"/>
    <w:rsid w:val="00B86E92"/>
    <w:rsid w:val="00B905DA"/>
    <w:rsid w:val="00B90F3B"/>
    <w:rsid w:val="00B9309E"/>
    <w:rsid w:val="00B942F0"/>
    <w:rsid w:val="00B96728"/>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C785B"/>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BF5F65"/>
    <w:rsid w:val="00C00650"/>
    <w:rsid w:val="00C01B2C"/>
    <w:rsid w:val="00C01CEF"/>
    <w:rsid w:val="00C021BB"/>
    <w:rsid w:val="00C023F5"/>
    <w:rsid w:val="00C0261F"/>
    <w:rsid w:val="00C03932"/>
    <w:rsid w:val="00C049B5"/>
    <w:rsid w:val="00C07C01"/>
    <w:rsid w:val="00C12264"/>
    <w:rsid w:val="00C1317E"/>
    <w:rsid w:val="00C15DB0"/>
    <w:rsid w:val="00C16009"/>
    <w:rsid w:val="00C16FF2"/>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0"/>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3AAC"/>
    <w:rsid w:val="00C85915"/>
    <w:rsid w:val="00C86AE1"/>
    <w:rsid w:val="00C935F6"/>
    <w:rsid w:val="00C9530B"/>
    <w:rsid w:val="00C959D0"/>
    <w:rsid w:val="00C95D6B"/>
    <w:rsid w:val="00C96CB2"/>
    <w:rsid w:val="00C97388"/>
    <w:rsid w:val="00C9788C"/>
    <w:rsid w:val="00C97C59"/>
    <w:rsid w:val="00CA40AB"/>
    <w:rsid w:val="00CA64A9"/>
    <w:rsid w:val="00CA7BB3"/>
    <w:rsid w:val="00CB002D"/>
    <w:rsid w:val="00CB1766"/>
    <w:rsid w:val="00CB1E90"/>
    <w:rsid w:val="00CB215C"/>
    <w:rsid w:val="00CB3B10"/>
    <w:rsid w:val="00CB3FC8"/>
    <w:rsid w:val="00CB4831"/>
    <w:rsid w:val="00CB5DBA"/>
    <w:rsid w:val="00CB5FBD"/>
    <w:rsid w:val="00CB6701"/>
    <w:rsid w:val="00CB7716"/>
    <w:rsid w:val="00CB7F2D"/>
    <w:rsid w:val="00CC044F"/>
    <w:rsid w:val="00CC23DF"/>
    <w:rsid w:val="00CC2F1C"/>
    <w:rsid w:val="00CC43A4"/>
    <w:rsid w:val="00CC4A80"/>
    <w:rsid w:val="00CC4C01"/>
    <w:rsid w:val="00CC530D"/>
    <w:rsid w:val="00CC5B2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4B8"/>
    <w:rsid w:val="00CF0EF2"/>
    <w:rsid w:val="00CF3D0A"/>
    <w:rsid w:val="00CF70DB"/>
    <w:rsid w:val="00CF732A"/>
    <w:rsid w:val="00D00F0E"/>
    <w:rsid w:val="00D01D61"/>
    <w:rsid w:val="00D0250E"/>
    <w:rsid w:val="00D02CD0"/>
    <w:rsid w:val="00D0343C"/>
    <w:rsid w:val="00D03A35"/>
    <w:rsid w:val="00D056DF"/>
    <w:rsid w:val="00D07526"/>
    <w:rsid w:val="00D10946"/>
    <w:rsid w:val="00D1308F"/>
    <w:rsid w:val="00D1479F"/>
    <w:rsid w:val="00D202AE"/>
    <w:rsid w:val="00D207B2"/>
    <w:rsid w:val="00D212C8"/>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3579"/>
    <w:rsid w:val="00D645E0"/>
    <w:rsid w:val="00D6476D"/>
    <w:rsid w:val="00D65671"/>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D0031"/>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1B7F"/>
    <w:rsid w:val="00E31BA9"/>
    <w:rsid w:val="00E337E8"/>
    <w:rsid w:val="00E33E8D"/>
    <w:rsid w:val="00E33F7B"/>
    <w:rsid w:val="00E34AA2"/>
    <w:rsid w:val="00E35507"/>
    <w:rsid w:val="00E370F1"/>
    <w:rsid w:val="00E37552"/>
    <w:rsid w:val="00E37DE3"/>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32EE"/>
    <w:rsid w:val="00E65A41"/>
    <w:rsid w:val="00E706D8"/>
    <w:rsid w:val="00E710C9"/>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C6323"/>
    <w:rsid w:val="00ED1803"/>
    <w:rsid w:val="00ED200B"/>
    <w:rsid w:val="00ED2E12"/>
    <w:rsid w:val="00ED4F03"/>
    <w:rsid w:val="00ED7509"/>
    <w:rsid w:val="00EE173D"/>
    <w:rsid w:val="00EE1868"/>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A99"/>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A2D"/>
    <w:rsid w:val="00F53B21"/>
    <w:rsid w:val="00F55369"/>
    <w:rsid w:val="00F5608F"/>
    <w:rsid w:val="00F60DAD"/>
    <w:rsid w:val="00F61F8E"/>
    <w:rsid w:val="00F63405"/>
    <w:rsid w:val="00F64156"/>
    <w:rsid w:val="00F64951"/>
    <w:rsid w:val="00F67501"/>
    <w:rsid w:val="00F67CBF"/>
    <w:rsid w:val="00F67D60"/>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3AA3"/>
    <w:rsid w:val="00FA5D62"/>
    <w:rsid w:val="00FA76D8"/>
    <w:rsid w:val="00FB08CC"/>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D147A"/>
    <w:rsid w:val="00FD15AF"/>
    <w:rsid w:val="00FD23EE"/>
    <w:rsid w:val="00FD2F1A"/>
    <w:rsid w:val="00FD5F57"/>
    <w:rsid w:val="00FD6865"/>
    <w:rsid w:val="00FD7F01"/>
    <w:rsid w:val="00FE1185"/>
    <w:rsid w:val="00FE3C93"/>
    <w:rsid w:val="00FE44CF"/>
    <w:rsid w:val="00FE4692"/>
    <w:rsid w:val="00FE4721"/>
    <w:rsid w:val="00FE4D2A"/>
    <w:rsid w:val="00FE4FD0"/>
    <w:rsid w:val="00FE6D9C"/>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yperlink" Target="https://www.scc-csc.ca/case-dossier/info/sum-som-eng.aspx?cas=39650" TargetMode="External"/><Relationship Id="rId18" Type="http://schemas.openxmlformats.org/officeDocument/2006/relationships/hyperlink" Target="https://www.scc-csc.ca/case-dossier/info/sum-som-eng.aspx?cas=39238" TargetMode="External"/><Relationship Id="rId3" Type="http://schemas.openxmlformats.org/officeDocument/2006/relationships/settings" Target="settings.xml"/><Relationship Id="rId21" Type="http://schemas.openxmlformats.org/officeDocument/2006/relationships/hyperlink" Target="https://www.scc-csc.ca/case-dossier/info/sum-som-fra.aspx?cas=39695" TargetMode="External"/><Relationship Id="rId7" Type="http://schemas.openxmlformats.org/officeDocument/2006/relationships/hyperlink" Target="https://decisions.scc-csc.ca/scc-csc/scc-csc/en/nav_date.do" TargetMode="External"/><Relationship Id="rId12" Type="http://schemas.openxmlformats.org/officeDocument/2006/relationships/hyperlink" Target="https://www.scc-csc.ca/case-dossier/info/sum-som-eng.aspx?cas=39543" TargetMode="External"/><Relationship Id="rId17" Type="http://schemas.openxmlformats.org/officeDocument/2006/relationships/hyperlink" Target="https://www.scc-csc.ca/case-dossier/info/sum-som-eng.aspx?cas=3972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c-csc.ca/case-dossier/info/sum-som-eng.aspx?cas=39720" TargetMode="External"/><Relationship Id="rId20" Type="http://schemas.openxmlformats.org/officeDocument/2006/relationships/hyperlink" Target="https://www.scc-csc.ca/case-dossier/info/sum-som-fra.aspx?cas=396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3966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c-csc.ca/case-dossier/info/sum-som-fra.aspx?cas=39694" TargetMode="External"/><Relationship Id="rId23" Type="http://schemas.openxmlformats.org/officeDocument/2006/relationships/footer" Target="footer1.xml"/><Relationship Id="rId10" Type="http://schemas.openxmlformats.org/officeDocument/2006/relationships/hyperlink" Target="https://www.scc-csc.ca/case-dossier/cb/index-fra.aspx" TargetMode="External"/><Relationship Id="rId19" Type="http://schemas.openxmlformats.org/officeDocument/2006/relationships/hyperlink" Target="https://www.scc-csc.ca/case-dossier/info/sum-som-eng.aspx?cas=39698" TargetMode="Externa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hyperlink" Target="https://www.scc-csc.ca/case-dossier/info/sum-som-eng.aspx?cas=39657" TargetMode="External"/><Relationship Id="rId22" Type="http://schemas.openxmlformats.org/officeDocument/2006/relationships/hyperlink" Target="mailto:comments-commentaires@scc-cs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20-%20Judgments%20in%20Appeal%20and%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.3 - Judgments in Appeal and Leave Applications.dotx</Template>
  <TotalTime>0</TotalTime>
  <Pages>4</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10828</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2021-09-29T13:33:00Z</dcterms:created>
  <dcterms:modified xsi:type="dcterms:W3CDTF">2021-10-13T16:36:00Z</dcterms:modified>
</cp:coreProperties>
</file>