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E1470" w:rsidRDefault="000E391F" w:rsidP="000E391F">
      <w:pPr>
        <w:pStyle w:val="Header"/>
        <w:jc w:val="center"/>
        <w:rPr>
          <w:b/>
          <w:sz w:val="32"/>
        </w:rPr>
      </w:pPr>
      <w:r w:rsidRPr="00FE1470">
        <w:rPr>
          <w:b/>
          <w:sz w:val="32"/>
        </w:rPr>
        <w:t>Supreme Court of Canada / Cour suprême du Canada</w:t>
      </w:r>
    </w:p>
    <w:p w:rsidR="000E391F" w:rsidRPr="00FE1470" w:rsidRDefault="000E391F" w:rsidP="000E391F">
      <w:pPr>
        <w:widowControl w:val="0"/>
      </w:pPr>
    </w:p>
    <w:p w:rsidR="000E391F" w:rsidRPr="00FE1470" w:rsidRDefault="000E391F" w:rsidP="000E391F">
      <w:pPr>
        <w:widowControl w:val="0"/>
        <w:rPr>
          <w:i/>
        </w:rPr>
      </w:pPr>
    </w:p>
    <w:p w:rsidR="006F2579" w:rsidRDefault="006F2579" w:rsidP="006F2579">
      <w:pPr>
        <w:widowControl w:val="0"/>
      </w:pPr>
      <w:r w:rsidRPr="00FE1470">
        <w:rPr>
          <w:i/>
          <w:sz w:val="20"/>
        </w:rPr>
        <w:t>(</w:t>
      </w:r>
      <w:r w:rsidR="003240B6" w:rsidRPr="00FE1470">
        <w:rPr>
          <w:i/>
          <w:sz w:val="20"/>
        </w:rPr>
        <w:t>L</w:t>
      </w:r>
      <w:r w:rsidRPr="00FE1470">
        <w:rPr>
          <w:i/>
          <w:sz w:val="20"/>
        </w:rPr>
        <w:t>e français suit)</w:t>
      </w:r>
      <w:r w:rsidR="00687DF9" w:rsidRPr="00FE1470">
        <w:t xml:space="preserve"> </w:t>
      </w:r>
    </w:p>
    <w:p w:rsidR="00A254E1" w:rsidRPr="00FE1470" w:rsidRDefault="00A254E1" w:rsidP="006F2579">
      <w:pPr>
        <w:widowControl w:val="0"/>
      </w:pPr>
      <w:bookmarkStart w:id="0" w:name="_GoBack"/>
      <w:bookmarkEnd w:id="0"/>
    </w:p>
    <w:p w:rsidR="006F2579" w:rsidRPr="00FE1470" w:rsidRDefault="00B07908" w:rsidP="006F2579">
      <w:pPr>
        <w:widowControl w:val="0"/>
        <w:jc w:val="center"/>
        <w:rPr>
          <w:b/>
        </w:rPr>
      </w:pPr>
      <w:r w:rsidRPr="00FE1470">
        <w:fldChar w:fldCharType="begin"/>
      </w:r>
      <w:r w:rsidR="006F2579" w:rsidRPr="00FE1470">
        <w:instrText xml:space="preserve"> SEQ CHAPTER \h \r 1</w:instrText>
      </w:r>
      <w:r w:rsidRPr="00FE1470">
        <w:fldChar w:fldCharType="end"/>
      </w:r>
      <w:r w:rsidR="006F2579" w:rsidRPr="00FE1470">
        <w:rPr>
          <w:b/>
        </w:rPr>
        <w:t>JUDGMENT</w:t>
      </w:r>
      <w:r w:rsidR="00B17AAC" w:rsidRPr="00FE1470">
        <w:rPr>
          <w:b/>
        </w:rPr>
        <w:t>S</w:t>
      </w:r>
      <w:r w:rsidR="006F2579" w:rsidRPr="00FE1470">
        <w:rPr>
          <w:b/>
        </w:rPr>
        <w:t xml:space="preserve"> TO B</w:t>
      </w:r>
      <w:r w:rsidR="00001846" w:rsidRPr="00FE1470">
        <w:rPr>
          <w:b/>
        </w:rPr>
        <w:t>E RENDERED IN LE</w:t>
      </w:r>
      <w:r w:rsidR="00A0288A" w:rsidRPr="00FE1470">
        <w:rPr>
          <w:b/>
        </w:rPr>
        <w:t>A</w:t>
      </w:r>
      <w:r w:rsidR="00001846" w:rsidRPr="00FE1470">
        <w:rPr>
          <w:b/>
        </w:rPr>
        <w:t>VE APPLICATION</w:t>
      </w:r>
      <w:r w:rsidR="00511288" w:rsidRPr="00FE1470">
        <w:rPr>
          <w:b/>
        </w:rPr>
        <w:t>S</w:t>
      </w:r>
    </w:p>
    <w:p w:rsidR="006F2579" w:rsidRPr="00FE1470" w:rsidRDefault="006F2579" w:rsidP="006F2579">
      <w:pPr>
        <w:widowControl w:val="0"/>
      </w:pPr>
    </w:p>
    <w:p w:rsidR="006F2579" w:rsidRPr="00FE1470" w:rsidRDefault="00075EC0" w:rsidP="006F2579">
      <w:pPr>
        <w:widowControl w:val="0"/>
      </w:pPr>
      <w:r w:rsidRPr="00FE1470">
        <w:rPr>
          <w:b/>
        </w:rPr>
        <w:t>November</w:t>
      </w:r>
      <w:r w:rsidR="00A15B66" w:rsidRPr="00FE1470">
        <w:rPr>
          <w:b/>
        </w:rPr>
        <w:t xml:space="preserve"> </w:t>
      </w:r>
      <w:r w:rsidR="006D4676">
        <w:rPr>
          <w:b/>
        </w:rPr>
        <w:t>8</w:t>
      </w:r>
      <w:r w:rsidR="004441C7" w:rsidRPr="00FE1470">
        <w:rPr>
          <w:b/>
        </w:rPr>
        <w:t>,</w:t>
      </w:r>
      <w:r w:rsidR="006F2579" w:rsidRPr="00FE1470">
        <w:rPr>
          <w:b/>
        </w:rPr>
        <w:t xml:space="preserve"> </w:t>
      </w:r>
      <w:r w:rsidR="0054689F" w:rsidRPr="00FE1470">
        <w:rPr>
          <w:b/>
        </w:rPr>
        <w:t>20</w:t>
      </w:r>
      <w:r w:rsidR="00526754" w:rsidRPr="00FE1470">
        <w:rPr>
          <w:b/>
        </w:rPr>
        <w:t>2</w:t>
      </w:r>
      <w:r w:rsidR="0068416C" w:rsidRPr="00FE1470">
        <w:rPr>
          <w:b/>
        </w:rPr>
        <w:t>1</w:t>
      </w:r>
    </w:p>
    <w:p w:rsidR="006F2579" w:rsidRPr="00FE1470" w:rsidRDefault="00674F39" w:rsidP="006F2579">
      <w:pPr>
        <w:widowControl w:val="0"/>
        <w:rPr>
          <w:b/>
        </w:rPr>
      </w:pPr>
      <w:r w:rsidRPr="00FE1470">
        <w:rPr>
          <w:b/>
        </w:rPr>
        <w:t>For immediate release</w:t>
      </w:r>
    </w:p>
    <w:p w:rsidR="006F2579" w:rsidRPr="00FE1470" w:rsidRDefault="006F2579" w:rsidP="006F2579">
      <w:pPr>
        <w:widowControl w:val="0"/>
      </w:pPr>
    </w:p>
    <w:p w:rsidR="006F2579" w:rsidRPr="00FE1470" w:rsidRDefault="006F2579" w:rsidP="006F2579">
      <w:pPr>
        <w:widowControl w:val="0"/>
        <w:rPr>
          <w:lang w:val="fr-CA"/>
        </w:rPr>
      </w:pPr>
      <w:r w:rsidRPr="00FE1470">
        <w:rPr>
          <w:b/>
        </w:rPr>
        <w:t>OTTAWA</w:t>
      </w:r>
      <w:r w:rsidRPr="00FE1470">
        <w:t xml:space="preserve"> – The Supreme Court of Canad</w:t>
      </w:r>
      <w:r w:rsidR="006246E4" w:rsidRPr="00FE1470">
        <w:t>a</w:t>
      </w:r>
      <w:r w:rsidRPr="00FE1470">
        <w:t xml:space="preserve"> announced today that judgment in the following </w:t>
      </w:r>
      <w:r w:rsidR="00DB6199" w:rsidRPr="00FE1470">
        <w:t xml:space="preserve">leave applications </w:t>
      </w:r>
      <w:r w:rsidRPr="00FE1470">
        <w:t xml:space="preserve">will be delivered at 9:45 a.m. </w:t>
      </w:r>
      <w:r w:rsidR="00E05816" w:rsidRPr="00FE1470">
        <w:t>E</w:t>
      </w:r>
      <w:r w:rsidR="006D4676">
        <w:t>S</w:t>
      </w:r>
      <w:r w:rsidR="00E05816" w:rsidRPr="00FE1470">
        <w:t>T</w:t>
      </w:r>
      <w:r w:rsidRPr="00FE1470">
        <w:t xml:space="preserve"> on </w:t>
      </w:r>
      <w:r w:rsidR="006D4676">
        <w:t>Wedne</w:t>
      </w:r>
      <w:r w:rsidR="00C833AB" w:rsidRPr="00FE1470">
        <w:t>s</w:t>
      </w:r>
      <w:r w:rsidR="00680A85" w:rsidRPr="00FE1470">
        <w:t>day</w:t>
      </w:r>
      <w:r w:rsidRPr="00FE1470">
        <w:t xml:space="preserve">, </w:t>
      </w:r>
      <w:r w:rsidR="00075EC0" w:rsidRPr="00FE1470">
        <w:t>Novem</w:t>
      </w:r>
      <w:r w:rsidR="00F45DCD" w:rsidRPr="00FE1470">
        <w:t>ber</w:t>
      </w:r>
      <w:r w:rsidR="00455912" w:rsidRPr="00FE1470">
        <w:t xml:space="preserve"> </w:t>
      </w:r>
      <w:r w:rsidR="006D4676">
        <w:t>10</w:t>
      </w:r>
      <w:r w:rsidR="007E112F" w:rsidRPr="00FE1470">
        <w:t>,</w:t>
      </w:r>
      <w:r w:rsidR="002F38D7" w:rsidRPr="00FE1470">
        <w:t xml:space="preserve"> </w:t>
      </w:r>
      <w:r w:rsidR="006648D1" w:rsidRPr="00FE1470">
        <w:t>20</w:t>
      </w:r>
      <w:r w:rsidR="00526754" w:rsidRPr="00FE1470">
        <w:t>2</w:t>
      </w:r>
      <w:r w:rsidR="00DD65CF" w:rsidRPr="00FE1470">
        <w:t>1</w:t>
      </w:r>
      <w:r w:rsidRPr="00FE1470">
        <w:t xml:space="preserve">. </w:t>
      </w:r>
      <w:r w:rsidRPr="00FE1470">
        <w:rPr>
          <w:lang w:val="fr-CA"/>
        </w:rPr>
        <w:t>This list is subject to chang</w:t>
      </w:r>
      <w:r w:rsidR="00192F7F" w:rsidRPr="00FE1470">
        <w:rPr>
          <w:lang w:val="fr-CA"/>
        </w:rPr>
        <w:t>e</w:t>
      </w:r>
      <w:r w:rsidRPr="00FE1470">
        <w:rPr>
          <w:lang w:val="fr-CA"/>
        </w:rPr>
        <w:t>.</w:t>
      </w:r>
    </w:p>
    <w:p w:rsidR="00FF5AA4" w:rsidRPr="00FE1470" w:rsidRDefault="00FF5AA4" w:rsidP="006F2579">
      <w:pPr>
        <w:widowControl w:val="0"/>
        <w:rPr>
          <w:lang w:val="fr-CA"/>
        </w:rPr>
      </w:pPr>
    </w:p>
    <w:p w:rsidR="00B43418" w:rsidRPr="00FE1470" w:rsidRDefault="00B43418" w:rsidP="006F2579">
      <w:pPr>
        <w:widowControl w:val="0"/>
        <w:rPr>
          <w:lang w:val="fr-CA"/>
        </w:rPr>
      </w:pPr>
    </w:p>
    <w:p w:rsidR="006F2579" w:rsidRPr="00FE1470" w:rsidRDefault="006F2579" w:rsidP="006F2579">
      <w:pPr>
        <w:widowControl w:val="0"/>
        <w:jc w:val="center"/>
        <w:rPr>
          <w:lang w:val="fr-CA"/>
        </w:rPr>
      </w:pPr>
      <w:r w:rsidRPr="00FE1470">
        <w:rPr>
          <w:b/>
          <w:lang w:val="fr-CA"/>
        </w:rPr>
        <w:t>PROCHAIN</w:t>
      </w:r>
      <w:r w:rsidR="00B17AAC" w:rsidRPr="00FE1470">
        <w:rPr>
          <w:b/>
          <w:lang w:val="fr-CA"/>
        </w:rPr>
        <w:t>S</w:t>
      </w:r>
      <w:r w:rsidRPr="00FE1470">
        <w:rPr>
          <w:b/>
          <w:lang w:val="fr-CA"/>
        </w:rPr>
        <w:t xml:space="preserve"> JUGEMENT</w:t>
      </w:r>
      <w:r w:rsidR="00B17AAC" w:rsidRPr="00FE1470">
        <w:rPr>
          <w:b/>
          <w:lang w:val="fr-CA"/>
        </w:rPr>
        <w:t>S</w:t>
      </w:r>
      <w:r w:rsidR="00001846" w:rsidRPr="00FE1470">
        <w:rPr>
          <w:b/>
          <w:lang w:val="fr-CA"/>
        </w:rPr>
        <w:t xml:space="preserve"> SUR DEMANDE</w:t>
      </w:r>
      <w:r w:rsidR="00B17AAC" w:rsidRPr="00FE1470">
        <w:rPr>
          <w:b/>
          <w:lang w:val="fr-CA"/>
        </w:rPr>
        <w:t>S</w:t>
      </w:r>
      <w:r w:rsidRPr="00FE1470">
        <w:rPr>
          <w:b/>
          <w:lang w:val="fr-CA"/>
        </w:rPr>
        <w:t xml:space="preserve"> D’AUTORISATION</w:t>
      </w:r>
    </w:p>
    <w:p w:rsidR="006F2579" w:rsidRPr="00FE1470" w:rsidRDefault="006F2579" w:rsidP="006F2579">
      <w:pPr>
        <w:widowControl w:val="0"/>
        <w:rPr>
          <w:lang w:val="fr-CA"/>
        </w:rPr>
      </w:pPr>
    </w:p>
    <w:p w:rsidR="006F2579" w:rsidRPr="00FE1470" w:rsidRDefault="006F2579" w:rsidP="006F2579">
      <w:pPr>
        <w:widowControl w:val="0"/>
        <w:rPr>
          <w:lang w:val="fr-CA"/>
        </w:rPr>
      </w:pPr>
      <w:r w:rsidRPr="00FE1470">
        <w:rPr>
          <w:b/>
          <w:lang w:val="fr-CA"/>
        </w:rPr>
        <w:t>Le</w:t>
      </w:r>
      <w:r w:rsidR="00957A76" w:rsidRPr="00FE1470">
        <w:rPr>
          <w:b/>
          <w:lang w:val="fr-CA"/>
        </w:rPr>
        <w:t xml:space="preserve"> </w:t>
      </w:r>
      <w:r w:rsidR="006D4676">
        <w:rPr>
          <w:b/>
          <w:lang w:val="fr-CA"/>
        </w:rPr>
        <w:t>8</w:t>
      </w:r>
      <w:r w:rsidR="00075EC0" w:rsidRPr="00FE1470">
        <w:rPr>
          <w:b/>
          <w:lang w:val="fr-CA"/>
        </w:rPr>
        <w:t xml:space="preserve"> novem</w:t>
      </w:r>
      <w:r w:rsidR="00777ECC" w:rsidRPr="00FE1470">
        <w:rPr>
          <w:b/>
          <w:lang w:val="fr-CA"/>
        </w:rPr>
        <w:t>bre</w:t>
      </w:r>
      <w:r w:rsidR="00A151D1" w:rsidRPr="00FE1470">
        <w:rPr>
          <w:b/>
          <w:lang w:val="fr-CA"/>
        </w:rPr>
        <w:t xml:space="preserve"> 20</w:t>
      </w:r>
      <w:r w:rsidR="00526754" w:rsidRPr="00FE1470">
        <w:rPr>
          <w:b/>
          <w:lang w:val="fr-CA"/>
        </w:rPr>
        <w:t>2</w:t>
      </w:r>
      <w:r w:rsidR="0068416C" w:rsidRPr="00FE1470">
        <w:rPr>
          <w:b/>
          <w:lang w:val="fr-CA"/>
        </w:rPr>
        <w:t>1</w:t>
      </w:r>
    </w:p>
    <w:p w:rsidR="006F2579" w:rsidRPr="00FE1470" w:rsidRDefault="006F2579" w:rsidP="006F2579">
      <w:pPr>
        <w:widowControl w:val="0"/>
        <w:rPr>
          <w:b/>
          <w:lang w:val="fr-CA"/>
        </w:rPr>
      </w:pPr>
      <w:r w:rsidRPr="00FE1470">
        <w:rPr>
          <w:b/>
          <w:lang w:val="fr-CA"/>
        </w:rPr>
        <w:t>Pour diffusion immédiate</w:t>
      </w:r>
    </w:p>
    <w:p w:rsidR="006F2579" w:rsidRPr="00FE1470" w:rsidRDefault="006F2579" w:rsidP="006F2579">
      <w:pPr>
        <w:widowControl w:val="0"/>
        <w:rPr>
          <w:lang w:val="fr-CA"/>
        </w:rPr>
      </w:pPr>
    </w:p>
    <w:p w:rsidR="006F2579" w:rsidRPr="00FE1470" w:rsidRDefault="006F2579" w:rsidP="006F2579">
      <w:pPr>
        <w:widowControl w:val="0"/>
        <w:rPr>
          <w:lang w:val="fr-CA"/>
        </w:rPr>
      </w:pPr>
      <w:r w:rsidRPr="00FE1470">
        <w:rPr>
          <w:b/>
          <w:lang w:val="fr-CA"/>
        </w:rPr>
        <w:t>OTTAWA</w:t>
      </w:r>
      <w:r w:rsidRPr="00FE1470">
        <w:rPr>
          <w:lang w:val="fr-CA"/>
        </w:rPr>
        <w:t xml:space="preserve"> – La Cour suprême du Canada annonce que jugement ser</w:t>
      </w:r>
      <w:r w:rsidR="004259F9" w:rsidRPr="00FE1470">
        <w:rPr>
          <w:lang w:val="fr-CA"/>
        </w:rPr>
        <w:t>a</w:t>
      </w:r>
      <w:r w:rsidRPr="00FE1470">
        <w:rPr>
          <w:lang w:val="fr-CA"/>
        </w:rPr>
        <w:t xml:space="preserve"> rendu dans l</w:t>
      </w:r>
      <w:r w:rsidR="008600ED" w:rsidRPr="00FE1470">
        <w:rPr>
          <w:lang w:val="fr-CA"/>
        </w:rPr>
        <w:t>es</w:t>
      </w:r>
      <w:r w:rsidRPr="00FE1470">
        <w:rPr>
          <w:lang w:val="fr-CA"/>
        </w:rPr>
        <w:t xml:space="preserve"> demande</w:t>
      </w:r>
      <w:r w:rsidR="008600ED" w:rsidRPr="00FE1470">
        <w:rPr>
          <w:lang w:val="fr-CA"/>
        </w:rPr>
        <w:t>s</w:t>
      </w:r>
      <w:r w:rsidRPr="00FE1470">
        <w:rPr>
          <w:lang w:val="fr-CA"/>
        </w:rPr>
        <w:t xml:space="preserve"> d</w:t>
      </w:r>
      <w:r w:rsidR="00001846" w:rsidRPr="00FE1470">
        <w:rPr>
          <w:lang w:val="fr-CA"/>
        </w:rPr>
        <w:t>’autorisation suivante</w:t>
      </w:r>
      <w:r w:rsidR="008600ED" w:rsidRPr="00FE1470">
        <w:rPr>
          <w:lang w:val="fr-CA"/>
        </w:rPr>
        <w:t>s</w:t>
      </w:r>
      <w:r w:rsidRPr="00FE1470">
        <w:rPr>
          <w:lang w:val="fr-CA"/>
        </w:rPr>
        <w:t xml:space="preserve"> le </w:t>
      </w:r>
      <w:r w:rsidR="006D4676">
        <w:rPr>
          <w:lang w:val="fr-CA"/>
        </w:rPr>
        <w:t>mercre</w:t>
      </w:r>
      <w:r w:rsidR="00680A85" w:rsidRPr="00FE1470">
        <w:rPr>
          <w:lang w:val="fr-CA"/>
        </w:rPr>
        <w:t>di</w:t>
      </w:r>
      <w:r w:rsidRPr="00FE1470">
        <w:rPr>
          <w:lang w:val="fr-CA"/>
        </w:rPr>
        <w:t xml:space="preserve"> </w:t>
      </w:r>
      <w:r w:rsidR="006D4676">
        <w:rPr>
          <w:lang w:val="fr-CA"/>
        </w:rPr>
        <w:t>10</w:t>
      </w:r>
      <w:r w:rsidR="009E0BD3" w:rsidRPr="00FE1470">
        <w:rPr>
          <w:lang w:val="fr-CA"/>
        </w:rPr>
        <w:t xml:space="preserve"> </w:t>
      </w:r>
      <w:r w:rsidR="00075EC0" w:rsidRPr="00FE1470">
        <w:rPr>
          <w:lang w:val="fr-CA"/>
        </w:rPr>
        <w:t>novem</w:t>
      </w:r>
      <w:r w:rsidR="00777ECC" w:rsidRPr="00FE1470">
        <w:rPr>
          <w:lang w:val="fr-CA"/>
        </w:rPr>
        <w:t>bre</w:t>
      </w:r>
      <w:r w:rsidR="00694391" w:rsidRPr="00FE1470">
        <w:rPr>
          <w:lang w:val="fr-CA"/>
        </w:rPr>
        <w:t xml:space="preserve"> 2</w:t>
      </w:r>
      <w:r w:rsidR="006648D1" w:rsidRPr="00FE1470">
        <w:rPr>
          <w:lang w:val="fr-CA"/>
        </w:rPr>
        <w:t>0</w:t>
      </w:r>
      <w:r w:rsidR="00526754" w:rsidRPr="00FE1470">
        <w:rPr>
          <w:lang w:val="fr-CA"/>
        </w:rPr>
        <w:t>2</w:t>
      </w:r>
      <w:r w:rsidR="0068416C" w:rsidRPr="00FE1470">
        <w:rPr>
          <w:lang w:val="fr-CA"/>
        </w:rPr>
        <w:t>1</w:t>
      </w:r>
      <w:r w:rsidRPr="00FE1470">
        <w:rPr>
          <w:lang w:val="fr-CA"/>
        </w:rPr>
        <w:t xml:space="preserve">, à 9 h 45 </w:t>
      </w:r>
      <w:r w:rsidR="000627A2" w:rsidRPr="00FE1470">
        <w:rPr>
          <w:lang w:val="fr-CA"/>
        </w:rPr>
        <w:t>H</w:t>
      </w:r>
      <w:r w:rsidR="006D4676">
        <w:rPr>
          <w:lang w:val="fr-CA"/>
        </w:rPr>
        <w:t>N</w:t>
      </w:r>
      <w:r w:rsidRPr="00FE1470">
        <w:rPr>
          <w:lang w:val="fr-CA"/>
        </w:rPr>
        <w:t>E. Cette liste est sujette à modification</w:t>
      </w:r>
      <w:r w:rsidR="00130ADB" w:rsidRPr="00FE1470">
        <w:rPr>
          <w:lang w:val="fr-CA"/>
        </w:rPr>
        <w:t>s</w:t>
      </w:r>
      <w:r w:rsidRPr="00FE1470">
        <w:rPr>
          <w:lang w:val="fr-CA"/>
        </w:rPr>
        <w:t>.</w:t>
      </w:r>
    </w:p>
    <w:p w:rsidR="0080556B" w:rsidRPr="00FE1470" w:rsidRDefault="0080556B" w:rsidP="005F2A78">
      <w:pPr>
        <w:widowControl w:val="0"/>
        <w:tabs>
          <w:tab w:val="left" w:pos="3840"/>
        </w:tabs>
        <w:jc w:val="both"/>
        <w:rPr>
          <w:sz w:val="20"/>
          <w:lang w:val="fr-CA"/>
        </w:rPr>
      </w:pPr>
    </w:p>
    <w:p w:rsidR="00867C61" w:rsidRPr="00FE1470" w:rsidRDefault="00A254E1" w:rsidP="009B14F4">
      <w:pPr>
        <w:widowControl w:val="0"/>
        <w:jc w:val="both"/>
        <w:rPr>
          <w:sz w:val="20"/>
        </w:rPr>
      </w:pPr>
      <w:r>
        <w:rPr>
          <w:sz w:val="20"/>
        </w:rPr>
        <w:pict>
          <v:rect id="_x0000_i1025" style="width:2in;height:1pt" o:hrpct="0" o:hralign="center" o:hrstd="t" o:hrnoshade="t" o:hr="t" fillcolor="black [3213]" stroked="f"/>
        </w:pict>
      </w:r>
    </w:p>
    <w:p w:rsidR="004A6E51" w:rsidRPr="002B4BA7" w:rsidRDefault="004A6E51" w:rsidP="0053032E">
      <w:pPr>
        <w:rPr>
          <w:sz w:val="20"/>
          <w:lang w:val="fr-CA"/>
        </w:rPr>
      </w:pPr>
    </w:p>
    <w:p w:rsidR="002B4BA7" w:rsidRPr="00C93DC8" w:rsidRDefault="002B4BA7" w:rsidP="00C93DC8">
      <w:pPr>
        <w:pStyle w:val="ListParagraph"/>
        <w:numPr>
          <w:ilvl w:val="0"/>
          <w:numId w:val="13"/>
        </w:numPr>
        <w:tabs>
          <w:tab w:val="left" w:pos="360"/>
        </w:tabs>
        <w:ind w:left="357" w:hanging="357"/>
        <w:rPr>
          <w:rFonts w:eastAsiaTheme="minorHAnsi" w:cstheme="minorBidi"/>
          <w:i/>
          <w:sz w:val="20"/>
        </w:rPr>
      </w:pPr>
      <w:r w:rsidRPr="00C93DC8">
        <w:rPr>
          <w:rFonts w:eastAsiaTheme="minorHAnsi" w:cstheme="minorBidi"/>
          <w:i/>
          <w:sz w:val="20"/>
        </w:rPr>
        <w:t xml:space="preserve">Kyle Brown v. Her Majesty the Queen </w:t>
      </w:r>
      <w:r w:rsidRPr="00C93DC8">
        <w:rPr>
          <w:rFonts w:eastAsiaTheme="minorHAnsi" w:cstheme="minorBidi"/>
          <w:sz w:val="20"/>
        </w:rPr>
        <w:t>(N.L.) (Criminal) (By Leave)</w:t>
      </w:r>
      <w:r w:rsidRPr="00C93DC8">
        <w:rPr>
          <w:rFonts w:eastAsiaTheme="minorHAnsi" w:cstheme="minorBidi"/>
          <w:i/>
          <w:sz w:val="20"/>
        </w:rPr>
        <w:t xml:space="preserve"> </w:t>
      </w:r>
      <w:r w:rsidRPr="00C93DC8">
        <w:rPr>
          <w:rFonts w:eastAsia="Calibri"/>
          <w:sz w:val="20"/>
          <w:lang w:val="en-CA"/>
        </w:rPr>
        <w:t>(</w:t>
      </w:r>
      <w:hyperlink r:id="rId8" w:history="1">
        <w:r w:rsidRPr="00C93DC8">
          <w:rPr>
            <w:rStyle w:val="Hyperlink"/>
            <w:rFonts w:eastAsia="Calibri"/>
            <w:sz w:val="20"/>
            <w:lang w:val="en-CA"/>
          </w:rPr>
          <w:t>397</w:t>
        </w:r>
        <w:r w:rsidR="0053032E" w:rsidRPr="00C93DC8">
          <w:rPr>
            <w:rStyle w:val="Hyperlink"/>
            <w:rFonts w:eastAsia="Calibri"/>
            <w:sz w:val="20"/>
            <w:lang w:val="en-CA"/>
          </w:rPr>
          <w:t>31</w:t>
        </w:r>
      </w:hyperlink>
      <w:r w:rsidRPr="00C93DC8">
        <w:rPr>
          <w:rFonts w:eastAsia="Calibri"/>
          <w:sz w:val="20"/>
          <w:lang w:val="en-CA"/>
        </w:rPr>
        <w:t>)</w:t>
      </w:r>
    </w:p>
    <w:p w:rsidR="002B4BA7" w:rsidRPr="0053032E" w:rsidRDefault="002B4BA7" w:rsidP="00C93DC8">
      <w:pPr>
        <w:tabs>
          <w:tab w:val="left" w:pos="360"/>
        </w:tabs>
        <w:ind w:left="357" w:hanging="357"/>
        <w:rPr>
          <w:rFonts w:eastAsiaTheme="minorHAnsi" w:cstheme="minorBidi"/>
          <w:sz w:val="20"/>
        </w:rPr>
      </w:pPr>
    </w:p>
    <w:p w:rsidR="002B4BA7" w:rsidRPr="00C93DC8" w:rsidRDefault="002B4BA7" w:rsidP="00C93DC8">
      <w:pPr>
        <w:pStyle w:val="ListParagraph"/>
        <w:numPr>
          <w:ilvl w:val="0"/>
          <w:numId w:val="13"/>
        </w:numPr>
        <w:tabs>
          <w:tab w:val="left" w:pos="360"/>
        </w:tabs>
        <w:ind w:left="357" w:hanging="357"/>
        <w:rPr>
          <w:rFonts w:eastAsiaTheme="minorHAnsi" w:cstheme="minorBidi"/>
          <w:i/>
          <w:sz w:val="20"/>
        </w:rPr>
      </w:pPr>
      <w:r w:rsidRPr="00C93DC8">
        <w:rPr>
          <w:rFonts w:eastAsiaTheme="minorHAnsi" w:cstheme="minorBidi"/>
          <w:i/>
          <w:sz w:val="20"/>
        </w:rPr>
        <w:t xml:space="preserve">Highlands District Community Association v. Attorney General of British Columbia, et al. </w:t>
      </w:r>
      <w:r w:rsidRPr="00C93DC8">
        <w:rPr>
          <w:rFonts w:eastAsiaTheme="minorHAnsi" w:cstheme="minorBidi"/>
          <w:sz w:val="20"/>
        </w:rPr>
        <w:t xml:space="preserve">(B.C.) (Civil) (By Leave) </w:t>
      </w:r>
      <w:r w:rsidRPr="00C93DC8">
        <w:rPr>
          <w:rFonts w:eastAsia="Calibri"/>
          <w:sz w:val="20"/>
          <w:lang w:val="en-CA"/>
        </w:rPr>
        <w:t>(</w:t>
      </w:r>
      <w:hyperlink r:id="rId9" w:history="1">
        <w:r w:rsidRPr="00C93DC8">
          <w:rPr>
            <w:rStyle w:val="Hyperlink"/>
            <w:rFonts w:eastAsia="Calibri"/>
            <w:sz w:val="20"/>
            <w:lang w:val="en-CA"/>
          </w:rPr>
          <w:t>39</w:t>
        </w:r>
        <w:r w:rsidR="0053032E" w:rsidRPr="00C93DC8">
          <w:rPr>
            <w:rStyle w:val="Hyperlink"/>
            <w:rFonts w:eastAsia="Calibri"/>
            <w:sz w:val="20"/>
            <w:lang w:val="en-CA"/>
          </w:rPr>
          <w:t>7</w:t>
        </w:r>
        <w:r w:rsidRPr="00C93DC8">
          <w:rPr>
            <w:rStyle w:val="Hyperlink"/>
            <w:rFonts w:eastAsia="Calibri"/>
            <w:sz w:val="20"/>
            <w:lang w:val="en-CA"/>
          </w:rPr>
          <w:t>7</w:t>
        </w:r>
        <w:r w:rsidR="0053032E" w:rsidRPr="00C93DC8">
          <w:rPr>
            <w:rStyle w:val="Hyperlink"/>
            <w:rFonts w:eastAsia="Calibri"/>
            <w:sz w:val="20"/>
            <w:lang w:val="en-CA"/>
          </w:rPr>
          <w:t>5</w:t>
        </w:r>
      </w:hyperlink>
      <w:r w:rsidRPr="00C93DC8">
        <w:rPr>
          <w:rFonts w:eastAsia="Calibri"/>
          <w:sz w:val="20"/>
          <w:lang w:val="en-CA"/>
        </w:rPr>
        <w:t>)</w:t>
      </w:r>
    </w:p>
    <w:p w:rsidR="006D4676" w:rsidRPr="0053032E" w:rsidRDefault="006D4676" w:rsidP="00C93DC8">
      <w:pPr>
        <w:ind w:left="357" w:hanging="357"/>
        <w:rPr>
          <w:sz w:val="20"/>
        </w:rPr>
      </w:pPr>
    </w:p>
    <w:p w:rsidR="00C93DC8" w:rsidRPr="00C93DC8" w:rsidRDefault="00C93DC8" w:rsidP="00C93DC8">
      <w:pPr>
        <w:pStyle w:val="ListParagraph"/>
        <w:numPr>
          <w:ilvl w:val="0"/>
          <w:numId w:val="13"/>
        </w:numPr>
        <w:ind w:left="357" w:hanging="357"/>
        <w:jc w:val="both"/>
        <w:rPr>
          <w:sz w:val="20"/>
          <w:szCs w:val="20"/>
        </w:rPr>
      </w:pPr>
      <w:r w:rsidRPr="00C93DC8">
        <w:rPr>
          <w:i/>
          <w:sz w:val="20"/>
          <w:szCs w:val="20"/>
          <w:lang w:val="en-CA"/>
        </w:rPr>
        <w:t xml:space="preserve">Hentrose Nelson v. Her Majesty the Queen in Right of Ontario, </w:t>
      </w:r>
      <w:r w:rsidRPr="00C93DC8">
        <w:rPr>
          <w:i/>
          <w:sz w:val="20"/>
          <w:lang w:val="en-CA"/>
        </w:rPr>
        <w:t>et al.</w:t>
      </w:r>
      <w:r w:rsidRPr="00C93DC8">
        <w:rPr>
          <w:i/>
          <w:sz w:val="20"/>
          <w:szCs w:val="20"/>
        </w:rPr>
        <w:t xml:space="preserve"> </w:t>
      </w:r>
      <w:r w:rsidRPr="00C93DC8">
        <w:rPr>
          <w:sz w:val="20"/>
          <w:szCs w:val="20"/>
        </w:rPr>
        <w:t>(Ont.) (Civil) (By Leave)</w:t>
      </w:r>
      <w:r w:rsidRPr="00C93DC8">
        <w:rPr>
          <w:sz w:val="20"/>
        </w:rPr>
        <w:t xml:space="preserve"> </w:t>
      </w:r>
      <w:r w:rsidRPr="00C93DC8">
        <w:rPr>
          <w:rFonts w:eastAsia="Calibri"/>
          <w:sz w:val="20"/>
          <w:lang w:val="en-CA"/>
        </w:rPr>
        <w:t>(</w:t>
      </w:r>
      <w:hyperlink r:id="rId10" w:history="1">
        <w:r w:rsidRPr="00C93DC8">
          <w:rPr>
            <w:rStyle w:val="Hyperlink"/>
            <w:rFonts w:eastAsia="Calibri"/>
            <w:sz w:val="20"/>
            <w:lang w:val="en-CA"/>
          </w:rPr>
          <w:t>39548</w:t>
        </w:r>
      </w:hyperlink>
      <w:r w:rsidRPr="00C93DC8">
        <w:rPr>
          <w:rFonts w:eastAsia="Calibri"/>
          <w:sz w:val="20"/>
          <w:lang w:val="en-CA"/>
        </w:rPr>
        <w:t>)</w:t>
      </w:r>
    </w:p>
    <w:p w:rsidR="006D4676" w:rsidRPr="00C93DC8" w:rsidRDefault="006D4676" w:rsidP="00C93DC8">
      <w:pPr>
        <w:ind w:left="357" w:hanging="357"/>
        <w:rPr>
          <w:sz w:val="20"/>
        </w:rPr>
      </w:pPr>
    </w:p>
    <w:p w:rsidR="002B4BA7" w:rsidRPr="00C93DC8" w:rsidRDefault="002B4BA7" w:rsidP="00C93DC8">
      <w:pPr>
        <w:pStyle w:val="ListParagraph"/>
        <w:numPr>
          <w:ilvl w:val="0"/>
          <w:numId w:val="13"/>
        </w:numPr>
        <w:ind w:left="357" w:hanging="357"/>
        <w:jc w:val="both"/>
        <w:rPr>
          <w:i/>
          <w:sz w:val="20"/>
        </w:rPr>
      </w:pPr>
      <w:r w:rsidRPr="00C93DC8">
        <w:rPr>
          <w:i/>
          <w:sz w:val="20"/>
        </w:rPr>
        <w:t>C.W.A.W. v. Her Majesty the Queen</w:t>
      </w:r>
      <w:r w:rsidRPr="00C93DC8">
        <w:rPr>
          <w:sz w:val="20"/>
        </w:rPr>
        <w:t xml:space="preserve"> (Sask.) (Criminal) (By Leave) </w:t>
      </w:r>
      <w:r w:rsidRPr="00C93DC8">
        <w:rPr>
          <w:rFonts w:eastAsia="Calibri"/>
          <w:sz w:val="20"/>
          <w:lang w:val="en-CA"/>
        </w:rPr>
        <w:t>(</w:t>
      </w:r>
      <w:hyperlink r:id="rId11" w:history="1">
        <w:r w:rsidRPr="00C93DC8">
          <w:rPr>
            <w:rStyle w:val="Hyperlink"/>
            <w:rFonts w:eastAsia="Calibri"/>
            <w:sz w:val="20"/>
            <w:lang w:val="en-CA"/>
          </w:rPr>
          <w:t>39</w:t>
        </w:r>
        <w:r w:rsidR="0053032E" w:rsidRPr="00C93DC8">
          <w:rPr>
            <w:rStyle w:val="Hyperlink"/>
            <w:rFonts w:eastAsia="Calibri"/>
            <w:sz w:val="20"/>
            <w:lang w:val="en-CA"/>
          </w:rPr>
          <w:t>727</w:t>
        </w:r>
      </w:hyperlink>
      <w:r w:rsidRPr="00C93DC8">
        <w:rPr>
          <w:rFonts w:eastAsia="Calibri"/>
          <w:sz w:val="20"/>
          <w:lang w:val="en-CA"/>
        </w:rPr>
        <w:t>)</w:t>
      </w:r>
    </w:p>
    <w:p w:rsidR="002B4BA7" w:rsidRPr="0053032E" w:rsidRDefault="002B4BA7" w:rsidP="00C93DC8">
      <w:pPr>
        <w:widowControl w:val="0"/>
        <w:autoSpaceDE w:val="0"/>
        <w:autoSpaceDN w:val="0"/>
        <w:adjustRightInd w:val="0"/>
        <w:ind w:left="357" w:hanging="357"/>
        <w:jc w:val="both"/>
        <w:rPr>
          <w:i/>
          <w:sz w:val="20"/>
        </w:rPr>
      </w:pPr>
    </w:p>
    <w:p w:rsidR="002B4BA7" w:rsidRPr="00C93DC8" w:rsidRDefault="002B4BA7" w:rsidP="00C93DC8">
      <w:pPr>
        <w:pStyle w:val="ListParagraph"/>
        <w:numPr>
          <w:ilvl w:val="0"/>
          <w:numId w:val="13"/>
        </w:numPr>
        <w:ind w:left="357" w:hanging="357"/>
        <w:jc w:val="both"/>
        <w:rPr>
          <w:sz w:val="20"/>
        </w:rPr>
      </w:pPr>
      <w:r w:rsidRPr="00E01B93">
        <w:rPr>
          <w:i/>
          <w:sz w:val="20"/>
          <w:lang w:val="fr-CA"/>
        </w:rPr>
        <w:t>Enrico Iafolla v. Jolanta Lasota</w:t>
      </w:r>
      <w:r w:rsidRPr="00E01B93">
        <w:rPr>
          <w:sz w:val="20"/>
          <w:lang w:val="fr-CA"/>
        </w:rPr>
        <w:t xml:space="preserve"> (Ont.) </w:t>
      </w:r>
      <w:r w:rsidRPr="00C93DC8">
        <w:rPr>
          <w:sz w:val="20"/>
        </w:rPr>
        <w:t xml:space="preserve">(Civil) (By Leave) </w:t>
      </w:r>
      <w:r w:rsidRPr="00C93DC8">
        <w:rPr>
          <w:rFonts w:eastAsia="Calibri"/>
          <w:sz w:val="20"/>
          <w:lang w:val="en-CA"/>
        </w:rPr>
        <w:t>(</w:t>
      </w:r>
      <w:hyperlink r:id="rId12" w:history="1">
        <w:r w:rsidRPr="00C93DC8">
          <w:rPr>
            <w:rStyle w:val="Hyperlink"/>
            <w:rFonts w:eastAsia="Calibri"/>
            <w:sz w:val="20"/>
            <w:lang w:val="en-CA"/>
          </w:rPr>
          <w:t>397</w:t>
        </w:r>
        <w:r w:rsidR="0053032E" w:rsidRPr="00C93DC8">
          <w:rPr>
            <w:rStyle w:val="Hyperlink"/>
            <w:rFonts w:eastAsia="Calibri"/>
            <w:sz w:val="20"/>
            <w:lang w:val="en-CA"/>
          </w:rPr>
          <w:t>13</w:t>
        </w:r>
      </w:hyperlink>
      <w:r w:rsidRPr="00C93DC8">
        <w:rPr>
          <w:rFonts w:eastAsia="Calibri"/>
          <w:sz w:val="20"/>
          <w:lang w:val="en-CA"/>
        </w:rPr>
        <w:t>)</w:t>
      </w:r>
    </w:p>
    <w:p w:rsidR="002B4BA7" w:rsidRPr="0053032E" w:rsidRDefault="002B4BA7" w:rsidP="00C93DC8">
      <w:pPr>
        <w:widowControl w:val="0"/>
        <w:autoSpaceDE w:val="0"/>
        <w:autoSpaceDN w:val="0"/>
        <w:adjustRightInd w:val="0"/>
        <w:ind w:left="357" w:hanging="357"/>
        <w:jc w:val="both"/>
        <w:rPr>
          <w:sz w:val="20"/>
        </w:rPr>
      </w:pPr>
    </w:p>
    <w:p w:rsidR="002B4BA7" w:rsidRPr="00C93DC8" w:rsidRDefault="002B4BA7" w:rsidP="00C93DC8">
      <w:pPr>
        <w:pStyle w:val="ListParagraph"/>
        <w:numPr>
          <w:ilvl w:val="0"/>
          <w:numId w:val="13"/>
        </w:numPr>
        <w:ind w:left="357" w:hanging="357"/>
        <w:jc w:val="both"/>
        <w:rPr>
          <w:i/>
          <w:sz w:val="20"/>
        </w:rPr>
      </w:pPr>
      <w:r w:rsidRPr="00C93DC8">
        <w:rPr>
          <w:i/>
          <w:sz w:val="20"/>
        </w:rPr>
        <w:t xml:space="preserve">Kovarthanan Konesavarathan v. University of Guelph Radio, </w:t>
      </w:r>
      <w:r w:rsidR="0053032E" w:rsidRPr="00C93DC8">
        <w:rPr>
          <w:i/>
          <w:sz w:val="20"/>
        </w:rPr>
        <w:t>et al.</w:t>
      </w:r>
      <w:r w:rsidRPr="00C93DC8">
        <w:rPr>
          <w:sz w:val="20"/>
        </w:rPr>
        <w:t xml:space="preserve"> (F.C.) (Civil) (By Leave) </w:t>
      </w:r>
      <w:r w:rsidRPr="00C93DC8">
        <w:rPr>
          <w:rFonts w:eastAsia="Calibri"/>
          <w:sz w:val="20"/>
          <w:lang w:val="en-CA"/>
        </w:rPr>
        <w:t>(</w:t>
      </w:r>
      <w:hyperlink r:id="rId13" w:history="1">
        <w:r w:rsidRPr="00C93DC8">
          <w:rPr>
            <w:rStyle w:val="Hyperlink"/>
            <w:rFonts w:eastAsia="Calibri"/>
            <w:sz w:val="20"/>
            <w:lang w:val="en-CA"/>
          </w:rPr>
          <w:t>397</w:t>
        </w:r>
        <w:r w:rsidR="0053032E" w:rsidRPr="00C93DC8">
          <w:rPr>
            <w:rStyle w:val="Hyperlink"/>
            <w:rFonts w:eastAsia="Calibri"/>
            <w:sz w:val="20"/>
            <w:lang w:val="en-CA"/>
          </w:rPr>
          <w:t>14</w:t>
        </w:r>
      </w:hyperlink>
      <w:r w:rsidRPr="00C93DC8">
        <w:rPr>
          <w:rFonts w:eastAsia="Calibri"/>
          <w:sz w:val="20"/>
          <w:lang w:val="en-CA"/>
        </w:rPr>
        <w:t>)</w:t>
      </w:r>
    </w:p>
    <w:p w:rsidR="003100F2" w:rsidRPr="0053032E" w:rsidRDefault="003100F2" w:rsidP="0053032E">
      <w:pPr>
        <w:rPr>
          <w:sz w:val="20"/>
        </w:rPr>
      </w:pPr>
    </w:p>
    <w:p w:rsidR="0057402C" w:rsidRPr="00FE1470" w:rsidRDefault="00A254E1" w:rsidP="0053032E">
      <w:pPr>
        <w:widowControl w:val="0"/>
        <w:jc w:val="both"/>
        <w:rPr>
          <w:sz w:val="20"/>
        </w:rPr>
      </w:pPr>
      <w:r>
        <w:rPr>
          <w:sz w:val="20"/>
        </w:rPr>
        <w:pict>
          <v:rect id="_x0000_i1026" style="width:2in;height:1pt" o:hrpct="0" o:hralign="center" o:hrstd="t" o:hrnoshade="t" o:hr="t" fillcolor="black [3213]" stroked="f"/>
        </w:pict>
      </w:r>
    </w:p>
    <w:p w:rsidR="006D4676" w:rsidRDefault="006D4676"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90851" w:rsidRPr="00090851" w:rsidTr="00E95A6A">
        <w:tc>
          <w:tcPr>
            <w:tcW w:w="543" w:type="pct"/>
          </w:tcPr>
          <w:p w:rsidR="00090851" w:rsidRPr="00090851" w:rsidRDefault="00090851" w:rsidP="00090851">
            <w:pPr>
              <w:jc w:val="both"/>
              <w:rPr>
                <w:sz w:val="20"/>
              </w:rPr>
            </w:pPr>
            <w:r w:rsidRPr="00090851">
              <w:rPr>
                <w:rStyle w:val="SCCFileNumberChar"/>
                <w:sz w:val="20"/>
                <w:szCs w:val="20"/>
              </w:rPr>
              <w:t>39731</w:t>
            </w:r>
          </w:p>
        </w:tc>
        <w:tc>
          <w:tcPr>
            <w:tcW w:w="4457" w:type="pct"/>
            <w:gridSpan w:val="3"/>
          </w:tcPr>
          <w:p w:rsidR="00090851" w:rsidRPr="00090851" w:rsidRDefault="00090851" w:rsidP="00090851">
            <w:pPr>
              <w:pStyle w:val="SCCLsocParty"/>
              <w:jc w:val="both"/>
              <w:rPr>
                <w:b/>
                <w:sz w:val="20"/>
                <w:szCs w:val="20"/>
                <w:lang w:val="en-US"/>
              </w:rPr>
            </w:pPr>
            <w:r w:rsidRPr="00090851">
              <w:rPr>
                <w:b/>
                <w:sz w:val="20"/>
                <w:szCs w:val="20"/>
                <w:lang w:val="en-US"/>
              </w:rPr>
              <w:t>Kyle Brown v. Her Majesty the Queen</w:t>
            </w:r>
          </w:p>
          <w:p w:rsidR="00090851" w:rsidRPr="00090851" w:rsidRDefault="00090851" w:rsidP="00090851">
            <w:pPr>
              <w:jc w:val="both"/>
              <w:rPr>
                <w:sz w:val="20"/>
              </w:rPr>
            </w:pPr>
            <w:r w:rsidRPr="00090851">
              <w:rPr>
                <w:sz w:val="20"/>
              </w:rPr>
              <w:t>(N.L.) (Criminal) (By Leave)</w:t>
            </w:r>
          </w:p>
        </w:tc>
      </w:tr>
      <w:tr w:rsidR="00090851" w:rsidRPr="00090851" w:rsidTr="00E95A6A">
        <w:tc>
          <w:tcPr>
            <w:tcW w:w="5000" w:type="pct"/>
            <w:gridSpan w:val="4"/>
          </w:tcPr>
          <w:p w:rsidR="00090851" w:rsidRPr="00090851" w:rsidRDefault="00090851" w:rsidP="00090851">
            <w:pPr>
              <w:jc w:val="both"/>
              <w:rPr>
                <w:sz w:val="20"/>
              </w:rPr>
            </w:pPr>
            <w:r w:rsidRPr="00090851">
              <w:rPr>
                <w:sz w:val="20"/>
              </w:rPr>
              <w:t>Criminal law — Entrapment — Random virtue testing — Child luring — Whether, under the doctrine of entrapment, the police may randomly test virtue to establish the grounds to provide a person with the opportunity to commit an offence.</w:t>
            </w:r>
          </w:p>
        </w:tc>
      </w:tr>
      <w:tr w:rsidR="00090851" w:rsidRPr="00090851" w:rsidTr="00E95A6A">
        <w:tc>
          <w:tcPr>
            <w:tcW w:w="5000" w:type="pct"/>
            <w:gridSpan w:val="4"/>
          </w:tcPr>
          <w:p w:rsidR="00090851" w:rsidRPr="00090851" w:rsidRDefault="00090851" w:rsidP="00090851">
            <w:pPr>
              <w:jc w:val="both"/>
              <w:rPr>
                <w:sz w:val="20"/>
              </w:rPr>
            </w:pPr>
          </w:p>
        </w:tc>
      </w:tr>
      <w:tr w:rsidR="00090851" w:rsidRPr="00090851" w:rsidTr="00E95A6A">
        <w:tc>
          <w:tcPr>
            <w:tcW w:w="5000" w:type="pct"/>
            <w:gridSpan w:val="4"/>
          </w:tcPr>
          <w:p w:rsidR="00090851" w:rsidRPr="00090851" w:rsidRDefault="00090851" w:rsidP="00090851">
            <w:pPr>
              <w:jc w:val="both"/>
              <w:rPr>
                <w:sz w:val="20"/>
              </w:rPr>
            </w:pPr>
            <w:r w:rsidRPr="00090851">
              <w:rPr>
                <w:sz w:val="20"/>
              </w:rPr>
              <w:t xml:space="preserve">A constable of the Royal Newfoundland Constabulary created a fictional profile of a young female and placed an ad on the website NLAdult.com. The applicant, Kyle Brown, responded to the ad, to which the fictitious girl informed him that she was 15 years old. The applicant continued communicating with the fictitious girl, pursued sexual inquiries and suggested that they meet despite being told that she was underage. The applicant was charged with three counts of child luring contrary to s. 172.1(1) of the </w:t>
            </w:r>
            <w:r w:rsidRPr="00090851">
              <w:rPr>
                <w:i/>
                <w:sz w:val="20"/>
              </w:rPr>
              <w:t>Criminal Code.</w:t>
            </w:r>
            <w:r w:rsidRPr="00090851">
              <w:rPr>
                <w:sz w:val="20"/>
              </w:rPr>
              <w:t xml:space="preserve"> The Provincial Court of Newfoundland and Labrador found the applicant guilty of all three counts of child luring and dismissed his application for a stay of the </w:t>
            </w:r>
            <w:r w:rsidRPr="00090851">
              <w:rPr>
                <w:sz w:val="20"/>
              </w:rPr>
              <w:lastRenderedPageBreak/>
              <w:t>charges on the basis of entrapment. The decision regarding the stay of the charges on the basis of entrapment was appealed by the applicant. However, the Court of Appeal of Newfoundland and Labrador dismissed the appeal.</w:t>
            </w:r>
          </w:p>
          <w:p w:rsidR="00090851" w:rsidRPr="00090851" w:rsidRDefault="00090851" w:rsidP="00090851">
            <w:pPr>
              <w:jc w:val="both"/>
              <w:rPr>
                <w:sz w:val="20"/>
              </w:rPr>
            </w:pPr>
          </w:p>
        </w:tc>
      </w:tr>
      <w:tr w:rsidR="00090851" w:rsidRPr="00090851" w:rsidTr="00E95A6A">
        <w:tc>
          <w:tcPr>
            <w:tcW w:w="2427" w:type="pct"/>
            <w:gridSpan w:val="2"/>
          </w:tcPr>
          <w:p w:rsidR="00090851" w:rsidRPr="00090851" w:rsidRDefault="00090851" w:rsidP="00090851">
            <w:pPr>
              <w:jc w:val="both"/>
              <w:rPr>
                <w:sz w:val="20"/>
              </w:rPr>
            </w:pPr>
            <w:r w:rsidRPr="00090851">
              <w:rPr>
                <w:sz w:val="20"/>
              </w:rPr>
              <w:lastRenderedPageBreak/>
              <w:t>January 28, 2020</w:t>
            </w:r>
          </w:p>
          <w:p w:rsidR="00090851" w:rsidRPr="00090851" w:rsidRDefault="00090851" w:rsidP="00090851">
            <w:pPr>
              <w:jc w:val="both"/>
              <w:rPr>
                <w:sz w:val="20"/>
              </w:rPr>
            </w:pPr>
            <w:r w:rsidRPr="00090851">
              <w:rPr>
                <w:sz w:val="20"/>
              </w:rPr>
              <w:t>Provincial Court of Newfoundland</w:t>
            </w:r>
            <w:r w:rsidRPr="00090851">
              <w:rPr>
                <w:sz w:val="20"/>
                <w:lang w:eastAsia="en-CA"/>
              </w:rPr>
              <w:t xml:space="preserve"> </w:t>
            </w:r>
            <w:r w:rsidRPr="00090851">
              <w:rPr>
                <w:sz w:val="20"/>
              </w:rPr>
              <w:t xml:space="preserve">and </w:t>
            </w:r>
          </w:p>
          <w:p w:rsidR="00090851" w:rsidRPr="00090851" w:rsidRDefault="00090851" w:rsidP="00090851">
            <w:pPr>
              <w:jc w:val="both"/>
              <w:rPr>
                <w:sz w:val="20"/>
              </w:rPr>
            </w:pPr>
            <w:r w:rsidRPr="00090851">
              <w:rPr>
                <w:sz w:val="20"/>
              </w:rPr>
              <w:t>Labrador</w:t>
            </w:r>
          </w:p>
          <w:p w:rsidR="00090851" w:rsidRPr="00090851" w:rsidRDefault="00090851" w:rsidP="00090851">
            <w:pPr>
              <w:jc w:val="both"/>
              <w:rPr>
                <w:sz w:val="20"/>
              </w:rPr>
            </w:pPr>
            <w:r w:rsidRPr="00090851">
              <w:rPr>
                <w:sz w:val="20"/>
              </w:rPr>
              <w:t>(Flynn J.)</w:t>
            </w:r>
          </w:p>
          <w:p w:rsidR="00090851" w:rsidRPr="00090851" w:rsidRDefault="00090851" w:rsidP="00090851">
            <w:pPr>
              <w:jc w:val="both"/>
              <w:rPr>
                <w:sz w:val="20"/>
              </w:rPr>
            </w:pP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rPr>
            </w:pPr>
            <w:r w:rsidRPr="00090851">
              <w:rPr>
                <w:sz w:val="20"/>
              </w:rPr>
              <w:t xml:space="preserve">Applicant found guilty of three counts of child luring (s. 172.1(1) of the </w:t>
            </w:r>
            <w:r w:rsidRPr="00090851">
              <w:rPr>
                <w:i/>
                <w:sz w:val="20"/>
              </w:rPr>
              <w:t>Criminal Code</w:t>
            </w:r>
            <w:r w:rsidRPr="00090851">
              <w:rPr>
                <w:sz w:val="20"/>
              </w:rPr>
              <w:t>). Application for a stay of the charges based on entrapment dismissed.</w:t>
            </w:r>
          </w:p>
          <w:p w:rsidR="00090851" w:rsidRPr="00090851" w:rsidRDefault="00090851" w:rsidP="00090851">
            <w:pPr>
              <w:jc w:val="both"/>
              <w:rPr>
                <w:sz w:val="20"/>
              </w:rPr>
            </w:pPr>
          </w:p>
        </w:tc>
      </w:tr>
      <w:tr w:rsidR="00090851" w:rsidRPr="00090851" w:rsidTr="00E95A6A">
        <w:tc>
          <w:tcPr>
            <w:tcW w:w="2427" w:type="pct"/>
            <w:gridSpan w:val="2"/>
          </w:tcPr>
          <w:p w:rsidR="00090851" w:rsidRPr="00090851" w:rsidRDefault="00090851" w:rsidP="00090851">
            <w:pPr>
              <w:jc w:val="both"/>
              <w:rPr>
                <w:sz w:val="20"/>
              </w:rPr>
            </w:pPr>
            <w:r w:rsidRPr="00090851">
              <w:rPr>
                <w:sz w:val="20"/>
              </w:rPr>
              <w:t>May 10, 2021</w:t>
            </w:r>
          </w:p>
          <w:p w:rsidR="00090851" w:rsidRPr="00090851" w:rsidRDefault="00090851" w:rsidP="00090851">
            <w:pPr>
              <w:jc w:val="both"/>
              <w:rPr>
                <w:sz w:val="20"/>
              </w:rPr>
            </w:pPr>
            <w:r w:rsidRPr="00090851">
              <w:rPr>
                <w:sz w:val="20"/>
              </w:rPr>
              <w:t xml:space="preserve">Court of Appeal of Newfoundland and </w:t>
            </w:r>
          </w:p>
          <w:p w:rsidR="00090851" w:rsidRPr="00090851" w:rsidRDefault="00090851" w:rsidP="00090851">
            <w:pPr>
              <w:jc w:val="both"/>
              <w:rPr>
                <w:sz w:val="20"/>
              </w:rPr>
            </w:pPr>
            <w:r w:rsidRPr="00090851">
              <w:rPr>
                <w:sz w:val="20"/>
              </w:rPr>
              <w:t>Labrador</w:t>
            </w:r>
          </w:p>
          <w:p w:rsidR="00090851" w:rsidRPr="00090851" w:rsidRDefault="00090851" w:rsidP="00090851">
            <w:pPr>
              <w:jc w:val="both"/>
              <w:rPr>
                <w:sz w:val="20"/>
              </w:rPr>
            </w:pPr>
            <w:r w:rsidRPr="00090851">
              <w:rPr>
                <w:sz w:val="20"/>
              </w:rPr>
              <w:t>(Welsh, Hoegg and O’Brien JJ.A.)</w:t>
            </w:r>
          </w:p>
          <w:p w:rsidR="00090851" w:rsidRPr="00090851" w:rsidRDefault="00090851" w:rsidP="00090851">
            <w:pPr>
              <w:jc w:val="both"/>
              <w:rPr>
                <w:sz w:val="20"/>
              </w:rPr>
            </w:pPr>
            <w:r w:rsidRPr="00090851">
              <w:rPr>
                <w:sz w:val="20"/>
              </w:rPr>
              <w:t>Docket Number: 202001H0059</w:t>
            </w:r>
          </w:p>
          <w:p w:rsidR="00090851" w:rsidRPr="00090851" w:rsidRDefault="00A254E1" w:rsidP="00090851">
            <w:pPr>
              <w:jc w:val="both"/>
              <w:rPr>
                <w:sz w:val="20"/>
              </w:rPr>
            </w:pPr>
            <w:hyperlink r:id="rId14" w:history="1">
              <w:r w:rsidR="00090851" w:rsidRPr="00090851">
                <w:rPr>
                  <w:rStyle w:val="Hyperlink"/>
                  <w:sz w:val="20"/>
                </w:rPr>
                <w:t>2021 NLCA 27</w:t>
              </w:r>
            </w:hyperlink>
          </w:p>
          <w:p w:rsidR="00090851" w:rsidRPr="00090851" w:rsidRDefault="00090851" w:rsidP="00090851">
            <w:pPr>
              <w:jc w:val="both"/>
              <w:rPr>
                <w:sz w:val="20"/>
              </w:rPr>
            </w:pP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rPr>
            </w:pPr>
            <w:r w:rsidRPr="00090851">
              <w:rPr>
                <w:sz w:val="20"/>
              </w:rPr>
              <w:t>Appeal against the Provincial Court of Newfoundland and Labrador’s decision regarding stay of the charges based on entrapment dismissed.</w:t>
            </w:r>
          </w:p>
          <w:p w:rsidR="00090851" w:rsidRPr="00090851" w:rsidRDefault="00090851" w:rsidP="00090851">
            <w:pPr>
              <w:jc w:val="both"/>
              <w:rPr>
                <w:sz w:val="20"/>
              </w:rPr>
            </w:pPr>
          </w:p>
        </w:tc>
      </w:tr>
      <w:tr w:rsidR="00090851" w:rsidRPr="00090851" w:rsidTr="00E95A6A">
        <w:tc>
          <w:tcPr>
            <w:tcW w:w="2427" w:type="pct"/>
            <w:gridSpan w:val="2"/>
          </w:tcPr>
          <w:p w:rsidR="00090851" w:rsidRPr="00090851" w:rsidRDefault="00090851" w:rsidP="00090851">
            <w:pPr>
              <w:jc w:val="both"/>
              <w:rPr>
                <w:sz w:val="20"/>
              </w:rPr>
            </w:pPr>
            <w:r w:rsidRPr="00090851">
              <w:rPr>
                <w:sz w:val="20"/>
              </w:rPr>
              <w:t>May 28, 2021</w:t>
            </w:r>
          </w:p>
          <w:p w:rsidR="00090851" w:rsidRPr="00090851" w:rsidRDefault="00090851" w:rsidP="00090851">
            <w:pPr>
              <w:jc w:val="both"/>
              <w:rPr>
                <w:sz w:val="20"/>
              </w:rPr>
            </w:pPr>
            <w:r w:rsidRPr="00090851">
              <w:rPr>
                <w:sz w:val="20"/>
              </w:rPr>
              <w:t>Supreme Court of Canada</w:t>
            </w: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rPr>
            </w:pPr>
            <w:r w:rsidRPr="00090851">
              <w:rPr>
                <w:sz w:val="20"/>
              </w:rPr>
              <w:t>Application for leave to appeal filed.</w:t>
            </w:r>
          </w:p>
          <w:p w:rsidR="00090851" w:rsidRPr="00090851" w:rsidRDefault="00090851" w:rsidP="00090851">
            <w:pPr>
              <w:jc w:val="both"/>
              <w:rPr>
                <w:sz w:val="20"/>
              </w:rPr>
            </w:pPr>
          </w:p>
        </w:tc>
      </w:tr>
    </w:tbl>
    <w:p w:rsidR="00090851" w:rsidRDefault="00090851" w:rsidP="00090851">
      <w:pPr>
        <w:jc w:val="both"/>
        <w:rPr>
          <w:sz w:val="20"/>
        </w:rPr>
      </w:pPr>
    </w:p>
    <w:p w:rsidR="00090851" w:rsidRDefault="00A254E1" w:rsidP="00090851">
      <w:pPr>
        <w:jc w:val="both"/>
        <w:rPr>
          <w:sz w:val="20"/>
        </w:rPr>
      </w:pPr>
      <w:r>
        <w:rPr>
          <w:sz w:val="20"/>
        </w:rPr>
        <w:pict>
          <v:rect id="_x0000_i1027" style="width:2in;height:1pt" o:hrpct="0" o:hralign="center" o:hrstd="t" o:hrnoshade="t" o:hr="t" fillcolor="black [3213]" stroked="f"/>
        </w:pict>
      </w:r>
    </w:p>
    <w:p w:rsidR="00090851" w:rsidRPr="00090851" w:rsidRDefault="00090851" w:rsidP="000908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90851" w:rsidRPr="00687DF9" w:rsidTr="00E95A6A">
        <w:tc>
          <w:tcPr>
            <w:tcW w:w="543" w:type="pct"/>
          </w:tcPr>
          <w:p w:rsidR="00090851" w:rsidRPr="00090851" w:rsidRDefault="00090851" w:rsidP="00090851">
            <w:pPr>
              <w:jc w:val="both"/>
              <w:rPr>
                <w:sz w:val="20"/>
                <w:lang w:val="fr-CA"/>
              </w:rPr>
            </w:pPr>
            <w:r w:rsidRPr="00090851">
              <w:rPr>
                <w:rStyle w:val="SCCFileNumberChar"/>
                <w:sz w:val="20"/>
                <w:szCs w:val="20"/>
                <w:lang w:val="fr-CA"/>
              </w:rPr>
              <w:t>39731</w:t>
            </w:r>
          </w:p>
        </w:tc>
        <w:tc>
          <w:tcPr>
            <w:tcW w:w="4457" w:type="pct"/>
            <w:gridSpan w:val="3"/>
          </w:tcPr>
          <w:p w:rsidR="00090851" w:rsidRPr="00090851" w:rsidRDefault="00090851" w:rsidP="00090851">
            <w:pPr>
              <w:pStyle w:val="SCCLsocParty"/>
              <w:jc w:val="both"/>
              <w:rPr>
                <w:b/>
                <w:sz w:val="20"/>
                <w:szCs w:val="20"/>
              </w:rPr>
            </w:pPr>
            <w:r w:rsidRPr="00090851">
              <w:rPr>
                <w:b/>
                <w:sz w:val="20"/>
                <w:szCs w:val="20"/>
              </w:rPr>
              <w:t>Kyle Brown c. Sa Majesté la Reine</w:t>
            </w:r>
          </w:p>
          <w:p w:rsidR="00090851" w:rsidRPr="00090851" w:rsidRDefault="00090851" w:rsidP="00090851">
            <w:pPr>
              <w:jc w:val="both"/>
              <w:rPr>
                <w:sz w:val="20"/>
                <w:lang w:val="fr-CA"/>
              </w:rPr>
            </w:pPr>
            <w:r w:rsidRPr="00090851">
              <w:rPr>
                <w:sz w:val="20"/>
                <w:lang w:val="fr-CA"/>
              </w:rPr>
              <w:t>(T.</w:t>
            </w:r>
            <w:r w:rsidRPr="00090851">
              <w:rPr>
                <w:sz w:val="20"/>
                <w:lang w:val="fr-CA"/>
              </w:rPr>
              <w:noBreakHyphen/>
              <w:t>N.</w:t>
            </w:r>
            <w:r>
              <w:rPr>
                <w:sz w:val="20"/>
                <w:lang w:val="fr-CA"/>
              </w:rPr>
              <w:t>-L.</w:t>
            </w:r>
            <w:r w:rsidRPr="00090851">
              <w:rPr>
                <w:sz w:val="20"/>
                <w:lang w:val="fr-CA"/>
              </w:rPr>
              <w:t>) (Criminelle) (Sur autorisation)</w:t>
            </w:r>
          </w:p>
        </w:tc>
      </w:tr>
      <w:tr w:rsidR="00090851" w:rsidRPr="00687DF9" w:rsidTr="00E95A6A">
        <w:tc>
          <w:tcPr>
            <w:tcW w:w="5000" w:type="pct"/>
            <w:gridSpan w:val="4"/>
          </w:tcPr>
          <w:p w:rsidR="00090851" w:rsidRPr="00090851" w:rsidRDefault="00090851" w:rsidP="00090851">
            <w:pPr>
              <w:jc w:val="both"/>
              <w:rPr>
                <w:sz w:val="20"/>
                <w:lang w:val="fr-CA"/>
              </w:rPr>
            </w:pPr>
            <w:r w:rsidRPr="00090851">
              <w:rPr>
                <w:sz w:val="20"/>
                <w:lang w:val="fr-CA"/>
              </w:rPr>
              <w:t>Droit criminel — Provocation policière — Opération visant à éprouver au hasard la vertu des gens — Leurre d’enfants — La police, peut</w:t>
            </w:r>
            <w:r w:rsidRPr="00090851">
              <w:rPr>
                <w:sz w:val="20"/>
                <w:lang w:val="fr-CA"/>
              </w:rPr>
              <w:noBreakHyphen/>
              <w:t>elle, suivant la doctrine de la provocation policière, éprouver au hasard la vertu des gens afin d’établir les motifs justifiant le fait de fournir à quelqu’un la possibilité de commettre une infraction ?</w:t>
            </w:r>
          </w:p>
        </w:tc>
      </w:tr>
      <w:tr w:rsidR="00090851" w:rsidRPr="00687DF9" w:rsidTr="00E95A6A">
        <w:tc>
          <w:tcPr>
            <w:tcW w:w="5000" w:type="pct"/>
            <w:gridSpan w:val="4"/>
          </w:tcPr>
          <w:p w:rsidR="00090851" w:rsidRPr="00090851" w:rsidRDefault="00090851" w:rsidP="00090851">
            <w:pPr>
              <w:jc w:val="both"/>
              <w:rPr>
                <w:sz w:val="20"/>
                <w:lang w:val="fr-CA"/>
              </w:rPr>
            </w:pPr>
          </w:p>
        </w:tc>
      </w:tr>
      <w:tr w:rsidR="00090851" w:rsidRPr="00687DF9" w:rsidTr="00E95A6A">
        <w:tc>
          <w:tcPr>
            <w:tcW w:w="5000" w:type="pct"/>
            <w:gridSpan w:val="4"/>
          </w:tcPr>
          <w:p w:rsidR="00090851" w:rsidRPr="00090851" w:rsidRDefault="00090851" w:rsidP="00090851">
            <w:pPr>
              <w:jc w:val="both"/>
              <w:rPr>
                <w:sz w:val="20"/>
                <w:lang w:val="fr-CA"/>
              </w:rPr>
            </w:pPr>
            <w:r w:rsidRPr="00090851">
              <w:rPr>
                <w:sz w:val="20"/>
                <w:lang w:val="fr-CA"/>
              </w:rPr>
              <w:t xml:space="preserve">Un gendarme de la Royal Newfoundland Constabulary a créé un profil fictif d’une jeune personne de sexe féminin et a fait paraître une annonce sur le site web NLAdult.com. Le demandeur, Kyle Brown, a répondu à l’annonce, et la fille fictive l’a informé du fait qu’elle avait 15 ans. Le demandeur a continué de communiquer avec la fille fictive, lui posé des questions de nature sexuelle et a proposé que les deux se rencontrent malgré le fait qu’elle lui avait indiqué qu’elle était d’âge mineur. Le demandeur a été inculpé de trois chefs d’accusation de leurre d’enfants en contravention avec le par. 172.1(1) du </w:t>
            </w:r>
            <w:r w:rsidRPr="00090851">
              <w:rPr>
                <w:i/>
                <w:sz w:val="20"/>
                <w:lang w:val="fr-CA"/>
              </w:rPr>
              <w:t>Code criminel.</w:t>
            </w:r>
            <w:r w:rsidRPr="00090851">
              <w:rPr>
                <w:sz w:val="20"/>
                <w:lang w:val="fr-CA"/>
              </w:rPr>
              <w:t xml:space="preserve"> La Cour provinciale de Terre</w:t>
            </w:r>
            <w:r w:rsidRPr="00090851">
              <w:rPr>
                <w:sz w:val="20"/>
                <w:lang w:val="fr-CA"/>
              </w:rPr>
              <w:noBreakHyphen/>
              <w:t>Neuve</w:t>
            </w:r>
            <w:r w:rsidRPr="00090851">
              <w:rPr>
                <w:sz w:val="20"/>
                <w:lang w:val="fr-CA"/>
              </w:rPr>
              <w:noBreakHyphen/>
              <w:t>et-Labrador a déclaré le demandeur coupable des trois chefs d’accusation de leurre d’enfants et a rejeté sa demande en suspension des accusations pour cause de provocation policière. Le demandeur a fait appel de la décision relative à la suspension des accusations pour cause de provocation policière. Toutefois, la Cour d’appel de Terre</w:t>
            </w:r>
            <w:r w:rsidRPr="00090851">
              <w:rPr>
                <w:sz w:val="20"/>
                <w:lang w:val="fr-CA"/>
              </w:rPr>
              <w:noBreakHyphen/>
              <w:t>Neuve</w:t>
            </w:r>
            <w:r w:rsidRPr="00090851">
              <w:rPr>
                <w:sz w:val="20"/>
                <w:lang w:val="fr-CA"/>
              </w:rPr>
              <w:noBreakHyphen/>
              <w:t>et</w:t>
            </w:r>
            <w:r w:rsidRPr="00090851">
              <w:rPr>
                <w:sz w:val="20"/>
                <w:lang w:val="fr-CA"/>
              </w:rPr>
              <w:noBreakHyphen/>
              <w:t>Labrador a rejeté l’appel.</w:t>
            </w:r>
          </w:p>
          <w:p w:rsidR="00090851" w:rsidRPr="00090851" w:rsidRDefault="00090851" w:rsidP="00090851">
            <w:pPr>
              <w:jc w:val="both"/>
              <w:rPr>
                <w:sz w:val="20"/>
                <w:lang w:val="fr-CA"/>
              </w:rPr>
            </w:pPr>
          </w:p>
        </w:tc>
      </w:tr>
      <w:tr w:rsidR="00090851" w:rsidRPr="00687DF9" w:rsidTr="00E95A6A">
        <w:tc>
          <w:tcPr>
            <w:tcW w:w="2427" w:type="pct"/>
            <w:gridSpan w:val="2"/>
          </w:tcPr>
          <w:p w:rsidR="00090851" w:rsidRPr="00090851" w:rsidRDefault="00090851" w:rsidP="00090851">
            <w:pPr>
              <w:jc w:val="both"/>
              <w:rPr>
                <w:sz w:val="20"/>
                <w:lang w:val="fr-CA"/>
              </w:rPr>
            </w:pPr>
            <w:r w:rsidRPr="00090851">
              <w:rPr>
                <w:sz w:val="20"/>
                <w:lang w:val="fr-CA"/>
              </w:rPr>
              <w:t>28 janvier 2020</w:t>
            </w:r>
          </w:p>
          <w:p w:rsidR="00090851" w:rsidRPr="00090851" w:rsidRDefault="00090851" w:rsidP="00090851">
            <w:pPr>
              <w:jc w:val="both"/>
              <w:rPr>
                <w:sz w:val="20"/>
                <w:lang w:val="fr-CA"/>
              </w:rPr>
            </w:pPr>
            <w:r w:rsidRPr="00090851">
              <w:rPr>
                <w:sz w:val="20"/>
                <w:lang w:val="fr-CA"/>
              </w:rPr>
              <w:t>Cour provinciale de Terre</w:t>
            </w:r>
            <w:r w:rsidRPr="00090851">
              <w:rPr>
                <w:sz w:val="20"/>
                <w:lang w:val="fr-CA"/>
              </w:rPr>
              <w:noBreakHyphen/>
              <w:t>Neuve</w:t>
            </w:r>
            <w:r w:rsidRPr="00090851">
              <w:rPr>
                <w:sz w:val="20"/>
                <w:lang w:val="fr-CA"/>
              </w:rPr>
              <w:noBreakHyphen/>
              <w:t>et</w:t>
            </w:r>
            <w:r w:rsidRPr="00090851">
              <w:rPr>
                <w:sz w:val="20"/>
                <w:lang w:val="fr-CA"/>
              </w:rPr>
              <w:noBreakHyphen/>
              <w:t xml:space="preserve">Labrador </w:t>
            </w:r>
          </w:p>
          <w:p w:rsidR="00090851" w:rsidRPr="00090851" w:rsidRDefault="00090851" w:rsidP="00090851">
            <w:pPr>
              <w:jc w:val="both"/>
              <w:rPr>
                <w:sz w:val="20"/>
                <w:lang w:val="fr-CA"/>
              </w:rPr>
            </w:pPr>
            <w:r w:rsidRPr="00090851">
              <w:rPr>
                <w:sz w:val="20"/>
                <w:lang w:val="fr-CA"/>
              </w:rPr>
              <w:t>(juge Flynn)</w:t>
            </w:r>
          </w:p>
          <w:p w:rsidR="00090851" w:rsidRPr="00090851" w:rsidRDefault="00090851" w:rsidP="00090851">
            <w:pPr>
              <w:jc w:val="both"/>
              <w:rPr>
                <w:sz w:val="20"/>
                <w:lang w:val="fr-CA"/>
              </w:rPr>
            </w:pPr>
          </w:p>
        </w:tc>
        <w:tc>
          <w:tcPr>
            <w:tcW w:w="243" w:type="pct"/>
          </w:tcPr>
          <w:p w:rsidR="00090851" w:rsidRPr="00090851" w:rsidRDefault="00090851" w:rsidP="00090851">
            <w:pPr>
              <w:jc w:val="both"/>
              <w:rPr>
                <w:sz w:val="20"/>
                <w:lang w:val="fr-CA"/>
              </w:rPr>
            </w:pPr>
          </w:p>
        </w:tc>
        <w:tc>
          <w:tcPr>
            <w:tcW w:w="2330" w:type="pct"/>
          </w:tcPr>
          <w:p w:rsidR="00090851" w:rsidRPr="00090851" w:rsidRDefault="00090851" w:rsidP="00090851">
            <w:pPr>
              <w:jc w:val="both"/>
              <w:rPr>
                <w:sz w:val="20"/>
                <w:lang w:val="fr-CA"/>
              </w:rPr>
            </w:pPr>
            <w:r w:rsidRPr="00090851">
              <w:rPr>
                <w:sz w:val="20"/>
                <w:lang w:val="fr-CA"/>
              </w:rPr>
              <w:t xml:space="preserve">Le demandeur est déclaré coupable de trois chefs d’accusation de leurre d’enfants (par. 172.1(1) du </w:t>
            </w:r>
            <w:r w:rsidRPr="00090851">
              <w:rPr>
                <w:i/>
                <w:sz w:val="20"/>
                <w:lang w:val="fr-CA"/>
              </w:rPr>
              <w:t>Code criminel</w:t>
            </w:r>
            <w:r w:rsidRPr="00090851">
              <w:rPr>
                <w:sz w:val="20"/>
                <w:lang w:val="fr-CA"/>
              </w:rPr>
              <w:t>). La demande en suspension des accusations pour cause de provocation policière est rejetée.</w:t>
            </w:r>
          </w:p>
          <w:p w:rsidR="00090851" w:rsidRPr="00090851" w:rsidRDefault="00090851" w:rsidP="00090851">
            <w:pPr>
              <w:jc w:val="both"/>
              <w:rPr>
                <w:sz w:val="20"/>
                <w:lang w:val="fr-CA"/>
              </w:rPr>
            </w:pPr>
          </w:p>
        </w:tc>
      </w:tr>
      <w:tr w:rsidR="00090851" w:rsidRPr="00687DF9" w:rsidTr="00E95A6A">
        <w:tc>
          <w:tcPr>
            <w:tcW w:w="2427" w:type="pct"/>
            <w:gridSpan w:val="2"/>
          </w:tcPr>
          <w:p w:rsidR="00090851" w:rsidRPr="00090851" w:rsidRDefault="00090851" w:rsidP="00090851">
            <w:pPr>
              <w:jc w:val="both"/>
              <w:rPr>
                <w:sz w:val="20"/>
                <w:lang w:val="fr-CA"/>
              </w:rPr>
            </w:pPr>
            <w:r w:rsidRPr="00090851">
              <w:rPr>
                <w:sz w:val="20"/>
                <w:lang w:val="fr-CA"/>
              </w:rPr>
              <w:t>10 mai 2021</w:t>
            </w:r>
          </w:p>
          <w:p w:rsidR="00090851" w:rsidRPr="00090851" w:rsidRDefault="00090851" w:rsidP="00090851">
            <w:pPr>
              <w:jc w:val="both"/>
              <w:rPr>
                <w:sz w:val="20"/>
                <w:lang w:val="fr-CA"/>
              </w:rPr>
            </w:pPr>
            <w:r w:rsidRPr="00090851">
              <w:rPr>
                <w:sz w:val="20"/>
                <w:lang w:val="fr-CA"/>
              </w:rPr>
              <w:t>Cour d’appel de Terre</w:t>
            </w:r>
            <w:r w:rsidRPr="00090851">
              <w:rPr>
                <w:sz w:val="20"/>
                <w:lang w:val="fr-CA"/>
              </w:rPr>
              <w:noBreakHyphen/>
              <w:t>Neuve</w:t>
            </w:r>
            <w:r w:rsidRPr="00090851">
              <w:rPr>
                <w:sz w:val="20"/>
                <w:lang w:val="fr-CA"/>
              </w:rPr>
              <w:noBreakHyphen/>
              <w:t>et</w:t>
            </w:r>
            <w:r w:rsidRPr="00090851">
              <w:rPr>
                <w:sz w:val="20"/>
                <w:lang w:val="fr-CA"/>
              </w:rPr>
              <w:noBreakHyphen/>
              <w:t>Labrador</w:t>
            </w:r>
          </w:p>
          <w:p w:rsidR="00090851" w:rsidRPr="00090851" w:rsidRDefault="00090851" w:rsidP="00090851">
            <w:pPr>
              <w:jc w:val="both"/>
              <w:rPr>
                <w:sz w:val="20"/>
                <w:lang w:val="fr-CA"/>
              </w:rPr>
            </w:pPr>
            <w:r w:rsidRPr="00090851">
              <w:rPr>
                <w:sz w:val="20"/>
                <w:lang w:val="fr-CA"/>
              </w:rPr>
              <w:t>(juges Welsh, Hoegg et O’Brien)</w:t>
            </w:r>
          </w:p>
          <w:p w:rsidR="00090851" w:rsidRPr="00090851" w:rsidRDefault="00090851" w:rsidP="00090851">
            <w:pPr>
              <w:jc w:val="both"/>
              <w:rPr>
                <w:sz w:val="20"/>
                <w:lang w:val="fr-CA"/>
              </w:rPr>
            </w:pPr>
            <w:r w:rsidRPr="00090851">
              <w:rPr>
                <w:sz w:val="20"/>
                <w:lang w:val="fr-CA"/>
              </w:rPr>
              <w:t>N</w:t>
            </w:r>
            <w:r w:rsidRPr="00090851">
              <w:rPr>
                <w:sz w:val="20"/>
                <w:vertAlign w:val="superscript"/>
                <w:lang w:val="fr-CA"/>
              </w:rPr>
              <w:t>o</w:t>
            </w:r>
            <w:r w:rsidRPr="00090851">
              <w:rPr>
                <w:sz w:val="20"/>
                <w:lang w:val="fr-CA"/>
              </w:rPr>
              <w:t xml:space="preserve"> de dossier : 202001H0059</w:t>
            </w:r>
          </w:p>
          <w:p w:rsidR="00090851" w:rsidRPr="00090851" w:rsidRDefault="00A254E1" w:rsidP="00090851">
            <w:pPr>
              <w:jc w:val="both"/>
              <w:rPr>
                <w:sz w:val="20"/>
                <w:lang w:val="fr-CA"/>
              </w:rPr>
            </w:pPr>
            <w:hyperlink r:id="rId15" w:history="1">
              <w:r w:rsidR="00090851" w:rsidRPr="00090851">
                <w:rPr>
                  <w:rStyle w:val="Hyperlink"/>
                  <w:sz w:val="20"/>
                  <w:lang w:val="fr-CA"/>
                </w:rPr>
                <w:t>2021 NLCA 27</w:t>
              </w:r>
            </w:hyperlink>
          </w:p>
          <w:p w:rsidR="00090851" w:rsidRPr="00090851" w:rsidRDefault="00090851" w:rsidP="00090851">
            <w:pPr>
              <w:jc w:val="both"/>
              <w:rPr>
                <w:sz w:val="20"/>
                <w:lang w:val="fr-CA"/>
              </w:rPr>
            </w:pPr>
          </w:p>
        </w:tc>
        <w:tc>
          <w:tcPr>
            <w:tcW w:w="243" w:type="pct"/>
          </w:tcPr>
          <w:p w:rsidR="00090851" w:rsidRPr="00090851" w:rsidRDefault="00090851" w:rsidP="00090851">
            <w:pPr>
              <w:jc w:val="both"/>
              <w:rPr>
                <w:sz w:val="20"/>
                <w:lang w:val="fr-CA"/>
              </w:rPr>
            </w:pPr>
          </w:p>
        </w:tc>
        <w:tc>
          <w:tcPr>
            <w:tcW w:w="2330" w:type="pct"/>
          </w:tcPr>
          <w:p w:rsidR="00090851" w:rsidRPr="00090851" w:rsidRDefault="00090851" w:rsidP="00090851">
            <w:pPr>
              <w:jc w:val="both"/>
              <w:rPr>
                <w:sz w:val="20"/>
                <w:lang w:val="fr-CA"/>
              </w:rPr>
            </w:pPr>
            <w:r w:rsidRPr="00090851">
              <w:rPr>
                <w:sz w:val="20"/>
                <w:lang w:val="fr-CA"/>
              </w:rPr>
              <w:t>L’appel formé contre la décision de la Cour provinciale de Terre</w:t>
            </w:r>
            <w:r w:rsidRPr="00090851">
              <w:rPr>
                <w:sz w:val="20"/>
                <w:lang w:val="fr-CA"/>
              </w:rPr>
              <w:noBreakHyphen/>
              <w:t>Neuve</w:t>
            </w:r>
            <w:r w:rsidRPr="00090851">
              <w:rPr>
                <w:sz w:val="20"/>
                <w:lang w:val="fr-CA"/>
              </w:rPr>
              <w:noBreakHyphen/>
              <w:t>et</w:t>
            </w:r>
            <w:r w:rsidRPr="00090851">
              <w:rPr>
                <w:sz w:val="20"/>
                <w:lang w:val="fr-CA"/>
              </w:rPr>
              <w:noBreakHyphen/>
              <w:t>Labrador relative à la suspension des accusations pour cause de provocation policière est rejeté.</w:t>
            </w:r>
          </w:p>
          <w:p w:rsidR="00090851" w:rsidRPr="00090851" w:rsidRDefault="00090851" w:rsidP="00090851">
            <w:pPr>
              <w:jc w:val="both"/>
              <w:rPr>
                <w:sz w:val="20"/>
                <w:lang w:val="fr-CA"/>
              </w:rPr>
            </w:pPr>
          </w:p>
        </w:tc>
      </w:tr>
      <w:tr w:rsidR="00090851" w:rsidRPr="00687DF9" w:rsidTr="00E95A6A">
        <w:tc>
          <w:tcPr>
            <w:tcW w:w="2427" w:type="pct"/>
            <w:gridSpan w:val="2"/>
          </w:tcPr>
          <w:p w:rsidR="00090851" w:rsidRPr="00090851" w:rsidRDefault="00090851" w:rsidP="00090851">
            <w:pPr>
              <w:jc w:val="both"/>
              <w:rPr>
                <w:sz w:val="20"/>
                <w:lang w:val="fr-CA"/>
              </w:rPr>
            </w:pPr>
            <w:r w:rsidRPr="00090851">
              <w:rPr>
                <w:sz w:val="20"/>
                <w:lang w:val="fr-CA"/>
              </w:rPr>
              <w:t>28 mai 2021</w:t>
            </w:r>
          </w:p>
          <w:p w:rsidR="00090851" w:rsidRPr="00090851" w:rsidRDefault="00090851" w:rsidP="00090851">
            <w:pPr>
              <w:jc w:val="both"/>
              <w:rPr>
                <w:sz w:val="20"/>
                <w:lang w:val="fr-CA"/>
              </w:rPr>
            </w:pPr>
            <w:r w:rsidRPr="00090851">
              <w:rPr>
                <w:sz w:val="20"/>
                <w:lang w:val="fr-CA"/>
              </w:rPr>
              <w:t>Cour suprême du Canada</w:t>
            </w:r>
          </w:p>
        </w:tc>
        <w:tc>
          <w:tcPr>
            <w:tcW w:w="243" w:type="pct"/>
          </w:tcPr>
          <w:p w:rsidR="00090851" w:rsidRPr="00090851" w:rsidRDefault="00090851" w:rsidP="00090851">
            <w:pPr>
              <w:jc w:val="both"/>
              <w:rPr>
                <w:sz w:val="20"/>
                <w:lang w:val="fr-CA"/>
              </w:rPr>
            </w:pPr>
          </w:p>
        </w:tc>
        <w:tc>
          <w:tcPr>
            <w:tcW w:w="2330" w:type="pct"/>
          </w:tcPr>
          <w:p w:rsidR="00090851" w:rsidRPr="00090851" w:rsidRDefault="00090851" w:rsidP="00090851">
            <w:pPr>
              <w:jc w:val="both"/>
              <w:rPr>
                <w:sz w:val="20"/>
                <w:lang w:val="fr-CA"/>
              </w:rPr>
            </w:pPr>
            <w:r w:rsidRPr="00090851">
              <w:rPr>
                <w:sz w:val="20"/>
                <w:lang w:val="fr-CA"/>
              </w:rPr>
              <w:t>La demande d’autorisation d’appel est présentée.</w:t>
            </w:r>
          </w:p>
          <w:p w:rsidR="00090851" w:rsidRPr="00090851" w:rsidRDefault="00090851" w:rsidP="00090851">
            <w:pPr>
              <w:jc w:val="both"/>
              <w:rPr>
                <w:sz w:val="20"/>
                <w:lang w:val="fr-CA"/>
              </w:rPr>
            </w:pPr>
          </w:p>
        </w:tc>
      </w:tr>
    </w:tbl>
    <w:p w:rsidR="00090851" w:rsidRDefault="00090851" w:rsidP="00090851">
      <w:pPr>
        <w:jc w:val="both"/>
        <w:rPr>
          <w:sz w:val="20"/>
          <w:lang w:val="fr-CA"/>
        </w:rPr>
      </w:pPr>
    </w:p>
    <w:p w:rsidR="00090851" w:rsidRPr="00090851" w:rsidRDefault="00A254E1" w:rsidP="00090851">
      <w:pPr>
        <w:jc w:val="both"/>
        <w:rPr>
          <w:sz w:val="20"/>
          <w:lang w:val="fr-CA"/>
        </w:rPr>
      </w:pPr>
      <w:r>
        <w:rPr>
          <w:sz w:val="20"/>
        </w:rPr>
        <w:pict>
          <v:rect id="_x0000_i1028" style="width:2in;height:1pt" o:hrpct="0" o:hralign="center" o:hrstd="t" o:hrnoshade="t" o:hr="t" fillcolor="black [3213]" stroked="f"/>
        </w:pict>
      </w:r>
    </w:p>
    <w:p w:rsidR="006D4676" w:rsidRPr="00090851" w:rsidRDefault="006D4676" w:rsidP="00090851">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90851" w:rsidRPr="00090851" w:rsidTr="00E95A6A">
        <w:tc>
          <w:tcPr>
            <w:tcW w:w="543" w:type="pct"/>
          </w:tcPr>
          <w:p w:rsidR="00090851" w:rsidRPr="00090851" w:rsidRDefault="00090851" w:rsidP="00090851">
            <w:pPr>
              <w:jc w:val="both"/>
              <w:rPr>
                <w:sz w:val="20"/>
              </w:rPr>
            </w:pPr>
            <w:r w:rsidRPr="00090851">
              <w:rPr>
                <w:rStyle w:val="SCCFileNumberChar"/>
                <w:sz w:val="20"/>
                <w:szCs w:val="20"/>
              </w:rPr>
              <w:lastRenderedPageBreak/>
              <w:t>39775</w:t>
            </w:r>
          </w:p>
        </w:tc>
        <w:tc>
          <w:tcPr>
            <w:tcW w:w="4457" w:type="pct"/>
            <w:gridSpan w:val="3"/>
          </w:tcPr>
          <w:p w:rsidR="00090851" w:rsidRPr="00090851" w:rsidRDefault="00090851" w:rsidP="00090851">
            <w:pPr>
              <w:pStyle w:val="SCCLsocParty"/>
              <w:jc w:val="both"/>
              <w:rPr>
                <w:b/>
                <w:sz w:val="20"/>
                <w:szCs w:val="20"/>
                <w:lang w:val="en-US"/>
              </w:rPr>
            </w:pPr>
            <w:r w:rsidRPr="00090851">
              <w:rPr>
                <w:b/>
                <w:sz w:val="20"/>
                <w:szCs w:val="20"/>
                <w:lang w:val="en-US"/>
              </w:rPr>
              <w:t>Highlands District Community Association v. Attorney General of British Columbia, Minister of Mines, Energy &amp; Petroleum Resources, Chief Inspector of Mines, O.K. Industries Ltd.</w:t>
            </w:r>
          </w:p>
          <w:p w:rsidR="00090851" w:rsidRPr="00090851" w:rsidRDefault="00090851" w:rsidP="00090851">
            <w:pPr>
              <w:jc w:val="both"/>
              <w:rPr>
                <w:sz w:val="20"/>
              </w:rPr>
            </w:pPr>
            <w:r w:rsidRPr="00090851">
              <w:rPr>
                <w:sz w:val="20"/>
              </w:rPr>
              <w:t>(B.C.) (Civil) (By Leave)</w:t>
            </w:r>
          </w:p>
        </w:tc>
      </w:tr>
      <w:tr w:rsidR="00090851" w:rsidRPr="00090851" w:rsidTr="00E95A6A">
        <w:tc>
          <w:tcPr>
            <w:tcW w:w="5000" w:type="pct"/>
            <w:gridSpan w:val="4"/>
          </w:tcPr>
          <w:p w:rsidR="00090851" w:rsidRPr="001469EA" w:rsidRDefault="00090851" w:rsidP="00090851">
            <w:pPr>
              <w:jc w:val="both"/>
              <w:rPr>
                <w:sz w:val="20"/>
              </w:rPr>
            </w:pPr>
            <w:r w:rsidRPr="00090851">
              <w:rPr>
                <w:sz w:val="20"/>
              </w:rPr>
              <w:t xml:space="preserve">Administrative law — Judicial review — Permits and licences — Environmental law — Mines Inspector issuing permit to the respondent business for a rock quarry pursuant to the </w:t>
            </w:r>
            <w:r w:rsidRPr="00090851">
              <w:rPr>
                <w:i/>
                <w:sz w:val="20"/>
              </w:rPr>
              <w:t>Mines Act</w:t>
            </w:r>
            <w:r w:rsidRPr="00090851">
              <w:rPr>
                <w:sz w:val="20"/>
              </w:rPr>
              <w:t xml:space="preserve"> — To what extent is climate change relevant in resource extraction decisions — Should it be considered, and if so, how — Can legislation that does not refer to climate change be read down to exclude it as a factor to consider in environmental resource extraction — To what extent should Canada’s international commitments to reduce carbon emissions inform the interpretation of provincial statutes — In light of </w:t>
            </w:r>
            <w:r w:rsidRPr="00090851">
              <w:rPr>
                <w:i/>
                <w:sz w:val="20"/>
              </w:rPr>
              <w:t>R. v. Hape</w:t>
            </w:r>
            <w:r w:rsidRPr="00090851">
              <w:rPr>
                <w:sz w:val="20"/>
              </w:rPr>
              <w:t xml:space="preserve">, 2007 SCC 26, should administrative decision-makers consider global climate change when making decisions under the </w:t>
            </w:r>
            <w:r w:rsidRPr="00090851">
              <w:rPr>
                <w:i/>
                <w:sz w:val="20"/>
              </w:rPr>
              <w:t>Mines Act</w:t>
            </w:r>
            <w:r w:rsidRPr="00090851">
              <w:rPr>
                <w:sz w:val="20"/>
              </w:rPr>
              <w:t xml:space="preserve"> — Can an administrative decision</w:t>
            </w:r>
            <w:r w:rsidRPr="00090851">
              <w:rPr>
                <w:sz w:val="20"/>
              </w:rPr>
              <w:noBreakHyphen/>
              <w:t xml:space="preserve">maker determine that global climate change is irrelevant to the interpretation of a provincial statute in light of Canada’s declaration of a national climate emergency — How much deference is owed by the courts to an administrative decision-maker’s assessment of the relevance of global climate change to administrative action — </w:t>
            </w:r>
            <w:r w:rsidRPr="00090851">
              <w:rPr>
                <w:i/>
                <w:sz w:val="20"/>
              </w:rPr>
              <w:t>Mines Act</w:t>
            </w:r>
            <w:r w:rsidRPr="001469EA">
              <w:rPr>
                <w:sz w:val="20"/>
              </w:rPr>
              <w:t>, R.S.B.C. 1996, c. 293, s. 10.</w:t>
            </w:r>
          </w:p>
          <w:p w:rsidR="00090851" w:rsidRPr="00090851" w:rsidRDefault="00090851" w:rsidP="00090851">
            <w:pPr>
              <w:pStyle w:val="SCCBanSummary"/>
              <w:rPr>
                <w:sz w:val="20"/>
                <w:szCs w:val="20"/>
              </w:rPr>
            </w:pPr>
          </w:p>
          <w:p w:rsidR="00090851" w:rsidRPr="00090851" w:rsidRDefault="00090851" w:rsidP="00090851">
            <w:pPr>
              <w:jc w:val="both"/>
              <w:rPr>
                <w:sz w:val="20"/>
              </w:rPr>
            </w:pPr>
            <w:r w:rsidRPr="00090851">
              <w:rPr>
                <w:sz w:val="20"/>
              </w:rPr>
              <w:t>The respondent company purchased 66 acres of vacant lands with the intention of creating a rock quarry. The lands are located in the semi</w:t>
            </w:r>
            <w:r w:rsidRPr="00090851">
              <w:rPr>
                <w:sz w:val="20"/>
              </w:rPr>
              <w:noBreakHyphen/>
              <w:t xml:space="preserve">rural and industrial District of Highlands on Vancouver Island, and are bordered by three other commercial industrial properties and a Regional Park, and are across the street from a residential community. The lands are not zoned for industrial or commercial uses, and the company was unsuccessful in its rezoning application. However, despite significant opposition by the applicant community association, the District and the Capital Regional District, the company successfully applied for a Mine Permit to operate a rock quarry pursuant to the </w:t>
            </w:r>
            <w:r w:rsidRPr="00090851">
              <w:rPr>
                <w:i/>
                <w:sz w:val="20"/>
              </w:rPr>
              <w:t>Mines Act</w:t>
            </w:r>
            <w:r w:rsidRPr="00090851">
              <w:rPr>
                <w:sz w:val="20"/>
              </w:rPr>
              <w:t xml:space="preserve">. A senior Mines Inspector found that there were no health, safety, economic or environmental grounds to deny the permit, which was granted subject to numerous conditions relating to environmental protection. The decision acknowledged that while climate change is an important issue, it is not relevant under the </w:t>
            </w:r>
            <w:r w:rsidRPr="00090851">
              <w:rPr>
                <w:i/>
                <w:sz w:val="20"/>
              </w:rPr>
              <w:t>Mines Act</w:t>
            </w:r>
            <w:r w:rsidRPr="00090851">
              <w:rPr>
                <w:sz w:val="20"/>
              </w:rPr>
              <w:t xml:space="preserve">. The applicant’s petition to quash the Mine Permit was dismissed by the Supreme Court of British Columbia, as was an appeal to the Court of Appeal for British Columbia. </w:t>
            </w:r>
          </w:p>
          <w:p w:rsidR="00090851" w:rsidRPr="00090851" w:rsidRDefault="00090851" w:rsidP="00090851">
            <w:pPr>
              <w:jc w:val="both"/>
              <w:rPr>
                <w:sz w:val="20"/>
              </w:rPr>
            </w:pPr>
          </w:p>
        </w:tc>
      </w:tr>
      <w:tr w:rsidR="00090851" w:rsidRPr="00090851" w:rsidTr="00E95A6A">
        <w:tc>
          <w:tcPr>
            <w:tcW w:w="2427" w:type="pct"/>
            <w:gridSpan w:val="2"/>
          </w:tcPr>
          <w:p w:rsidR="00090851" w:rsidRPr="00090851" w:rsidRDefault="00090851" w:rsidP="00090851">
            <w:pPr>
              <w:jc w:val="both"/>
              <w:rPr>
                <w:sz w:val="20"/>
              </w:rPr>
            </w:pPr>
            <w:r w:rsidRPr="00090851">
              <w:rPr>
                <w:sz w:val="20"/>
              </w:rPr>
              <w:t>November 6, 2020</w:t>
            </w:r>
          </w:p>
          <w:p w:rsidR="00090851" w:rsidRPr="00090851" w:rsidRDefault="00090851" w:rsidP="00090851">
            <w:pPr>
              <w:jc w:val="both"/>
              <w:rPr>
                <w:sz w:val="20"/>
              </w:rPr>
            </w:pPr>
            <w:r w:rsidRPr="00090851">
              <w:rPr>
                <w:sz w:val="20"/>
              </w:rPr>
              <w:t>Supreme Court of British Columbia</w:t>
            </w:r>
          </w:p>
          <w:p w:rsidR="00090851" w:rsidRPr="00090851" w:rsidRDefault="00090851" w:rsidP="00090851">
            <w:pPr>
              <w:jc w:val="both"/>
              <w:rPr>
                <w:sz w:val="20"/>
              </w:rPr>
            </w:pPr>
            <w:r w:rsidRPr="00090851">
              <w:rPr>
                <w:sz w:val="20"/>
              </w:rPr>
              <w:t>(Mayer J.)</w:t>
            </w:r>
          </w:p>
          <w:p w:rsidR="00090851" w:rsidRPr="00090851" w:rsidRDefault="00A254E1" w:rsidP="00090851">
            <w:pPr>
              <w:jc w:val="both"/>
              <w:rPr>
                <w:sz w:val="20"/>
              </w:rPr>
            </w:pPr>
            <w:hyperlink r:id="rId16" w:history="1">
              <w:r w:rsidR="00090851" w:rsidRPr="00090851">
                <w:rPr>
                  <w:rStyle w:val="Hyperlink"/>
                  <w:sz w:val="20"/>
                </w:rPr>
                <w:t>2020 BCSC 2135</w:t>
              </w:r>
            </w:hyperlink>
          </w:p>
          <w:p w:rsidR="00090851" w:rsidRPr="00090851" w:rsidRDefault="00090851" w:rsidP="00090851">
            <w:pPr>
              <w:jc w:val="both"/>
              <w:rPr>
                <w:sz w:val="20"/>
              </w:rPr>
            </w:pP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rPr>
            </w:pPr>
            <w:r w:rsidRPr="00090851">
              <w:rPr>
                <w:sz w:val="20"/>
              </w:rPr>
              <w:t>Applicant’s petition for Order to quash the Mines Permit dismissed.</w:t>
            </w:r>
          </w:p>
          <w:p w:rsidR="00090851" w:rsidRPr="00090851" w:rsidRDefault="00090851" w:rsidP="00090851">
            <w:pPr>
              <w:jc w:val="both"/>
              <w:rPr>
                <w:sz w:val="20"/>
              </w:rPr>
            </w:pPr>
          </w:p>
        </w:tc>
      </w:tr>
      <w:tr w:rsidR="00090851" w:rsidRPr="00090851" w:rsidTr="00E95A6A">
        <w:tc>
          <w:tcPr>
            <w:tcW w:w="2427" w:type="pct"/>
            <w:gridSpan w:val="2"/>
          </w:tcPr>
          <w:p w:rsidR="00090851" w:rsidRPr="00090851" w:rsidRDefault="00090851" w:rsidP="00090851">
            <w:pPr>
              <w:jc w:val="both"/>
              <w:rPr>
                <w:sz w:val="20"/>
              </w:rPr>
            </w:pPr>
            <w:r w:rsidRPr="00090851">
              <w:rPr>
                <w:sz w:val="20"/>
              </w:rPr>
              <w:t>June 14, 2021</w:t>
            </w:r>
          </w:p>
          <w:p w:rsidR="00090851" w:rsidRPr="00090851" w:rsidRDefault="00090851" w:rsidP="00090851">
            <w:pPr>
              <w:jc w:val="both"/>
              <w:rPr>
                <w:sz w:val="20"/>
              </w:rPr>
            </w:pPr>
            <w:r w:rsidRPr="00090851">
              <w:rPr>
                <w:sz w:val="20"/>
              </w:rPr>
              <w:t xml:space="preserve">Court of Appeal for British Columbia </w:t>
            </w:r>
          </w:p>
          <w:p w:rsidR="00090851" w:rsidRPr="00090851" w:rsidRDefault="00090851" w:rsidP="00090851">
            <w:pPr>
              <w:jc w:val="both"/>
              <w:rPr>
                <w:sz w:val="20"/>
              </w:rPr>
            </w:pPr>
            <w:r w:rsidRPr="00090851">
              <w:rPr>
                <w:sz w:val="20"/>
              </w:rPr>
              <w:t>(Vancouver)</w:t>
            </w:r>
          </w:p>
          <w:p w:rsidR="00090851" w:rsidRPr="00090851" w:rsidRDefault="00090851" w:rsidP="00090851">
            <w:pPr>
              <w:jc w:val="both"/>
              <w:rPr>
                <w:sz w:val="20"/>
              </w:rPr>
            </w:pPr>
            <w:r w:rsidRPr="00090851">
              <w:rPr>
                <w:sz w:val="20"/>
              </w:rPr>
              <w:t>(MacKenzie, Fisher and Butler JJ.A.)</w:t>
            </w:r>
          </w:p>
          <w:p w:rsidR="00090851" w:rsidRPr="00090851" w:rsidRDefault="00A254E1" w:rsidP="00090851">
            <w:pPr>
              <w:jc w:val="both"/>
              <w:rPr>
                <w:rStyle w:val="Hyperlink"/>
                <w:sz w:val="20"/>
              </w:rPr>
            </w:pPr>
            <w:hyperlink r:id="rId17" w:history="1">
              <w:r w:rsidR="00090851" w:rsidRPr="00090851">
                <w:rPr>
                  <w:rStyle w:val="Hyperlink"/>
                  <w:sz w:val="20"/>
                </w:rPr>
                <w:t>2021 BCCA 232</w:t>
              </w:r>
            </w:hyperlink>
            <w:r w:rsidR="00090851" w:rsidRPr="00090851">
              <w:rPr>
                <w:rStyle w:val="Hyperlink"/>
                <w:sz w:val="20"/>
              </w:rPr>
              <w:t>; CA47150</w:t>
            </w:r>
          </w:p>
          <w:p w:rsidR="00090851" w:rsidRPr="00090851" w:rsidRDefault="00090851" w:rsidP="00090851">
            <w:pPr>
              <w:jc w:val="both"/>
              <w:rPr>
                <w:sz w:val="20"/>
              </w:rPr>
            </w:pP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rPr>
            </w:pPr>
            <w:r w:rsidRPr="00090851">
              <w:rPr>
                <w:sz w:val="20"/>
              </w:rPr>
              <w:t>Appeal dismissed.</w:t>
            </w:r>
          </w:p>
          <w:p w:rsidR="00090851" w:rsidRPr="00090851" w:rsidRDefault="00090851" w:rsidP="00090851">
            <w:pPr>
              <w:jc w:val="both"/>
              <w:rPr>
                <w:sz w:val="20"/>
              </w:rPr>
            </w:pPr>
          </w:p>
        </w:tc>
      </w:tr>
      <w:tr w:rsidR="00090851" w:rsidRPr="00090851" w:rsidTr="00E95A6A">
        <w:tc>
          <w:tcPr>
            <w:tcW w:w="2427" w:type="pct"/>
            <w:gridSpan w:val="2"/>
          </w:tcPr>
          <w:p w:rsidR="00090851" w:rsidRPr="00090851" w:rsidRDefault="00090851" w:rsidP="00090851">
            <w:pPr>
              <w:jc w:val="both"/>
              <w:rPr>
                <w:sz w:val="20"/>
              </w:rPr>
            </w:pPr>
            <w:r w:rsidRPr="00090851">
              <w:rPr>
                <w:sz w:val="20"/>
              </w:rPr>
              <w:t>July 27, 2021</w:t>
            </w:r>
          </w:p>
          <w:p w:rsidR="00090851" w:rsidRPr="00090851" w:rsidRDefault="00090851" w:rsidP="00090851">
            <w:pPr>
              <w:jc w:val="both"/>
              <w:rPr>
                <w:sz w:val="20"/>
              </w:rPr>
            </w:pPr>
            <w:r w:rsidRPr="00090851">
              <w:rPr>
                <w:sz w:val="20"/>
              </w:rPr>
              <w:t>Supreme Court of Canada</w:t>
            </w: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rPr>
            </w:pPr>
            <w:r w:rsidRPr="00090851">
              <w:rPr>
                <w:sz w:val="20"/>
              </w:rPr>
              <w:t>Application for leave to appeal filed.</w:t>
            </w:r>
          </w:p>
          <w:p w:rsidR="00090851" w:rsidRPr="00090851" w:rsidRDefault="00090851" w:rsidP="00090851">
            <w:pPr>
              <w:jc w:val="both"/>
              <w:rPr>
                <w:sz w:val="20"/>
              </w:rPr>
            </w:pPr>
          </w:p>
        </w:tc>
      </w:tr>
    </w:tbl>
    <w:p w:rsidR="00090851" w:rsidRDefault="00090851" w:rsidP="00090851">
      <w:pPr>
        <w:jc w:val="both"/>
        <w:rPr>
          <w:sz w:val="20"/>
        </w:rPr>
      </w:pPr>
    </w:p>
    <w:p w:rsidR="00090851" w:rsidRDefault="00A254E1" w:rsidP="00090851">
      <w:pPr>
        <w:jc w:val="both"/>
        <w:rPr>
          <w:sz w:val="20"/>
        </w:rPr>
      </w:pPr>
      <w:r>
        <w:rPr>
          <w:sz w:val="20"/>
        </w:rPr>
        <w:pict>
          <v:rect id="_x0000_i1029" style="width:2in;height:1pt" o:hrpct="0" o:hralign="center" o:hrstd="t" o:hrnoshade="t" o:hr="t" fillcolor="black [3213]" stroked="f"/>
        </w:pict>
      </w:r>
    </w:p>
    <w:p w:rsidR="00090851" w:rsidRPr="00090851" w:rsidRDefault="00090851" w:rsidP="000908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90851" w:rsidRPr="00090851" w:rsidTr="00E95A6A">
        <w:tc>
          <w:tcPr>
            <w:tcW w:w="543" w:type="pct"/>
          </w:tcPr>
          <w:p w:rsidR="00090851" w:rsidRPr="00090851" w:rsidRDefault="00090851" w:rsidP="00090851">
            <w:pPr>
              <w:jc w:val="both"/>
              <w:rPr>
                <w:sz w:val="20"/>
              </w:rPr>
            </w:pPr>
            <w:r w:rsidRPr="00090851">
              <w:rPr>
                <w:rStyle w:val="SCCFileNumberChar"/>
                <w:sz w:val="20"/>
                <w:szCs w:val="20"/>
              </w:rPr>
              <w:t>39775</w:t>
            </w:r>
          </w:p>
        </w:tc>
        <w:tc>
          <w:tcPr>
            <w:tcW w:w="4457" w:type="pct"/>
            <w:gridSpan w:val="3"/>
          </w:tcPr>
          <w:p w:rsidR="00090851" w:rsidRPr="00090851" w:rsidRDefault="00090851" w:rsidP="00090851">
            <w:pPr>
              <w:pStyle w:val="SCCLsocParty"/>
              <w:jc w:val="both"/>
              <w:rPr>
                <w:b/>
                <w:sz w:val="20"/>
                <w:szCs w:val="20"/>
                <w:lang w:val="en-US"/>
              </w:rPr>
            </w:pPr>
            <w:r w:rsidRPr="00090851">
              <w:rPr>
                <w:b/>
                <w:sz w:val="20"/>
                <w:szCs w:val="20"/>
                <w:lang w:val="en-US"/>
              </w:rPr>
              <w:t>Highlands District Community Association c. Procureur général de la Colombie-Britannique, Minister of Mines, Energy &amp; Petroleum Resources, Chief Inspector of Mines, O.K. Industries Ltd.</w:t>
            </w:r>
          </w:p>
          <w:p w:rsidR="00090851" w:rsidRPr="00090851" w:rsidRDefault="00090851" w:rsidP="00090851">
            <w:pPr>
              <w:jc w:val="both"/>
              <w:rPr>
                <w:sz w:val="20"/>
              </w:rPr>
            </w:pPr>
            <w:r w:rsidRPr="00090851">
              <w:rPr>
                <w:sz w:val="20"/>
              </w:rPr>
              <w:t>(C.-B.) (Civile) (Autorisation)</w:t>
            </w:r>
          </w:p>
        </w:tc>
      </w:tr>
      <w:tr w:rsidR="00090851" w:rsidRPr="00687DF9" w:rsidTr="00E95A6A">
        <w:tc>
          <w:tcPr>
            <w:tcW w:w="5000" w:type="pct"/>
            <w:gridSpan w:val="4"/>
          </w:tcPr>
          <w:p w:rsidR="00090851" w:rsidRPr="00090851" w:rsidRDefault="00090851" w:rsidP="00090851">
            <w:pPr>
              <w:jc w:val="both"/>
              <w:rPr>
                <w:sz w:val="20"/>
                <w:lang w:val="fr-CA"/>
              </w:rPr>
            </w:pPr>
            <w:r w:rsidRPr="00090851">
              <w:rPr>
                <w:sz w:val="20"/>
                <w:lang w:val="fr-CA"/>
              </w:rPr>
              <w:t xml:space="preserve">Droit administratif — Contrôle judiciaire — Permis et licences — Droit de l’environnement — L’inspecteur des mines a délivré à l’entreprise intimée un permis d’exploitation d’une carrière sous le régime de la </w:t>
            </w:r>
            <w:r w:rsidRPr="00090851">
              <w:rPr>
                <w:i/>
                <w:sz w:val="20"/>
                <w:lang w:val="fr-CA"/>
              </w:rPr>
              <w:t>Mines Act</w:t>
            </w:r>
            <w:r w:rsidRPr="00090851">
              <w:rPr>
                <w:sz w:val="20"/>
                <w:lang w:val="fr-CA"/>
              </w:rPr>
              <w:t xml:space="preserve"> — Dans quelle mesure les changements climatiques sont</w:t>
            </w:r>
            <w:r w:rsidRPr="00090851">
              <w:rPr>
                <w:sz w:val="20"/>
                <w:lang w:val="fr-CA"/>
              </w:rPr>
              <w:noBreakHyphen/>
              <w:t>ils pertinents dans les décisions relatives à l’extraction de ressources? — Doivent</w:t>
            </w:r>
            <w:r w:rsidRPr="00090851">
              <w:rPr>
                <w:sz w:val="20"/>
                <w:lang w:val="fr-CA"/>
              </w:rPr>
              <w:noBreakHyphen/>
              <w:t>ils être pris en compte et, dans l’affirmative, comment doivent</w:t>
            </w:r>
            <w:r w:rsidRPr="00090851">
              <w:rPr>
                <w:sz w:val="20"/>
                <w:lang w:val="fr-CA"/>
              </w:rPr>
              <w:noBreakHyphen/>
              <w:t>ils l’être? — Une loi qui ne mentionne pas les changements climatiques pour l’exclure comme facteur à prendre en compte devrait</w:t>
            </w:r>
            <w:r w:rsidRPr="00090851">
              <w:rPr>
                <w:sz w:val="20"/>
                <w:lang w:val="fr-CA"/>
              </w:rPr>
              <w:noBreakHyphen/>
              <w:t>elle recevoir une interprétation atténuante pour soustraire l’extraction des ressources environnementales de son champ d’application? — Dans quelle mesure les engagements internationaux du Canada de réduire les émissions de carbone doivent</w:t>
            </w:r>
            <w:r w:rsidRPr="00090851">
              <w:rPr>
                <w:sz w:val="20"/>
                <w:lang w:val="fr-CA"/>
              </w:rPr>
              <w:noBreakHyphen/>
              <w:t xml:space="preserve">ils guider l’interprétation des lois provinciales? — Au regard de l’arrêt </w:t>
            </w:r>
            <w:r w:rsidRPr="00090851">
              <w:rPr>
                <w:i/>
                <w:iCs/>
                <w:sz w:val="20"/>
                <w:lang w:val="fr-CA"/>
              </w:rPr>
              <w:t>R.</w:t>
            </w:r>
            <w:r w:rsidRPr="00090851">
              <w:rPr>
                <w:sz w:val="20"/>
                <w:lang w:val="fr-CA"/>
              </w:rPr>
              <w:t xml:space="preserve"> </w:t>
            </w:r>
            <w:r w:rsidRPr="00090851">
              <w:rPr>
                <w:i/>
                <w:sz w:val="20"/>
                <w:lang w:val="fr-CA"/>
              </w:rPr>
              <w:t>c. Hape</w:t>
            </w:r>
            <w:r w:rsidRPr="00090851">
              <w:rPr>
                <w:sz w:val="20"/>
                <w:lang w:val="fr-CA"/>
              </w:rPr>
              <w:t>, 2007 CSC 26, les décideurs administratifs devraient</w:t>
            </w:r>
            <w:r w:rsidRPr="00090851">
              <w:rPr>
                <w:sz w:val="20"/>
                <w:lang w:val="fr-CA"/>
              </w:rPr>
              <w:noBreakHyphen/>
              <w:t xml:space="preserve">ils tenir compte des changements climatiques mondiaux lorsqu’ils prennent des décisions sous le régime de la </w:t>
            </w:r>
            <w:r w:rsidRPr="00090851">
              <w:rPr>
                <w:i/>
                <w:sz w:val="20"/>
                <w:lang w:val="fr-CA"/>
              </w:rPr>
              <w:t>Mines Act</w:t>
            </w:r>
            <w:r w:rsidRPr="00090851">
              <w:rPr>
                <w:sz w:val="20"/>
                <w:lang w:val="fr-CA"/>
              </w:rPr>
              <w:t>? — Un décideur administratif peut</w:t>
            </w:r>
            <w:r w:rsidRPr="00090851">
              <w:rPr>
                <w:sz w:val="20"/>
                <w:lang w:val="fr-CA"/>
              </w:rPr>
              <w:noBreakHyphen/>
              <w:t xml:space="preserve">il conclure que les changements climatiques mondiaux ne sont pas pertinents pour l’interprétation d’une loi provinciale, vu la déclaration par le </w:t>
            </w:r>
            <w:r w:rsidRPr="00090851">
              <w:rPr>
                <w:sz w:val="20"/>
                <w:lang w:val="fr-CA"/>
              </w:rPr>
              <w:lastRenderedPageBreak/>
              <w:t>Canada d’une urgence climatique nationale? — Dans quelle mesure les tribunaux doivent</w:t>
            </w:r>
            <w:r w:rsidRPr="00090851">
              <w:rPr>
                <w:sz w:val="20"/>
                <w:lang w:val="fr-CA"/>
              </w:rPr>
              <w:noBreakHyphen/>
              <w:t xml:space="preserve">ils faire preuve de déférence à l’égard de l’évaluation par un décideur administratif de la pertinence des changements climatiques mondiaux quant à la mesure administrative? — </w:t>
            </w:r>
            <w:r w:rsidRPr="00090851">
              <w:rPr>
                <w:i/>
                <w:sz w:val="20"/>
                <w:lang w:val="fr-CA"/>
              </w:rPr>
              <w:t>Mines Act</w:t>
            </w:r>
            <w:r w:rsidRPr="00687DF9">
              <w:rPr>
                <w:sz w:val="20"/>
                <w:lang w:val="fr-CA"/>
              </w:rPr>
              <w:t>, R.S.B.C. 1996, ch. 293, art</w:t>
            </w:r>
            <w:r w:rsidRPr="00090851">
              <w:rPr>
                <w:sz w:val="20"/>
                <w:lang w:val="fr-CA"/>
              </w:rPr>
              <w:t>. 10.</w:t>
            </w:r>
          </w:p>
          <w:p w:rsidR="00090851" w:rsidRPr="00090851" w:rsidRDefault="00090851" w:rsidP="00090851">
            <w:pPr>
              <w:pStyle w:val="SCCBanSummary"/>
              <w:rPr>
                <w:sz w:val="20"/>
                <w:szCs w:val="20"/>
                <w:lang w:val="fr-CA"/>
              </w:rPr>
            </w:pPr>
          </w:p>
          <w:p w:rsidR="00090851" w:rsidRPr="00090851" w:rsidRDefault="00090851" w:rsidP="00090851">
            <w:pPr>
              <w:jc w:val="both"/>
              <w:rPr>
                <w:sz w:val="20"/>
                <w:lang w:val="fr-CA"/>
              </w:rPr>
            </w:pPr>
            <w:r w:rsidRPr="00090851">
              <w:rPr>
                <w:sz w:val="20"/>
                <w:lang w:val="fr-CA"/>
              </w:rPr>
              <w:t xml:space="preserve">La société intimée a acheté 66 acres de terrains vacants dans l’intention d’y aménager une carrière. Les terrains sont situés dans le district semi-rural et industriel de Highlands sur l’île de Vancouver, ils sont bordés par trois autres propriétés industrielles commerciales et un parc régional, et ils sont situés de l’autre côté de la rue d’une communauté résidentielle. Les terrains ne sont pas zonés pour des usages industriels ou commerciaux, et la société a été déboutée dans sa demande de modification du zonage. Cependant, malgré une opposition importante de la part de l’association communautaire demanderesse, du District et du District régional de la capitale, la société a réussi à obtenir un permis d’exploitation de carrière en application de la </w:t>
            </w:r>
            <w:r w:rsidRPr="00090851">
              <w:rPr>
                <w:i/>
                <w:sz w:val="20"/>
                <w:lang w:val="fr-CA"/>
              </w:rPr>
              <w:t>Mining Act</w:t>
            </w:r>
            <w:r w:rsidRPr="00090851">
              <w:rPr>
                <w:sz w:val="20"/>
                <w:lang w:val="fr-CA"/>
              </w:rPr>
              <w:t xml:space="preserve">. Un inspecteur principal des mines a estimé qu’il n’y avait aucune raison sanitaire, sécuritaire, économique ou environnementale de refuser le permis, qui a été délivré sous réserve de nombreuses conditions relatives à la protection de l’environnement. La décision reconnaît que, bien que les changements climatiques soient une question importante, ils ne sont pas pertinents en application de la </w:t>
            </w:r>
            <w:r w:rsidRPr="00090851">
              <w:rPr>
                <w:i/>
                <w:sz w:val="20"/>
                <w:lang w:val="fr-CA"/>
              </w:rPr>
              <w:t>Mining Act</w:t>
            </w:r>
            <w:r w:rsidRPr="00090851">
              <w:rPr>
                <w:sz w:val="20"/>
                <w:lang w:val="fr-CA"/>
              </w:rPr>
              <w:t>. La requête de la demanderesse visant à annuler le permis d’exploitation minière a été rejetée par la Cour suprême de la Colombie</w:t>
            </w:r>
            <w:r w:rsidRPr="00090851">
              <w:rPr>
                <w:sz w:val="20"/>
                <w:lang w:val="fr-CA"/>
              </w:rPr>
              <w:noBreakHyphen/>
              <w:t>Britannique, tout comme l’appel interjeté à la Cour d’appel de la Colombie</w:t>
            </w:r>
            <w:r w:rsidRPr="00090851">
              <w:rPr>
                <w:sz w:val="20"/>
                <w:lang w:val="fr-CA"/>
              </w:rPr>
              <w:noBreakHyphen/>
              <w:t xml:space="preserve">Britannique. </w:t>
            </w:r>
          </w:p>
          <w:p w:rsidR="00090851" w:rsidRPr="00090851" w:rsidRDefault="00090851" w:rsidP="00090851">
            <w:pPr>
              <w:jc w:val="both"/>
              <w:rPr>
                <w:sz w:val="20"/>
                <w:lang w:val="fr-CA"/>
              </w:rPr>
            </w:pPr>
          </w:p>
        </w:tc>
      </w:tr>
      <w:tr w:rsidR="00090851" w:rsidRPr="00687DF9" w:rsidTr="00E95A6A">
        <w:tc>
          <w:tcPr>
            <w:tcW w:w="2427" w:type="pct"/>
            <w:gridSpan w:val="2"/>
          </w:tcPr>
          <w:p w:rsidR="00090851" w:rsidRPr="00090851" w:rsidRDefault="00090851" w:rsidP="00090851">
            <w:pPr>
              <w:jc w:val="both"/>
              <w:rPr>
                <w:sz w:val="20"/>
                <w:lang w:val="fr-CA"/>
              </w:rPr>
            </w:pPr>
            <w:r w:rsidRPr="00090851">
              <w:rPr>
                <w:sz w:val="20"/>
                <w:lang w:val="fr-CA"/>
              </w:rPr>
              <w:lastRenderedPageBreak/>
              <w:t>6 novembre 2020</w:t>
            </w:r>
          </w:p>
          <w:p w:rsidR="00090851" w:rsidRPr="00090851" w:rsidRDefault="00090851" w:rsidP="00090851">
            <w:pPr>
              <w:jc w:val="both"/>
              <w:rPr>
                <w:sz w:val="20"/>
                <w:lang w:val="fr-CA"/>
              </w:rPr>
            </w:pPr>
            <w:r w:rsidRPr="00090851">
              <w:rPr>
                <w:sz w:val="20"/>
                <w:lang w:val="fr-CA"/>
              </w:rPr>
              <w:t>Cour suprême de la Colombie</w:t>
            </w:r>
            <w:r w:rsidRPr="00090851">
              <w:rPr>
                <w:sz w:val="20"/>
                <w:lang w:val="fr-CA"/>
              </w:rPr>
              <w:noBreakHyphen/>
              <w:t>Britannique</w:t>
            </w:r>
          </w:p>
          <w:p w:rsidR="00090851" w:rsidRPr="00090851" w:rsidRDefault="00090851" w:rsidP="00090851">
            <w:pPr>
              <w:jc w:val="both"/>
              <w:rPr>
                <w:sz w:val="20"/>
              </w:rPr>
            </w:pPr>
            <w:r w:rsidRPr="00090851">
              <w:rPr>
                <w:sz w:val="20"/>
              </w:rPr>
              <w:t>(Juge Mayer)</w:t>
            </w:r>
          </w:p>
          <w:p w:rsidR="00090851" w:rsidRPr="00090851" w:rsidRDefault="00A254E1" w:rsidP="00090851">
            <w:pPr>
              <w:jc w:val="both"/>
              <w:rPr>
                <w:sz w:val="20"/>
              </w:rPr>
            </w:pPr>
            <w:hyperlink r:id="rId18" w:history="1">
              <w:r w:rsidR="00090851" w:rsidRPr="00090851">
                <w:rPr>
                  <w:rStyle w:val="Hyperlink"/>
                  <w:sz w:val="20"/>
                </w:rPr>
                <w:t>2020 BCSC 2135</w:t>
              </w:r>
            </w:hyperlink>
          </w:p>
          <w:p w:rsidR="00090851" w:rsidRPr="00090851" w:rsidRDefault="00090851" w:rsidP="00090851">
            <w:pPr>
              <w:jc w:val="both"/>
              <w:rPr>
                <w:sz w:val="20"/>
              </w:rPr>
            </w:pP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lang w:val="fr-CA"/>
              </w:rPr>
            </w:pPr>
            <w:r w:rsidRPr="00090851">
              <w:rPr>
                <w:sz w:val="20"/>
                <w:lang w:val="fr-CA"/>
              </w:rPr>
              <w:t>Rejet de la requête de la demanderesse visant à obtenir une ordonnance d’annulation du permis d’exploitation minière.</w:t>
            </w:r>
          </w:p>
          <w:p w:rsidR="00090851" w:rsidRPr="00090851" w:rsidRDefault="00090851" w:rsidP="00090851">
            <w:pPr>
              <w:jc w:val="both"/>
              <w:rPr>
                <w:sz w:val="20"/>
                <w:lang w:val="fr-CA"/>
              </w:rPr>
            </w:pPr>
          </w:p>
        </w:tc>
      </w:tr>
      <w:tr w:rsidR="00090851" w:rsidRPr="00090851" w:rsidTr="00E95A6A">
        <w:tc>
          <w:tcPr>
            <w:tcW w:w="2427" w:type="pct"/>
            <w:gridSpan w:val="2"/>
          </w:tcPr>
          <w:p w:rsidR="00090851" w:rsidRPr="00090851" w:rsidRDefault="00090851" w:rsidP="00090851">
            <w:pPr>
              <w:jc w:val="both"/>
              <w:rPr>
                <w:sz w:val="20"/>
                <w:lang w:val="fr-CA"/>
              </w:rPr>
            </w:pPr>
            <w:r w:rsidRPr="00090851">
              <w:rPr>
                <w:sz w:val="20"/>
                <w:lang w:val="fr-CA"/>
              </w:rPr>
              <w:t>14 juin 2021</w:t>
            </w:r>
          </w:p>
          <w:p w:rsidR="00090851" w:rsidRPr="00090851" w:rsidRDefault="00090851" w:rsidP="00090851">
            <w:pPr>
              <w:jc w:val="both"/>
              <w:rPr>
                <w:sz w:val="20"/>
                <w:lang w:val="fr-CA"/>
              </w:rPr>
            </w:pPr>
            <w:r w:rsidRPr="00090851">
              <w:rPr>
                <w:sz w:val="20"/>
                <w:lang w:val="fr-CA"/>
              </w:rPr>
              <w:t>Cour d’appel de la Colombie</w:t>
            </w:r>
            <w:r w:rsidRPr="00090851">
              <w:rPr>
                <w:sz w:val="20"/>
                <w:lang w:val="fr-CA"/>
              </w:rPr>
              <w:noBreakHyphen/>
              <w:t xml:space="preserve">Britannique </w:t>
            </w:r>
          </w:p>
          <w:p w:rsidR="00090851" w:rsidRPr="00090851" w:rsidRDefault="00090851" w:rsidP="00090851">
            <w:pPr>
              <w:jc w:val="both"/>
              <w:rPr>
                <w:sz w:val="20"/>
                <w:lang w:val="fr-CA"/>
              </w:rPr>
            </w:pPr>
            <w:r w:rsidRPr="00090851">
              <w:rPr>
                <w:sz w:val="20"/>
                <w:lang w:val="fr-CA"/>
              </w:rPr>
              <w:t>(Vancouver)</w:t>
            </w:r>
          </w:p>
          <w:p w:rsidR="00090851" w:rsidRPr="00090851" w:rsidRDefault="00090851" w:rsidP="00090851">
            <w:pPr>
              <w:jc w:val="both"/>
              <w:rPr>
                <w:sz w:val="20"/>
                <w:lang w:val="fr-CA"/>
              </w:rPr>
            </w:pPr>
            <w:r w:rsidRPr="00090851">
              <w:rPr>
                <w:sz w:val="20"/>
                <w:lang w:val="fr-CA"/>
              </w:rPr>
              <w:t>(Juges MacKenzie, Fisher et Butler)</w:t>
            </w:r>
          </w:p>
          <w:p w:rsidR="00090851" w:rsidRPr="00090851" w:rsidRDefault="00A254E1" w:rsidP="00090851">
            <w:pPr>
              <w:jc w:val="both"/>
              <w:rPr>
                <w:rStyle w:val="Hyperlink"/>
                <w:color w:val="auto"/>
                <w:sz w:val="20"/>
                <w:u w:val="none"/>
              </w:rPr>
            </w:pPr>
            <w:hyperlink r:id="rId19" w:history="1">
              <w:r w:rsidR="00090851" w:rsidRPr="00090851">
                <w:rPr>
                  <w:rStyle w:val="Hyperlink"/>
                  <w:sz w:val="20"/>
                </w:rPr>
                <w:t>2021 BCCA 232</w:t>
              </w:r>
            </w:hyperlink>
            <w:r w:rsidR="00090851" w:rsidRPr="00090851">
              <w:rPr>
                <w:rStyle w:val="Hyperlink"/>
                <w:sz w:val="20"/>
              </w:rPr>
              <w:t>;</w:t>
            </w:r>
            <w:r w:rsidR="00090851" w:rsidRPr="00090851">
              <w:rPr>
                <w:sz w:val="20"/>
              </w:rPr>
              <w:t xml:space="preserve"> CA47150</w:t>
            </w:r>
          </w:p>
          <w:p w:rsidR="00090851" w:rsidRPr="00090851" w:rsidRDefault="00090851" w:rsidP="00090851">
            <w:pPr>
              <w:jc w:val="both"/>
              <w:rPr>
                <w:sz w:val="20"/>
              </w:rPr>
            </w:pP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rPr>
            </w:pPr>
            <w:r w:rsidRPr="00090851">
              <w:rPr>
                <w:sz w:val="20"/>
              </w:rPr>
              <w:t>Rejet de l’appel.</w:t>
            </w:r>
          </w:p>
          <w:p w:rsidR="00090851" w:rsidRPr="00090851" w:rsidRDefault="00090851" w:rsidP="00090851">
            <w:pPr>
              <w:jc w:val="both"/>
              <w:rPr>
                <w:sz w:val="20"/>
              </w:rPr>
            </w:pPr>
          </w:p>
        </w:tc>
      </w:tr>
      <w:tr w:rsidR="00090851" w:rsidRPr="00687DF9" w:rsidTr="00E95A6A">
        <w:tc>
          <w:tcPr>
            <w:tcW w:w="2427" w:type="pct"/>
            <w:gridSpan w:val="2"/>
          </w:tcPr>
          <w:p w:rsidR="00090851" w:rsidRPr="00090851" w:rsidRDefault="00090851" w:rsidP="00090851">
            <w:pPr>
              <w:jc w:val="both"/>
              <w:rPr>
                <w:sz w:val="20"/>
                <w:lang w:val="fr-CA"/>
              </w:rPr>
            </w:pPr>
            <w:r w:rsidRPr="00090851">
              <w:rPr>
                <w:sz w:val="20"/>
                <w:lang w:val="fr-CA"/>
              </w:rPr>
              <w:t>27 juillet 2021</w:t>
            </w:r>
          </w:p>
          <w:p w:rsidR="00090851" w:rsidRPr="00090851" w:rsidRDefault="00090851" w:rsidP="00090851">
            <w:pPr>
              <w:jc w:val="both"/>
              <w:rPr>
                <w:sz w:val="20"/>
                <w:lang w:val="fr-CA"/>
              </w:rPr>
            </w:pPr>
            <w:r w:rsidRPr="00090851">
              <w:rPr>
                <w:sz w:val="20"/>
                <w:lang w:val="fr-CA"/>
              </w:rPr>
              <w:t>Cour suprême du Canada</w:t>
            </w:r>
          </w:p>
        </w:tc>
        <w:tc>
          <w:tcPr>
            <w:tcW w:w="243" w:type="pct"/>
          </w:tcPr>
          <w:p w:rsidR="00090851" w:rsidRPr="00090851" w:rsidRDefault="00090851" w:rsidP="00090851">
            <w:pPr>
              <w:jc w:val="both"/>
              <w:rPr>
                <w:sz w:val="20"/>
                <w:lang w:val="fr-CA"/>
              </w:rPr>
            </w:pPr>
          </w:p>
        </w:tc>
        <w:tc>
          <w:tcPr>
            <w:tcW w:w="2330" w:type="pct"/>
          </w:tcPr>
          <w:p w:rsidR="00090851" w:rsidRPr="00090851" w:rsidRDefault="00090851" w:rsidP="00090851">
            <w:pPr>
              <w:jc w:val="both"/>
              <w:rPr>
                <w:sz w:val="20"/>
                <w:lang w:val="fr-CA"/>
              </w:rPr>
            </w:pPr>
            <w:r w:rsidRPr="00090851">
              <w:rPr>
                <w:sz w:val="20"/>
                <w:lang w:val="fr-CA"/>
              </w:rPr>
              <w:t>Dépôt de la demande d’autorisation d’appel.</w:t>
            </w:r>
          </w:p>
          <w:p w:rsidR="00090851" w:rsidRPr="00090851" w:rsidRDefault="00090851" w:rsidP="00090851">
            <w:pPr>
              <w:jc w:val="both"/>
              <w:rPr>
                <w:sz w:val="20"/>
                <w:lang w:val="fr-CA"/>
              </w:rPr>
            </w:pPr>
          </w:p>
        </w:tc>
      </w:tr>
    </w:tbl>
    <w:p w:rsidR="00090851" w:rsidRPr="00090851" w:rsidRDefault="00090851" w:rsidP="00090851">
      <w:pPr>
        <w:jc w:val="both"/>
        <w:rPr>
          <w:sz w:val="20"/>
          <w:lang w:val="fr-CA"/>
        </w:rPr>
      </w:pPr>
    </w:p>
    <w:p w:rsidR="006D4676" w:rsidRDefault="00A254E1" w:rsidP="00090851">
      <w:pPr>
        <w:widowControl w:val="0"/>
        <w:tabs>
          <w:tab w:val="left" w:pos="3840"/>
        </w:tabs>
        <w:jc w:val="both"/>
        <w:rPr>
          <w:sz w:val="20"/>
          <w:lang w:val="fr-CA"/>
        </w:rPr>
      </w:pPr>
      <w:r>
        <w:rPr>
          <w:sz w:val="20"/>
        </w:rPr>
        <w:pict>
          <v:rect id="_x0000_i1030" style="width:2in;height:1pt" o:hrpct="0" o:hralign="center" o:hrstd="t" o:hrnoshade="t" o:hr="t" fillcolor="black [3213]" stroked="f"/>
        </w:pict>
      </w:r>
    </w:p>
    <w:p w:rsidR="00090851" w:rsidRDefault="00090851" w:rsidP="00090851">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3DC8" w:rsidRPr="00C93DC8" w:rsidTr="00E95A6A">
        <w:tc>
          <w:tcPr>
            <w:tcW w:w="543" w:type="pct"/>
          </w:tcPr>
          <w:p w:rsidR="00C93DC8" w:rsidRPr="00C93DC8" w:rsidRDefault="00C93DC8" w:rsidP="00C93DC8">
            <w:pPr>
              <w:jc w:val="both"/>
              <w:rPr>
                <w:sz w:val="20"/>
              </w:rPr>
            </w:pPr>
            <w:r w:rsidRPr="00C93DC8">
              <w:rPr>
                <w:rStyle w:val="SCCFileNumberChar"/>
                <w:sz w:val="20"/>
                <w:szCs w:val="20"/>
              </w:rPr>
              <w:t>39548</w:t>
            </w:r>
          </w:p>
        </w:tc>
        <w:tc>
          <w:tcPr>
            <w:tcW w:w="4457" w:type="pct"/>
            <w:gridSpan w:val="3"/>
          </w:tcPr>
          <w:p w:rsidR="00C93DC8" w:rsidRPr="00C93DC8" w:rsidRDefault="00C93DC8" w:rsidP="00C93DC8">
            <w:pPr>
              <w:pStyle w:val="SCCLsocParty"/>
              <w:jc w:val="both"/>
              <w:rPr>
                <w:b/>
                <w:sz w:val="20"/>
                <w:szCs w:val="20"/>
                <w:lang w:val="en-US"/>
              </w:rPr>
            </w:pPr>
            <w:r w:rsidRPr="00C93DC8">
              <w:rPr>
                <w:b/>
                <w:sz w:val="20"/>
                <w:szCs w:val="20"/>
                <w:lang w:val="en-US"/>
              </w:rPr>
              <w:t>Hentrose Nelson v. Her Majesty the Queen in Right of Ontario, David Bulmer, as representative of Association of Management, Administrative and Professional Crown Employees</w:t>
            </w:r>
          </w:p>
          <w:p w:rsidR="00C93DC8" w:rsidRPr="00C93DC8" w:rsidRDefault="00C93DC8" w:rsidP="00C93DC8">
            <w:pPr>
              <w:jc w:val="both"/>
              <w:rPr>
                <w:sz w:val="20"/>
              </w:rPr>
            </w:pPr>
            <w:r w:rsidRPr="00C93DC8">
              <w:rPr>
                <w:sz w:val="20"/>
              </w:rPr>
              <w:t>(Ont.) (Civil) (By Leave)</w:t>
            </w:r>
          </w:p>
        </w:tc>
      </w:tr>
      <w:tr w:rsidR="00C93DC8" w:rsidRPr="00C93DC8" w:rsidTr="00E95A6A">
        <w:tc>
          <w:tcPr>
            <w:tcW w:w="5000" w:type="pct"/>
            <w:gridSpan w:val="4"/>
          </w:tcPr>
          <w:p w:rsidR="00C93DC8" w:rsidRPr="00C93DC8" w:rsidRDefault="00C93DC8" w:rsidP="00C93DC8">
            <w:pPr>
              <w:jc w:val="both"/>
              <w:rPr>
                <w:sz w:val="20"/>
              </w:rPr>
            </w:pPr>
            <w:r w:rsidRPr="00C93DC8">
              <w:rPr>
                <w:sz w:val="20"/>
              </w:rPr>
              <w:t>Labour relations — Collective agreement — Discrimination and harassment claims arising from employment — Jurisdiction — Is</w:t>
            </w:r>
            <w:r w:rsidRPr="00C93DC8">
              <w:rPr>
                <w:i/>
                <w:iCs/>
                <w:sz w:val="20"/>
              </w:rPr>
              <w:t xml:space="preserve"> Weber</w:t>
            </w:r>
            <w:r w:rsidRPr="00C93DC8">
              <w:rPr>
                <w:sz w:val="20"/>
              </w:rPr>
              <w:t xml:space="preserve"> </w:t>
            </w:r>
            <w:r w:rsidRPr="00C93DC8">
              <w:rPr>
                <w:i/>
                <w:iCs/>
                <w:sz w:val="20"/>
              </w:rPr>
              <w:t>v. Ontario Hydro</w:t>
            </w:r>
            <w:r w:rsidRPr="00C93DC8">
              <w:rPr>
                <w:sz w:val="20"/>
              </w:rPr>
              <w:t>, [1995] 2 S.C.R. 929, still relevant given the roadblocks that it creates for access to justice, particularly by denying BIPOC (Black, Indigenous and other people of colour) workers control and power over the dispute</w:t>
            </w:r>
            <w:r w:rsidRPr="00C93DC8">
              <w:rPr>
                <w:sz w:val="20"/>
              </w:rPr>
              <w:noBreakHyphen/>
              <w:t>resolution process? — Should the Ontario legislature’s decision to give claimants direct access to the courts for human rights disputes apply only to non</w:t>
            </w:r>
            <w:r w:rsidRPr="00C93DC8">
              <w:rPr>
                <w:sz w:val="20"/>
              </w:rPr>
              <w:noBreakHyphen/>
              <w:t xml:space="preserve">unionized workers absent express and unequivocal language? — Should unionized employees in the public sector be barred from accessing the courts if the grievance process is practically unavailable to them and the Human Rights Tribunal of Ontario system is rife with delays and allegations of bias? — </w:t>
            </w:r>
            <w:r w:rsidRPr="00C93DC8">
              <w:rPr>
                <w:i/>
                <w:sz w:val="20"/>
              </w:rPr>
              <w:t>Human Rights Code</w:t>
            </w:r>
            <w:r w:rsidRPr="00C93DC8">
              <w:rPr>
                <w:sz w:val="20"/>
              </w:rPr>
              <w:t xml:space="preserve">, R.S.O. 1990, c. H.19, s. 46.1 — </w:t>
            </w:r>
            <w:r w:rsidRPr="00C93DC8">
              <w:rPr>
                <w:i/>
                <w:iCs/>
                <w:sz w:val="20"/>
              </w:rPr>
              <w:t>Crown Employees Collective Bargaining Act</w:t>
            </w:r>
            <w:r w:rsidRPr="00C93DC8">
              <w:rPr>
                <w:i/>
                <w:sz w:val="20"/>
              </w:rPr>
              <w:t>, 1993</w:t>
            </w:r>
            <w:r w:rsidRPr="00C93DC8">
              <w:rPr>
                <w:sz w:val="20"/>
              </w:rPr>
              <w:t>, S.O. 1993, c. 38, s. 7(3).</w:t>
            </w:r>
          </w:p>
        </w:tc>
      </w:tr>
      <w:tr w:rsidR="00C93DC8" w:rsidRPr="00C93DC8" w:rsidTr="00E95A6A">
        <w:tc>
          <w:tcPr>
            <w:tcW w:w="5000" w:type="pct"/>
            <w:gridSpan w:val="4"/>
          </w:tcPr>
          <w:p w:rsidR="00C93DC8" w:rsidRPr="00C93DC8" w:rsidRDefault="00C93DC8" w:rsidP="00C93DC8">
            <w:pPr>
              <w:jc w:val="both"/>
              <w:rPr>
                <w:sz w:val="20"/>
              </w:rPr>
            </w:pPr>
          </w:p>
        </w:tc>
      </w:tr>
      <w:tr w:rsidR="00C93DC8" w:rsidRPr="00C93DC8" w:rsidTr="00E95A6A">
        <w:tc>
          <w:tcPr>
            <w:tcW w:w="5000" w:type="pct"/>
            <w:gridSpan w:val="4"/>
          </w:tcPr>
          <w:p w:rsidR="00C93DC8" w:rsidRPr="00C93DC8" w:rsidRDefault="00C93DC8" w:rsidP="00C93DC8">
            <w:pPr>
              <w:jc w:val="both"/>
              <w:rPr>
                <w:sz w:val="20"/>
              </w:rPr>
            </w:pPr>
            <w:r w:rsidRPr="00C93DC8">
              <w:rPr>
                <w:sz w:val="20"/>
              </w:rPr>
              <w:t>The applicant, Hentrose Nelson, is employed by the Ontario Public Service (“OPS”) and is a member of the Association of Management, Administrative and Professional Crown Employees (“union”). In February 2019, Ms. Nelson commenced a civil action at the Ontario Superior Court of Justice against the Crown and union. Her claims were grounded in allegations of discrimination and harassment arising from her employment with the OPS. The Crown and union moved to dismiss Ms. Nelson’s action on the basis that the court does not have jurisdiction to hear the matter. The Ontario Superior Court of Justice agreed that it lacked jurisdiction to hear the matter and dismissed the action. Ms. Nelson appealed the decision; however, the Court of Appeal for Ontario dismissed the appeal.</w:t>
            </w:r>
          </w:p>
          <w:p w:rsidR="00C93DC8" w:rsidRPr="00C93DC8" w:rsidRDefault="00C93DC8" w:rsidP="00C93DC8">
            <w:pPr>
              <w:jc w:val="both"/>
              <w:rPr>
                <w:sz w:val="20"/>
              </w:rPr>
            </w:pPr>
          </w:p>
        </w:tc>
      </w:tr>
      <w:tr w:rsidR="00C93DC8" w:rsidRPr="00C93DC8" w:rsidTr="00E95A6A">
        <w:tc>
          <w:tcPr>
            <w:tcW w:w="2427" w:type="pct"/>
            <w:gridSpan w:val="2"/>
          </w:tcPr>
          <w:p w:rsidR="00C93DC8" w:rsidRPr="00C93DC8" w:rsidRDefault="00C93DC8" w:rsidP="00C93DC8">
            <w:pPr>
              <w:jc w:val="both"/>
              <w:rPr>
                <w:sz w:val="20"/>
              </w:rPr>
            </w:pPr>
            <w:r w:rsidRPr="00C93DC8">
              <w:rPr>
                <w:sz w:val="20"/>
              </w:rPr>
              <w:t>April 7, 2020</w:t>
            </w:r>
          </w:p>
          <w:p w:rsidR="00C93DC8" w:rsidRPr="00C93DC8" w:rsidRDefault="00C93DC8" w:rsidP="00C93DC8">
            <w:pPr>
              <w:jc w:val="both"/>
              <w:rPr>
                <w:sz w:val="20"/>
              </w:rPr>
            </w:pPr>
            <w:r w:rsidRPr="00C93DC8">
              <w:rPr>
                <w:sz w:val="20"/>
              </w:rPr>
              <w:t>Ontario Superior Court of Justice</w:t>
            </w:r>
          </w:p>
          <w:p w:rsidR="00C93DC8" w:rsidRPr="00C93DC8" w:rsidRDefault="00C93DC8" w:rsidP="00C93DC8">
            <w:pPr>
              <w:jc w:val="both"/>
              <w:rPr>
                <w:sz w:val="20"/>
              </w:rPr>
            </w:pPr>
            <w:r w:rsidRPr="00C93DC8">
              <w:rPr>
                <w:sz w:val="20"/>
              </w:rPr>
              <w:t>(Schabas J.)</w:t>
            </w:r>
          </w:p>
          <w:p w:rsidR="00C93DC8" w:rsidRPr="00C93DC8" w:rsidRDefault="00C93DC8" w:rsidP="00C93DC8">
            <w:pPr>
              <w:jc w:val="both"/>
              <w:rPr>
                <w:sz w:val="20"/>
              </w:rPr>
            </w:pPr>
            <w:r w:rsidRPr="00C93DC8">
              <w:rPr>
                <w:sz w:val="20"/>
              </w:rPr>
              <w:t>File No.: CV</w:t>
            </w:r>
            <w:r w:rsidRPr="00C93DC8">
              <w:rPr>
                <w:sz w:val="20"/>
              </w:rPr>
              <w:noBreakHyphen/>
              <w:t>19</w:t>
            </w:r>
            <w:r w:rsidRPr="00C93DC8">
              <w:rPr>
                <w:sz w:val="20"/>
              </w:rPr>
              <w:noBreakHyphen/>
              <w:t>627331</w:t>
            </w:r>
          </w:p>
          <w:p w:rsidR="00C93DC8" w:rsidRPr="00C93DC8" w:rsidRDefault="00A254E1" w:rsidP="00C93DC8">
            <w:pPr>
              <w:jc w:val="both"/>
              <w:rPr>
                <w:color w:val="000000"/>
                <w:sz w:val="20"/>
                <w:shd w:val="clear" w:color="auto" w:fill="FFFFFF"/>
              </w:rPr>
            </w:pPr>
            <w:hyperlink r:id="rId20" w:history="1">
              <w:r w:rsidR="00C93DC8" w:rsidRPr="00C93DC8">
                <w:rPr>
                  <w:rStyle w:val="Hyperlink"/>
                  <w:sz w:val="20"/>
                  <w:shd w:val="clear" w:color="auto" w:fill="FFFFFF"/>
                </w:rPr>
                <w:t>2020 ONSC 2147</w:t>
              </w:r>
            </w:hyperlink>
          </w:p>
          <w:p w:rsidR="00C93DC8" w:rsidRPr="00C93DC8" w:rsidRDefault="00C93DC8" w:rsidP="00C93DC8">
            <w:pPr>
              <w:jc w:val="both"/>
              <w:rPr>
                <w:sz w:val="20"/>
              </w:rPr>
            </w:pPr>
          </w:p>
        </w:tc>
        <w:tc>
          <w:tcPr>
            <w:tcW w:w="243" w:type="pct"/>
          </w:tcPr>
          <w:p w:rsidR="00C93DC8" w:rsidRPr="00C93DC8" w:rsidRDefault="00C93DC8" w:rsidP="00C93DC8">
            <w:pPr>
              <w:jc w:val="both"/>
              <w:rPr>
                <w:sz w:val="20"/>
              </w:rPr>
            </w:pPr>
          </w:p>
        </w:tc>
        <w:tc>
          <w:tcPr>
            <w:tcW w:w="2330" w:type="pct"/>
          </w:tcPr>
          <w:p w:rsidR="00C93DC8" w:rsidRPr="00C93DC8" w:rsidRDefault="00C93DC8" w:rsidP="00C93DC8">
            <w:pPr>
              <w:jc w:val="both"/>
              <w:rPr>
                <w:sz w:val="20"/>
              </w:rPr>
            </w:pPr>
            <w:r w:rsidRPr="00C93DC8">
              <w:rPr>
                <w:sz w:val="20"/>
              </w:rPr>
              <w:t>Action regarding claims of discrimination and harassment arising from Hentrose Nelson’s employment is dismissed on the ground that the court has no jurisdiction over the subject matter of the action.</w:t>
            </w:r>
          </w:p>
          <w:p w:rsidR="00C93DC8" w:rsidRPr="00C93DC8" w:rsidRDefault="00C93DC8" w:rsidP="00C93DC8">
            <w:pPr>
              <w:jc w:val="both"/>
              <w:rPr>
                <w:sz w:val="20"/>
              </w:rPr>
            </w:pPr>
          </w:p>
        </w:tc>
      </w:tr>
      <w:tr w:rsidR="00C93DC8" w:rsidRPr="00C93DC8" w:rsidTr="00E95A6A">
        <w:tc>
          <w:tcPr>
            <w:tcW w:w="2427" w:type="pct"/>
            <w:gridSpan w:val="2"/>
          </w:tcPr>
          <w:p w:rsidR="00C93DC8" w:rsidRPr="00C93DC8" w:rsidRDefault="00C93DC8" w:rsidP="00C93DC8">
            <w:pPr>
              <w:jc w:val="both"/>
              <w:rPr>
                <w:sz w:val="20"/>
              </w:rPr>
            </w:pPr>
            <w:r w:rsidRPr="00C93DC8">
              <w:rPr>
                <w:sz w:val="20"/>
              </w:rPr>
              <w:t>November 30, 2020</w:t>
            </w:r>
          </w:p>
          <w:p w:rsidR="00C93DC8" w:rsidRPr="00C93DC8" w:rsidRDefault="00C93DC8" w:rsidP="00C93DC8">
            <w:pPr>
              <w:jc w:val="both"/>
              <w:rPr>
                <w:sz w:val="20"/>
              </w:rPr>
            </w:pPr>
            <w:r w:rsidRPr="00C93DC8">
              <w:rPr>
                <w:sz w:val="20"/>
              </w:rPr>
              <w:t>Court of Appeal for Ontario</w:t>
            </w:r>
          </w:p>
          <w:p w:rsidR="00C93DC8" w:rsidRPr="00C93DC8" w:rsidRDefault="00C93DC8" w:rsidP="00C93DC8">
            <w:pPr>
              <w:jc w:val="both"/>
              <w:rPr>
                <w:sz w:val="20"/>
              </w:rPr>
            </w:pPr>
            <w:r w:rsidRPr="00C93DC8">
              <w:rPr>
                <w:sz w:val="20"/>
              </w:rPr>
              <w:t>(Hoy, Brown and Thorburn JJ.A.)</w:t>
            </w:r>
          </w:p>
          <w:p w:rsidR="00C93DC8" w:rsidRPr="00C93DC8" w:rsidRDefault="00C93DC8" w:rsidP="00C93DC8">
            <w:pPr>
              <w:jc w:val="both"/>
              <w:rPr>
                <w:sz w:val="20"/>
              </w:rPr>
            </w:pPr>
            <w:r w:rsidRPr="00C93DC8">
              <w:rPr>
                <w:sz w:val="20"/>
              </w:rPr>
              <w:t>File No.: C68333</w:t>
            </w:r>
          </w:p>
          <w:p w:rsidR="00C93DC8" w:rsidRPr="00C93DC8" w:rsidRDefault="00A254E1" w:rsidP="00C93DC8">
            <w:pPr>
              <w:jc w:val="both"/>
              <w:rPr>
                <w:sz w:val="20"/>
              </w:rPr>
            </w:pPr>
            <w:hyperlink r:id="rId21" w:history="1">
              <w:r w:rsidR="00C93DC8" w:rsidRPr="00C93DC8">
                <w:rPr>
                  <w:rStyle w:val="Hyperlink"/>
                  <w:sz w:val="20"/>
                </w:rPr>
                <w:t>2020 ONCA 751</w:t>
              </w:r>
            </w:hyperlink>
          </w:p>
          <w:p w:rsidR="00C93DC8" w:rsidRPr="00C93DC8" w:rsidRDefault="00C93DC8" w:rsidP="00C93DC8">
            <w:pPr>
              <w:jc w:val="both"/>
              <w:rPr>
                <w:sz w:val="20"/>
              </w:rPr>
            </w:pPr>
          </w:p>
        </w:tc>
        <w:tc>
          <w:tcPr>
            <w:tcW w:w="243" w:type="pct"/>
          </w:tcPr>
          <w:p w:rsidR="00C93DC8" w:rsidRPr="00C93DC8" w:rsidRDefault="00C93DC8" w:rsidP="00C93DC8">
            <w:pPr>
              <w:jc w:val="both"/>
              <w:rPr>
                <w:sz w:val="20"/>
              </w:rPr>
            </w:pPr>
          </w:p>
        </w:tc>
        <w:tc>
          <w:tcPr>
            <w:tcW w:w="2330" w:type="pct"/>
          </w:tcPr>
          <w:p w:rsidR="00C93DC8" w:rsidRPr="00C93DC8" w:rsidRDefault="00C93DC8" w:rsidP="00C93DC8">
            <w:pPr>
              <w:jc w:val="both"/>
              <w:rPr>
                <w:sz w:val="20"/>
              </w:rPr>
            </w:pPr>
            <w:r w:rsidRPr="00C93DC8">
              <w:rPr>
                <w:sz w:val="20"/>
              </w:rPr>
              <w:t>Appeal against the decision of the Ontario Superior Court of Justice is dismissed.</w:t>
            </w:r>
          </w:p>
        </w:tc>
      </w:tr>
      <w:tr w:rsidR="00C93DC8" w:rsidRPr="00C93DC8" w:rsidTr="00E95A6A">
        <w:tc>
          <w:tcPr>
            <w:tcW w:w="2427" w:type="pct"/>
            <w:gridSpan w:val="2"/>
          </w:tcPr>
          <w:p w:rsidR="00C93DC8" w:rsidRPr="00C93DC8" w:rsidRDefault="00C93DC8" w:rsidP="00C93DC8">
            <w:pPr>
              <w:jc w:val="both"/>
              <w:rPr>
                <w:sz w:val="20"/>
              </w:rPr>
            </w:pPr>
            <w:r w:rsidRPr="00C93DC8">
              <w:rPr>
                <w:sz w:val="20"/>
              </w:rPr>
              <w:t>January 27, 2021</w:t>
            </w:r>
          </w:p>
          <w:p w:rsidR="00C93DC8" w:rsidRPr="00C93DC8" w:rsidRDefault="00C93DC8" w:rsidP="00C93DC8">
            <w:pPr>
              <w:jc w:val="both"/>
              <w:rPr>
                <w:sz w:val="20"/>
              </w:rPr>
            </w:pPr>
            <w:r w:rsidRPr="00C93DC8">
              <w:rPr>
                <w:sz w:val="20"/>
              </w:rPr>
              <w:t>Supreme Court of Canada</w:t>
            </w:r>
          </w:p>
        </w:tc>
        <w:tc>
          <w:tcPr>
            <w:tcW w:w="243" w:type="pct"/>
          </w:tcPr>
          <w:p w:rsidR="00C93DC8" w:rsidRPr="00C93DC8" w:rsidRDefault="00C93DC8" w:rsidP="00C93DC8">
            <w:pPr>
              <w:jc w:val="both"/>
              <w:rPr>
                <w:sz w:val="20"/>
              </w:rPr>
            </w:pPr>
          </w:p>
        </w:tc>
        <w:tc>
          <w:tcPr>
            <w:tcW w:w="2330" w:type="pct"/>
          </w:tcPr>
          <w:p w:rsidR="00C93DC8" w:rsidRPr="00C93DC8" w:rsidRDefault="00C93DC8" w:rsidP="00C93DC8">
            <w:pPr>
              <w:jc w:val="both"/>
              <w:rPr>
                <w:sz w:val="20"/>
              </w:rPr>
            </w:pPr>
            <w:r w:rsidRPr="00C93DC8">
              <w:rPr>
                <w:sz w:val="20"/>
              </w:rPr>
              <w:t>Application for leave to appeal filed.</w:t>
            </w:r>
          </w:p>
          <w:p w:rsidR="00C93DC8" w:rsidRPr="00C93DC8" w:rsidRDefault="00C93DC8" w:rsidP="00C93DC8">
            <w:pPr>
              <w:jc w:val="both"/>
              <w:rPr>
                <w:sz w:val="20"/>
              </w:rPr>
            </w:pPr>
          </w:p>
        </w:tc>
      </w:tr>
    </w:tbl>
    <w:p w:rsidR="00C93DC8" w:rsidRDefault="00C93DC8" w:rsidP="00C93DC8">
      <w:pPr>
        <w:jc w:val="both"/>
        <w:rPr>
          <w:sz w:val="20"/>
        </w:rPr>
      </w:pPr>
    </w:p>
    <w:p w:rsidR="00C93DC8" w:rsidRDefault="00A254E1" w:rsidP="00C93DC8">
      <w:pPr>
        <w:jc w:val="both"/>
        <w:rPr>
          <w:sz w:val="20"/>
        </w:rPr>
      </w:pPr>
      <w:r>
        <w:rPr>
          <w:sz w:val="20"/>
        </w:rPr>
        <w:pict>
          <v:rect id="_x0000_i1031" style="width:2in;height:1pt" o:hrpct="0" o:hralign="center" o:hrstd="t" o:hrnoshade="t" o:hr="t" fillcolor="black [3213]" stroked="f"/>
        </w:pict>
      </w:r>
    </w:p>
    <w:p w:rsidR="00C93DC8" w:rsidRPr="00C93DC8" w:rsidRDefault="00C93DC8" w:rsidP="00C93DC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3DC8" w:rsidRPr="00C93DC8" w:rsidTr="00E95A6A">
        <w:tc>
          <w:tcPr>
            <w:tcW w:w="543" w:type="pct"/>
          </w:tcPr>
          <w:p w:rsidR="00C93DC8" w:rsidRPr="00C93DC8" w:rsidRDefault="00C93DC8" w:rsidP="00C93DC8">
            <w:pPr>
              <w:jc w:val="both"/>
              <w:rPr>
                <w:sz w:val="20"/>
                <w:lang w:val="fr-CA"/>
              </w:rPr>
            </w:pPr>
            <w:r w:rsidRPr="00C93DC8">
              <w:rPr>
                <w:rStyle w:val="SCCFileNumberChar"/>
                <w:sz w:val="20"/>
                <w:szCs w:val="20"/>
                <w:lang w:val="fr-CA"/>
              </w:rPr>
              <w:t>39548</w:t>
            </w:r>
          </w:p>
        </w:tc>
        <w:tc>
          <w:tcPr>
            <w:tcW w:w="4457" w:type="pct"/>
            <w:gridSpan w:val="3"/>
          </w:tcPr>
          <w:p w:rsidR="00C93DC8" w:rsidRPr="00C93DC8" w:rsidRDefault="00C93DC8" w:rsidP="00C93DC8">
            <w:pPr>
              <w:pStyle w:val="SCCLsocParty"/>
              <w:jc w:val="both"/>
              <w:rPr>
                <w:b/>
                <w:sz w:val="20"/>
                <w:szCs w:val="20"/>
              </w:rPr>
            </w:pPr>
            <w:r w:rsidRPr="00C93DC8">
              <w:rPr>
                <w:b/>
                <w:sz w:val="20"/>
                <w:szCs w:val="20"/>
              </w:rPr>
              <w:t>Hentrose Nelson c. Sa Majesté la Reine du chef de l’Ontario, David Bulmer, à titre de représentant de l’</w:t>
            </w:r>
            <w:r w:rsidRPr="00C93DC8">
              <w:rPr>
                <w:b/>
                <w:bCs/>
                <w:sz w:val="20"/>
                <w:szCs w:val="20"/>
              </w:rPr>
              <w:t>Association des employées et employés gestionnaires, administratifs et professionnels de la Couronne</w:t>
            </w:r>
            <w:r w:rsidRPr="00C93DC8">
              <w:rPr>
                <w:b/>
                <w:sz w:val="20"/>
                <w:szCs w:val="20"/>
              </w:rPr>
              <w:t xml:space="preserve"> </w:t>
            </w:r>
          </w:p>
          <w:p w:rsidR="00C93DC8" w:rsidRPr="00C93DC8" w:rsidRDefault="00C93DC8" w:rsidP="00C93DC8">
            <w:pPr>
              <w:jc w:val="both"/>
              <w:rPr>
                <w:sz w:val="20"/>
                <w:lang w:val="fr-CA"/>
              </w:rPr>
            </w:pPr>
            <w:r w:rsidRPr="00C93DC8">
              <w:rPr>
                <w:sz w:val="20"/>
                <w:lang w:val="fr-CA"/>
              </w:rPr>
              <w:t>(Ont.) (Civile) (Sur autorisation)</w:t>
            </w:r>
          </w:p>
        </w:tc>
      </w:tr>
      <w:tr w:rsidR="00C93DC8" w:rsidRPr="00687DF9" w:rsidTr="00E95A6A">
        <w:tc>
          <w:tcPr>
            <w:tcW w:w="5000" w:type="pct"/>
            <w:gridSpan w:val="4"/>
          </w:tcPr>
          <w:p w:rsidR="00C93DC8" w:rsidRPr="00C93DC8" w:rsidRDefault="00C93DC8" w:rsidP="00C93DC8">
            <w:pPr>
              <w:jc w:val="both"/>
              <w:rPr>
                <w:sz w:val="20"/>
                <w:lang w:val="fr-CA"/>
              </w:rPr>
            </w:pPr>
            <w:r w:rsidRPr="00C93DC8">
              <w:rPr>
                <w:sz w:val="20"/>
                <w:lang w:val="fr-CA"/>
              </w:rPr>
              <w:t>Relations du travail — Convention collective — Plainte de discrimination et de harcèlement dans le cadre de l’emploi — Compétence — L’arrêt</w:t>
            </w:r>
            <w:r w:rsidRPr="00C93DC8">
              <w:rPr>
                <w:i/>
                <w:iCs/>
                <w:sz w:val="20"/>
                <w:lang w:val="fr-CA"/>
              </w:rPr>
              <w:t xml:space="preserve"> Weber</w:t>
            </w:r>
            <w:r w:rsidRPr="00C93DC8">
              <w:rPr>
                <w:sz w:val="20"/>
                <w:lang w:val="fr-CA"/>
              </w:rPr>
              <w:t xml:space="preserve"> </w:t>
            </w:r>
            <w:r w:rsidRPr="00C93DC8">
              <w:rPr>
                <w:i/>
                <w:iCs/>
                <w:sz w:val="20"/>
                <w:lang w:val="fr-CA"/>
              </w:rPr>
              <w:t>c. Ontario Hydro</w:t>
            </w:r>
            <w:r w:rsidRPr="00C93DC8">
              <w:rPr>
                <w:sz w:val="20"/>
                <w:lang w:val="fr-CA"/>
              </w:rPr>
              <w:t>, [1995] 2 R.C.S. 929, est</w:t>
            </w:r>
            <w:r w:rsidRPr="00C93DC8">
              <w:rPr>
                <w:sz w:val="20"/>
                <w:lang w:val="fr-CA"/>
              </w:rPr>
              <w:noBreakHyphen/>
              <w:t xml:space="preserve">il toujours pertinent étant donné les obstacles qu’il a occasionnés en matière d’accès à la justice, surtout en niant aux travailleurs autochtones, noirs et de couleur l’exercice de contrôle et de pouvoir sur la </w:t>
            </w:r>
            <w:r w:rsidRPr="00C93DC8">
              <w:rPr>
                <w:rFonts w:ascii="CG Times" w:hAnsi="CG Times"/>
                <w:spacing w:val="-3"/>
                <w:sz w:val="20"/>
                <w:lang w:val="fr-CA"/>
              </w:rPr>
              <w:t>procédure de règlement de différends</w:t>
            </w:r>
            <w:r w:rsidRPr="00C93DC8">
              <w:rPr>
                <w:sz w:val="20"/>
                <w:lang w:val="fr-CA"/>
              </w:rPr>
              <w:t>? — La décision de la législature de l’Ontario de permettre aux réclamants d’accéder directement aux tribunaux dans le cadre de différends en matière de droits de la personne s’applique-t-elle uniquement aux employés non syndiqués, en l’absence d’un libellé clair et exprès à cet égard? — Devrait</w:t>
            </w:r>
            <w:r w:rsidRPr="00C93DC8">
              <w:rPr>
                <w:sz w:val="20"/>
                <w:lang w:val="fr-CA"/>
              </w:rPr>
              <w:noBreakHyphen/>
              <w:t xml:space="preserve">il être interdit aux employés syndiqués du secteur public d’avoir accès aux tribunaux si la procédure relative aux griefs leur est hors de portée en pratique et le système du Tribunal des droits de la personne de l’Ontario regorge de délais et d’allégations de partialité? — </w:t>
            </w:r>
            <w:r w:rsidRPr="00C93DC8">
              <w:rPr>
                <w:i/>
                <w:sz w:val="20"/>
                <w:lang w:val="fr-CA"/>
              </w:rPr>
              <w:t>Code des droits de la personne</w:t>
            </w:r>
            <w:r w:rsidRPr="00C93DC8">
              <w:rPr>
                <w:sz w:val="20"/>
                <w:lang w:val="fr-CA"/>
              </w:rPr>
              <w:t xml:space="preserve">, L.S.O. 1990, c. H.19, art. 46.1 — </w:t>
            </w:r>
            <w:r w:rsidRPr="00C93DC8">
              <w:rPr>
                <w:i/>
                <w:iCs/>
                <w:sz w:val="20"/>
                <w:lang w:val="fr-CA"/>
              </w:rPr>
              <w:t>Loi de 1993 sur la négociation collective des employés de la Couronne</w:t>
            </w:r>
            <w:r w:rsidRPr="00C93DC8">
              <w:rPr>
                <w:i/>
                <w:sz w:val="20"/>
                <w:lang w:val="fr-CA"/>
              </w:rPr>
              <w:t xml:space="preserve">, </w:t>
            </w:r>
            <w:r w:rsidRPr="00C93DC8">
              <w:rPr>
                <w:sz w:val="20"/>
                <w:lang w:val="fr-CA"/>
              </w:rPr>
              <w:t>L.O. 1993, c. 38, par. 7(3).</w:t>
            </w:r>
          </w:p>
        </w:tc>
      </w:tr>
      <w:tr w:rsidR="00C93DC8" w:rsidRPr="00687DF9" w:rsidTr="00E95A6A">
        <w:tc>
          <w:tcPr>
            <w:tcW w:w="5000" w:type="pct"/>
            <w:gridSpan w:val="4"/>
          </w:tcPr>
          <w:p w:rsidR="00C93DC8" w:rsidRPr="00C93DC8" w:rsidRDefault="00C93DC8" w:rsidP="00C93DC8">
            <w:pPr>
              <w:jc w:val="both"/>
              <w:rPr>
                <w:sz w:val="20"/>
                <w:lang w:val="fr-CA"/>
              </w:rPr>
            </w:pPr>
          </w:p>
        </w:tc>
      </w:tr>
      <w:tr w:rsidR="00C93DC8" w:rsidRPr="00687DF9" w:rsidTr="00E95A6A">
        <w:tc>
          <w:tcPr>
            <w:tcW w:w="5000" w:type="pct"/>
            <w:gridSpan w:val="4"/>
          </w:tcPr>
          <w:p w:rsidR="00C93DC8" w:rsidRPr="00C93DC8" w:rsidRDefault="00C93DC8" w:rsidP="00C93DC8">
            <w:pPr>
              <w:jc w:val="both"/>
              <w:rPr>
                <w:sz w:val="20"/>
                <w:lang w:val="fr-CA"/>
              </w:rPr>
            </w:pPr>
            <w:r w:rsidRPr="00C93DC8">
              <w:rPr>
                <w:sz w:val="20"/>
                <w:lang w:val="fr-CA"/>
              </w:rPr>
              <w:t>La demanderesse, Hentrose Nelson, est une employée de la fonction publique de l’Ontario (« FPO ») et est membre de l’</w:t>
            </w:r>
            <w:r w:rsidRPr="00C93DC8">
              <w:rPr>
                <w:bCs/>
                <w:sz w:val="20"/>
                <w:lang w:val="fr-CA"/>
              </w:rPr>
              <w:t>Association des employées et employés gestionnaires, administratifs et professionnels de la Couronne</w:t>
            </w:r>
            <w:r w:rsidRPr="00C93DC8">
              <w:rPr>
                <w:sz w:val="20"/>
                <w:lang w:val="fr-CA"/>
              </w:rPr>
              <w:t xml:space="preserve"> (le « syndicat »). En février 2019, Mme Nelson a intenté une action civile devant la Cour supérieure de justice de l’Ontario contre la Couronne et le syndicat. Les plaintes de la demanderesse reposaient sur des allégations de discrimination et de harcèlement survenus dans le cadre de son emploi à la FPO. La Couronne et le syndicat ont demandé le rejet de l’action de Mme Nelson au motif que la cour n’a pas compétence pour entendre l’affaire. La Cour supérieure de justice de l’Ontario a convenu qu’elle n’avait pas compétence pour entendre l’affaire et a rejeté l’action. Mme Nelson a fait appel de la décision; toutefois, la Cour d’appel de l’Ontario a rejeté l’appel.</w:t>
            </w:r>
          </w:p>
          <w:p w:rsidR="00C93DC8" w:rsidRPr="00C93DC8" w:rsidRDefault="00C93DC8" w:rsidP="00C93DC8">
            <w:pPr>
              <w:jc w:val="both"/>
              <w:rPr>
                <w:sz w:val="20"/>
                <w:lang w:val="fr-CA"/>
              </w:rPr>
            </w:pPr>
          </w:p>
        </w:tc>
      </w:tr>
      <w:tr w:rsidR="00C93DC8" w:rsidRPr="00687DF9" w:rsidTr="00E95A6A">
        <w:tc>
          <w:tcPr>
            <w:tcW w:w="2427" w:type="pct"/>
            <w:gridSpan w:val="2"/>
          </w:tcPr>
          <w:p w:rsidR="00C93DC8" w:rsidRPr="00C93DC8" w:rsidRDefault="00C93DC8" w:rsidP="00C93DC8">
            <w:pPr>
              <w:jc w:val="both"/>
              <w:rPr>
                <w:sz w:val="20"/>
                <w:lang w:val="fr-CA"/>
              </w:rPr>
            </w:pPr>
            <w:r w:rsidRPr="00C93DC8">
              <w:rPr>
                <w:sz w:val="20"/>
                <w:lang w:val="fr-CA"/>
              </w:rPr>
              <w:t>7 avril 2020</w:t>
            </w:r>
          </w:p>
          <w:p w:rsidR="00C93DC8" w:rsidRPr="00C93DC8" w:rsidRDefault="00C93DC8" w:rsidP="00C93DC8">
            <w:pPr>
              <w:jc w:val="both"/>
              <w:rPr>
                <w:sz w:val="20"/>
                <w:lang w:val="fr-CA"/>
              </w:rPr>
            </w:pPr>
            <w:r w:rsidRPr="00C93DC8">
              <w:rPr>
                <w:sz w:val="20"/>
                <w:lang w:val="fr-CA"/>
              </w:rPr>
              <w:t xml:space="preserve">Cour supérieure de justice de l’Ontario </w:t>
            </w:r>
          </w:p>
          <w:p w:rsidR="00C93DC8" w:rsidRPr="00C93DC8" w:rsidRDefault="00C93DC8" w:rsidP="00C93DC8">
            <w:pPr>
              <w:jc w:val="both"/>
              <w:rPr>
                <w:sz w:val="20"/>
                <w:lang w:val="fr-CA"/>
              </w:rPr>
            </w:pPr>
            <w:r w:rsidRPr="00C93DC8">
              <w:rPr>
                <w:sz w:val="20"/>
                <w:lang w:val="fr-CA"/>
              </w:rPr>
              <w:t>(juge Schabas)</w:t>
            </w:r>
          </w:p>
          <w:p w:rsidR="00C93DC8" w:rsidRPr="00C93DC8" w:rsidRDefault="00C93DC8" w:rsidP="00C93DC8">
            <w:pPr>
              <w:jc w:val="both"/>
              <w:rPr>
                <w:sz w:val="20"/>
                <w:lang w:val="fr-CA"/>
              </w:rPr>
            </w:pPr>
            <w:r w:rsidRPr="00C93DC8">
              <w:rPr>
                <w:sz w:val="20"/>
                <w:lang w:val="fr-CA"/>
              </w:rPr>
              <w:t>N</w:t>
            </w:r>
            <w:r w:rsidRPr="00C93DC8">
              <w:rPr>
                <w:sz w:val="20"/>
                <w:vertAlign w:val="superscript"/>
                <w:lang w:val="fr-CA"/>
              </w:rPr>
              <w:t>o</w:t>
            </w:r>
            <w:r w:rsidRPr="00C93DC8">
              <w:rPr>
                <w:sz w:val="20"/>
                <w:lang w:val="fr-CA"/>
              </w:rPr>
              <w:t xml:space="preserve"> de dossier : CV</w:t>
            </w:r>
            <w:r w:rsidRPr="00C93DC8">
              <w:rPr>
                <w:sz w:val="20"/>
                <w:lang w:val="fr-CA"/>
              </w:rPr>
              <w:noBreakHyphen/>
              <w:t>19</w:t>
            </w:r>
            <w:r w:rsidRPr="00C93DC8">
              <w:rPr>
                <w:sz w:val="20"/>
                <w:lang w:val="fr-CA"/>
              </w:rPr>
              <w:noBreakHyphen/>
              <w:t>627331</w:t>
            </w:r>
          </w:p>
          <w:p w:rsidR="00C93DC8" w:rsidRPr="00C93DC8" w:rsidRDefault="00A254E1" w:rsidP="00C93DC8">
            <w:pPr>
              <w:jc w:val="both"/>
              <w:rPr>
                <w:color w:val="000000"/>
                <w:sz w:val="20"/>
                <w:shd w:val="clear" w:color="auto" w:fill="FFFFFF"/>
                <w:lang w:val="fr-CA"/>
              </w:rPr>
            </w:pPr>
            <w:hyperlink r:id="rId22" w:history="1">
              <w:r w:rsidR="00C93DC8" w:rsidRPr="00C93DC8">
                <w:rPr>
                  <w:rStyle w:val="Hyperlink"/>
                  <w:sz w:val="20"/>
                  <w:shd w:val="clear" w:color="auto" w:fill="FFFFFF"/>
                  <w:lang w:val="fr-CA"/>
                </w:rPr>
                <w:t>2020 ONSC 2147</w:t>
              </w:r>
            </w:hyperlink>
          </w:p>
          <w:p w:rsidR="00C93DC8" w:rsidRPr="00C93DC8" w:rsidRDefault="00C93DC8" w:rsidP="00C93DC8">
            <w:pPr>
              <w:jc w:val="both"/>
              <w:rPr>
                <w:sz w:val="20"/>
                <w:lang w:val="fr-CA"/>
              </w:rPr>
            </w:pPr>
          </w:p>
        </w:tc>
        <w:tc>
          <w:tcPr>
            <w:tcW w:w="243" w:type="pct"/>
          </w:tcPr>
          <w:p w:rsidR="00C93DC8" w:rsidRPr="00C93DC8" w:rsidRDefault="00C93DC8" w:rsidP="00C93DC8">
            <w:pPr>
              <w:jc w:val="both"/>
              <w:rPr>
                <w:sz w:val="20"/>
                <w:lang w:val="fr-CA"/>
              </w:rPr>
            </w:pPr>
          </w:p>
        </w:tc>
        <w:tc>
          <w:tcPr>
            <w:tcW w:w="2330" w:type="pct"/>
          </w:tcPr>
          <w:p w:rsidR="00C93DC8" w:rsidRPr="00C93DC8" w:rsidRDefault="00C93DC8" w:rsidP="00C93DC8">
            <w:pPr>
              <w:jc w:val="both"/>
              <w:rPr>
                <w:sz w:val="20"/>
                <w:lang w:val="fr-CA"/>
              </w:rPr>
            </w:pPr>
            <w:r w:rsidRPr="00C93DC8">
              <w:rPr>
                <w:sz w:val="20"/>
                <w:lang w:val="fr-CA"/>
              </w:rPr>
              <w:t>L’action portant sur des allégations de discrimination et de harcèlement survenus dans le cadre de l’emploi de Hentrose Nelson est rejetée au motif que la cour n’a pas compétence pour connaître de l’objet de l’action.</w:t>
            </w:r>
          </w:p>
          <w:p w:rsidR="00C93DC8" w:rsidRPr="00C93DC8" w:rsidRDefault="00C93DC8" w:rsidP="00C93DC8">
            <w:pPr>
              <w:jc w:val="both"/>
              <w:rPr>
                <w:sz w:val="20"/>
                <w:lang w:val="fr-CA"/>
              </w:rPr>
            </w:pPr>
          </w:p>
        </w:tc>
      </w:tr>
      <w:tr w:rsidR="00C93DC8" w:rsidRPr="00687DF9" w:rsidTr="00E95A6A">
        <w:tc>
          <w:tcPr>
            <w:tcW w:w="2427" w:type="pct"/>
            <w:gridSpan w:val="2"/>
          </w:tcPr>
          <w:p w:rsidR="00C93DC8" w:rsidRPr="00C93DC8" w:rsidRDefault="00C93DC8" w:rsidP="00C93DC8">
            <w:pPr>
              <w:jc w:val="both"/>
              <w:rPr>
                <w:sz w:val="20"/>
                <w:lang w:val="fr-CA"/>
              </w:rPr>
            </w:pPr>
            <w:r w:rsidRPr="00C93DC8">
              <w:rPr>
                <w:sz w:val="20"/>
                <w:lang w:val="fr-CA"/>
              </w:rPr>
              <w:t>30 novembre 2020</w:t>
            </w:r>
          </w:p>
          <w:p w:rsidR="00C93DC8" w:rsidRPr="00C93DC8" w:rsidRDefault="00C93DC8" w:rsidP="00C93DC8">
            <w:pPr>
              <w:jc w:val="both"/>
              <w:rPr>
                <w:sz w:val="20"/>
                <w:lang w:val="fr-CA"/>
              </w:rPr>
            </w:pPr>
            <w:r w:rsidRPr="00C93DC8">
              <w:rPr>
                <w:sz w:val="20"/>
                <w:lang w:val="fr-CA"/>
              </w:rPr>
              <w:t>Cour d’appel de l’Ontario</w:t>
            </w:r>
          </w:p>
          <w:p w:rsidR="00C93DC8" w:rsidRPr="00C93DC8" w:rsidRDefault="00C93DC8" w:rsidP="00C93DC8">
            <w:pPr>
              <w:jc w:val="both"/>
              <w:rPr>
                <w:sz w:val="20"/>
                <w:lang w:val="fr-CA"/>
              </w:rPr>
            </w:pPr>
            <w:r w:rsidRPr="00C93DC8">
              <w:rPr>
                <w:sz w:val="20"/>
                <w:lang w:val="fr-CA"/>
              </w:rPr>
              <w:t>(juges Hoy, Brown et Thorburn)</w:t>
            </w:r>
          </w:p>
          <w:p w:rsidR="00C93DC8" w:rsidRPr="00C93DC8" w:rsidRDefault="00C93DC8" w:rsidP="00C93DC8">
            <w:pPr>
              <w:jc w:val="both"/>
              <w:rPr>
                <w:sz w:val="20"/>
                <w:lang w:val="fr-CA"/>
              </w:rPr>
            </w:pPr>
            <w:r w:rsidRPr="00C93DC8">
              <w:rPr>
                <w:sz w:val="20"/>
                <w:lang w:val="fr-CA"/>
              </w:rPr>
              <w:t>N</w:t>
            </w:r>
            <w:r w:rsidRPr="00C93DC8">
              <w:rPr>
                <w:sz w:val="20"/>
                <w:vertAlign w:val="superscript"/>
                <w:lang w:val="fr-CA"/>
              </w:rPr>
              <w:t>o</w:t>
            </w:r>
            <w:r w:rsidRPr="00C93DC8">
              <w:rPr>
                <w:sz w:val="20"/>
                <w:lang w:val="fr-CA"/>
              </w:rPr>
              <w:t xml:space="preserve"> de dossier : C68333</w:t>
            </w:r>
          </w:p>
          <w:p w:rsidR="00C93DC8" w:rsidRPr="00C93DC8" w:rsidRDefault="00A254E1" w:rsidP="00C93DC8">
            <w:pPr>
              <w:jc w:val="both"/>
              <w:rPr>
                <w:sz w:val="20"/>
                <w:lang w:val="fr-CA"/>
              </w:rPr>
            </w:pPr>
            <w:hyperlink r:id="rId23" w:history="1">
              <w:r w:rsidR="00C93DC8" w:rsidRPr="00C93DC8">
                <w:rPr>
                  <w:rStyle w:val="Hyperlink"/>
                  <w:sz w:val="20"/>
                  <w:lang w:val="fr-CA"/>
                </w:rPr>
                <w:t>2020 ONCA 751</w:t>
              </w:r>
            </w:hyperlink>
          </w:p>
          <w:p w:rsidR="00C93DC8" w:rsidRPr="00C93DC8" w:rsidRDefault="00C93DC8" w:rsidP="00C93DC8">
            <w:pPr>
              <w:jc w:val="both"/>
              <w:rPr>
                <w:sz w:val="20"/>
                <w:lang w:val="fr-CA"/>
              </w:rPr>
            </w:pPr>
          </w:p>
        </w:tc>
        <w:tc>
          <w:tcPr>
            <w:tcW w:w="243" w:type="pct"/>
          </w:tcPr>
          <w:p w:rsidR="00C93DC8" w:rsidRPr="00C93DC8" w:rsidRDefault="00C93DC8" w:rsidP="00C93DC8">
            <w:pPr>
              <w:jc w:val="both"/>
              <w:rPr>
                <w:sz w:val="20"/>
                <w:lang w:val="fr-CA"/>
              </w:rPr>
            </w:pPr>
          </w:p>
        </w:tc>
        <w:tc>
          <w:tcPr>
            <w:tcW w:w="2330" w:type="pct"/>
          </w:tcPr>
          <w:p w:rsidR="00C93DC8" w:rsidRPr="00C93DC8" w:rsidRDefault="00C93DC8" w:rsidP="00C93DC8">
            <w:pPr>
              <w:jc w:val="both"/>
              <w:rPr>
                <w:sz w:val="20"/>
                <w:lang w:val="fr-CA"/>
              </w:rPr>
            </w:pPr>
            <w:r w:rsidRPr="00C93DC8">
              <w:rPr>
                <w:sz w:val="20"/>
                <w:lang w:val="fr-CA"/>
              </w:rPr>
              <w:t>L’appel de la décision de la Cour supérieure de justice de l’Ontario est rejeté.</w:t>
            </w:r>
          </w:p>
        </w:tc>
      </w:tr>
      <w:tr w:rsidR="00C93DC8" w:rsidRPr="00687DF9" w:rsidTr="00E95A6A">
        <w:tc>
          <w:tcPr>
            <w:tcW w:w="2427" w:type="pct"/>
            <w:gridSpan w:val="2"/>
          </w:tcPr>
          <w:p w:rsidR="00C93DC8" w:rsidRPr="00C93DC8" w:rsidRDefault="00C93DC8" w:rsidP="00C93DC8">
            <w:pPr>
              <w:jc w:val="both"/>
              <w:rPr>
                <w:sz w:val="20"/>
                <w:lang w:val="fr-CA"/>
              </w:rPr>
            </w:pPr>
            <w:r w:rsidRPr="00C93DC8">
              <w:rPr>
                <w:sz w:val="20"/>
                <w:lang w:val="fr-CA"/>
              </w:rPr>
              <w:t>27 janvier 2021</w:t>
            </w:r>
          </w:p>
          <w:p w:rsidR="00C93DC8" w:rsidRPr="00C93DC8" w:rsidRDefault="00C93DC8" w:rsidP="00C93DC8">
            <w:pPr>
              <w:jc w:val="both"/>
              <w:rPr>
                <w:sz w:val="20"/>
                <w:lang w:val="fr-CA"/>
              </w:rPr>
            </w:pPr>
            <w:r w:rsidRPr="00C93DC8">
              <w:rPr>
                <w:sz w:val="20"/>
                <w:lang w:val="fr-CA"/>
              </w:rPr>
              <w:t>Cour suprême du Canada</w:t>
            </w:r>
          </w:p>
        </w:tc>
        <w:tc>
          <w:tcPr>
            <w:tcW w:w="243" w:type="pct"/>
          </w:tcPr>
          <w:p w:rsidR="00C93DC8" w:rsidRPr="00C93DC8" w:rsidRDefault="00C93DC8" w:rsidP="00C93DC8">
            <w:pPr>
              <w:jc w:val="both"/>
              <w:rPr>
                <w:sz w:val="20"/>
                <w:lang w:val="fr-CA"/>
              </w:rPr>
            </w:pPr>
          </w:p>
        </w:tc>
        <w:tc>
          <w:tcPr>
            <w:tcW w:w="2330" w:type="pct"/>
          </w:tcPr>
          <w:p w:rsidR="00C93DC8" w:rsidRPr="00C93DC8" w:rsidRDefault="00C93DC8" w:rsidP="00C93DC8">
            <w:pPr>
              <w:jc w:val="both"/>
              <w:rPr>
                <w:sz w:val="20"/>
                <w:lang w:val="fr-CA"/>
              </w:rPr>
            </w:pPr>
            <w:r w:rsidRPr="00C93DC8">
              <w:rPr>
                <w:sz w:val="20"/>
                <w:lang w:val="fr-CA"/>
              </w:rPr>
              <w:t>La demande d’autorisation d’appel est présentée.</w:t>
            </w:r>
          </w:p>
          <w:p w:rsidR="00C93DC8" w:rsidRPr="00C93DC8" w:rsidRDefault="00C93DC8" w:rsidP="00C93DC8">
            <w:pPr>
              <w:jc w:val="both"/>
              <w:rPr>
                <w:sz w:val="20"/>
                <w:lang w:val="fr-CA"/>
              </w:rPr>
            </w:pPr>
          </w:p>
        </w:tc>
      </w:tr>
    </w:tbl>
    <w:p w:rsidR="00C93DC8" w:rsidRDefault="00C93DC8" w:rsidP="00090851">
      <w:pPr>
        <w:widowControl w:val="0"/>
        <w:tabs>
          <w:tab w:val="left" w:pos="3840"/>
        </w:tabs>
        <w:jc w:val="both"/>
        <w:rPr>
          <w:sz w:val="20"/>
          <w:lang w:val="fr-CA"/>
        </w:rPr>
      </w:pPr>
    </w:p>
    <w:p w:rsidR="00C93DC8" w:rsidRDefault="00A254E1" w:rsidP="00090851">
      <w:pPr>
        <w:widowControl w:val="0"/>
        <w:tabs>
          <w:tab w:val="left" w:pos="3840"/>
        </w:tabs>
        <w:jc w:val="both"/>
        <w:rPr>
          <w:sz w:val="20"/>
          <w:lang w:val="fr-CA"/>
        </w:rPr>
      </w:pPr>
      <w:r>
        <w:rPr>
          <w:sz w:val="20"/>
        </w:rPr>
        <w:pict>
          <v:rect id="_x0000_i1032" style="width:2in;height:1pt" o:hrpct="0" o:hralign="center" o:hrstd="t" o:hrnoshade="t" o:hr="t" fillcolor="black [3213]" stroked="f"/>
        </w:pict>
      </w:r>
    </w:p>
    <w:p w:rsidR="00C93DC8" w:rsidRPr="00090851" w:rsidRDefault="00C93DC8" w:rsidP="00090851">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90851" w:rsidRPr="00090851" w:rsidTr="00E95A6A">
        <w:tc>
          <w:tcPr>
            <w:tcW w:w="543" w:type="pct"/>
          </w:tcPr>
          <w:p w:rsidR="00090851" w:rsidRPr="00090851" w:rsidRDefault="00090851" w:rsidP="00090851">
            <w:pPr>
              <w:jc w:val="both"/>
              <w:rPr>
                <w:sz w:val="20"/>
              </w:rPr>
            </w:pPr>
            <w:r w:rsidRPr="00090851">
              <w:rPr>
                <w:rStyle w:val="SCCFileNumberChar"/>
                <w:sz w:val="20"/>
                <w:szCs w:val="20"/>
              </w:rPr>
              <w:t>39727</w:t>
            </w:r>
          </w:p>
        </w:tc>
        <w:tc>
          <w:tcPr>
            <w:tcW w:w="4457" w:type="pct"/>
            <w:gridSpan w:val="3"/>
          </w:tcPr>
          <w:p w:rsidR="00090851" w:rsidRPr="00090851" w:rsidRDefault="00090851" w:rsidP="00090851">
            <w:pPr>
              <w:pStyle w:val="SCCLsocParty"/>
              <w:jc w:val="both"/>
              <w:rPr>
                <w:b/>
                <w:sz w:val="20"/>
                <w:szCs w:val="20"/>
                <w:lang w:val="en-US"/>
              </w:rPr>
            </w:pPr>
            <w:r w:rsidRPr="00090851">
              <w:rPr>
                <w:b/>
                <w:sz w:val="20"/>
                <w:szCs w:val="20"/>
                <w:lang w:val="en-US"/>
              </w:rPr>
              <w:t>C.W.A.W. v. Her Majesty the Queen</w:t>
            </w:r>
          </w:p>
          <w:p w:rsidR="00090851" w:rsidRPr="00090851" w:rsidRDefault="00090851" w:rsidP="00090851">
            <w:pPr>
              <w:jc w:val="both"/>
              <w:rPr>
                <w:sz w:val="20"/>
              </w:rPr>
            </w:pPr>
            <w:r w:rsidRPr="00090851">
              <w:rPr>
                <w:sz w:val="20"/>
              </w:rPr>
              <w:t>(Sask.) (Criminal) (By Leave)</w:t>
            </w:r>
          </w:p>
        </w:tc>
      </w:tr>
      <w:tr w:rsidR="00090851" w:rsidRPr="00090851" w:rsidTr="00E95A6A">
        <w:tc>
          <w:tcPr>
            <w:tcW w:w="5000" w:type="pct"/>
            <w:gridSpan w:val="4"/>
          </w:tcPr>
          <w:p w:rsidR="00090851" w:rsidRPr="00090851" w:rsidRDefault="00090851" w:rsidP="00090851">
            <w:pPr>
              <w:pStyle w:val="SCCBanSummary"/>
              <w:rPr>
                <w:sz w:val="20"/>
                <w:szCs w:val="20"/>
              </w:rPr>
            </w:pPr>
            <w:r w:rsidRPr="00090851">
              <w:rPr>
                <w:sz w:val="20"/>
                <w:szCs w:val="20"/>
              </w:rPr>
              <w:t>(Publication ban in case) (Publication ban on party)</w:t>
            </w:r>
          </w:p>
          <w:p w:rsidR="00090851" w:rsidRPr="00090851" w:rsidRDefault="00090851" w:rsidP="00090851">
            <w:pPr>
              <w:jc w:val="both"/>
              <w:rPr>
                <w:sz w:val="20"/>
              </w:rPr>
            </w:pPr>
          </w:p>
          <w:p w:rsidR="00090851" w:rsidRPr="00090851" w:rsidRDefault="00090851" w:rsidP="00090851">
            <w:pPr>
              <w:jc w:val="both"/>
              <w:rPr>
                <w:sz w:val="20"/>
              </w:rPr>
            </w:pPr>
            <w:r w:rsidRPr="00090851">
              <w:rPr>
                <w:sz w:val="20"/>
              </w:rPr>
              <w:t>Criminal law — Reasonable verdict — Evidence — Whether conviction and acquittal are inconsistent verdicts — Whether trial judge failed to consider all elements of principle of reasonable doubt — Whether principle of reasonable doubt has been watered down in Saskatchewan?</w:t>
            </w:r>
          </w:p>
        </w:tc>
      </w:tr>
      <w:tr w:rsidR="00090851" w:rsidRPr="00090851" w:rsidTr="00E95A6A">
        <w:tc>
          <w:tcPr>
            <w:tcW w:w="5000" w:type="pct"/>
            <w:gridSpan w:val="4"/>
          </w:tcPr>
          <w:p w:rsidR="00090851" w:rsidRPr="00090851" w:rsidRDefault="00090851" w:rsidP="00090851">
            <w:pPr>
              <w:jc w:val="both"/>
              <w:rPr>
                <w:sz w:val="20"/>
              </w:rPr>
            </w:pPr>
          </w:p>
          <w:p w:rsidR="00090851" w:rsidRPr="00090851" w:rsidRDefault="00090851" w:rsidP="00090851">
            <w:pPr>
              <w:jc w:val="both"/>
              <w:rPr>
                <w:sz w:val="20"/>
              </w:rPr>
            </w:pPr>
            <w:r w:rsidRPr="00090851">
              <w:rPr>
                <w:sz w:val="20"/>
              </w:rPr>
              <w:t xml:space="preserve">CWAW was convicted of sexual touching based on a complainant’s testimony </w:t>
            </w:r>
            <w:r w:rsidRPr="00090851">
              <w:rPr>
                <w:spacing w:val="-3"/>
                <w:sz w:val="20"/>
              </w:rPr>
              <w:t>that CWAW touched her in a sexual manner on multiple occasions</w:t>
            </w:r>
            <w:r w:rsidRPr="00090851">
              <w:rPr>
                <w:sz w:val="20"/>
              </w:rPr>
              <w:t>. CWAW was acquitted on a count of sexual assault of the same complainant for conduct alleged to have occurred in a camper van. The complainant testified that she first had thought the conduct in the camper van had been a dream.  The trial judge held this raised a reasonable doubt in respect of that alleged conduct. The Court of Appeal dismissed an appeal from the convictions.</w:t>
            </w:r>
          </w:p>
        </w:tc>
      </w:tr>
      <w:tr w:rsidR="00090851" w:rsidRPr="00090851" w:rsidTr="00E95A6A">
        <w:tc>
          <w:tcPr>
            <w:tcW w:w="5000" w:type="pct"/>
            <w:gridSpan w:val="4"/>
          </w:tcPr>
          <w:p w:rsidR="00090851" w:rsidRPr="00090851" w:rsidRDefault="00090851" w:rsidP="00090851">
            <w:pPr>
              <w:jc w:val="both"/>
              <w:rPr>
                <w:sz w:val="20"/>
              </w:rPr>
            </w:pPr>
          </w:p>
        </w:tc>
      </w:tr>
      <w:tr w:rsidR="00090851" w:rsidRPr="00090851" w:rsidTr="00E95A6A">
        <w:tc>
          <w:tcPr>
            <w:tcW w:w="2427" w:type="pct"/>
            <w:gridSpan w:val="2"/>
          </w:tcPr>
          <w:p w:rsidR="00090851" w:rsidRPr="00090851" w:rsidRDefault="00090851" w:rsidP="00090851">
            <w:pPr>
              <w:jc w:val="both"/>
              <w:rPr>
                <w:sz w:val="20"/>
              </w:rPr>
            </w:pPr>
            <w:r w:rsidRPr="00090851">
              <w:rPr>
                <w:sz w:val="20"/>
              </w:rPr>
              <w:t>June 5, 2020</w:t>
            </w:r>
          </w:p>
          <w:p w:rsidR="00090851" w:rsidRPr="00090851" w:rsidRDefault="00090851" w:rsidP="00090851">
            <w:pPr>
              <w:jc w:val="both"/>
              <w:rPr>
                <w:sz w:val="20"/>
              </w:rPr>
            </w:pPr>
            <w:r w:rsidRPr="00090851">
              <w:rPr>
                <w:sz w:val="20"/>
              </w:rPr>
              <w:t>Court of Queen’s Bench of Saskatchewan</w:t>
            </w:r>
          </w:p>
          <w:p w:rsidR="00090851" w:rsidRPr="00090851" w:rsidRDefault="00090851" w:rsidP="00090851">
            <w:pPr>
              <w:jc w:val="both"/>
              <w:rPr>
                <w:sz w:val="20"/>
              </w:rPr>
            </w:pPr>
            <w:r w:rsidRPr="00090851">
              <w:rPr>
                <w:sz w:val="20"/>
              </w:rPr>
              <w:t>(Gabrielson J.)(Unreported)</w:t>
            </w:r>
          </w:p>
          <w:p w:rsidR="00090851" w:rsidRPr="00090851" w:rsidRDefault="00090851" w:rsidP="00090851">
            <w:pPr>
              <w:jc w:val="both"/>
              <w:rPr>
                <w:sz w:val="20"/>
              </w:rPr>
            </w:pPr>
            <w:r w:rsidRPr="00090851">
              <w:rPr>
                <w:sz w:val="20"/>
              </w:rPr>
              <w:t xml:space="preserve"> </w:t>
            </w: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rPr>
            </w:pPr>
            <w:r w:rsidRPr="00090851">
              <w:rPr>
                <w:sz w:val="20"/>
              </w:rPr>
              <w:t>Convictions for sexual touching; acquittal on count of sexual assault</w:t>
            </w:r>
          </w:p>
          <w:p w:rsidR="00090851" w:rsidRPr="00090851" w:rsidRDefault="00090851" w:rsidP="00090851">
            <w:pPr>
              <w:jc w:val="both"/>
              <w:rPr>
                <w:sz w:val="20"/>
              </w:rPr>
            </w:pPr>
          </w:p>
        </w:tc>
      </w:tr>
      <w:tr w:rsidR="00090851" w:rsidRPr="00090851" w:rsidTr="00E95A6A">
        <w:tc>
          <w:tcPr>
            <w:tcW w:w="2427" w:type="pct"/>
            <w:gridSpan w:val="2"/>
          </w:tcPr>
          <w:p w:rsidR="00090851" w:rsidRPr="00090851" w:rsidRDefault="00090851" w:rsidP="00090851">
            <w:pPr>
              <w:jc w:val="both"/>
              <w:rPr>
                <w:sz w:val="20"/>
              </w:rPr>
            </w:pPr>
            <w:r w:rsidRPr="00090851">
              <w:rPr>
                <w:sz w:val="20"/>
              </w:rPr>
              <w:t>April 16, 2021</w:t>
            </w:r>
          </w:p>
          <w:p w:rsidR="00090851" w:rsidRPr="00090851" w:rsidRDefault="00090851" w:rsidP="00090851">
            <w:pPr>
              <w:jc w:val="both"/>
              <w:rPr>
                <w:sz w:val="20"/>
              </w:rPr>
            </w:pPr>
            <w:r w:rsidRPr="00090851">
              <w:rPr>
                <w:sz w:val="20"/>
              </w:rPr>
              <w:t>Court of Appeal for Saskatchewan</w:t>
            </w:r>
          </w:p>
          <w:p w:rsidR="00090851" w:rsidRPr="00090851" w:rsidRDefault="00090851" w:rsidP="00090851">
            <w:pPr>
              <w:jc w:val="both"/>
              <w:rPr>
                <w:sz w:val="20"/>
              </w:rPr>
            </w:pPr>
            <w:r w:rsidRPr="00090851">
              <w:rPr>
                <w:sz w:val="20"/>
              </w:rPr>
              <w:t>(Ottenbreit, Whitmore, Leurer JJ.A.)</w:t>
            </w:r>
          </w:p>
          <w:p w:rsidR="00090851" w:rsidRPr="00090851" w:rsidRDefault="00090851" w:rsidP="00090851">
            <w:pPr>
              <w:jc w:val="both"/>
              <w:rPr>
                <w:sz w:val="20"/>
              </w:rPr>
            </w:pPr>
            <w:r w:rsidRPr="00090851">
              <w:rPr>
                <w:sz w:val="20"/>
              </w:rPr>
              <w:t>Unreported; CACR 3396</w:t>
            </w:r>
          </w:p>
          <w:p w:rsidR="00090851" w:rsidRPr="00090851" w:rsidRDefault="00090851" w:rsidP="00090851">
            <w:pPr>
              <w:jc w:val="both"/>
              <w:rPr>
                <w:sz w:val="20"/>
              </w:rPr>
            </w:pP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rPr>
            </w:pPr>
            <w:r w:rsidRPr="00090851">
              <w:rPr>
                <w:sz w:val="20"/>
              </w:rPr>
              <w:t>Appeal dismissed</w:t>
            </w:r>
          </w:p>
          <w:p w:rsidR="00090851" w:rsidRPr="00090851" w:rsidRDefault="00090851" w:rsidP="00090851">
            <w:pPr>
              <w:jc w:val="both"/>
              <w:rPr>
                <w:sz w:val="20"/>
              </w:rPr>
            </w:pPr>
          </w:p>
        </w:tc>
      </w:tr>
      <w:tr w:rsidR="00090851" w:rsidRPr="00090851" w:rsidTr="00E95A6A">
        <w:tc>
          <w:tcPr>
            <w:tcW w:w="2427" w:type="pct"/>
            <w:gridSpan w:val="2"/>
          </w:tcPr>
          <w:p w:rsidR="00090851" w:rsidRPr="00090851" w:rsidRDefault="00090851" w:rsidP="00090851">
            <w:pPr>
              <w:jc w:val="both"/>
              <w:rPr>
                <w:sz w:val="20"/>
              </w:rPr>
            </w:pPr>
            <w:r w:rsidRPr="00090851">
              <w:rPr>
                <w:sz w:val="20"/>
              </w:rPr>
              <w:t>June 4, 2021</w:t>
            </w:r>
          </w:p>
          <w:p w:rsidR="00090851" w:rsidRPr="00090851" w:rsidRDefault="00090851" w:rsidP="00090851">
            <w:pPr>
              <w:jc w:val="both"/>
              <w:rPr>
                <w:sz w:val="20"/>
              </w:rPr>
            </w:pPr>
            <w:r w:rsidRPr="00090851">
              <w:rPr>
                <w:sz w:val="20"/>
              </w:rPr>
              <w:t>Supreme Court of Canada</w:t>
            </w: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rPr>
            </w:pPr>
            <w:r w:rsidRPr="00090851">
              <w:rPr>
                <w:sz w:val="20"/>
              </w:rPr>
              <w:t>Application for leave to appeal filed</w:t>
            </w:r>
          </w:p>
          <w:p w:rsidR="00090851" w:rsidRPr="00090851" w:rsidRDefault="00090851" w:rsidP="00090851">
            <w:pPr>
              <w:jc w:val="both"/>
              <w:rPr>
                <w:sz w:val="20"/>
              </w:rPr>
            </w:pPr>
          </w:p>
        </w:tc>
      </w:tr>
    </w:tbl>
    <w:p w:rsidR="00090851" w:rsidRDefault="00090851" w:rsidP="00090851">
      <w:pPr>
        <w:jc w:val="both"/>
        <w:rPr>
          <w:sz w:val="20"/>
        </w:rPr>
      </w:pPr>
    </w:p>
    <w:p w:rsidR="00FB642B" w:rsidRDefault="00A254E1" w:rsidP="00090851">
      <w:pPr>
        <w:jc w:val="both"/>
        <w:rPr>
          <w:sz w:val="20"/>
        </w:rPr>
      </w:pPr>
      <w:r>
        <w:rPr>
          <w:sz w:val="20"/>
        </w:rPr>
        <w:pict>
          <v:rect id="_x0000_i1033" style="width:2in;height:1pt" o:hrpct="0" o:hralign="center" o:hrstd="t" o:hrnoshade="t" o:hr="t" fillcolor="black [3213]" stroked="f"/>
        </w:pict>
      </w:r>
    </w:p>
    <w:p w:rsidR="00FB642B" w:rsidRPr="00090851" w:rsidRDefault="00FB642B" w:rsidP="000908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90851" w:rsidRPr="00090851" w:rsidTr="00E95A6A">
        <w:tc>
          <w:tcPr>
            <w:tcW w:w="543" w:type="pct"/>
          </w:tcPr>
          <w:p w:rsidR="00090851" w:rsidRPr="00090851" w:rsidRDefault="00090851" w:rsidP="00090851">
            <w:pPr>
              <w:jc w:val="both"/>
              <w:rPr>
                <w:sz w:val="20"/>
                <w:lang w:val="fr-CA"/>
              </w:rPr>
            </w:pPr>
            <w:r w:rsidRPr="00090851">
              <w:rPr>
                <w:rStyle w:val="SCCFileNumberChar"/>
                <w:sz w:val="20"/>
                <w:szCs w:val="20"/>
                <w:lang w:val="fr-CA"/>
              </w:rPr>
              <w:t>39727</w:t>
            </w:r>
          </w:p>
        </w:tc>
        <w:tc>
          <w:tcPr>
            <w:tcW w:w="4457" w:type="pct"/>
            <w:gridSpan w:val="3"/>
          </w:tcPr>
          <w:p w:rsidR="00090851" w:rsidRPr="00FB642B" w:rsidRDefault="00090851" w:rsidP="00090851">
            <w:pPr>
              <w:pStyle w:val="SCCLsocParty"/>
              <w:jc w:val="both"/>
              <w:rPr>
                <w:b/>
                <w:sz w:val="20"/>
                <w:szCs w:val="20"/>
              </w:rPr>
            </w:pPr>
            <w:r w:rsidRPr="00FB642B">
              <w:rPr>
                <w:b/>
                <w:sz w:val="20"/>
                <w:szCs w:val="20"/>
              </w:rPr>
              <w:t>C.W.A.W. c. Sa Majesté la Reine</w:t>
            </w:r>
          </w:p>
          <w:p w:rsidR="00090851" w:rsidRPr="00090851" w:rsidRDefault="00090851" w:rsidP="00090851">
            <w:pPr>
              <w:jc w:val="both"/>
              <w:rPr>
                <w:sz w:val="20"/>
                <w:lang w:val="fr-CA"/>
              </w:rPr>
            </w:pPr>
            <w:r w:rsidRPr="00090851">
              <w:rPr>
                <w:sz w:val="20"/>
                <w:lang w:val="fr-CA"/>
              </w:rPr>
              <w:t>(Sask.) (Criminelle) (Sur autorisation)</w:t>
            </w:r>
          </w:p>
        </w:tc>
      </w:tr>
      <w:tr w:rsidR="00090851" w:rsidRPr="00687DF9" w:rsidTr="00E95A6A">
        <w:tc>
          <w:tcPr>
            <w:tcW w:w="5000" w:type="pct"/>
            <w:gridSpan w:val="4"/>
          </w:tcPr>
          <w:p w:rsidR="00090851" w:rsidRPr="00090851" w:rsidRDefault="00090851" w:rsidP="00090851">
            <w:pPr>
              <w:pStyle w:val="SCCBanSummary"/>
              <w:rPr>
                <w:sz w:val="20"/>
                <w:szCs w:val="20"/>
                <w:lang w:val="fr-CA"/>
              </w:rPr>
            </w:pPr>
            <w:r w:rsidRPr="00090851">
              <w:rPr>
                <w:sz w:val="20"/>
                <w:szCs w:val="20"/>
                <w:lang w:val="fr-CA"/>
              </w:rPr>
              <w:t>(Ordonnance de non</w:t>
            </w:r>
            <w:r w:rsidRPr="00090851">
              <w:rPr>
                <w:sz w:val="20"/>
                <w:szCs w:val="20"/>
                <w:lang w:val="fr-CA"/>
              </w:rPr>
              <w:noBreakHyphen/>
              <w:t>publication dans le dossier) (Ordonnance de non</w:t>
            </w:r>
            <w:r w:rsidRPr="00090851">
              <w:rPr>
                <w:sz w:val="20"/>
                <w:szCs w:val="20"/>
                <w:lang w:val="fr-CA"/>
              </w:rPr>
              <w:noBreakHyphen/>
              <w:t>publication visant une partie)</w:t>
            </w:r>
          </w:p>
          <w:p w:rsidR="00090851" w:rsidRPr="00090851" w:rsidRDefault="00090851" w:rsidP="00090851">
            <w:pPr>
              <w:jc w:val="both"/>
              <w:rPr>
                <w:sz w:val="20"/>
                <w:lang w:val="fr-CA"/>
              </w:rPr>
            </w:pPr>
          </w:p>
          <w:p w:rsidR="00090851" w:rsidRPr="00090851" w:rsidRDefault="00090851" w:rsidP="00090851">
            <w:pPr>
              <w:jc w:val="both"/>
              <w:rPr>
                <w:sz w:val="20"/>
                <w:lang w:val="fr-CA"/>
              </w:rPr>
            </w:pPr>
            <w:r w:rsidRPr="00090851">
              <w:rPr>
                <w:sz w:val="20"/>
                <w:lang w:val="fr-CA"/>
              </w:rPr>
              <w:t>Droit criminel — Verdict raisonnable — Preuve — Des verdicts de culpabilité et d’acquittement sont</w:t>
            </w:r>
            <w:r w:rsidRPr="00090851">
              <w:rPr>
                <w:sz w:val="20"/>
                <w:lang w:val="fr-CA"/>
              </w:rPr>
              <w:noBreakHyphen/>
              <w:t>ils incompatibles ? — Le juge du procès a</w:t>
            </w:r>
            <w:r w:rsidRPr="00090851">
              <w:rPr>
                <w:sz w:val="20"/>
                <w:lang w:val="fr-CA"/>
              </w:rPr>
              <w:noBreakHyphen/>
              <w:t>t</w:t>
            </w:r>
            <w:r w:rsidRPr="00090851">
              <w:rPr>
                <w:sz w:val="20"/>
                <w:lang w:val="fr-CA"/>
              </w:rPr>
              <w:noBreakHyphen/>
              <w:t>il omis de tenir compte de tous les éléments du principe du doute raisonnable ? — Le principe du doute raisonnable a</w:t>
            </w:r>
            <w:r w:rsidRPr="00090851">
              <w:rPr>
                <w:sz w:val="20"/>
                <w:lang w:val="fr-CA"/>
              </w:rPr>
              <w:noBreakHyphen/>
              <w:t>t</w:t>
            </w:r>
            <w:r w:rsidRPr="00090851">
              <w:rPr>
                <w:sz w:val="20"/>
                <w:lang w:val="fr-CA"/>
              </w:rPr>
              <w:noBreakHyphen/>
              <w:t>il été allégé en Saskatchewan ?</w:t>
            </w:r>
          </w:p>
        </w:tc>
      </w:tr>
      <w:tr w:rsidR="00090851" w:rsidRPr="00687DF9" w:rsidTr="00E95A6A">
        <w:tc>
          <w:tcPr>
            <w:tcW w:w="5000" w:type="pct"/>
            <w:gridSpan w:val="4"/>
          </w:tcPr>
          <w:p w:rsidR="00090851" w:rsidRPr="00090851" w:rsidRDefault="00090851" w:rsidP="00090851">
            <w:pPr>
              <w:jc w:val="both"/>
              <w:rPr>
                <w:sz w:val="20"/>
                <w:lang w:val="fr-CA"/>
              </w:rPr>
            </w:pPr>
          </w:p>
          <w:p w:rsidR="00090851" w:rsidRPr="00090851" w:rsidRDefault="00090851" w:rsidP="00090851">
            <w:pPr>
              <w:jc w:val="both"/>
              <w:rPr>
                <w:sz w:val="20"/>
                <w:lang w:val="fr-CA"/>
              </w:rPr>
            </w:pPr>
            <w:r w:rsidRPr="00090851">
              <w:rPr>
                <w:sz w:val="20"/>
                <w:lang w:val="fr-CA"/>
              </w:rPr>
              <w:t xml:space="preserve">CWAW a été déclaré coupable de contacts sexuels sur la foi du témoignage de la plaignante selon lequel </w:t>
            </w:r>
            <w:r w:rsidRPr="00090851">
              <w:rPr>
                <w:spacing w:val="-3"/>
                <w:sz w:val="20"/>
                <w:lang w:val="fr-CA"/>
              </w:rPr>
              <w:t>CWAW s’était livré à des attouchements sexuels sur elle à plusieurs reprises</w:t>
            </w:r>
            <w:r w:rsidRPr="00090851">
              <w:rPr>
                <w:sz w:val="20"/>
                <w:lang w:val="fr-CA"/>
              </w:rPr>
              <w:t>. CWAW a été acquitté d’un chef d’accusation d’agression sexuelle à l’endroit de la même plaignante à l’égard d’actes qui auraient été commis dans une fourgonnette de camping. La plaignante a témoigné qu’elle avait d’abord cru que les actes survenus dans la fourgonnette de camping étaient un rêve. Le juge du procès a conclu que cela soulevait un doute raisonnable quant aux actes reprochés. La Cour d’appel a rejeté l’appel des déclarations de culpabilité.</w:t>
            </w:r>
          </w:p>
        </w:tc>
      </w:tr>
      <w:tr w:rsidR="00090851" w:rsidRPr="00687DF9" w:rsidTr="00E95A6A">
        <w:tc>
          <w:tcPr>
            <w:tcW w:w="5000" w:type="pct"/>
            <w:gridSpan w:val="4"/>
          </w:tcPr>
          <w:p w:rsidR="00090851" w:rsidRPr="00090851" w:rsidRDefault="00090851" w:rsidP="00090851">
            <w:pPr>
              <w:jc w:val="both"/>
              <w:rPr>
                <w:sz w:val="20"/>
                <w:lang w:val="fr-CA"/>
              </w:rPr>
            </w:pPr>
          </w:p>
        </w:tc>
      </w:tr>
      <w:tr w:rsidR="00090851" w:rsidRPr="00687DF9" w:rsidTr="00E95A6A">
        <w:tc>
          <w:tcPr>
            <w:tcW w:w="2427" w:type="pct"/>
            <w:gridSpan w:val="2"/>
          </w:tcPr>
          <w:p w:rsidR="00090851" w:rsidRPr="00090851" w:rsidRDefault="00090851" w:rsidP="00090851">
            <w:pPr>
              <w:jc w:val="both"/>
              <w:rPr>
                <w:sz w:val="20"/>
                <w:lang w:val="fr-CA"/>
              </w:rPr>
            </w:pPr>
            <w:r w:rsidRPr="00090851">
              <w:rPr>
                <w:sz w:val="20"/>
                <w:lang w:val="fr-CA"/>
              </w:rPr>
              <w:t>5 juin 2020</w:t>
            </w:r>
          </w:p>
          <w:p w:rsidR="00090851" w:rsidRPr="00090851" w:rsidRDefault="00090851" w:rsidP="00090851">
            <w:pPr>
              <w:jc w:val="both"/>
              <w:rPr>
                <w:sz w:val="20"/>
                <w:lang w:val="fr-CA"/>
              </w:rPr>
            </w:pPr>
            <w:r w:rsidRPr="00090851">
              <w:rPr>
                <w:sz w:val="20"/>
                <w:lang w:val="fr-CA"/>
              </w:rPr>
              <w:t>Cour du Banc de la Reine de la Saskatchewan</w:t>
            </w:r>
          </w:p>
          <w:p w:rsidR="00090851" w:rsidRPr="00090851" w:rsidRDefault="00090851" w:rsidP="00090851">
            <w:pPr>
              <w:jc w:val="both"/>
              <w:rPr>
                <w:sz w:val="20"/>
                <w:lang w:val="fr-CA"/>
              </w:rPr>
            </w:pPr>
            <w:r w:rsidRPr="00090851">
              <w:rPr>
                <w:sz w:val="20"/>
                <w:lang w:val="fr-CA"/>
              </w:rPr>
              <w:t>(juge Gabrielson) (non publié)</w:t>
            </w:r>
          </w:p>
          <w:p w:rsidR="00090851" w:rsidRPr="00090851" w:rsidRDefault="00090851" w:rsidP="00090851">
            <w:pPr>
              <w:jc w:val="both"/>
              <w:rPr>
                <w:sz w:val="20"/>
                <w:lang w:val="fr-CA"/>
              </w:rPr>
            </w:pPr>
            <w:r w:rsidRPr="00090851">
              <w:rPr>
                <w:sz w:val="20"/>
                <w:lang w:val="fr-CA"/>
              </w:rPr>
              <w:t xml:space="preserve"> </w:t>
            </w:r>
          </w:p>
        </w:tc>
        <w:tc>
          <w:tcPr>
            <w:tcW w:w="243" w:type="pct"/>
          </w:tcPr>
          <w:p w:rsidR="00090851" w:rsidRPr="00090851" w:rsidRDefault="00090851" w:rsidP="00090851">
            <w:pPr>
              <w:jc w:val="both"/>
              <w:rPr>
                <w:sz w:val="20"/>
                <w:lang w:val="fr-CA"/>
              </w:rPr>
            </w:pPr>
          </w:p>
        </w:tc>
        <w:tc>
          <w:tcPr>
            <w:tcW w:w="2330" w:type="pct"/>
          </w:tcPr>
          <w:p w:rsidR="00090851" w:rsidRPr="00090851" w:rsidRDefault="00090851" w:rsidP="00090851">
            <w:pPr>
              <w:jc w:val="both"/>
              <w:rPr>
                <w:sz w:val="20"/>
                <w:lang w:val="fr-CA"/>
              </w:rPr>
            </w:pPr>
            <w:r w:rsidRPr="00090851">
              <w:rPr>
                <w:sz w:val="20"/>
                <w:lang w:val="fr-CA"/>
              </w:rPr>
              <w:t>Déclarations de culpabilité pour contacts sexuels; acquittement relativement au chef d’accusation d’agression sexuelle</w:t>
            </w:r>
          </w:p>
          <w:p w:rsidR="00090851" w:rsidRPr="00090851" w:rsidRDefault="00090851" w:rsidP="00090851">
            <w:pPr>
              <w:jc w:val="both"/>
              <w:rPr>
                <w:sz w:val="20"/>
                <w:lang w:val="fr-CA"/>
              </w:rPr>
            </w:pPr>
          </w:p>
        </w:tc>
      </w:tr>
      <w:tr w:rsidR="00090851" w:rsidRPr="00090851" w:rsidTr="00E95A6A">
        <w:tc>
          <w:tcPr>
            <w:tcW w:w="2427" w:type="pct"/>
            <w:gridSpan w:val="2"/>
          </w:tcPr>
          <w:p w:rsidR="00090851" w:rsidRPr="00090851" w:rsidRDefault="00090851" w:rsidP="00090851">
            <w:pPr>
              <w:jc w:val="both"/>
              <w:rPr>
                <w:sz w:val="20"/>
                <w:lang w:val="fr-CA"/>
              </w:rPr>
            </w:pPr>
            <w:r w:rsidRPr="00090851">
              <w:rPr>
                <w:sz w:val="20"/>
                <w:lang w:val="fr-CA"/>
              </w:rPr>
              <w:t>16 avril 2021</w:t>
            </w:r>
          </w:p>
          <w:p w:rsidR="00090851" w:rsidRPr="00090851" w:rsidRDefault="00090851" w:rsidP="00090851">
            <w:pPr>
              <w:jc w:val="both"/>
              <w:rPr>
                <w:sz w:val="20"/>
                <w:lang w:val="fr-CA"/>
              </w:rPr>
            </w:pPr>
            <w:r w:rsidRPr="00090851">
              <w:rPr>
                <w:sz w:val="20"/>
                <w:lang w:val="fr-CA"/>
              </w:rPr>
              <w:t>Cour d’appel de la Saskatchewan</w:t>
            </w:r>
          </w:p>
          <w:p w:rsidR="00090851" w:rsidRPr="00090851" w:rsidRDefault="00090851" w:rsidP="00090851">
            <w:pPr>
              <w:jc w:val="both"/>
              <w:rPr>
                <w:sz w:val="20"/>
                <w:lang w:val="fr-CA"/>
              </w:rPr>
            </w:pPr>
            <w:r w:rsidRPr="00090851">
              <w:rPr>
                <w:sz w:val="20"/>
                <w:lang w:val="fr-CA"/>
              </w:rPr>
              <w:t>(juges Ottenbreit, Whitmore, Leurer)</w:t>
            </w:r>
          </w:p>
          <w:p w:rsidR="00090851" w:rsidRPr="00090851" w:rsidRDefault="00090851" w:rsidP="00090851">
            <w:pPr>
              <w:jc w:val="both"/>
              <w:rPr>
                <w:sz w:val="20"/>
                <w:lang w:val="fr-CA"/>
              </w:rPr>
            </w:pPr>
            <w:r w:rsidRPr="00090851">
              <w:rPr>
                <w:sz w:val="20"/>
                <w:lang w:val="fr-CA"/>
              </w:rPr>
              <w:t>Non publié; CACR 3396</w:t>
            </w:r>
          </w:p>
          <w:p w:rsidR="00090851" w:rsidRPr="00090851" w:rsidRDefault="00090851" w:rsidP="00090851">
            <w:pPr>
              <w:jc w:val="both"/>
              <w:rPr>
                <w:sz w:val="20"/>
                <w:lang w:val="fr-CA"/>
              </w:rPr>
            </w:pPr>
          </w:p>
        </w:tc>
        <w:tc>
          <w:tcPr>
            <w:tcW w:w="243" w:type="pct"/>
          </w:tcPr>
          <w:p w:rsidR="00090851" w:rsidRPr="00090851" w:rsidRDefault="00090851" w:rsidP="00090851">
            <w:pPr>
              <w:jc w:val="both"/>
              <w:rPr>
                <w:sz w:val="20"/>
                <w:lang w:val="fr-CA"/>
              </w:rPr>
            </w:pPr>
          </w:p>
        </w:tc>
        <w:tc>
          <w:tcPr>
            <w:tcW w:w="2330" w:type="pct"/>
          </w:tcPr>
          <w:p w:rsidR="00090851" w:rsidRPr="00090851" w:rsidRDefault="00090851" w:rsidP="00090851">
            <w:pPr>
              <w:jc w:val="both"/>
              <w:rPr>
                <w:sz w:val="20"/>
                <w:lang w:val="fr-CA"/>
              </w:rPr>
            </w:pPr>
            <w:r w:rsidRPr="00090851">
              <w:rPr>
                <w:sz w:val="20"/>
                <w:lang w:val="fr-CA"/>
              </w:rPr>
              <w:t>Appel rejeté</w:t>
            </w:r>
          </w:p>
          <w:p w:rsidR="00090851" w:rsidRPr="00090851" w:rsidRDefault="00090851" w:rsidP="00090851">
            <w:pPr>
              <w:jc w:val="both"/>
              <w:rPr>
                <w:sz w:val="20"/>
                <w:lang w:val="fr-CA"/>
              </w:rPr>
            </w:pPr>
          </w:p>
        </w:tc>
      </w:tr>
      <w:tr w:rsidR="00090851" w:rsidRPr="00090851" w:rsidTr="00E95A6A">
        <w:tc>
          <w:tcPr>
            <w:tcW w:w="2427" w:type="pct"/>
            <w:gridSpan w:val="2"/>
          </w:tcPr>
          <w:p w:rsidR="00090851" w:rsidRPr="00090851" w:rsidRDefault="00090851" w:rsidP="00090851">
            <w:pPr>
              <w:jc w:val="both"/>
              <w:rPr>
                <w:sz w:val="20"/>
                <w:lang w:val="fr-CA"/>
              </w:rPr>
            </w:pPr>
            <w:r w:rsidRPr="00090851">
              <w:rPr>
                <w:sz w:val="20"/>
                <w:lang w:val="fr-CA"/>
              </w:rPr>
              <w:t>4 juin 2021</w:t>
            </w:r>
          </w:p>
          <w:p w:rsidR="00090851" w:rsidRPr="00090851" w:rsidRDefault="00090851" w:rsidP="00090851">
            <w:pPr>
              <w:jc w:val="both"/>
              <w:rPr>
                <w:sz w:val="20"/>
                <w:lang w:val="fr-CA"/>
              </w:rPr>
            </w:pPr>
            <w:r w:rsidRPr="00090851">
              <w:rPr>
                <w:sz w:val="20"/>
                <w:lang w:val="fr-CA"/>
              </w:rPr>
              <w:t>Cour suprême du Canada</w:t>
            </w:r>
          </w:p>
        </w:tc>
        <w:tc>
          <w:tcPr>
            <w:tcW w:w="243" w:type="pct"/>
          </w:tcPr>
          <w:p w:rsidR="00090851" w:rsidRPr="00090851" w:rsidRDefault="00090851" w:rsidP="00090851">
            <w:pPr>
              <w:jc w:val="both"/>
              <w:rPr>
                <w:sz w:val="20"/>
                <w:lang w:val="fr-CA"/>
              </w:rPr>
            </w:pPr>
          </w:p>
        </w:tc>
        <w:tc>
          <w:tcPr>
            <w:tcW w:w="2330" w:type="pct"/>
          </w:tcPr>
          <w:p w:rsidR="00090851" w:rsidRPr="00090851" w:rsidRDefault="00090851" w:rsidP="00090851">
            <w:pPr>
              <w:jc w:val="both"/>
              <w:rPr>
                <w:sz w:val="20"/>
                <w:lang w:val="fr-CA"/>
              </w:rPr>
            </w:pPr>
            <w:r w:rsidRPr="00090851">
              <w:rPr>
                <w:sz w:val="20"/>
                <w:lang w:val="fr-CA"/>
              </w:rPr>
              <w:t>Demande d’autorisation d’appel présentée</w:t>
            </w:r>
          </w:p>
          <w:p w:rsidR="00090851" w:rsidRPr="00090851" w:rsidRDefault="00090851" w:rsidP="00090851">
            <w:pPr>
              <w:jc w:val="both"/>
              <w:rPr>
                <w:sz w:val="20"/>
                <w:lang w:val="fr-CA"/>
              </w:rPr>
            </w:pPr>
          </w:p>
        </w:tc>
      </w:tr>
    </w:tbl>
    <w:p w:rsidR="00090851" w:rsidRDefault="00090851" w:rsidP="00090851">
      <w:pPr>
        <w:jc w:val="both"/>
        <w:rPr>
          <w:sz w:val="20"/>
          <w:lang w:val="fr-CA"/>
        </w:rPr>
      </w:pPr>
    </w:p>
    <w:p w:rsidR="00FB642B" w:rsidRPr="00090851" w:rsidRDefault="00A254E1" w:rsidP="00090851">
      <w:pPr>
        <w:jc w:val="both"/>
        <w:rPr>
          <w:sz w:val="20"/>
          <w:lang w:val="fr-CA"/>
        </w:rPr>
      </w:pPr>
      <w:r>
        <w:rPr>
          <w:sz w:val="20"/>
        </w:rPr>
        <w:pict>
          <v:rect id="_x0000_i1034" style="width:2in;height:1pt" o:hrpct="0" o:hralign="center" o:hrstd="t" o:hrnoshade="t" o:hr="t" fillcolor="black [3213]" stroked="f"/>
        </w:pict>
      </w:r>
    </w:p>
    <w:p w:rsidR="006D4676" w:rsidRPr="00090851" w:rsidRDefault="006D4676" w:rsidP="00090851">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90851" w:rsidRPr="00090851" w:rsidTr="00E95A6A">
        <w:tc>
          <w:tcPr>
            <w:tcW w:w="543" w:type="pct"/>
          </w:tcPr>
          <w:p w:rsidR="00090851" w:rsidRPr="00090851" w:rsidRDefault="00090851" w:rsidP="00090851">
            <w:pPr>
              <w:jc w:val="both"/>
              <w:rPr>
                <w:sz w:val="20"/>
              </w:rPr>
            </w:pPr>
            <w:r w:rsidRPr="00090851">
              <w:rPr>
                <w:rStyle w:val="SCCFileNumberChar"/>
                <w:sz w:val="20"/>
                <w:szCs w:val="20"/>
              </w:rPr>
              <w:t>39713</w:t>
            </w:r>
          </w:p>
        </w:tc>
        <w:tc>
          <w:tcPr>
            <w:tcW w:w="4457" w:type="pct"/>
            <w:gridSpan w:val="3"/>
          </w:tcPr>
          <w:p w:rsidR="00090851" w:rsidRPr="00FB642B" w:rsidRDefault="00090851" w:rsidP="00090851">
            <w:pPr>
              <w:pStyle w:val="SCCLsocParty"/>
              <w:jc w:val="both"/>
              <w:rPr>
                <w:b/>
                <w:sz w:val="20"/>
                <w:szCs w:val="20"/>
                <w:lang w:val="en-US"/>
              </w:rPr>
            </w:pPr>
            <w:r w:rsidRPr="00FB642B">
              <w:rPr>
                <w:b/>
                <w:sz w:val="20"/>
                <w:szCs w:val="20"/>
                <w:lang w:val="en-US"/>
              </w:rPr>
              <w:t>Enrico Iafolla v. Jolanta Lasota</w:t>
            </w:r>
          </w:p>
          <w:p w:rsidR="00090851" w:rsidRPr="00090851" w:rsidRDefault="00090851" w:rsidP="00090851">
            <w:pPr>
              <w:jc w:val="both"/>
              <w:rPr>
                <w:sz w:val="20"/>
              </w:rPr>
            </w:pPr>
            <w:r w:rsidRPr="00090851">
              <w:rPr>
                <w:sz w:val="20"/>
              </w:rPr>
              <w:t>(Ont.) (Civil) (By Leave)</w:t>
            </w:r>
          </w:p>
        </w:tc>
      </w:tr>
      <w:tr w:rsidR="00090851" w:rsidRPr="00090851" w:rsidTr="00E95A6A">
        <w:tc>
          <w:tcPr>
            <w:tcW w:w="5000" w:type="pct"/>
            <w:gridSpan w:val="4"/>
          </w:tcPr>
          <w:p w:rsidR="00090851" w:rsidRDefault="00090851" w:rsidP="00090851">
            <w:pPr>
              <w:jc w:val="both"/>
              <w:rPr>
                <w:sz w:val="20"/>
              </w:rPr>
            </w:pPr>
            <w:r w:rsidRPr="00090851">
              <w:rPr>
                <w:sz w:val="20"/>
              </w:rPr>
              <w:t>Courts — Jurisdiction — Court of Appeal remitting matter to  judge who issued divorce judgment to determine whether there had been a material change in circumstances — Whether the Court of Appeal has jurisdiction to step into the shoes of a litigant and direct a result that was not sought by either party — Whether the jurisdiction of the superior courts, and the appellate jurisdiction which derives from it, permit the courts to grant a remedy not sought or argued by the litigants at any stage of the proceedings — Whether the Court of Appeal has the jurisdiction to send a matter back to a proceeding not appealed from.</w:t>
            </w:r>
          </w:p>
          <w:p w:rsidR="00FB642B" w:rsidRPr="00090851" w:rsidRDefault="00FB642B" w:rsidP="00090851">
            <w:pPr>
              <w:jc w:val="both"/>
              <w:rPr>
                <w:sz w:val="20"/>
              </w:rPr>
            </w:pPr>
          </w:p>
        </w:tc>
      </w:tr>
      <w:tr w:rsidR="00090851" w:rsidRPr="00090851" w:rsidTr="00E95A6A">
        <w:tc>
          <w:tcPr>
            <w:tcW w:w="5000" w:type="pct"/>
            <w:gridSpan w:val="4"/>
          </w:tcPr>
          <w:p w:rsidR="00090851" w:rsidRDefault="00090851" w:rsidP="00090851">
            <w:pPr>
              <w:jc w:val="both"/>
              <w:rPr>
                <w:sz w:val="20"/>
                <w:lang w:val="en"/>
              </w:rPr>
            </w:pPr>
            <w:r w:rsidRPr="00090851">
              <w:rPr>
                <w:sz w:val="20"/>
              </w:rPr>
              <w:t>The applicant, Mr. Iafolla, was a judgment creditor of Ms. Lasota’s ex</w:t>
            </w:r>
            <w:r w:rsidRPr="00090851">
              <w:rPr>
                <w:sz w:val="20"/>
              </w:rPr>
              <w:noBreakHyphen/>
              <w:t xml:space="preserve">husband (Mr. Antonov), who was awarded a portion of the proceeds of sale from the matrimonial home in a Divorce Judgment.  Mr. Iafolla applied for a declaration that he was entitled to Mr. Antonov’s portion of the proceeds of sale under the </w:t>
            </w:r>
            <w:r w:rsidRPr="00090851">
              <w:rPr>
                <w:i/>
                <w:sz w:val="20"/>
              </w:rPr>
              <w:t>Creditor’s Relief Act,</w:t>
            </w:r>
            <w:r w:rsidRPr="00090851">
              <w:rPr>
                <w:sz w:val="20"/>
              </w:rPr>
              <w:t xml:space="preserve"> </w:t>
            </w:r>
            <w:r w:rsidRPr="00090851">
              <w:rPr>
                <w:i/>
                <w:iCs/>
                <w:sz w:val="20"/>
                <w:lang w:val="en"/>
              </w:rPr>
              <w:t>2010</w:t>
            </w:r>
            <w:r w:rsidRPr="00090851">
              <w:rPr>
                <w:sz w:val="20"/>
                <w:lang w:val="en"/>
              </w:rPr>
              <w:t>, S.O. 2010, c. C.16.</w:t>
            </w:r>
          </w:p>
          <w:p w:rsidR="00FB642B" w:rsidRPr="00090851" w:rsidRDefault="00FB642B" w:rsidP="00090851">
            <w:pPr>
              <w:jc w:val="both"/>
              <w:rPr>
                <w:sz w:val="20"/>
              </w:rPr>
            </w:pPr>
          </w:p>
          <w:p w:rsidR="00090851" w:rsidRDefault="00090851" w:rsidP="00FB642B">
            <w:pPr>
              <w:pStyle w:val="aparanumbering"/>
              <w:spacing w:before="0" w:beforeAutospacing="0" w:after="0" w:afterAutospacing="0"/>
              <w:jc w:val="both"/>
              <w:rPr>
                <w:sz w:val="20"/>
                <w:szCs w:val="20"/>
              </w:rPr>
            </w:pPr>
            <w:r w:rsidRPr="00090851">
              <w:rPr>
                <w:sz w:val="20"/>
                <w:szCs w:val="20"/>
              </w:rPr>
              <w:t>Before Ms. Lasota and Mr. Antonov separated, Mr. Antonov, an uninsured motorist, was involved in a motor vehicle accident with Mr. Iafolla. Mr. Iafolla obtained judgment against Mr. Antonov and he registered a writ against the matrimonial home in November, 2017.</w:t>
            </w:r>
          </w:p>
          <w:p w:rsidR="00FB642B" w:rsidRPr="00090851" w:rsidRDefault="00FB642B" w:rsidP="00FB642B">
            <w:pPr>
              <w:pStyle w:val="aparanumbering"/>
              <w:spacing w:before="0" w:beforeAutospacing="0" w:after="0" w:afterAutospacing="0"/>
              <w:jc w:val="both"/>
              <w:rPr>
                <w:sz w:val="20"/>
                <w:szCs w:val="20"/>
              </w:rPr>
            </w:pPr>
          </w:p>
          <w:p w:rsidR="00090851" w:rsidRPr="00090851" w:rsidRDefault="00090851" w:rsidP="00090851">
            <w:pPr>
              <w:jc w:val="both"/>
              <w:rPr>
                <w:sz w:val="20"/>
              </w:rPr>
            </w:pPr>
            <w:r w:rsidRPr="00090851">
              <w:rPr>
                <w:sz w:val="20"/>
              </w:rPr>
              <w:t xml:space="preserve">In uncontested divorce proceedings in July 2018, the divorce judge granted Ms. Lasota sole custody of the child of the marriage and ordered Mr. Antonov to pay monthly spousal and child support.  The matrimonial home was ordered to be sold and from Mr. Antonov’s share of the net proceeds, he was required to pay Ms. Lasota arrears of child support, an equalization payment and costs.  The remaining balance of his share was ordered to be held in trust as security for future child and spousal support obligations. At the time, the divorce judge was unaware of the writ. </w:t>
            </w:r>
          </w:p>
          <w:p w:rsidR="00090851" w:rsidRPr="00090851" w:rsidRDefault="00090851" w:rsidP="00090851">
            <w:pPr>
              <w:jc w:val="both"/>
              <w:rPr>
                <w:sz w:val="20"/>
              </w:rPr>
            </w:pPr>
          </w:p>
          <w:p w:rsidR="00090851" w:rsidRPr="00090851" w:rsidRDefault="00090851" w:rsidP="00090851">
            <w:pPr>
              <w:jc w:val="both"/>
              <w:rPr>
                <w:sz w:val="20"/>
              </w:rPr>
            </w:pPr>
            <w:r w:rsidRPr="00090851">
              <w:rPr>
                <w:sz w:val="20"/>
              </w:rPr>
              <w:t xml:space="preserve">Mr. Iafolla applied under the Ontario </w:t>
            </w:r>
            <w:r w:rsidRPr="00090851">
              <w:rPr>
                <w:i/>
                <w:sz w:val="20"/>
              </w:rPr>
              <w:t>Rules of Civil Procedure</w:t>
            </w:r>
            <w:r w:rsidRPr="00090851">
              <w:rPr>
                <w:sz w:val="20"/>
              </w:rPr>
              <w:t xml:space="preserve"> as a judgment creditor, asserting priority over the monies remaining in trust. </w:t>
            </w:r>
            <w:r w:rsidRPr="00090851">
              <w:rPr>
                <w:sz w:val="20"/>
                <w:lang w:val="en"/>
              </w:rPr>
              <w:t xml:space="preserve">The trial judge dismissed Mr. Iafolla’s application. The Court of Appeal allowed his appeal in part, and directed the matter back to the divorce judge to determine whether a material change in circumstances had occurred in light of the writ, to ensure that child support was in compliance with the provisions of the </w:t>
            </w:r>
            <w:hyperlink r:id="rId24" w:history="1">
              <w:r w:rsidRPr="00090851">
                <w:rPr>
                  <w:rStyle w:val="Hyperlink"/>
                  <w:rFonts w:eastAsiaTheme="majorEastAsia"/>
                  <w:i/>
                  <w:iCs/>
                  <w:sz w:val="20"/>
                  <w:lang w:val="en"/>
                </w:rPr>
                <w:t>Divorce Act</w:t>
              </w:r>
            </w:hyperlink>
            <w:r w:rsidRPr="00090851">
              <w:rPr>
                <w:sz w:val="20"/>
                <w:lang w:val="en"/>
              </w:rPr>
              <w:t>.</w:t>
            </w:r>
          </w:p>
        </w:tc>
      </w:tr>
      <w:tr w:rsidR="00090851" w:rsidRPr="00090851" w:rsidTr="00E95A6A">
        <w:tc>
          <w:tcPr>
            <w:tcW w:w="5000" w:type="pct"/>
            <w:gridSpan w:val="4"/>
          </w:tcPr>
          <w:p w:rsidR="00090851" w:rsidRPr="00090851" w:rsidRDefault="00090851" w:rsidP="00090851">
            <w:pPr>
              <w:jc w:val="both"/>
              <w:rPr>
                <w:sz w:val="20"/>
              </w:rPr>
            </w:pPr>
          </w:p>
        </w:tc>
      </w:tr>
      <w:tr w:rsidR="00090851" w:rsidRPr="00090851" w:rsidTr="00E95A6A">
        <w:tc>
          <w:tcPr>
            <w:tcW w:w="2427" w:type="pct"/>
            <w:gridSpan w:val="2"/>
          </w:tcPr>
          <w:p w:rsidR="00090851" w:rsidRPr="00090851" w:rsidRDefault="00090851" w:rsidP="00090851">
            <w:pPr>
              <w:jc w:val="both"/>
              <w:rPr>
                <w:sz w:val="20"/>
              </w:rPr>
            </w:pPr>
            <w:r w:rsidRPr="00090851">
              <w:rPr>
                <w:sz w:val="20"/>
              </w:rPr>
              <w:t>September 1, 2020</w:t>
            </w:r>
          </w:p>
          <w:p w:rsidR="00090851" w:rsidRPr="00090851" w:rsidRDefault="00090851" w:rsidP="00090851">
            <w:pPr>
              <w:jc w:val="both"/>
              <w:rPr>
                <w:sz w:val="20"/>
              </w:rPr>
            </w:pPr>
            <w:r w:rsidRPr="00090851">
              <w:rPr>
                <w:sz w:val="20"/>
              </w:rPr>
              <w:t>Ontario Superior Court of Justice</w:t>
            </w:r>
          </w:p>
          <w:p w:rsidR="00090851" w:rsidRPr="00090851" w:rsidRDefault="00090851" w:rsidP="00090851">
            <w:pPr>
              <w:jc w:val="both"/>
              <w:rPr>
                <w:sz w:val="20"/>
              </w:rPr>
            </w:pPr>
            <w:r w:rsidRPr="00090851">
              <w:rPr>
                <w:sz w:val="20"/>
              </w:rPr>
              <w:t>(Schabas J.)</w:t>
            </w:r>
          </w:p>
          <w:p w:rsidR="00090851" w:rsidRPr="00090851" w:rsidRDefault="00A254E1" w:rsidP="00090851">
            <w:pPr>
              <w:jc w:val="both"/>
              <w:rPr>
                <w:sz w:val="20"/>
              </w:rPr>
            </w:pPr>
            <w:hyperlink r:id="rId25" w:history="1">
              <w:r w:rsidR="00090851" w:rsidRPr="00090851">
                <w:rPr>
                  <w:rStyle w:val="Hyperlink"/>
                  <w:sz w:val="20"/>
                </w:rPr>
                <w:t>2020 ONSC 5213</w:t>
              </w:r>
            </w:hyperlink>
          </w:p>
          <w:p w:rsidR="00090851" w:rsidRPr="00090851" w:rsidRDefault="00090851" w:rsidP="00090851">
            <w:pPr>
              <w:jc w:val="both"/>
              <w:rPr>
                <w:sz w:val="20"/>
              </w:rPr>
            </w:pP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rPr>
            </w:pPr>
            <w:r w:rsidRPr="00090851">
              <w:rPr>
                <w:sz w:val="20"/>
              </w:rPr>
              <w:t>Applicant’s application for declaration that he was entitled to receive balance of proceeds of sale from a matrimonial home awarded to judgment debtor in his divorce action against former spouse dismissed</w:t>
            </w:r>
          </w:p>
          <w:p w:rsidR="00090851" w:rsidRPr="00090851" w:rsidRDefault="00090851" w:rsidP="00090851">
            <w:pPr>
              <w:jc w:val="both"/>
              <w:rPr>
                <w:sz w:val="20"/>
              </w:rPr>
            </w:pPr>
          </w:p>
        </w:tc>
      </w:tr>
      <w:tr w:rsidR="00090851" w:rsidRPr="00090851" w:rsidTr="00E95A6A">
        <w:tc>
          <w:tcPr>
            <w:tcW w:w="2427" w:type="pct"/>
            <w:gridSpan w:val="2"/>
          </w:tcPr>
          <w:p w:rsidR="00090851" w:rsidRPr="00090851" w:rsidRDefault="00090851" w:rsidP="00090851">
            <w:pPr>
              <w:jc w:val="both"/>
              <w:rPr>
                <w:sz w:val="20"/>
              </w:rPr>
            </w:pPr>
            <w:r w:rsidRPr="00090851">
              <w:rPr>
                <w:sz w:val="20"/>
              </w:rPr>
              <w:t>April 20, 2021</w:t>
            </w:r>
          </w:p>
          <w:p w:rsidR="00090851" w:rsidRPr="00090851" w:rsidRDefault="00090851" w:rsidP="00090851">
            <w:pPr>
              <w:jc w:val="both"/>
              <w:rPr>
                <w:sz w:val="20"/>
              </w:rPr>
            </w:pPr>
            <w:r w:rsidRPr="00090851">
              <w:rPr>
                <w:sz w:val="20"/>
              </w:rPr>
              <w:t>Court of Appeal for Ontario</w:t>
            </w:r>
          </w:p>
          <w:p w:rsidR="00090851" w:rsidRPr="00090851" w:rsidRDefault="00090851" w:rsidP="00090851">
            <w:pPr>
              <w:jc w:val="both"/>
              <w:rPr>
                <w:sz w:val="20"/>
              </w:rPr>
            </w:pPr>
            <w:r w:rsidRPr="00090851">
              <w:rPr>
                <w:sz w:val="20"/>
              </w:rPr>
              <w:t>(Rouleau, Benotto and Miller JJ.A.)</w:t>
            </w:r>
          </w:p>
          <w:p w:rsidR="00090851" w:rsidRPr="00090851" w:rsidRDefault="00A254E1" w:rsidP="00090851">
            <w:pPr>
              <w:jc w:val="both"/>
              <w:rPr>
                <w:sz w:val="20"/>
              </w:rPr>
            </w:pPr>
            <w:hyperlink r:id="rId26" w:history="1">
              <w:r w:rsidR="00090851" w:rsidRPr="00090851">
                <w:rPr>
                  <w:rStyle w:val="Hyperlink"/>
                  <w:sz w:val="20"/>
                </w:rPr>
                <w:t>2021 ONCA 245</w:t>
              </w:r>
            </w:hyperlink>
          </w:p>
          <w:p w:rsidR="00090851" w:rsidRPr="00090851" w:rsidRDefault="00090851" w:rsidP="00090851">
            <w:pPr>
              <w:jc w:val="both"/>
              <w:rPr>
                <w:sz w:val="20"/>
              </w:rPr>
            </w:pP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rPr>
            </w:pPr>
            <w:r w:rsidRPr="00090851">
              <w:rPr>
                <w:sz w:val="20"/>
              </w:rPr>
              <w:t>Applicant’s appeal allowed in part and matter directed back to trial judge to consider whether a variation of Divorce Judgment was appropriate as a result of a material change in circumstances.</w:t>
            </w:r>
          </w:p>
          <w:p w:rsidR="00090851" w:rsidRPr="00090851" w:rsidRDefault="00090851" w:rsidP="00090851">
            <w:pPr>
              <w:jc w:val="both"/>
              <w:rPr>
                <w:sz w:val="20"/>
              </w:rPr>
            </w:pPr>
          </w:p>
        </w:tc>
      </w:tr>
      <w:tr w:rsidR="00090851" w:rsidRPr="00090851" w:rsidTr="00E95A6A">
        <w:tc>
          <w:tcPr>
            <w:tcW w:w="2427" w:type="pct"/>
            <w:gridSpan w:val="2"/>
          </w:tcPr>
          <w:p w:rsidR="00090851" w:rsidRPr="00090851" w:rsidRDefault="00090851" w:rsidP="00090851">
            <w:pPr>
              <w:jc w:val="both"/>
              <w:rPr>
                <w:sz w:val="20"/>
              </w:rPr>
            </w:pPr>
            <w:r w:rsidRPr="00090851">
              <w:rPr>
                <w:sz w:val="20"/>
              </w:rPr>
              <w:t>June 17, 2021</w:t>
            </w:r>
          </w:p>
          <w:p w:rsidR="00090851" w:rsidRPr="00090851" w:rsidRDefault="00090851" w:rsidP="00090851">
            <w:pPr>
              <w:jc w:val="both"/>
              <w:rPr>
                <w:sz w:val="20"/>
              </w:rPr>
            </w:pPr>
            <w:r w:rsidRPr="00090851">
              <w:rPr>
                <w:sz w:val="20"/>
              </w:rPr>
              <w:t>Supreme Court of Canada</w:t>
            </w: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rPr>
            </w:pPr>
            <w:r w:rsidRPr="00090851">
              <w:rPr>
                <w:sz w:val="20"/>
              </w:rPr>
              <w:t>Applicant’s application for leave to appeal filed</w:t>
            </w:r>
          </w:p>
          <w:p w:rsidR="00090851" w:rsidRPr="00090851" w:rsidRDefault="00090851" w:rsidP="00090851">
            <w:pPr>
              <w:jc w:val="both"/>
              <w:rPr>
                <w:sz w:val="20"/>
              </w:rPr>
            </w:pPr>
          </w:p>
        </w:tc>
      </w:tr>
    </w:tbl>
    <w:p w:rsidR="00090851" w:rsidRDefault="00090851" w:rsidP="00090851">
      <w:pPr>
        <w:jc w:val="both"/>
        <w:rPr>
          <w:sz w:val="20"/>
        </w:rPr>
      </w:pPr>
    </w:p>
    <w:p w:rsidR="00FB642B" w:rsidRDefault="00A254E1" w:rsidP="00090851">
      <w:pPr>
        <w:jc w:val="both"/>
        <w:rPr>
          <w:sz w:val="20"/>
        </w:rPr>
      </w:pPr>
      <w:r>
        <w:rPr>
          <w:sz w:val="20"/>
        </w:rPr>
        <w:pict>
          <v:rect id="_x0000_i1035" style="width:2in;height:1pt" o:hrpct="0" o:hralign="center" o:hrstd="t" o:hrnoshade="t" o:hr="t" fillcolor="black [3213]" stroked="f"/>
        </w:pict>
      </w:r>
    </w:p>
    <w:p w:rsidR="00FB642B" w:rsidRPr="00090851" w:rsidRDefault="00FB642B" w:rsidP="000908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90851" w:rsidRPr="00687DF9" w:rsidTr="00E95A6A">
        <w:tc>
          <w:tcPr>
            <w:tcW w:w="543" w:type="pct"/>
          </w:tcPr>
          <w:p w:rsidR="00090851" w:rsidRPr="00090851" w:rsidRDefault="00090851" w:rsidP="00090851">
            <w:pPr>
              <w:jc w:val="both"/>
              <w:rPr>
                <w:sz w:val="20"/>
              </w:rPr>
            </w:pPr>
            <w:r w:rsidRPr="00090851">
              <w:rPr>
                <w:rStyle w:val="SCCFileNumberChar"/>
                <w:sz w:val="20"/>
                <w:szCs w:val="20"/>
              </w:rPr>
              <w:t>39713</w:t>
            </w:r>
          </w:p>
        </w:tc>
        <w:tc>
          <w:tcPr>
            <w:tcW w:w="4457" w:type="pct"/>
            <w:gridSpan w:val="3"/>
          </w:tcPr>
          <w:p w:rsidR="00090851" w:rsidRPr="00FB642B" w:rsidRDefault="00090851" w:rsidP="00090851">
            <w:pPr>
              <w:pStyle w:val="SCCLsocParty"/>
              <w:jc w:val="both"/>
              <w:rPr>
                <w:b/>
                <w:sz w:val="20"/>
                <w:szCs w:val="20"/>
              </w:rPr>
            </w:pPr>
            <w:r w:rsidRPr="00FB642B">
              <w:rPr>
                <w:b/>
                <w:sz w:val="20"/>
                <w:szCs w:val="20"/>
              </w:rPr>
              <w:t>Enrico Iafolla c. Jolanta Lasota</w:t>
            </w:r>
          </w:p>
          <w:p w:rsidR="00090851" w:rsidRPr="00090851" w:rsidRDefault="00090851" w:rsidP="00090851">
            <w:pPr>
              <w:jc w:val="both"/>
              <w:rPr>
                <w:sz w:val="20"/>
                <w:lang w:val="fr-CA"/>
              </w:rPr>
            </w:pPr>
            <w:r w:rsidRPr="00090851">
              <w:rPr>
                <w:sz w:val="20"/>
                <w:lang w:val="fr-CA"/>
              </w:rPr>
              <w:t>(Ont.) (Civile) (Autorisation)</w:t>
            </w:r>
          </w:p>
        </w:tc>
      </w:tr>
      <w:tr w:rsidR="00090851" w:rsidRPr="00687DF9" w:rsidTr="00E95A6A">
        <w:tc>
          <w:tcPr>
            <w:tcW w:w="5000" w:type="pct"/>
            <w:gridSpan w:val="4"/>
          </w:tcPr>
          <w:p w:rsidR="00090851" w:rsidRDefault="00090851" w:rsidP="00090851">
            <w:pPr>
              <w:jc w:val="both"/>
              <w:rPr>
                <w:sz w:val="20"/>
                <w:lang w:val="fr-CA"/>
              </w:rPr>
            </w:pPr>
            <w:r w:rsidRPr="00090851">
              <w:rPr>
                <w:sz w:val="20"/>
                <w:lang w:val="fr-CA"/>
              </w:rPr>
              <w:t>Tribunaux — Compétence — La Cour d’appel a renvoyé l’affaire à la juge qui a rendu le jugement de divorce pour déterminer s’il y a eu un changement de situation important — La Cour d’appel est</w:t>
            </w:r>
            <w:r w:rsidRPr="00090851">
              <w:rPr>
                <w:sz w:val="20"/>
                <w:lang w:val="fr-CA"/>
              </w:rPr>
              <w:noBreakHyphen/>
              <w:t>elle compétente pour se mettre à la place d’une partie au litige et ordonner un résultat qui n’a pas été demandé par l’une ou l’autre des parties? — La compétence des cours supérieures, et la compétence en matière d’appel qui en découle, permettent</w:t>
            </w:r>
            <w:r w:rsidRPr="00090851">
              <w:rPr>
                <w:sz w:val="20"/>
                <w:lang w:val="fr-CA"/>
              </w:rPr>
              <w:noBreakHyphen/>
              <w:t>elles aux tribunaux d’accorder une réparation qui n’a pas été demandée ou plaidée par les parties au litige à quelque étape que ce soit de l’instance? — La Cour d’appel est</w:t>
            </w:r>
            <w:r w:rsidRPr="00090851">
              <w:rPr>
                <w:sz w:val="20"/>
                <w:lang w:val="fr-CA"/>
              </w:rPr>
              <w:noBreakHyphen/>
              <w:t>elle compétente pour renvoyer une affaire à une instance qui n’a pas fait l’objet d’un appel?</w:t>
            </w:r>
          </w:p>
          <w:p w:rsidR="00FB642B" w:rsidRPr="00090851" w:rsidRDefault="00FB642B" w:rsidP="00090851">
            <w:pPr>
              <w:jc w:val="both"/>
              <w:rPr>
                <w:sz w:val="20"/>
                <w:lang w:val="fr-CA"/>
              </w:rPr>
            </w:pPr>
          </w:p>
        </w:tc>
      </w:tr>
      <w:tr w:rsidR="00090851" w:rsidRPr="00687DF9" w:rsidTr="00E95A6A">
        <w:tc>
          <w:tcPr>
            <w:tcW w:w="5000" w:type="pct"/>
            <w:gridSpan w:val="4"/>
          </w:tcPr>
          <w:p w:rsidR="00090851" w:rsidRPr="00FB642B" w:rsidRDefault="00090851" w:rsidP="00090851">
            <w:pPr>
              <w:jc w:val="both"/>
              <w:rPr>
                <w:sz w:val="20"/>
                <w:lang w:val="fr-CA"/>
              </w:rPr>
            </w:pPr>
            <w:r w:rsidRPr="00090851">
              <w:rPr>
                <w:sz w:val="20"/>
                <w:lang w:val="fr-CA"/>
              </w:rPr>
              <w:t xml:space="preserve">Le demandeur, M. Iafolla, était un créancier judiciaire de l’ex-époux de Mme Lasota (M. Antonov), qui s’était vu attribuer une partie du produit de la vente du foyer conjugal dans un jugement de divorce.  Monsieur Iafolla a sollicité un jugement déclarant qu’il avait droit à la part du produit de la vente revenant à M. Antonov en application de la </w:t>
            </w:r>
            <w:r w:rsidRPr="00090851">
              <w:rPr>
                <w:i/>
                <w:sz w:val="20"/>
                <w:lang w:val="fr-CA"/>
              </w:rPr>
              <w:t>Loi de</w:t>
            </w:r>
            <w:r w:rsidRPr="00090851">
              <w:rPr>
                <w:sz w:val="20"/>
                <w:lang w:val="fr-CA"/>
              </w:rPr>
              <w:t xml:space="preserve"> </w:t>
            </w:r>
            <w:r w:rsidRPr="00090851">
              <w:rPr>
                <w:i/>
                <w:sz w:val="20"/>
                <w:lang w:val="fr-CA"/>
              </w:rPr>
              <w:t>2010</w:t>
            </w:r>
            <w:r w:rsidRPr="00090851">
              <w:rPr>
                <w:sz w:val="20"/>
                <w:lang w:val="fr-CA"/>
              </w:rPr>
              <w:t xml:space="preserve"> </w:t>
            </w:r>
            <w:r w:rsidRPr="00090851">
              <w:rPr>
                <w:i/>
                <w:sz w:val="20"/>
                <w:lang w:val="fr-CA"/>
              </w:rPr>
              <w:t>sur le désintéressement des créanciers</w:t>
            </w:r>
            <w:r w:rsidRPr="00090851">
              <w:rPr>
                <w:sz w:val="20"/>
                <w:lang w:val="fr-CA"/>
              </w:rPr>
              <w:t xml:space="preserve">, L.O. 2010, ch. </w:t>
            </w:r>
            <w:r w:rsidRPr="00FB642B">
              <w:rPr>
                <w:sz w:val="20"/>
                <w:lang w:val="fr-CA"/>
              </w:rPr>
              <w:t>C.16.</w:t>
            </w:r>
          </w:p>
          <w:p w:rsidR="00FB642B" w:rsidRPr="00FB642B" w:rsidRDefault="00FB642B" w:rsidP="00090851">
            <w:pPr>
              <w:jc w:val="both"/>
              <w:rPr>
                <w:sz w:val="20"/>
                <w:lang w:val="fr-CA"/>
              </w:rPr>
            </w:pPr>
          </w:p>
          <w:p w:rsidR="00090851" w:rsidRDefault="00090851" w:rsidP="00FB642B">
            <w:pPr>
              <w:pStyle w:val="aparanumbering"/>
              <w:spacing w:before="0" w:beforeAutospacing="0" w:after="0" w:afterAutospacing="0"/>
              <w:jc w:val="both"/>
              <w:rPr>
                <w:sz w:val="20"/>
                <w:szCs w:val="20"/>
                <w:lang w:val="fr-CA"/>
              </w:rPr>
            </w:pPr>
            <w:r w:rsidRPr="00090851">
              <w:rPr>
                <w:sz w:val="20"/>
                <w:szCs w:val="20"/>
                <w:lang w:val="fr-CA"/>
              </w:rPr>
              <w:t>Avant que Mme Lasota et M. Antonov ne se séparent, M. Antonov, un automobiliste non assuré, a été impliqué dans un accident d’automobile avec M. Iafolla. Monsieur Iafolla a obtenu un jugement contre M. Antonov et celui</w:t>
            </w:r>
            <w:r w:rsidRPr="00090851">
              <w:rPr>
                <w:sz w:val="20"/>
                <w:szCs w:val="20"/>
                <w:lang w:val="fr-CA"/>
              </w:rPr>
              <w:noBreakHyphen/>
              <w:t>ci a inscrit un bref contre le foyer conjugal en novembre 2017.</w:t>
            </w:r>
          </w:p>
          <w:p w:rsidR="00FB642B" w:rsidRPr="00090851" w:rsidRDefault="00FB642B" w:rsidP="00FB642B">
            <w:pPr>
              <w:pStyle w:val="aparanumbering"/>
              <w:spacing w:before="0" w:beforeAutospacing="0" w:after="0" w:afterAutospacing="0"/>
              <w:jc w:val="both"/>
              <w:rPr>
                <w:sz w:val="20"/>
                <w:szCs w:val="20"/>
                <w:lang w:val="fr-CA"/>
              </w:rPr>
            </w:pPr>
          </w:p>
          <w:p w:rsidR="00090851" w:rsidRPr="00090851" w:rsidRDefault="00090851" w:rsidP="00090851">
            <w:pPr>
              <w:jc w:val="both"/>
              <w:rPr>
                <w:sz w:val="20"/>
                <w:lang w:val="fr-CA"/>
              </w:rPr>
            </w:pPr>
            <w:r w:rsidRPr="00090851">
              <w:rPr>
                <w:sz w:val="20"/>
                <w:lang w:val="fr-CA"/>
              </w:rPr>
              <w:t>Dans le cadre d’une procédure de divorce non contestée en juillet 2018, la juge ayant prononcé le divorce a accordé à Mme Lasota la garde exclusive de l’enfant issu du mariage et a ordonné à M. Antonov de verser une pension alimentaire mensuelle pour le conjoint et l’enfant. La juge a ordonné la vente du foyer conjugal, a ordonné à M. Antonov de verser à Mme Lasota, à même la part du produit net revenant à M. Antonov, des arriérés de pension alimentaire pour enfant, un paiement d’égalisation et les frais. La juge a ordonné que le solde de la part de M. Antonov soit détenu en fiducie pour garantir les obligations futures en matière de pension alimentaire pour enfant et pour le conjoint. À l’époque, la juge ayant prononcé le divorce n’était pas au courant du bref.</w:t>
            </w:r>
          </w:p>
          <w:p w:rsidR="00090851" w:rsidRPr="00090851" w:rsidRDefault="00090851" w:rsidP="00090851">
            <w:pPr>
              <w:jc w:val="both"/>
              <w:rPr>
                <w:sz w:val="20"/>
                <w:lang w:val="fr-CA"/>
              </w:rPr>
            </w:pPr>
          </w:p>
          <w:p w:rsidR="00090851" w:rsidRPr="00090851" w:rsidRDefault="00090851" w:rsidP="00090851">
            <w:pPr>
              <w:jc w:val="both"/>
              <w:rPr>
                <w:sz w:val="20"/>
                <w:lang w:val="fr-CA"/>
              </w:rPr>
            </w:pPr>
            <w:r w:rsidRPr="00090851">
              <w:rPr>
                <w:sz w:val="20"/>
                <w:lang w:val="fr-CA"/>
              </w:rPr>
              <w:t xml:space="preserve">Monsieur Iafolla a présenté une demande fondée sur les </w:t>
            </w:r>
            <w:r w:rsidRPr="00090851">
              <w:rPr>
                <w:i/>
                <w:sz w:val="20"/>
                <w:lang w:val="fr-CA"/>
              </w:rPr>
              <w:t>Règles de procédure civile de</w:t>
            </w:r>
            <w:r w:rsidRPr="00090851">
              <w:rPr>
                <w:sz w:val="20"/>
                <w:lang w:val="fr-CA"/>
              </w:rPr>
              <w:t xml:space="preserve"> l’Ontario à titre de créancier judiciaire, faisant valoir le rang prioritaire de sa créance sur les sommes restant en fiducie. Le juge de première instance a rejeté la demande de M. Iafolla. La Cour d’appel a accueilli son appel en partie, et a renvoyé l’affaire à la juge ayant prononcé le divorce pour qu’elle détermine si un changement de situation important s’était produit compte tenu du bref, afin de s’assurer que la pension alimentaire pour enfant était conforme aux dispositions de la </w:t>
            </w:r>
            <w:hyperlink r:id="rId27" w:history="1">
              <w:r w:rsidRPr="00090851">
                <w:rPr>
                  <w:rStyle w:val="Hyperlink"/>
                  <w:i/>
                  <w:sz w:val="20"/>
                  <w:lang w:val="fr-CA"/>
                </w:rPr>
                <w:t>Loi sur le divorce</w:t>
              </w:r>
            </w:hyperlink>
            <w:r w:rsidRPr="00090851">
              <w:rPr>
                <w:sz w:val="20"/>
                <w:lang w:val="fr-CA"/>
              </w:rPr>
              <w:t>.</w:t>
            </w:r>
          </w:p>
        </w:tc>
      </w:tr>
      <w:tr w:rsidR="00090851" w:rsidRPr="00687DF9" w:rsidTr="00E95A6A">
        <w:tc>
          <w:tcPr>
            <w:tcW w:w="5000" w:type="pct"/>
            <w:gridSpan w:val="4"/>
          </w:tcPr>
          <w:p w:rsidR="00090851" w:rsidRPr="00090851" w:rsidRDefault="00090851" w:rsidP="00090851">
            <w:pPr>
              <w:jc w:val="both"/>
              <w:rPr>
                <w:sz w:val="20"/>
                <w:lang w:val="fr-CA"/>
              </w:rPr>
            </w:pPr>
          </w:p>
        </w:tc>
      </w:tr>
      <w:tr w:rsidR="00090851" w:rsidRPr="00687DF9" w:rsidTr="00E95A6A">
        <w:tc>
          <w:tcPr>
            <w:tcW w:w="2427" w:type="pct"/>
            <w:gridSpan w:val="2"/>
          </w:tcPr>
          <w:p w:rsidR="00090851" w:rsidRPr="00090851" w:rsidRDefault="00090851" w:rsidP="00090851">
            <w:pPr>
              <w:jc w:val="both"/>
              <w:rPr>
                <w:sz w:val="20"/>
                <w:lang w:val="fr-CA"/>
              </w:rPr>
            </w:pPr>
            <w:r w:rsidRPr="00090851">
              <w:rPr>
                <w:sz w:val="20"/>
                <w:lang w:val="fr-CA"/>
              </w:rPr>
              <w:t>1</w:t>
            </w:r>
            <w:r w:rsidRPr="00090851">
              <w:rPr>
                <w:sz w:val="20"/>
                <w:vertAlign w:val="superscript"/>
                <w:lang w:val="fr-CA"/>
              </w:rPr>
              <w:t>er</w:t>
            </w:r>
            <w:r w:rsidRPr="00090851">
              <w:rPr>
                <w:sz w:val="20"/>
                <w:lang w:val="fr-CA"/>
              </w:rPr>
              <w:t xml:space="preserve"> septembre 2020</w:t>
            </w:r>
          </w:p>
          <w:p w:rsidR="00090851" w:rsidRPr="00090851" w:rsidRDefault="00090851" w:rsidP="00090851">
            <w:pPr>
              <w:jc w:val="both"/>
              <w:rPr>
                <w:sz w:val="20"/>
                <w:lang w:val="fr-CA"/>
              </w:rPr>
            </w:pPr>
            <w:r w:rsidRPr="00090851">
              <w:rPr>
                <w:sz w:val="20"/>
                <w:lang w:val="fr-CA"/>
              </w:rPr>
              <w:t>Cour supérieure de justice de l’Ontario</w:t>
            </w:r>
          </w:p>
          <w:p w:rsidR="00090851" w:rsidRPr="00090851" w:rsidRDefault="00090851" w:rsidP="00090851">
            <w:pPr>
              <w:jc w:val="both"/>
              <w:rPr>
                <w:sz w:val="20"/>
              </w:rPr>
            </w:pPr>
            <w:r w:rsidRPr="00090851">
              <w:rPr>
                <w:sz w:val="20"/>
              </w:rPr>
              <w:t>(Juge Schabas)</w:t>
            </w:r>
          </w:p>
          <w:p w:rsidR="00090851" w:rsidRPr="00090851" w:rsidRDefault="00A254E1" w:rsidP="00090851">
            <w:pPr>
              <w:jc w:val="both"/>
              <w:rPr>
                <w:sz w:val="20"/>
              </w:rPr>
            </w:pPr>
            <w:hyperlink r:id="rId28" w:history="1">
              <w:r w:rsidR="00090851" w:rsidRPr="00090851">
                <w:rPr>
                  <w:rStyle w:val="Hyperlink"/>
                  <w:sz w:val="20"/>
                </w:rPr>
                <w:t>2020 ONSC 5213</w:t>
              </w:r>
            </w:hyperlink>
          </w:p>
          <w:p w:rsidR="00090851" w:rsidRPr="00090851" w:rsidRDefault="00090851" w:rsidP="00090851">
            <w:pPr>
              <w:jc w:val="both"/>
              <w:rPr>
                <w:sz w:val="20"/>
              </w:rPr>
            </w:pP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lang w:val="fr-CA"/>
              </w:rPr>
            </w:pPr>
            <w:r w:rsidRPr="00090851">
              <w:rPr>
                <w:sz w:val="20"/>
                <w:lang w:val="fr-CA"/>
              </w:rPr>
              <w:t>Rejet de la demande du demandeur visant à faire déclarer qu’il avait le droit de recevoir le solde du produit de la vente d’un foyer conjugal attribué au débiteur judiciaire dans son action en divorce contre son ex</w:t>
            </w:r>
            <w:r w:rsidRPr="00090851">
              <w:rPr>
                <w:sz w:val="20"/>
                <w:lang w:val="fr-CA"/>
              </w:rPr>
              <w:noBreakHyphen/>
              <w:t>conjoint</w:t>
            </w:r>
          </w:p>
          <w:p w:rsidR="00090851" w:rsidRPr="00090851" w:rsidRDefault="00090851" w:rsidP="00090851">
            <w:pPr>
              <w:jc w:val="both"/>
              <w:rPr>
                <w:sz w:val="20"/>
                <w:lang w:val="fr-CA"/>
              </w:rPr>
            </w:pPr>
          </w:p>
        </w:tc>
      </w:tr>
      <w:tr w:rsidR="00090851" w:rsidRPr="00687DF9" w:rsidTr="00E95A6A">
        <w:tc>
          <w:tcPr>
            <w:tcW w:w="2427" w:type="pct"/>
            <w:gridSpan w:val="2"/>
          </w:tcPr>
          <w:p w:rsidR="00090851" w:rsidRPr="00090851" w:rsidRDefault="00090851" w:rsidP="00090851">
            <w:pPr>
              <w:jc w:val="both"/>
              <w:rPr>
                <w:sz w:val="20"/>
                <w:lang w:val="fr-CA"/>
              </w:rPr>
            </w:pPr>
            <w:r w:rsidRPr="00090851">
              <w:rPr>
                <w:sz w:val="20"/>
                <w:lang w:val="fr-CA"/>
              </w:rPr>
              <w:t>20 avril 2021</w:t>
            </w:r>
          </w:p>
          <w:p w:rsidR="00090851" w:rsidRPr="00090851" w:rsidRDefault="00090851" w:rsidP="00090851">
            <w:pPr>
              <w:jc w:val="both"/>
              <w:rPr>
                <w:sz w:val="20"/>
                <w:lang w:val="fr-CA"/>
              </w:rPr>
            </w:pPr>
            <w:r w:rsidRPr="00090851">
              <w:rPr>
                <w:sz w:val="20"/>
                <w:lang w:val="fr-CA"/>
              </w:rPr>
              <w:t>Cour d’appel de l’Ontario</w:t>
            </w:r>
          </w:p>
          <w:p w:rsidR="00090851" w:rsidRPr="00090851" w:rsidRDefault="00090851" w:rsidP="00090851">
            <w:pPr>
              <w:jc w:val="both"/>
              <w:rPr>
                <w:sz w:val="20"/>
                <w:lang w:val="fr-CA"/>
              </w:rPr>
            </w:pPr>
            <w:r w:rsidRPr="00090851">
              <w:rPr>
                <w:sz w:val="20"/>
                <w:lang w:val="fr-CA"/>
              </w:rPr>
              <w:t>(Juges Rouleau, Benotto et Miller)</w:t>
            </w:r>
          </w:p>
          <w:p w:rsidR="00090851" w:rsidRPr="00090851" w:rsidRDefault="00A254E1" w:rsidP="00090851">
            <w:pPr>
              <w:jc w:val="both"/>
              <w:rPr>
                <w:sz w:val="20"/>
              </w:rPr>
            </w:pPr>
            <w:hyperlink r:id="rId29" w:history="1">
              <w:r w:rsidR="00090851" w:rsidRPr="00090851">
                <w:rPr>
                  <w:rStyle w:val="Hyperlink"/>
                  <w:sz w:val="20"/>
                </w:rPr>
                <w:t>2021 ONCA 245</w:t>
              </w:r>
            </w:hyperlink>
          </w:p>
          <w:p w:rsidR="00090851" w:rsidRPr="00090851" w:rsidRDefault="00090851" w:rsidP="00090851">
            <w:pPr>
              <w:jc w:val="both"/>
              <w:rPr>
                <w:sz w:val="20"/>
              </w:rPr>
            </w:pP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lang w:val="fr-CA"/>
              </w:rPr>
            </w:pPr>
            <w:r w:rsidRPr="00090851">
              <w:rPr>
                <w:sz w:val="20"/>
                <w:lang w:val="fr-CA"/>
              </w:rPr>
              <w:t>Arrêt accueillant en partie l’appel du demandeur et renvoyant l’affaire à la juge de première instance pour qu’elle se prononce sur la question de savoir si une modification du jugement de divorce était appropriée en raison d’un changement de situation important.</w:t>
            </w:r>
          </w:p>
          <w:p w:rsidR="00090851" w:rsidRPr="00090851" w:rsidRDefault="00090851" w:rsidP="00090851">
            <w:pPr>
              <w:jc w:val="both"/>
              <w:rPr>
                <w:sz w:val="20"/>
                <w:lang w:val="fr-CA"/>
              </w:rPr>
            </w:pPr>
          </w:p>
        </w:tc>
      </w:tr>
      <w:tr w:rsidR="00090851" w:rsidRPr="00687DF9" w:rsidTr="00E95A6A">
        <w:tc>
          <w:tcPr>
            <w:tcW w:w="2427" w:type="pct"/>
            <w:gridSpan w:val="2"/>
          </w:tcPr>
          <w:p w:rsidR="00090851" w:rsidRPr="00090851" w:rsidRDefault="00090851" w:rsidP="00090851">
            <w:pPr>
              <w:jc w:val="both"/>
              <w:rPr>
                <w:sz w:val="20"/>
                <w:lang w:val="fr-CA"/>
              </w:rPr>
            </w:pPr>
            <w:r w:rsidRPr="00090851">
              <w:rPr>
                <w:sz w:val="20"/>
                <w:lang w:val="fr-CA"/>
              </w:rPr>
              <w:t>17 juin 2021</w:t>
            </w:r>
          </w:p>
          <w:p w:rsidR="00090851" w:rsidRPr="00090851" w:rsidRDefault="00090851" w:rsidP="00090851">
            <w:pPr>
              <w:jc w:val="both"/>
              <w:rPr>
                <w:sz w:val="20"/>
                <w:lang w:val="fr-CA"/>
              </w:rPr>
            </w:pPr>
            <w:r w:rsidRPr="00090851">
              <w:rPr>
                <w:sz w:val="20"/>
                <w:lang w:val="fr-CA"/>
              </w:rPr>
              <w:t>Cour suprême du Canada</w:t>
            </w:r>
          </w:p>
        </w:tc>
        <w:tc>
          <w:tcPr>
            <w:tcW w:w="243" w:type="pct"/>
          </w:tcPr>
          <w:p w:rsidR="00090851" w:rsidRPr="00090851" w:rsidRDefault="00090851" w:rsidP="00090851">
            <w:pPr>
              <w:jc w:val="both"/>
              <w:rPr>
                <w:sz w:val="20"/>
                <w:lang w:val="fr-CA"/>
              </w:rPr>
            </w:pPr>
          </w:p>
        </w:tc>
        <w:tc>
          <w:tcPr>
            <w:tcW w:w="2330" w:type="pct"/>
          </w:tcPr>
          <w:p w:rsidR="00090851" w:rsidRPr="00090851" w:rsidRDefault="00090851" w:rsidP="00FB642B">
            <w:pPr>
              <w:jc w:val="both"/>
              <w:rPr>
                <w:sz w:val="20"/>
                <w:lang w:val="fr-CA"/>
              </w:rPr>
            </w:pPr>
            <w:r w:rsidRPr="00090851">
              <w:rPr>
                <w:sz w:val="20"/>
                <w:lang w:val="fr-CA"/>
              </w:rPr>
              <w:t>Dépôt de la demande d’autorisation d’appel du demandeur</w:t>
            </w:r>
          </w:p>
        </w:tc>
      </w:tr>
    </w:tbl>
    <w:p w:rsidR="00090851" w:rsidRDefault="00090851" w:rsidP="00090851">
      <w:pPr>
        <w:jc w:val="both"/>
        <w:rPr>
          <w:sz w:val="20"/>
          <w:lang w:val="fr-CA"/>
        </w:rPr>
      </w:pPr>
    </w:p>
    <w:p w:rsidR="00FB642B" w:rsidRPr="00090851" w:rsidRDefault="00A254E1" w:rsidP="00090851">
      <w:pPr>
        <w:jc w:val="both"/>
        <w:rPr>
          <w:sz w:val="20"/>
          <w:lang w:val="fr-CA"/>
        </w:rPr>
      </w:pPr>
      <w:r>
        <w:rPr>
          <w:sz w:val="20"/>
        </w:rPr>
        <w:pict>
          <v:rect id="_x0000_i1036" style="width:2in;height:1pt" o:hrpct="0" o:hralign="center" o:hrstd="t" o:hrnoshade="t" o:hr="t" fillcolor="black [3213]" stroked="f"/>
        </w:pict>
      </w:r>
    </w:p>
    <w:p w:rsidR="006D4676" w:rsidRPr="00090851" w:rsidRDefault="006D4676" w:rsidP="00090851">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90851" w:rsidRPr="00090851" w:rsidTr="00E95A6A">
        <w:tc>
          <w:tcPr>
            <w:tcW w:w="543" w:type="pct"/>
          </w:tcPr>
          <w:p w:rsidR="00090851" w:rsidRPr="00090851" w:rsidRDefault="00090851" w:rsidP="00090851">
            <w:pPr>
              <w:jc w:val="both"/>
              <w:rPr>
                <w:sz w:val="20"/>
              </w:rPr>
            </w:pPr>
            <w:r w:rsidRPr="00090851">
              <w:rPr>
                <w:rStyle w:val="SCCFileNumberChar"/>
                <w:sz w:val="20"/>
                <w:szCs w:val="20"/>
              </w:rPr>
              <w:t>39714</w:t>
            </w:r>
          </w:p>
        </w:tc>
        <w:tc>
          <w:tcPr>
            <w:tcW w:w="4457" w:type="pct"/>
            <w:gridSpan w:val="3"/>
          </w:tcPr>
          <w:p w:rsidR="00090851" w:rsidRPr="00FB642B" w:rsidRDefault="00090851" w:rsidP="00090851">
            <w:pPr>
              <w:pStyle w:val="SCCLsocParty"/>
              <w:jc w:val="both"/>
              <w:rPr>
                <w:b/>
                <w:sz w:val="20"/>
                <w:szCs w:val="20"/>
                <w:lang w:val="en-US"/>
              </w:rPr>
            </w:pPr>
            <w:r w:rsidRPr="00FB642B">
              <w:rPr>
                <w:b/>
                <w:sz w:val="20"/>
                <w:szCs w:val="20"/>
                <w:lang w:val="en-US"/>
              </w:rPr>
              <w:t>Kovarthanan Konesavarathan v. University Of Guelph Radio, Radio Gryphon, CFRU-FM</w:t>
            </w:r>
          </w:p>
          <w:p w:rsidR="00090851" w:rsidRPr="00090851" w:rsidRDefault="00090851" w:rsidP="00090851">
            <w:pPr>
              <w:jc w:val="both"/>
              <w:rPr>
                <w:sz w:val="20"/>
              </w:rPr>
            </w:pPr>
            <w:r w:rsidRPr="00090851">
              <w:rPr>
                <w:sz w:val="20"/>
              </w:rPr>
              <w:t>(F</w:t>
            </w:r>
            <w:r w:rsidR="00FB642B">
              <w:rPr>
                <w:sz w:val="20"/>
              </w:rPr>
              <w:t>.</w:t>
            </w:r>
            <w:r w:rsidRPr="00090851">
              <w:rPr>
                <w:sz w:val="20"/>
              </w:rPr>
              <w:t>C</w:t>
            </w:r>
            <w:r w:rsidR="00FB642B">
              <w:rPr>
                <w:sz w:val="20"/>
              </w:rPr>
              <w:t>.</w:t>
            </w:r>
            <w:r w:rsidRPr="00090851">
              <w:rPr>
                <w:sz w:val="20"/>
              </w:rPr>
              <w:t>) (Civil) (By Leave)</w:t>
            </w:r>
          </w:p>
        </w:tc>
      </w:tr>
      <w:tr w:rsidR="00090851" w:rsidRPr="00090851" w:rsidTr="00E95A6A">
        <w:tc>
          <w:tcPr>
            <w:tcW w:w="5000" w:type="pct"/>
            <w:gridSpan w:val="4"/>
          </w:tcPr>
          <w:p w:rsidR="00090851" w:rsidRPr="00090851" w:rsidRDefault="00090851" w:rsidP="00090851">
            <w:pPr>
              <w:jc w:val="both"/>
              <w:rPr>
                <w:sz w:val="20"/>
              </w:rPr>
            </w:pPr>
            <w:r w:rsidRPr="00090851">
              <w:rPr>
                <w:sz w:val="20"/>
              </w:rPr>
              <w:t xml:space="preserve">Administrative law — Judicial review — Human rights — Discrimination — Whether the Canadian Human Rights Commission (CHRC) erred in finding no positive duty to ensure substantively equal outcomes in relation to the prohibited grounds of discrimination — Whether the section 40/41 Report applied the incorrect test — Whether the complaint was considered under the correct section of the Act — Whether the lack of diversity on the Bench is reflected in the decisions — Whether the court violated the </w:t>
            </w:r>
            <w:r w:rsidRPr="00090851">
              <w:rPr>
                <w:i/>
                <w:sz w:val="20"/>
              </w:rPr>
              <w:t>International Convention on Political and Civil Rights</w:t>
            </w:r>
            <w:r w:rsidRPr="00090851">
              <w:rPr>
                <w:sz w:val="20"/>
              </w:rPr>
              <w:t xml:space="preserve"> — Whether the court erred in not considering the applicant’s constitutional question —Does the application for leave to appeal raise an issue of public importance — </w:t>
            </w:r>
            <w:r w:rsidRPr="00090851">
              <w:rPr>
                <w:i/>
                <w:sz w:val="20"/>
              </w:rPr>
              <w:t>Canadian Human Rights Act</w:t>
            </w:r>
            <w:r w:rsidRPr="00090851">
              <w:rPr>
                <w:sz w:val="20"/>
              </w:rPr>
              <w:t>, R.S.C. 1985, c. H</w:t>
            </w:r>
            <w:r w:rsidRPr="00090851">
              <w:rPr>
                <w:sz w:val="20"/>
              </w:rPr>
              <w:noBreakHyphen/>
              <w:t>6, s. 41(1)(d).</w:t>
            </w:r>
          </w:p>
          <w:p w:rsidR="00090851" w:rsidRPr="00090851" w:rsidRDefault="00090851" w:rsidP="00090851">
            <w:pPr>
              <w:jc w:val="both"/>
              <w:rPr>
                <w:sz w:val="20"/>
              </w:rPr>
            </w:pPr>
          </w:p>
        </w:tc>
      </w:tr>
      <w:tr w:rsidR="00090851" w:rsidRPr="00090851" w:rsidTr="00E95A6A">
        <w:tc>
          <w:tcPr>
            <w:tcW w:w="5000" w:type="pct"/>
            <w:gridSpan w:val="4"/>
          </w:tcPr>
          <w:p w:rsidR="00090851" w:rsidRPr="00090851" w:rsidRDefault="00090851" w:rsidP="00090851">
            <w:pPr>
              <w:jc w:val="both"/>
              <w:rPr>
                <w:sz w:val="20"/>
              </w:rPr>
            </w:pPr>
            <w:r w:rsidRPr="00090851">
              <w:rPr>
                <w:sz w:val="20"/>
              </w:rPr>
              <w:t>The applicant is a Canadian citizen and racialized person residing in Guelph, Ontario. The respondent is a non</w:t>
            </w:r>
            <w:r w:rsidRPr="00090851">
              <w:rPr>
                <w:sz w:val="20"/>
              </w:rPr>
              <w:noBreakHyphen/>
              <w:t>profit corporation operating a community radio station in Guelph. The applicant joined the respondent as a volunteer in 2015 and at the annual general meeting put himself forward to become a member of the Board. The respondent’s by</w:t>
            </w:r>
            <w:r w:rsidRPr="00090851">
              <w:rPr>
                <w:sz w:val="20"/>
              </w:rPr>
              <w:noBreakHyphen/>
              <w:t>laws require, among other things, that not less than 50% of directors be women. The 2015 election was to fill four seats for males who were either members of the community or faculty of the university. The six candidates had an opportunity to speak and present their qualifications, after which the attendees voted. The applicant was not elected. There were two additional unfilled seats on the Board designated for women, but there were not enough women seeking a directorship at the time.</w:t>
            </w:r>
          </w:p>
          <w:p w:rsidR="00090851" w:rsidRPr="00090851" w:rsidRDefault="00090851" w:rsidP="00090851">
            <w:pPr>
              <w:jc w:val="both"/>
              <w:rPr>
                <w:sz w:val="20"/>
              </w:rPr>
            </w:pPr>
          </w:p>
          <w:p w:rsidR="00090851" w:rsidRPr="00090851" w:rsidRDefault="00090851" w:rsidP="00090851">
            <w:pPr>
              <w:jc w:val="both"/>
              <w:rPr>
                <w:sz w:val="20"/>
              </w:rPr>
            </w:pPr>
            <w:r w:rsidRPr="00090851">
              <w:rPr>
                <w:sz w:val="20"/>
              </w:rPr>
              <w:t>The applicant filed a complaint with the CHRC alleging that the respondent’s election procedure discriminated against him on the basis of disability, race, national or ethnic origin, and colour. The CHRC advised the applicant that it would be preparing a Section 40/41 Report to address whether the complaint was trivial, frivolous, vexatious or made in bad faith under s. 41(1</w:t>
            </w:r>
            <w:proofErr w:type="gramStart"/>
            <w:r w:rsidRPr="00090851">
              <w:rPr>
                <w:sz w:val="20"/>
              </w:rPr>
              <w:t>)(</w:t>
            </w:r>
            <w:proofErr w:type="gramEnd"/>
            <w:r w:rsidRPr="00090851">
              <w:rPr>
                <w:sz w:val="20"/>
              </w:rPr>
              <w:t xml:space="preserve">d) of the </w:t>
            </w:r>
            <w:r w:rsidRPr="00090851">
              <w:rPr>
                <w:i/>
                <w:sz w:val="20"/>
              </w:rPr>
              <w:t>Canadian Human Rights Act</w:t>
            </w:r>
            <w:r w:rsidRPr="00090851">
              <w:rPr>
                <w:sz w:val="20"/>
              </w:rPr>
              <w:t>, and after receiving the applicant’s submissions, declined to consider the complaint. An application for judicial review was dismissed by the Federal Court, as was an appeal to the Federal Court of Appeal.</w:t>
            </w:r>
          </w:p>
          <w:p w:rsidR="00090851" w:rsidRPr="00090851" w:rsidRDefault="00090851" w:rsidP="00090851">
            <w:pPr>
              <w:jc w:val="both"/>
              <w:rPr>
                <w:sz w:val="20"/>
              </w:rPr>
            </w:pPr>
          </w:p>
        </w:tc>
      </w:tr>
      <w:tr w:rsidR="00090851" w:rsidRPr="00090851" w:rsidTr="00E95A6A">
        <w:tc>
          <w:tcPr>
            <w:tcW w:w="2427" w:type="pct"/>
            <w:gridSpan w:val="2"/>
          </w:tcPr>
          <w:p w:rsidR="00090851" w:rsidRPr="00090851" w:rsidRDefault="00090851" w:rsidP="00090851">
            <w:pPr>
              <w:jc w:val="both"/>
              <w:rPr>
                <w:sz w:val="20"/>
              </w:rPr>
            </w:pPr>
            <w:r w:rsidRPr="00090851">
              <w:rPr>
                <w:sz w:val="20"/>
              </w:rPr>
              <w:t>December 4, 2018</w:t>
            </w:r>
          </w:p>
          <w:p w:rsidR="00090851" w:rsidRPr="00090851" w:rsidRDefault="00090851" w:rsidP="00090851">
            <w:pPr>
              <w:jc w:val="both"/>
              <w:rPr>
                <w:sz w:val="20"/>
              </w:rPr>
            </w:pPr>
            <w:r w:rsidRPr="00090851">
              <w:rPr>
                <w:sz w:val="20"/>
              </w:rPr>
              <w:t>Federal Court</w:t>
            </w:r>
          </w:p>
          <w:p w:rsidR="00090851" w:rsidRPr="00090851" w:rsidRDefault="00090851" w:rsidP="00090851">
            <w:pPr>
              <w:jc w:val="both"/>
              <w:rPr>
                <w:sz w:val="20"/>
              </w:rPr>
            </w:pPr>
            <w:r w:rsidRPr="00090851">
              <w:rPr>
                <w:sz w:val="20"/>
              </w:rPr>
              <w:t>(Manson J.)</w:t>
            </w:r>
          </w:p>
          <w:p w:rsidR="00090851" w:rsidRPr="00090851" w:rsidRDefault="00A254E1" w:rsidP="00090851">
            <w:pPr>
              <w:jc w:val="both"/>
              <w:rPr>
                <w:sz w:val="20"/>
              </w:rPr>
            </w:pPr>
            <w:hyperlink r:id="rId30" w:history="1">
              <w:r w:rsidR="00090851" w:rsidRPr="00090851">
                <w:rPr>
                  <w:rStyle w:val="Hyperlink"/>
                  <w:sz w:val="20"/>
                </w:rPr>
                <w:t>2018 FC 1217</w:t>
              </w:r>
            </w:hyperlink>
          </w:p>
          <w:p w:rsidR="00090851" w:rsidRPr="00090851" w:rsidRDefault="00090851" w:rsidP="00090851">
            <w:pPr>
              <w:jc w:val="both"/>
              <w:rPr>
                <w:sz w:val="20"/>
              </w:rPr>
            </w:pP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rPr>
            </w:pPr>
            <w:r w:rsidRPr="00090851">
              <w:rPr>
                <w:sz w:val="20"/>
              </w:rPr>
              <w:t>Application for judicial review of CHRC decision dismissed.</w:t>
            </w:r>
          </w:p>
          <w:p w:rsidR="00090851" w:rsidRPr="00090851" w:rsidRDefault="00090851" w:rsidP="00090851">
            <w:pPr>
              <w:jc w:val="both"/>
              <w:rPr>
                <w:sz w:val="20"/>
              </w:rPr>
            </w:pPr>
          </w:p>
        </w:tc>
      </w:tr>
      <w:tr w:rsidR="00090851" w:rsidRPr="00090851" w:rsidTr="00E95A6A">
        <w:tc>
          <w:tcPr>
            <w:tcW w:w="2427" w:type="pct"/>
            <w:gridSpan w:val="2"/>
          </w:tcPr>
          <w:p w:rsidR="00090851" w:rsidRPr="00090851" w:rsidRDefault="00090851" w:rsidP="00090851">
            <w:pPr>
              <w:jc w:val="both"/>
              <w:rPr>
                <w:sz w:val="20"/>
              </w:rPr>
            </w:pPr>
            <w:r w:rsidRPr="00090851">
              <w:rPr>
                <w:sz w:val="20"/>
              </w:rPr>
              <w:t>September 23, 2020</w:t>
            </w:r>
          </w:p>
          <w:p w:rsidR="00090851" w:rsidRPr="00090851" w:rsidRDefault="00090851" w:rsidP="00090851">
            <w:pPr>
              <w:jc w:val="both"/>
              <w:rPr>
                <w:sz w:val="20"/>
              </w:rPr>
            </w:pPr>
            <w:r w:rsidRPr="00090851">
              <w:rPr>
                <w:sz w:val="20"/>
              </w:rPr>
              <w:t>Federal Court of Appeal</w:t>
            </w:r>
          </w:p>
          <w:p w:rsidR="00090851" w:rsidRPr="00090851" w:rsidRDefault="00090851" w:rsidP="00090851">
            <w:pPr>
              <w:jc w:val="both"/>
              <w:rPr>
                <w:sz w:val="20"/>
              </w:rPr>
            </w:pPr>
            <w:r w:rsidRPr="00090851">
              <w:rPr>
                <w:sz w:val="20"/>
              </w:rPr>
              <w:t>(Stratas, Laskin and Mactavish JJ.A.)</w:t>
            </w:r>
          </w:p>
          <w:p w:rsidR="00090851" w:rsidRPr="00090851" w:rsidRDefault="00A254E1" w:rsidP="00090851">
            <w:pPr>
              <w:jc w:val="both"/>
              <w:rPr>
                <w:sz w:val="20"/>
              </w:rPr>
            </w:pPr>
            <w:hyperlink r:id="rId31" w:history="1">
              <w:r w:rsidR="00090851" w:rsidRPr="00090851">
                <w:rPr>
                  <w:rStyle w:val="Hyperlink"/>
                  <w:sz w:val="20"/>
                </w:rPr>
                <w:t>2020 FCA 148</w:t>
              </w:r>
            </w:hyperlink>
            <w:r w:rsidR="00090851" w:rsidRPr="00090851">
              <w:rPr>
                <w:sz w:val="20"/>
              </w:rPr>
              <w:t>; A</w:t>
            </w:r>
            <w:r w:rsidR="00090851" w:rsidRPr="00090851">
              <w:rPr>
                <w:sz w:val="20"/>
              </w:rPr>
              <w:noBreakHyphen/>
              <w:t>1</w:t>
            </w:r>
            <w:r w:rsidR="00090851" w:rsidRPr="00090851">
              <w:rPr>
                <w:sz w:val="20"/>
              </w:rPr>
              <w:noBreakHyphen/>
              <w:t>19</w:t>
            </w:r>
          </w:p>
          <w:p w:rsidR="00090851" w:rsidRPr="00090851" w:rsidRDefault="00090851" w:rsidP="00090851">
            <w:pPr>
              <w:jc w:val="both"/>
              <w:rPr>
                <w:sz w:val="20"/>
              </w:rPr>
            </w:pP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rPr>
            </w:pPr>
            <w:r w:rsidRPr="00090851">
              <w:rPr>
                <w:sz w:val="20"/>
              </w:rPr>
              <w:t>Appeal dismissed.</w:t>
            </w:r>
          </w:p>
          <w:p w:rsidR="00090851" w:rsidRPr="00090851" w:rsidRDefault="00090851" w:rsidP="00090851">
            <w:pPr>
              <w:jc w:val="both"/>
              <w:rPr>
                <w:sz w:val="20"/>
              </w:rPr>
            </w:pPr>
          </w:p>
        </w:tc>
      </w:tr>
      <w:tr w:rsidR="00090851" w:rsidRPr="00090851" w:rsidTr="00E95A6A">
        <w:tc>
          <w:tcPr>
            <w:tcW w:w="2427" w:type="pct"/>
            <w:gridSpan w:val="2"/>
          </w:tcPr>
          <w:p w:rsidR="00090851" w:rsidRPr="00090851" w:rsidRDefault="00090851" w:rsidP="00090851">
            <w:pPr>
              <w:jc w:val="both"/>
              <w:rPr>
                <w:sz w:val="20"/>
              </w:rPr>
            </w:pPr>
            <w:r w:rsidRPr="00090851">
              <w:rPr>
                <w:sz w:val="20"/>
              </w:rPr>
              <w:t>January 21, 2021</w:t>
            </w:r>
          </w:p>
          <w:p w:rsidR="00090851" w:rsidRPr="00090851" w:rsidRDefault="00090851" w:rsidP="00FB642B">
            <w:pPr>
              <w:jc w:val="both"/>
              <w:rPr>
                <w:sz w:val="20"/>
              </w:rPr>
            </w:pPr>
            <w:r w:rsidRPr="00090851">
              <w:rPr>
                <w:sz w:val="20"/>
              </w:rPr>
              <w:t>Supreme Court of Canada</w:t>
            </w:r>
          </w:p>
        </w:tc>
        <w:tc>
          <w:tcPr>
            <w:tcW w:w="243" w:type="pct"/>
          </w:tcPr>
          <w:p w:rsidR="00090851" w:rsidRPr="00090851" w:rsidRDefault="00090851" w:rsidP="00090851">
            <w:pPr>
              <w:jc w:val="both"/>
              <w:rPr>
                <w:sz w:val="20"/>
              </w:rPr>
            </w:pPr>
          </w:p>
        </w:tc>
        <w:tc>
          <w:tcPr>
            <w:tcW w:w="2330" w:type="pct"/>
          </w:tcPr>
          <w:p w:rsidR="00090851" w:rsidRPr="00090851" w:rsidRDefault="00090851" w:rsidP="00090851">
            <w:pPr>
              <w:jc w:val="both"/>
              <w:rPr>
                <w:sz w:val="20"/>
              </w:rPr>
            </w:pPr>
            <w:r w:rsidRPr="00090851">
              <w:rPr>
                <w:sz w:val="20"/>
              </w:rPr>
              <w:t>Application for leave to appeal filed.</w:t>
            </w:r>
          </w:p>
          <w:p w:rsidR="00090851" w:rsidRPr="00090851" w:rsidRDefault="00090851" w:rsidP="00090851">
            <w:pPr>
              <w:jc w:val="both"/>
              <w:rPr>
                <w:sz w:val="20"/>
              </w:rPr>
            </w:pPr>
          </w:p>
        </w:tc>
      </w:tr>
    </w:tbl>
    <w:p w:rsidR="00090851" w:rsidRDefault="00090851" w:rsidP="00090851">
      <w:pPr>
        <w:jc w:val="both"/>
        <w:rPr>
          <w:sz w:val="20"/>
        </w:rPr>
      </w:pPr>
    </w:p>
    <w:p w:rsidR="00FB642B" w:rsidRDefault="00A254E1" w:rsidP="00090851">
      <w:pPr>
        <w:jc w:val="both"/>
        <w:rPr>
          <w:sz w:val="20"/>
        </w:rPr>
      </w:pPr>
      <w:r>
        <w:rPr>
          <w:sz w:val="20"/>
        </w:rPr>
        <w:pict>
          <v:rect id="_x0000_i1037" style="width:2in;height:1pt" o:hrpct="0" o:hralign="center" o:hrstd="t" o:hrnoshade="t" o:hr="t" fillcolor="black [3213]" stroked="f"/>
        </w:pict>
      </w:r>
    </w:p>
    <w:p w:rsidR="00FB642B" w:rsidRPr="00090851" w:rsidRDefault="00FB642B" w:rsidP="000908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90851" w:rsidRPr="00FB642B" w:rsidTr="00E95A6A">
        <w:tc>
          <w:tcPr>
            <w:tcW w:w="543" w:type="pct"/>
          </w:tcPr>
          <w:p w:rsidR="00090851" w:rsidRPr="00090851" w:rsidRDefault="00090851" w:rsidP="00090851">
            <w:pPr>
              <w:jc w:val="both"/>
              <w:rPr>
                <w:sz w:val="20"/>
                <w:lang w:val="fr-CA"/>
              </w:rPr>
            </w:pPr>
            <w:r w:rsidRPr="00090851">
              <w:rPr>
                <w:rStyle w:val="SCCFileNumberChar"/>
                <w:sz w:val="20"/>
                <w:szCs w:val="20"/>
                <w:lang w:val="fr-CA"/>
              </w:rPr>
              <w:t>39714</w:t>
            </w:r>
          </w:p>
        </w:tc>
        <w:tc>
          <w:tcPr>
            <w:tcW w:w="4457" w:type="pct"/>
            <w:gridSpan w:val="3"/>
          </w:tcPr>
          <w:p w:rsidR="00090851" w:rsidRPr="00FB642B" w:rsidRDefault="00090851" w:rsidP="00090851">
            <w:pPr>
              <w:pStyle w:val="SCCLsocParty"/>
              <w:jc w:val="both"/>
              <w:rPr>
                <w:b/>
                <w:sz w:val="20"/>
                <w:szCs w:val="20"/>
                <w:lang w:val="en-US"/>
              </w:rPr>
            </w:pPr>
            <w:r w:rsidRPr="00FB642B">
              <w:rPr>
                <w:b/>
                <w:sz w:val="20"/>
                <w:szCs w:val="20"/>
                <w:lang w:val="en-US"/>
              </w:rPr>
              <w:t>Kovarthanan Konesavarathan c. University Of Guelph Radio, Radio Gryphon, CFRU-FM</w:t>
            </w:r>
          </w:p>
          <w:p w:rsidR="00090851" w:rsidRPr="00090851" w:rsidRDefault="00090851" w:rsidP="00090851">
            <w:pPr>
              <w:jc w:val="both"/>
              <w:rPr>
                <w:sz w:val="20"/>
                <w:lang w:val="fr-CA"/>
              </w:rPr>
            </w:pPr>
            <w:r w:rsidRPr="00090851">
              <w:rPr>
                <w:sz w:val="20"/>
                <w:lang w:val="fr-CA"/>
              </w:rPr>
              <w:t>(C</w:t>
            </w:r>
            <w:r w:rsidR="00FB642B">
              <w:rPr>
                <w:sz w:val="20"/>
                <w:lang w:val="fr-CA"/>
              </w:rPr>
              <w:t>.</w:t>
            </w:r>
            <w:r w:rsidRPr="00090851">
              <w:rPr>
                <w:sz w:val="20"/>
                <w:lang w:val="fr-CA"/>
              </w:rPr>
              <w:t>F</w:t>
            </w:r>
            <w:r w:rsidR="00FB642B">
              <w:rPr>
                <w:sz w:val="20"/>
                <w:lang w:val="fr-CA"/>
              </w:rPr>
              <w:t>.</w:t>
            </w:r>
            <w:r w:rsidRPr="00090851">
              <w:rPr>
                <w:sz w:val="20"/>
                <w:lang w:val="fr-CA"/>
              </w:rPr>
              <w:t>) (Civile) (Autorisation)</w:t>
            </w:r>
          </w:p>
        </w:tc>
      </w:tr>
      <w:tr w:rsidR="00090851" w:rsidRPr="00FB642B" w:rsidTr="00E95A6A">
        <w:tc>
          <w:tcPr>
            <w:tcW w:w="5000" w:type="pct"/>
            <w:gridSpan w:val="4"/>
          </w:tcPr>
          <w:p w:rsidR="00090851" w:rsidRPr="00090851" w:rsidRDefault="00090851" w:rsidP="00090851">
            <w:pPr>
              <w:jc w:val="both"/>
              <w:rPr>
                <w:sz w:val="20"/>
                <w:lang w:val="fr-CA"/>
              </w:rPr>
            </w:pPr>
            <w:r w:rsidRPr="00090851">
              <w:rPr>
                <w:sz w:val="20"/>
                <w:lang w:val="fr-CA"/>
              </w:rPr>
              <w:t>Droit administratif — Contrôle judiciaire — Droits de la personne — Discrimination — La Commission canadienne des droits de la personne (la Commission) a</w:t>
            </w:r>
            <w:r w:rsidRPr="00090851">
              <w:rPr>
                <w:sz w:val="20"/>
                <w:lang w:val="fr-CA"/>
              </w:rPr>
              <w:noBreakHyphen/>
              <w:t>t</w:t>
            </w:r>
            <w:r w:rsidRPr="00090851">
              <w:rPr>
                <w:sz w:val="20"/>
                <w:lang w:val="fr-CA"/>
              </w:rPr>
              <w:noBreakHyphen/>
              <w:t>elle eu tort de conclure qu’il n’existe aucune obligation positive d’assurer des résultats réellement égaux en lien avec les motifs de distinction illicite? — Le bon critère a</w:t>
            </w:r>
            <w:r w:rsidRPr="00090851">
              <w:rPr>
                <w:sz w:val="20"/>
                <w:lang w:val="fr-CA"/>
              </w:rPr>
              <w:noBreakHyphen/>
              <w:t>t</w:t>
            </w:r>
            <w:r w:rsidRPr="00090851">
              <w:rPr>
                <w:sz w:val="20"/>
                <w:lang w:val="fr-CA"/>
              </w:rPr>
              <w:noBreakHyphen/>
              <w:t>il été appliqué dans le rapport fondé sur les articles 40 et 41? — La plainte a</w:t>
            </w:r>
            <w:r w:rsidRPr="00090851">
              <w:rPr>
                <w:sz w:val="20"/>
                <w:lang w:val="fr-CA"/>
              </w:rPr>
              <w:noBreakHyphen/>
              <w:t>t</w:t>
            </w:r>
            <w:r w:rsidRPr="00090851">
              <w:rPr>
                <w:sz w:val="20"/>
                <w:lang w:val="fr-CA"/>
              </w:rPr>
              <w:noBreakHyphen/>
              <w:t>elle été examinée au regard du bon article de la Loi? — Le manque de diversité dans la magistrature est</w:t>
            </w:r>
            <w:r w:rsidRPr="00090851">
              <w:rPr>
                <w:sz w:val="20"/>
                <w:lang w:val="fr-CA"/>
              </w:rPr>
              <w:noBreakHyphen/>
              <w:t>il reflété dans les décisions? — La cour a</w:t>
            </w:r>
            <w:r w:rsidRPr="00090851">
              <w:rPr>
                <w:sz w:val="20"/>
                <w:lang w:val="fr-CA"/>
              </w:rPr>
              <w:noBreakHyphen/>
              <w:t>t</w:t>
            </w:r>
            <w:r w:rsidRPr="00090851">
              <w:rPr>
                <w:sz w:val="20"/>
                <w:lang w:val="fr-CA"/>
              </w:rPr>
              <w:noBreakHyphen/>
              <w:t xml:space="preserve">elle violé le </w:t>
            </w:r>
            <w:r w:rsidRPr="00090851">
              <w:rPr>
                <w:i/>
                <w:iCs/>
                <w:sz w:val="20"/>
                <w:lang w:val="fr-CA"/>
              </w:rPr>
              <w:t>Pacte international relatif aux droits civils et politiques</w:t>
            </w:r>
            <w:r w:rsidRPr="00090851">
              <w:rPr>
                <w:sz w:val="20"/>
                <w:lang w:val="fr-CA"/>
              </w:rPr>
              <w:t>? — La cour a</w:t>
            </w:r>
            <w:r w:rsidRPr="00090851">
              <w:rPr>
                <w:sz w:val="20"/>
                <w:lang w:val="fr-CA"/>
              </w:rPr>
              <w:noBreakHyphen/>
              <w:t>t</w:t>
            </w:r>
            <w:r w:rsidRPr="00090851">
              <w:rPr>
                <w:sz w:val="20"/>
                <w:lang w:val="fr-CA"/>
              </w:rPr>
              <w:noBreakHyphen/>
              <w:t>elle eu tort de ne pas examiner la question constitutionnelle soulevée par le demandeur? — La demande d’autorisation soulève</w:t>
            </w:r>
            <w:r w:rsidRPr="00090851">
              <w:rPr>
                <w:sz w:val="20"/>
                <w:lang w:val="fr-CA"/>
              </w:rPr>
              <w:noBreakHyphen/>
              <w:t>t</w:t>
            </w:r>
            <w:r w:rsidRPr="00090851">
              <w:rPr>
                <w:sz w:val="20"/>
                <w:lang w:val="fr-CA"/>
              </w:rPr>
              <w:noBreakHyphen/>
              <w:t xml:space="preserve">elle une question d’importance pour le public? — </w:t>
            </w:r>
            <w:r w:rsidRPr="00090851">
              <w:rPr>
                <w:i/>
                <w:sz w:val="20"/>
                <w:lang w:val="fr-CA"/>
              </w:rPr>
              <w:t>Loi canadienne sur les droits de la personne</w:t>
            </w:r>
            <w:r w:rsidRPr="00090851">
              <w:rPr>
                <w:sz w:val="20"/>
                <w:lang w:val="fr-CA"/>
              </w:rPr>
              <w:t>, L.R.C. 1985, ch. H</w:t>
            </w:r>
            <w:r w:rsidRPr="00090851">
              <w:rPr>
                <w:sz w:val="20"/>
                <w:lang w:val="fr-CA"/>
              </w:rPr>
              <w:noBreakHyphen/>
              <w:t>6, al. 41(1)d).</w:t>
            </w:r>
          </w:p>
          <w:p w:rsidR="00090851" w:rsidRPr="00090851" w:rsidRDefault="00090851" w:rsidP="00090851">
            <w:pPr>
              <w:jc w:val="both"/>
              <w:rPr>
                <w:sz w:val="20"/>
                <w:lang w:val="fr-CA"/>
              </w:rPr>
            </w:pPr>
          </w:p>
        </w:tc>
      </w:tr>
      <w:tr w:rsidR="00090851" w:rsidRPr="00687DF9" w:rsidTr="00E95A6A">
        <w:tc>
          <w:tcPr>
            <w:tcW w:w="5000" w:type="pct"/>
            <w:gridSpan w:val="4"/>
          </w:tcPr>
          <w:p w:rsidR="00090851" w:rsidRPr="00090851" w:rsidRDefault="00090851" w:rsidP="00090851">
            <w:pPr>
              <w:jc w:val="both"/>
              <w:rPr>
                <w:sz w:val="20"/>
                <w:lang w:val="fr-CA"/>
              </w:rPr>
            </w:pPr>
            <w:r w:rsidRPr="00090851">
              <w:rPr>
                <w:sz w:val="20"/>
                <w:lang w:val="fr-CA"/>
              </w:rPr>
              <w:t>Le demandeur est un citoyen canadien et une personne racialisée qui réside à Guelph (Ontario). L’intimée est une société à but non lucratif qui exploite une station de radio communautaire à Guelph. Le demandeur s’est joint à la station intimée à titre de bénévole en 2015 et, à l’assemblée générale annuelle, le demandeur a présenté sa candidature pour devenir membre du Conseil. Les règlements administratifs de la station intimée exigent, entre autres choses, qu’au moins 50 % de ses administrateurs soient des femmes. L’élection de 2015 visait à combler quatre sièges pour des hommes qui étaient soit membres de la communauté, soit membres du corps professoral de l’université. Les six candidats ont eu l’occasion de prendre la parole et de présenter leurs qualifications, après quoi les personnes présentes ont voté. Le demandeur n’a pas été élu. Il y avait deux autres sièges vacants au Conseil destinés à des femmes, mais il n’y avait pas assez de candidates souhaitant obtenir une place au Conseil à ce moment-là.</w:t>
            </w:r>
          </w:p>
          <w:p w:rsidR="00090851" w:rsidRPr="00090851" w:rsidRDefault="00090851" w:rsidP="00090851">
            <w:pPr>
              <w:jc w:val="both"/>
              <w:rPr>
                <w:sz w:val="20"/>
                <w:lang w:val="fr-CA"/>
              </w:rPr>
            </w:pPr>
          </w:p>
          <w:p w:rsidR="00090851" w:rsidRPr="00090851" w:rsidRDefault="00090851" w:rsidP="00090851">
            <w:pPr>
              <w:jc w:val="both"/>
              <w:rPr>
                <w:sz w:val="20"/>
                <w:lang w:val="fr-CA"/>
              </w:rPr>
            </w:pPr>
            <w:r w:rsidRPr="00090851">
              <w:rPr>
                <w:sz w:val="20"/>
                <w:lang w:val="fr-CA"/>
              </w:rPr>
              <w:t xml:space="preserve">Le demandeur a porté plainte devant la Commission, alléguant que la procédure électorale de l’intimée avait fait preuve de discrimination à son endroit pour cause de déficience, de race, d’origine nationale ou ethnique et de couleur. La Commission a informé le demandeur qu’elle produirait un rapport fondé sur les articles 40 et 41 afin d’examiner si la plainte était frivole, vexatoire ou entachée de mauvaise foi au sens de l’al. 41(1)d) de la </w:t>
            </w:r>
            <w:r w:rsidRPr="00090851">
              <w:rPr>
                <w:i/>
                <w:sz w:val="20"/>
                <w:lang w:val="fr-CA"/>
              </w:rPr>
              <w:t>Loi canadienne sur les droits de la personne</w:t>
            </w:r>
            <w:r w:rsidRPr="00090851">
              <w:rPr>
                <w:sz w:val="20"/>
                <w:lang w:val="fr-CA"/>
              </w:rPr>
              <w:t>, et, après avoir reçu les observations du demandeur, a refusé d’examiner la plainte. La Cour fédérale a rejeté une demande de contrôle judiciaire et la Cour d’appel fédérale a rejeté un appel.</w:t>
            </w:r>
          </w:p>
          <w:p w:rsidR="00090851" w:rsidRPr="00090851" w:rsidRDefault="00090851" w:rsidP="00090851">
            <w:pPr>
              <w:jc w:val="both"/>
              <w:rPr>
                <w:sz w:val="20"/>
                <w:lang w:val="fr-CA"/>
              </w:rPr>
            </w:pPr>
          </w:p>
        </w:tc>
      </w:tr>
      <w:tr w:rsidR="00090851" w:rsidRPr="00687DF9" w:rsidTr="00E95A6A">
        <w:tc>
          <w:tcPr>
            <w:tcW w:w="2427" w:type="pct"/>
            <w:gridSpan w:val="2"/>
          </w:tcPr>
          <w:p w:rsidR="00090851" w:rsidRPr="00090851" w:rsidRDefault="00090851" w:rsidP="00090851">
            <w:pPr>
              <w:jc w:val="both"/>
              <w:rPr>
                <w:sz w:val="20"/>
                <w:lang w:val="fr-CA"/>
              </w:rPr>
            </w:pPr>
            <w:r w:rsidRPr="00090851">
              <w:rPr>
                <w:sz w:val="20"/>
                <w:lang w:val="fr-CA"/>
              </w:rPr>
              <w:t>4 décembre 2018</w:t>
            </w:r>
          </w:p>
          <w:p w:rsidR="00090851" w:rsidRPr="00090851" w:rsidRDefault="00090851" w:rsidP="00090851">
            <w:pPr>
              <w:jc w:val="both"/>
              <w:rPr>
                <w:sz w:val="20"/>
                <w:lang w:val="fr-CA"/>
              </w:rPr>
            </w:pPr>
            <w:r w:rsidRPr="00090851">
              <w:rPr>
                <w:sz w:val="20"/>
                <w:lang w:val="fr-CA"/>
              </w:rPr>
              <w:t>Cour fédérale</w:t>
            </w:r>
          </w:p>
          <w:p w:rsidR="00090851" w:rsidRPr="00090851" w:rsidRDefault="00090851" w:rsidP="00090851">
            <w:pPr>
              <w:jc w:val="both"/>
              <w:rPr>
                <w:sz w:val="20"/>
                <w:lang w:val="fr-CA"/>
              </w:rPr>
            </w:pPr>
            <w:r w:rsidRPr="00090851">
              <w:rPr>
                <w:sz w:val="20"/>
                <w:lang w:val="fr-CA"/>
              </w:rPr>
              <w:t>(Juge Manson)</w:t>
            </w:r>
          </w:p>
          <w:p w:rsidR="00090851" w:rsidRPr="00090851" w:rsidRDefault="00A254E1" w:rsidP="00090851">
            <w:pPr>
              <w:jc w:val="both"/>
              <w:rPr>
                <w:sz w:val="20"/>
                <w:lang w:val="fr-CA"/>
              </w:rPr>
            </w:pPr>
            <w:hyperlink r:id="rId32" w:history="1">
              <w:r w:rsidR="00090851" w:rsidRPr="00090851">
                <w:rPr>
                  <w:rStyle w:val="Hyperlink"/>
                  <w:sz w:val="20"/>
                  <w:lang w:val="fr-CA"/>
                </w:rPr>
                <w:t>2018 CF 1217</w:t>
              </w:r>
            </w:hyperlink>
          </w:p>
          <w:p w:rsidR="00090851" w:rsidRPr="00090851" w:rsidRDefault="00090851" w:rsidP="00090851">
            <w:pPr>
              <w:jc w:val="both"/>
              <w:rPr>
                <w:sz w:val="20"/>
                <w:lang w:val="fr-CA"/>
              </w:rPr>
            </w:pPr>
          </w:p>
        </w:tc>
        <w:tc>
          <w:tcPr>
            <w:tcW w:w="243" w:type="pct"/>
          </w:tcPr>
          <w:p w:rsidR="00090851" w:rsidRPr="00090851" w:rsidRDefault="00090851" w:rsidP="00090851">
            <w:pPr>
              <w:jc w:val="both"/>
              <w:rPr>
                <w:sz w:val="20"/>
                <w:lang w:val="fr-CA"/>
              </w:rPr>
            </w:pPr>
          </w:p>
        </w:tc>
        <w:tc>
          <w:tcPr>
            <w:tcW w:w="2330" w:type="pct"/>
          </w:tcPr>
          <w:p w:rsidR="00090851" w:rsidRPr="00090851" w:rsidRDefault="00090851" w:rsidP="00090851">
            <w:pPr>
              <w:jc w:val="both"/>
              <w:rPr>
                <w:sz w:val="20"/>
                <w:lang w:val="fr-CA"/>
              </w:rPr>
            </w:pPr>
            <w:r w:rsidRPr="00090851">
              <w:rPr>
                <w:sz w:val="20"/>
                <w:lang w:val="fr-CA"/>
              </w:rPr>
              <w:t>Rejet de la demande de contrôle judiciaire de la décision de la Commission.</w:t>
            </w:r>
          </w:p>
          <w:p w:rsidR="00090851" w:rsidRPr="00090851" w:rsidRDefault="00090851" w:rsidP="00090851">
            <w:pPr>
              <w:jc w:val="both"/>
              <w:rPr>
                <w:sz w:val="20"/>
                <w:lang w:val="fr-CA"/>
              </w:rPr>
            </w:pPr>
          </w:p>
        </w:tc>
      </w:tr>
      <w:tr w:rsidR="00090851" w:rsidRPr="00090851" w:rsidTr="00E95A6A">
        <w:tc>
          <w:tcPr>
            <w:tcW w:w="2427" w:type="pct"/>
            <w:gridSpan w:val="2"/>
          </w:tcPr>
          <w:p w:rsidR="00090851" w:rsidRPr="00090851" w:rsidRDefault="00090851" w:rsidP="00090851">
            <w:pPr>
              <w:jc w:val="both"/>
              <w:rPr>
                <w:sz w:val="20"/>
                <w:lang w:val="fr-CA"/>
              </w:rPr>
            </w:pPr>
            <w:r w:rsidRPr="00090851">
              <w:rPr>
                <w:sz w:val="20"/>
                <w:lang w:val="fr-CA"/>
              </w:rPr>
              <w:t>23 septembre 2020</w:t>
            </w:r>
          </w:p>
          <w:p w:rsidR="00090851" w:rsidRPr="00090851" w:rsidRDefault="00090851" w:rsidP="00090851">
            <w:pPr>
              <w:jc w:val="both"/>
              <w:rPr>
                <w:sz w:val="20"/>
                <w:lang w:val="fr-CA"/>
              </w:rPr>
            </w:pPr>
            <w:r w:rsidRPr="00090851">
              <w:rPr>
                <w:sz w:val="20"/>
                <w:lang w:val="fr-CA"/>
              </w:rPr>
              <w:t>Cour d’appel fédérale</w:t>
            </w:r>
          </w:p>
          <w:p w:rsidR="00090851" w:rsidRPr="00090851" w:rsidRDefault="00090851" w:rsidP="00090851">
            <w:pPr>
              <w:jc w:val="both"/>
              <w:rPr>
                <w:sz w:val="20"/>
                <w:lang w:val="fr-CA"/>
              </w:rPr>
            </w:pPr>
            <w:r w:rsidRPr="00090851">
              <w:rPr>
                <w:sz w:val="20"/>
                <w:lang w:val="fr-CA"/>
              </w:rPr>
              <w:t>(Juges Stratas, Laskin et Mactavish)</w:t>
            </w:r>
          </w:p>
          <w:p w:rsidR="00090851" w:rsidRPr="00090851" w:rsidRDefault="00A254E1" w:rsidP="00090851">
            <w:pPr>
              <w:jc w:val="both"/>
              <w:rPr>
                <w:sz w:val="20"/>
                <w:lang w:val="fr-CA"/>
              </w:rPr>
            </w:pPr>
            <w:hyperlink r:id="rId33" w:history="1">
              <w:r w:rsidR="00090851" w:rsidRPr="00090851">
                <w:rPr>
                  <w:rStyle w:val="Hyperlink"/>
                  <w:sz w:val="20"/>
                  <w:lang w:val="fr-CA"/>
                </w:rPr>
                <w:t>2020 CAF 148</w:t>
              </w:r>
            </w:hyperlink>
            <w:r w:rsidR="00090851" w:rsidRPr="00090851">
              <w:rPr>
                <w:sz w:val="20"/>
                <w:lang w:val="fr-CA"/>
              </w:rPr>
              <w:t>; A</w:t>
            </w:r>
            <w:r w:rsidR="00090851" w:rsidRPr="00090851">
              <w:rPr>
                <w:sz w:val="20"/>
                <w:lang w:val="fr-CA"/>
              </w:rPr>
              <w:noBreakHyphen/>
              <w:t>1</w:t>
            </w:r>
            <w:r w:rsidR="00090851" w:rsidRPr="00090851">
              <w:rPr>
                <w:sz w:val="20"/>
                <w:lang w:val="fr-CA"/>
              </w:rPr>
              <w:noBreakHyphen/>
              <w:t>19</w:t>
            </w:r>
          </w:p>
          <w:p w:rsidR="00090851" w:rsidRPr="00090851" w:rsidRDefault="00090851" w:rsidP="00090851">
            <w:pPr>
              <w:jc w:val="both"/>
              <w:rPr>
                <w:sz w:val="20"/>
                <w:lang w:val="fr-CA"/>
              </w:rPr>
            </w:pPr>
          </w:p>
        </w:tc>
        <w:tc>
          <w:tcPr>
            <w:tcW w:w="243" w:type="pct"/>
          </w:tcPr>
          <w:p w:rsidR="00090851" w:rsidRPr="00090851" w:rsidRDefault="00090851" w:rsidP="00090851">
            <w:pPr>
              <w:jc w:val="both"/>
              <w:rPr>
                <w:sz w:val="20"/>
                <w:lang w:val="fr-CA"/>
              </w:rPr>
            </w:pPr>
          </w:p>
        </w:tc>
        <w:tc>
          <w:tcPr>
            <w:tcW w:w="2330" w:type="pct"/>
          </w:tcPr>
          <w:p w:rsidR="00090851" w:rsidRPr="00090851" w:rsidRDefault="00090851" w:rsidP="00090851">
            <w:pPr>
              <w:jc w:val="both"/>
              <w:rPr>
                <w:sz w:val="20"/>
                <w:lang w:val="fr-CA"/>
              </w:rPr>
            </w:pPr>
            <w:r w:rsidRPr="00090851">
              <w:rPr>
                <w:sz w:val="20"/>
                <w:lang w:val="fr-CA"/>
              </w:rPr>
              <w:t>Rejet de l’appel.</w:t>
            </w:r>
          </w:p>
          <w:p w:rsidR="00090851" w:rsidRPr="00090851" w:rsidRDefault="00090851" w:rsidP="00090851">
            <w:pPr>
              <w:jc w:val="both"/>
              <w:rPr>
                <w:sz w:val="20"/>
                <w:lang w:val="fr-CA"/>
              </w:rPr>
            </w:pPr>
          </w:p>
        </w:tc>
      </w:tr>
      <w:tr w:rsidR="00090851" w:rsidRPr="00687DF9" w:rsidTr="00E95A6A">
        <w:tc>
          <w:tcPr>
            <w:tcW w:w="2427" w:type="pct"/>
            <w:gridSpan w:val="2"/>
          </w:tcPr>
          <w:p w:rsidR="00090851" w:rsidRPr="00090851" w:rsidRDefault="00090851" w:rsidP="00090851">
            <w:pPr>
              <w:jc w:val="both"/>
              <w:rPr>
                <w:sz w:val="20"/>
                <w:lang w:val="fr-CA"/>
              </w:rPr>
            </w:pPr>
            <w:r w:rsidRPr="00090851">
              <w:rPr>
                <w:sz w:val="20"/>
                <w:lang w:val="fr-CA"/>
              </w:rPr>
              <w:t>21 janvier 2021</w:t>
            </w:r>
          </w:p>
          <w:p w:rsidR="00090851" w:rsidRPr="00090851" w:rsidRDefault="00090851" w:rsidP="00FB642B">
            <w:pPr>
              <w:jc w:val="both"/>
              <w:rPr>
                <w:sz w:val="20"/>
                <w:lang w:val="fr-CA"/>
              </w:rPr>
            </w:pPr>
            <w:r w:rsidRPr="00090851">
              <w:rPr>
                <w:sz w:val="20"/>
                <w:lang w:val="fr-CA"/>
              </w:rPr>
              <w:t>Cour suprême du Canada</w:t>
            </w:r>
          </w:p>
        </w:tc>
        <w:tc>
          <w:tcPr>
            <w:tcW w:w="243" w:type="pct"/>
          </w:tcPr>
          <w:p w:rsidR="00090851" w:rsidRPr="00090851" w:rsidRDefault="00090851" w:rsidP="00090851">
            <w:pPr>
              <w:jc w:val="both"/>
              <w:rPr>
                <w:sz w:val="20"/>
                <w:lang w:val="fr-CA"/>
              </w:rPr>
            </w:pPr>
          </w:p>
        </w:tc>
        <w:tc>
          <w:tcPr>
            <w:tcW w:w="2330" w:type="pct"/>
          </w:tcPr>
          <w:p w:rsidR="00090851" w:rsidRPr="00090851" w:rsidRDefault="00090851" w:rsidP="00090851">
            <w:pPr>
              <w:jc w:val="both"/>
              <w:rPr>
                <w:sz w:val="20"/>
                <w:lang w:val="fr-CA"/>
              </w:rPr>
            </w:pPr>
            <w:r w:rsidRPr="00090851">
              <w:rPr>
                <w:sz w:val="20"/>
                <w:lang w:val="fr-CA"/>
              </w:rPr>
              <w:t>Dépôt de la demande d’autorisation d’appel.</w:t>
            </w:r>
          </w:p>
          <w:p w:rsidR="00090851" w:rsidRPr="00090851" w:rsidRDefault="00090851" w:rsidP="00090851">
            <w:pPr>
              <w:jc w:val="both"/>
              <w:rPr>
                <w:sz w:val="20"/>
                <w:lang w:val="fr-CA"/>
              </w:rPr>
            </w:pPr>
          </w:p>
        </w:tc>
      </w:tr>
    </w:tbl>
    <w:p w:rsidR="00777ECC" w:rsidRPr="00090851" w:rsidRDefault="00777ECC" w:rsidP="00350651">
      <w:pPr>
        <w:widowControl w:val="0"/>
        <w:tabs>
          <w:tab w:val="left" w:pos="3840"/>
        </w:tabs>
        <w:jc w:val="both"/>
        <w:rPr>
          <w:sz w:val="20"/>
          <w:lang w:val="fr-CA"/>
        </w:rPr>
      </w:pPr>
    </w:p>
    <w:p w:rsidR="005A7B6B" w:rsidRPr="00FE1470" w:rsidRDefault="00A254E1" w:rsidP="00350651">
      <w:pPr>
        <w:widowControl w:val="0"/>
        <w:jc w:val="both"/>
        <w:rPr>
          <w:sz w:val="20"/>
        </w:rPr>
      </w:pPr>
      <w:r>
        <w:rPr>
          <w:sz w:val="20"/>
        </w:rPr>
        <w:pict>
          <v:rect id="_x0000_i1038" style="width:2in;height:1pt" o:hrpct="0" o:hralign="center" o:hrstd="t" o:hrnoshade="t" o:hr="t" fillcolor="black [3213]" stroked="f"/>
        </w:pict>
      </w:r>
    </w:p>
    <w:p w:rsidR="00FD3FA0" w:rsidRPr="00FE1470" w:rsidRDefault="00FD3FA0" w:rsidP="00350651">
      <w:pPr>
        <w:ind w:left="142" w:hanging="142"/>
        <w:jc w:val="both"/>
        <w:rPr>
          <w:sz w:val="20"/>
        </w:rPr>
      </w:pPr>
    </w:p>
    <w:p w:rsidR="008F2F11" w:rsidRPr="00FE1470" w:rsidRDefault="008F2F11" w:rsidP="00350651">
      <w:pPr>
        <w:ind w:left="142" w:hanging="142"/>
        <w:jc w:val="both"/>
        <w:rPr>
          <w:sz w:val="20"/>
        </w:rPr>
      </w:pPr>
    </w:p>
    <w:p w:rsidR="008F2F11" w:rsidRPr="00FE1470" w:rsidRDefault="008F2F11" w:rsidP="00350651">
      <w:pPr>
        <w:ind w:left="142" w:hanging="142"/>
        <w:jc w:val="both"/>
        <w:rPr>
          <w:sz w:val="20"/>
        </w:rPr>
      </w:pPr>
    </w:p>
    <w:p w:rsidR="00D3344A" w:rsidRPr="00FE1470" w:rsidRDefault="00D3344A" w:rsidP="00D3344A">
      <w:pPr>
        <w:widowControl w:val="0"/>
        <w:outlineLvl w:val="0"/>
      </w:pPr>
      <w:r w:rsidRPr="00FE1470">
        <w:t xml:space="preserve">Supreme Court of Canada / Cour suprême du </w:t>
      </w:r>
      <w:proofErr w:type="gramStart"/>
      <w:r w:rsidRPr="00FE1470">
        <w:t>Canad</w:t>
      </w:r>
      <w:r w:rsidR="00EE289F" w:rsidRPr="00FE1470">
        <w:t>a</w:t>
      </w:r>
      <w:r w:rsidRPr="00FE1470">
        <w:t xml:space="preserve"> :</w:t>
      </w:r>
      <w:proofErr w:type="gramEnd"/>
    </w:p>
    <w:p w:rsidR="00D3344A" w:rsidRPr="00FE1470" w:rsidRDefault="00A254E1" w:rsidP="00D3344A">
      <w:pPr>
        <w:widowControl w:val="0"/>
        <w:outlineLvl w:val="0"/>
        <w:rPr>
          <w:u w:val="single"/>
        </w:rPr>
      </w:pPr>
      <w:hyperlink r:id="rId34" w:history="1">
        <w:r w:rsidR="009B7391" w:rsidRPr="00FE1470">
          <w:rPr>
            <w:rStyle w:val="Hyperlink"/>
          </w:rPr>
          <w:t>comments-commentaires@scc-csc.ca</w:t>
        </w:r>
      </w:hyperlink>
    </w:p>
    <w:p w:rsidR="00D3344A" w:rsidRPr="00FE1470" w:rsidRDefault="0065588C" w:rsidP="00D3344A">
      <w:pPr>
        <w:widowControl w:val="0"/>
        <w:outlineLvl w:val="0"/>
      </w:pPr>
      <w:r w:rsidRPr="00FE1470">
        <w:t>613-</w:t>
      </w:r>
      <w:r w:rsidR="00D3344A" w:rsidRPr="00FE1470">
        <w:t>995-4330</w:t>
      </w:r>
    </w:p>
    <w:p w:rsidR="00497B5E" w:rsidRPr="00FE1470" w:rsidRDefault="00497B5E" w:rsidP="00497B5E">
      <w:pPr>
        <w:widowControl w:val="0"/>
        <w:rPr>
          <w:sz w:val="20"/>
        </w:rPr>
      </w:pPr>
    </w:p>
    <w:p w:rsidR="00F6251B" w:rsidRPr="006E558B" w:rsidRDefault="003F43E6" w:rsidP="00F6251B">
      <w:pPr>
        <w:pStyle w:val="Footer"/>
        <w:jc w:val="center"/>
      </w:pPr>
      <w:r w:rsidRPr="00FE1470">
        <w:t>- 30 -</w:t>
      </w:r>
    </w:p>
    <w:sectPr w:rsidR="00F6251B" w:rsidRPr="006E558B" w:rsidSect="00E62F93">
      <w:headerReference w:type="even" r:id="rId35"/>
      <w:headerReference w:type="default" r:id="rId36"/>
      <w:footerReference w:type="even" r:id="rId37"/>
      <w:footerReference w:type="default" r:id="rId38"/>
      <w:headerReference w:type="first" r:id="rId39"/>
      <w:footerReference w:type="first" r:id="rId40"/>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719" w:rsidRDefault="00657719" w:rsidP="0034178A">
      <w:r>
        <w:separator/>
      </w:r>
    </w:p>
  </w:endnote>
  <w:endnote w:type="continuationSeparator" w:id="0">
    <w:p w:rsidR="00657719" w:rsidRDefault="00657719"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19" w:rsidRDefault="00657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19" w:rsidRPr="009F77F0" w:rsidRDefault="00657719"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19" w:rsidRDefault="00657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719" w:rsidRDefault="00657719" w:rsidP="0034178A">
      <w:r>
        <w:separator/>
      </w:r>
    </w:p>
  </w:footnote>
  <w:footnote w:type="continuationSeparator" w:id="0">
    <w:p w:rsidR="00657719" w:rsidRDefault="00657719"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19" w:rsidRDefault="00657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19" w:rsidRDefault="006577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19" w:rsidRDefault="00657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4"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7"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6"/>
  </w:num>
  <w:num w:numId="5">
    <w:abstractNumId w:val="10"/>
  </w:num>
  <w:num w:numId="6">
    <w:abstractNumId w:val="5"/>
  </w:num>
  <w:num w:numId="7">
    <w:abstractNumId w:val="4"/>
  </w:num>
  <w:num w:numId="8">
    <w:abstractNumId w:val="3"/>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0"/>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4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69EA"/>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87DF9"/>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4E1"/>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C8"/>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B93"/>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8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731" TargetMode="External"/><Relationship Id="rId13" Type="http://schemas.openxmlformats.org/officeDocument/2006/relationships/hyperlink" Target="https://www.scc-csc.ca/case-dossier/info/sum-som-eng.aspx?cas=39714" TargetMode="External"/><Relationship Id="rId18" Type="http://schemas.openxmlformats.org/officeDocument/2006/relationships/hyperlink" Target="https://www.canlii.org/en/bc/bcsc/doc/2020/2020bcsc2135/2020bcsc2135.html" TargetMode="External"/><Relationship Id="rId26" Type="http://schemas.openxmlformats.org/officeDocument/2006/relationships/hyperlink" Target="https://canlii.ca/t/jffqx"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anlii.org/en/on/onca/doc/2020/2020onca751/2020onca751.html?autocompleteStr=2020%20onca%20751&amp;autocompletePos=1" TargetMode="External"/><Relationship Id="rId34" Type="http://schemas.openxmlformats.org/officeDocument/2006/relationships/hyperlink" Target="mailto:comments-commentaires@scc-csc.c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9713" TargetMode="External"/><Relationship Id="rId17" Type="http://schemas.openxmlformats.org/officeDocument/2006/relationships/hyperlink" Target="https://www.canlii.org/en/bc/bcca/doc/2021/2021bcca232/2021bcca232.html?autocompleteStr=CA47150&amp;autocompletePos=1" TargetMode="External"/><Relationship Id="rId25" Type="http://schemas.openxmlformats.org/officeDocument/2006/relationships/hyperlink" Target="https://canlii.ca/t/j9gmt" TargetMode="External"/><Relationship Id="rId33" Type="http://schemas.openxmlformats.org/officeDocument/2006/relationships/hyperlink" Target="https://www.canlii.org/fr/ca/caf/doc/2020/2020caf148/2020caf148.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lii.org/en/bc/bcsc/doc/2020/2020bcsc2135/2020bcsc2135.html" TargetMode="External"/><Relationship Id="rId20" Type="http://schemas.openxmlformats.org/officeDocument/2006/relationships/hyperlink" Target="https://www.canlii.org/en/on/onsc/doc/2020/2020onsc2147/2020onsc2147.html?autocompleteStr=2020%20onsc%202147&amp;autocompletePos=1" TargetMode="External"/><Relationship Id="rId29" Type="http://schemas.openxmlformats.org/officeDocument/2006/relationships/hyperlink" Target="https://canlii.ca/t/jffq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727" TargetMode="External"/><Relationship Id="rId24" Type="http://schemas.openxmlformats.org/officeDocument/2006/relationships/hyperlink" Target="https://www.canlii.org/en/ca/laws/stat/rsc-1985-c-3-2nd-supp/latest/rsc-1985-c-3-2nd-supp.html" TargetMode="External"/><Relationship Id="rId32" Type="http://schemas.openxmlformats.org/officeDocument/2006/relationships/hyperlink" Target="https://www.canlii.org/fr/ca/cfpi/doc/2018/2018cf1217/2018cf1217.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anlii.org/en/nl/nlca/doc/2021/2021nlca27/2021nlca27.html?autocompleteStr=2021%20nlca%2027&amp;autocompletePos=1" TargetMode="External"/><Relationship Id="rId23" Type="http://schemas.openxmlformats.org/officeDocument/2006/relationships/hyperlink" Target="https://www.canlii.org/en/on/onca/doc/2020/2020onca751/2020onca751.html?autocompleteStr=2020%20onca%20751&amp;autocompletePos=1" TargetMode="External"/><Relationship Id="rId28" Type="http://schemas.openxmlformats.org/officeDocument/2006/relationships/hyperlink" Target="https://canlii.ca/t/j9gmt" TargetMode="External"/><Relationship Id="rId36" Type="http://schemas.openxmlformats.org/officeDocument/2006/relationships/header" Target="header2.xml"/><Relationship Id="rId10" Type="http://schemas.openxmlformats.org/officeDocument/2006/relationships/hyperlink" Target="https://www.scc-csc.ca/case-dossier/info/sum-som-eng.aspx?cas=39548" TargetMode="External"/><Relationship Id="rId19" Type="http://schemas.openxmlformats.org/officeDocument/2006/relationships/hyperlink" Target="https://www.canlii.org/en/bc/bcca/doc/2021/2021bcca232/2021bcca232.html?autocompleteStr=CA47150&amp;autocompletePos=1" TargetMode="External"/><Relationship Id="rId31" Type="http://schemas.openxmlformats.org/officeDocument/2006/relationships/hyperlink" Target="https://www.canlii.org/en/ca/fca/doc/2020/2020fca148/2020fca148.html?autocompleteStr=Konesavar&amp;autocompletePos=27" TargetMode="External"/><Relationship Id="rId4" Type="http://schemas.openxmlformats.org/officeDocument/2006/relationships/settings" Target="settings.xml"/><Relationship Id="rId9" Type="http://schemas.openxmlformats.org/officeDocument/2006/relationships/hyperlink" Target="https://www.scc-csc.ca/case-dossier/info/sum-som-eng.aspx?cas=39775" TargetMode="External"/><Relationship Id="rId14" Type="http://schemas.openxmlformats.org/officeDocument/2006/relationships/hyperlink" Target="https://www.canlii.org/en/nl/nlca/doc/2021/2021nlca27/2021nlca27.html?autocompleteStr=2021%20nlca%2027&amp;autocompletePos=1" TargetMode="External"/><Relationship Id="rId22" Type="http://schemas.openxmlformats.org/officeDocument/2006/relationships/hyperlink" Target="https://www.canlii.org/en/on/onsc/doc/2020/2020onsc2147/2020onsc2147.html?autocompleteStr=2020%20onsc%202147&amp;autocompletePos=1" TargetMode="External"/><Relationship Id="rId27" Type="http://schemas.openxmlformats.org/officeDocument/2006/relationships/hyperlink" Target="https://www.canlii.org/en/ca/laws/stat/rsc-1985-c-3-2nd-supp/latest/rsc-1985-c-3-2nd-supp.html" TargetMode="External"/><Relationship Id="rId30" Type="http://schemas.openxmlformats.org/officeDocument/2006/relationships/hyperlink" Target="https://www.canlii.org/en/ca/fct/doc/2018/2018fc1217/2018fc1217.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0648-5512-4CC6-9FAD-7F54353D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5245</Words>
  <Characters>29898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35073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2021-11-08T13:22:00Z</dcterms:modified>
</cp:coreProperties>
</file>