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6773D9" w:rsidRDefault="000E391F" w:rsidP="000E391F">
      <w:pPr>
        <w:pStyle w:val="Header"/>
        <w:jc w:val="center"/>
        <w:rPr>
          <w:b/>
          <w:sz w:val="32"/>
        </w:rPr>
      </w:pPr>
      <w:r w:rsidRPr="006773D9">
        <w:rPr>
          <w:b/>
          <w:sz w:val="32"/>
        </w:rPr>
        <w:t>Supreme Court of Canada / Cour suprême du Canada</w:t>
      </w:r>
    </w:p>
    <w:p w:rsidR="000E391F" w:rsidRPr="006773D9" w:rsidRDefault="000E391F" w:rsidP="000E391F">
      <w:pPr>
        <w:widowControl w:val="0"/>
      </w:pPr>
    </w:p>
    <w:p w:rsidR="000E391F" w:rsidRPr="006773D9" w:rsidRDefault="000E391F" w:rsidP="000E391F">
      <w:pPr>
        <w:widowControl w:val="0"/>
        <w:rPr>
          <w:i/>
        </w:rPr>
      </w:pPr>
    </w:p>
    <w:p w:rsidR="006F2579" w:rsidRPr="006773D9" w:rsidRDefault="006F2579" w:rsidP="006F2579">
      <w:pPr>
        <w:widowControl w:val="0"/>
        <w:rPr>
          <w:i/>
          <w:sz w:val="20"/>
        </w:rPr>
      </w:pPr>
      <w:r w:rsidRPr="006773D9">
        <w:rPr>
          <w:i/>
          <w:sz w:val="20"/>
        </w:rPr>
        <w:t>(</w:t>
      </w:r>
      <w:r w:rsidR="003240B6" w:rsidRPr="006773D9">
        <w:rPr>
          <w:i/>
          <w:sz w:val="20"/>
        </w:rPr>
        <w:t>L</w:t>
      </w:r>
      <w:r w:rsidRPr="006773D9">
        <w:rPr>
          <w:i/>
          <w:sz w:val="20"/>
        </w:rPr>
        <w:t>e français suit)</w:t>
      </w:r>
    </w:p>
    <w:p w:rsidR="006F2579" w:rsidRPr="006773D9" w:rsidRDefault="006F2579" w:rsidP="006F2579">
      <w:pPr>
        <w:widowControl w:val="0"/>
      </w:pPr>
    </w:p>
    <w:p w:rsidR="006F2579" w:rsidRPr="006773D9" w:rsidRDefault="00B07908" w:rsidP="006F2579">
      <w:pPr>
        <w:widowControl w:val="0"/>
        <w:jc w:val="center"/>
        <w:rPr>
          <w:b/>
        </w:rPr>
      </w:pPr>
      <w:r w:rsidRPr="006773D9">
        <w:fldChar w:fldCharType="begin"/>
      </w:r>
      <w:r w:rsidR="006F2579" w:rsidRPr="006773D9">
        <w:instrText xml:space="preserve"> SEQ CHAPTER \h \r 1</w:instrText>
      </w:r>
      <w:r w:rsidRPr="006773D9">
        <w:fldChar w:fldCharType="end"/>
      </w:r>
      <w:r w:rsidR="006F2579" w:rsidRPr="006773D9">
        <w:rPr>
          <w:b/>
        </w:rPr>
        <w:t>JUDGMENT</w:t>
      </w:r>
      <w:r w:rsidR="00B17AAC" w:rsidRPr="006773D9">
        <w:rPr>
          <w:b/>
        </w:rPr>
        <w:t>S</w:t>
      </w:r>
      <w:r w:rsidR="006F2579" w:rsidRPr="006773D9">
        <w:rPr>
          <w:b/>
        </w:rPr>
        <w:t xml:space="preserve"> TO B</w:t>
      </w:r>
      <w:r w:rsidR="00001846" w:rsidRPr="006773D9">
        <w:rPr>
          <w:b/>
        </w:rPr>
        <w:t>E RENDERED IN LE</w:t>
      </w:r>
      <w:r w:rsidR="00A0288A" w:rsidRPr="006773D9">
        <w:rPr>
          <w:b/>
        </w:rPr>
        <w:t>A</w:t>
      </w:r>
      <w:r w:rsidR="00001846" w:rsidRPr="006773D9">
        <w:rPr>
          <w:b/>
        </w:rPr>
        <w:t>VE APPLICATION</w:t>
      </w:r>
      <w:r w:rsidR="00511288" w:rsidRPr="006773D9">
        <w:rPr>
          <w:b/>
        </w:rPr>
        <w:t>S</w:t>
      </w:r>
    </w:p>
    <w:p w:rsidR="006F2579" w:rsidRPr="006773D9" w:rsidRDefault="006F2579" w:rsidP="006F2579">
      <w:pPr>
        <w:widowControl w:val="0"/>
      </w:pPr>
    </w:p>
    <w:p w:rsidR="006F2579" w:rsidRPr="006773D9" w:rsidRDefault="00075EC0" w:rsidP="006F2579">
      <w:pPr>
        <w:widowControl w:val="0"/>
      </w:pPr>
      <w:r w:rsidRPr="006773D9">
        <w:rPr>
          <w:b/>
        </w:rPr>
        <w:t>November</w:t>
      </w:r>
      <w:r w:rsidR="00A15B66" w:rsidRPr="006773D9">
        <w:rPr>
          <w:b/>
        </w:rPr>
        <w:t xml:space="preserve"> </w:t>
      </w:r>
      <w:r w:rsidR="004E723C" w:rsidRPr="006773D9">
        <w:rPr>
          <w:b/>
        </w:rPr>
        <w:t>22</w:t>
      </w:r>
      <w:r w:rsidR="004441C7" w:rsidRPr="006773D9">
        <w:rPr>
          <w:b/>
        </w:rPr>
        <w:t>,</w:t>
      </w:r>
      <w:r w:rsidR="006F2579" w:rsidRPr="006773D9">
        <w:rPr>
          <w:b/>
        </w:rPr>
        <w:t xml:space="preserve"> </w:t>
      </w:r>
      <w:r w:rsidR="0054689F" w:rsidRPr="006773D9">
        <w:rPr>
          <w:b/>
        </w:rPr>
        <w:t>20</w:t>
      </w:r>
      <w:r w:rsidR="00526754" w:rsidRPr="006773D9">
        <w:rPr>
          <w:b/>
        </w:rPr>
        <w:t>2</w:t>
      </w:r>
      <w:r w:rsidR="0068416C" w:rsidRPr="006773D9">
        <w:rPr>
          <w:b/>
        </w:rPr>
        <w:t>1</w:t>
      </w:r>
    </w:p>
    <w:p w:rsidR="006F2579" w:rsidRPr="006773D9" w:rsidRDefault="00674F39" w:rsidP="006F2579">
      <w:pPr>
        <w:widowControl w:val="0"/>
        <w:rPr>
          <w:b/>
        </w:rPr>
      </w:pPr>
      <w:r w:rsidRPr="006773D9">
        <w:rPr>
          <w:b/>
        </w:rPr>
        <w:t>For immediate release</w:t>
      </w:r>
    </w:p>
    <w:p w:rsidR="006F2579" w:rsidRPr="006773D9" w:rsidRDefault="006F2579" w:rsidP="006F2579">
      <w:pPr>
        <w:widowControl w:val="0"/>
      </w:pPr>
    </w:p>
    <w:p w:rsidR="006F2579" w:rsidRPr="006773D9" w:rsidRDefault="006F2579" w:rsidP="006F2579">
      <w:pPr>
        <w:widowControl w:val="0"/>
        <w:rPr>
          <w:lang w:val="fr-CA"/>
        </w:rPr>
      </w:pPr>
      <w:r w:rsidRPr="006773D9">
        <w:rPr>
          <w:b/>
        </w:rPr>
        <w:t>OTTAWA</w:t>
      </w:r>
      <w:r w:rsidRPr="006773D9">
        <w:t xml:space="preserve"> – The Supreme Court of Canad</w:t>
      </w:r>
      <w:r w:rsidR="006246E4" w:rsidRPr="006773D9">
        <w:t>a</w:t>
      </w:r>
      <w:r w:rsidRPr="006773D9">
        <w:t xml:space="preserve"> announced today that judgment in the following </w:t>
      </w:r>
      <w:r w:rsidR="00DB6199" w:rsidRPr="006773D9">
        <w:t xml:space="preserve">leave applications </w:t>
      </w:r>
      <w:r w:rsidRPr="006773D9">
        <w:t xml:space="preserve">will be delivered at 9:45 a.m. </w:t>
      </w:r>
      <w:r w:rsidR="00E05816" w:rsidRPr="006773D9">
        <w:t>E</w:t>
      </w:r>
      <w:r w:rsidR="006D4676" w:rsidRPr="006773D9">
        <w:t>S</w:t>
      </w:r>
      <w:r w:rsidR="00E05816" w:rsidRPr="006773D9">
        <w:t>T</w:t>
      </w:r>
      <w:r w:rsidRPr="006773D9">
        <w:t xml:space="preserve"> on </w:t>
      </w:r>
      <w:r w:rsidR="00322A9C" w:rsidRPr="006773D9">
        <w:t>Thurs</w:t>
      </w:r>
      <w:r w:rsidR="00680A85" w:rsidRPr="006773D9">
        <w:t>day</w:t>
      </w:r>
      <w:r w:rsidRPr="006773D9">
        <w:t xml:space="preserve">, </w:t>
      </w:r>
      <w:r w:rsidR="00075EC0" w:rsidRPr="006773D9">
        <w:t>Novem</w:t>
      </w:r>
      <w:r w:rsidR="00F45DCD" w:rsidRPr="006773D9">
        <w:t>ber</w:t>
      </w:r>
      <w:r w:rsidR="00455912" w:rsidRPr="006773D9">
        <w:t xml:space="preserve"> </w:t>
      </w:r>
      <w:r w:rsidR="004E723C" w:rsidRPr="006773D9">
        <w:t>25</w:t>
      </w:r>
      <w:r w:rsidR="007E112F" w:rsidRPr="006773D9">
        <w:t>,</w:t>
      </w:r>
      <w:r w:rsidR="002F38D7" w:rsidRPr="006773D9">
        <w:t xml:space="preserve"> </w:t>
      </w:r>
      <w:r w:rsidR="006648D1" w:rsidRPr="006773D9">
        <w:t>20</w:t>
      </w:r>
      <w:r w:rsidR="00526754" w:rsidRPr="006773D9">
        <w:t>2</w:t>
      </w:r>
      <w:r w:rsidR="00DD65CF" w:rsidRPr="006773D9">
        <w:t>1</w:t>
      </w:r>
      <w:r w:rsidRPr="006773D9">
        <w:t xml:space="preserve">. </w:t>
      </w:r>
      <w:r w:rsidRPr="006773D9">
        <w:rPr>
          <w:lang w:val="fr-CA"/>
        </w:rPr>
        <w:t>This list is subject to chang</w:t>
      </w:r>
      <w:r w:rsidR="00192F7F" w:rsidRPr="006773D9">
        <w:rPr>
          <w:lang w:val="fr-CA"/>
        </w:rPr>
        <w:t>e</w:t>
      </w:r>
      <w:r w:rsidRPr="006773D9">
        <w:rPr>
          <w:lang w:val="fr-CA"/>
        </w:rPr>
        <w:t>.</w:t>
      </w:r>
    </w:p>
    <w:p w:rsidR="00FF5AA4" w:rsidRPr="006773D9" w:rsidRDefault="00FF5AA4" w:rsidP="006F2579">
      <w:pPr>
        <w:widowControl w:val="0"/>
        <w:rPr>
          <w:lang w:val="fr-CA"/>
        </w:rPr>
      </w:pPr>
    </w:p>
    <w:p w:rsidR="00B43418" w:rsidRPr="006773D9" w:rsidRDefault="00B43418" w:rsidP="006F2579">
      <w:pPr>
        <w:widowControl w:val="0"/>
        <w:rPr>
          <w:lang w:val="fr-CA"/>
        </w:rPr>
      </w:pPr>
    </w:p>
    <w:p w:rsidR="006F2579" w:rsidRPr="006773D9" w:rsidRDefault="006F2579" w:rsidP="006F2579">
      <w:pPr>
        <w:widowControl w:val="0"/>
        <w:jc w:val="center"/>
        <w:rPr>
          <w:lang w:val="fr-CA"/>
        </w:rPr>
      </w:pPr>
      <w:r w:rsidRPr="006773D9">
        <w:rPr>
          <w:b/>
          <w:lang w:val="fr-CA"/>
        </w:rPr>
        <w:t>PROCHAIN</w:t>
      </w:r>
      <w:r w:rsidR="00B17AAC" w:rsidRPr="006773D9">
        <w:rPr>
          <w:b/>
          <w:lang w:val="fr-CA"/>
        </w:rPr>
        <w:t>S</w:t>
      </w:r>
      <w:r w:rsidRPr="006773D9">
        <w:rPr>
          <w:b/>
          <w:lang w:val="fr-CA"/>
        </w:rPr>
        <w:t xml:space="preserve"> JUGEMENT</w:t>
      </w:r>
      <w:r w:rsidR="00B17AAC" w:rsidRPr="006773D9">
        <w:rPr>
          <w:b/>
          <w:lang w:val="fr-CA"/>
        </w:rPr>
        <w:t>S</w:t>
      </w:r>
      <w:r w:rsidR="00001846" w:rsidRPr="006773D9">
        <w:rPr>
          <w:b/>
          <w:lang w:val="fr-CA"/>
        </w:rPr>
        <w:t xml:space="preserve"> SUR DEMANDE</w:t>
      </w:r>
      <w:r w:rsidR="00B17AAC" w:rsidRPr="006773D9">
        <w:rPr>
          <w:b/>
          <w:lang w:val="fr-CA"/>
        </w:rPr>
        <w:t>S</w:t>
      </w:r>
      <w:r w:rsidRPr="006773D9">
        <w:rPr>
          <w:b/>
          <w:lang w:val="fr-CA"/>
        </w:rPr>
        <w:t xml:space="preserve"> D’AUTORISATION</w:t>
      </w:r>
    </w:p>
    <w:p w:rsidR="006F2579" w:rsidRPr="006773D9" w:rsidRDefault="006F2579" w:rsidP="006F2579">
      <w:pPr>
        <w:widowControl w:val="0"/>
        <w:rPr>
          <w:lang w:val="fr-CA"/>
        </w:rPr>
      </w:pPr>
    </w:p>
    <w:p w:rsidR="006F2579" w:rsidRPr="006773D9" w:rsidRDefault="006F2579" w:rsidP="006F2579">
      <w:pPr>
        <w:widowControl w:val="0"/>
        <w:rPr>
          <w:lang w:val="fr-CA"/>
        </w:rPr>
      </w:pPr>
      <w:r w:rsidRPr="006773D9">
        <w:rPr>
          <w:b/>
          <w:lang w:val="fr-CA"/>
        </w:rPr>
        <w:t>Le</w:t>
      </w:r>
      <w:r w:rsidR="00957A76" w:rsidRPr="006773D9">
        <w:rPr>
          <w:b/>
          <w:lang w:val="fr-CA"/>
        </w:rPr>
        <w:t xml:space="preserve"> </w:t>
      </w:r>
      <w:r w:rsidR="004E723C" w:rsidRPr="006773D9">
        <w:rPr>
          <w:b/>
          <w:lang w:val="fr-CA"/>
        </w:rPr>
        <w:t>22</w:t>
      </w:r>
      <w:r w:rsidR="00075EC0" w:rsidRPr="006773D9">
        <w:rPr>
          <w:b/>
          <w:lang w:val="fr-CA"/>
        </w:rPr>
        <w:t xml:space="preserve"> novem</w:t>
      </w:r>
      <w:r w:rsidR="00777ECC" w:rsidRPr="006773D9">
        <w:rPr>
          <w:b/>
          <w:lang w:val="fr-CA"/>
        </w:rPr>
        <w:t>bre</w:t>
      </w:r>
      <w:r w:rsidR="00A151D1" w:rsidRPr="006773D9">
        <w:rPr>
          <w:b/>
          <w:lang w:val="fr-CA"/>
        </w:rPr>
        <w:t xml:space="preserve"> 20</w:t>
      </w:r>
      <w:r w:rsidR="00526754" w:rsidRPr="006773D9">
        <w:rPr>
          <w:b/>
          <w:lang w:val="fr-CA"/>
        </w:rPr>
        <w:t>2</w:t>
      </w:r>
      <w:r w:rsidR="0068416C" w:rsidRPr="006773D9">
        <w:rPr>
          <w:b/>
          <w:lang w:val="fr-CA"/>
        </w:rPr>
        <w:t>1</w:t>
      </w:r>
    </w:p>
    <w:p w:rsidR="006F2579" w:rsidRPr="006773D9" w:rsidRDefault="006F2579" w:rsidP="006F2579">
      <w:pPr>
        <w:widowControl w:val="0"/>
        <w:rPr>
          <w:b/>
          <w:lang w:val="fr-CA"/>
        </w:rPr>
      </w:pPr>
      <w:r w:rsidRPr="006773D9">
        <w:rPr>
          <w:b/>
          <w:lang w:val="fr-CA"/>
        </w:rPr>
        <w:t>Pour diffusion immédiate</w:t>
      </w:r>
    </w:p>
    <w:p w:rsidR="006F2579" w:rsidRPr="006773D9" w:rsidRDefault="006F2579" w:rsidP="006F2579">
      <w:pPr>
        <w:widowControl w:val="0"/>
        <w:rPr>
          <w:lang w:val="fr-CA"/>
        </w:rPr>
      </w:pPr>
    </w:p>
    <w:p w:rsidR="006F2579" w:rsidRPr="006773D9" w:rsidRDefault="006F2579" w:rsidP="006F2579">
      <w:pPr>
        <w:widowControl w:val="0"/>
        <w:rPr>
          <w:lang w:val="fr-CA"/>
        </w:rPr>
      </w:pPr>
      <w:r w:rsidRPr="006773D9">
        <w:rPr>
          <w:b/>
          <w:lang w:val="fr-CA"/>
        </w:rPr>
        <w:t>OTTAWA</w:t>
      </w:r>
      <w:r w:rsidRPr="006773D9">
        <w:rPr>
          <w:lang w:val="fr-CA"/>
        </w:rPr>
        <w:t xml:space="preserve"> – La Cour suprême du Canada annonce que jugement ser</w:t>
      </w:r>
      <w:r w:rsidR="004259F9" w:rsidRPr="006773D9">
        <w:rPr>
          <w:lang w:val="fr-CA"/>
        </w:rPr>
        <w:t>a</w:t>
      </w:r>
      <w:r w:rsidRPr="006773D9">
        <w:rPr>
          <w:lang w:val="fr-CA"/>
        </w:rPr>
        <w:t xml:space="preserve"> rendu dans l</w:t>
      </w:r>
      <w:r w:rsidR="008600ED" w:rsidRPr="006773D9">
        <w:rPr>
          <w:lang w:val="fr-CA"/>
        </w:rPr>
        <w:t>es</w:t>
      </w:r>
      <w:r w:rsidRPr="006773D9">
        <w:rPr>
          <w:lang w:val="fr-CA"/>
        </w:rPr>
        <w:t xml:space="preserve"> demande</w:t>
      </w:r>
      <w:r w:rsidR="008600ED" w:rsidRPr="006773D9">
        <w:rPr>
          <w:lang w:val="fr-CA"/>
        </w:rPr>
        <w:t>s</w:t>
      </w:r>
      <w:r w:rsidRPr="006773D9">
        <w:rPr>
          <w:lang w:val="fr-CA"/>
        </w:rPr>
        <w:t xml:space="preserve"> d</w:t>
      </w:r>
      <w:r w:rsidR="00001846" w:rsidRPr="006773D9">
        <w:rPr>
          <w:lang w:val="fr-CA"/>
        </w:rPr>
        <w:t>’autorisation suivante</w:t>
      </w:r>
      <w:r w:rsidR="008600ED" w:rsidRPr="006773D9">
        <w:rPr>
          <w:lang w:val="fr-CA"/>
        </w:rPr>
        <w:t>s</w:t>
      </w:r>
      <w:r w:rsidRPr="006773D9">
        <w:rPr>
          <w:lang w:val="fr-CA"/>
        </w:rPr>
        <w:t xml:space="preserve"> le </w:t>
      </w:r>
      <w:r w:rsidR="00322A9C" w:rsidRPr="006773D9">
        <w:rPr>
          <w:lang w:val="fr-CA"/>
        </w:rPr>
        <w:t>jeu</w:t>
      </w:r>
      <w:r w:rsidR="00680A85" w:rsidRPr="006773D9">
        <w:rPr>
          <w:lang w:val="fr-CA"/>
        </w:rPr>
        <w:t>di</w:t>
      </w:r>
      <w:r w:rsidRPr="006773D9">
        <w:rPr>
          <w:lang w:val="fr-CA"/>
        </w:rPr>
        <w:t xml:space="preserve"> </w:t>
      </w:r>
      <w:r w:rsidR="004E723C" w:rsidRPr="006773D9">
        <w:rPr>
          <w:lang w:val="fr-CA"/>
        </w:rPr>
        <w:t>25</w:t>
      </w:r>
      <w:r w:rsidR="009E0BD3" w:rsidRPr="006773D9">
        <w:rPr>
          <w:lang w:val="fr-CA"/>
        </w:rPr>
        <w:t xml:space="preserve"> </w:t>
      </w:r>
      <w:r w:rsidR="00075EC0" w:rsidRPr="006773D9">
        <w:rPr>
          <w:lang w:val="fr-CA"/>
        </w:rPr>
        <w:t>novem</w:t>
      </w:r>
      <w:r w:rsidR="00777ECC" w:rsidRPr="006773D9">
        <w:rPr>
          <w:lang w:val="fr-CA"/>
        </w:rPr>
        <w:t>bre</w:t>
      </w:r>
      <w:r w:rsidR="00694391" w:rsidRPr="006773D9">
        <w:rPr>
          <w:lang w:val="fr-CA"/>
        </w:rPr>
        <w:t xml:space="preserve"> 2</w:t>
      </w:r>
      <w:r w:rsidR="006648D1" w:rsidRPr="006773D9">
        <w:rPr>
          <w:lang w:val="fr-CA"/>
        </w:rPr>
        <w:t>0</w:t>
      </w:r>
      <w:r w:rsidR="00526754" w:rsidRPr="006773D9">
        <w:rPr>
          <w:lang w:val="fr-CA"/>
        </w:rPr>
        <w:t>2</w:t>
      </w:r>
      <w:r w:rsidR="0068416C" w:rsidRPr="006773D9">
        <w:rPr>
          <w:lang w:val="fr-CA"/>
        </w:rPr>
        <w:t>1</w:t>
      </w:r>
      <w:r w:rsidRPr="006773D9">
        <w:rPr>
          <w:lang w:val="fr-CA"/>
        </w:rPr>
        <w:t xml:space="preserve">, à 9 h 45 </w:t>
      </w:r>
      <w:r w:rsidR="000627A2" w:rsidRPr="006773D9">
        <w:rPr>
          <w:lang w:val="fr-CA"/>
        </w:rPr>
        <w:t>H</w:t>
      </w:r>
      <w:r w:rsidR="006D4676" w:rsidRPr="006773D9">
        <w:rPr>
          <w:lang w:val="fr-CA"/>
        </w:rPr>
        <w:t>N</w:t>
      </w:r>
      <w:r w:rsidRPr="006773D9">
        <w:rPr>
          <w:lang w:val="fr-CA"/>
        </w:rPr>
        <w:t>E. Cette liste est sujette à modification</w:t>
      </w:r>
      <w:r w:rsidR="00130ADB" w:rsidRPr="006773D9">
        <w:rPr>
          <w:lang w:val="fr-CA"/>
        </w:rPr>
        <w:t>s</w:t>
      </w:r>
      <w:r w:rsidRPr="006773D9">
        <w:rPr>
          <w:lang w:val="fr-CA"/>
        </w:rPr>
        <w:t>.</w:t>
      </w:r>
    </w:p>
    <w:p w:rsidR="0080556B" w:rsidRPr="006773D9" w:rsidRDefault="0080556B" w:rsidP="005F2A78">
      <w:pPr>
        <w:widowControl w:val="0"/>
        <w:tabs>
          <w:tab w:val="left" w:pos="3840"/>
        </w:tabs>
        <w:jc w:val="both"/>
        <w:rPr>
          <w:sz w:val="20"/>
          <w:lang w:val="fr-CA"/>
        </w:rPr>
      </w:pPr>
    </w:p>
    <w:p w:rsidR="00867C61" w:rsidRPr="006773D9" w:rsidRDefault="00311F52" w:rsidP="009B14F4">
      <w:pPr>
        <w:widowControl w:val="0"/>
        <w:jc w:val="both"/>
        <w:rPr>
          <w:sz w:val="20"/>
        </w:rPr>
      </w:pPr>
      <w:r>
        <w:rPr>
          <w:sz w:val="20"/>
        </w:rPr>
        <w:pict>
          <v:rect id="_x0000_i1025" style="width:2in;height:1pt" o:hrpct="0" o:hralign="center" o:hrstd="t" o:hrnoshade="t" o:hr="t" fillcolor="black [3213]" stroked="f"/>
        </w:pict>
      </w:r>
    </w:p>
    <w:p w:rsidR="004A6E51" w:rsidRPr="006773D9" w:rsidRDefault="004A6E51" w:rsidP="0053032E">
      <w:pPr>
        <w:rPr>
          <w:sz w:val="20"/>
          <w:lang w:val="fr-CA"/>
        </w:rPr>
      </w:pPr>
    </w:p>
    <w:p w:rsidR="004E723C" w:rsidRPr="006773D9" w:rsidRDefault="004E723C" w:rsidP="004E723C">
      <w:pPr>
        <w:pStyle w:val="ListParagraph"/>
        <w:numPr>
          <w:ilvl w:val="0"/>
          <w:numId w:val="15"/>
        </w:numPr>
        <w:ind w:left="357" w:hanging="357"/>
        <w:jc w:val="both"/>
        <w:rPr>
          <w:i/>
          <w:sz w:val="20"/>
        </w:rPr>
      </w:pPr>
      <w:r w:rsidRPr="006773D9">
        <w:rPr>
          <w:i/>
          <w:sz w:val="20"/>
        </w:rPr>
        <w:t>Erik John Henning Pawson v. Her Majesty the Queen</w:t>
      </w:r>
      <w:r w:rsidRPr="006773D9">
        <w:rPr>
          <w:sz w:val="20"/>
        </w:rPr>
        <w:t xml:space="preserve"> (B.C.) (Criminal) (By Leave) </w:t>
      </w:r>
      <w:r w:rsidRPr="006773D9">
        <w:rPr>
          <w:rFonts w:eastAsia="Calibri"/>
          <w:sz w:val="20"/>
          <w:lang w:val="fr-CA"/>
        </w:rPr>
        <w:t>(</w:t>
      </w:r>
      <w:hyperlink r:id="rId8" w:history="1">
        <w:r w:rsidRPr="006773D9">
          <w:rPr>
            <w:rStyle w:val="Hyperlink"/>
            <w:rFonts w:eastAsia="Calibri"/>
            <w:sz w:val="20"/>
            <w:szCs w:val="20"/>
            <w:lang w:val="fr-CA"/>
          </w:rPr>
          <w:t>396</w:t>
        </w:r>
        <w:r w:rsidR="00927F6D" w:rsidRPr="006773D9">
          <w:rPr>
            <w:rStyle w:val="Hyperlink"/>
            <w:rFonts w:eastAsia="Calibri"/>
            <w:sz w:val="20"/>
            <w:szCs w:val="20"/>
            <w:lang w:val="fr-CA"/>
          </w:rPr>
          <w:t>97</w:t>
        </w:r>
      </w:hyperlink>
      <w:r w:rsidRPr="006773D9">
        <w:rPr>
          <w:rFonts w:eastAsia="Calibri"/>
          <w:sz w:val="20"/>
          <w:lang w:val="fr-CA"/>
        </w:rPr>
        <w:t>)</w:t>
      </w:r>
    </w:p>
    <w:p w:rsidR="004E723C" w:rsidRPr="006773D9" w:rsidRDefault="004E723C" w:rsidP="004E723C">
      <w:pPr>
        <w:widowControl w:val="0"/>
        <w:autoSpaceDE w:val="0"/>
        <w:autoSpaceDN w:val="0"/>
        <w:adjustRightInd w:val="0"/>
        <w:ind w:left="357" w:hanging="357"/>
        <w:contextualSpacing/>
        <w:jc w:val="both"/>
        <w:rPr>
          <w:i/>
          <w:sz w:val="20"/>
        </w:rPr>
      </w:pPr>
    </w:p>
    <w:p w:rsidR="004E723C" w:rsidRPr="00311F52" w:rsidRDefault="004E723C" w:rsidP="004E723C">
      <w:pPr>
        <w:pStyle w:val="ListParagraph"/>
        <w:numPr>
          <w:ilvl w:val="0"/>
          <w:numId w:val="15"/>
        </w:numPr>
        <w:ind w:left="357" w:hanging="357"/>
        <w:jc w:val="both"/>
        <w:rPr>
          <w:sz w:val="20"/>
        </w:rPr>
      </w:pPr>
      <w:r w:rsidRPr="006773D9">
        <w:rPr>
          <w:i/>
          <w:sz w:val="20"/>
        </w:rPr>
        <w:t xml:space="preserve">Alexander Davidoff and Alexandra Davidoff v. Rachel Goerz, </w:t>
      </w:r>
      <w:r w:rsidR="00927F6D" w:rsidRPr="006773D9">
        <w:rPr>
          <w:i/>
          <w:sz w:val="20"/>
        </w:rPr>
        <w:t>et al.</w:t>
      </w:r>
      <w:r w:rsidRPr="006773D9">
        <w:rPr>
          <w:sz w:val="20"/>
        </w:rPr>
        <w:t xml:space="preserve"> (Ont.) (Civil) (By Leave) </w:t>
      </w:r>
      <w:r w:rsidRPr="006773D9">
        <w:rPr>
          <w:rFonts w:eastAsia="Calibri"/>
          <w:sz w:val="20"/>
        </w:rPr>
        <w:t>(</w:t>
      </w:r>
      <w:hyperlink r:id="rId9" w:history="1">
        <w:r w:rsidRPr="006773D9">
          <w:rPr>
            <w:rStyle w:val="Hyperlink"/>
            <w:rFonts w:eastAsia="Calibri"/>
            <w:sz w:val="20"/>
            <w:szCs w:val="20"/>
          </w:rPr>
          <w:t>39</w:t>
        </w:r>
        <w:r w:rsidR="00927F6D" w:rsidRPr="006773D9">
          <w:rPr>
            <w:rStyle w:val="Hyperlink"/>
            <w:rFonts w:eastAsia="Calibri"/>
            <w:sz w:val="20"/>
            <w:szCs w:val="20"/>
          </w:rPr>
          <w:t>74</w:t>
        </w:r>
        <w:r w:rsidRPr="006773D9">
          <w:rPr>
            <w:rStyle w:val="Hyperlink"/>
            <w:rFonts w:eastAsia="Calibri"/>
            <w:sz w:val="20"/>
            <w:szCs w:val="20"/>
          </w:rPr>
          <w:t>8</w:t>
        </w:r>
      </w:hyperlink>
      <w:r w:rsidRPr="006773D9">
        <w:rPr>
          <w:rFonts w:eastAsia="Calibri"/>
          <w:sz w:val="20"/>
        </w:rPr>
        <w:t>)</w:t>
      </w:r>
    </w:p>
    <w:p w:rsidR="00311F52" w:rsidRPr="00311F52" w:rsidRDefault="00311F52" w:rsidP="00311F52">
      <w:pPr>
        <w:jc w:val="both"/>
        <w:rPr>
          <w:sz w:val="20"/>
        </w:rPr>
      </w:pPr>
    </w:p>
    <w:p w:rsidR="004E723C" w:rsidRPr="006773D9" w:rsidRDefault="004E723C" w:rsidP="004E723C">
      <w:pPr>
        <w:pStyle w:val="ListParagraph"/>
        <w:numPr>
          <w:ilvl w:val="0"/>
          <w:numId w:val="15"/>
        </w:numPr>
        <w:ind w:left="357" w:hanging="357"/>
        <w:jc w:val="both"/>
        <w:rPr>
          <w:sz w:val="20"/>
          <w:lang w:val="fr-CA"/>
        </w:rPr>
      </w:pPr>
      <w:r w:rsidRPr="006773D9">
        <w:rPr>
          <w:rStyle w:val="SCCAppellantInfoAppellantInfoChar"/>
          <w:i/>
          <w:sz w:val="20"/>
          <w:szCs w:val="20"/>
          <w:lang w:val="fr-CA"/>
        </w:rPr>
        <w:t>Jeffrey Colegrove c. Sa Majesté la Reine</w:t>
      </w:r>
      <w:r w:rsidRPr="006773D9">
        <w:rPr>
          <w:rStyle w:val="SCCAppellantInfoAppellantInfoChar"/>
          <w:sz w:val="20"/>
          <w:szCs w:val="20"/>
          <w:lang w:val="fr-CA"/>
        </w:rPr>
        <w:t xml:space="preserve"> (Qc) (Criminelle) (Autorisation)</w:t>
      </w:r>
      <w:r w:rsidRPr="006773D9">
        <w:rPr>
          <w:sz w:val="20"/>
          <w:lang w:val="fr-CA"/>
        </w:rPr>
        <w:t xml:space="preserve"> </w:t>
      </w:r>
      <w:r w:rsidRPr="006773D9">
        <w:rPr>
          <w:rFonts w:eastAsia="Calibri"/>
          <w:sz w:val="20"/>
          <w:lang w:val="fr-CA"/>
        </w:rPr>
        <w:t>(</w:t>
      </w:r>
      <w:hyperlink r:id="rId10" w:history="1">
        <w:r w:rsidRPr="006773D9">
          <w:rPr>
            <w:rStyle w:val="Hyperlink"/>
            <w:rFonts w:eastAsia="Calibri"/>
            <w:sz w:val="20"/>
            <w:szCs w:val="20"/>
            <w:lang w:val="fr-CA"/>
          </w:rPr>
          <w:t>39</w:t>
        </w:r>
        <w:r w:rsidR="00927F6D" w:rsidRPr="006773D9">
          <w:rPr>
            <w:rStyle w:val="Hyperlink"/>
            <w:rFonts w:eastAsia="Calibri"/>
            <w:sz w:val="20"/>
            <w:szCs w:val="20"/>
            <w:lang w:val="fr-CA"/>
          </w:rPr>
          <w:t>7</w:t>
        </w:r>
        <w:r w:rsidRPr="006773D9">
          <w:rPr>
            <w:rStyle w:val="Hyperlink"/>
            <w:rFonts w:eastAsia="Calibri"/>
            <w:sz w:val="20"/>
            <w:szCs w:val="20"/>
            <w:lang w:val="fr-CA"/>
          </w:rPr>
          <w:t>6</w:t>
        </w:r>
        <w:r w:rsidR="00927F6D" w:rsidRPr="006773D9">
          <w:rPr>
            <w:rStyle w:val="Hyperlink"/>
            <w:rFonts w:eastAsia="Calibri"/>
            <w:sz w:val="20"/>
            <w:szCs w:val="20"/>
            <w:lang w:val="fr-CA"/>
          </w:rPr>
          <w:t>4</w:t>
        </w:r>
      </w:hyperlink>
      <w:r w:rsidRPr="006773D9">
        <w:rPr>
          <w:rFonts w:eastAsia="Calibri"/>
          <w:sz w:val="20"/>
          <w:lang w:val="fr-CA"/>
        </w:rPr>
        <w:t>)</w:t>
      </w:r>
    </w:p>
    <w:p w:rsidR="004E723C" w:rsidRPr="006773D9" w:rsidRDefault="004E723C" w:rsidP="004E723C">
      <w:pPr>
        <w:ind w:left="357" w:hanging="357"/>
        <w:jc w:val="both"/>
        <w:rPr>
          <w:sz w:val="20"/>
          <w:lang w:val="fr-CA"/>
        </w:rPr>
      </w:pPr>
    </w:p>
    <w:p w:rsidR="004E723C" w:rsidRPr="006773D9" w:rsidRDefault="004E723C" w:rsidP="004E723C">
      <w:pPr>
        <w:pStyle w:val="ListParagraph"/>
        <w:numPr>
          <w:ilvl w:val="0"/>
          <w:numId w:val="15"/>
        </w:numPr>
        <w:ind w:left="357" w:hanging="357"/>
        <w:jc w:val="both"/>
        <w:rPr>
          <w:sz w:val="20"/>
          <w:lang w:val="fr-CA"/>
        </w:rPr>
      </w:pPr>
      <w:r w:rsidRPr="006773D9">
        <w:rPr>
          <w:rStyle w:val="SCCAppellantInfoAppellantInfoChar"/>
          <w:i/>
          <w:sz w:val="20"/>
          <w:szCs w:val="20"/>
          <w:lang w:val="fr-CA"/>
        </w:rPr>
        <w:t>Ville de Longueuil c. Guido Benedetti</w:t>
      </w:r>
      <w:r w:rsidRPr="006773D9">
        <w:rPr>
          <w:sz w:val="20"/>
          <w:lang w:val="fr-CA"/>
        </w:rPr>
        <w:t xml:space="preserve"> </w:t>
      </w:r>
      <w:r w:rsidRPr="006773D9">
        <w:rPr>
          <w:rStyle w:val="SCCAppellantInfoAppellantInfoChar"/>
          <w:sz w:val="20"/>
          <w:szCs w:val="20"/>
          <w:lang w:val="fr-CA"/>
        </w:rPr>
        <w:t>(Qc) (Civile) (Autorisation)</w:t>
      </w:r>
      <w:r w:rsidRPr="006773D9">
        <w:rPr>
          <w:sz w:val="20"/>
          <w:lang w:val="fr-CA"/>
        </w:rPr>
        <w:t xml:space="preserve"> </w:t>
      </w:r>
      <w:r w:rsidRPr="006773D9">
        <w:rPr>
          <w:rFonts w:eastAsia="Calibri"/>
          <w:sz w:val="20"/>
          <w:lang w:val="fr-CA"/>
        </w:rPr>
        <w:t>(</w:t>
      </w:r>
      <w:hyperlink r:id="rId11" w:history="1">
        <w:r w:rsidRPr="006773D9">
          <w:rPr>
            <w:rStyle w:val="Hyperlink"/>
            <w:rFonts w:eastAsia="Calibri"/>
            <w:sz w:val="20"/>
            <w:szCs w:val="20"/>
            <w:lang w:val="fr-CA"/>
          </w:rPr>
          <w:t>39</w:t>
        </w:r>
        <w:r w:rsidR="00927F6D" w:rsidRPr="006773D9">
          <w:rPr>
            <w:rStyle w:val="Hyperlink"/>
            <w:rFonts w:eastAsia="Calibri"/>
            <w:sz w:val="20"/>
            <w:szCs w:val="20"/>
            <w:lang w:val="fr-CA"/>
          </w:rPr>
          <w:t>75</w:t>
        </w:r>
        <w:r w:rsidRPr="006773D9">
          <w:rPr>
            <w:rStyle w:val="Hyperlink"/>
            <w:rFonts w:eastAsia="Calibri"/>
            <w:sz w:val="20"/>
            <w:szCs w:val="20"/>
            <w:lang w:val="fr-CA"/>
          </w:rPr>
          <w:t>6</w:t>
        </w:r>
      </w:hyperlink>
      <w:r w:rsidRPr="006773D9">
        <w:rPr>
          <w:rFonts w:eastAsia="Calibri"/>
          <w:sz w:val="20"/>
          <w:lang w:val="fr-CA"/>
        </w:rPr>
        <w:t>)</w:t>
      </w:r>
    </w:p>
    <w:p w:rsidR="004E723C" w:rsidRPr="006773D9" w:rsidRDefault="004E723C" w:rsidP="004E723C">
      <w:pPr>
        <w:ind w:left="357" w:hanging="357"/>
        <w:jc w:val="both"/>
        <w:rPr>
          <w:sz w:val="20"/>
          <w:lang w:val="fr-CA"/>
        </w:rPr>
      </w:pPr>
    </w:p>
    <w:p w:rsidR="004E723C" w:rsidRPr="006773D9" w:rsidRDefault="004E723C" w:rsidP="004E723C">
      <w:pPr>
        <w:pStyle w:val="ListParagraph"/>
        <w:numPr>
          <w:ilvl w:val="0"/>
          <w:numId w:val="15"/>
        </w:numPr>
        <w:ind w:left="357" w:hanging="357"/>
        <w:jc w:val="both"/>
        <w:rPr>
          <w:sz w:val="20"/>
        </w:rPr>
      </w:pPr>
      <w:r w:rsidRPr="006773D9">
        <w:rPr>
          <w:rStyle w:val="SCCAppellantInfoAppellantInfoChar"/>
          <w:i/>
          <w:sz w:val="20"/>
          <w:szCs w:val="20"/>
        </w:rPr>
        <w:t>P.C. v. Ontario (Attorney General)</w:t>
      </w:r>
      <w:r w:rsidRPr="006773D9">
        <w:rPr>
          <w:rStyle w:val="SCCAppellantInfoAppellantInfoChar"/>
          <w:sz w:val="20"/>
          <w:szCs w:val="20"/>
        </w:rPr>
        <w:t xml:space="preserve"> (Ont.) (Civil) (By Leave)</w:t>
      </w:r>
      <w:r w:rsidRPr="006773D9">
        <w:rPr>
          <w:sz w:val="20"/>
        </w:rPr>
        <w:t xml:space="preserve"> </w:t>
      </w:r>
      <w:r w:rsidRPr="006773D9">
        <w:rPr>
          <w:rFonts w:eastAsia="Calibri"/>
          <w:sz w:val="20"/>
          <w:lang w:val="fr-CA"/>
        </w:rPr>
        <w:t>(</w:t>
      </w:r>
      <w:hyperlink r:id="rId12" w:history="1">
        <w:r w:rsidRPr="006773D9">
          <w:rPr>
            <w:rStyle w:val="Hyperlink"/>
            <w:rFonts w:eastAsia="Calibri"/>
            <w:sz w:val="20"/>
            <w:szCs w:val="20"/>
            <w:lang w:val="fr-CA"/>
          </w:rPr>
          <w:t>398</w:t>
        </w:r>
        <w:r w:rsidR="00927F6D" w:rsidRPr="006773D9">
          <w:rPr>
            <w:rStyle w:val="Hyperlink"/>
            <w:rFonts w:eastAsia="Calibri"/>
            <w:sz w:val="20"/>
            <w:szCs w:val="20"/>
            <w:lang w:val="fr-CA"/>
          </w:rPr>
          <w:t>05</w:t>
        </w:r>
      </w:hyperlink>
      <w:r w:rsidRPr="006773D9">
        <w:rPr>
          <w:rFonts w:eastAsia="Calibri"/>
          <w:sz w:val="20"/>
          <w:lang w:val="fr-CA"/>
        </w:rPr>
        <w:t>)</w:t>
      </w:r>
    </w:p>
    <w:p w:rsidR="003100F2" w:rsidRPr="006773D9" w:rsidRDefault="003100F2" w:rsidP="0053032E">
      <w:pPr>
        <w:rPr>
          <w:sz w:val="20"/>
        </w:rPr>
      </w:pPr>
    </w:p>
    <w:p w:rsidR="0057402C" w:rsidRPr="006773D9" w:rsidRDefault="00311F52" w:rsidP="0053032E">
      <w:pPr>
        <w:widowControl w:val="0"/>
        <w:jc w:val="both"/>
        <w:rPr>
          <w:sz w:val="20"/>
        </w:rPr>
      </w:pPr>
      <w:r>
        <w:rPr>
          <w:sz w:val="20"/>
        </w:rPr>
        <w:pict>
          <v:rect id="_x0000_i1026" style="width:2in;height:1pt" o:hrpct="0" o:hralign="center" o:hrstd="t" o:hrnoshade="t" o:hr="t" fillcolor="black [3213]" stroked="f"/>
        </w:pict>
      </w:r>
    </w:p>
    <w:p w:rsidR="006D4676" w:rsidRPr="006773D9" w:rsidRDefault="006D4676" w:rsidP="005A487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BA05AA" w:rsidRPr="006773D9" w:rsidTr="00071969">
        <w:tc>
          <w:tcPr>
            <w:tcW w:w="543" w:type="pct"/>
          </w:tcPr>
          <w:p w:rsidR="00BA05AA" w:rsidRPr="006773D9" w:rsidRDefault="00BA05AA" w:rsidP="00BA05AA">
            <w:pPr>
              <w:jc w:val="both"/>
              <w:rPr>
                <w:sz w:val="20"/>
              </w:rPr>
            </w:pPr>
            <w:r w:rsidRPr="006773D9">
              <w:rPr>
                <w:rStyle w:val="SCCFileNumberChar"/>
                <w:sz w:val="20"/>
                <w:szCs w:val="20"/>
              </w:rPr>
              <w:t>39697</w:t>
            </w:r>
          </w:p>
        </w:tc>
        <w:tc>
          <w:tcPr>
            <w:tcW w:w="4457" w:type="pct"/>
          </w:tcPr>
          <w:p w:rsidR="00BA05AA" w:rsidRPr="006773D9" w:rsidRDefault="00BA05AA" w:rsidP="00BA05AA">
            <w:pPr>
              <w:pStyle w:val="SCCLsocParty"/>
              <w:jc w:val="both"/>
              <w:rPr>
                <w:b/>
                <w:sz w:val="20"/>
                <w:szCs w:val="20"/>
                <w:lang w:val="en-US"/>
              </w:rPr>
            </w:pPr>
            <w:r w:rsidRPr="006773D9">
              <w:rPr>
                <w:b/>
                <w:sz w:val="20"/>
                <w:szCs w:val="20"/>
                <w:lang w:val="en-US"/>
              </w:rPr>
              <w:t>Erik John Henning Pawson v. Her Majesty the Queen</w:t>
            </w:r>
          </w:p>
          <w:p w:rsidR="00BA05AA" w:rsidRPr="006773D9" w:rsidRDefault="00BA05AA" w:rsidP="00BA05AA">
            <w:pPr>
              <w:jc w:val="both"/>
              <w:rPr>
                <w:sz w:val="20"/>
              </w:rPr>
            </w:pPr>
            <w:r w:rsidRPr="006773D9">
              <w:rPr>
                <w:sz w:val="20"/>
              </w:rPr>
              <w:t>(B.C.) (Criminal) (By Leave)</w:t>
            </w:r>
          </w:p>
        </w:tc>
      </w:tr>
      <w:tr w:rsidR="00BA05AA" w:rsidRPr="006773D9" w:rsidTr="00071969">
        <w:tc>
          <w:tcPr>
            <w:tcW w:w="5000" w:type="pct"/>
            <w:gridSpan w:val="2"/>
          </w:tcPr>
          <w:p w:rsidR="00BA05AA" w:rsidRPr="006773D9" w:rsidRDefault="00BA05AA" w:rsidP="00BA05AA">
            <w:pPr>
              <w:jc w:val="both"/>
              <w:rPr>
                <w:sz w:val="20"/>
              </w:rPr>
            </w:pPr>
            <w:r w:rsidRPr="006773D9">
              <w:rPr>
                <w:sz w:val="20"/>
              </w:rPr>
              <w:t xml:space="preserve">Criminal law — Offence — Elements of Offence — Impaired driving — Presumption of identity — Should the Crown be entitled to rely on the presumption of identity found in s. 258 of the </w:t>
            </w:r>
            <w:r w:rsidRPr="006773D9">
              <w:rPr>
                <w:i/>
                <w:sz w:val="20"/>
              </w:rPr>
              <w:t>Criminal Code</w:t>
            </w:r>
            <w:r w:rsidRPr="006773D9">
              <w:rPr>
                <w:sz w:val="20"/>
              </w:rPr>
              <w:t xml:space="preserve"> after it was repealed by Parliament in Bill C</w:t>
            </w:r>
            <w:r w:rsidRPr="006773D9">
              <w:rPr>
                <w:sz w:val="20"/>
              </w:rPr>
              <w:noBreakHyphen/>
              <w:t>46 — What are the hallmarks of a procedurally fair trial that occurs during a transition in legislation?</w:t>
            </w:r>
          </w:p>
          <w:p w:rsidR="00BA05AA" w:rsidRPr="006773D9" w:rsidRDefault="00BA05AA" w:rsidP="00BA05AA">
            <w:pPr>
              <w:jc w:val="both"/>
              <w:rPr>
                <w:sz w:val="20"/>
              </w:rPr>
            </w:pPr>
          </w:p>
        </w:tc>
      </w:tr>
      <w:tr w:rsidR="00BA05AA" w:rsidRPr="006773D9" w:rsidTr="00071969">
        <w:tc>
          <w:tcPr>
            <w:tcW w:w="5000" w:type="pct"/>
            <w:gridSpan w:val="2"/>
          </w:tcPr>
          <w:p w:rsidR="00BA05AA" w:rsidRPr="006773D9" w:rsidRDefault="00BA05AA" w:rsidP="00BA05AA">
            <w:pPr>
              <w:jc w:val="both"/>
              <w:rPr>
                <w:sz w:val="20"/>
              </w:rPr>
            </w:pPr>
            <w:r w:rsidRPr="006773D9">
              <w:rPr>
                <w:color w:val="000000"/>
                <w:sz w:val="20"/>
              </w:rPr>
              <w:t>The applicant lost control of his vehicle, and struck a person.</w:t>
            </w:r>
            <w:r w:rsidRPr="006773D9">
              <w:rPr>
                <w:iCs/>
                <w:color w:val="000000"/>
                <w:sz w:val="20"/>
              </w:rPr>
              <w:t xml:space="preserve"> Both of the lower courts held that the presumption of identity applies in transitional cases. The applicant was convicted of causing an accident resulting in bodily harm while operating a motor vehicle with a blood alcohol level over .08. The conviction appeal was dismissed.</w:t>
            </w:r>
          </w:p>
        </w:tc>
      </w:tr>
      <w:tr w:rsidR="00BA05AA" w:rsidRPr="006773D9" w:rsidTr="00071969">
        <w:tc>
          <w:tcPr>
            <w:tcW w:w="5000" w:type="pct"/>
            <w:gridSpan w:val="2"/>
          </w:tcPr>
          <w:p w:rsidR="00BA05AA" w:rsidRPr="006773D9" w:rsidRDefault="00BA05AA" w:rsidP="00BA05AA">
            <w:pPr>
              <w:jc w:val="both"/>
              <w:rPr>
                <w:sz w:val="20"/>
              </w:rPr>
            </w:pPr>
          </w:p>
        </w:tc>
      </w:tr>
      <w:tr w:rsidR="00BA05AA" w:rsidRPr="006773D9" w:rsidTr="00BA05AA">
        <w:trPr>
          <w:trHeight w:val="3688"/>
        </w:trPr>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BA05AA" w:rsidRPr="006773D9" w:rsidTr="00DD4C36">
              <w:tc>
                <w:tcPr>
                  <w:tcW w:w="2367" w:type="pct"/>
                </w:tcPr>
                <w:p w:rsidR="00BA05AA" w:rsidRPr="006773D9" w:rsidRDefault="00BA05AA" w:rsidP="00BA05AA">
                  <w:pPr>
                    <w:jc w:val="both"/>
                    <w:rPr>
                      <w:sz w:val="20"/>
                    </w:rPr>
                  </w:pPr>
                  <w:r w:rsidRPr="006773D9">
                    <w:rPr>
                      <w:sz w:val="20"/>
                    </w:rPr>
                    <w:lastRenderedPageBreak/>
                    <w:t>October 4, 2019</w:t>
                  </w:r>
                </w:p>
                <w:p w:rsidR="00BA05AA" w:rsidRPr="006773D9" w:rsidRDefault="00BA05AA" w:rsidP="00BA05AA">
                  <w:pPr>
                    <w:jc w:val="both"/>
                    <w:rPr>
                      <w:sz w:val="20"/>
                    </w:rPr>
                  </w:pPr>
                  <w:r w:rsidRPr="006773D9">
                    <w:rPr>
                      <w:sz w:val="20"/>
                    </w:rPr>
                    <w:t>Provincial Court of British Columbia</w:t>
                  </w:r>
                </w:p>
                <w:p w:rsidR="00BA05AA" w:rsidRPr="006773D9" w:rsidRDefault="00BA05AA" w:rsidP="00BA05AA">
                  <w:pPr>
                    <w:jc w:val="both"/>
                    <w:rPr>
                      <w:sz w:val="20"/>
                    </w:rPr>
                  </w:pPr>
                  <w:r w:rsidRPr="006773D9">
                    <w:rPr>
                      <w:sz w:val="20"/>
                    </w:rPr>
                    <w:t>(Craig P.C.J.)</w:t>
                  </w:r>
                </w:p>
                <w:p w:rsidR="00BA05AA" w:rsidRPr="006773D9" w:rsidRDefault="00BA05AA" w:rsidP="00BA05AA">
                  <w:pPr>
                    <w:jc w:val="both"/>
                    <w:rPr>
                      <w:sz w:val="20"/>
                    </w:rPr>
                  </w:pPr>
                  <w:r w:rsidRPr="006773D9">
                    <w:rPr>
                      <w:sz w:val="20"/>
                    </w:rPr>
                    <w:t>(unreported)</w:t>
                  </w:r>
                </w:p>
                <w:p w:rsidR="00BA05AA" w:rsidRPr="006773D9" w:rsidRDefault="00BA05AA" w:rsidP="00BA05AA">
                  <w:pPr>
                    <w:jc w:val="both"/>
                    <w:rPr>
                      <w:sz w:val="20"/>
                    </w:rPr>
                  </w:pPr>
                </w:p>
              </w:tc>
              <w:tc>
                <w:tcPr>
                  <w:tcW w:w="267" w:type="pct"/>
                </w:tcPr>
                <w:p w:rsidR="00BA05AA" w:rsidRPr="006773D9" w:rsidRDefault="00BA05AA" w:rsidP="00BA05AA">
                  <w:pPr>
                    <w:jc w:val="both"/>
                    <w:rPr>
                      <w:sz w:val="20"/>
                    </w:rPr>
                  </w:pPr>
                </w:p>
              </w:tc>
              <w:tc>
                <w:tcPr>
                  <w:tcW w:w="2366" w:type="pct"/>
                </w:tcPr>
                <w:p w:rsidR="00BA05AA" w:rsidRPr="006773D9" w:rsidRDefault="00BA05AA" w:rsidP="00BA05AA">
                  <w:pPr>
                    <w:jc w:val="both"/>
                    <w:rPr>
                      <w:sz w:val="20"/>
                    </w:rPr>
                  </w:pPr>
                  <w:r w:rsidRPr="006773D9">
                    <w:rPr>
                      <w:color w:val="000000"/>
                      <w:sz w:val="20"/>
                    </w:rPr>
                    <w:t>Conviction entered: causing an accident resulting in bodily harm while operating a motor vehicle with a blood alcohol level over .08</w:t>
                  </w:r>
                </w:p>
                <w:p w:rsidR="00BA05AA" w:rsidRPr="006773D9" w:rsidRDefault="00BA05AA" w:rsidP="00BA05AA">
                  <w:pPr>
                    <w:jc w:val="both"/>
                    <w:rPr>
                      <w:sz w:val="20"/>
                    </w:rPr>
                  </w:pPr>
                </w:p>
              </w:tc>
            </w:tr>
            <w:tr w:rsidR="00BA05AA" w:rsidRPr="006773D9" w:rsidTr="00DD4C36">
              <w:tc>
                <w:tcPr>
                  <w:tcW w:w="2367" w:type="pct"/>
                </w:tcPr>
                <w:p w:rsidR="00BA05AA" w:rsidRPr="006773D9" w:rsidRDefault="00BA05AA" w:rsidP="00BA05AA">
                  <w:pPr>
                    <w:jc w:val="both"/>
                    <w:rPr>
                      <w:sz w:val="20"/>
                    </w:rPr>
                  </w:pPr>
                  <w:r w:rsidRPr="006773D9">
                    <w:rPr>
                      <w:sz w:val="20"/>
                    </w:rPr>
                    <w:t>January 14, 2021</w:t>
                  </w:r>
                </w:p>
                <w:p w:rsidR="00BA05AA" w:rsidRPr="006773D9" w:rsidRDefault="00BA05AA" w:rsidP="00BA05AA">
                  <w:pPr>
                    <w:jc w:val="both"/>
                    <w:rPr>
                      <w:sz w:val="20"/>
                    </w:rPr>
                  </w:pPr>
                  <w:r w:rsidRPr="006773D9">
                    <w:rPr>
                      <w:sz w:val="20"/>
                    </w:rPr>
                    <w:t xml:space="preserve">Court of Appeal for British Columbia </w:t>
                  </w:r>
                </w:p>
                <w:p w:rsidR="00BA05AA" w:rsidRPr="006773D9" w:rsidRDefault="00BA05AA" w:rsidP="00BA05AA">
                  <w:pPr>
                    <w:jc w:val="both"/>
                    <w:rPr>
                      <w:sz w:val="20"/>
                    </w:rPr>
                  </w:pPr>
                  <w:r w:rsidRPr="006773D9">
                    <w:rPr>
                      <w:sz w:val="20"/>
                    </w:rPr>
                    <w:t>(Vancouver)</w:t>
                  </w:r>
                </w:p>
                <w:p w:rsidR="00BA05AA" w:rsidRPr="006773D9" w:rsidRDefault="00BA05AA" w:rsidP="00BA05AA">
                  <w:pPr>
                    <w:jc w:val="both"/>
                    <w:rPr>
                      <w:sz w:val="20"/>
                    </w:rPr>
                  </w:pPr>
                  <w:r w:rsidRPr="006773D9">
                    <w:rPr>
                      <w:sz w:val="20"/>
                    </w:rPr>
                    <w:t>(Frankel, Goepel, DeWitt-Van Oosten JJ.A.)</w:t>
                  </w:r>
                </w:p>
                <w:p w:rsidR="00BA05AA" w:rsidRPr="006773D9" w:rsidRDefault="00311F52" w:rsidP="00BA05AA">
                  <w:pPr>
                    <w:jc w:val="both"/>
                    <w:rPr>
                      <w:sz w:val="20"/>
                    </w:rPr>
                  </w:pPr>
                  <w:hyperlink r:id="rId13" w:history="1">
                    <w:r w:rsidR="00BA05AA" w:rsidRPr="006773D9">
                      <w:rPr>
                        <w:rStyle w:val="Hyperlink"/>
                        <w:sz w:val="20"/>
                      </w:rPr>
                      <w:t>2021 BCCA 22</w:t>
                    </w:r>
                  </w:hyperlink>
                  <w:r w:rsidR="00BA05AA" w:rsidRPr="006773D9">
                    <w:rPr>
                      <w:sz w:val="20"/>
                    </w:rPr>
                    <w:t>; CA46604</w:t>
                  </w:r>
                </w:p>
                <w:p w:rsidR="00BA05AA" w:rsidRPr="006773D9" w:rsidRDefault="00BA05AA" w:rsidP="00BA05AA">
                  <w:pPr>
                    <w:jc w:val="both"/>
                    <w:rPr>
                      <w:sz w:val="20"/>
                    </w:rPr>
                  </w:pPr>
                </w:p>
              </w:tc>
              <w:tc>
                <w:tcPr>
                  <w:tcW w:w="267" w:type="pct"/>
                </w:tcPr>
                <w:p w:rsidR="00BA05AA" w:rsidRPr="006773D9" w:rsidRDefault="00BA05AA" w:rsidP="00BA05AA">
                  <w:pPr>
                    <w:jc w:val="both"/>
                    <w:rPr>
                      <w:sz w:val="20"/>
                    </w:rPr>
                  </w:pPr>
                </w:p>
              </w:tc>
              <w:tc>
                <w:tcPr>
                  <w:tcW w:w="2366" w:type="pct"/>
                </w:tcPr>
                <w:p w:rsidR="00BA05AA" w:rsidRPr="006773D9" w:rsidRDefault="00BA05AA" w:rsidP="00BA05AA">
                  <w:pPr>
                    <w:jc w:val="both"/>
                    <w:rPr>
                      <w:sz w:val="20"/>
                    </w:rPr>
                  </w:pPr>
                  <w:r w:rsidRPr="006773D9">
                    <w:rPr>
                      <w:sz w:val="20"/>
                    </w:rPr>
                    <w:t>Conviction appeal dismissed</w:t>
                  </w:r>
                </w:p>
                <w:p w:rsidR="00BA05AA" w:rsidRPr="006773D9" w:rsidRDefault="00BA05AA" w:rsidP="00BA05AA">
                  <w:pPr>
                    <w:jc w:val="both"/>
                    <w:rPr>
                      <w:sz w:val="20"/>
                    </w:rPr>
                  </w:pPr>
                </w:p>
              </w:tc>
            </w:tr>
            <w:tr w:rsidR="00BA05AA" w:rsidRPr="006773D9" w:rsidTr="00DD4C36">
              <w:tc>
                <w:tcPr>
                  <w:tcW w:w="2367" w:type="pct"/>
                </w:tcPr>
                <w:p w:rsidR="00BA05AA" w:rsidRPr="006773D9" w:rsidRDefault="00BA05AA" w:rsidP="00BA05AA">
                  <w:pPr>
                    <w:jc w:val="both"/>
                    <w:rPr>
                      <w:sz w:val="20"/>
                    </w:rPr>
                  </w:pPr>
                  <w:r w:rsidRPr="006773D9">
                    <w:rPr>
                      <w:sz w:val="20"/>
                    </w:rPr>
                    <w:t>March 15, 2021</w:t>
                  </w:r>
                </w:p>
                <w:p w:rsidR="00BA05AA" w:rsidRPr="006773D9" w:rsidRDefault="00BA05AA" w:rsidP="00BA05AA">
                  <w:pPr>
                    <w:jc w:val="both"/>
                    <w:rPr>
                      <w:sz w:val="20"/>
                    </w:rPr>
                  </w:pPr>
                  <w:r w:rsidRPr="006773D9">
                    <w:rPr>
                      <w:sz w:val="20"/>
                    </w:rPr>
                    <w:t>Supreme Court of Canada</w:t>
                  </w:r>
                </w:p>
                <w:p w:rsidR="00BA05AA" w:rsidRPr="006773D9" w:rsidRDefault="00BA05AA" w:rsidP="00BA05AA">
                  <w:pPr>
                    <w:jc w:val="both"/>
                    <w:rPr>
                      <w:sz w:val="20"/>
                    </w:rPr>
                  </w:pPr>
                </w:p>
              </w:tc>
              <w:tc>
                <w:tcPr>
                  <w:tcW w:w="267" w:type="pct"/>
                </w:tcPr>
                <w:p w:rsidR="00BA05AA" w:rsidRPr="006773D9" w:rsidRDefault="00BA05AA" w:rsidP="00BA05AA">
                  <w:pPr>
                    <w:jc w:val="both"/>
                    <w:rPr>
                      <w:sz w:val="20"/>
                    </w:rPr>
                  </w:pPr>
                </w:p>
              </w:tc>
              <w:tc>
                <w:tcPr>
                  <w:tcW w:w="2366" w:type="pct"/>
                </w:tcPr>
                <w:p w:rsidR="00BA05AA" w:rsidRPr="006773D9" w:rsidRDefault="00BA05AA" w:rsidP="00BA05AA">
                  <w:pPr>
                    <w:jc w:val="both"/>
                    <w:rPr>
                      <w:sz w:val="20"/>
                    </w:rPr>
                  </w:pPr>
                  <w:r w:rsidRPr="006773D9">
                    <w:rPr>
                      <w:sz w:val="20"/>
                    </w:rPr>
                    <w:t>Application for leave to appeal filed</w:t>
                  </w:r>
                </w:p>
                <w:p w:rsidR="00BA05AA" w:rsidRPr="006773D9" w:rsidRDefault="00BA05AA" w:rsidP="00BA05AA">
                  <w:pPr>
                    <w:jc w:val="both"/>
                    <w:rPr>
                      <w:sz w:val="20"/>
                    </w:rPr>
                  </w:pPr>
                </w:p>
              </w:tc>
            </w:tr>
            <w:tr w:rsidR="00BA05AA" w:rsidRPr="006773D9" w:rsidTr="00DD4C36">
              <w:tc>
                <w:tcPr>
                  <w:tcW w:w="2367" w:type="pct"/>
                </w:tcPr>
                <w:p w:rsidR="00BA05AA" w:rsidRPr="006773D9" w:rsidRDefault="00BA05AA" w:rsidP="00BA05AA">
                  <w:pPr>
                    <w:jc w:val="both"/>
                    <w:rPr>
                      <w:sz w:val="20"/>
                    </w:rPr>
                  </w:pPr>
                  <w:r w:rsidRPr="006773D9">
                    <w:rPr>
                      <w:sz w:val="20"/>
                    </w:rPr>
                    <w:t>June 15, 2021</w:t>
                  </w:r>
                </w:p>
                <w:p w:rsidR="00BA05AA" w:rsidRPr="006773D9" w:rsidRDefault="00BA05AA" w:rsidP="00BA05AA">
                  <w:pPr>
                    <w:jc w:val="both"/>
                    <w:rPr>
                      <w:sz w:val="20"/>
                    </w:rPr>
                  </w:pPr>
                  <w:r w:rsidRPr="006773D9">
                    <w:rPr>
                      <w:sz w:val="20"/>
                    </w:rPr>
                    <w:t>Supreme Court of Canada</w:t>
                  </w:r>
                </w:p>
              </w:tc>
              <w:tc>
                <w:tcPr>
                  <w:tcW w:w="267" w:type="pct"/>
                </w:tcPr>
                <w:p w:rsidR="00BA05AA" w:rsidRPr="006773D9" w:rsidRDefault="00BA05AA" w:rsidP="00BA05AA">
                  <w:pPr>
                    <w:jc w:val="both"/>
                    <w:rPr>
                      <w:sz w:val="20"/>
                    </w:rPr>
                  </w:pPr>
                </w:p>
              </w:tc>
              <w:tc>
                <w:tcPr>
                  <w:tcW w:w="2366" w:type="pct"/>
                </w:tcPr>
                <w:p w:rsidR="00BA05AA" w:rsidRPr="006773D9" w:rsidRDefault="00BA05AA" w:rsidP="00BA05AA">
                  <w:pPr>
                    <w:jc w:val="both"/>
                    <w:rPr>
                      <w:sz w:val="20"/>
                    </w:rPr>
                  </w:pPr>
                  <w:r w:rsidRPr="006773D9">
                    <w:rPr>
                      <w:sz w:val="20"/>
                    </w:rPr>
                    <w:t>Motion for an extension of time to serve the application for leave to appeal filed</w:t>
                  </w:r>
                </w:p>
              </w:tc>
            </w:tr>
          </w:tbl>
          <w:p w:rsidR="00BA05AA" w:rsidRPr="006773D9" w:rsidRDefault="00BA05AA" w:rsidP="00BA05AA">
            <w:pPr>
              <w:jc w:val="both"/>
              <w:rPr>
                <w:sz w:val="20"/>
              </w:rPr>
            </w:pPr>
          </w:p>
        </w:tc>
      </w:tr>
    </w:tbl>
    <w:p w:rsidR="00BA05AA" w:rsidRPr="006773D9" w:rsidRDefault="00BA05AA" w:rsidP="00BA05AA">
      <w:pPr>
        <w:jc w:val="both"/>
        <w:rPr>
          <w:sz w:val="20"/>
        </w:rPr>
      </w:pPr>
    </w:p>
    <w:p w:rsidR="00BA05AA" w:rsidRPr="006773D9" w:rsidRDefault="00311F52" w:rsidP="00BA05AA">
      <w:pPr>
        <w:jc w:val="both"/>
        <w:rPr>
          <w:sz w:val="20"/>
        </w:rPr>
      </w:pPr>
      <w:r>
        <w:rPr>
          <w:sz w:val="20"/>
        </w:rPr>
        <w:pict>
          <v:rect id="_x0000_i1027" style="width:2in;height:1pt" o:hrpct="0" o:hralign="center" o:hrstd="t" o:hrnoshade="t" o:hr="t" fillcolor="black [3213]" stroked="f"/>
        </w:pict>
      </w:r>
    </w:p>
    <w:p w:rsidR="00BA05AA" w:rsidRPr="006773D9" w:rsidRDefault="00BA05AA" w:rsidP="00BA05A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BA05AA" w:rsidRPr="006773D9" w:rsidTr="00071969">
        <w:tc>
          <w:tcPr>
            <w:tcW w:w="543" w:type="pct"/>
          </w:tcPr>
          <w:p w:rsidR="00BA05AA" w:rsidRPr="006773D9" w:rsidRDefault="00BA05AA" w:rsidP="00BA05AA">
            <w:pPr>
              <w:jc w:val="both"/>
              <w:rPr>
                <w:sz w:val="20"/>
              </w:rPr>
            </w:pPr>
            <w:r w:rsidRPr="006773D9">
              <w:rPr>
                <w:rStyle w:val="SCCFileNumberChar"/>
                <w:sz w:val="20"/>
                <w:szCs w:val="20"/>
              </w:rPr>
              <w:t>39697</w:t>
            </w:r>
          </w:p>
        </w:tc>
        <w:tc>
          <w:tcPr>
            <w:tcW w:w="4457" w:type="pct"/>
          </w:tcPr>
          <w:p w:rsidR="00BA05AA" w:rsidRPr="006773D9" w:rsidRDefault="00BA05AA" w:rsidP="00BA05AA">
            <w:pPr>
              <w:pStyle w:val="SCCLsocParty"/>
              <w:jc w:val="both"/>
              <w:rPr>
                <w:b/>
                <w:sz w:val="20"/>
                <w:szCs w:val="20"/>
              </w:rPr>
            </w:pPr>
            <w:r w:rsidRPr="006773D9">
              <w:rPr>
                <w:b/>
                <w:sz w:val="20"/>
                <w:szCs w:val="20"/>
              </w:rPr>
              <w:t>Erik John Henning Pawson c. Sa Majesté la Reine</w:t>
            </w:r>
          </w:p>
          <w:p w:rsidR="00BA05AA" w:rsidRPr="006773D9" w:rsidRDefault="00BA05AA" w:rsidP="00BA05AA">
            <w:pPr>
              <w:jc w:val="both"/>
              <w:rPr>
                <w:sz w:val="20"/>
              </w:rPr>
            </w:pPr>
            <w:r w:rsidRPr="006773D9">
              <w:rPr>
                <w:sz w:val="20"/>
              </w:rPr>
              <w:t>(C.-B.) (Criminelle) (Autorisation)</w:t>
            </w:r>
          </w:p>
        </w:tc>
      </w:tr>
      <w:tr w:rsidR="00BA05AA" w:rsidRPr="00311F52" w:rsidTr="00071969">
        <w:tc>
          <w:tcPr>
            <w:tcW w:w="5000" w:type="pct"/>
            <w:gridSpan w:val="2"/>
          </w:tcPr>
          <w:p w:rsidR="00BA05AA" w:rsidRPr="006773D9" w:rsidRDefault="00BA05AA" w:rsidP="00BA05AA">
            <w:pPr>
              <w:jc w:val="both"/>
              <w:rPr>
                <w:sz w:val="20"/>
                <w:lang w:val="fr-CA"/>
              </w:rPr>
            </w:pPr>
            <w:r w:rsidRPr="006773D9">
              <w:rPr>
                <w:sz w:val="20"/>
                <w:lang w:val="fr-CA"/>
              </w:rPr>
              <w:t>Droit criminel — Infraction — Éléments de l’infraction — Conduite avec facultés affaiblies — Présomption d’identité — Le ministère public devrait</w:t>
            </w:r>
            <w:r w:rsidRPr="006773D9">
              <w:rPr>
                <w:sz w:val="20"/>
                <w:lang w:val="fr-CA"/>
              </w:rPr>
              <w:noBreakHyphen/>
              <w:t xml:space="preserve">il avoir le droit de s’appuyer sur la présomption d’identité prévue à l’article 258 du </w:t>
            </w:r>
            <w:r w:rsidRPr="006773D9">
              <w:rPr>
                <w:i/>
                <w:sz w:val="20"/>
                <w:lang w:val="fr-CA"/>
              </w:rPr>
              <w:t>Code criminel</w:t>
            </w:r>
            <w:r w:rsidRPr="006773D9">
              <w:rPr>
                <w:sz w:val="20"/>
                <w:lang w:val="fr-CA"/>
              </w:rPr>
              <w:t xml:space="preserve"> après son abrogation par le Parlement dans le projet de loi C</w:t>
            </w:r>
            <w:r w:rsidRPr="006773D9">
              <w:rPr>
                <w:sz w:val="20"/>
                <w:lang w:val="fr-CA"/>
              </w:rPr>
              <w:noBreakHyphen/>
              <w:t>46? — Quelles sont les caractéristiques d’un procès équitable sur le plan procédural qui se déroule pendant une transition législative?</w:t>
            </w:r>
          </w:p>
          <w:p w:rsidR="00BA05AA" w:rsidRPr="006773D9" w:rsidRDefault="00BA05AA" w:rsidP="00BA05AA">
            <w:pPr>
              <w:jc w:val="both"/>
              <w:rPr>
                <w:sz w:val="20"/>
                <w:lang w:val="fr-CA"/>
              </w:rPr>
            </w:pPr>
          </w:p>
        </w:tc>
      </w:tr>
      <w:tr w:rsidR="00BA05AA" w:rsidRPr="006773D9" w:rsidTr="00071969">
        <w:tc>
          <w:tcPr>
            <w:tcW w:w="5000" w:type="pct"/>
            <w:gridSpan w:val="2"/>
          </w:tcPr>
          <w:p w:rsidR="00BA05AA" w:rsidRPr="006773D9" w:rsidRDefault="00BA05AA" w:rsidP="00BA05AA">
            <w:pPr>
              <w:jc w:val="both"/>
              <w:rPr>
                <w:sz w:val="20"/>
              </w:rPr>
            </w:pPr>
            <w:r w:rsidRPr="006773D9">
              <w:rPr>
                <w:color w:val="000000"/>
                <w:sz w:val="20"/>
                <w:lang w:val="fr-CA"/>
              </w:rPr>
              <w:t>Le demandeur a perdu la maîtrise de son véhicule et a heurté quelqu’un. Les deux juridictions inférieures ont estimé que la présomption d’identité s’appliquait dans les causes transitoires. Le demandeur a été déclaré coupable d’avoir causé un accident ayant entraîné des lésions corporelles alors qu’il conduisait un véhicule à moteur avec une alcoolémie supérieure à 0,08. </w:t>
            </w:r>
            <w:r w:rsidRPr="006773D9">
              <w:rPr>
                <w:color w:val="000000"/>
                <w:sz w:val="20"/>
              </w:rPr>
              <w:t xml:space="preserve">L’appel de la déclaration de culpabilité </w:t>
            </w:r>
            <w:proofErr w:type="gramStart"/>
            <w:r w:rsidRPr="006773D9">
              <w:rPr>
                <w:color w:val="000000"/>
                <w:sz w:val="20"/>
              </w:rPr>
              <w:t>a</w:t>
            </w:r>
            <w:proofErr w:type="gramEnd"/>
            <w:r w:rsidRPr="006773D9">
              <w:rPr>
                <w:color w:val="000000"/>
                <w:sz w:val="20"/>
              </w:rPr>
              <w:t xml:space="preserve"> été rejeté.</w:t>
            </w:r>
          </w:p>
        </w:tc>
      </w:tr>
      <w:tr w:rsidR="00BA05AA" w:rsidRPr="006773D9" w:rsidTr="00071969">
        <w:tc>
          <w:tcPr>
            <w:tcW w:w="5000" w:type="pct"/>
            <w:gridSpan w:val="2"/>
          </w:tcPr>
          <w:p w:rsidR="00BA05AA" w:rsidRPr="006773D9" w:rsidRDefault="00BA05AA" w:rsidP="00BA05AA">
            <w:pPr>
              <w:jc w:val="both"/>
              <w:rPr>
                <w:sz w:val="20"/>
              </w:rPr>
            </w:pPr>
          </w:p>
        </w:tc>
      </w:tr>
      <w:tr w:rsidR="00BA05AA" w:rsidRPr="00311F52" w:rsidTr="00BA05AA">
        <w:trPr>
          <w:trHeight w:val="3697"/>
        </w:trPr>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BA05AA" w:rsidRPr="00311F52" w:rsidTr="00DD4C36">
              <w:tc>
                <w:tcPr>
                  <w:tcW w:w="2367" w:type="pct"/>
                </w:tcPr>
                <w:p w:rsidR="00BA05AA" w:rsidRPr="006773D9" w:rsidRDefault="00BA05AA" w:rsidP="00BA05AA">
                  <w:pPr>
                    <w:jc w:val="both"/>
                    <w:rPr>
                      <w:sz w:val="20"/>
                      <w:lang w:val="fr-CA"/>
                    </w:rPr>
                  </w:pPr>
                  <w:r w:rsidRPr="006773D9">
                    <w:rPr>
                      <w:sz w:val="20"/>
                      <w:lang w:val="fr-CA"/>
                    </w:rPr>
                    <w:t>4 octobre 2019</w:t>
                  </w:r>
                </w:p>
                <w:p w:rsidR="00BA05AA" w:rsidRPr="006773D9" w:rsidRDefault="00BA05AA" w:rsidP="00BA05AA">
                  <w:pPr>
                    <w:jc w:val="both"/>
                    <w:rPr>
                      <w:sz w:val="20"/>
                      <w:lang w:val="fr-CA"/>
                    </w:rPr>
                  </w:pPr>
                  <w:r w:rsidRPr="006773D9">
                    <w:rPr>
                      <w:sz w:val="20"/>
                      <w:lang w:val="fr-CA"/>
                    </w:rPr>
                    <w:t>Cour provinciale de la Colombie</w:t>
                  </w:r>
                  <w:r w:rsidRPr="006773D9">
                    <w:rPr>
                      <w:sz w:val="20"/>
                      <w:lang w:val="fr-CA"/>
                    </w:rPr>
                    <w:noBreakHyphen/>
                    <w:t>Britannique</w:t>
                  </w:r>
                </w:p>
                <w:p w:rsidR="00BA05AA" w:rsidRPr="006773D9" w:rsidRDefault="00BA05AA" w:rsidP="00BA05AA">
                  <w:pPr>
                    <w:jc w:val="both"/>
                    <w:rPr>
                      <w:sz w:val="20"/>
                    </w:rPr>
                  </w:pPr>
                  <w:r w:rsidRPr="006773D9">
                    <w:rPr>
                      <w:sz w:val="20"/>
                    </w:rPr>
                    <w:t>(Juge Craig)</w:t>
                  </w:r>
                </w:p>
                <w:p w:rsidR="00BA05AA" w:rsidRPr="006773D9" w:rsidRDefault="00BA05AA" w:rsidP="00BA05AA">
                  <w:pPr>
                    <w:jc w:val="both"/>
                    <w:rPr>
                      <w:sz w:val="20"/>
                    </w:rPr>
                  </w:pPr>
                  <w:r w:rsidRPr="006773D9">
                    <w:rPr>
                      <w:sz w:val="20"/>
                    </w:rPr>
                    <w:t>(non publié)</w:t>
                  </w:r>
                </w:p>
                <w:p w:rsidR="00BA05AA" w:rsidRPr="006773D9" w:rsidRDefault="00BA05AA" w:rsidP="00BA05AA">
                  <w:pPr>
                    <w:jc w:val="both"/>
                    <w:rPr>
                      <w:sz w:val="20"/>
                    </w:rPr>
                  </w:pPr>
                </w:p>
              </w:tc>
              <w:tc>
                <w:tcPr>
                  <w:tcW w:w="267" w:type="pct"/>
                </w:tcPr>
                <w:p w:rsidR="00BA05AA" w:rsidRPr="006773D9" w:rsidRDefault="00BA05AA" w:rsidP="00BA05AA">
                  <w:pPr>
                    <w:jc w:val="both"/>
                    <w:rPr>
                      <w:sz w:val="20"/>
                    </w:rPr>
                  </w:pPr>
                </w:p>
              </w:tc>
              <w:tc>
                <w:tcPr>
                  <w:tcW w:w="2366" w:type="pct"/>
                </w:tcPr>
                <w:p w:rsidR="00BA05AA" w:rsidRPr="006773D9" w:rsidRDefault="00BA05AA" w:rsidP="00BA05AA">
                  <w:pPr>
                    <w:jc w:val="both"/>
                    <w:rPr>
                      <w:sz w:val="20"/>
                      <w:lang w:val="fr-CA"/>
                    </w:rPr>
                  </w:pPr>
                  <w:r w:rsidRPr="006773D9">
                    <w:rPr>
                      <w:color w:val="000000"/>
                      <w:sz w:val="20"/>
                      <w:lang w:val="fr-CA"/>
                    </w:rPr>
                    <w:t>Déclaration de culpabilité inscrite : avoir causé un accident ayant entraîné des lésions corporelles en conduisant un véhicule à moteur avec une alcoolémie supérieure à 0,08</w:t>
                  </w:r>
                </w:p>
                <w:p w:rsidR="00BA05AA" w:rsidRPr="006773D9" w:rsidRDefault="00BA05AA" w:rsidP="00BA05AA">
                  <w:pPr>
                    <w:jc w:val="both"/>
                    <w:rPr>
                      <w:sz w:val="20"/>
                      <w:lang w:val="fr-CA"/>
                    </w:rPr>
                  </w:pPr>
                </w:p>
              </w:tc>
            </w:tr>
            <w:tr w:rsidR="00BA05AA" w:rsidRPr="00311F52" w:rsidTr="00DD4C36">
              <w:tc>
                <w:tcPr>
                  <w:tcW w:w="2367" w:type="pct"/>
                </w:tcPr>
                <w:p w:rsidR="00BA05AA" w:rsidRPr="006773D9" w:rsidRDefault="00BA05AA" w:rsidP="00BA05AA">
                  <w:pPr>
                    <w:jc w:val="both"/>
                    <w:rPr>
                      <w:sz w:val="20"/>
                      <w:lang w:val="fr-CA"/>
                    </w:rPr>
                  </w:pPr>
                  <w:r w:rsidRPr="006773D9">
                    <w:rPr>
                      <w:sz w:val="20"/>
                      <w:lang w:val="fr-CA"/>
                    </w:rPr>
                    <w:t>14 janvier 2021</w:t>
                  </w:r>
                </w:p>
                <w:p w:rsidR="00BA05AA" w:rsidRPr="006773D9" w:rsidRDefault="00BA05AA" w:rsidP="00BA05AA">
                  <w:pPr>
                    <w:jc w:val="both"/>
                    <w:rPr>
                      <w:sz w:val="20"/>
                      <w:lang w:val="fr-CA"/>
                    </w:rPr>
                  </w:pPr>
                  <w:r w:rsidRPr="006773D9">
                    <w:rPr>
                      <w:sz w:val="20"/>
                      <w:lang w:val="fr-CA"/>
                    </w:rPr>
                    <w:t>Cour d’appel de la Colombie</w:t>
                  </w:r>
                  <w:r w:rsidRPr="006773D9">
                    <w:rPr>
                      <w:sz w:val="20"/>
                      <w:lang w:val="fr-CA"/>
                    </w:rPr>
                    <w:noBreakHyphen/>
                    <w:t xml:space="preserve">Britannique </w:t>
                  </w:r>
                </w:p>
                <w:p w:rsidR="00BA05AA" w:rsidRPr="006773D9" w:rsidRDefault="00BA05AA" w:rsidP="00BA05AA">
                  <w:pPr>
                    <w:jc w:val="both"/>
                    <w:rPr>
                      <w:sz w:val="20"/>
                      <w:lang w:val="fr-CA"/>
                    </w:rPr>
                  </w:pPr>
                  <w:r w:rsidRPr="006773D9">
                    <w:rPr>
                      <w:sz w:val="20"/>
                      <w:lang w:val="fr-CA"/>
                    </w:rPr>
                    <w:t>(Vancouver)</w:t>
                  </w:r>
                </w:p>
                <w:p w:rsidR="00BA05AA" w:rsidRPr="006773D9" w:rsidRDefault="00BA05AA" w:rsidP="00BA05AA">
                  <w:pPr>
                    <w:jc w:val="both"/>
                    <w:rPr>
                      <w:sz w:val="20"/>
                      <w:lang w:val="fr-CA"/>
                    </w:rPr>
                  </w:pPr>
                  <w:r w:rsidRPr="006773D9">
                    <w:rPr>
                      <w:sz w:val="20"/>
                      <w:lang w:val="fr-CA"/>
                    </w:rPr>
                    <w:t>(Juges Frankel, Goepel et DeWitt-Van Oosten)</w:t>
                  </w:r>
                </w:p>
                <w:p w:rsidR="00BA05AA" w:rsidRPr="006773D9" w:rsidRDefault="00311F52" w:rsidP="00BA05AA">
                  <w:pPr>
                    <w:jc w:val="both"/>
                    <w:rPr>
                      <w:sz w:val="20"/>
                    </w:rPr>
                  </w:pPr>
                  <w:hyperlink r:id="rId14" w:history="1">
                    <w:r w:rsidR="00BA05AA" w:rsidRPr="006773D9">
                      <w:rPr>
                        <w:rStyle w:val="Hyperlink"/>
                        <w:sz w:val="20"/>
                      </w:rPr>
                      <w:t>2021 BCCA 22</w:t>
                    </w:r>
                  </w:hyperlink>
                  <w:r w:rsidR="00BA05AA" w:rsidRPr="006773D9">
                    <w:rPr>
                      <w:sz w:val="20"/>
                    </w:rPr>
                    <w:t>; CA46604</w:t>
                  </w:r>
                </w:p>
                <w:p w:rsidR="00BA05AA" w:rsidRPr="006773D9" w:rsidRDefault="00BA05AA" w:rsidP="00BA05AA">
                  <w:pPr>
                    <w:jc w:val="both"/>
                    <w:rPr>
                      <w:sz w:val="20"/>
                    </w:rPr>
                  </w:pPr>
                </w:p>
              </w:tc>
              <w:tc>
                <w:tcPr>
                  <w:tcW w:w="267" w:type="pct"/>
                </w:tcPr>
                <w:p w:rsidR="00BA05AA" w:rsidRPr="006773D9" w:rsidRDefault="00BA05AA" w:rsidP="00BA05AA">
                  <w:pPr>
                    <w:jc w:val="both"/>
                    <w:rPr>
                      <w:sz w:val="20"/>
                    </w:rPr>
                  </w:pPr>
                </w:p>
              </w:tc>
              <w:tc>
                <w:tcPr>
                  <w:tcW w:w="2366" w:type="pct"/>
                </w:tcPr>
                <w:p w:rsidR="00BA05AA" w:rsidRPr="006773D9" w:rsidRDefault="00BA05AA" w:rsidP="00BA05AA">
                  <w:pPr>
                    <w:jc w:val="both"/>
                    <w:rPr>
                      <w:sz w:val="20"/>
                      <w:lang w:val="fr-CA"/>
                    </w:rPr>
                  </w:pPr>
                  <w:r w:rsidRPr="006773D9">
                    <w:rPr>
                      <w:sz w:val="20"/>
                      <w:lang w:val="fr-CA"/>
                    </w:rPr>
                    <w:t>Rejet de l’appel de la déclaration de culpabilité</w:t>
                  </w:r>
                </w:p>
                <w:p w:rsidR="00BA05AA" w:rsidRPr="006773D9" w:rsidRDefault="00BA05AA" w:rsidP="00BA05AA">
                  <w:pPr>
                    <w:jc w:val="both"/>
                    <w:rPr>
                      <w:sz w:val="20"/>
                      <w:lang w:val="fr-CA"/>
                    </w:rPr>
                  </w:pPr>
                </w:p>
              </w:tc>
            </w:tr>
            <w:tr w:rsidR="00BA05AA" w:rsidRPr="00311F52" w:rsidTr="00DD4C36">
              <w:tc>
                <w:tcPr>
                  <w:tcW w:w="2367" w:type="pct"/>
                </w:tcPr>
                <w:p w:rsidR="00BA05AA" w:rsidRPr="006773D9" w:rsidRDefault="00BA05AA" w:rsidP="00BA05AA">
                  <w:pPr>
                    <w:jc w:val="both"/>
                    <w:rPr>
                      <w:sz w:val="20"/>
                    </w:rPr>
                  </w:pPr>
                  <w:r w:rsidRPr="006773D9">
                    <w:rPr>
                      <w:sz w:val="20"/>
                    </w:rPr>
                    <w:t>15 mars 2021</w:t>
                  </w:r>
                </w:p>
                <w:p w:rsidR="00BA05AA" w:rsidRPr="006773D9" w:rsidRDefault="00BA05AA" w:rsidP="00BA05AA">
                  <w:pPr>
                    <w:jc w:val="both"/>
                    <w:rPr>
                      <w:sz w:val="20"/>
                    </w:rPr>
                  </w:pPr>
                  <w:r w:rsidRPr="006773D9">
                    <w:rPr>
                      <w:sz w:val="20"/>
                    </w:rPr>
                    <w:t>Cour suprême du Canada</w:t>
                  </w:r>
                </w:p>
                <w:p w:rsidR="00BA05AA" w:rsidRPr="006773D9" w:rsidRDefault="00BA05AA" w:rsidP="00BA05AA">
                  <w:pPr>
                    <w:jc w:val="both"/>
                    <w:rPr>
                      <w:sz w:val="20"/>
                    </w:rPr>
                  </w:pPr>
                </w:p>
              </w:tc>
              <w:tc>
                <w:tcPr>
                  <w:tcW w:w="267" w:type="pct"/>
                </w:tcPr>
                <w:p w:rsidR="00BA05AA" w:rsidRPr="006773D9" w:rsidRDefault="00BA05AA" w:rsidP="00BA05AA">
                  <w:pPr>
                    <w:jc w:val="both"/>
                    <w:rPr>
                      <w:sz w:val="20"/>
                    </w:rPr>
                  </w:pPr>
                </w:p>
              </w:tc>
              <w:tc>
                <w:tcPr>
                  <w:tcW w:w="2366" w:type="pct"/>
                </w:tcPr>
                <w:p w:rsidR="00BA05AA" w:rsidRPr="006773D9" w:rsidRDefault="00BA05AA" w:rsidP="00BA05AA">
                  <w:pPr>
                    <w:jc w:val="both"/>
                    <w:rPr>
                      <w:sz w:val="20"/>
                      <w:lang w:val="fr-CA"/>
                    </w:rPr>
                  </w:pPr>
                  <w:r w:rsidRPr="006773D9">
                    <w:rPr>
                      <w:sz w:val="20"/>
                      <w:lang w:val="fr-CA"/>
                    </w:rPr>
                    <w:t>Dépôt de la demande d’autorisation d’appel</w:t>
                  </w:r>
                </w:p>
                <w:p w:rsidR="00BA05AA" w:rsidRPr="006773D9" w:rsidRDefault="00BA05AA" w:rsidP="00BA05AA">
                  <w:pPr>
                    <w:jc w:val="both"/>
                    <w:rPr>
                      <w:sz w:val="20"/>
                      <w:lang w:val="fr-CA"/>
                    </w:rPr>
                  </w:pPr>
                </w:p>
              </w:tc>
            </w:tr>
            <w:tr w:rsidR="00BA05AA" w:rsidRPr="00311F52" w:rsidTr="00DD4C36">
              <w:tc>
                <w:tcPr>
                  <w:tcW w:w="2367" w:type="pct"/>
                </w:tcPr>
                <w:p w:rsidR="00BA05AA" w:rsidRPr="006773D9" w:rsidRDefault="00BA05AA" w:rsidP="00BA05AA">
                  <w:pPr>
                    <w:jc w:val="both"/>
                    <w:rPr>
                      <w:sz w:val="20"/>
                      <w:lang w:val="fr-CA"/>
                    </w:rPr>
                  </w:pPr>
                  <w:r w:rsidRPr="006773D9">
                    <w:rPr>
                      <w:sz w:val="20"/>
                      <w:lang w:val="fr-CA"/>
                    </w:rPr>
                    <w:t>15 juin 2021</w:t>
                  </w:r>
                </w:p>
                <w:p w:rsidR="00BA05AA" w:rsidRPr="006773D9" w:rsidRDefault="00BA05AA" w:rsidP="00BA05AA">
                  <w:pPr>
                    <w:jc w:val="both"/>
                    <w:rPr>
                      <w:sz w:val="20"/>
                      <w:lang w:val="fr-CA"/>
                    </w:rPr>
                  </w:pPr>
                  <w:r w:rsidRPr="006773D9">
                    <w:rPr>
                      <w:sz w:val="20"/>
                      <w:lang w:val="fr-CA"/>
                    </w:rPr>
                    <w:t>Cour suprême du Canada</w:t>
                  </w:r>
                </w:p>
              </w:tc>
              <w:tc>
                <w:tcPr>
                  <w:tcW w:w="267" w:type="pct"/>
                </w:tcPr>
                <w:p w:rsidR="00BA05AA" w:rsidRPr="006773D9" w:rsidRDefault="00BA05AA" w:rsidP="00BA05AA">
                  <w:pPr>
                    <w:jc w:val="both"/>
                    <w:rPr>
                      <w:sz w:val="20"/>
                      <w:lang w:val="fr-CA"/>
                    </w:rPr>
                  </w:pPr>
                </w:p>
              </w:tc>
              <w:tc>
                <w:tcPr>
                  <w:tcW w:w="2366" w:type="pct"/>
                </w:tcPr>
                <w:p w:rsidR="00BA05AA" w:rsidRPr="006773D9" w:rsidRDefault="00BA05AA" w:rsidP="00BA05AA">
                  <w:pPr>
                    <w:jc w:val="both"/>
                    <w:rPr>
                      <w:sz w:val="20"/>
                      <w:lang w:val="fr-CA"/>
                    </w:rPr>
                  </w:pPr>
                  <w:r w:rsidRPr="006773D9">
                    <w:rPr>
                      <w:sz w:val="20"/>
                      <w:lang w:val="fr-CA"/>
                    </w:rPr>
                    <w:t>Dépôt de la requête en prorogation du délai de signification de la demande d’autorisation d’appel</w:t>
                  </w:r>
                </w:p>
              </w:tc>
            </w:tr>
          </w:tbl>
          <w:p w:rsidR="00BA05AA" w:rsidRPr="006773D9" w:rsidRDefault="00BA05AA" w:rsidP="00BA05AA">
            <w:pPr>
              <w:jc w:val="both"/>
              <w:rPr>
                <w:sz w:val="20"/>
                <w:lang w:val="fr-CA"/>
              </w:rPr>
            </w:pPr>
          </w:p>
        </w:tc>
      </w:tr>
    </w:tbl>
    <w:p w:rsidR="00BA05AA" w:rsidRPr="006773D9" w:rsidRDefault="00BA05AA" w:rsidP="00BA05AA">
      <w:pPr>
        <w:jc w:val="both"/>
        <w:rPr>
          <w:sz w:val="20"/>
          <w:lang w:val="fr-CA"/>
        </w:rPr>
      </w:pPr>
    </w:p>
    <w:p w:rsidR="004E723C" w:rsidRPr="006773D9" w:rsidRDefault="00311F52" w:rsidP="00BA05AA">
      <w:pPr>
        <w:widowControl w:val="0"/>
        <w:tabs>
          <w:tab w:val="left" w:pos="3840"/>
        </w:tabs>
        <w:jc w:val="both"/>
        <w:rPr>
          <w:sz w:val="20"/>
          <w:lang w:val="fr-CA"/>
        </w:rPr>
      </w:pPr>
      <w:r>
        <w:rPr>
          <w:sz w:val="20"/>
        </w:rPr>
        <w:pict>
          <v:rect id="_x0000_i1028" style="width:2in;height:1pt" o:hrpct="0" o:hralign="center" o:hrstd="t" o:hrnoshade="t" o:hr="t" fillcolor="black [3213]" stroked="f"/>
        </w:pict>
      </w:r>
    </w:p>
    <w:p w:rsidR="00BA05AA" w:rsidRPr="006773D9" w:rsidRDefault="00BA05AA" w:rsidP="00BA05AA">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A05AA" w:rsidRPr="006773D9" w:rsidTr="00E95A6A">
        <w:tc>
          <w:tcPr>
            <w:tcW w:w="543" w:type="pct"/>
          </w:tcPr>
          <w:p w:rsidR="00BA05AA" w:rsidRPr="006773D9" w:rsidRDefault="00BA05AA" w:rsidP="00BA05AA">
            <w:pPr>
              <w:jc w:val="both"/>
              <w:rPr>
                <w:sz w:val="20"/>
              </w:rPr>
            </w:pPr>
            <w:r w:rsidRPr="006773D9">
              <w:rPr>
                <w:rStyle w:val="SCCFileNumberChar"/>
                <w:sz w:val="20"/>
                <w:szCs w:val="20"/>
              </w:rPr>
              <w:t>39748</w:t>
            </w:r>
          </w:p>
        </w:tc>
        <w:tc>
          <w:tcPr>
            <w:tcW w:w="4457" w:type="pct"/>
            <w:gridSpan w:val="3"/>
          </w:tcPr>
          <w:p w:rsidR="00BA05AA" w:rsidRPr="006773D9" w:rsidRDefault="00BA05AA" w:rsidP="00BA05AA">
            <w:pPr>
              <w:pStyle w:val="SCCLsocParty"/>
              <w:jc w:val="both"/>
              <w:rPr>
                <w:b/>
                <w:sz w:val="20"/>
                <w:szCs w:val="20"/>
                <w:lang w:val="en-US"/>
              </w:rPr>
            </w:pPr>
            <w:r w:rsidRPr="006773D9">
              <w:rPr>
                <w:b/>
                <w:sz w:val="20"/>
                <w:szCs w:val="20"/>
                <w:lang w:val="en-US"/>
              </w:rPr>
              <w:t>Alexander Davidoff and Alexandra Davidoff v. Rachel Goerz, Paderewski Society Home (Niagara), Niagara Regional Housing</w:t>
            </w:r>
          </w:p>
          <w:p w:rsidR="00BA05AA" w:rsidRPr="006773D9" w:rsidRDefault="00BA05AA" w:rsidP="00BA05AA">
            <w:pPr>
              <w:jc w:val="both"/>
              <w:rPr>
                <w:sz w:val="20"/>
              </w:rPr>
            </w:pPr>
            <w:r w:rsidRPr="006773D9">
              <w:rPr>
                <w:sz w:val="20"/>
              </w:rPr>
              <w:t>(Ont.) (Civil) (By Leave)</w:t>
            </w:r>
          </w:p>
        </w:tc>
      </w:tr>
      <w:tr w:rsidR="00BA05AA" w:rsidRPr="006773D9" w:rsidTr="00E95A6A">
        <w:tc>
          <w:tcPr>
            <w:tcW w:w="5000" w:type="pct"/>
            <w:gridSpan w:val="4"/>
          </w:tcPr>
          <w:p w:rsidR="00BA05AA" w:rsidRPr="006773D9" w:rsidRDefault="00BA05AA" w:rsidP="00BA05AA">
            <w:pPr>
              <w:jc w:val="both"/>
              <w:rPr>
                <w:sz w:val="20"/>
              </w:rPr>
            </w:pPr>
            <w:r w:rsidRPr="006773D9">
              <w:rPr>
                <w:i/>
                <w:sz w:val="20"/>
              </w:rPr>
              <w:t>Charter of Rights</w:t>
            </w:r>
            <w:r w:rsidRPr="006773D9">
              <w:rPr>
                <w:sz w:val="20"/>
              </w:rPr>
              <w:t xml:space="preserve"> — Fundamental justice — Judgments and orders — Reasons — Sufficiency of reasons — Respondents’ motion to strike applicants’ action for malicious prosecution granted —Applicants’ appeal based on reasonable apprehension of bias of application judge dismissed —Whether Court of Appeal erred in failing to provide </w:t>
            </w:r>
            <w:r w:rsidRPr="006773D9">
              <w:rPr>
                <w:sz w:val="20"/>
              </w:rPr>
              <w:lastRenderedPageBreak/>
              <w:t xml:space="preserve">any or adequate reasons for their judgment — Whether a decision-maker must address the major issues, grapple with the substance of the dispute, and provide the affected person with an understanding as to why the decision was made — Whether the Court of Appeal erred in their ignorance of the rationale for the decision and the transparency and intelligibility of the decision-making process established in </w:t>
            </w:r>
            <w:r w:rsidRPr="006773D9">
              <w:rPr>
                <w:i/>
                <w:sz w:val="20"/>
              </w:rPr>
              <w:t>Dunsmuir v.</w:t>
            </w:r>
            <w:r w:rsidRPr="006773D9">
              <w:rPr>
                <w:sz w:val="20"/>
              </w:rPr>
              <w:t xml:space="preserve"> </w:t>
            </w:r>
            <w:r w:rsidRPr="006773D9">
              <w:rPr>
                <w:i/>
                <w:sz w:val="20"/>
              </w:rPr>
              <w:t>New Brunswick</w:t>
            </w:r>
            <w:r w:rsidRPr="006773D9">
              <w:rPr>
                <w:sz w:val="20"/>
              </w:rPr>
              <w:t xml:space="preserve">, 2008 SCC 9 — Whether the Court of Appeal erred in their instructions to responding counsel not to present submissions — Whether the Court of Appeal erred in refusing to disclose a potential for apprehension of bias — Whether the Court of Appeal erred by not considering the guarantees and values of the </w:t>
            </w:r>
            <w:r w:rsidRPr="006773D9">
              <w:rPr>
                <w:i/>
                <w:sz w:val="20"/>
              </w:rPr>
              <w:t>Charter of Rights</w:t>
            </w:r>
          </w:p>
        </w:tc>
      </w:tr>
      <w:tr w:rsidR="00BA05AA" w:rsidRPr="006773D9" w:rsidTr="00E95A6A">
        <w:tc>
          <w:tcPr>
            <w:tcW w:w="5000" w:type="pct"/>
            <w:gridSpan w:val="4"/>
          </w:tcPr>
          <w:p w:rsidR="00BA05AA" w:rsidRPr="006773D9" w:rsidRDefault="00BA05AA" w:rsidP="00BA05AA">
            <w:pPr>
              <w:jc w:val="both"/>
              <w:rPr>
                <w:sz w:val="20"/>
              </w:rPr>
            </w:pPr>
          </w:p>
          <w:p w:rsidR="00BA05AA" w:rsidRPr="006773D9" w:rsidRDefault="00BA05AA" w:rsidP="00BA05AA">
            <w:pPr>
              <w:jc w:val="both"/>
              <w:rPr>
                <w:sz w:val="20"/>
              </w:rPr>
            </w:pPr>
            <w:r w:rsidRPr="006773D9">
              <w:rPr>
                <w:sz w:val="20"/>
              </w:rPr>
              <w:t xml:space="preserve">Following an action in which the applicant, Mr. Davidoff, was found to be liable for damages for defamation to the respondent, Paderewski Society Home (Niagara), he and the applicant, Ms. Davidoff, brought two actions for malicious prosecution and intimidation against the respondents. The respondents moved to strike those actions on the grounds, </w:t>
            </w:r>
            <w:r w:rsidRPr="006773D9">
              <w:rPr>
                <w:i/>
                <w:sz w:val="20"/>
              </w:rPr>
              <w:t>inter alia</w:t>
            </w:r>
            <w:r w:rsidRPr="006773D9">
              <w:rPr>
                <w:sz w:val="20"/>
              </w:rPr>
              <w:t>, that they disclosed no reasonable cause of action. The application judge granted the motions, striking the actions without leave to amend. The applicants’ appeal was dismissed.</w:t>
            </w:r>
          </w:p>
        </w:tc>
      </w:tr>
      <w:tr w:rsidR="00BA05AA" w:rsidRPr="006773D9" w:rsidTr="00E95A6A">
        <w:tc>
          <w:tcPr>
            <w:tcW w:w="5000" w:type="pct"/>
            <w:gridSpan w:val="4"/>
          </w:tcPr>
          <w:p w:rsidR="00BA05AA" w:rsidRPr="006773D9" w:rsidRDefault="00BA05AA" w:rsidP="00BA05AA">
            <w:pPr>
              <w:jc w:val="both"/>
              <w:rPr>
                <w:sz w:val="20"/>
              </w:rPr>
            </w:pPr>
          </w:p>
        </w:tc>
      </w:tr>
      <w:tr w:rsidR="00BA05AA" w:rsidRPr="006773D9" w:rsidTr="00E95A6A">
        <w:tc>
          <w:tcPr>
            <w:tcW w:w="2427" w:type="pct"/>
            <w:gridSpan w:val="2"/>
          </w:tcPr>
          <w:p w:rsidR="00BA05AA" w:rsidRPr="006773D9" w:rsidRDefault="00BA05AA" w:rsidP="00BA05AA">
            <w:pPr>
              <w:jc w:val="both"/>
              <w:rPr>
                <w:sz w:val="20"/>
              </w:rPr>
            </w:pPr>
            <w:r w:rsidRPr="006773D9">
              <w:rPr>
                <w:sz w:val="20"/>
              </w:rPr>
              <w:t>February 25, 2020</w:t>
            </w:r>
          </w:p>
          <w:p w:rsidR="00BA05AA" w:rsidRPr="006773D9" w:rsidRDefault="00BA05AA" w:rsidP="00BA05AA">
            <w:pPr>
              <w:jc w:val="both"/>
              <w:rPr>
                <w:sz w:val="20"/>
              </w:rPr>
            </w:pPr>
            <w:r w:rsidRPr="006773D9">
              <w:rPr>
                <w:sz w:val="20"/>
              </w:rPr>
              <w:t>Ontario Superior Court of Justice</w:t>
            </w:r>
          </w:p>
          <w:p w:rsidR="00BA05AA" w:rsidRPr="006773D9" w:rsidRDefault="00BA05AA" w:rsidP="00BA05AA">
            <w:pPr>
              <w:jc w:val="both"/>
              <w:rPr>
                <w:sz w:val="20"/>
              </w:rPr>
            </w:pPr>
            <w:r w:rsidRPr="006773D9">
              <w:rPr>
                <w:sz w:val="20"/>
              </w:rPr>
              <w:t>(Sweeny J.)</w:t>
            </w:r>
          </w:p>
          <w:p w:rsidR="00BA05AA" w:rsidRPr="006773D9" w:rsidRDefault="00311F52" w:rsidP="00BA05AA">
            <w:pPr>
              <w:jc w:val="both"/>
              <w:rPr>
                <w:sz w:val="20"/>
              </w:rPr>
            </w:pPr>
            <w:hyperlink r:id="rId15" w:history="1">
              <w:r w:rsidR="00BA05AA" w:rsidRPr="006773D9">
                <w:rPr>
                  <w:rStyle w:val="Hyperlink"/>
                  <w:sz w:val="20"/>
                </w:rPr>
                <w:t>2020 ONSC 1171</w:t>
              </w:r>
            </w:hyperlink>
          </w:p>
          <w:p w:rsidR="00BA05AA" w:rsidRPr="006773D9" w:rsidRDefault="00311F52" w:rsidP="00BA05AA">
            <w:pPr>
              <w:jc w:val="both"/>
              <w:rPr>
                <w:sz w:val="20"/>
              </w:rPr>
            </w:pPr>
            <w:hyperlink r:id="rId16" w:history="1">
              <w:r w:rsidR="00BA05AA" w:rsidRPr="006773D9">
                <w:rPr>
                  <w:rStyle w:val="Hyperlink"/>
                  <w:sz w:val="20"/>
                </w:rPr>
                <w:t>2020 ONSC 1162</w:t>
              </w:r>
            </w:hyperlink>
          </w:p>
          <w:p w:rsidR="00BA05AA" w:rsidRPr="006773D9" w:rsidRDefault="00BA05AA" w:rsidP="00BA05AA">
            <w:pPr>
              <w:jc w:val="both"/>
              <w:rPr>
                <w:sz w:val="20"/>
              </w:rPr>
            </w:pPr>
          </w:p>
        </w:tc>
        <w:tc>
          <w:tcPr>
            <w:tcW w:w="243" w:type="pct"/>
          </w:tcPr>
          <w:p w:rsidR="00BA05AA" w:rsidRPr="006773D9" w:rsidRDefault="00BA05AA" w:rsidP="00BA05AA">
            <w:pPr>
              <w:jc w:val="both"/>
              <w:rPr>
                <w:sz w:val="20"/>
              </w:rPr>
            </w:pPr>
          </w:p>
        </w:tc>
        <w:tc>
          <w:tcPr>
            <w:tcW w:w="2330" w:type="pct"/>
          </w:tcPr>
          <w:p w:rsidR="00BA05AA" w:rsidRPr="006773D9" w:rsidRDefault="00BA05AA" w:rsidP="00BA05AA">
            <w:pPr>
              <w:jc w:val="both"/>
              <w:rPr>
                <w:sz w:val="20"/>
              </w:rPr>
            </w:pPr>
            <w:r w:rsidRPr="006773D9">
              <w:rPr>
                <w:sz w:val="20"/>
              </w:rPr>
              <w:t>Orders striking applicants’ two actions for malicious prosecution without leave to amend</w:t>
            </w:r>
          </w:p>
          <w:p w:rsidR="00BA05AA" w:rsidRPr="006773D9" w:rsidRDefault="00BA05AA" w:rsidP="00BA05AA">
            <w:pPr>
              <w:jc w:val="both"/>
              <w:rPr>
                <w:sz w:val="20"/>
              </w:rPr>
            </w:pPr>
          </w:p>
          <w:p w:rsidR="00BA05AA" w:rsidRPr="006773D9" w:rsidRDefault="00BA05AA" w:rsidP="00BA05AA">
            <w:pPr>
              <w:jc w:val="both"/>
              <w:rPr>
                <w:sz w:val="20"/>
              </w:rPr>
            </w:pPr>
          </w:p>
        </w:tc>
      </w:tr>
      <w:tr w:rsidR="00BA05AA" w:rsidRPr="006773D9" w:rsidTr="00E95A6A">
        <w:tc>
          <w:tcPr>
            <w:tcW w:w="2427" w:type="pct"/>
            <w:gridSpan w:val="2"/>
          </w:tcPr>
          <w:p w:rsidR="00BA05AA" w:rsidRPr="006773D9" w:rsidRDefault="00BA05AA" w:rsidP="00BA05AA">
            <w:pPr>
              <w:jc w:val="both"/>
              <w:rPr>
                <w:sz w:val="20"/>
              </w:rPr>
            </w:pPr>
            <w:r w:rsidRPr="006773D9">
              <w:rPr>
                <w:sz w:val="20"/>
              </w:rPr>
              <w:t>March 25, 2021</w:t>
            </w:r>
          </w:p>
          <w:p w:rsidR="00BA05AA" w:rsidRPr="006773D9" w:rsidRDefault="00BA05AA" w:rsidP="00BA05AA">
            <w:pPr>
              <w:jc w:val="both"/>
              <w:rPr>
                <w:sz w:val="20"/>
              </w:rPr>
            </w:pPr>
            <w:r w:rsidRPr="006773D9">
              <w:rPr>
                <w:sz w:val="20"/>
              </w:rPr>
              <w:t>Court of Appeal for Ontario</w:t>
            </w:r>
          </w:p>
          <w:p w:rsidR="00BA05AA" w:rsidRPr="006773D9" w:rsidRDefault="00BA05AA" w:rsidP="00BA05AA">
            <w:pPr>
              <w:jc w:val="both"/>
              <w:rPr>
                <w:sz w:val="20"/>
              </w:rPr>
            </w:pPr>
            <w:r w:rsidRPr="006773D9">
              <w:rPr>
                <w:sz w:val="20"/>
              </w:rPr>
              <w:t xml:space="preserve">(Fairburn A.C.J.O. and Van Rensburg and </w:t>
            </w:r>
          </w:p>
          <w:p w:rsidR="00BA05AA" w:rsidRPr="006773D9" w:rsidRDefault="00BA05AA" w:rsidP="00BA05AA">
            <w:pPr>
              <w:jc w:val="both"/>
              <w:rPr>
                <w:sz w:val="20"/>
              </w:rPr>
            </w:pPr>
            <w:r w:rsidRPr="006773D9">
              <w:rPr>
                <w:sz w:val="20"/>
              </w:rPr>
              <w:t>Huscroft JJ.A.)</w:t>
            </w:r>
          </w:p>
          <w:p w:rsidR="00BA05AA" w:rsidRPr="006773D9" w:rsidRDefault="00311F52" w:rsidP="00BA05AA">
            <w:pPr>
              <w:jc w:val="both"/>
              <w:rPr>
                <w:sz w:val="20"/>
              </w:rPr>
            </w:pPr>
            <w:hyperlink r:id="rId17" w:history="1">
              <w:r w:rsidR="00BA05AA" w:rsidRPr="006773D9">
                <w:rPr>
                  <w:rStyle w:val="Hyperlink"/>
                  <w:sz w:val="20"/>
                </w:rPr>
                <w:t>2021 ONCA 194</w:t>
              </w:r>
            </w:hyperlink>
          </w:p>
          <w:p w:rsidR="00BA05AA" w:rsidRPr="006773D9" w:rsidRDefault="00BA05AA" w:rsidP="00BA05AA">
            <w:pPr>
              <w:jc w:val="both"/>
              <w:rPr>
                <w:sz w:val="20"/>
              </w:rPr>
            </w:pPr>
          </w:p>
        </w:tc>
        <w:tc>
          <w:tcPr>
            <w:tcW w:w="243" w:type="pct"/>
          </w:tcPr>
          <w:p w:rsidR="00BA05AA" w:rsidRPr="006773D9" w:rsidRDefault="00BA05AA" w:rsidP="00BA05AA">
            <w:pPr>
              <w:jc w:val="both"/>
              <w:rPr>
                <w:sz w:val="20"/>
              </w:rPr>
            </w:pPr>
          </w:p>
        </w:tc>
        <w:tc>
          <w:tcPr>
            <w:tcW w:w="2330" w:type="pct"/>
          </w:tcPr>
          <w:p w:rsidR="00BA05AA" w:rsidRPr="006773D9" w:rsidRDefault="00BA05AA" w:rsidP="00BA05AA">
            <w:pPr>
              <w:jc w:val="both"/>
              <w:rPr>
                <w:sz w:val="20"/>
              </w:rPr>
            </w:pPr>
            <w:r w:rsidRPr="006773D9">
              <w:rPr>
                <w:sz w:val="20"/>
              </w:rPr>
              <w:t>Applicants appeal dismissed</w:t>
            </w:r>
          </w:p>
          <w:p w:rsidR="00BA05AA" w:rsidRPr="006773D9" w:rsidRDefault="00BA05AA" w:rsidP="00BA05AA">
            <w:pPr>
              <w:jc w:val="both"/>
              <w:rPr>
                <w:sz w:val="20"/>
              </w:rPr>
            </w:pPr>
          </w:p>
        </w:tc>
      </w:tr>
      <w:tr w:rsidR="00BA05AA" w:rsidRPr="006773D9" w:rsidTr="00E95A6A">
        <w:tc>
          <w:tcPr>
            <w:tcW w:w="2427" w:type="pct"/>
            <w:gridSpan w:val="2"/>
          </w:tcPr>
          <w:p w:rsidR="00BA05AA" w:rsidRPr="006773D9" w:rsidRDefault="00BA05AA" w:rsidP="00BA05AA">
            <w:pPr>
              <w:jc w:val="both"/>
              <w:rPr>
                <w:sz w:val="20"/>
              </w:rPr>
            </w:pPr>
            <w:r w:rsidRPr="006773D9">
              <w:rPr>
                <w:sz w:val="20"/>
              </w:rPr>
              <w:t>May 25, 2021</w:t>
            </w:r>
          </w:p>
          <w:p w:rsidR="00BA05AA" w:rsidRPr="006773D9" w:rsidRDefault="00BA05AA" w:rsidP="00BA05AA">
            <w:pPr>
              <w:jc w:val="both"/>
              <w:rPr>
                <w:sz w:val="20"/>
              </w:rPr>
            </w:pPr>
            <w:r w:rsidRPr="006773D9">
              <w:rPr>
                <w:sz w:val="20"/>
              </w:rPr>
              <w:t>Supreme Court of Canada</w:t>
            </w:r>
          </w:p>
        </w:tc>
        <w:tc>
          <w:tcPr>
            <w:tcW w:w="243" w:type="pct"/>
          </w:tcPr>
          <w:p w:rsidR="00BA05AA" w:rsidRPr="006773D9" w:rsidRDefault="00BA05AA" w:rsidP="00BA05AA">
            <w:pPr>
              <w:jc w:val="both"/>
              <w:rPr>
                <w:sz w:val="20"/>
              </w:rPr>
            </w:pPr>
          </w:p>
        </w:tc>
        <w:tc>
          <w:tcPr>
            <w:tcW w:w="2330" w:type="pct"/>
          </w:tcPr>
          <w:p w:rsidR="00BA05AA" w:rsidRPr="006773D9" w:rsidRDefault="00BA05AA" w:rsidP="00BA05AA">
            <w:pPr>
              <w:jc w:val="both"/>
              <w:rPr>
                <w:sz w:val="20"/>
              </w:rPr>
            </w:pPr>
            <w:r w:rsidRPr="006773D9">
              <w:rPr>
                <w:sz w:val="20"/>
              </w:rPr>
              <w:t>Application for leave to appeal filed</w:t>
            </w:r>
          </w:p>
          <w:p w:rsidR="00BA05AA" w:rsidRPr="006773D9" w:rsidRDefault="00BA05AA" w:rsidP="00BA05AA">
            <w:pPr>
              <w:jc w:val="both"/>
              <w:rPr>
                <w:sz w:val="20"/>
              </w:rPr>
            </w:pPr>
          </w:p>
        </w:tc>
      </w:tr>
    </w:tbl>
    <w:p w:rsidR="00BA05AA" w:rsidRPr="006773D9" w:rsidRDefault="00BA05AA" w:rsidP="00BA05AA">
      <w:pPr>
        <w:jc w:val="both"/>
        <w:rPr>
          <w:sz w:val="20"/>
        </w:rPr>
      </w:pPr>
    </w:p>
    <w:p w:rsidR="00BA05AA" w:rsidRPr="006773D9" w:rsidRDefault="00311F52" w:rsidP="00BA05AA">
      <w:pPr>
        <w:jc w:val="both"/>
        <w:rPr>
          <w:sz w:val="20"/>
        </w:rPr>
      </w:pPr>
      <w:r>
        <w:rPr>
          <w:sz w:val="20"/>
        </w:rPr>
        <w:pict>
          <v:rect id="_x0000_i1029" style="width:2in;height:1pt" o:hrpct="0" o:hralign="center" o:hrstd="t" o:hrnoshade="t" o:hr="t" fillcolor="black [3213]" stroked="f"/>
        </w:pict>
      </w:r>
    </w:p>
    <w:p w:rsidR="00BA05AA" w:rsidRPr="006773D9" w:rsidRDefault="00BA05AA" w:rsidP="00BA05A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A05AA" w:rsidRPr="006773D9" w:rsidTr="00E95A6A">
        <w:tc>
          <w:tcPr>
            <w:tcW w:w="543" w:type="pct"/>
          </w:tcPr>
          <w:p w:rsidR="00BA05AA" w:rsidRPr="006773D9" w:rsidRDefault="00BA05AA" w:rsidP="00BA05AA">
            <w:pPr>
              <w:jc w:val="both"/>
              <w:rPr>
                <w:sz w:val="20"/>
              </w:rPr>
            </w:pPr>
            <w:r w:rsidRPr="006773D9">
              <w:rPr>
                <w:rStyle w:val="SCCFileNumberChar"/>
                <w:sz w:val="20"/>
                <w:szCs w:val="20"/>
              </w:rPr>
              <w:t>39748</w:t>
            </w:r>
          </w:p>
        </w:tc>
        <w:tc>
          <w:tcPr>
            <w:tcW w:w="4457" w:type="pct"/>
            <w:gridSpan w:val="3"/>
          </w:tcPr>
          <w:p w:rsidR="00BA05AA" w:rsidRPr="006773D9" w:rsidRDefault="00BA05AA" w:rsidP="00BA05AA">
            <w:pPr>
              <w:pStyle w:val="SCCLsocParty"/>
              <w:jc w:val="both"/>
              <w:rPr>
                <w:b/>
                <w:sz w:val="20"/>
                <w:szCs w:val="20"/>
                <w:lang w:val="en-CA"/>
              </w:rPr>
            </w:pPr>
            <w:r w:rsidRPr="006773D9">
              <w:rPr>
                <w:b/>
                <w:sz w:val="20"/>
                <w:szCs w:val="20"/>
                <w:lang w:val="en-CA"/>
              </w:rPr>
              <w:t>Alexander Davidoff et Alexandra Davidoff c. Rachel Goerz, Paderewski Society Home (Niagara), Niagara Regional Housing</w:t>
            </w:r>
          </w:p>
          <w:p w:rsidR="00BA05AA" w:rsidRPr="006773D9" w:rsidRDefault="00BA05AA" w:rsidP="00BA05AA">
            <w:pPr>
              <w:jc w:val="both"/>
              <w:rPr>
                <w:sz w:val="20"/>
              </w:rPr>
            </w:pPr>
            <w:r w:rsidRPr="006773D9">
              <w:rPr>
                <w:sz w:val="20"/>
              </w:rPr>
              <w:t>(Ont.) (Civile) (Autorisation)</w:t>
            </w:r>
          </w:p>
        </w:tc>
      </w:tr>
      <w:tr w:rsidR="00BA05AA" w:rsidRPr="00311F52" w:rsidTr="00E95A6A">
        <w:tc>
          <w:tcPr>
            <w:tcW w:w="5000" w:type="pct"/>
            <w:gridSpan w:val="4"/>
          </w:tcPr>
          <w:p w:rsidR="00BA05AA" w:rsidRPr="006773D9" w:rsidRDefault="00BA05AA" w:rsidP="00BA05AA">
            <w:pPr>
              <w:jc w:val="both"/>
              <w:rPr>
                <w:sz w:val="20"/>
                <w:lang w:val="fr-CA"/>
              </w:rPr>
            </w:pPr>
            <w:r w:rsidRPr="006773D9">
              <w:rPr>
                <w:i/>
                <w:sz w:val="20"/>
                <w:lang w:val="fr-CA"/>
              </w:rPr>
              <w:t>Charte des droits</w:t>
            </w:r>
            <w:r w:rsidRPr="006773D9">
              <w:rPr>
                <w:sz w:val="20"/>
                <w:lang w:val="fr-CA"/>
              </w:rPr>
              <w:t xml:space="preserve"> — Justice fondamentale — Jugements et ordonnances — Motifs — Suffisance des motifs — La motion des intimées en radiation de l’action des demandeurs pour poursuite malveillante a été accueillie — L’appel des demandeurs fondé sur une crainte raisonnable de partialité du juge des requêtes a été rejeté — La Cour d’appel a</w:t>
            </w:r>
            <w:r w:rsidRPr="006773D9">
              <w:rPr>
                <w:sz w:val="20"/>
                <w:lang w:val="fr-CA"/>
              </w:rPr>
              <w:noBreakHyphen/>
              <w:t>t</w:t>
            </w:r>
            <w:r w:rsidRPr="006773D9">
              <w:rPr>
                <w:sz w:val="20"/>
                <w:lang w:val="fr-CA"/>
              </w:rPr>
              <w:noBreakHyphen/>
              <w:t>elle commis une erreur en ne fournissant aucun motif adéquat à l’appui de son arrêt? — Un décideur doit</w:t>
            </w:r>
            <w:r w:rsidRPr="006773D9">
              <w:rPr>
                <w:sz w:val="20"/>
                <w:lang w:val="fr-CA"/>
              </w:rPr>
              <w:noBreakHyphen/>
              <w:t>il aborder les questions importantes, saisir l’essentiel du différend et permettre à la personne touchée de comprendre le pourquoi de la décision? — La Cour d’appel a</w:t>
            </w:r>
            <w:r w:rsidRPr="006773D9">
              <w:rPr>
                <w:sz w:val="20"/>
                <w:lang w:val="fr-CA"/>
              </w:rPr>
              <w:noBreakHyphen/>
              <w:t>t</w:t>
            </w:r>
            <w:r w:rsidRPr="006773D9">
              <w:rPr>
                <w:sz w:val="20"/>
                <w:lang w:val="fr-CA"/>
              </w:rPr>
              <w:noBreakHyphen/>
              <w:t xml:space="preserve">elle commis une erreur en faisant abstraction de la justification de la décision et de la transparence et de l’intelligibilité du processus décisionnel établies dans l’arrêt </w:t>
            </w:r>
            <w:r w:rsidRPr="006773D9">
              <w:rPr>
                <w:i/>
                <w:sz w:val="20"/>
                <w:lang w:val="fr-CA"/>
              </w:rPr>
              <w:t>Dunsmuir c.</w:t>
            </w:r>
            <w:r w:rsidRPr="006773D9">
              <w:rPr>
                <w:sz w:val="20"/>
                <w:lang w:val="fr-CA"/>
              </w:rPr>
              <w:t xml:space="preserve"> </w:t>
            </w:r>
            <w:r w:rsidRPr="006773D9">
              <w:rPr>
                <w:i/>
                <w:iCs/>
                <w:sz w:val="20"/>
                <w:lang w:val="fr-CA"/>
              </w:rPr>
              <w:t>Nouveau</w:t>
            </w:r>
            <w:r w:rsidRPr="006773D9">
              <w:rPr>
                <w:i/>
                <w:iCs/>
                <w:sz w:val="20"/>
                <w:lang w:val="fr-CA"/>
              </w:rPr>
              <w:noBreakHyphen/>
              <w:t>Brunswick</w:t>
            </w:r>
            <w:r w:rsidRPr="006773D9">
              <w:rPr>
                <w:sz w:val="20"/>
                <w:lang w:val="fr-CA"/>
              </w:rPr>
              <w:t>, 2008 CSC 9? — La Cour d’appel a</w:t>
            </w:r>
            <w:r w:rsidRPr="006773D9">
              <w:rPr>
                <w:sz w:val="20"/>
                <w:lang w:val="fr-CA"/>
              </w:rPr>
              <w:noBreakHyphen/>
              <w:t>t</w:t>
            </w:r>
            <w:r w:rsidRPr="006773D9">
              <w:rPr>
                <w:sz w:val="20"/>
                <w:lang w:val="fr-CA"/>
              </w:rPr>
              <w:noBreakHyphen/>
              <w:t>elle commis une erreur dans ses directives aux avocats intimés, les intimant de ne pas présenter d’observations? — La Cour d’appel a</w:t>
            </w:r>
            <w:r w:rsidRPr="006773D9">
              <w:rPr>
                <w:sz w:val="20"/>
                <w:lang w:val="fr-CA"/>
              </w:rPr>
              <w:noBreakHyphen/>
              <w:t>t</w:t>
            </w:r>
            <w:r w:rsidRPr="006773D9">
              <w:rPr>
                <w:sz w:val="20"/>
                <w:lang w:val="fr-CA"/>
              </w:rPr>
              <w:noBreakHyphen/>
              <w:t>elle eu tort de refuser de divulguer une possibilité de crainte de partialité? — La Cour d’appel a</w:t>
            </w:r>
            <w:r w:rsidRPr="006773D9">
              <w:rPr>
                <w:sz w:val="20"/>
                <w:lang w:val="fr-CA"/>
              </w:rPr>
              <w:noBreakHyphen/>
              <w:t>t</w:t>
            </w:r>
            <w:r w:rsidRPr="006773D9">
              <w:rPr>
                <w:sz w:val="20"/>
                <w:lang w:val="fr-CA"/>
              </w:rPr>
              <w:noBreakHyphen/>
              <w:t xml:space="preserve">elle eu tort de ne pas tenir compte des garanties et des valeurs de la </w:t>
            </w:r>
            <w:r w:rsidRPr="006773D9">
              <w:rPr>
                <w:i/>
                <w:sz w:val="20"/>
                <w:lang w:val="fr-CA"/>
              </w:rPr>
              <w:t>Charte des droits</w:t>
            </w:r>
            <w:r w:rsidRPr="006773D9">
              <w:rPr>
                <w:sz w:val="20"/>
                <w:lang w:val="fr-CA"/>
              </w:rPr>
              <w:t>?</w:t>
            </w:r>
          </w:p>
        </w:tc>
      </w:tr>
      <w:tr w:rsidR="00BA05AA" w:rsidRPr="006773D9" w:rsidTr="00E95A6A">
        <w:tc>
          <w:tcPr>
            <w:tcW w:w="5000" w:type="pct"/>
            <w:gridSpan w:val="4"/>
          </w:tcPr>
          <w:p w:rsidR="00BA05AA" w:rsidRPr="006773D9" w:rsidRDefault="00BA05AA" w:rsidP="00BA05AA">
            <w:pPr>
              <w:jc w:val="both"/>
              <w:rPr>
                <w:sz w:val="20"/>
                <w:lang w:val="fr-CA"/>
              </w:rPr>
            </w:pPr>
          </w:p>
          <w:p w:rsidR="00BA05AA" w:rsidRPr="006773D9" w:rsidRDefault="00BA05AA" w:rsidP="00BA05AA">
            <w:pPr>
              <w:jc w:val="both"/>
              <w:rPr>
                <w:sz w:val="20"/>
              </w:rPr>
            </w:pPr>
            <w:r w:rsidRPr="006773D9">
              <w:rPr>
                <w:sz w:val="20"/>
                <w:lang w:val="fr-CA"/>
              </w:rPr>
              <w:t>À la suite d’une action dans laquelle le demandeur, M. Davidoff, a été condamné à des dommages</w:t>
            </w:r>
            <w:r w:rsidRPr="006773D9">
              <w:rPr>
                <w:sz w:val="20"/>
                <w:lang w:val="fr-CA"/>
              </w:rPr>
              <w:noBreakHyphen/>
              <w:t xml:space="preserve">intérêts pour diffamation envers l’intimée, Paderewski Society Home (Niagara), lui et la demanderesse, Mme Davidoff, ont intenté deux actions pour poursuite malveillante et intimidation contre les intimées. Les intimées ont demandé la radiation de ces actions au motif, entre autres, qu’elles ne révélaient aucune cause d’action fondée. Le juge des requêtes a accueilli les motions, radiant les actions sans autorisation de les modifier. </w:t>
            </w:r>
            <w:r w:rsidRPr="006773D9">
              <w:rPr>
                <w:sz w:val="20"/>
              </w:rPr>
              <w:t xml:space="preserve">L’appel des demandeurs </w:t>
            </w:r>
            <w:proofErr w:type="gramStart"/>
            <w:r w:rsidRPr="006773D9">
              <w:rPr>
                <w:sz w:val="20"/>
              </w:rPr>
              <w:t>a</w:t>
            </w:r>
            <w:proofErr w:type="gramEnd"/>
            <w:r w:rsidRPr="006773D9">
              <w:rPr>
                <w:sz w:val="20"/>
              </w:rPr>
              <w:t xml:space="preserve"> été rejeté.</w:t>
            </w:r>
          </w:p>
        </w:tc>
      </w:tr>
      <w:tr w:rsidR="00BA05AA" w:rsidRPr="006773D9" w:rsidTr="00E95A6A">
        <w:tc>
          <w:tcPr>
            <w:tcW w:w="5000" w:type="pct"/>
            <w:gridSpan w:val="4"/>
          </w:tcPr>
          <w:p w:rsidR="00BA05AA" w:rsidRPr="006773D9" w:rsidRDefault="00BA05AA" w:rsidP="00BA05AA">
            <w:pPr>
              <w:jc w:val="both"/>
              <w:rPr>
                <w:sz w:val="20"/>
              </w:rPr>
            </w:pPr>
          </w:p>
        </w:tc>
      </w:tr>
      <w:tr w:rsidR="00BA05AA" w:rsidRPr="00311F52" w:rsidTr="00E95A6A">
        <w:tc>
          <w:tcPr>
            <w:tcW w:w="2427" w:type="pct"/>
            <w:gridSpan w:val="2"/>
          </w:tcPr>
          <w:p w:rsidR="00BA05AA" w:rsidRPr="006773D9" w:rsidRDefault="00BA05AA" w:rsidP="00BA05AA">
            <w:pPr>
              <w:jc w:val="both"/>
              <w:rPr>
                <w:sz w:val="20"/>
                <w:lang w:val="fr-CA"/>
              </w:rPr>
            </w:pPr>
            <w:r w:rsidRPr="006773D9">
              <w:rPr>
                <w:sz w:val="20"/>
                <w:lang w:val="fr-CA"/>
              </w:rPr>
              <w:t>25 février 2020</w:t>
            </w:r>
          </w:p>
          <w:p w:rsidR="00BA05AA" w:rsidRPr="006773D9" w:rsidRDefault="00BA05AA" w:rsidP="00BA05AA">
            <w:pPr>
              <w:jc w:val="both"/>
              <w:rPr>
                <w:sz w:val="20"/>
                <w:lang w:val="fr-CA"/>
              </w:rPr>
            </w:pPr>
            <w:r w:rsidRPr="006773D9">
              <w:rPr>
                <w:sz w:val="20"/>
                <w:lang w:val="fr-CA"/>
              </w:rPr>
              <w:t>Cour supérieure de justice de l’Ontario</w:t>
            </w:r>
          </w:p>
          <w:p w:rsidR="00BA05AA" w:rsidRPr="006773D9" w:rsidRDefault="00BA05AA" w:rsidP="00BA05AA">
            <w:pPr>
              <w:jc w:val="both"/>
              <w:rPr>
                <w:sz w:val="20"/>
              </w:rPr>
            </w:pPr>
            <w:r w:rsidRPr="006773D9">
              <w:rPr>
                <w:sz w:val="20"/>
              </w:rPr>
              <w:t>(Juge Sweeny)</w:t>
            </w:r>
          </w:p>
          <w:p w:rsidR="00BA05AA" w:rsidRPr="006773D9" w:rsidRDefault="00311F52" w:rsidP="00BA05AA">
            <w:pPr>
              <w:jc w:val="both"/>
              <w:rPr>
                <w:sz w:val="20"/>
              </w:rPr>
            </w:pPr>
            <w:hyperlink r:id="rId18" w:history="1">
              <w:r w:rsidR="00BA05AA" w:rsidRPr="006773D9">
                <w:rPr>
                  <w:rStyle w:val="Hyperlink"/>
                  <w:sz w:val="20"/>
                </w:rPr>
                <w:t>2020 ONSC 1171</w:t>
              </w:r>
            </w:hyperlink>
          </w:p>
          <w:p w:rsidR="00BA05AA" w:rsidRPr="006773D9" w:rsidRDefault="00311F52" w:rsidP="00BA05AA">
            <w:pPr>
              <w:jc w:val="both"/>
              <w:rPr>
                <w:sz w:val="20"/>
              </w:rPr>
            </w:pPr>
            <w:hyperlink r:id="rId19" w:history="1">
              <w:r w:rsidR="00BA05AA" w:rsidRPr="006773D9">
                <w:rPr>
                  <w:rStyle w:val="Hyperlink"/>
                  <w:sz w:val="20"/>
                </w:rPr>
                <w:t>2020 ONSC 1162</w:t>
              </w:r>
            </w:hyperlink>
          </w:p>
          <w:p w:rsidR="00BA05AA" w:rsidRPr="006773D9" w:rsidRDefault="00BA05AA" w:rsidP="00BA05AA">
            <w:pPr>
              <w:jc w:val="both"/>
              <w:rPr>
                <w:sz w:val="20"/>
              </w:rPr>
            </w:pPr>
          </w:p>
        </w:tc>
        <w:tc>
          <w:tcPr>
            <w:tcW w:w="243" w:type="pct"/>
          </w:tcPr>
          <w:p w:rsidR="00BA05AA" w:rsidRPr="006773D9" w:rsidRDefault="00BA05AA" w:rsidP="00BA05AA">
            <w:pPr>
              <w:jc w:val="both"/>
              <w:rPr>
                <w:sz w:val="20"/>
              </w:rPr>
            </w:pPr>
          </w:p>
        </w:tc>
        <w:tc>
          <w:tcPr>
            <w:tcW w:w="2330" w:type="pct"/>
          </w:tcPr>
          <w:p w:rsidR="00BA05AA" w:rsidRPr="006773D9" w:rsidRDefault="00BA05AA" w:rsidP="00BA05AA">
            <w:pPr>
              <w:jc w:val="both"/>
              <w:rPr>
                <w:sz w:val="20"/>
                <w:lang w:val="fr-CA"/>
              </w:rPr>
            </w:pPr>
            <w:r w:rsidRPr="006773D9">
              <w:rPr>
                <w:sz w:val="20"/>
                <w:lang w:val="fr-CA"/>
              </w:rPr>
              <w:t>Ordonnances annulant les deux actions des demandeurs en poursuite malveillante sans autorisation de les modifier</w:t>
            </w:r>
          </w:p>
          <w:p w:rsidR="00BA05AA" w:rsidRPr="006773D9" w:rsidRDefault="00BA05AA" w:rsidP="00BA05AA">
            <w:pPr>
              <w:jc w:val="both"/>
              <w:rPr>
                <w:sz w:val="20"/>
                <w:lang w:val="fr-CA"/>
              </w:rPr>
            </w:pPr>
          </w:p>
          <w:p w:rsidR="00BA05AA" w:rsidRPr="006773D9" w:rsidRDefault="00BA05AA" w:rsidP="00BA05AA">
            <w:pPr>
              <w:jc w:val="both"/>
              <w:rPr>
                <w:sz w:val="20"/>
                <w:lang w:val="fr-CA"/>
              </w:rPr>
            </w:pPr>
          </w:p>
        </w:tc>
      </w:tr>
      <w:tr w:rsidR="00BA05AA" w:rsidRPr="006773D9" w:rsidTr="00E95A6A">
        <w:tc>
          <w:tcPr>
            <w:tcW w:w="2427" w:type="pct"/>
            <w:gridSpan w:val="2"/>
          </w:tcPr>
          <w:p w:rsidR="00BA05AA" w:rsidRPr="006773D9" w:rsidRDefault="00BA05AA" w:rsidP="00BA05AA">
            <w:pPr>
              <w:jc w:val="both"/>
              <w:rPr>
                <w:sz w:val="20"/>
                <w:lang w:val="fr-CA"/>
              </w:rPr>
            </w:pPr>
            <w:r w:rsidRPr="006773D9">
              <w:rPr>
                <w:sz w:val="20"/>
                <w:lang w:val="fr-CA"/>
              </w:rPr>
              <w:t>25 mars 2021</w:t>
            </w:r>
          </w:p>
          <w:p w:rsidR="00BA05AA" w:rsidRPr="006773D9" w:rsidRDefault="00BA05AA" w:rsidP="00BA05AA">
            <w:pPr>
              <w:jc w:val="both"/>
              <w:rPr>
                <w:sz w:val="20"/>
                <w:lang w:val="fr-CA"/>
              </w:rPr>
            </w:pPr>
            <w:r w:rsidRPr="006773D9">
              <w:rPr>
                <w:sz w:val="20"/>
                <w:lang w:val="fr-CA"/>
              </w:rPr>
              <w:t>Cour d’appel de l’Ontario</w:t>
            </w:r>
          </w:p>
          <w:p w:rsidR="00BA05AA" w:rsidRPr="006773D9" w:rsidRDefault="00BA05AA" w:rsidP="00BA05AA">
            <w:pPr>
              <w:jc w:val="both"/>
              <w:rPr>
                <w:sz w:val="20"/>
                <w:lang w:val="fr-CA"/>
              </w:rPr>
            </w:pPr>
            <w:r w:rsidRPr="006773D9">
              <w:rPr>
                <w:sz w:val="20"/>
                <w:lang w:val="fr-CA"/>
              </w:rPr>
              <w:t xml:space="preserve">(Juge en chef adjointe Fairburn, juges Van Rensburg et </w:t>
            </w:r>
          </w:p>
          <w:p w:rsidR="00BA05AA" w:rsidRPr="006773D9" w:rsidRDefault="00BA05AA" w:rsidP="00BA05AA">
            <w:pPr>
              <w:jc w:val="both"/>
              <w:rPr>
                <w:sz w:val="20"/>
              </w:rPr>
            </w:pPr>
            <w:r w:rsidRPr="006773D9">
              <w:rPr>
                <w:sz w:val="20"/>
              </w:rPr>
              <w:t>Huscroft)</w:t>
            </w:r>
          </w:p>
          <w:p w:rsidR="00BA05AA" w:rsidRPr="006773D9" w:rsidRDefault="00311F52" w:rsidP="00BA05AA">
            <w:pPr>
              <w:jc w:val="both"/>
              <w:rPr>
                <w:sz w:val="20"/>
              </w:rPr>
            </w:pPr>
            <w:hyperlink r:id="rId20" w:history="1">
              <w:r w:rsidR="00BA05AA" w:rsidRPr="006773D9">
                <w:rPr>
                  <w:rStyle w:val="Hyperlink"/>
                  <w:sz w:val="20"/>
                </w:rPr>
                <w:t>2021 ONCA 194</w:t>
              </w:r>
            </w:hyperlink>
          </w:p>
          <w:p w:rsidR="00BA05AA" w:rsidRPr="006773D9" w:rsidRDefault="00BA05AA" w:rsidP="00BA05AA">
            <w:pPr>
              <w:jc w:val="both"/>
              <w:rPr>
                <w:sz w:val="20"/>
              </w:rPr>
            </w:pPr>
          </w:p>
        </w:tc>
        <w:tc>
          <w:tcPr>
            <w:tcW w:w="243" w:type="pct"/>
          </w:tcPr>
          <w:p w:rsidR="00BA05AA" w:rsidRPr="006773D9" w:rsidRDefault="00BA05AA" w:rsidP="00BA05AA">
            <w:pPr>
              <w:jc w:val="both"/>
              <w:rPr>
                <w:sz w:val="20"/>
              </w:rPr>
            </w:pPr>
          </w:p>
        </w:tc>
        <w:tc>
          <w:tcPr>
            <w:tcW w:w="2330" w:type="pct"/>
          </w:tcPr>
          <w:p w:rsidR="00BA05AA" w:rsidRPr="006773D9" w:rsidRDefault="00BA05AA" w:rsidP="00BA05AA">
            <w:pPr>
              <w:jc w:val="both"/>
              <w:rPr>
                <w:sz w:val="20"/>
              </w:rPr>
            </w:pPr>
            <w:r w:rsidRPr="006773D9">
              <w:rPr>
                <w:sz w:val="20"/>
              </w:rPr>
              <w:t>Rejet de l’appel des demandeurs</w:t>
            </w:r>
          </w:p>
          <w:p w:rsidR="00BA05AA" w:rsidRPr="006773D9" w:rsidRDefault="00BA05AA" w:rsidP="00BA05AA">
            <w:pPr>
              <w:jc w:val="both"/>
              <w:rPr>
                <w:sz w:val="20"/>
              </w:rPr>
            </w:pPr>
          </w:p>
        </w:tc>
      </w:tr>
      <w:tr w:rsidR="00BA05AA" w:rsidRPr="00311F52" w:rsidTr="00E95A6A">
        <w:tc>
          <w:tcPr>
            <w:tcW w:w="2427" w:type="pct"/>
            <w:gridSpan w:val="2"/>
          </w:tcPr>
          <w:p w:rsidR="00BA05AA" w:rsidRPr="006773D9" w:rsidRDefault="00BA05AA" w:rsidP="00BA05AA">
            <w:pPr>
              <w:jc w:val="both"/>
              <w:rPr>
                <w:sz w:val="20"/>
                <w:lang w:val="fr-CA"/>
              </w:rPr>
            </w:pPr>
            <w:r w:rsidRPr="006773D9">
              <w:rPr>
                <w:sz w:val="20"/>
                <w:lang w:val="fr-CA"/>
              </w:rPr>
              <w:t>25 mai 2021</w:t>
            </w:r>
          </w:p>
          <w:p w:rsidR="00BA05AA" w:rsidRPr="006773D9" w:rsidRDefault="00BA05AA" w:rsidP="00BA05AA">
            <w:pPr>
              <w:jc w:val="both"/>
              <w:rPr>
                <w:sz w:val="20"/>
                <w:lang w:val="fr-CA"/>
              </w:rPr>
            </w:pPr>
            <w:r w:rsidRPr="006773D9">
              <w:rPr>
                <w:sz w:val="20"/>
                <w:lang w:val="fr-CA"/>
              </w:rPr>
              <w:t>Cour suprême du Canada</w:t>
            </w:r>
          </w:p>
        </w:tc>
        <w:tc>
          <w:tcPr>
            <w:tcW w:w="243" w:type="pct"/>
          </w:tcPr>
          <w:p w:rsidR="00BA05AA" w:rsidRPr="006773D9" w:rsidRDefault="00BA05AA" w:rsidP="00BA05AA">
            <w:pPr>
              <w:jc w:val="both"/>
              <w:rPr>
                <w:sz w:val="20"/>
                <w:lang w:val="fr-CA"/>
              </w:rPr>
            </w:pPr>
          </w:p>
        </w:tc>
        <w:tc>
          <w:tcPr>
            <w:tcW w:w="2330" w:type="pct"/>
          </w:tcPr>
          <w:p w:rsidR="00BA05AA" w:rsidRPr="006773D9" w:rsidRDefault="00BA05AA" w:rsidP="00BA05AA">
            <w:pPr>
              <w:jc w:val="both"/>
              <w:rPr>
                <w:sz w:val="20"/>
                <w:lang w:val="fr-CA"/>
              </w:rPr>
            </w:pPr>
            <w:r w:rsidRPr="006773D9">
              <w:rPr>
                <w:sz w:val="20"/>
                <w:lang w:val="fr-CA"/>
              </w:rPr>
              <w:t>Dépôt de la demande d’autorisation d’appel</w:t>
            </w:r>
          </w:p>
          <w:p w:rsidR="00BA05AA" w:rsidRPr="006773D9" w:rsidRDefault="00BA05AA" w:rsidP="00BA05AA">
            <w:pPr>
              <w:jc w:val="both"/>
              <w:rPr>
                <w:sz w:val="20"/>
                <w:lang w:val="fr-CA"/>
              </w:rPr>
            </w:pPr>
          </w:p>
        </w:tc>
      </w:tr>
    </w:tbl>
    <w:p w:rsidR="00BA05AA" w:rsidRPr="006773D9" w:rsidRDefault="00BA05AA" w:rsidP="00BA05AA">
      <w:pPr>
        <w:jc w:val="both"/>
        <w:rPr>
          <w:sz w:val="20"/>
          <w:lang w:val="fr-CA"/>
        </w:rPr>
      </w:pPr>
    </w:p>
    <w:p w:rsidR="00BA05AA" w:rsidRPr="006773D9" w:rsidRDefault="00311F52" w:rsidP="00BA05AA">
      <w:pPr>
        <w:widowControl w:val="0"/>
        <w:tabs>
          <w:tab w:val="left" w:pos="3840"/>
        </w:tabs>
        <w:jc w:val="both"/>
        <w:rPr>
          <w:sz w:val="20"/>
          <w:lang w:val="fr-CA"/>
        </w:rPr>
      </w:pPr>
      <w:bookmarkStart w:id="0" w:name="_GoBack"/>
      <w:bookmarkEnd w:id="0"/>
      <w:r>
        <w:rPr>
          <w:sz w:val="20"/>
        </w:rPr>
        <w:pict>
          <v:rect id="_x0000_i1032" style="width:2in;height:1pt" o:hrpct="0" o:hralign="center" o:hrstd="t" o:hrnoshade="t" o:hr="t" fillcolor="black [3213]" stroked="f"/>
        </w:pict>
      </w:r>
    </w:p>
    <w:p w:rsidR="00BA05AA" w:rsidRPr="006773D9" w:rsidRDefault="00BA05AA" w:rsidP="00BA05AA">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A05AA" w:rsidRPr="006773D9" w:rsidTr="00E95A6A">
        <w:tc>
          <w:tcPr>
            <w:tcW w:w="543" w:type="pct"/>
          </w:tcPr>
          <w:p w:rsidR="00BA05AA" w:rsidRPr="006773D9" w:rsidRDefault="00BA05AA" w:rsidP="00BA05AA">
            <w:pPr>
              <w:jc w:val="both"/>
              <w:rPr>
                <w:sz w:val="20"/>
                <w:lang w:val="en-CA"/>
              </w:rPr>
            </w:pPr>
            <w:r w:rsidRPr="006773D9">
              <w:rPr>
                <w:rStyle w:val="SCCFileNumberChar"/>
                <w:sz w:val="20"/>
                <w:szCs w:val="20"/>
              </w:rPr>
              <w:t>39764</w:t>
            </w:r>
          </w:p>
        </w:tc>
        <w:tc>
          <w:tcPr>
            <w:tcW w:w="4457" w:type="pct"/>
            <w:gridSpan w:val="3"/>
          </w:tcPr>
          <w:p w:rsidR="00BA05AA" w:rsidRPr="006773D9" w:rsidRDefault="00BA05AA" w:rsidP="00BA05AA">
            <w:pPr>
              <w:pStyle w:val="SCCLsocParty"/>
              <w:jc w:val="both"/>
              <w:rPr>
                <w:b/>
                <w:sz w:val="20"/>
                <w:szCs w:val="20"/>
                <w:lang w:val="en-CA"/>
              </w:rPr>
            </w:pPr>
            <w:r w:rsidRPr="006773D9">
              <w:rPr>
                <w:b/>
                <w:sz w:val="20"/>
                <w:szCs w:val="20"/>
                <w:lang w:val="en-CA"/>
              </w:rPr>
              <w:t>Jeffrey Colegrove v. Her Majesty the Queen</w:t>
            </w:r>
          </w:p>
          <w:p w:rsidR="00BA05AA" w:rsidRPr="006773D9" w:rsidRDefault="00BA05AA" w:rsidP="00BA05AA">
            <w:pPr>
              <w:jc w:val="both"/>
              <w:rPr>
                <w:sz w:val="20"/>
                <w:lang w:val="en-CA"/>
              </w:rPr>
            </w:pPr>
            <w:r w:rsidRPr="006773D9">
              <w:rPr>
                <w:sz w:val="20"/>
                <w:lang w:val="en-CA"/>
              </w:rPr>
              <w:t>(Que.) (Criminal) (By Leave)</w:t>
            </w:r>
          </w:p>
        </w:tc>
      </w:tr>
      <w:tr w:rsidR="00BA05AA" w:rsidRPr="006773D9" w:rsidTr="00E95A6A">
        <w:tc>
          <w:tcPr>
            <w:tcW w:w="5000" w:type="pct"/>
            <w:gridSpan w:val="4"/>
          </w:tcPr>
          <w:p w:rsidR="00BA05AA" w:rsidRPr="006773D9" w:rsidRDefault="00BA05AA" w:rsidP="00BA05AA">
            <w:pPr>
              <w:jc w:val="both"/>
              <w:rPr>
                <w:sz w:val="20"/>
                <w:lang w:val="en-CA"/>
              </w:rPr>
            </w:pPr>
            <w:r w:rsidRPr="006773D9">
              <w:rPr>
                <w:i/>
                <w:iCs/>
                <w:sz w:val="20"/>
                <w:lang w:val="en-CA"/>
              </w:rPr>
              <w:t xml:space="preserve">Charter of Rights </w:t>
            </w:r>
            <w:r w:rsidRPr="006773D9">
              <w:rPr>
                <w:iCs/>
                <w:sz w:val="20"/>
                <w:lang w:val="en-CA"/>
              </w:rPr>
              <w:t xml:space="preserve">— Criminal law — Sentencing — Sentence reduction — Constitutional remedy — </w:t>
            </w:r>
            <w:r w:rsidRPr="006773D9">
              <w:rPr>
                <w:i/>
                <w:iCs/>
                <w:sz w:val="20"/>
                <w:lang w:val="en-CA"/>
              </w:rPr>
              <w:t>Charter</w:t>
            </w:r>
            <w:r w:rsidRPr="006773D9">
              <w:rPr>
                <w:iCs/>
                <w:sz w:val="20"/>
                <w:lang w:val="en-CA"/>
              </w:rPr>
              <w:t xml:space="preserve"> breach — Whether it is necessary that there be close connection between breach and sentencing principles to justify </w:t>
            </w:r>
            <w:r w:rsidRPr="006773D9">
              <w:rPr>
                <w:sz w:val="20"/>
                <w:lang w:val="en-CA"/>
              </w:rPr>
              <w:t xml:space="preserve">reducing sentence — In alternative, whether s. 24(1) of </w:t>
            </w:r>
            <w:r w:rsidRPr="006773D9">
              <w:rPr>
                <w:i/>
                <w:sz w:val="20"/>
                <w:lang w:val="en-CA"/>
              </w:rPr>
              <w:t>Charter</w:t>
            </w:r>
            <w:r w:rsidRPr="006773D9">
              <w:rPr>
                <w:sz w:val="20"/>
                <w:lang w:val="en-CA"/>
              </w:rPr>
              <w:t xml:space="preserve"> allows courts to grant reduction of sentence despite absence of close connection between breach and sentencing principles.</w:t>
            </w:r>
          </w:p>
        </w:tc>
      </w:tr>
      <w:tr w:rsidR="00BA05AA" w:rsidRPr="006773D9" w:rsidTr="00E95A6A">
        <w:tc>
          <w:tcPr>
            <w:tcW w:w="5000" w:type="pct"/>
            <w:gridSpan w:val="4"/>
          </w:tcPr>
          <w:p w:rsidR="00BA05AA" w:rsidRPr="006773D9" w:rsidRDefault="00BA05AA" w:rsidP="00BA05AA">
            <w:pPr>
              <w:jc w:val="both"/>
              <w:rPr>
                <w:sz w:val="20"/>
                <w:lang w:val="en-CA"/>
              </w:rPr>
            </w:pPr>
          </w:p>
        </w:tc>
      </w:tr>
      <w:tr w:rsidR="00BA05AA" w:rsidRPr="006773D9" w:rsidTr="00E95A6A">
        <w:tc>
          <w:tcPr>
            <w:tcW w:w="5000" w:type="pct"/>
            <w:gridSpan w:val="4"/>
          </w:tcPr>
          <w:p w:rsidR="00BA05AA" w:rsidRPr="006773D9" w:rsidRDefault="00BA05AA" w:rsidP="00BA05AA">
            <w:pPr>
              <w:jc w:val="both"/>
              <w:rPr>
                <w:sz w:val="20"/>
                <w:lang w:val="en-CA"/>
              </w:rPr>
            </w:pPr>
            <w:r w:rsidRPr="006773D9">
              <w:rPr>
                <w:sz w:val="20"/>
                <w:lang w:val="en-CA"/>
              </w:rPr>
              <w:t xml:space="preserve">Following a police investigation, the applicant was arrested for possession of narcotics </w:t>
            </w:r>
            <w:proofErr w:type="gramStart"/>
            <w:r w:rsidRPr="006773D9">
              <w:rPr>
                <w:sz w:val="20"/>
                <w:lang w:val="en-CA"/>
              </w:rPr>
              <w:t>for the purpose of</w:t>
            </w:r>
            <w:proofErr w:type="gramEnd"/>
            <w:r w:rsidRPr="006773D9">
              <w:rPr>
                <w:sz w:val="20"/>
                <w:lang w:val="en-CA"/>
              </w:rPr>
              <w:t xml:space="preserve"> trafficking. A jury found him guilty on this count, and the Quebec Superior Court sentenced him to imprisonment for 9 years, 1 month and 25 days. The applicant appealed the sentence. He argued among other things that the trial judge had neither explicitly mentioned nor taken account of four </w:t>
            </w:r>
            <w:r w:rsidRPr="006773D9">
              <w:rPr>
                <w:i/>
                <w:sz w:val="20"/>
                <w:lang w:val="en-CA"/>
              </w:rPr>
              <w:t>Charter</w:t>
            </w:r>
            <w:r w:rsidRPr="006773D9">
              <w:rPr>
                <w:sz w:val="20"/>
                <w:lang w:val="en-CA"/>
              </w:rPr>
              <w:t xml:space="preserve"> breaches that </w:t>
            </w:r>
            <w:proofErr w:type="gramStart"/>
            <w:r w:rsidRPr="006773D9">
              <w:rPr>
                <w:sz w:val="20"/>
                <w:lang w:val="en-CA"/>
              </w:rPr>
              <w:t>had been identified</w:t>
            </w:r>
            <w:proofErr w:type="gramEnd"/>
            <w:r w:rsidRPr="006773D9">
              <w:rPr>
                <w:sz w:val="20"/>
                <w:lang w:val="en-CA"/>
              </w:rPr>
              <w:t xml:space="preserve"> at the time of sentencing. The Quebec Court of Appeal was of the view that the trial judge’s conclusion that the constitutional violations were not serious enough to fall into the category of “mitigating circumstances” was very reasonable and perfectly consistent with the standards in this regard that had been developed in </w:t>
            </w:r>
            <w:r w:rsidRPr="006773D9">
              <w:rPr>
                <w:i/>
                <w:sz w:val="20"/>
                <w:lang w:val="en-CA"/>
              </w:rPr>
              <w:t>R. v. Nasogaluak</w:t>
            </w:r>
            <w:r w:rsidRPr="006773D9">
              <w:rPr>
                <w:sz w:val="20"/>
                <w:lang w:val="en-CA"/>
              </w:rPr>
              <w:t>, 2010 SCC 6, [2010] 1 S.C.R. 206. The Court of Appeal dismissed the appeal.</w:t>
            </w:r>
          </w:p>
          <w:p w:rsidR="00BA05AA" w:rsidRPr="006773D9" w:rsidRDefault="00BA05AA" w:rsidP="00BA05AA">
            <w:pPr>
              <w:jc w:val="both"/>
              <w:rPr>
                <w:sz w:val="20"/>
                <w:lang w:val="en-CA"/>
              </w:rPr>
            </w:pPr>
          </w:p>
        </w:tc>
      </w:tr>
      <w:tr w:rsidR="00BA05AA" w:rsidRPr="006773D9" w:rsidTr="00E95A6A">
        <w:tc>
          <w:tcPr>
            <w:tcW w:w="2427" w:type="pct"/>
            <w:gridSpan w:val="2"/>
          </w:tcPr>
          <w:p w:rsidR="00BA05AA" w:rsidRPr="006773D9" w:rsidRDefault="00BA05AA" w:rsidP="00BA05AA">
            <w:pPr>
              <w:jc w:val="both"/>
              <w:rPr>
                <w:sz w:val="20"/>
                <w:lang w:val="en-CA"/>
              </w:rPr>
            </w:pPr>
            <w:r w:rsidRPr="006773D9">
              <w:rPr>
                <w:sz w:val="20"/>
                <w:lang w:val="en-CA"/>
              </w:rPr>
              <w:t>January 13, 2017</w:t>
            </w:r>
          </w:p>
          <w:p w:rsidR="00BA05AA" w:rsidRPr="006773D9" w:rsidRDefault="00BA05AA" w:rsidP="00BA05AA">
            <w:pPr>
              <w:jc w:val="both"/>
              <w:rPr>
                <w:sz w:val="20"/>
                <w:lang w:val="en-CA"/>
              </w:rPr>
            </w:pPr>
            <w:r w:rsidRPr="006773D9">
              <w:rPr>
                <w:sz w:val="20"/>
                <w:lang w:val="en-CA"/>
              </w:rPr>
              <w:t>Quebec Superior Court</w:t>
            </w:r>
          </w:p>
          <w:p w:rsidR="00BA05AA" w:rsidRPr="006773D9" w:rsidRDefault="00BA05AA" w:rsidP="00BA05AA">
            <w:pPr>
              <w:jc w:val="both"/>
              <w:rPr>
                <w:sz w:val="20"/>
                <w:lang w:val="en-CA"/>
              </w:rPr>
            </w:pPr>
            <w:r w:rsidRPr="006773D9">
              <w:rPr>
                <w:sz w:val="20"/>
                <w:lang w:val="en-CA"/>
              </w:rPr>
              <w:t>(Brunton J.)</w:t>
            </w:r>
          </w:p>
          <w:p w:rsidR="00BA05AA" w:rsidRPr="006773D9" w:rsidRDefault="00BA05AA" w:rsidP="00BA05AA">
            <w:pPr>
              <w:jc w:val="both"/>
              <w:rPr>
                <w:bCs/>
                <w:sz w:val="20"/>
                <w:lang w:val="en-CA"/>
              </w:rPr>
            </w:pPr>
            <w:r w:rsidRPr="006773D9">
              <w:rPr>
                <w:sz w:val="20"/>
                <w:lang w:val="en-CA"/>
              </w:rPr>
              <w:t xml:space="preserve">File No.: </w:t>
            </w:r>
            <w:r w:rsidRPr="006773D9">
              <w:rPr>
                <w:bCs/>
                <w:sz w:val="20"/>
                <w:lang w:val="en-CA"/>
              </w:rPr>
              <w:t>500</w:t>
            </w:r>
            <w:r w:rsidRPr="006773D9">
              <w:rPr>
                <w:bCs/>
                <w:sz w:val="20"/>
                <w:lang w:val="en-CA"/>
              </w:rPr>
              <w:noBreakHyphen/>
              <w:t>01</w:t>
            </w:r>
            <w:r w:rsidRPr="006773D9">
              <w:rPr>
                <w:bCs/>
                <w:sz w:val="20"/>
                <w:lang w:val="en-CA"/>
              </w:rPr>
              <w:noBreakHyphen/>
              <w:t>118229</w:t>
            </w:r>
            <w:r w:rsidRPr="006773D9">
              <w:rPr>
                <w:bCs/>
                <w:sz w:val="20"/>
                <w:lang w:val="en-CA"/>
              </w:rPr>
              <w:noBreakHyphen/>
              <w:t>159</w:t>
            </w:r>
          </w:p>
          <w:p w:rsidR="00BA05AA" w:rsidRPr="006773D9" w:rsidRDefault="00311F52" w:rsidP="00BA05AA">
            <w:pPr>
              <w:jc w:val="both"/>
              <w:rPr>
                <w:bCs/>
                <w:sz w:val="20"/>
                <w:lang w:val="en-CA"/>
              </w:rPr>
            </w:pPr>
            <w:hyperlink r:id="rId21" w:anchor="document" w:history="1">
              <w:r w:rsidR="00BA05AA" w:rsidRPr="006773D9">
                <w:rPr>
                  <w:rStyle w:val="Hyperlink"/>
                  <w:sz w:val="20"/>
                  <w:lang w:val="en-CA"/>
                </w:rPr>
                <w:t>2017 QCCS 111</w:t>
              </w:r>
            </w:hyperlink>
          </w:p>
          <w:p w:rsidR="00BA05AA" w:rsidRPr="006773D9" w:rsidRDefault="00BA05AA" w:rsidP="00BA05AA">
            <w:pPr>
              <w:jc w:val="both"/>
              <w:rPr>
                <w:sz w:val="20"/>
                <w:lang w:val="en-CA"/>
              </w:rPr>
            </w:pPr>
          </w:p>
        </w:tc>
        <w:tc>
          <w:tcPr>
            <w:tcW w:w="243" w:type="pct"/>
          </w:tcPr>
          <w:p w:rsidR="00BA05AA" w:rsidRPr="006773D9" w:rsidRDefault="00BA05AA" w:rsidP="00BA05AA">
            <w:pPr>
              <w:jc w:val="both"/>
              <w:rPr>
                <w:sz w:val="20"/>
                <w:lang w:val="en-CA"/>
              </w:rPr>
            </w:pPr>
          </w:p>
        </w:tc>
        <w:tc>
          <w:tcPr>
            <w:tcW w:w="2330" w:type="pct"/>
          </w:tcPr>
          <w:p w:rsidR="00BA05AA" w:rsidRPr="006773D9" w:rsidRDefault="00BA05AA" w:rsidP="00BA05AA">
            <w:pPr>
              <w:jc w:val="both"/>
              <w:rPr>
                <w:sz w:val="20"/>
                <w:lang w:val="en-CA"/>
              </w:rPr>
            </w:pPr>
            <w:r w:rsidRPr="006773D9">
              <w:rPr>
                <w:sz w:val="20"/>
                <w:lang w:val="en-CA"/>
              </w:rPr>
              <w:t>Applicant sentenced to imprisonment for 9 years, 1 month and 25 days for possession of narcotics for purpose of trafficking</w:t>
            </w:r>
          </w:p>
        </w:tc>
      </w:tr>
      <w:tr w:rsidR="00BA05AA" w:rsidRPr="006773D9" w:rsidTr="00E95A6A">
        <w:tc>
          <w:tcPr>
            <w:tcW w:w="2427" w:type="pct"/>
            <w:gridSpan w:val="2"/>
          </w:tcPr>
          <w:p w:rsidR="00BA05AA" w:rsidRPr="006773D9" w:rsidRDefault="00BA05AA" w:rsidP="00BA05AA">
            <w:pPr>
              <w:jc w:val="both"/>
              <w:rPr>
                <w:sz w:val="20"/>
                <w:lang w:val="en-CA"/>
              </w:rPr>
            </w:pPr>
            <w:r w:rsidRPr="006773D9">
              <w:rPr>
                <w:sz w:val="20"/>
                <w:lang w:val="en-CA"/>
              </w:rPr>
              <w:t>June 30, 2020</w:t>
            </w:r>
          </w:p>
          <w:p w:rsidR="00BA05AA" w:rsidRPr="006773D9" w:rsidRDefault="00BA05AA" w:rsidP="00BA05AA">
            <w:pPr>
              <w:jc w:val="both"/>
              <w:rPr>
                <w:sz w:val="20"/>
                <w:lang w:val="en-CA"/>
              </w:rPr>
            </w:pPr>
            <w:r w:rsidRPr="006773D9">
              <w:rPr>
                <w:sz w:val="20"/>
                <w:lang w:val="en-CA"/>
              </w:rPr>
              <w:t>Quebec Court of Appeal (Montréal)</w:t>
            </w:r>
          </w:p>
          <w:p w:rsidR="00BA05AA" w:rsidRPr="006773D9" w:rsidRDefault="00BA05AA" w:rsidP="00BA05AA">
            <w:pPr>
              <w:jc w:val="both"/>
              <w:rPr>
                <w:sz w:val="20"/>
                <w:lang w:val="en-CA"/>
              </w:rPr>
            </w:pPr>
            <w:r w:rsidRPr="006773D9">
              <w:rPr>
                <w:sz w:val="20"/>
                <w:lang w:val="en-CA"/>
              </w:rPr>
              <w:t>(Morissette, Gagné and Cotnam JJ.A.)</w:t>
            </w:r>
          </w:p>
          <w:p w:rsidR="00BA05AA" w:rsidRPr="006773D9" w:rsidRDefault="00BA05AA" w:rsidP="00BA05AA">
            <w:pPr>
              <w:jc w:val="both"/>
              <w:rPr>
                <w:sz w:val="20"/>
                <w:lang w:val="en-CA"/>
              </w:rPr>
            </w:pPr>
            <w:bookmarkStart w:id="1" w:name="NoDossier"/>
            <w:r w:rsidRPr="006773D9">
              <w:rPr>
                <w:sz w:val="20"/>
                <w:lang w:val="en-CA"/>
              </w:rPr>
              <w:t>File No.: 500</w:t>
            </w:r>
            <w:r w:rsidRPr="006773D9">
              <w:rPr>
                <w:sz w:val="20"/>
                <w:lang w:val="en-CA"/>
              </w:rPr>
              <w:noBreakHyphen/>
              <w:t>10</w:t>
            </w:r>
            <w:r w:rsidRPr="006773D9">
              <w:rPr>
                <w:sz w:val="20"/>
                <w:lang w:val="en-CA"/>
              </w:rPr>
              <w:noBreakHyphen/>
              <w:t>006297</w:t>
            </w:r>
            <w:r w:rsidRPr="006773D9">
              <w:rPr>
                <w:sz w:val="20"/>
                <w:lang w:val="en-CA"/>
              </w:rPr>
              <w:noBreakHyphen/>
              <w:t>160</w:t>
            </w:r>
            <w:bookmarkEnd w:id="1"/>
            <w:r w:rsidRPr="006773D9">
              <w:rPr>
                <w:sz w:val="20"/>
                <w:lang w:val="en-CA"/>
              </w:rPr>
              <w:t>; 500</w:t>
            </w:r>
            <w:r w:rsidRPr="006773D9">
              <w:rPr>
                <w:sz w:val="20"/>
                <w:lang w:val="en-CA"/>
              </w:rPr>
              <w:noBreakHyphen/>
              <w:t>10</w:t>
            </w:r>
            <w:r w:rsidRPr="006773D9">
              <w:rPr>
                <w:sz w:val="20"/>
                <w:lang w:val="en-CA"/>
              </w:rPr>
              <w:noBreakHyphen/>
              <w:t>006363</w:t>
            </w:r>
            <w:r w:rsidRPr="006773D9">
              <w:rPr>
                <w:sz w:val="20"/>
                <w:lang w:val="en-CA"/>
              </w:rPr>
              <w:noBreakHyphen/>
              <w:t>178</w:t>
            </w:r>
          </w:p>
          <w:p w:rsidR="00BA05AA" w:rsidRPr="006773D9" w:rsidRDefault="00311F52" w:rsidP="00BA05AA">
            <w:pPr>
              <w:jc w:val="both"/>
              <w:rPr>
                <w:sz w:val="20"/>
                <w:lang w:val="en-CA"/>
              </w:rPr>
            </w:pPr>
            <w:hyperlink r:id="rId22" w:history="1">
              <w:r w:rsidR="00BA05AA" w:rsidRPr="006773D9">
                <w:rPr>
                  <w:rStyle w:val="Hyperlink"/>
                  <w:sz w:val="20"/>
                  <w:lang w:val="en-CA"/>
                </w:rPr>
                <w:t>2020 QCCA 842</w:t>
              </w:r>
            </w:hyperlink>
          </w:p>
          <w:p w:rsidR="00BA05AA" w:rsidRPr="006773D9" w:rsidRDefault="00BA05AA" w:rsidP="00BA05AA">
            <w:pPr>
              <w:jc w:val="both"/>
              <w:rPr>
                <w:sz w:val="20"/>
                <w:lang w:val="en-CA"/>
              </w:rPr>
            </w:pPr>
          </w:p>
        </w:tc>
        <w:tc>
          <w:tcPr>
            <w:tcW w:w="243" w:type="pct"/>
          </w:tcPr>
          <w:p w:rsidR="00BA05AA" w:rsidRPr="006773D9" w:rsidRDefault="00BA05AA" w:rsidP="00BA05AA">
            <w:pPr>
              <w:jc w:val="both"/>
              <w:rPr>
                <w:sz w:val="20"/>
                <w:lang w:val="en-CA"/>
              </w:rPr>
            </w:pPr>
          </w:p>
        </w:tc>
        <w:tc>
          <w:tcPr>
            <w:tcW w:w="2330" w:type="pct"/>
          </w:tcPr>
          <w:p w:rsidR="00BA05AA" w:rsidRPr="006773D9" w:rsidRDefault="00BA05AA" w:rsidP="00BA05AA">
            <w:pPr>
              <w:jc w:val="both"/>
              <w:rPr>
                <w:sz w:val="20"/>
                <w:lang w:val="en-CA"/>
              </w:rPr>
            </w:pPr>
            <w:r w:rsidRPr="006773D9">
              <w:rPr>
                <w:sz w:val="20"/>
                <w:lang w:val="en-CA"/>
              </w:rPr>
              <w:t>Motion for leave to appeal against sentence granted; appeal against sentence dismissed</w:t>
            </w:r>
          </w:p>
        </w:tc>
      </w:tr>
      <w:tr w:rsidR="00BA05AA" w:rsidRPr="006773D9" w:rsidTr="00E95A6A">
        <w:tc>
          <w:tcPr>
            <w:tcW w:w="2427" w:type="pct"/>
            <w:gridSpan w:val="2"/>
          </w:tcPr>
          <w:p w:rsidR="00BA05AA" w:rsidRPr="006773D9" w:rsidRDefault="00BA05AA" w:rsidP="00BA05AA">
            <w:pPr>
              <w:jc w:val="both"/>
              <w:rPr>
                <w:sz w:val="20"/>
                <w:lang w:val="en-CA"/>
              </w:rPr>
            </w:pPr>
            <w:r w:rsidRPr="006773D9">
              <w:rPr>
                <w:sz w:val="20"/>
                <w:lang w:val="en-CA"/>
              </w:rPr>
              <w:t>July 7, 2021</w:t>
            </w:r>
          </w:p>
          <w:p w:rsidR="00BA05AA" w:rsidRPr="006773D9" w:rsidRDefault="00BA05AA" w:rsidP="00BA05AA">
            <w:pPr>
              <w:jc w:val="both"/>
              <w:rPr>
                <w:sz w:val="20"/>
                <w:lang w:val="en-CA"/>
              </w:rPr>
            </w:pPr>
            <w:r w:rsidRPr="006773D9">
              <w:rPr>
                <w:sz w:val="20"/>
                <w:lang w:val="en-CA"/>
              </w:rPr>
              <w:t>Supreme Court of Canada</w:t>
            </w:r>
          </w:p>
        </w:tc>
        <w:tc>
          <w:tcPr>
            <w:tcW w:w="243" w:type="pct"/>
          </w:tcPr>
          <w:p w:rsidR="00BA05AA" w:rsidRPr="006773D9" w:rsidRDefault="00BA05AA" w:rsidP="00BA05AA">
            <w:pPr>
              <w:jc w:val="both"/>
              <w:rPr>
                <w:sz w:val="20"/>
                <w:lang w:val="en-CA"/>
              </w:rPr>
            </w:pPr>
          </w:p>
        </w:tc>
        <w:tc>
          <w:tcPr>
            <w:tcW w:w="2330" w:type="pct"/>
          </w:tcPr>
          <w:p w:rsidR="00BA05AA" w:rsidRPr="006773D9" w:rsidRDefault="00BA05AA" w:rsidP="00BA05AA">
            <w:pPr>
              <w:jc w:val="both"/>
              <w:rPr>
                <w:sz w:val="20"/>
                <w:lang w:val="en-CA"/>
              </w:rPr>
            </w:pPr>
            <w:r w:rsidRPr="006773D9">
              <w:rPr>
                <w:sz w:val="20"/>
                <w:lang w:val="en-CA"/>
              </w:rPr>
              <w:t>Application for leave to appeal filed</w:t>
            </w:r>
          </w:p>
          <w:p w:rsidR="00BA05AA" w:rsidRPr="006773D9" w:rsidRDefault="00BA05AA" w:rsidP="00BA05AA">
            <w:pPr>
              <w:jc w:val="both"/>
              <w:rPr>
                <w:sz w:val="20"/>
                <w:lang w:val="en-CA"/>
              </w:rPr>
            </w:pPr>
          </w:p>
        </w:tc>
      </w:tr>
    </w:tbl>
    <w:p w:rsidR="00BA05AA" w:rsidRPr="006773D9" w:rsidRDefault="00BA05AA" w:rsidP="00BA05AA">
      <w:pPr>
        <w:jc w:val="both"/>
        <w:rPr>
          <w:sz w:val="20"/>
          <w:lang w:val="en-CA"/>
        </w:rPr>
      </w:pPr>
    </w:p>
    <w:p w:rsidR="00BA05AA" w:rsidRPr="006773D9" w:rsidRDefault="00311F52" w:rsidP="00BA05AA">
      <w:pPr>
        <w:jc w:val="both"/>
        <w:rPr>
          <w:sz w:val="20"/>
          <w:lang w:val="en-CA"/>
        </w:rPr>
      </w:pPr>
      <w:r>
        <w:rPr>
          <w:sz w:val="20"/>
        </w:rPr>
        <w:pict>
          <v:rect id="_x0000_i1033" style="width:2in;height:1pt" o:hrpct="0" o:hralign="center" o:hrstd="t" o:hrnoshade="t" o:hr="t" fillcolor="black [3213]" stroked="f"/>
        </w:pict>
      </w:r>
    </w:p>
    <w:p w:rsidR="00BA05AA" w:rsidRPr="006773D9" w:rsidRDefault="00BA05AA" w:rsidP="00BA05A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A05AA" w:rsidRPr="006773D9" w:rsidTr="00E95A6A">
        <w:tc>
          <w:tcPr>
            <w:tcW w:w="543" w:type="pct"/>
          </w:tcPr>
          <w:p w:rsidR="00BA05AA" w:rsidRPr="006773D9" w:rsidRDefault="00BA05AA" w:rsidP="00BA05AA">
            <w:pPr>
              <w:jc w:val="both"/>
              <w:rPr>
                <w:sz w:val="20"/>
              </w:rPr>
            </w:pPr>
            <w:r w:rsidRPr="006773D9">
              <w:rPr>
                <w:rStyle w:val="SCCFileNumberChar"/>
                <w:sz w:val="20"/>
                <w:szCs w:val="20"/>
              </w:rPr>
              <w:t>39764</w:t>
            </w:r>
          </w:p>
        </w:tc>
        <w:tc>
          <w:tcPr>
            <w:tcW w:w="4457" w:type="pct"/>
            <w:gridSpan w:val="3"/>
          </w:tcPr>
          <w:p w:rsidR="00BA05AA" w:rsidRPr="006773D9" w:rsidRDefault="00BA05AA" w:rsidP="00BA05AA">
            <w:pPr>
              <w:pStyle w:val="SCCLsocParty"/>
              <w:jc w:val="both"/>
              <w:rPr>
                <w:b/>
                <w:sz w:val="20"/>
                <w:szCs w:val="20"/>
              </w:rPr>
            </w:pPr>
            <w:r w:rsidRPr="006773D9">
              <w:rPr>
                <w:b/>
                <w:sz w:val="20"/>
                <w:szCs w:val="20"/>
              </w:rPr>
              <w:t>Jeffrey Colegrove c. Sa Majesté la Reine</w:t>
            </w:r>
          </w:p>
          <w:p w:rsidR="00BA05AA" w:rsidRPr="006773D9" w:rsidRDefault="00BA05AA" w:rsidP="00BA05AA">
            <w:pPr>
              <w:jc w:val="both"/>
              <w:rPr>
                <w:sz w:val="20"/>
              </w:rPr>
            </w:pPr>
            <w:r w:rsidRPr="006773D9">
              <w:rPr>
                <w:sz w:val="20"/>
              </w:rPr>
              <w:t>(Qc) (Criminelle) (Autorisation)</w:t>
            </w:r>
          </w:p>
        </w:tc>
      </w:tr>
      <w:tr w:rsidR="00BA05AA" w:rsidRPr="00311F52" w:rsidTr="00E95A6A">
        <w:tc>
          <w:tcPr>
            <w:tcW w:w="5000" w:type="pct"/>
            <w:gridSpan w:val="4"/>
          </w:tcPr>
          <w:p w:rsidR="00BA05AA" w:rsidRPr="006773D9" w:rsidRDefault="00BA05AA" w:rsidP="00BA05AA">
            <w:pPr>
              <w:jc w:val="both"/>
              <w:rPr>
                <w:sz w:val="20"/>
                <w:lang w:val="fr-CA"/>
              </w:rPr>
            </w:pPr>
            <w:r w:rsidRPr="006773D9">
              <w:rPr>
                <w:i/>
                <w:iCs/>
                <w:sz w:val="20"/>
                <w:lang w:val="fr-CA"/>
              </w:rPr>
              <w:t xml:space="preserve">Charte des droits </w:t>
            </w:r>
            <w:r w:rsidRPr="006773D9">
              <w:rPr>
                <w:iCs/>
                <w:sz w:val="20"/>
                <w:lang w:val="fr-CA"/>
              </w:rPr>
              <w:t xml:space="preserve">— Droit criminel — Détermination de la peine — Réduction de la peine — Remède constitutionnel — Violation de la </w:t>
            </w:r>
            <w:r w:rsidRPr="006773D9">
              <w:rPr>
                <w:i/>
                <w:iCs/>
                <w:sz w:val="20"/>
                <w:lang w:val="fr-CA"/>
              </w:rPr>
              <w:t>Charte</w:t>
            </w:r>
            <w:r w:rsidRPr="006773D9">
              <w:rPr>
                <w:iCs/>
                <w:sz w:val="20"/>
                <w:lang w:val="fr-CA"/>
              </w:rPr>
              <w:t xml:space="preserve"> — </w:t>
            </w:r>
            <w:r w:rsidRPr="006773D9">
              <w:rPr>
                <w:sz w:val="20"/>
                <w:lang w:val="fr-CA"/>
              </w:rPr>
              <w:t>Est</w:t>
            </w:r>
            <w:r w:rsidRPr="006773D9">
              <w:rPr>
                <w:sz w:val="20"/>
                <w:lang w:val="fr-CA"/>
              </w:rPr>
              <w:noBreakHyphen/>
              <w:t>il nécessaire qu’il y ait une connexité étroite entre la violation constatée et les principes de détermination de la peine pour que celle</w:t>
            </w:r>
            <w:r w:rsidRPr="006773D9">
              <w:rPr>
                <w:sz w:val="20"/>
                <w:lang w:val="fr-CA"/>
              </w:rPr>
              <w:noBreakHyphen/>
              <w:t xml:space="preserve">ci puisse atténuer la peine? — Subsidiairement, le par. 24(1) de la </w:t>
            </w:r>
            <w:r w:rsidRPr="006773D9">
              <w:rPr>
                <w:i/>
                <w:sz w:val="20"/>
                <w:lang w:val="fr-CA"/>
              </w:rPr>
              <w:t>Charte</w:t>
            </w:r>
            <w:r w:rsidRPr="006773D9">
              <w:rPr>
                <w:sz w:val="20"/>
                <w:lang w:val="fr-CA"/>
              </w:rPr>
              <w:t xml:space="preserve"> permet-il aux tribunaux d’accorder une réduction de peine malgré l’absence de connexité étroite entre la violation constatée et les principes de détermination de la peine?</w:t>
            </w:r>
          </w:p>
        </w:tc>
      </w:tr>
      <w:tr w:rsidR="00BA05AA" w:rsidRPr="00311F52" w:rsidTr="00E95A6A">
        <w:tc>
          <w:tcPr>
            <w:tcW w:w="5000" w:type="pct"/>
            <w:gridSpan w:val="4"/>
          </w:tcPr>
          <w:p w:rsidR="00BA05AA" w:rsidRPr="006773D9" w:rsidRDefault="00BA05AA" w:rsidP="00BA05AA">
            <w:pPr>
              <w:jc w:val="both"/>
              <w:rPr>
                <w:sz w:val="20"/>
                <w:lang w:val="fr-CA"/>
              </w:rPr>
            </w:pPr>
          </w:p>
        </w:tc>
      </w:tr>
      <w:tr w:rsidR="00BA05AA" w:rsidRPr="006773D9" w:rsidTr="00E95A6A">
        <w:tc>
          <w:tcPr>
            <w:tcW w:w="5000" w:type="pct"/>
            <w:gridSpan w:val="4"/>
          </w:tcPr>
          <w:p w:rsidR="00BA05AA" w:rsidRPr="006773D9" w:rsidRDefault="00BA05AA" w:rsidP="00BA05AA">
            <w:pPr>
              <w:jc w:val="both"/>
              <w:rPr>
                <w:sz w:val="20"/>
                <w:lang w:val="fr-FR"/>
              </w:rPr>
            </w:pPr>
            <w:r w:rsidRPr="006773D9">
              <w:rPr>
                <w:sz w:val="20"/>
                <w:lang w:val="fr-FR"/>
              </w:rPr>
              <w:t>Une enquête est menée par la police qui conduit à l’arrestation du demandeur pour possession de drogue en vue d’en faire le trafic. Le jury le trouve coupable de ce chef d’accusation et il est condamné à une peine</w:t>
            </w:r>
            <w:r w:rsidRPr="006773D9">
              <w:rPr>
                <w:rFonts w:ascii="Arial" w:hAnsi="Arial" w:cs="Arial"/>
                <w:color w:val="000000"/>
                <w:sz w:val="20"/>
                <w:lang w:val="fr-CA"/>
              </w:rPr>
              <w:t xml:space="preserve"> </w:t>
            </w:r>
            <w:r w:rsidRPr="006773D9">
              <w:rPr>
                <w:sz w:val="20"/>
                <w:lang w:val="fr-CA"/>
              </w:rPr>
              <w:t xml:space="preserve">de </w:t>
            </w:r>
            <w:r w:rsidRPr="006773D9">
              <w:rPr>
                <w:sz w:val="20"/>
                <w:lang w:val="fr-FR"/>
              </w:rPr>
              <w:t xml:space="preserve">9 ans, 1 mois et 25 jours </w:t>
            </w:r>
            <w:r w:rsidRPr="006773D9">
              <w:rPr>
                <w:sz w:val="20"/>
                <w:lang w:val="fr-CA"/>
              </w:rPr>
              <w:t xml:space="preserve">d’incarcération </w:t>
            </w:r>
            <w:r w:rsidRPr="006773D9">
              <w:rPr>
                <w:sz w:val="20"/>
                <w:lang w:val="fr-FR"/>
              </w:rPr>
              <w:t xml:space="preserve">par la Cour supérieure du Québec. Le demandeur se pourvoit contre la peine. Il reproche au juge de première instance, entre autres, de ne pas avoir mentionné explicitement ni tenu compte des quatre violations de la </w:t>
            </w:r>
            <w:r w:rsidRPr="006773D9">
              <w:rPr>
                <w:i/>
                <w:sz w:val="20"/>
                <w:lang w:val="fr-FR"/>
              </w:rPr>
              <w:t>Charte</w:t>
            </w:r>
            <w:r w:rsidRPr="006773D9">
              <w:rPr>
                <w:sz w:val="20"/>
                <w:lang w:val="fr-FR"/>
              </w:rPr>
              <w:t xml:space="preserve"> qui avaient été précédemment identifiées lors de la détermination de la peine. La Cour d’appel du Québec est d’avis que la conclusion du juge de première instance, selon laquelle les violations constitutionnelles n’étaient pas suffisamment graves pour les subsumer sous la catégorie des « circonstances atténuantes », est fort raisonnable et parfaitement compatible avec les normes établies en la matière dans l’arrêt </w:t>
            </w:r>
            <w:r w:rsidRPr="006773D9">
              <w:rPr>
                <w:i/>
                <w:sz w:val="20"/>
                <w:lang w:val="fr-FR"/>
              </w:rPr>
              <w:t>R. c. Nasogaluak</w:t>
            </w:r>
            <w:r w:rsidRPr="006773D9">
              <w:rPr>
                <w:sz w:val="20"/>
                <w:lang w:val="fr-FR"/>
              </w:rPr>
              <w:t>, 2010 CSC 6, [2010] 1 R.C.S. 206. La Cour d’appel rejette l’appel.</w:t>
            </w:r>
          </w:p>
          <w:p w:rsidR="00BA05AA" w:rsidRPr="006773D9" w:rsidRDefault="00BA05AA" w:rsidP="00BA05AA">
            <w:pPr>
              <w:jc w:val="both"/>
              <w:rPr>
                <w:sz w:val="20"/>
                <w:lang w:val="fr-FR"/>
              </w:rPr>
            </w:pPr>
          </w:p>
        </w:tc>
      </w:tr>
      <w:tr w:rsidR="00BA05AA" w:rsidRPr="00311F52" w:rsidTr="00E95A6A">
        <w:tc>
          <w:tcPr>
            <w:tcW w:w="2427" w:type="pct"/>
            <w:gridSpan w:val="2"/>
          </w:tcPr>
          <w:p w:rsidR="00BA05AA" w:rsidRPr="006773D9" w:rsidRDefault="00BA05AA" w:rsidP="00BA05AA">
            <w:pPr>
              <w:jc w:val="both"/>
              <w:rPr>
                <w:sz w:val="20"/>
                <w:lang w:val="fr-CA"/>
              </w:rPr>
            </w:pPr>
            <w:r w:rsidRPr="006773D9">
              <w:rPr>
                <w:sz w:val="20"/>
                <w:lang w:val="fr-CA"/>
              </w:rPr>
              <w:t>Le 13 janvier 2017</w:t>
            </w:r>
          </w:p>
          <w:p w:rsidR="00BA05AA" w:rsidRPr="006773D9" w:rsidRDefault="00BA05AA" w:rsidP="00BA05AA">
            <w:pPr>
              <w:jc w:val="both"/>
              <w:rPr>
                <w:sz w:val="20"/>
                <w:lang w:val="fr-CA"/>
              </w:rPr>
            </w:pPr>
            <w:r w:rsidRPr="006773D9">
              <w:rPr>
                <w:sz w:val="20"/>
                <w:lang w:val="fr-CA"/>
              </w:rPr>
              <w:t>Cour supérieure du Québec</w:t>
            </w:r>
          </w:p>
          <w:p w:rsidR="00BA05AA" w:rsidRPr="006773D9" w:rsidRDefault="00BA05AA" w:rsidP="00BA05AA">
            <w:pPr>
              <w:jc w:val="both"/>
              <w:rPr>
                <w:sz w:val="20"/>
                <w:lang w:val="fr-CA"/>
              </w:rPr>
            </w:pPr>
            <w:r w:rsidRPr="006773D9">
              <w:rPr>
                <w:sz w:val="20"/>
                <w:lang w:val="fr-CA"/>
              </w:rPr>
              <w:t>(Le juge Brunton)</w:t>
            </w:r>
          </w:p>
          <w:p w:rsidR="00BA05AA" w:rsidRPr="006773D9" w:rsidRDefault="00BA05AA" w:rsidP="00BA05AA">
            <w:pPr>
              <w:jc w:val="both"/>
              <w:rPr>
                <w:bCs/>
                <w:sz w:val="20"/>
                <w:lang w:val="fr-CA"/>
              </w:rPr>
            </w:pPr>
            <w:r w:rsidRPr="006773D9">
              <w:rPr>
                <w:sz w:val="20"/>
                <w:lang w:val="fr-CA"/>
              </w:rPr>
              <w:t xml:space="preserve">Dossier : </w:t>
            </w:r>
            <w:r w:rsidRPr="006773D9">
              <w:rPr>
                <w:bCs/>
                <w:sz w:val="20"/>
                <w:lang w:val="fr-CA"/>
              </w:rPr>
              <w:t>500</w:t>
            </w:r>
            <w:r w:rsidRPr="006773D9">
              <w:rPr>
                <w:bCs/>
                <w:sz w:val="20"/>
                <w:lang w:val="fr-CA"/>
              </w:rPr>
              <w:noBreakHyphen/>
              <w:t>01</w:t>
            </w:r>
            <w:r w:rsidRPr="006773D9">
              <w:rPr>
                <w:bCs/>
                <w:sz w:val="20"/>
                <w:lang w:val="fr-CA"/>
              </w:rPr>
              <w:noBreakHyphen/>
              <w:t>118229</w:t>
            </w:r>
            <w:r w:rsidRPr="006773D9">
              <w:rPr>
                <w:bCs/>
                <w:sz w:val="20"/>
                <w:lang w:val="fr-CA"/>
              </w:rPr>
              <w:noBreakHyphen/>
              <w:t>159</w:t>
            </w:r>
          </w:p>
          <w:p w:rsidR="00BA05AA" w:rsidRPr="006773D9" w:rsidRDefault="00311F52" w:rsidP="00BA05AA">
            <w:pPr>
              <w:jc w:val="both"/>
              <w:rPr>
                <w:bCs/>
                <w:sz w:val="20"/>
                <w:lang w:val="fr-CA"/>
              </w:rPr>
            </w:pPr>
            <w:hyperlink r:id="rId23" w:anchor="document" w:history="1">
              <w:r w:rsidR="00BA05AA" w:rsidRPr="006773D9">
                <w:rPr>
                  <w:rStyle w:val="Hyperlink"/>
                  <w:sz w:val="20"/>
                  <w:lang w:val="fr-CA"/>
                </w:rPr>
                <w:t>2017 QCCS 111</w:t>
              </w:r>
            </w:hyperlink>
          </w:p>
          <w:p w:rsidR="00BA05AA" w:rsidRPr="006773D9" w:rsidRDefault="00BA05AA" w:rsidP="00BA05AA">
            <w:pPr>
              <w:jc w:val="both"/>
              <w:rPr>
                <w:sz w:val="20"/>
                <w:lang w:val="fr-CA"/>
              </w:rPr>
            </w:pPr>
          </w:p>
        </w:tc>
        <w:tc>
          <w:tcPr>
            <w:tcW w:w="243" w:type="pct"/>
          </w:tcPr>
          <w:p w:rsidR="00BA05AA" w:rsidRPr="006773D9" w:rsidRDefault="00BA05AA" w:rsidP="00BA05AA">
            <w:pPr>
              <w:jc w:val="both"/>
              <w:rPr>
                <w:sz w:val="20"/>
                <w:lang w:val="fr-CA"/>
              </w:rPr>
            </w:pPr>
          </w:p>
        </w:tc>
        <w:tc>
          <w:tcPr>
            <w:tcW w:w="2330" w:type="pct"/>
          </w:tcPr>
          <w:p w:rsidR="00BA05AA" w:rsidRPr="006773D9" w:rsidRDefault="00BA05AA" w:rsidP="00BA05AA">
            <w:pPr>
              <w:jc w:val="both"/>
              <w:rPr>
                <w:sz w:val="20"/>
                <w:lang w:val="fr-CA"/>
              </w:rPr>
            </w:pPr>
            <w:r w:rsidRPr="006773D9">
              <w:rPr>
                <w:sz w:val="20"/>
                <w:lang w:val="fr-CA"/>
              </w:rPr>
              <w:t>Le demandeur est condamné à 9 ans, 1 mois et 25 jours d’emprisonnement pour possession de drogue en vue d’en faire le trafic.</w:t>
            </w:r>
          </w:p>
        </w:tc>
      </w:tr>
      <w:tr w:rsidR="00BA05AA" w:rsidRPr="006773D9" w:rsidTr="00E95A6A">
        <w:tc>
          <w:tcPr>
            <w:tcW w:w="2427" w:type="pct"/>
            <w:gridSpan w:val="2"/>
          </w:tcPr>
          <w:p w:rsidR="00BA05AA" w:rsidRPr="006773D9" w:rsidRDefault="00BA05AA" w:rsidP="00BA05AA">
            <w:pPr>
              <w:jc w:val="both"/>
              <w:rPr>
                <w:sz w:val="20"/>
                <w:lang w:val="fr-CA"/>
              </w:rPr>
            </w:pPr>
            <w:r w:rsidRPr="006773D9">
              <w:rPr>
                <w:sz w:val="20"/>
                <w:lang w:val="fr-CA"/>
              </w:rPr>
              <w:t>Le 30 juin 2020</w:t>
            </w:r>
          </w:p>
          <w:p w:rsidR="00BA05AA" w:rsidRPr="006773D9" w:rsidRDefault="00BA05AA" w:rsidP="00BA05AA">
            <w:pPr>
              <w:jc w:val="both"/>
              <w:rPr>
                <w:sz w:val="20"/>
                <w:lang w:val="fr-CA"/>
              </w:rPr>
            </w:pPr>
            <w:r w:rsidRPr="006773D9">
              <w:rPr>
                <w:sz w:val="20"/>
                <w:lang w:val="fr-CA"/>
              </w:rPr>
              <w:t>Cour d’appel du Québec (Montréal)</w:t>
            </w:r>
          </w:p>
          <w:p w:rsidR="00BA05AA" w:rsidRPr="006773D9" w:rsidRDefault="00BA05AA" w:rsidP="00BA05AA">
            <w:pPr>
              <w:jc w:val="both"/>
              <w:rPr>
                <w:sz w:val="20"/>
                <w:lang w:val="fr-CA"/>
              </w:rPr>
            </w:pPr>
            <w:r w:rsidRPr="006773D9">
              <w:rPr>
                <w:sz w:val="20"/>
                <w:lang w:val="fr-CA"/>
              </w:rPr>
              <w:t>(Les juges Morissette, Gagné et Cotnam)</w:t>
            </w:r>
          </w:p>
          <w:p w:rsidR="00BA05AA" w:rsidRPr="006773D9" w:rsidRDefault="00BA05AA" w:rsidP="00BA05AA">
            <w:pPr>
              <w:jc w:val="both"/>
              <w:rPr>
                <w:sz w:val="20"/>
              </w:rPr>
            </w:pPr>
            <w:r w:rsidRPr="006773D9">
              <w:rPr>
                <w:sz w:val="20"/>
              </w:rPr>
              <w:t>Dossier : 500</w:t>
            </w:r>
            <w:r w:rsidRPr="006773D9">
              <w:rPr>
                <w:sz w:val="20"/>
              </w:rPr>
              <w:noBreakHyphen/>
              <w:t>10</w:t>
            </w:r>
            <w:r w:rsidRPr="006773D9">
              <w:rPr>
                <w:sz w:val="20"/>
              </w:rPr>
              <w:noBreakHyphen/>
              <w:t>006297</w:t>
            </w:r>
            <w:r w:rsidRPr="006773D9">
              <w:rPr>
                <w:sz w:val="20"/>
              </w:rPr>
              <w:noBreakHyphen/>
              <w:t>160; 500</w:t>
            </w:r>
            <w:r w:rsidRPr="006773D9">
              <w:rPr>
                <w:sz w:val="20"/>
              </w:rPr>
              <w:noBreakHyphen/>
              <w:t>10</w:t>
            </w:r>
            <w:r w:rsidRPr="006773D9">
              <w:rPr>
                <w:sz w:val="20"/>
              </w:rPr>
              <w:noBreakHyphen/>
              <w:t>006363</w:t>
            </w:r>
            <w:r w:rsidRPr="006773D9">
              <w:rPr>
                <w:sz w:val="20"/>
              </w:rPr>
              <w:noBreakHyphen/>
              <w:t>178</w:t>
            </w:r>
          </w:p>
          <w:p w:rsidR="00BA05AA" w:rsidRPr="006773D9" w:rsidRDefault="00311F52" w:rsidP="00BA05AA">
            <w:pPr>
              <w:jc w:val="both"/>
              <w:rPr>
                <w:sz w:val="20"/>
              </w:rPr>
            </w:pPr>
            <w:hyperlink r:id="rId24" w:history="1">
              <w:r w:rsidR="00BA05AA" w:rsidRPr="006773D9">
                <w:rPr>
                  <w:rStyle w:val="Hyperlink"/>
                  <w:sz w:val="20"/>
                </w:rPr>
                <w:t>2020 QCCA 842</w:t>
              </w:r>
            </w:hyperlink>
          </w:p>
          <w:p w:rsidR="00BA05AA" w:rsidRPr="006773D9" w:rsidRDefault="00BA05AA" w:rsidP="00BA05AA">
            <w:pPr>
              <w:jc w:val="both"/>
              <w:rPr>
                <w:sz w:val="20"/>
              </w:rPr>
            </w:pPr>
          </w:p>
        </w:tc>
        <w:tc>
          <w:tcPr>
            <w:tcW w:w="243" w:type="pct"/>
          </w:tcPr>
          <w:p w:rsidR="00BA05AA" w:rsidRPr="006773D9" w:rsidRDefault="00BA05AA" w:rsidP="00BA05AA">
            <w:pPr>
              <w:jc w:val="both"/>
              <w:rPr>
                <w:sz w:val="20"/>
              </w:rPr>
            </w:pPr>
          </w:p>
        </w:tc>
        <w:tc>
          <w:tcPr>
            <w:tcW w:w="2330" w:type="pct"/>
          </w:tcPr>
          <w:p w:rsidR="00BA05AA" w:rsidRPr="006773D9" w:rsidRDefault="00BA05AA" w:rsidP="00BA05AA">
            <w:pPr>
              <w:jc w:val="both"/>
              <w:rPr>
                <w:sz w:val="20"/>
              </w:rPr>
            </w:pPr>
            <w:r w:rsidRPr="006773D9">
              <w:rPr>
                <w:sz w:val="20"/>
                <w:lang w:val="fr-CA"/>
              </w:rPr>
              <w:t xml:space="preserve">La requête pour permission d’appeler de la peine est accueillie. </w:t>
            </w:r>
            <w:r w:rsidRPr="006773D9">
              <w:rPr>
                <w:sz w:val="20"/>
              </w:rPr>
              <w:t>Le pourvoi contre la peine est rejeté.</w:t>
            </w:r>
          </w:p>
        </w:tc>
      </w:tr>
      <w:tr w:rsidR="00BA05AA" w:rsidRPr="006773D9" w:rsidTr="00E95A6A">
        <w:tc>
          <w:tcPr>
            <w:tcW w:w="2427" w:type="pct"/>
            <w:gridSpan w:val="2"/>
          </w:tcPr>
          <w:p w:rsidR="00BA05AA" w:rsidRPr="006773D9" w:rsidRDefault="00BA05AA" w:rsidP="00BA05AA">
            <w:pPr>
              <w:jc w:val="both"/>
              <w:rPr>
                <w:sz w:val="20"/>
                <w:lang w:val="fr-CA"/>
              </w:rPr>
            </w:pPr>
            <w:r w:rsidRPr="006773D9">
              <w:rPr>
                <w:sz w:val="20"/>
                <w:lang w:val="fr-CA"/>
              </w:rPr>
              <w:t>Le 7 juillet 2021</w:t>
            </w:r>
          </w:p>
          <w:p w:rsidR="00BA05AA" w:rsidRPr="006773D9" w:rsidRDefault="00BA05AA" w:rsidP="00BA05AA">
            <w:pPr>
              <w:jc w:val="both"/>
              <w:rPr>
                <w:sz w:val="20"/>
                <w:lang w:val="fr-CA"/>
              </w:rPr>
            </w:pPr>
            <w:r w:rsidRPr="006773D9">
              <w:rPr>
                <w:sz w:val="20"/>
                <w:lang w:val="fr-CA"/>
              </w:rPr>
              <w:t>Cour suprême du Canada</w:t>
            </w:r>
          </w:p>
        </w:tc>
        <w:tc>
          <w:tcPr>
            <w:tcW w:w="243" w:type="pct"/>
          </w:tcPr>
          <w:p w:rsidR="00BA05AA" w:rsidRPr="006773D9" w:rsidRDefault="00BA05AA" w:rsidP="00BA05AA">
            <w:pPr>
              <w:jc w:val="both"/>
              <w:rPr>
                <w:sz w:val="20"/>
                <w:lang w:val="fr-CA"/>
              </w:rPr>
            </w:pPr>
          </w:p>
        </w:tc>
        <w:tc>
          <w:tcPr>
            <w:tcW w:w="2330" w:type="pct"/>
          </w:tcPr>
          <w:p w:rsidR="00BA05AA" w:rsidRPr="006773D9" w:rsidRDefault="00BA05AA" w:rsidP="00BA05AA">
            <w:pPr>
              <w:jc w:val="both"/>
              <w:rPr>
                <w:sz w:val="20"/>
              </w:rPr>
            </w:pPr>
            <w:r w:rsidRPr="006773D9">
              <w:rPr>
                <w:sz w:val="20"/>
              </w:rPr>
              <w:t>Demande d’autorisation d’appel déposée.</w:t>
            </w:r>
          </w:p>
          <w:p w:rsidR="00BA05AA" w:rsidRPr="006773D9" w:rsidRDefault="00BA05AA" w:rsidP="00BA05AA">
            <w:pPr>
              <w:jc w:val="both"/>
              <w:rPr>
                <w:sz w:val="20"/>
              </w:rPr>
            </w:pPr>
          </w:p>
        </w:tc>
      </w:tr>
    </w:tbl>
    <w:p w:rsidR="00BA05AA" w:rsidRPr="006773D9" w:rsidRDefault="00BA05AA" w:rsidP="00BA05AA">
      <w:pPr>
        <w:jc w:val="both"/>
        <w:rPr>
          <w:sz w:val="20"/>
        </w:rPr>
      </w:pPr>
    </w:p>
    <w:p w:rsidR="00BA05AA" w:rsidRPr="006773D9" w:rsidRDefault="00311F52" w:rsidP="00BA05AA">
      <w:pPr>
        <w:widowControl w:val="0"/>
        <w:tabs>
          <w:tab w:val="left" w:pos="3840"/>
        </w:tabs>
        <w:jc w:val="both"/>
        <w:rPr>
          <w:sz w:val="20"/>
          <w:lang w:val="fr-CA"/>
        </w:rPr>
      </w:pPr>
      <w:r>
        <w:rPr>
          <w:sz w:val="20"/>
        </w:rPr>
        <w:pict>
          <v:rect id="_x0000_i1034" style="width:2in;height:1pt" o:hrpct="0" o:hralign="center" o:hrstd="t" o:hrnoshade="t" o:hr="t" fillcolor="black [3213]" stroked="f"/>
        </w:pict>
      </w:r>
    </w:p>
    <w:p w:rsidR="004E723C" w:rsidRPr="006773D9" w:rsidRDefault="004E723C" w:rsidP="00BA05AA">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A05AA" w:rsidRPr="006773D9" w:rsidTr="00E95A6A">
        <w:tc>
          <w:tcPr>
            <w:tcW w:w="543" w:type="pct"/>
          </w:tcPr>
          <w:p w:rsidR="00BA05AA" w:rsidRPr="006773D9" w:rsidRDefault="00BA05AA" w:rsidP="00BA05AA">
            <w:pPr>
              <w:jc w:val="both"/>
              <w:rPr>
                <w:sz w:val="20"/>
                <w:lang w:val="en-CA"/>
              </w:rPr>
            </w:pPr>
            <w:r w:rsidRPr="006773D9">
              <w:rPr>
                <w:rStyle w:val="SCCFileNumberChar"/>
                <w:sz w:val="20"/>
                <w:szCs w:val="20"/>
              </w:rPr>
              <w:t>39756</w:t>
            </w:r>
          </w:p>
        </w:tc>
        <w:tc>
          <w:tcPr>
            <w:tcW w:w="4457" w:type="pct"/>
            <w:gridSpan w:val="3"/>
          </w:tcPr>
          <w:p w:rsidR="00BA05AA" w:rsidRPr="006773D9" w:rsidRDefault="00BA05AA" w:rsidP="00BA05AA">
            <w:pPr>
              <w:pStyle w:val="SCCLsocParty"/>
              <w:jc w:val="both"/>
              <w:rPr>
                <w:b/>
                <w:sz w:val="20"/>
                <w:szCs w:val="20"/>
              </w:rPr>
            </w:pPr>
            <w:r w:rsidRPr="006773D9">
              <w:rPr>
                <w:b/>
                <w:sz w:val="20"/>
                <w:szCs w:val="20"/>
              </w:rPr>
              <w:t>Ville de Longueuil v. Guido Benedetti</w:t>
            </w:r>
          </w:p>
          <w:p w:rsidR="00BA05AA" w:rsidRPr="006773D9" w:rsidRDefault="00BA05AA" w:rsidP="00BA05AA">
            <w:pPr>
              <w:jc w:val="both"/>
              <w:rPr>
                <w:sz w:val="20"/>
                <w:lang w:val="en-CA"/>
              </w:rPr>
            </w:pPr>
            <w:r w:rsidRPr="006773D9">
              <w:rPr>
                <w:sz w:val="20"/>
                <w:lang w:val="en-CA"/>
              </w:rPr>
              <w:t>(Que.) (Civil) (By Leave)</w:t>
            </w:r>
          </w:p>
        </w:tc>
      </w:tr>
      <w:tr w:rsidR="00BA05AA" w:rsidRPr="006773D9" w:rsidTr="00E95A6A">
        <w:tc>
          <w:tcPr>
            <w:tcW w:w="5000" w:type="pct"/>
            <w:gridSpan w:val="4"/>
          </w:tcPr>
          <w:p w:rsidR="00BA05AA" w:rsidRPr="006773D9" w:rsidRDefault="00BA05AA" w:rsidP="00BA05AA">
            <w:pPr>
              <w:jc w:val="both"/>
              <w:rPr>
                <w:sz w:val="20"/>
                <w:lang w:val="en-CA"/>
              </w:rPr>
            </w:pPr>
            <w:proofErr w:type="gramStart"/>
            <w:r w:rsidRPr="006773D9">
              <w:rPr>
                <w:sz w:val="20"/>
                <w:lang w:val="en-CA"/>
              </w:rPr>
              <w:t xml:space="preserve">Municipal law — Performance of municipal duties — Protection against certain financial losses — Costs of representation relating to disciplinary complaint — Whether obligation of municipalities under legal protection system provided for in ss. 604.6 et seq. of </w:t>
            </w:r>
            <w:r w:rsidRPr="006773D9">
              <w:rPr>
                <w:i/>
                <w:sz w:val="20"/>
                <w:lang w:val="en-CA"/>
              </w:rPr>
              <w:t>C.T.A.</w:t>
            </w:r>
            <w:r w:rsidRPr="006773D9">
              <w:rPr>
                <w:sz w:val="20"/>
                <w:lang w:val="en-CA"/>
              </w:rPr>
              <w:t xml:space="preserve"> is governed by allegations set out in pleadings or by facts disclosed at trial — Whether obligation of municipalities under legal protection system provided for in ss. 604.6 et seq. of </w:t>
            </w:r>
            <w:r w:rsidRPr="006773D9">
              <w:rPr>
                <w:i/>
                <w:sz w:val="20"/>
                <w:lang w:val="en-CA"/>
              </w:rPr>
              <w:t>C.T.A.</w:t>
            </w:r>
            <w:r w:rsidRPr="006773D9">
              <w:rPr>
                <w:sz w:val="20"/>
                <w:lang w:val="en-CA"/>
              </w:rPr>
              <w:t xml:space="preserve"> is triggered by allegations of acts of elected officials and employees of municipality “in the performance of [their</w:t>
            </w:r>
            <w:r w:rsidRPr="006773D9">
              <w:rPr>
                <w:rFonts w:asciiTheme="minorBidi" w:hAnsiTheme="minorBidi"/>
                <w:sz w:val="20"/>
                <w:lang w:val="en-CA"/>
              </w:rPr>
              <w:t>]</w:t>
            </w:r>
            <w:r w:rsidRPr="006773D9">
              <w:rPr>
                <w:sz w:val="20"/>
                <w:lang w:val="en-CA"/>
              </w:rPr>
              <w:t xml:space="preserve"> duties” or by allegations of acts that are merely [</w:t>
            </w:r>
            <w:r w:rsidRPr="006773D9">
              <w:rPr>
                <w:smallCaps/>
                <w:sz w:val="20"/>
                <w:lang w:val="en-CA"/>
              </w:rPr>
              <w:t>translation</w:t>
            </w:r>
            <w:r w:rsidRPr="006773D9">
              <w:rPr>
                <w:rFonts w:asciiTheme="minorBidi" w:hAnsiTheme="minorBidi"/>
                <w:sz w:val="20"/>
                <w:lang w:val="en-CA"/>
              </w:rPr>
              <w:t>]</w:t>
            </w:r>
            <w:r w:rsidRPr="006773D9">
              <w:rPr>
                <w:sz w:val="20"/>
                <w:lang w:val="en-CA"/>
              </w:rPr>
              <w:t xml:space="preserve"> “related” to those duties or that “result from situations” in which those duties place them — </w:t>
            </w:r>
            <w:r w:rsidRPr="006773D9">
              <w:rPr>
                <w:i/>
                <w:sz w:val="20"/>
                <w:lang w:val="en-CA"/>
              </w:rPr>
              <w:t>Cities and Towns Act</w:t>
            </w:r>
            <w:r w:rsidRPr="006773D9">
              <w:rPr>
                <w:sz w:val="20"/>
                <w:lang w:val="en-CA"/>
              </w:rPr>
              <w:t>, CQLR, c. C</w:t>
            </w:r>
            <w:r w:rsidRPr="006773D9">
              <w:rPr>
                <w:sz w:val="20"/>
                <w:lang w:val="en-CA"/>
              </w:rPr>
              <w:noBreakHyphen/>
              <w:t>19, s. 604.6.</w:t>
            </w:r>
            <w:proofErr w:type="gramEnd"/>
          </w:p>
        </w:tc>
      </w:tr>
      <w:tr w:rsidR="00BA05AA" w:rsidRPr="006773D9" w:rsidTr="00E95A6A">
        <w:tc>
          <w:tcPr>
            <w:tcW w:w="5000" w:type="pct"/>
            <w:gridSpan w:val="4"/>
          </w:tcPr>
          <w:p w:rsidR="00BA05AA" w:rsidRPr="006773D9" w:rsidRDefault="00BA05AA" w:rsidP="00BA05AA">
            <w:pPr>
              <w:jc w:val="both"/>
              <w:rPr>
                <w:sz w:val="20"/>
                <w:lang w:val="en-CA"/>
              </w:rPr>
            </w:pPr>
          </w:p>
          <w:p w:rsidR="00BA05AA" w:rsidRPr="006773D9" w:rsidRDefault="00BA05AA" w:rsidP="00BA05AA">
            <w:pPr>
              <w:jc w:val="both"/>
              <w:rPr>
                <w:sz w:val="20"/>
                <w:lang w:val="en-CA"/>
              </w:rPr>
            </w:pPr>
            <w:r w:rsidRPr="006773D9">
              <w:rPr>
                <w:sz w:val="20"/>
                <w:lang w:val="en-CA"/>
              </w:rPr>
              <w:t xml:space="preserve">Mr. Benedetti applied for a declaratory judgment forcing Ville de Longueuil to assume the costs of his defence in accordance with s. 604.6 of the </w:t>
            </w:r>
            <w:r w:rsidRPr="006773D9">
              <w:rPr>
                <w:i/>
                <w:sz w:val="20"/>
                <w:lang w:val="en-CA"/>
              </w:rPr>
              <w:t>Cities and Towns Act</w:t>
            </w:r>
            <w:r w:rsidRPr="006773D9">
              <w:rPr>
                <w:sz w:val="20"/>
                <w:lang w:val="en-CA"/>
              </w:rPr>
              <w:t xml:space="preserve"> in relation to a complaint lodged against him by the Ordre des ingénieurs du Québec. The Superior Court dismissed the application for a declaratory judgment. Mr. Benedetti applied to the Court of Appeal for authorization to present, as new evidence, the decision of the </w:t>
            </w:r>
            <w:proofErr w:type="spellStart"/>
            <w:r w:rsidRPr="006773D9">
              <w:rPr>
                <w:sz w:val="20"/>
                <w:lang w:val="en-CA"/>
              </w:rPr>
              <w:t>Ordre’s</w:t>
            </w:r>
            <w:proofErr w:type="spellEnd"/>
            <w:r w:rsidRPr="006773D9">
              <w:rPr>
                <w:sz w:val="20"/>
                <w:lang w:val="en-CA"/>
              </w:rPr>
              <w:t xml:space="preserve"> disciplinary council dismissing the charges brought by the Syndic. The Court of Appeal allowed the appeal and the motion for authorization to present new evidence. It set aside the trial judge’s decision and granted the application for a declaratory judgment noting the obligation of Ville de Longueuil to assume Mr. Benedetti’s costs of representation incurred in relation to the disciplinary complaint.</w:t>
            </w:r>
          </w:p>
        </w:tc>
      </w:tr>
      <w:tr w:rsidR="00BA05AA" w:rsidRPr="006773D9" w:rsidTr="00E95A6A">
        <w:tc>
          <w:tcPr>
            <w:tcW w:w="5000" w:type="pct"/>
            <w:gridSpan w:val="4"/>
          </w:tcPr>
          <w:p w:rsidR="00BA05AA" w:rsidRPr="006773D9" w:rsidRDefault="00BA05AA" w:rsidP="00BA05AA">
            <w:pPr>
              <w:jc w:val="both"/>
              <w:rPr>
                <w:sz w:val="20"/>
                <w:lang w:val="en-CA"/>
              </w:rPr>
            </w:pPr>
          </w:p>
        </w:tc>
      </w:tr>
      <w:tr w:rsidR="00BA05AA" w:rsidRPr="006773D9" w:rsidTr="00E95A6A">
        <w:tc>
          <w:tcPr>
            <w:tcW w:w="2427" w:type="pct"/>
            <w:gridSpan w:val="2"/>
          </w:tcPr>
          <w:p w:rsidR="00BA05AA" w:rsidRPr="006773D9" w:rsidRDefault="00BA05AA" w:rsidP="00BA05AA">
            <w:pPr>
              <w:jc w:val="both"/>
              <w:rPr>
                <w:sz w:val="20"/>
                <w:lang w:val="en-CA"/>
              </w:rPr>
            </w:pPr>
            <w:r w:rsidRPr="006773D9">
              <w:rPr>
                <w:sz w:val="20"/>
                <w:lang w:val="en-CA"/>
              </w:rPr>
              <w:t>September 4, 2019</w:t>
            </w:r>
          </w:p>
          <w:p w:rsidR="00BA05AA" w:rsidRPr="006773D9" w:rsidRDefault="00BA05AA" w:rsidP="00BA05AA">
            <w:pPr>
              <w:jc w:val="both"/>
              <w:rPr>
                <w:sz w:val="20"/>
                <w:lang w:val="en-CA"/>
              </w:rPr>
            </w:pPr>
            <w:r w:rsidRPr="006773D9">
              <w:rPr>
                <w:sz w:val="20"/>
                <w:lang w:val="en-CA"/>
              </w:rPr>
              <w:t>Quebec Superior Court</w:t>
            </w:r>
          </w:p>
          <w:p w:rsidR="00BA05AA" w:rsidRPr="006773D9" w:rsidRDefault="00BA05AA" w:rsidP="00BA05AA">
            <w:pPr>
              <w:jc w:val="both"/>
              <w:rPr>
                <w:sz w:val="20"/>
                <w:lang w:val="en-CA"/>
              </w:rPr>
            </w:pPr>
            <w:r w:rsidRPr="006773D9">
              <w:rPr>
                <w:sz w:val="20"/>
                <w:lang w:val="en-CA"/>
              </w:rPr>
              <w:t>(Riordan J.)</w:t>
            </w:r>
          </w:p>
          <w:p w:rsidR="00BA05AA" w:rsidRPr="006773D9" w:rsidRDefault="00311F52" w:rsidP="00BA05AA">
            <w:pPr>
              <w:jc w:val="both"/>
              <w:rPr>
                <w:sz w:val="20"/>
                <w:lang w:val="en-CA"/>
              </w:rPr>
            </w:pPr>
            <w:hyperlink r:id="rId25" w:history="1">
              <w:r w:rsidR="00BA05AA" w:rsidRPr="006773D9">
                <w:rPr>
                  <w:rStyle w:val="Hyperlink"/>
                  <w:sz w:val="20"/>
                  <w:lang w:val="en-CA"/>
                </w:rPr>
                <w:t>2019 QCCS 5996</w:t>
              </w:r>
            </w:hyperlink>
            <w:r w:rsidR="00BA05AA" w:rsidRPr="006773D9">
              <w:rPr>
                <w:sz w:val="20"/>
                <w:lang w:val="en-CA"/>
              </w:rPr>
              <w:t>; 505</w:t>
            </w:r>
            <w:r w:rsidR="00BA05AA" w:rsidRPr="006773D9">
              <w:rPr>
                <w:sz w:val="20"/>
                <w:lang w:val="en-CA"/>
              </w:rPr>
              <w:noBreakHyphen/>
              <w:t>17</w:t>
            </w:r>
            <w:r w:rsidR="00BA05AA" w:rsidRPr="006773D9">
              <w:rPr>
                <w:sz w:val="20"/>
                <w:lang w:val="en-CA"/>
              </w:rPr>
              <w:noBreakHyphen/>
              <w:t>010788</w:t>
            </w:r>
            <w:r w:rsidR="00BA05AA" w:rsidRPr="006773D9">
              <w:rPr>
                <w:sz w:val="20"/>
                <w:lang w:val="en-CA"/>
              </w:rPr>
              <w:noBreakHyphen/>
              <w:t>182</w:t>
            </w:r>
          </w:p>
          <w:p w:rsidR="00BA05AA" w:rsidRPr="006773D9" w:rsidRDefault="00BA05AA" w:rsidP="00BA05AA">
            <w:pPr>
              <w:jc w:val="both"/>
              <w:rPr>
                <w:sz w:val="20"/>
                <w:lang w:val="en-CA"/>
              </w:rPr>
            </w:pPr>
          </w:p>
        </w:tc>
        <w:tc>
          <w:tcPr>
            <w:tcW w:w="243" w:type="pct"/>
          </w:tcPr>
          <w:p w:rsidR="00BA05AA" w:rsidRPr="006773D9" w:rsidRDefault="00BA05AA" w:rsidP="00BA05AA">
            <w:pPr>
              <w:jc w:val="both"/>
              <w:rPr>
                <w:sz w:val="20"/>
                <w:lang w:val="en-CA"/>
              </w:rPr>
            </w:pPr>
          </w:p>
        </w:tc>
        <w:tc>
          <w:tcPr>
            <w:tcW w:w="2330" w:type="pct"/>
          </w:tcPr>
          <w:p w:rsidR="00BA05AA" w:rsidRPr="006773D9" w:rsidRDefault="00BA05AA" w:rsidP="00BA05AA">
            <w:pPr>
              <w:jc w:val="both"/>
              <w:rPr>
                <w:sz w:val="20"/>
                <w:lang w:val="en-CA"/>
              </w:rPr>
            </w:pPr>
            <w:r w:rsidRPr="006773D9">
              <w:rPr>
                <w:sz w:val="20"/>
                <w:lang w:val="en-CA"/>
              </w:rPr>
              <w:t>Application for declaratory judgment dismissed</w:t>
            </w:r>
          </w:p>
        </w:tc>
      </w:tr>
      <w:tr w:rsidR="00BA05AA" w:rsidRPr="006773D9" w:rsidTr="00E95A6A">
        <w:tc>
          <w:tcPr>
            <w:tcW w:w="2427" w:type="pct"/>
            <w:gridSpan w:val="2"/>
          </w:tcPr>
          <w:p w:rsidR="00BA05AA" w:rsidRPr="006773D9" w:rsidRDefault="00BA05AA" w:rsidP="00BA05AA">
            <w:pPr>
              <w:jc w:val="both"/>
              <w:rPr>
                <w:sz w:val="20"/>
                <w:lang w:val="en-CA"/>
              </w:rPr>
            </w:pPr>
            <w:r w:rsidRPr="006773D9">
              <w:rPr>
                <w:sz w:val="20"/>
                <w:lang w:val="en-CA"/>
              </w:rPr>
              <w:t>April 30, 2021</w:t>
            </w:r>
          </w:p>
          <w:p w:rsidR="00BA05AA" w:rsidRPr="006773D9" w:rsidRDefault="00BA05AA" w:rsidP="00BA05AA">
            <w:pPr>
              <w:jc w:val="both"/>
              <w:rPr>
                <w:sz w:val="20"/>
                <w:lang w:val="en-CA"/>
              </w:rPr>
            </w:pPr>
            <w:r w:rsidRPr="006773D9">
              <w:rPr>
                <w:sz w:val="20"/>
                <w:lang w:val="en-CA"/>
              </w:rPr>
              <w:t>Quebec Court of Appeal (Montréal)</w:t>
            </w:r>
          </w:p>
          <w:p w:rsidR="00BA05AA" w:rsidRPr="006773D9" w:rsidRDefault="00BA05AA" w:rsidP="00BA05AA">
            <w:pPr>
              <w:jc w:val="both"/>
              <w:rPr>
                <w:sz w:val="20"/>
                <w:lang w:val="en-CA"/>
              </w:rPr>
            </w:pPr>
            <w:r w:rsidRPr="006773D9">
              <w:rPr>
                <w:sz w:val="20"/>
                <w:lang w:val="en-CA"/>
              </w:rPr>
              <w:t>(Hogue, Cotnam and Cournoyer JJ.A.)</w:t>
            </w:r>
          </w:p>
          <w:p w:rsidR="00BA05AA" w:rsidRPr="006773D9" w:rsidRDefault="00311F52" w:rsidP="00BA05AA">
            <w:pPr>
              <w:jc w:val="both"/>
              <w:rPr>
                <w:sz w:val="20"/>
                <w:lang w:val="en-CA"/>
              </w:rPr>
            </w:pPr>
            <w:hyperlink r:id="rId26" w:history="1">
              <w:r w:rsidR="00BA05AA" w:rsidRPr="006773D9">
                <w:rPr>
                  <w:rStyle w:val="Hyperlink"/>
                  <w:sz w:val="20"/>
                  <w:lang w:val="en-CA"/>
                </w:rPr>
                <w:t>2021 QCCA 846</w:t>
              </w:r>
            </w:hyperlink>
            <w:r w:rsidR="00BA05AA" w:rsidRPr="006773D9">
              <w:rPr>
                <w:sz w:val="20"/>
                <w:lang w:val="en-CA"/>
              </w:rPr>
              <w:t>; 500</w:t>
            </w:r>
            <w:r w:rsidR="00BA05AA" w:rsidRPr="006773D9">
              <w:rPr>
                <w:sz w:val="20"/>
                <w:lang w:val="en-CA"/>
              </w:rPr>
              <w:noBreakHyphen/>
              <w:t>09</w:t>
            </w:r>
            <w:r w:rsidR="00BA05AA" w:rsidRPr="006773D9">
              <w:rPr>
                <w:sz w:val="20"/>
                <w:lang w:val="en-CA"/>
              </w:rPr>
              <w:noBreakHyphen/>
              <w:t>028612</w:t>
            </w:r>
            <w:r w:rsidR="00BA05AA" w:rsidRPr="006773D9">
              <w:rPr>
                <w:sz w:val="20"/>
                <w:lang w:val="en-CA"/>
              </w:rPr>
              <w:noBreakHyphen/>
              <w:t>190</w:t>
            </w:r>
          </w:p>
          <w:p w:rsidR="00BA05AA" w:rsidRPr="006773D9" w:rsidRDefault="00BA05AA" w:rsidP="00BA05AA">
            <w:pPr>
              <w:jc w:val="both"/>
              <w:rPr>
                <w:sz w:val="20"/>
                <w:lang w:val="en-CA"/>
              </w:rPr>
            </w:pPr>
          </w:p>
        </w:tc>
        <w:tc>
          <w:tcPr>
            <w:tcW w:w="243" w:type="pct"/>
          </w:tcPr>
          <w:p w:rsidR="00BA05AA" w:rsidRPr="006773D9" w:rsidRDefault="00BA05AA" w:rsidP="00BA05AA">
            <w:pPr>
              <w:jc w:val="both"/>
              <w:rPr>
                <w:sz w:val="20"/>
                <w:lang w:val="en-CA"/>
              </w:rPr>
            </w:pPr>
          </w:p>
        </w:tc>
        <w:tc>
          <w:tcPr>
            <w:tcW w:w="2330" w:type="pct"/>
          </w:tcPr>
          <w:p w:rsidR="00BA05AA" w:rsidRPr="006773D9" w:rsidRDefault="00BA05AA" w:rsidP="00BA05AA">
            <w:pPr>
              <w:jc w:val="both"/>
              <w:rPr>
                <w:sz w:val="20"/>
                <w:lang w:val="en-CA"/>
              </w:rPr>
            </w:pPr>
            <w:r w:rsidRPr="006773D9">
              <w:rPr>
                <w:sz w:val="20"/>
                <w:lang w:val="en-CA"/>
              </w:rPr>
              <w:t>Appeal allowed; trial judge’s decision set aside; application for declaratory judgment granted</w:t>
            </w:r>
          </w:p>
        </w:tc>
      </w:tr>
      <w:tr w:rsidR="00BA05AA" w:rsidRPr="006773D9" w:rsidTr="00E95A6A">
        <w:tc>
          <w:tcPr>
            <w:tcW w:w="2427" w:type="pct"/>
            <w:gridSpan w:val="2"/>
          </w:tcPr>
          <w:p w:rsidR="00BA05AA" w:rsidRPr="006773D9" w:rsidRDefault="00BA05AA" w:rsidP="00BA05AA">
            <w:pPr>
              <w:jc w:val="both"/>
              <w:rPr>
                <w:sz w:val="20"/>
                <w:lang w:val="en-CA"/>
              </w:rPr>
            </w:pPr>
            <w:r w:rsidRPr="006773D9">
              <w:rPr>
                <w:sz w:val="20"/>
                <w:lang w:val="en-CA"/>
              </w:rPr>
              <w:t>June 29, 2021</w:t>
            </w:r>
          </w:p>
          <w:p w:rsidR="00BA05AA" w:rsidRPr="006773D9" w:rsidRDefault="00BA05AA" w:rsidP="00BA05AA">
            <w:pPr>
              <w:jc w:val="both"/>
              <w:rPr>
                <w:sz w:val="20"/>
                <w:lang w:val="en-CA"/>
              </w:rPr>
            </w:pPr>
            <w:r w:rsidRPr="006773D9">
              <w:rPr>
                <w:sz w:val="20"/>
                <w:lang w:val="en-CA"/>
              </w:rPr>
              <w:t>Supreme Court of Canada</w:t>
            </w:r>
          </w:p>
        </w:tc>
        <w:tc>
          <w:tcPr>
            <w:tcW w:w="243" w:type="pct"/>
          </w:tcPr>
          <w:p w:rsidR="00BA05AA" w:rsidRPr="006773D9" w:rsidRDefault="00BA05AA" w:rsidP="00BA05AA">
            <w:pPr>
              <w:jc w:val="both"/>
              <w:rPr>
                <w:sz w:val="20"/>
                <w:lang w:val="en-CA"/>
              </w:rPr>
            </w:pPr>
          </w:p>
        </w:tc>
        <w:tc>
          <w:tcPr>
            <w:tcW w:w="2330" w:type="pct"/>
          </w:tcPr>
          <w:p w:rsidR="00BA05AA" w:rsidRPr="006773D9" w:rsidRDefault="00BA05AA" w:rsidP="00BA05AA">
            <w:pPr>
              <w:jc w:val="both"/>
              <w:rPr>
                <w:sz w:val="20"/>
                <w:lang w:val="en-CA"/>
              </w:rPr>
            </w:pPr>
            <w:r w:rsidRPr="006773D9">
              <w:rPr>
                <w:sz w:val="20"/>
                <w:lang w:val="en-CA"/>
              </w:rPr>
              <w:t>Application for leave to appeal filed</w:t>
            </w:r>
          </w:p>
          <w:p w:rsidR="00BA05AA" w:rsidRPr="006773D9" w:rsidRDefault="00BA05AA" w:rsidP="00BA05AA">
            <w:pPr>
              <w:jc w:val="both"/>
              <w:rPr>
                <w:sz w:val="20"/>
                <w:lang w:val="en-CA"/>
              </w:rPr>
            </w:pPr>
          </w:p>
        </w:tc>
      </w:tr>
    </w:tbl>
    <w:p w:rsidR="00BA05AA" w:rsidRPr="006773D9" w:rsidRDefault="00BA05AA" w:rsidP="00BA05AA">
      <w:pPr>
        <w:jc w:val="both"/>
        <w:rPr>
          <w:sz w:val="20"/>
          <w:lang w:val="en-CA"/>
        </w:rPr>
      </w:pPr>
    </w:p>
    <w:p w:rsidR="00BA05AA" w:rsidRPr="006773D9" w:rsidRDefault="00311F52" w:rsidP="00BA05AA">
      <w:pPr>
        <w:jc w:val="both"/>
        <w:rPr>
          <w:sz w:val="20"/>
          <w:lang w:val="en-CA"/>
        </w:rPr>
      </w:pPr>
      <w:r>
        <w:rPr>
          <w:sz w:val="20"/>
        </w:rPr>
        <w:pict>
          <v:rect id="_x0000_i1035" style="width:2in;height:1pt" o:hrpct="0" o:hralign="center" o:hrstd="t" o:hrnoshade="t" o:hr="t" fillcolor="black [3213]" stroked="f"/>
        </w:pict>
      </w:r>
    </w:p>
    <w:p w:rsidR="00BA05AA" w:rsidRPr="006773D9" w:rsidRDefault="00BA05AA" w:rsidP="00BA05A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A05AA" w:rsidRPr="006773D9" w:rsidTr="00E95A6A">
        <w:tc>
          <w:tcPr>
            <w:tcW w:w="543" w:type="pct"/>
          </w:tcPr>
          <w:p w:rsidR="00BA05AA" w:rsidRPr="006773D9" w:rsidRDefault="00BA05AA" w:rsidP="00BA05AA">
            <w:pPr>
              <w:jc w:val="both"/>
              <w:rPr>
                <w:sz w:val="20"/>
              </w:rPr>
            </w:pPr>
            <w:r w:rsidRPr="006773D9">
              <w:rPr>
                <w:rStyle w:val="SCCFileNumberChar"/>
                <w:sz w:val="20"/>
                <w:szCs w:val="20"/>
              </w:rPr>
              <w:t>39756</w:t>
            </w:r>
          </w:p>
        </w:tc>
        <w:tc>
          <w:tcPr>
            <w:tcW w:w="4457" w:type="pct"/>
            <w:gridSpan w:val="3"/>
          </w:tcPr>
          <w:p w:rsidR="00BA05AA" w:rsidRPr="006773D9" w:rsidRDefault="00BA05AA" w:rsidP="00BA05AA">
            <w:pPr>
              <w:pStyle w:val="SCCLsocParty"/>
              <w:jc w:val="both"/>
              <w:rPr>
                <w:b/>
                <w:sz w:val="20"/>
                <w:szCs w:val="20"/>
              </w:rPr>
            </w:pPr>
            <w:r w:rsidRPr="006773D9">
              <w:rPr>
                <w:b/>
                <w:sz w:val="20"/>
                <w:szCs w:val="20"/>
              </w:rPr>
              <w:t>Ville de Longueuil c. Guido Benedetti</w:t>
            </w:r>
          </w:p>
          <w:p w:rsidR="00BA05AA" w:rsidRPr="006773D9" w:rsidRDefault="00BA05AA" w:rsidP="00BA05AA">
            <w:pPr>
              <w:jc w:val="both"/>
              <w:rPr>
                <w:sz w:val="20"/>
              </w:rPr>
            </w:pPr>
            <w:r w:rsidRPr="006773D9">
              <w:rPr>
                <w:sz w:val="20"/>
              </w:rPr>
              <w:t>(Qc) (Civile) (Autorisation)</w:t>
            </w:r>
          </w:p>
        </w:tc>
      </w:tr>
      <w:tr w:rsidR="00BA05AA" w:rsidRPr="00311F52" w:rsidTr="00E95A6A">
        <w:tc>
          <w:tcPr>
            <w:tcW w:w="5000" w:type="pct"/>
            <w:gridSpan w:val="4"/>
          </w:tcPr>
          <w:p w:rsidR="00BA05AA" w:rsidRPr="006773D9" w:rsidRDefault="00BA05AA" w:rsidP="00BA05AA">
            <w:pPr>
              <w:jc w:val="both"/>
              <w:rPr>
                <w:sz w:val="20"/>
                <w:lang w:val="fr-CA"/>
              </w:rPr>
            </w:pPr>
            <w:r w:rsidRPr="006773D9">
              <w:rPr>
                <w:sz w:val="20"/>
                <w:lang w:val="fr-CA"/>
              </w:rPr>
              <w:t xml:space="preserve">Droit municipal — Exercice des fonctions municipales — Protection contre certaines pertes financières — Frais de représentation engendrés par une plainte disciplinaire — L’obligation des municipalités à l’égard du régime de protection juridique prévu aux art. 604.6 et suivants </w:t>
            </w:r>
            <w:r w:rsidRPr="006773D9">
              <w:rPr>
                <w:i/>
                <w:sz w:val="20"/>
                <w:lang w:val="fr-CA"/>
              </w:rPr>
              <w:t>L.c.v.</w:t>
            </w:r>
            <w:r w:rsidRPr="006773D9">
              <w:rPr>
                <w:sz w:val="20"/>
                <w:lang w:val="fr-CA"/>
              </w:rPr>
              <w:t xml:space="preserve"> est</w:t>
            </w:r>
            <w:r w:rsidRPr="006773D9">
              <w:rPr>
                <w:sz w:val="20"/>
                <w:lang w:val="fr-CA"/>
              </w:rPr>
              <w:noBreakHyphen/>
              <w:t xml:space="preserve">elle régie par les allégations contenues aux actes de procédures ou par les faits révélés au procès? — L’obligation des municipalités à l’égard du régime de protection juridique prévu aux art. 604.6 et suivants </w:t>
            </w:r>
            <w:r w:rsidRPr="006773D9">
              <w:rPr>
                <w:i/>
                <w:sz w:val="20"/>
                <w:lang w:val="fr-CA"/>
              </w:rPr>
              <w:t>L.c.v.</w:t>
            </w:r>
            <w:r w:rsidRPr="006773D9">
              <w:rPr>
                <w:sz w:val="20"/>
                <w:lang w:val="fr-CA"/>
              </w:rPr>
              <w:t xml:space="preserve"> est</w:t>
            </w:r>
            <w:r w:rsidRPr="006773D9">
              <w:rPr>
                <w:sz w:val="20"/>
                <w:lang w:val="fr-CA"/>
              </w:rPr>
              <w:noBreakHyphen/>
              <w:t>elle engagée par des allégations d’actes « dans l’exercice des fonctions » des élus et employés municipaux ou par des allégations d’actes ayant simplement « un rapport » avec ces fonctions ou « découlant de situations » dans lesquelles celles</w:t>
            </w:r>
            <w:r w:rsidRPr="006773D9">
              <w:rPr>
                <w:sz w:val="20"/>
                <w:lang w:val="fr-CA"/>
              </w:rPr>
              <w:noBreakHyphen/>
              <w:t xml:space="preserve">ci les placent? — </w:t>
            </w:r>
            <w:r w:rsidRPr="006773D9">
              <w:rPr>
                <w:i/>
                <w:sz w:val="20"/>
                <w:lang w:val="fr-CA"/>
              </w:rPr>
              <w:t>Loi sur les cités et villes</w:t>
            </w:r>
            <w:r w:rsidRPr="006773D9">
              <w:rPr>
                <w:sz w:val="20"/>
                <w:lang w:val="fr-CA"/>
              </w:rPr>
              <w:t>, RLRQ c. C</w:t>
            </w:r>
            <w:r w:rsidRPr="006773D9">
              <w:rPr>
                <w:sz w:val="20"/>
                <w:lang w:val="fr-CA"/>
              </w:rPr>
              <w:noBreakHyphen/>
              <w:t>19, art. 604.6.</w:t>
            </w:r>
          </w:p>
        </w:tc>
      </w:tr>
      <w:tr w:rsidR="00BA05AA" w:rsidRPr="00311F52" w:rsidTr="00E95A6A">
        <w:tc>
          <w:tcPr>
            <w:tcW w:w="5000" w:type="pct"/>
            <w:gridSpan w:val="4"/>
          </w:tcPr>
          <w:p w:rsidR="00BA05AA" w:rsidRPr="006773D9" w:rsidRDefault="00BA05AA" w:rsidP="00BA05AA">
            <w:pPr>
              <w:jc w:val="both"/>
              <w:rPr>
                <w:sz w:val="20"/>
                <w:lang w:val="fr-CA"/>
              </w:rPr>
            </w:pPr>
          </w:p>
          <w:p w:rsidR="00BA05AA" w:rsidRPr="006773D9" w:rsidRDefault="00BA05AA" w:rsidP="00BA05AA">
            <w:pPr>
              <w:jc w:val="both"/>
              <w:rPr>
                <w:sz w:val="20"/>
                <w:lang w:val="fr-CA"/>
              </w:rPr>
            </w:pPr>
            <w:r w:rsidRPr="006773D9">
              <w:rPr>
                <w:sz w:val="20"/>
                <w:lang w:val="fr-CA"/>
              </w:rPr>
              <w:t xml:space="preserve">M. Benedetti a présenté une demande en jugement déclaratoire visant à forcer la Ville de Longueuil à assumer ses frais de défense conformément à l’art. 604.6 de la </w:t>
            </w:r>
            <w:r w:rsidRPr="006773D9">
              <w:rPr>
                <w:i/>
                <w:sz w:val="20"/>
                <w:lang w:val="fr-CA"/>
              </w:rPr>
              <w:t>Loi sur les cités et villes</w:t>
            </w:r>
            <w:r w:rsidRPr="006773D9">
              <w:rPr>
                <w:sz w:val="20"/>
                <w:lang w:val="fr-CA"/>
              </w:rPr>
              <w:t xml:space="preserve"> dans le contexte d’une plainte déposée contre lui par l’Ordre des ingénieurs du Québec. La Cour supérieure a rejeté la demande en jugement déclaratoire. En appel, M. Benedetti a demandé la permission de produire, à titre de preuve nouvelle, la décision rendue par le Conseil de discipline de l’Ordre rejetant les accusations portées par le Syndic. La Cour d’appel a accueilli l’appel ainsi que la requête pour permission de produire une preuve nouvelle. Elle a infirmé le jugement de première instance, et a accueilli la demande en jugement déclaratoire pour constater l’obligation de la Ville de Longueuil d’assumer les frais de représentation de M. Benedetti engagés en lien avec la plainte disciplinaire.</w:t>
            </w:r>
          </w:p>
        </w:tc>
      </w:tr>
      <w:tr w:rsidR="00BA05AA" w:rsidRPr="00311F52" w:rsidTr="00E95A6A">
        <w:tc>
          <w:tcPr>
            <w:tcW w:w="5000" w:type="pct"/>
            <w:gridSpan w:val="4"/>
          </w:tcPr>
          <w:p w:rsidR="00BA05AA" w:rsidRPr="006773D9" w:rsidRDefault="00BA05AA" w:rsidP="00BA05AA">
            <w:pPr>
              <w:jc w:val="both"/>
              <w:rPr>
                <w:sz w:val="20"/>
                <w:lang w:val="fr-CA"/>
              </w:rPr>
            </w:pPr>
          </w:p>
        </w:tc>
      </w:tr>
      <w:tr w:rsidR="00BA05AA" w:rsidRPr="00311F52" w:rsidTr="00E95A6A">
        <w:tc>
          <w:tcPr>
            <w:tcW w:w="2427" w:type="pct"/>
            <w:gridSpan w:val="2"/>
          </w:tcPr>
          <w:p w:rsidR="00BA05AA" w:rsidRPr="006773D9" w:rsidRDefault="00BA05AA" w:rsidP="00BA05AA">
            <w:pPr>
              <w:jc w:val="both"/>
              <w:rPr>
                <w:sz w:val="20"/>
                <w:lang w:val="fr-CA"/>
              </w:rPr>
            </w:pPr>
            <w:r w:rsidRPr="006773D9">
              <w:rPr>
                <w:sz w:val="20"/>
                <w:lang w:val="fr-CA"/>
              </w:rPr>
              <w:t>Le 4 septembre 2019</w:t>
            </w:r>
          </w:p>
          <w:p w:rsidR="00BA05AA" w:rsidRPr="006773D9" w:rsidRDefault="00BA05AA" w:rsidP="00BA05AA">
            <w:pPr>
              <w:jc w:val="both"/>
              <w:rPr>
                <w:sz w:val="20"/>
                <w:lang w:val="fr-CA"/>
              </w:rPr>
            </w:pPr>
            <w:r w:rsidRPr="006773D9">
              <w:rPr>
                <w:sz w:val="20"/>
                <w:lang w:val="fr-CA"/>
              </w:rPr>
              <w:t>Cour supérieure du Québec</w:t>
            </w:r>
          </w:p>
          <w:p w:rsidR="00BA05AA" w:rsidRPr="006773D9" w:rsidRDefault="00BA05AA" w:rsidP="00BA05AA">
            <w:pPr>
              <w:jc w:val="both"/>
              <w:rPr>
                <w:sz w:val="20"/>
              </w:rPr>
            </w:pPr>
            <w:r w:rsidRPr="006773D9">
              <w:rPr>
                <w:sz w:val="20"/>
              </w:rPr>
              <w:t>(Le juge Riordan)</w:t>
            </w:r>
          </w:p>
          <w:p w:rsidR="00BA05AA" w:rsidRPr="006773D9" w:rsidRDefault="00311F52" w:rsidP="00BA05AA">
            <w:pPr>
              <w:jc w:val="both"/>
              <w:rPr>
                <w:sz w:val="20"/>
              </w:rPr>
            </w:pPr>
            <w:hyperlink r:id="rId27" w:history="1">
              <w:r w:rsidR="00BA05AA" w:rsidRPr="006773D9">
                <w:rPr>
                  <w:rStyle w:val="Hyperlink"/>
                  <w:sz w:val="20"/>
                </w:rPr>
                <w:t>2019 QCCS 5996</w:t>
              </w:r>
            </w:hyperlink>
            <w:r w:rsidR="00BA05AA" w:rsidRPr="006773D9">
              <w:rPr>
                <w:sz w:val="20"/>
              </w:rPr>
              <w:t>; 505</w:t>
            </w:r>
            <w:r w:rsidR="00BA05AA" w:rsidRPr="006773D9">
              <w:rPr>
                <w:sz w:val="20"/>
              </w:rPr>
              <w:noBreakHyphen/>
              <w:t>17</w:t>
            </w:r>
            <w:r w:rsidR="00BA05AA" w:rsidRPr="006773D9">
              <w:rPr>
                <w:sz w:val="20"/>
              </w:rPr>
              <w:noBreakHyphen/>
              <w:t>010788</w:t>
            </w:r>
            <w:r w:rsidR="00BA05AA" w:rsidRPr="006773D9">
              <w:rPr>
                <w:sz w:val="20"/>
              </w:rPr>
              <w:noBreakHyphen/>
              <w:t>182</w:t>
            </w:r>
          </w:p>
          <w:p w:rsidR="00BA05AA" w:rsidRPr="006773D9" w:rsidRDefault="00BA05AA" w:rsidP="00BA05AA">
            <w:pPr>
              <w:jc w:val="both"/>
              <w:rPr>
                <w:sz w:val="20"/>
              </w:rPr>
            </w:pPr>
          </w:p>
        </w:tc>
        <w:tc>
          <w:tcPr>
            <w:tcW w:w="243" w:type="pct"/>
          </w:tcPr>
          <w:p w:rsidR="00BA05AA" w:rsidRPr="006773D9" w:rsidRDefault="00BA05AA" w:rsidP="00BA05AA">
            <w:pPr>
              <w:jc w:val="both"/>
              <w:rPr>
                <w:sz w:val="20"/>
              </w:rPr>
            </w:pPr>
          </w:p>
        </w:tc>
        <w:tc>
          <w:tcPr>
            <w:tcW w:w="2330" w:type="pct"/>
          </w:tcPr>
          <w:p w:rsidR="00BA05AA" w:rsidRPr="006773D9" w:rsidRDefault="00BA05AA" w:rsidP="00BA05AA">
            <w:pPr>
              <w:jc w:val="both"/>
              <w:rPr>
                <w:sz w:val="20"/>
                <w:lang w:val="fr-CA"/>
              </w:rPr>
            </w:pPr>
            <w:r w:rsidRPr="006773D9">
              <w:rPr>
                <w:sz w:val="20"/>
                <w:lang w:val="fr-CA"/>
              </w:rPr>
              <w:t>Demande en jugement déclaratoire rejetée</w:t>
            </w:r>
          </w:p>
        </w:tc>
      </w:tr>
      <w:tr w:rsidR="00BA05AA" w:rsidRPr="00311F52" w:rsidTr="00E95A6A">
        <w:tc>
          <w:tcPr>
            <w:tcW w:w="2427" w:type="pct"/>
            <w:gridSpan w:val="2"/>
          </w:tcPr>
          <w:p w:rsidR="00BA05AA" w:rsidRPr="006773D9" w:rsidRDefault="00BA05AA" w:rsidP="00BA05AA">
            <w:pPr>
              <w:jc w:val="both"/>
              <w:rPr>
                <w:sz w:val="20"/>
                <w:lang w:val="fr-CA"/>
              </w:rPr>
            </w:pPr>
            <w:r w:rsidRPr="006773D9">
              <w:rPr>
                <w:sz w:val="20"/>
                <w:lang w:val="fr-CA"/>
              </w:rPr>
              <w:t>Le 30 avril 2021</w:t>
            </w:r>
          </w:p>
          <w:p w:rsidR="00BA05AA" w:rsidRPr="006773D9" w:rsidRDefault="00BA05AA" w:rsidP="00BA05AA">
            <w:pPr>
              <w:jc w:val="both"/>
              <w:rPr>
                <w:sz w:val="20"/>
                <w:lang w:val="fr-CA"/>
              </w:rPr>
            </w:pPr>
            <w:r w:rsidRPr="006773D9">
              <w:rPr>
                <w:sz w:val="20"/>
                <w:lang w:val="fr-CA"/>
              </w:rPr>
              <w:t>Cour d’appel du Québec (Montréal)</w:t>
            </w:r>
          </w:p>
          <w:p w:rsidR="00BA05AA" w:rsidRPr="006773D9" w:rsidRDefault="00BA05AA" w:rsidP="00BA05AA">
            <w:pPr>
              <w:jc w:val="both"/>
              <w:rPr>
                <w:sz w:val="20"/>
                <w:lang w:val="fr-CA"/>
              </w:rPr>
            </w:pPr>
            <w:r w:rsidRPr="006773D9">
              <w:rPr>
                <w:sz w:val="20"/>
                <w:lang w:val="fr-CA"/>
              </w:rPr>
              <w:t>(Les juges Hogue, Cotnam et Cournoyer)</w:t>
            </w:r>
          </w:p>
          <w:p w:rsidR="00BA05AA" w:rsidRPr="006773D9" w:rsidRDefault="00311F52" w:rsidP="00BA05AA">
            <w:pPr>
              <w:jc w:val="both"/>
              <w:rPr>
                <w:sz w:val="20"/>
              </w:rPr>
            </w:pPr>
            <w:hyperlink r:id="rId28" w:history="1">
              <w:r w:rsidR="00BA05AA" w:rsidRPr="006773D9">
                <w:rPr>
                  <w:rStyle w:val="Hyperlink"/>
                  <w:sz w:val="20"/>
                </w:rPr>
                <w:t>2021 QCCA 846</w:t>
              </w:r>
            </w:hyperlink>
            <w:r w:rsidR="00BA05AA" w:rsidRPr="006773D9">
              <w:rPr>
                <w:sz w:val="20"/>
              </w:rPr>
              <w:t>; 500</w:t>
            </w:r>
            <w:r w:rsidR="00BA05AA" w:rsidRPr="006773D9">
              <w:rPr>
                <w:sz w:val="20"/>
              </w:rPr>
              <w:noBreakHyphen/>
              <w:t>09</w:t>
            </w:r>
            <w:r w:rsidR="00BA05AA" w:rsidRPr="006773D9">
              <w:rPr>
                <w:sz w:val="20"/>
              </w:rPr>
              <w:noBreakHyphen/>
              <w:t>028612</w:t>
            </w:r>
            <w:r w:rsidR="00BA05AA" w:rsidRPr="006773D9">
              <w:rPr>
                <w:sz w:val="20"/>
              </w:rPr>
              <w:noBreakHyphen/>
              <w:t>190</w:t>
            </w:r>
          </w:p>
          <w:p w:rsidR="00BA05AA" w:rsidRPr="006773D9" w:rsidRDefault="00BA05AA" w:rsidP="00BA05AA">
            <w:pPr>
              <w:jc w:val="both"/>
              <w:rPr>
                <w:sz w:val="20"/>
              </w:rPr>
            </w:pPr>
          </w:p>
        </w:tc>
        <w:tc>
          <w:tcPr>
            <w:tcW w:w="243" w:type="pct"/>
          </w:tcPr>
          <w:p w:rsidR="00BA05AA" w:rsidRPr="006773D9" w:rsidRDefault="00BA05AA" w:rsidP="00BA05AA">
            <w:pPr>
              <w:jc w:val="both"/>
              <w:rPr>
                <w:sz w:val="20"/>
              </w:rPr>
            </w:pPr>
          </w:p>
        </w:tc>
        <w:tc>
          <w:tcPr>
            <w:tcW w:w="2330" w:type="pct"/>
          </w:tcPr>
          <w:p w:rsidR="00BA05AA" w:rsidRPr="006773D9" w:rsidRDefault="00BA05AA" w:rsidP="00BA05AA">
            <w:pPr>
              <w:jc w:val="both"/>
              <w:rPr>
                <w:sz w:val="20"/>
                <w:lang w:val="fr-CA"/>
              </w:rPr>
            </w:pPr>
            <w:r w:rsidRPr="006773D9">
              <w:rPr>
                <w:sz w:val="20"/>
                <w:lang w:val="fr-CA"/>
              </w:rPr>
              <w:t>Appel accueilli; jugement de première instance infirmé; demande en jugement déclaratoire accueillie</w:t>
            </w:r>
          </w:p>
        </w:tc>
      </w:tr>
      <w:tr w:rsidR="00BA05AA" w:rsidRPr="006773D9" w:rsidTr="00E95A6A">
        <w:tc>
          <w:tcPr>
            <w:tcW w:w="2427" w:type="pct"/>
            <w:gridSpan w:val="2"/>
          </w:tcPr>
          <w:p w:rsidR="00BA05AA" w:rsidRPr="006773D9" w:rsidRDefault="00BA05AA" w:rsidP="00BA05AA">
            <w:pPr>
              <w:jc w:val="both"/>
              <w:rPr>
                <w:sz w:val="20"/>
                <w:lang w:val="fr-CA"/>
              </w:rPr>
            </w:pPr>
            <w:r w:rsidRPr="006773D9">
              <w:rPr>
                <w:sz w:val="20"/>
                <w:lang w:val="fr-CA"/>
              </w:rPr>
              <w:t>Le 29 juin 2021</w:t>
            </w:r>
          </w:p>
          <w:p w:rsidR="00BA05AA" w:rsidRPr="006773D9" w:rsidRDefault="00BA05AA" w:rsidP="00BA05AA">
            <w:pPr>
              <w:jc w:val="both"/>
              <w:rPr>
                <w:sz w:val="20"/>
                <w:lang w:val="fr-CA"/>
              </w:rPr>
            </w:pPr>
            <w:r w:rsidRPr="006773D9">
              <w:rPr>
                <w:sz w:val="20"/>
                <w:lang w:val="fr-CA"/>
              </w:rPr>
              <w:t>Cour suprême du Canada</w:t>
            </w:r>
          </w:p>
        </w:tc>
        <w:tc>
          <w:tcPr>
            <w:tcW w:w="243" w:type="pct"/>
          </w:tcPr>
          <w:p w:rsidR="00BA05AA" w:rsidRPr="006773D9" w:rsidRDefault="00BA05AA" w:rsidP="00BA05AA">
            <w:pPr>
              <w:jc w:val="both"/>
              <w:rPr>
                <w:sz w:val="20"/>
                <w:lang w:val="fr-CA"/>
              </w:rPr>
            </w:pPr>
          </w:p>
        </w:tc>
        <w:tc>
          <w:tcPr>
            <w:tcW w:w="2330" w:type="pct"/>
          </w:tcPr>
          <w:p w:rsidR="00BA05AA" w:rsidRPr="006773D9" w:rsidRDefault="00BA05AA" w:rsidP="00BA05AA">
            <w:pPr>
              <w:jc w:val="both"/>
              <w:rPr>
                <w:sz w:val="20"/>
              </w:rPr>
            </w:pPr>
            <w:r w:rsidRPr="006773D9">
              <w:rPr>
                <w:sz w:val="20"/>
              </w:rPr>
              <w:t>Demande d’autorisation d’appel déposée</w:t>
            </w:r>
          </w:p>
          <w:p w:rsidR="00BA05AA" w:rsidRPr="006773D9" w:rsidRDefault="00BA05AA" w:rsidP="00BA05AA">
            <w:pPr>
              <w:jc w:val="both"/>
              <w:rPr>
                <w:sz w:val="20"/>
              </w:rPr>
            </w:pPr>
          </w:p>
        </w:tc>
      </w:tr>
    </w:tbl>
    <w:p w:rsidR="00BA05AA" w:rsidRPr="006773D9" w:rsidRDefault="00BA05AA" w:rsidP="00BA05AA">
      <w:pPr>
        <w:jc w:val="both"/>
        <w:rPr>
          <w:sz w:val="20"/>
        </w:rPr>
      </w:pPr>
    </w:p>
    <w:p w:rsidR="004E723C" w:rsidRPr="006773D9" w:rsidRDefault="00311F52" w:rsidP="00BA05AA">
      <w:pPr>
        <w:widowControl w:val="0"/>
        <w:tabs>
          <w:tab w:val="left" w:pos="3840"/>
        </w:tabs>
        <w:jc w:val="both"/>
        <w:rPr>
          <w:sz w:val="20"/>
          <w:lang w:val="fr-CA"/>
        </w:rPr>
      </w:pPr>
      <w:r>
        <w:rPr>
          <w:sz w:val="20"/>
        </w:rPr>
        <w:pict>
          <v:rect id="_x0000_i1036" style="width:2in;height:1pt" o:hrpct="0" o:hralign="center" o:hrstd="t" o:hrnoshade="t" o:hr="t" fillcolor="black [3213]" stroked="f"/>
        </w:pict>
      </w:r>
    </w:p>
    <w:p w:rsidR="004E723C" w:rsidRPr="006773D9" w:rsidRDefault="004E723C" w:rsidP="00BA05AA">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A05AA" w:rsidRPr="006773D9" w:rsidTr="00E95A6A">
        <w:tc>
          <w:tcPr>
            <w:tcW w:w="543" w:type="pct"/>
          </w:tcPr>
          <w:p w:rsidR="00BA05AA" w:rsidRPr="006773D9" w:rsidRDefault="00BA05AA" w:rsidP="00BA05AA">
            <w:pPr>
              <w:jc w:val="both"/>
              <w:rPr>
                <w:sz w:val="20"/>
              </w:rPr>
            </w:pPr>
            <w:r w:rsidRPr="006773D9">
              <w:rPr>
                <w:rStyle w:val="SCCFileNumberChar"/>
                <w:sz w:val="20"/>
                <w:szCs w:val="20"/>
              </w:rPr>
              <w:t>39805</w:t>
            </w:r>
          </w:p>
        </w:tc>
        <w:tc>
          <w:tcPr>
            <w:tcW w:w="4457" w:type="pct"/>
            <w:gridSpan w:val="3"/>
          </w:tcPr>
          <w:p w:rsidR="00BA05AA" w:rsidRPr="006773D9" w:rsidRDefault="00BA05AA" w:rsidP="00BA05AA">
            <w:pPr>
              <w:pStyle w:val="SCCLsocParty"/>
              <w:jc w:val="both"/>
              <w:rPr>
                <w:b/>
                <w:sz w:val="20"/>
                <w:szCs w:val="20"/>
                <w:lang w:val="en-US"/>
              </w:rPr>
            </w:pPr>
            <w:r w:rsidRPr="006773D9">
              <w:rPr>
                <w:b/>
                <w:sz w:val="20"/>
                <w:szCs w:val="20"/>
                <w:lang w:val="en-US"/>
              </w:rPr>
              <w:t>P.C. v. Ontario (Attorney General)</w:t>
            </w:r>
          </w:p>
          <w:p w:rsidR="00BA05AA" w:rsidRPr="006773D9" w:rsidRDefault="00BA05AA" w:rsidP="00BA05AA">
            <w:pPr>
              <w:jc w:val="both"/>
              <w:rPr>
                <w:sz w:val="20"/>
              </w:rPr>
            </w:pPr>
            <w:r w:rsidRPr="006773D9">
              <w:rPr>
                <w:sz w:val="20"/>
              </w:rPr>
              <w:t>(Ont.) (Civil) (By Leave)</w:t>
            </w:r>
          </w:p>
        </w:tc>
      </w:tr>
      <w:tr w:rsidR="00BA05AA" w:rsidRPr="006773D9" w:rsidTr="00E95A6A">
        <w:tc>
          <w:tcPr>
            <w:tcW w:w="5000" w:type="pct"/>
            <w:gridSpan w:val="4"/>
          </w:tcPr>
          <w:p w:rsidR="00BA05AA" w:rsidRPr="006773D9" w:rsidRDefault="00BA05AA" w:rsidP="00BA05AA">
            <w:pPr>
              <w:jc w:val="both"/>
              <w:rPr>
                <w:sz w:val="20"/>
              </w:rPr>
            </w:pPr>
            <w:r w:rsidRPr="006773D9">
              <w:rPr>
                <w:sz w:val="20"/>
              </w:rPr>
              <w:t xml:space="preserve">Criminal law — Evidence — Hearsay — Private prosecution — Justice of the Peace declining to issue process on six of seven offences alleged in applicant’s information — Crown staying process issued for final offence — Whether Justice of the Peace committed a jurisdictional error by failing to hear and consider informant’s allegations and evidence of witnesses pursuant to s. 507.1 of the </w:t>
            </w:r>
            <w:r w:rsidRPr="006773D9">
              <w:rPr>
                <w:i/>
                <w:sz w:val="20"/>
              </w:rPr>
              <w:t>Criminal Code</w:t>
            </w:r>
            <w:r w:rsidRPr="006773D9">
              <w:rPr>
                <w:sz w:val="20"/>
              </w:rPr>
              <w:t xml:space="preserve"> — Whether Court of Appeal erred in concluding that the Justice of the Peace had the jurisdiction to hear and consider the allegations under s. 507.1 and that she considered the evidence to establish a </w:t>
            </w:r>
            <w:r w:rsidRPr="006773D9">
              <w:rPr>
                <w:i/>
                <w:sz w:val="20"/>
              </w:rPr>
              <w:t>prima facie</w:t>
            </w:r>
            <w:r w:rsidRPr="006773D9">
              <w:rPr>
                <w:sz w:val="20"/>
              </w:rPr>
              <w:t xml:space="preserve"> case on the required elements of offences alleged</w:t>
            </w:r>
          </w:p>
        </w:tc>
      </w:tr>
      <w:tr w:rsidR="00BA05AA" w:rsidRPr="006773D9" w:rsidTr="00E95A6A">
        <w:tc>
          <w:tcPr>
            <w:tcW w:w="5000" w:type="pct"/>
            <w:gridSpan w:val="4"/>
          </w:tcPr>
          <w:p w:rsidR="00BA05AA" w:rsidRPr="006773D9" w:rsidRDefault="00BA05AA" w:rsidP="00BA05AA">
            <w:pPr>
              <w:jc w:val="both"/>
              <w:rPr>
                <w:sz w:val="20"/>
              </w:rPr>
            </w:pPr>
          </w:p>
        </w:tc>
      </w:tr>
      <w:tr w:rsidR="00BA05AA" w:rsidRPr="006773D9" w:rsidTr="00E95A6A">
        <w:tc>
          <w:tcPr>
            <w:tcW w:w="5000" w:type="pct"/>
            <w:gridSpan w:val="4"/>
          </w:tcPr>
          <w:p w:rsidR="00BA05AA" w:rsidRPr="006773D9" w:rsidRDefault="00BA05AA" w:rsidP="00BA05AA">
            <w:pPr>
              <w:jc w:val="both"/>
              <w:rPr>
                <w:sz w:val="20"/>
              </w:rPr>
            </w:pPr>
            <w:r w:rsidRPr="006773D9">
              <w:rPr>
                <w:sz w:val="20"/>
              </w:rPr>
              <w:t>The applicant is a private informant who laid an information before a Justice of the Peace, alleging that the Ontario Provincial Police (“OPP”) and some of its members committed several indictable offences against his wife, who is a member of that police force. A month after the private information was laid, the applicant appeared before a Justice of the Peace who conducted a hearing (pre</w:t>
            </w:r>
            <w:r w:rsidRPr="006773D9">
              <w:rPr>
                <w:sz w:val="20"/>
              </w:rPr>
              <w:noBreakHyphen/>
              <w:t>enquete) to determine whether a process should be issued to compel the attendance of the OPP and the named officers to attend and answer to the charges.</w:t>
            </w:r>
          </w:p>
          <w:p w:rsidR="00BA05AA" w:rsidRPr="006773D9" w:rsidRDefault="00BA05AA" w:rsidP="00BA05AA">
            <w:pPr>
              <w:jc w:val="both"/>
              <w:rPr>
                <w:sz w:val="20"/>
              </w:rPr>
            </w:pPr>
          </w:p>
          <w:p w:rsidR="00BA05AA" w:rsidRPr="006773D9" w:rsidRDefault="00BA05AA" w:rsidP="00BA05AA">
            <w:pPr>
              <w:jc w:val="both"/>
              <w:rPr>
                <w:sz w:val="20"/>
              </w:rPr>
            </w:pPr>
            <w:r w:rsidRPr="006773D9">
              <w:rPr>
                <w:sz w:val="20"/>
              </w:rPr>
              <w:t xml:space="preserve">The Justice of the Peace declined to issue process on six of the alleged offences but ordered the issuance of process on one charge. The Crown counsel at that hearing stayed the final charge. The applicant applied to the Superior Court of Justice, seeking orders in lieu of mandamus and </w:t>
            </w:r>
            <w:r w:rsidRPr="006773D9">
              <w:rPr>
                <w:i/>
                <w:sz w:val="20"/>
              </w:rPr>
              <w:t>certiorari</w:t>
            </w:r>
            <w:r w:rsidRPr="006773D9">
              <w:rPr>
                <w:sz w:val="20"/>
              </w:rPr>
              <w:t xml:space="preserve"> to compel the issuance of process and to quash the stay entered by the Crown.  This application was dismissed.  The applicant’s appeal from that decision was then dismissed.</w:t>
            </w:r>
          </w:p>
          <w:p w:rsidR="00BA05AA" w:rsidRPr="006773D9" w:rsidRDefault="00BA05AA" w:rsidP="00BA05AA">
            <w:pPr>
              <w:jc w:val="both"/>
              <w:rPr>
                <w:sz w:val="20"/>
              </w:rPr>
            </w:pPr>
          </w:p>
        </w:tc>
      </w:tr>
      <w:tr w:rsidR="00BA05AA" w:rsidRPr="006773D9" w:rsidTr="00E95A6A">
        <w:tc>
          <w:tcPr>
            <w:tcW w:w="2427" w:type="pct"/>
            <w:gridSpan w:val="2"/>
          </w:tcPr>
          <w:p w:rsidR="00BA05AA" w:rsidRPr="006773D9" w:rsidRDefault="00BA05AA" w:rsidP="00BA05AA">
            <w:pPr>
              <w:jc w:val="both"/>
              <w:rPr>
                <w:sz w:val="20"/>
              </w:rPr>
            </w:pPr>
            <w:r w:rsidRPr="006773D9">
              <w:rPr>
                <w:sz w:val="20"/>
              </w:rPr>
              <w:t>April 9, 2019</w:t>
            </w:r>
          </w:p>
          <w:p w:rsidR="00BA05AA" w:rsidRPr="006773D9" w:rsidRDefault="00BA05AA" w:rsidP="00BA05AA">
            <w:pPr>
              <w:jc w:val="both"/>
              <w:rPr>
                <w:sz w:val="20"/>
              </w:rPr>
            </w:pPr>
            <w:r w:rsidRPr="006773D9">
              <w:rPr>
                <w:sz w:val="20"/>
              </w:rPr>
              <w:t>Ontario Court of Justice</w:t>
            </w:r>
          </w:p>
          <w:p w:rsidR="00BA05AA" w:rsidRPr="006773D9" w:rsidRDefault="00BA05AA" w:rsidP="00BA05AA">
            <w:pPr>
              <w:jc w:val="both"/>
              <w:rPr>
                <w:sz w:val="20"/>
              </w:rPr>
            </w:pPr>
            <w:r w:rsidRPr="006773D9">
              <w:rPr>
                <w:sz w:val="20"/>
              </w:rPr>
              <w:t>(Dombrowsky J.P.)</w:t>
            </w:r>
          </w:p>
          <w:p w:rsidR="00BA05AA" w:rsidRPr="006773D9" w:rsidRDefault="00BA05AA" w:rsidP="00BA05AA">
            <w:pPr>
              <w:jc w:val="both"/>
              <w:rPr>
                <w:sz w:val="20"/>
              </w:rPr>
            </w:pPr>
            <w:r w:rsidRPr="006773D9">
              <w:rPr>
                <w:sz w:val="20"/>
              </w:rPr>
              <w:t>Unreported</w:t>
            </w:r>
          </w:p>
          <w:p w:rsidR="00BA05AA" w:rsidRPr="006773D9" w:rsidRDefault="00BA05AA" w:rsidP="00BA05AA">
            <w:pPr>
              <w:jc w:val="both"/>
              <w:rPr>
                <w:sz w:val="20"/>
              </w:rPr>
            </w:pPr>
          </w:p>
        </w:tc>
        <w:tc>
          <w:tcPr>
            <w:tcW w:w="243" w:type="pct"/>
          </w:tcPr>
          <w:p w:rsidR="00BA05AA" w:rsidRPr="006773D9" w:rsidRDefault="00BA05AA" w:rsidP="00BA05AA">
            <w:pPr>
              <w:jc w:val="both"/>
              <w:rPr>
                <w:sz w:val="20"/>
              </w:rPr>
            </w:pPr>
          </w:p>
        </w:tc>
        <w:tc>
          <w:tcPr>
            <w:tcW w:w="2330" w:type="pct"/>
          </w:tcPr>
          <w:p w:rsidR="00BA05AA" w:rsidRPr="006773D9" w:rsidRDefault="00BA05AA" w:rsidP="00BA05AA">
            <w:pPr>
              <w:jc w:val="both"/>
              <w:rPr>
                <w:sz w:val="20"/>
              </w:rPr>
            </w:pPr>
            <w:r w:rsidRPr="006773D9">
              <w:rPr>
                <w:sz w:val="20"/>
              </w:rPr>
              <w:t>Court declining to issue process on six of seven alleged by applicant in private prosecution proceedings.</w:t>
            </w:r>
          </w:p>
        </w:tc>
      </w:tr>
      <w:tr w:rsidR="00BA05AA" w:rsidRPr="006773D9" w:rsidTr="00E95A6A">
        <w:tc>
          <w:tcPr>
            <w:tcW w:w="2427" w:type="pct"/>
            <w:gridSpan w:val="2"/>
          </w:tcPr>
          <w:p w:rsidR="00BA05AA" w:rsidRPr="006773D9" w:rsidRDefault="00BA05AA" w:rsidP="00BA05AA">
            <w:pPr>
              <w:jc w:val="both"/>
              <w:rPr>
                <w:sz w:val="20"/>
              </w:rPr>
            </w:pPr>
            <w:r w:rsidRPr="006773D9">
              <w:rPr>
                <w:sz w:val="20"/>
              </w:rPr>
              <w:t>February 4, 2020</w:t>
            </w:r>
          </w:p>
          <w:p w:rsidR="00BA05AA" w:rsidRPr="006773D9" w:rsidRDefault="00BA05AA" w:rsidP="00BA05AA">
            <w:pPr>
              <w:jc w:val="both"/>
              <w:rPr>
                <w:sz w:val="20"/>
              </w:rPr>
            </w:pPr>
            <w:r w:rsidRPr="006773D9">
              <w:rPr>
                <w:sz w:val="20"/>
              </w:rPr>
              <w:t>Ontario Superior Court of Justice</w:t>
            </w:r>
          </w:p>
          <w:p w:rsidR="00BA05AA" w:rsidRPr="006773D9" w:rsidRDefault="00BA05AA" w:rsidP="00BA05AA">
            <w:pPr>
              <w:jc w:val="both"/>
              <w:rPr>
                <w:sz w:val="20"/>
              </w:rPr>
            </w:pPr>
            <w:r w:rsidRPr="006773D9">
              <w:rPr>
                <w:sz w:val="20"/>
              </w:rPr>
              <w:t>(MacLeod</w:t>
            </w:r>
            <w:r w:rsidRPr="006773D9">
              <w:rPr>
                <w:sz w:val="20"/>
              </w:rPr>
              <w:noBreakHyphen/>
              <w:t>B</w:t>
            </w:r>
            <w:r w:rsidRPr="006773D9">
              <w:rPr>
                <w:sz w:val="20"/>
                <w:lang w:val="fr-CA"/>
              </w:rPr>
              <w:t>éliveau J.</w:t>
            </w:r>
            <w:r w:rsidRPr="006773D9">
              <w:rPr>
                <w:sz w:val="20"/>
              </w:rPr>
              <w:t>)</w:t>
            </w:r>
          </w:p>
          <w:p w:rsidR="00BA05AA" w:rsidRPr="006773D9" w:rsidRDefault="00311F52" w:rsidP="00BA05AA">
            <w:pPr>
              <w:jc w:val="both"/>
              <w:rPr>
                <w:sz w:val="20"/>
              </w:rPr>
            </w:pPr>
            <w:hyperlink r:id="rId29" w:history="1">
              <w:r w:rsidR="00BA05AA" w:rsidRPr="006773D9">
                <w:rPr>
                  <w:rStyle w:val="Hyperlink"/>
                  <w:sz w:val="20"/>
                </w:rPr>
                <w:t>2020 ONSC 758</w:t>
              </w:r>
            </w:hyperlink>
          </w:p>
          <w:p w:rsidR="00BA05AA" w:rsidRPr="006773D9" w:rsidRDefault="00BA05AA" w:rsidP="00BA05AA">
            <w:pPr>
              <w:jc w:val="both"/>
              <w:rPr>
                <w:sz w:val="20"/>
              </w:rPr>
            </w:pPr>
          </w:p>
        </w:tc>
        <w:tc>
          <w:tcPr>
            <w:tcW w:w="243" w:type="pct"/>
          </w:tcPr>
          <w:p w:rsidR="00BA05AA" w:rsidRPr="006773D9" w:rsidRDefault="00BA05AA" w:rsidP="00BA05AA">
            <w:pPr>
              <w:jc w:val="both"/>
              <w:rPr>
                <w:sz w:val="20"/>
              </w:rPr>
            </w:pPr>
          </w:p>
        </w:tc>
        <w:tc>
          <w:tcPr>
            <w:tcW w:w="2330" w:type="pct"/>
          </w:tcPr>
          <w:p w:rsidR="00BA05AA" w:rsidRPr="006773D9" w:rsidRDefault="00BA05AA" w:rsidP="00BA05AA">
            <w:pPr>
              <w:jc w:val="both"/>
              <w:rPr>
                <w:sz w:val="20"/>
              </w:rPr>
            </w:pPr>
            <w:r w:rsidRPr="006773D9">
              <w:rPr>
                <w:sz w:val="20"/>
              </w:rPr>
              <w:t xml:space="preserve">Applicant’s application for </w:t>
            </w:r>
            <w:r w:rsidRPr="006773D9">
              <w:rPr>
                <w:i/>
                <w:sz w:val="20"/>
              </w:rPr>
              <w:t>certiorari</w:t>
            </w:r>
            <w:r w:rsidRPr="006773D9">
              <w:rPr>
                <w:sz w:val="20"/>
              </w:rPr>
              <w:t xml:space="preserve"> and mandamus in aid dismissed</w:t>
            </w:r>
          </w:p>
          <w:p w:rsidR="00BA05AA" w:rsidRPr="006773D9" w:rsidRDefault="00BA05AA" w:rsidP="00BA05AA">
            <w:pPr>
              <w:jc w:val="both"/>
              <w:rPr>
                <w:sz w:val="20"/>
              </w:rPr>
            </w:pPr>
          </w:p>
          <w:p w:rsidR="00BA05AA" w:rsidRPr="006773D9" w:rsidRDefault="00BA05AA" w:rsidP="00BA05AA">
            <w:pPr>
              <w:jc w:val="both"/>
              <w:rPr>
                <w:sz w:val="20"/>
              </w:rPr>
            </w:pPr>
          </w:p>
        </w:tc>
      </w:tr>
      <w:tr w:rsidR="00BA05AA" w:rsidRPr="006773D9" w:rsidTr="00E95A6A">
        <w:tc>
          <w:tcPr>
            <w:tcW w:w="2427" w:type="pct"/>
            <w:gridSpan w:val="2"/>
          </w:tcPr>
          <w:p w:rsidR="00BA05AA" w:rsidRPr="006773D9" w:rsidRDefault="00BA05AA" w:rsidP="00BA05AA">
            <w:pPr>
              <w:jc w:val="both"/>
              <w:rPr>
                <w:sz w:val="20"/>
              </w:rPr>
            </w:pPr>
            <w:r w:rsidRPr="006773D9">
              <w:rPr>
                <w:sz w:val="20"/>
              </w:rPr>
              <w:t>October 19, 2020</w:t>
            </w:r>
          </w:p>
          <w:p w:rsidR="00BA05AA" w:rsidRPr="006773D9" w:rsidRDefault="00BA05AA" w:rsidP="00BA05AA">
            <w:pPr>
              <w:jc w:val="both"/>
              <w:rPr>
                <w:sz w:val="20"/>
              </w:rPr>
            </w:pPr>
            <w:r w:rsidRPr="006773D9">
              <w:rPr>
                <w:sz w:val="20"/>
              </w:rPr>
              <w:t>Court of Appeal for Ontario</w:t>
            </w:r>
          </w:p>
          <w:p w:rsidR="00BA05AA" w:rsidRPr="006773D9" w:rsidRDefault="00BA05AA" w:rsidP="00BA05AA">
            <w:pPr>
              <w:jc w:val="both"/>
              <w:rPr>
                <w:sz w:val="20"/>
              </w:rPr>
            </w:pPr>
            <w:r w:rsidRPr="006773D9">
              <w:rPr>
                <w:sz w:val="20"/>
              </w:rPr>
              <w:t>(Watt, Trotter and Zarnett JJ.A.)</w:t>
            </w:r>
          </w:p>
          <w:p w:rsidR="00BA05AA" w:rsidRPr="006773D9" w:rsidRDefault="00311F52" w:rsidP="00BA05AA">
            <w:pPr>
              <w:jc w:val="both"/>
              <w:rPr>
                <w:sz w:val="20"/>
              </w:rPr>
            </w:pPr>
            <w:hyperlink r:id="rId30" w:history="1">
              <w:r w:rsidR="00BA05AA" w:rsidRPr="006773D9">
                <w:rPr>
                  <w:rStyle w:val="Hyperlink"/>
                  <w:sz w:val="20"/>
                </w:rPr>
                <w:t>2020 ONCA 652</w:t>
              </w:r>
            </w:hyperlink>
          </w:p>
          <w:p w:rsidR="00BA05AA" w:rsidRPr="006773D9" w:rsidRDefault="00BA05AA" w:rsidP="00BA05AA">
            <w:pPr>
              <w:jc w:val="both"/>
              <w:rPr>
                <w:sz w:val="20"/>
              </w:rPr>
            </w:pPr>
          </w:p>
        </w:tc>
        <w:tc>
          <w:tcPr>
            <w:tcW w:w="243" w:type="pct"/>
          </w:tcPr>
          <w:p w:rsidR="00BA05AA" w:rsidRPr="006773D9" w:rsidRDefault="00BA05AA" w:rsidP="00BA05AA">
            <w:pPr>
              <w:jc w:val="both"/>
              <w:rPr>
                <w:sz w:val="20"/>
              </w:rPr>
            </w:pPr>
          </w:p>
        </w:tc>
        <w:tc>
          <w:tcPr>
            <w:tcW w:w="2330" w:type="pct"/>
          </w:tcPr>
          <w:p w:rsidR="00BA05AA" w:rsidRPr="006773D9" w:rsidRDefault="00BA05AA" w:rsidP="00BA05AA">
            <w:pPr>
              <w:jc w:val="both"/>
              <w:rPr>
                <w:sz w:val="20"/>
              </w:rPr>
            </w:pPr>
            <w:r w:rsidRPr="006773D9">
              <w:rPr>
                <w:sz w:val="20"/>
              </w:rPr>
              <w:t>Applicant’s appeal dismissed</w:t>
            </w:r>
          </w:p>
          <w:p w:rsidR="00BA05AA" w:rsidRPr="006773D9" w:rsidRDefault="00BA05AA" w:rsidP="00BA05AA">
            <w:pPr>
              <w:jc w:val="both"/>
              <w:rPr>
                <w:sz w:val="20"/>
              </w:rPr>
            </w:pPr>
          </w:p>
        </w:tc>
      </w:tr>
      <w:tr w:rsidR="00BA05AA" w:rsidRPr="006773D9" w:rsidTr="00E95A6A">
        <w:tc>
          <w:tcPr>
            <w:tcW w:w="2427" w:type="pct"/>
            <w:gridSpan w:val="2"/>
          </w:tcPr>
          <w:p w:rsidR="00BA05AA" w:rsidRPr="006773D9" w:rsidRDefault="00BA05AA" w:rsidP="00BA05AA">
            <w:pPr>
              <w:jc w:val="both"/>
              <w:rPr>
                <w:sz w:val="20"/>
              </w:rPr>
            </w:pPr>
            <w:r w:rsidRPr="006773D9">
              <w:rPr>
                <w:sz w:val="20"/>
              </w:rPr>
              <w:t>December 17, 2020</w:t>
            </w:r>
          </w:p>
          <w:p w:rsidR="00BA05AA" w:rsidRPr="006773D9" w:rsidRDefault="00BA05AA" w:rsidP="00BA05AA">
            <w:pPr>
              <w:jc w:val="both"/>
              <w:rPr>
                <w:sz w:val="20"/>
              </w:rPr>
            </w:pPr>
            <w:r w:rsidRPr="006773D9">
              <w:rPr>
                <w:sz w:val="20"/>
              </w:rPr>
              <w:t>Supreme Court of Canada</w:t>
            </w:r>
          </w:p>
        </w:tc>
        <w:tc>
          <w:tcPr>
            <w:tcW w:w="243" w:type="pct"/>
          </w:tcPr>
          <w:p w:rsidR="00BA05AA" w:rsidRPr="006773D9" w:rsidRDefault="00BA05AA" w:rsidP="00BA05AA">
            <w:pPr>
              <w:jc w:val="both"/>
              <w:rPr>
                <w:sz w:val="20"/>
              </w:rPr>
            </w:pPr>
          </w:p>
        </w:tc>
        <w:tc>
          <w:tcPr>
            <w:tcW w:w="2330" w:type="pct"/>
          </w:tcPr>
          <w:p w:rsidR="00BA05AA" w:rsidRPr="006773D9" w:rsidRDefault="00BA05AA" w:rsidP="00BA05AA">
            <w:pPr>
              <w:jc w:val="both"/>
              <w:rPr>
                <w:sz w:val="20"/>
              </w:rPr>
            </w:pPr>
            <w:r w:rsidRPr="006773D9">
              <w:rPr>
                <w:sz w:val="20"/>
              </w:rPr>
              <w:t>Application for leave to appeal filed</w:t>
            </w:r>
          </w:p>
          <w:p w:rsidR="00BA05AA" w:rsidRPr="006773D9" w:rsidRDefault="00BA05AA" w:rsidP="00BA05AA">
            <w:pPr>
              <w:jc w:val="both"/>
              <w:rPr>
                <w:sz w:val="20"/>
              </w:rPr>
            </w:pPr>
          </w:p>
        </w:tc>
      </w:tr>
    </w:tbl>
    <w:p w:rsidR="00BA05AA" w:rsidRPr="006773D9" w:rsidRDefault="00BA05AA" w:rsidP="00BA05AA">
      <w:pPr>
        <w:jc w:val="both"/>
        <w:rPr>
          <w:sz w:val="20"/>
        </w:rPr>
      </w:pPr>
    </w:p>
    <w:p w:rsidR="00BA05AA" w:rsidRPr="006773D9" w:rsidRDefault="00311F52" w:rsidP="00BA05AA">
      <w:pPr>
        <w:jc w:val="both"/>
        <w:rPr>
          <w:sz w:val="20"/>
        </w:rPr>
      </w:pPr>
      <w:r>
        <w:rPr>
          <w:sz w:val="20"/>
        </w:rPr>
        <w:pict>
          <v:rect id="_x0000_i1037" style="width:2in;height:1pt" o:hrpct="0" o:hralign="center" o:hrstd="t" o:hrnoshade="t" o:hr="t" fillcolor="black [3213]" stroked="f"/>
        </w:pict>
      </w:r>
    </w:p>
    <w:p w:rsidR="00BA05AA" w:rsidRPr="006773D9" w:rsidRDefault="00BA05AA" w:rsidP="00BA05A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A05AA" w:rsidRPr="006773D9" w:rsidTr="00E95A6A">
        <w:tc>
          <w:tcPr>
            <w:tcW w:w="543" w:type="pct"/>
          </w:tcPr>
          <w:p w:rsidR="00BA05AA" w:rsidRPr="006773D9" w:rsidRDefault="00BA05AA" w:rsidP="00BA05AA">
            <w:pPr>
              <w:jc w:val="both"/>
              <w:rPr>
                <w:sz w:val="20"/>
                <w:lang w:val="fr-CA"/>
              </w:rPr>
            </w:pPr>
            <w:r w:rsidRPr="006773D9">
              <w:rPr>
                <w:rStyle w:val="SCCFileNumberChar"/>
                <w:sz w:val="20"/>
                <w:szCs w:val="20"/>
                <w:lang w:val="fr-CA"/>
              </w:rPr>
              <w:t>39805</w:t>
            </w:r>
          </w:p>
        </w:tc>
        <w:tc>
          <w:tcPr>
            <w:tcW w:w="4457" w:type="pct"/>
            <w:gridSpan w:val="3"/>
          </w:tcPr>
          <w:p w:rsidR="00BA05AA" w:rsidRPr="006773D9" w:rsidRDefault="00BA05AA" w:rsidP="00BA05AA">
            <w:pPr>
              <w:pStyle w:val="SCCLsocParty"/>
              <w:jc w:val="both"/>
              <w:rPr>
                <w:b/>
                <w:sz w:val="20"/>
                <w:szCs w:val="20"/>
              </w:rPr>
            </w:pPr>
            <w:r w:rsidRPr="006773D9">
              <w:rPr>
                <w:b/>
                <w:sz w:val="20"/>
                <w:szCs w:val="20"/>
              </w:rPr>
              <w:t>P.C. c. Ontario (Procureur général)</w:t>
            </w:r>
          </w:p>
          <w:p w:rsidR="00BA05AA" w:rsidRPr="006773D9" w:rsidRDefault="00BA05AA" w:rsidP="00BA05AA">
            <w:pPr>
              <w:jc w:val="both"/>
              <w:rPr>
                <w:sz w:val="20"/>
                <w:lang w:val="fr-CA"/>
              </w:rPr>
            </w:pPr>
            <w:r w:rsidRPr="006773D9">
              <w:rPr>
                <w:sz w:val="20"/>
                <w:lang w:val="fr-CA"/>
              </w:rPr>
              <w:t>(Ont.) (Civile) (Sur autorisation)</w:t>
            </w:r>
          </w:p>
        </w:tc>
      </w:tr>
      <w:tr w:rsidR="00BA05AA" w:rsidRPr="00311F52" w:rsidTr="00E95A6A">
        <w:tc>
          <w:tcPr>
            <w:tcW w:w="5000" w:type="pct"/>
            <w:gridSpan w:val="4"/>
          </w:tcPr>
          <w:p w:rsidR="00BA05AA" w:rsidRPr="006773D9" w:rsidRDefault="00BA05AA" w:rsidP="00BA05AA">
            <w:pPr>
              <w:jc w:val="both"/>
              <w:rPr>
                <w:sz w:val="20"/>
                <w:lang w:val="fr-CA"/>
              </w:rPr>
            </w:pPr>
            <w:r w:rsidRPr="006773D9">
              <w:rPr>
                <w:sz w:val="20"/>
                <w:lang w:val="fr-CA"/>
              </w:rPr>
              <w:t>Droit criminel — Preuve — Ouï</w:t>
            </w:r>
            <w:r w:rsidRPr="006773D9">
              <w:rPr>
                <w:sz w:val="20"/>
                <w:lang w:val="fr-CA"/>
              </w:rPr>
              <w:noBreakHyphen/>
              <w:t>dire — Poursuite privée — Refus de la juge de paix de décerner un mandat relativement à six des sept infractions reprochées dans la dénonciation du demandeur — Suspension des procédures par le ministère public à l’égard de la dernière infraction pour laquelle un mandat avait été décerné — La juge de la paix a</w:t>
            </w:r>
            <w:r w:rsidRPr="006773D9">
              <w:rPr>
                <w:sz w:val="20"/>
                <w:lang w:val="fr-CA"/>
              </w:rPr>
              <w:noBreakHyphen/>
              <w:t>t</w:t>
            </w:r>
            <w:r w:rsidRPr="006773D9">
              <w:rPr>
                <w:sz w:val="20"/>
                <w:lang w:val="fr-CA"/>
              </w:rPr>
              <w:noBreakHyphen/>
              <w:t xml:space="preserve">elle commis une erreur de compétence en omettant d’entendre et d’examiner les allégations d’un dénonciateur et la preuve des témoins en vertu de l’art. 507.1 du </w:t>
            </w:r>
            <w:r w:rsidRPr="006773D9">
              <w:rPr>
                <w:i/>
                <w:sz w:val="20"/>
                <w:lang w:val="fr-CA"/>
              </w:rPr>
              <w:t>Code criminel </w:t>
            </w:r>
            <w:r w:rsidRPr="006773D9">
              <w:rPr>
                <w:sz w:val="20"/>
                <w:lang w:val="fr-CA"/>
              </w:rPr>
              <w:t>? — La Cour d’appel a</w:t>
            </w:r>
            <w:r w:rsidRPr="006773D9">
              <w:rPr>
                <w:sz w:val="20"/>
                <w:lang w:val="fr-CA"/>
              </w:rPr>
              <w:noBreakHyphen/>
              <w:t>t</w:t>
            </w:r>
            <w:r w:rsidRPr="006773D9">
              <w:rPr>
                <w:sz w:val="20"/>
                <w:lang w:val="fr-CA"/>
              </w:rPr>
              <w:noBreakHyphen/>
              <w:t>elle commis une erreur en concluant que la juge de paix avait compétence pour entendre et examiner les allégations en vertu de l’art. 507.1, et qu’elle avait examiné la preuve afin de démontrer que celle</w:t>
            </w:r>
            <w:r w:rsidRPr="006773D9">
              <w:rPr>
                <w:sz w:val="20"/>
                <w:lang w:val="fr-CA"/>
              </w:rPr>
              <w:noBreakHyphen/>
              <w:t>ci était suffisante à première vue en fonction des éléments constitutifs des infractions reprochées ?</w:t>
            </w:r>
          </w:p>
        </w:tc>
      </w:tr>
      <w:tr w:rsidR="00BA05AA" w:rsidRPr="00311F52" w:rsidTr="00E95A6A">
        <w:tc>
          <w:tcPr>
            <w:tcW w:w="5000" w:type="pct"/>
            <w:gridSpan w:val="4"/>
          </w:tcPr>
          <w:p w:rsidR="00BA05AA" w:rsidRPr="006773D9" w:rsidRDefault="00BA05AA" w:rsidP="00BA05AA">
            <w:pPr>
              <w:jc w:val="both"/>
              <w:rPr>
                <w:sz w:val="20"/>
                <w:lang w:val="fr-CA"/>
              </w:rPr>
            </w:pPr>
          </w:p>
        </w:tc>
      </w:tr>
      <w:tr w:rsidR="00BA05AA" w:rsidRPr="00311F52" w:rsidTr="00E95A6A">
        <w:tc>
          <w:tcPr>
            <w:tcW w:w="5000" w:type="pct"/>
            <w:gridSpan w:val="4"/>
          </w:tcPr>
          <w:p w:rsidR="00BA05AA" w:rsidRPr="006773D9" w:rsidRDefault="00BA05AA" w:rsidP="00BA05AA">
            <w:pPr>
              <w:jc w:val="both"/>
              <w:rPr>
                <w:sz w:val="20"/>
                <w:lang w:val="fr-CA"/>
              </w:rPr>
            </w:pPr>
            <w:r w:rsidRPr="006773D9">
              <w:rPr>
                <w:sz w:val="20"/>
                <w:lang w:val="fr-CA"/>
              </w:rPr>
              <w:t>Le demandeur est un dénonciateur privé qui a déposé une dénonciation devant une juge de paix, faisant valoir que la Police provinciale de l’Ontario (« PPO ») et quelques</w:t>
            </w:r>
            <w:r w:rsidRPr="006773D9">
              <w:rPr>
                <w:sz w:val="20"/>
                <w:lang w:val="fr-CA"/>
              </w:rPr>
              <w:noBreakHyphen/>
              <w:t>uns de ses membres ont commis de nombreux actes criminels contre son épouse, qui est membre du corps policier. Un mois après le dépôt de la dénonciation privée, le demandeur a comparu devant un juge de paix qui a tenu une audience (pré</w:t>
            </w:r>
            <w:r w:rsidRPr="006773D9">
              <w:rPr>
                <w:sz w:val="20"/>
                <w:lang w:val="fr-CA"/>
              </w:rPr>
              <w:noBreakHyphen/>
              <w:t>enquête) afin de déterminer si un mandat devait être décerné afin de contraindre la PPO et les agents nommés à comparaître et répondre aux accusations.</w:t>
            </w:r>
          </w:p>
          <w:p w:rsidR="00BA05AA" w:rsidRPr="006773D9" w:rsidRDefault="00BA05AA" w:rsidP="00BA05AA">
            <w:pPr>
              <w:jc w:val="both"/>
              <w:rPr>
                <w:sz w:val="20"/>
                <w:lang w:val="fr-CA"/>
              </w:rPr>
            </w:pPr>
          </w:p>
          <w:p w:rsidR="00BA05AA" w:rsidRPr="006773D9" w:rsidRDefault="00BA05AA" w:rsidP="00BA05AA">
            <w:pPr>
              <w:jc w:val="both"/>
              <w:rPr>
                <w:sz w:val="20"/>
                <w:lang w:val="fr-CA"/>
              </w:rPr>
            </w:pPr>
            <w:r w:rsidRPr="006773D9">
              <w:rPr>
                <w:sz w:val="20"/>
                <w:lang w:val="fr-CA"/>
              </w:rPr>
              <w:t xml:space="preserve">La juge de paix a refusé de décerner un mandat relativement à six des infractions reprochées, mais a ordonné qu’un mandat soit décerné dans le cas d’une des accusations. Lors de l’audience, le ministère public a suspendu les procédures relatives à la dernière accusation. Le demandeur a présenté à la Cour supérieure de justice une demande en vue d’obtenir des ordonnances tenant lieu de </w:t>
            </w:r>
            <w:r w:rsidRPr="006773D9">
              <w:rPr>
                <w:i/>
                <w:sz w:val="20"/>
                <w:lang w:val="fr-CA"/>
              </w:rPr>
              <w:t>mandamus</w:t>
            </w:r>
            <w:r w:rsidRPr="006773D9">
              <w:rPr>
                <w:sz w:val="20"/>
                <w:lang w:val="fr-CA"/>
              </w:rPr>
              <w:t xml:space="preserve"> et de </w:t>
            </w:r>
            <w:r w:rsidRPr="006773D9">
              <w:rPr>
                <w:i/>
                <w:sz w:val="20"/>
                <w:lang w:val="fr-CA"/>
              </w:rPr>
              <w:t>certiorari</w:t>
            </w:r>
            <w:r w:rsidRPr="006773D9">
              <w:rPr>
                <w:sz w:val="20"/>
                <w:lang w:val="fr-CA"/>
              </w:rPr>
              <w:t xml:space="preserve"> pour contraindre cette dernière à décerner un mandat et à annuler la suspension des procédures prononcée par le ministère public. Cette demande a été rejetée.  L’appel formé par le demandeur contre cette décision a été rejeté par la suite.</w:t>
            </w:r>
          </w:p>
          <w:p w:rsidR="00BA05AA" w:rsidRPr="006773D9" w:rsidRDefault="00BA05AA" w:rsidP="00BA05AA">
            <w:pPr>
              <w:jc w:val="both"/>
              <w:rPr>
                <w:sz w:val="20"/>
                <w:lang w:val="fr-CA"/>
              </w:rPr>
            </w:pPr>
          </w:p>
        </w:tc>
      </w:tr>
      <w:tr w:rsidR="00BA05AA" w:rsidRPr="00311F52" w:rsidTr="00E95A6A">
        <w:tc>
          <w:tcPr>
            <w:tcW w:w="2427" w:type="pct"/>
            <w:gridSpan w:val="2"/>
          </w:tcPr>
          <w:p w:rsidR="00BA05AA" w:rsidRPr="006773D9" w:rsidRDefault="00BA05AA" w:rsidP="00BA05AA">
            <w:pPr>
              <w:jc w:val="both"/>
              <w:rPr>
                <w:sz w:val="20"/>
                <w:lang w:val="fr-CA"/>
              </w:rPr>
            </w:pPr>
            <w:r w:rsidRPr="006773D9">
              <w:rPr>
                <w:sz w:val="20"/>
                <w:lang w:val="fr-CA"/>
              </w:rPr>
              <w:t>9 avril 2019</w:t>
            </w:r>
          </w:p>
          <w:p w:rsidR="00BA05AA" w:rsidRPr="006773D9" w:rsidRDefault="00BA05AA" w:rsidP="00BA05AA">
            <w:pPr>
              <w:jc w:val="both"/>
              <w:rPr>
                <w:sz w:val="20"/>
                <w:lang w:val="fr-CA"/>
              </w:rPr>
            </w:pPr>
            <w:r w:rsidRPr="006773D9">
              <w:rPr>
                <w:sz w:val="20"/>
                <w:lang w:val="fr-CA"/>
              </w:rPr>
              <w:t>Cour de justice de l’Ontario</w:t>
            </w:r>
          </w:p>
          <w:p w:rsidR="00BA05AA" w:rsidRPr="006773D9" w:rsidRDefault="00BA05AA" w:rsidP="00BA05AA">
            <w:pPr>
              <w:jc w:val="both"/>
              <w:rPr>
                <w:sz w:val="20"/>
                <w:lang w:val="fr-CA"/>
              </w:rPr>
            </w:pPr>
            <w:r w:rsidRPr="006773D9">
              <w:rPr>
                <w:sz w:val="20"/>
                <w:lang w:val="fr-CA"/>
              </w:rPr>
              <w:t>(juge de paix Dombrowsky)</w:t>
            </w:r>
          </w:p>
          <w:p w:rsidR="00BA05AA" w:rsidRPr="006773D9" w:rsidRDefault="00BA05AA" w:rsidP="00BA05AA">
            <w:pPr>
              <w:jc w:val="both"/>
              <w:rPr>
                <w:sz w:val="20"/>
                <w:lang w:val="fr-CA"/>
              </w:rPr>
            </w:pPr>
            <w:r w:rsidRPr="006773D9">
              <w:rPr>
                <w:sz w:val="20"/>
                <w:lang w:val="fr-CA"/>
              </w:rPr>
              <w:t>Non publié</w:t>
            </w:r>
          </w:p>
          <w:p w:rsidR="00BA05AA" w:rsidRPr="006773D9" w:rsidRDefault="00BA05AA" w:rsidP="00BA05AA">
            <w:pPr>
              <w:jc w:val="both"/>
              <w:rPr>
                <w:sz w:val="20"/>
                <w:lang w:val="fr-CA"/>
              </w:rPr>
            </w:pPr>
          </w:p>
        </w:tc>
        <w:tc>
          <w:tcPr>
            <w:tcW w:w="243" w:type="pct"/>
          </w:tcPr>
          <w:p w:rsidR="00BA05AA" w:rsidRPr="006773D9" w:rsidRDefault="00BA05AA" w:rsidP="00BA05AA">
            <w:pPr>
              <w:jc w:val="both"/>
              <w:rPr>
                <w:sz w:val="20"/>
                <w:lang w:val="fr-CA"/>
              </w:rPr>
            </w:pPr>
          </w:p>
        </w:tc>
        <w:tc>
          <w:tcPr>
            <w:tcW w:w="2330" w:type="pct"/>
          </w:tcPr>
          <w:p w:rsidR="00BA05AA" w:rsidRPr="006773D9" w:rsidRDefault="00BA05AA" w:rsidP="00BA05AA">
            <w:pPr>
              <w:jc w:val="both"/>
              <w:rPr>
                <w:sz w:val="20"/>
                <w:lang w:val="fr-CA"/>
              </w:rPr>
            </w:pPr>
            <w:r w:rsidRPr="006773D9">
              <w:rPr>
                <w:sz w:val="20"/>
                <w:lang w:val="fr-CA"/>
              </w:rPr>
              <w:t>La Cour refuse de délivrer un mandat relativement à six des sept infractions reprochées par le demandeur dans le cadre de procédures intentées lors d’une poursuite privée.</w:t>
            </w:r>
          </w:p>
          <w:p w:rsidR="00BA05AA" w:rsidRPr="006773D9" w:rsidRDefault="00BA05AA" w:rsidP="00BA05AA">
            <w:pPr>
              <w:jc w:val="both"/>
              <w:rPr>
                <w:sz w:val="20"/>
                <w:lang w:val="fr-CA"/>
              </w:rPr>
            </w:pPr>
          </w:p>
        </w:tc>
      </w:tr>
      <w:tr w:rsidR="00BA05AA" w:rsidRPr="00311F52" w:rsidTr="00E95A6A">
        <w:tc>
          <w:tcPr>
            <w:tcW w:w="2427" w:type="pct"/>
            <w:gridSpan w:val="2"/>
          </w:tcPr>
          <w:p w:rsidR="00BA05AA" w:rsidRPr="006773D9" w:rsidRDefault="00BA05AA" w:rsidP="00BA05AA">
            <w:pPr>
              <w:jc w:val="both"/>
              <w:rPr>
                <w:sz w:val="20"/>
                <w:lang w:val="fr-CA"/>
              </w:rPr>
            </w:pPr>
            <w:r w:rsidRPr="006773D9">
              <w:rPr>
                <w:sz w:val="20"/>
                <w:lang w:val="fr-CA"/>
              </w:rPr>
              <w:t>4 février 2020</w:t>
            </w:r>
          </w:p>
          <w:p w:rsidR="00BA05AA" w:rsidRPr="006773D9" w:rsidRDefault="00BA05AA" w:rsidP="00BA05AA">
            <w:pPr>
              <w:jc w:val="both"/>
              <w:rPr>
                <w:sz w:val="20"/>
                <w:lang w:val="fr-CA"/>
              </w:rPr>
            </w:pPr>
            <w:r w:rsidRPr="006773D9">
              <w:rPr>
                <w:sz w:val="20"/>
                <w:lang w:val="fr-CA"/>
              </w:rPr>
              <w:t>Cour supérieure de justice de l’Ontario</w:t>
            </w:r>
          </w:p>
          <w:p w:rsidR="00BA05AA" w:rsidRPr="006773D9" w:rsidRDefault="00BA05AA" w:rsidP="00BA05AA">
            <w:pPr>
              <w:jc w:val="both"/>
              <w:rPr>
                <w:sz w:val="20"/>
                <w:lang w:val="fr-CA"/>
              </w:rPr>
            </w:pPr>
            <w:r w:rsidRPr="006773D9">
              <w:rPr>
                <w:sz w:val="20"/>
                <w:lang w:val="fr-CA"/>
              </w:rPr>
              <w:t>(juge MacLeod</w:t>
            </w:r>
            <w:r w:rsidRPr="006773D9">
              <w:rPr>
                <w:sz w:val="20"/>
                <w:lang w:val="fr-CA"/>
              </w:rPr>
              <w:noBreakHyphen/>
              <w:t>Béliveau)</w:t>
            </w:r>
          </w:p>
          <w:p w:rsidR="00BA05AA" w:rsidRPr="006773D9" w:rsidRDefault="00311F52" w:rsidP="00BA05AA">
            <w:pPr>
              <w:jc w:val="both"/>
              <w:rPr>
                <w:sz w:val="20"/>
                <w:lang w:val="fr-CA"/>
              </w:rPr>
            </w:pPr>
            <w:hyperlink r:id="rId31" w:history="1">
              <w:r w:rsidR="00BA05AA" w:rsidRPr="006773D9">
                <w:rPr>
                  <w:rStyle w:val="Hyperlink"/>
                  <w:sz w:val="20"/>
                  <w:lang w:val="fr-CA"/>
                </w:rPr>
                <w:t>2020 ONSC 758</w:t>
              </w:r>
            </w:hyperlink>
          </w:p>
          <w:p w:rsidR="00BA05AA" w:rsidRPr="006773D9" w:rsidRDefault="00BA05AA" w:rsidP="00BA05AA">
            <w:pPr>
              <w:jc w:val="both"/>
              <w:rPr>
                <w:sz w:val="20"/>
                <w:lang w:val="fr-CA"/>
              </w:rPr>
            </w:pPr>
          </w:p>
        </w:tc>
        <w:tc>
          <w:tcPr>
            <w:tcW w:w="243" w:type="pct"/>
          </w:tcPr>
          <w:p w:rsidR="00BA05AA" w:rsidRPr="006773D9" w:rsidRDefault="00BA05AA" w:rsidP="00BA05AA">
            <w:pPr>
              <w:jc w:val="both"/>
              <w:rPr>
                <w:sz w:val="20"/>
                <w:lang w:val="fr-CA"/>
              </w:rPr>
            </w:pPr>
          </w:p>
        </w:tc>
        <w:tc>
          <w:tcPr>
            <w:tcW w:w="2330" w:type="pct"/>
          </w:tcPr>
          <w:p w:rsidR="00BA05AA" w:rsidRPr="006773D9" w:rsidRDefault="00BA05AA" w:rsidP="00BA05AA">
            <w:pPr>
              <w:jc w:val="both"/>
              <w:rPr>
                <w:sz w:val="20"/>
                <w:lang w:val="fr-CA"/>
              </w:rPr>
            </w:pPr>
            <w:r w:rsidRPr="006773D9">
              <w:rPr>
                <w:sz w:val="20"/>
                <w:lang w:val="fr-CA"/>
              </w:rPr>
              <w:t xml:space="preserve">La demande en </w:t>
            </w:r>
            <w:r w:rsidRPr="006773D9">
              <w:rPr>
                <w:i/>
                <w:sz w:val="20"/>
                <w:lang w:val="fr-CA"/>
              </w:rPr>
              <w:t>certiorari</w:t>
            </w:r>
            <w:r w:rsidRPr="006773D9">
              <w:rPr>
                <w:sz w:val="20"/>
                <w:lang w:val="fr-CA"/>
              </w:rPr>
              <w:t xml:space="preserve"> assorti de </w:t>
            </w:r>
            <w:r w:rsidRPr="006773D9">
              <w:rPr>
                <w:i/>
                <w:sz w:val="20"/>
                <w:lang w:val="fr-CA"/>
              </w:rPr>
              <w:t>mandamus</w:t>
            </w:r>
            <w:r w:rsidRPr="006773D9">
              <w:rPr>
                <w:sz w:val="20"/>
                <w:lang w:val="fr-CA"/>
              </w:rPr>
              <w:t xml:space="preserve"> présentée par le demandeur est rejetée.</w:t>
            </w:r>
          </w:p>
          <w:p w:rsidR="00BA05AA" w:rsidRPr="006773D9" w:rsidRDefault="00BA05AA" w:rsidP="00BA05AA">
            <w:pPr>
              <w:jc w:val="both"/>
              <w:rPr>
                <w:sz w:val="20"/>
                <w:lang w:val="fr-CA"/>
              </w:rPr>
            </w:pPr>
          </w:p>
          <w:p w:rsidR="00BA05AA" w:rsidRPr="006773D9" w:rsidRDefault="00BA05AA" w:rsidP="00BA05AA">
            <w:pPr>
              <w:jc w:val="both"/>
              <w:rPr>
                <w:sz w:val="20"/>
                <w:lang w:val="fr-CA"/>
              </w:rPr>
            </w:pPr>
          </w:p>
        </w:tc>
      </w:tr>
      <w:tr w:rsidR="00BA05AA" w:rsidRPr="00311F52" w:rsidTr="00E95A6A">
        <w:tc>
          <w:tcPr>
            <w:tcW w:w="2427" w:type="pct"/>
            <w:gridSpan w:val="2"/>
          </w:tcPr>
          <w:p w:rsidR="00BA05AA" w:rsidRPr="006773D9" w:rsidRDefault="00BA05AA" w:rsidP="00BA05AA">
            <w:pPr>
              <w:jc w:val="both"/>
              <w:rPr>
                <w:sz w:val="20"/>
                <w:lang w:val="fr-CA"/>
              </w:rPr>
            </w:pPr>
            <w:r w:rsidRPr="006773D9">
              <w:rPr>
                <w:sz w:val="20"/>
                <w:lang w:val="fr-CA"/>
              </w:rPr>
              <w:t>19 octobre 2020</w:t>
            </w:r>
          </w:p>
          <w:p w:rsidR="00BA05AA" w:rsidRPr="006773D9" w:rsidRDefault="00BA05AA" w:rsidP="00BA05AA">
            <w:pPr>
              <w:jc w:val="both"/>
              <w:rPr>
                <w:sz w:val="20"/>
                <w:lang w:val="fr-CA"/>
              </w:rPr>
            </w:pPr>
            <w:r w:rsidRPr="006773D9">
              <w:rPr>
                <w:sz w:val="20"/>
                <w:lang w:val="fr-CA"/>
              </w:rPr>
              <w:t>Cour d’appel de l’Ontario</w:t>
            </w:r>
          </w:p>
          <w:p w:rsidR="00BA05AA" w:rsidRPr="006773D9" w:rsidRDefault="00BA05AA" w:rsidP="00BA05AA">
            <w:pPr>
              <w:jc w:val="both"/>
              <w:rPr>
                <w:sz w:val="20"/>
                <w:lang w:val="fr-CA"/>
              </w:rPr>
            </w:pPr>
            <w:r w:rsidRPr="006773D9">
              <w:rPr>
                <w:sz w:val="20"/>
                <w:lang w:val="fr-CA"/>
              </w:rPr>
              <w:t>(juges Watt, Trotter et Zarnett)</w:t>
            </w:r>
          </w:p>
          <w:p w:rsidR="00BA05AA" w:rsidRPr="006773D9" w:rsidRDefault="00311F52" w:rsidP="00BA05AA">
            <w:pPr>
              <w:jc w:val="both"/>
              <w:rPr>
                <w:sz w:val="20"/>
                <w:lang w:val="fr-CA"/>
              </w:rPr>
            </w:pPr>
            <w:hyperlink r:id="rId32" w:history="1">
              <w:r w:rsidR="00BA05AA" w:rsidRPr="006773D9">
                <w:rPr>
                  <w:rStyle w:val="Hyperlink"/>
                  <w:sz w:val="20"/>
                  <w:lang w:val="fr-CA"/>
                </w:rPr>
                <w:t>2020 ONCA 652</w:t>
              </w:r>
            </w:hyperlink>
          </w:p>
          <w:p w:rsidR="00BA05AA" w:rsidRPr="006773D9" w:rsidRDefault="00BA05AA" w:rsidP="00BA05AA">
            <w:pPr>
              <w:jc w:val="both"/>
              <w:rPr>
                <w:sz w:val="20"/>
                <w:lang w:val="fr-CA"/>
              </w:rPr>
            </w:pPr>
          </w:p>
        </w:tc>
        <w:tc>
          <w:tcPr>
            <w:tcW w:w="243" w:type="pct"/>
          </w:tcPr>
          <w:p w:rsidR="00BA05AA" w:rsidRPr="006773D9" w:rsidRDefault="00BA05AA" w:rsidP="00BA05AA">
            <w:pPr>
              <w:jc w:val="both"/>
              <w:rPr>
                <w:sz w:val="20"/>
                <w:lang w:val="fr-CA"/>
              </w:rPr>
            </w:pPr>
          </w:p>
        </w:tc>
        <w:tc>
          <w:tcPr>
            <w:tcW w:w="2330" w:type="pct"/>
          </w:tcPr>
          <w:p w:rsidR="00BA05AA" w:rsidRPr="006773D9" w:rsidRDefault="00BA05AA" w:rsidP="00BA05AA">
            <w:pPr>
              <w:jc w:val="both"/>
              <w:rPr>
                <w:sz w:val="20"/>
                <w:lang w:val="fr-CA"/>
              </w:rPr>
            </w:pPr>
            <w:r w:rsidRPr="006773D9">
              <w:rPr>
                <w:sz w:val="20"/>
                <w:lang w:val="fr-CA"/>
              </w:rPr>
              <w:t>L’appel du demandeur est rejeté.</w:t>
            </w:r>
          </w:p>
          <w:p w:rsidR="00BA05AA" w:rsidRPr="006773D9" w:rsidRDefault="00BA05AA" w:rsidP="00BA05AA">
            <w:pPr>
              <w:jc w:val="both"/>
              <w:rPr>
                <w:sz w:val="20"/>
                <w:lang w:val="fr-CA"/>
              </w:rPr>
            </w:pPr>
          </w:p>
        </w:tc>
      </w:tr>
      <w:tr w:rsidR="00BA05AA" w:rsidRPr="00311F52" w:rsidTr="00E95A6A">
        <w:tc>
          <w:tcPr>
            <w:tcW w:w="2427" w:type="pct"/>
            <w:gridSpan w:val="2"/>
          </w:tcPr>
          <w:p w:rsidR="00BA05AA" w:rsidRPr="006773D9" w:rsidRDefault="00BA05AA" w:rsidP="00BA05AA">
            <w:pPr>
              <w:jc w:val="both"/>
              <w:rPr>
                <w:sz w:val="20"/>
                <w:lang w:val="fr-CA"/>
              </w:rPr>
            </w:pPr>
            <w:r w:rsidRPr="006773D9">
              <w:rPr>
                <w:sz w:val="20"/>
                <w:lang w:val="fr-CA"/>
              </w:rPr>
              <w:t>17 décembre 2020</w:t>
            </w:r>
          </w:p>
          <w:p w:rsidR="00BA05AA" w:rsidRPr="006773D9" w:rsidRDefault="00BA05AA" w:rsidP="00BA05AA">
            <w:pPr>
              <w:jc w:val="both"/>
              <w:rPr>
                <w:sz w:val="20"/>
                <w:lang w:val="fr-CA"/>
              </w:rPr>
            </w:pPr>
            <w:r w:rsidRPr="006773D9">
              <w:rPr>
                <w:sz w:val="20"/>
                <w:lang w:val="fr-CA"/>
              </w:rPr>
              <w:t>Cour suprême du Canada</w:t>
            </w:r>
          </w:p>
        </w:tc>
        <w:tc>
          <w:tcPr>
            <w:tcW w:w="243" w:type="pct"/>
          </w:tcPr>
          <w:p w:rsidR="00BA05AA" w:rsidRPr="006773D9" w:rsidRDefault="00BA05AA" w:rsidP="00BA05AA">
            <w:pPr>
              <w:jc w:val="both"/>
              <w:rPr>
                <w:sz w:val="20"/>
                <w:lang w:val="fr-CA"/>
              </w:rPr>
            </w:pPr>
          </w:p>
        </w:tc>
        <w:tc>
          <w:tcPr>
            <w:tcW w:w="2330" w:type="pct"/>
          </w:tcPr>
          <w:p w:rsidR="00BA05AA" w:rsidRPr="006773D9" w:rsidRDefault="00BA05AA" w:rsidP="00BA05AA">
            <w:pPr>
              <w:jc w:val="both"/>
              <w:rPr>
                <w:sz w:val="20"/>
                <w:lang w:val="fr-CA"/>
              </w:rPr>
            </w:pPr>
            <w:r w:rsidRPr="006773D9">
              <w:rPr>
                <w:sz w:val="20"/>
                <w:lang w:val="fr-CA"/>
              </w:rPr>
              <w:t>La demande d’autorisation d’appel est présentée.</w:t>
            </w:r>
          </w:p>
          <w:p w:rsidR="00BA05AA" w:rsidRPr="006773D9" w:rsidRDefault="00BA05AA" w:rsidP="00BA05AA">
            <w:pPr>
              <w:jc w:val="both"/>
              <w:rPr>
                <w:sz w:val="20"/>
                <w:lang w:val="fr-CA"/>
              </w:rPr>
            </w:pPr>
          </w:p>
        </w:tc>
      </w:tr>
    </w:tbl>
    <w:p w:rsidR="00322A9C" w:rsidRPr="006773D9" w:rsidRDefault="00322A9C" w:rsidP="00350651">
      <w:pPr>
        <w:widowControl w:val="0"/>
        <w:tabs>
          <w:tab w:val="left" w:pos="3840"/>
        </w:tabs>
        <w:jc w:val="both"/>
        <w:rPr>
          <w:sz w:val="20"/>
          <w:lang w:val="fr-CA"/>
        </w:rPr>
      </w:pPr>
    </w:p>
    <w:p w:rsidR="005A7B6B" w:rsidRPr="006773D9" w:rsidRDefault="00311F52" w:rsidP="00350651">
      <w:pPr>
        <w:widowControl w:val="0"/>
        <w:jc w:val="both"/>
        <w:rPr>
          <w:sz w:val="20"/>
        </w:rPr>
      </w:pPr>
      <w:r>
        <w:rPr>
          <w:sz w:val="20"/>
        </w:rPr>
        <w:pict>
          <v:rect id="_x0000_i1038" style="width:2in;height:1pt" o:hrpct="0" o:hralign="center" o:hrstd="t" o:hrnoshade="t" o:hr="t" fillcolor="black [3213]" stroked="f"/>
        </w:pict>
      </w:r>
    </w:p>
    <w:p w:rsidR="00FD3FA0" w:rsidRPr="006773D9" w:rsidRDefault="00FD3FA0" w:rsidP="00350651">
      <w:pPr>
        <w:ind w:left="142" w:hanging="142"/>
        <w:jc w:val="both"/>
        <w:rPr>
          <w:sz w:val="20"/>
        </w:rPr>
      </w:pPr>
    </w:p>
    <w:p w:rsidR="008F2F11" w:rsidRPr="006773D9" w:rsidRDefault="008F2F11" w:rsidP="00350651">
      <w:pPr>
        <w:ind w:left="142" w:hanging="142"/>
        <w:jc w:val="both"/>
        <w:rPr>
          <w:sz w:val="20"/>
        </w:rPr>
      </w:pPr>
    </w:p>
    <w:p w:rsidR="008F2F11" w:rsidRPr="006773D9" w:rsidRDefault="008F2F11" w:rsidP="00350651">
      <w:pPr>
        <w:ind w:left="142" w:hanging="142"/>
        <w:jc w:val="both"/>
        <w:rPr>
          <w:sz w:val="20"/>
        </w:rPr>
      </w:pPr>
    </w:p>
    <w:p w:rsidR="00D3344A" w:rsidRPr="006773D9" w:rsidRDefault="00D3344A" w:rsidP="00D3344A">
      <w:pPr>
        <w:widowControl w:val="0"/>
        <w:outlineLvl w:val="0"/>
      </w:pPr>
      <w:r w:rsidRPr="006773D9">
        <w:t xml:space="preserve">Supreme Court of Canada / Cour suprême du </w:t>
      </w:r>
      <w:proofErr w:type="gramStart"/>
      <w:r w:rsidRPr="006773D9">
        <w:t>Canad</w:t>
      </w:r>
      <w:r w:rsidR="00EE289F" w:rsidRPr="006773D9">
        <w:t>a</w:t>
      </w:r>
      <w:r w:rsidRPr="006773D9">
        <w:t xml:space="preserve"> :</w:t>
      </w:r>
      <w:proofErr w:type="gramEnd"/>
    </w:p>
    <w:p w:rsidR="00D3344A" w:rsidRPr="006773D9" w:rsidRDefault="00311F52" w:rsidP="00D3344A">
      <w:pPr>
        <w:widowControl w:val="0"/>
        <w:outlineLvl w:val="0"/>
        <w:rPr>
          <w:u w:val="single"/>
        </w:rPr>
      </w:pPr>
      <w:hyperlink r:id="rId33" w:history="1">
        <w:r w:rsidR="009B7391" w:rsidRPr="006773D9">
          <w:rPr>
            <w:rStyle w:val="Hyperlink"/>
          </w:rPr>
          <w:t>comments-commentaires@scc-csc.ca</w:t>
        </w:r>
      </w:hyperlink>
    </w:p>
    <w:p w:rsidR="00D3344A" w:rsidRPr="006773D9" w:rsidRDefault="0065588C" w:rsidP="00D3344A">
      <w:pPr>
        <w:widowControl w:val="0"/>
        <w:outlineLvl w:val="0"/>
      </w:pPr>
      <w:r w:rsidRPr="006773D9">
        <w:t>613-</w:t>
      </w:r>
      <w:r w:rsidR="00D3344A" w:rsidRPr="006773D9">
        <w:t>995-4330</w:t>
      </w:r>
    </w:p>
    <w:p w:rsidR="00497B5E" w:rsidRPr="006773D9" w:rsidRDefault="00497B5E" w:rsidP="00497B5E">
      <w:pPr>
        <w:widowControl w:val="0"/>
        <w:rPr>
          <w:sz w:val="20"/>
        </w:rPr>
      </w:pPr>
    </w:p>
    <w:p w:rsidR="00F6251B" w:rsidRPr="006E558B" w:rsidRDefault="003F43E6" w:rsidP="00F6251B">
      <w:pPr>
        <w:pStyle w:val="Footer"/>
        <w:jc w:val="center"/>
      </w:pPr>
      <w:r w:rsidRPr="006773D9">
        <w:t>- 30 -</w:t>
      </w:r>
    </w:p>
    <w:sectPr w:rsidR="00F6251B" w:rsidRPr="006E558B" w:rsidSect="00E62F93">
      <w:headerReference w:type="even" r:id="rId34"/>
      <w:headerReference w:type="default" r:id="rId35"/>
      <w:footerReference w:type="even" r:id="rId36"/>
      <w:footerReference w:type="default" r:id="rId37"/>
      <w:headerReference w:type="first" r:id="rId38"/>
      <w:footerReference w:type="first" r:id="rId3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02B" w:rsidRDefault="0033602B" w:rsidP="0034178A">
      <w:r>
        <w:separator/>
      </w:r>
    </w:p>
  </w:endnote>
  <w:endnote w:type="continuationSeparator" w:id="0">
    <w:p w:rsidR="0033602B" w:rsidRDefault="0033602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Default="00336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Pr="009F77F0" w:rsidRDefault="0033602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Default="00336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02B" w:rsidRDefault="0033602B" w:rsidP="0034178A">
      <w:r>
        <w:separator/>
      </w:r>
    </w:p>
  </w:footnote>
  <w:footnote w:type="continuationSeparator" w:id="0">
    <w:p w:rsidR="0033602B" w:rsidRDefault="0033602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Default="00336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Default="003360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Default="00336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4"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7"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6"/>
  </w:num>
  <w:num w:numId="5">
    <w:abstractNumId w:val="11"/>
  </w:num>
  <w:num w:numId="6">
    <w:abstractNumId w:val="5"/>
  </w:num>
  <w:num w:numId="7">
    <w:abstractNumId w:val="4"/>
  </w:num>
  <w:num w:numId="8">
    <w:abstractNumId w:val="3"/>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0"/>
  </w:num>
  <w:num w:numId="13">
    <w:abstractNumId w:val="12"/>
  </w:num>
  <w:num w:numId="14">
    <w:abstractNumId w:val="10"/>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5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2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697" TargetMode="External"/><Relationship Id="rId13" Type="http://schemas.openxmlformats.org/officeDocument/2006/relationships/hyperlink" Target="https://canlii.ca/t/jcmd7" TargetMode="External"/><Relationship Id="rId18" Type="http://schemas.openxmlformats.org/officeDocument/2006/relationships/hyperlink" Target="https://canlii.ca/t/j5hf0" TargetMode="External"/><Relationship Id="rId26" Type="http://schemas.openxmlformats.org/officeDocument/2006/relationships/hyperlink" Target="https://www.canlii.org/fr/qc/qcca/doc/2021/2021qcca846/2021qcca846.html?resultIndex=1"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canlii.org/en/qc/qccs/doc/2017/2017qccs111/2017qccs111.html?autocompleteStr=2017%20QCCS%20111&amp;autocompletePos=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cc-csc.ca/case-dossier/info/sum-som-eng.aspx?cas=39805" TargetMode="External"/><Relationship Id="rId17" Type="http://schemas.openxmlformats.org/officeDocument/2006/relationships/hyperlink" Target="https://canlii.ca/t/jdz6n" TargetMode="External"/><Relationship Id="rId25" Type="http://schemas.openxmlformats.org/officeDocument/2006/relationships/hyperlink" Target="https://www.canlii.org/fr/qc/qccs/doc/2019/2019qccs5996/2019qccs5996.html?resultIndex=1" TargetMode="External"/><Relationship Id="rId33" Type="http://schemas.openxmlformats.org/officeDocument/2006/relationships/hyperlink" Target="mailto:comments-commentaires@scc-csc.ca"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anlii.ca/t/j5hf1" TargetMode="External"/><Relationship Id="rId20" Type="http://schemas.openxmlformats.org/officeDocument/2006/relationships/hyperlink" Target="https://canlii.ca/t/jdz6n" TargetMode="External"/><Relationship Id="rId29" Type="http://schemas.openxmlformats.org/officeDocument/2006/relationships/hyperlink" Target="https://canlii.ca/t/j529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756" TargetMode="External"/><Relationship Id="rId24" Type="http://schemas.openxmlformats.org/officeDocument/2006/relationships/hyperlink" Target="https://www.canlii.org/fr/qc/qcca/doc/2020/2020qcca842/2020qcca842.html?autocompleteStr=2020%20QCCA%20842&amp;autocompletePos=1" TargetMode="External"/><Relationship Id="rId32" Type="http://schemas.openxmlformats.org/officeDocument/2006/relationships/hyperlink" Target="https://canlii.ca/t/jb3qq"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nlii.ca/t/j5hf0" TargetMode="External"/><Relationship Id="rId23" Type="http://schemas.openxmlformats.org/officeDocument/2006/relationships/hyperlink" Target="https://www.canlii.org/en/qc/qccs/doc/2017/2017qccs111/2017qccs111.html?autocompleteStr=2017%20QCCS%20111&amp;autocompletePos=1" TargetMode="External"/><Relationship Id="rId28" Type="http://schemas.openxmlformats.org/officeDocument/2006/relationships/hyperlink" Target="https://www.canlii.org/fr/qc/qcca/doc/2021/2021qcca846/2021qcca846.html?resultIndex=1" TargetMode="External"/><Relationship Id="rId36" Type="http://schemas.openxmlformats.org/officeDocument/2006/relationships/footer" Target="footer1.xml"/><Relationship Id="rId10" Type="http://schemas.openxmlformats.org/officeDocument/2006/relationships/hyperlink" Target="https://www.scc-csc.ca/case-dossier/info/sum-som-fra.aspx?cas=39764" TargetMode="External"/><Relationship Id="rId19" Type="http://schemas.openxmlformats.org/officeDocument/2006/relationships/hyperlink" Target="https://canlii.ca/t/j5hf1" TargetMode="External"/><Relationship Id="rId31" Type="http://schemas.openxmlformats.org/officeDocument/2006/relationships/hyperlink" Target="https://canlii.ca/t/j529f" TargetMode="External"/><Relationship Id="rId4" Type="http://schemas.openxmlformats.org/officeDocument/2006/relationships/settings" Target="settings.xml"/><Relationship Id="rId9" Type="http://schemas.openxmlformats.org/officeDocument/2006/relationships/hyperlink" Target="https://www.scc-csc.ca/case-dossier/info/sum-som-eng.aspx?cas=39748" TargetMode="External"/><Relationship Id="rId14" Type="http://schemas.openxmlformats.org/officeDocument/2006/relationships/hyperlink" Target="https://canlii.ca/t/jcmd7" TargetMode="External"/><Relationship Id="rId22" Type="http://schemas.openxmlformats.org/officeDocument/2006/relationships/hyperlink" Target="https://www.canlii.org/fr/qc/qcca/doc/2020/2020qcca842/2020qcca842.html?autocompleteStr=2020%20QCCA%20842&amp;autocompletePos=1" TargetMode="External"/><Relationship Id="rId27" Type="http://schemas.openxmlformats.org/officeDocument/2006/relationships/hyperlink" Target="https://www.canlii.org/fr/qc/qccs/doc/2019/2019qccs5996/2019qccs5996.html?resultIndex=1" TargetMode="External"/><Relationship Id="rId30" Type="http://schemas.openxmlformats.org/officeDocument/2006/relationships/hyperlink" Target="https://canlii.ca/t/jb3qq"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D4CC3-188C-4785-B83C-40447C87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3633</Words>
  <Characters>20710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24295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2021-11-19T15:50:00Z</dcterms:modified>
</cp:coreProperties>
</file>