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91F" w:rsidRPr="00CD6C34" w:rsidRDefault="000E391F" w:rsidP="000E391F">
      <w:pPr>
        <w:pStyle w:val="Header"/>
        <w:jc w:val="center"/>
        <w:rPr>
          <w:b/>
          <w:sz w:val="32"/>
        </w:rPr>
      </w:pPr>
      <w:r w:rsidRPr="00CD6C34">
        <w:rPr>
          <w:b/>
          <w:sz w:val="32"/>
        </w:rPr>
        <w:t>Supreme Court of Canada / Cour suprême du Canada</w:t>
      </w:r>
    </w:p>
    <w:p w:rsidR="000E391F" w:rsidRPr="00CD6C34" w:rsidRDefault="000E391F" w:rsidP="000E391F">
      <w:pPr>
        <w:widowControl w:val="0"/>
      </w:pPr>
    </w:p>
    <w:p w:rsidR="000E391F" w:rsidRPr="00CD6C34" w:rsidRDefault="000E391F" w:rsidP="000E391F">
      <w:pPr>
        <w:widowControl w:val="0"/>
        <w:rPr>
          <w:i/>
        </w:rPr>
      </w:pPr>
    </w:p>
    <w:p w:rsidR="006F2579" w:rsidRPr="00CD6C34" w:rsidRDefault="006F2579" w:rsidP="006F2579">
      <w:pPr>
        <w:widowControl w:val="0"/>
        <w:rPr>
          <w:i/>
          <w:sz w:val="20"/>
        </w:rPr>
      </w:pPr>
      <w:r w:rsidRPr="00CD6C34">
        <w:rPr>
          <w:i/>
          <w:sz w:val="20"/>
        </w:rPr>
        <w:t>(</w:t>
      </w:r>
      <w:r w:rsidR="003240B6" w:rsidRPr="00CD6C34">
        <w:rPr>
          <w:i/>
          <w:sz w:val="20"/>
        </w:rPr>
        <w:t>L</w:t>
      </w:r>
      <w:r w:rsidRPr="00CD6C34">
        <w:rPr>
          <w:i/>
          <w:sz w:val="20"/>
        </w:rPr>
        <w:t>e français suit)</w:t>
      </w:r>
    </w:p>
    <w:p w:rsidR="006F2579" w:rsidRPr="00CD6C34" w:rsidRDefault="006F2579" w:rsidP="006F2579">
      <w:pPr>
        <w:widowControl w:val="0"/>
      </w:pPr>
    </w:p>
    <w:p w:rsidR="006F2579" w:rsidRPr="00CD6C34" w:rsidRDefault="00B07908" w:rsidP="006F2579">
      <w:pPr>
        <w:widowControl w:val="0"/>
        <w:jc w:val="center"/>
        <w:rPr>
          <w:b/>
        </w:rPr>
      </w:pPr>
      <w:r w:rsidRPr="00CD6C34">
        <w:fldChar w:fldCharType="begin"/>
      </w:r>
      <w:r w:rsidR="006F2579" w:rsidRPr="00CD6C34">
        <w:instrText xml:space="preserve"> SEQ CHAPTER \h \r 1</w:instrText>
      </w:r>
      <w:r w:rsidRPr="00CD6C34">
        <w:fldChar w:fldCharType="end"/>
      </w:r>
      <w:r w:rsidR="006F2579" w:rsidRPr="00CD6C34">
        <w:rPr>
          <w:b/>
        </w:rPr>
        <w:t>JUDGMENT</w:t>
      </w:r>
      <w:r w:rsidR="00B17AAC" w:rsidRPr="00CD6C34">
        <w:rPr>
          <w:b/>
        </w:rPr>
        <w:t>S</w:t>
      </w:r>
      <w:r w:rsidR="006F2579" w:rsidRPr="00CD6C34">
        <w:rPr>
          <w:b/>
        </w:rPr>
        <w:t xml:space="preserve"> TO B</w:t>
      </w:r>
      <w:r w:rsidR="00001846" w:rsidRPr="00CD6C34">
        <w:rPr>
          <w:b/>
        </w:rPr>
        <w:t>E RENDERED IN LE</w:t>
      </w:r>
      <w:r w:rsidR="00A0288A" w:rsidRPr="00CD6C34">
        <w:rPr>
          <w:b/>
        </w:rPr>
        <w:t>A</w:t>
      </w:r>
      <w:r w:rsidR="00001846" w:rsidRPr="00CD6C34">
        <w:rPr>
          <w:b/>
        </w:rPr>
        <w:t>VE APPLICATION</w:t>
      </w:r>
      <w:r w:rsidR="00511288" w:rsidRPr="00CD6C34">
        <w:rPr>
          <w:b/>
        </w:rPr>
        <w:t>S</w:t>
      </w:r>
    </w:p>
    <w:p w:rsidR="006F2579" w:rsidRPr="00CD6C34" w:rsidRDefault="006F2579" w:rsidP="006F2579">
      <w:pPr>
        <w:widowControl w:val="0"/>
      </w:pPr>
    </w:p>
    <w:p w:rsidR="006F2579" w:rsidRPr="00CD6C34" w:rsidRDefault="00644008" w:rsidP="006F2579">
      <w:pPr>
        <w:widowControl w:val="0"/>
      </w:pPr>
      <w:r>
        <w:rPr>
          <w:b/>
        </w:rPr>
        <w:t>January</w:t>
      </w:r>
      <w:r w:rsidR="00A15B66" w:rsidRPr="00CD6C34">
        <w:rPr>
          <w:b/>
        </w:rPr>
        <w:t xml:space="preserve"> </w:t>
      </w:r>
      <w:r>
        <w:rPr>
          <w:b/>
        </w:rPr>
        <w:t>1</w:t>
      </w:r>
      <w:r w:rsidR="009A5C9E" w:rsidRPr="00CD6C34">
        <w:rPr>
          <w:b/>
        </w:rPr>
        <w:t>0</w:t>
      </w:r>
      <w:r w:rsidR="004441C7" w:rsidRPr="00CD6C34">
        <w:rPr>
          <w:b/>
        </w:rPr>
        <w:t>,</w:t>
      </w:r>
      <w:r w:rsidR="006F2579" w:rsidRPr="00CD6C34">
        <w:rPr>
          <w:b/>
        </w:rPr>
        <w:t xml:space="preserve"> </w:t>
      </w:r>
      <w:r w:rsidR="0054689F" w:rsidRPr="00CD6C34">
        <w:rPr>
          <w:b/>
        </w:rPr>
        <w:t>20</w:t>
      </w:r>
      <w:r w:rsidR="00526754" w:rsidRPr="00CD6C34">
        <w:rPr>
          <w:b/>
        </w:rPr>
        <w:t>2</w:t>
      </w:r>
      <w:r>
        <w:rPr>
          <w:b/>
        </w:rPr>
        <w:t>2</w:t>
      </w:r>
    </w:p>
    <w:p w:rsidR="006F2579" w:rsidRPr="00CD6C34" w:rsidRDefault="00674F39" w:rsidP="006F2579">
      <w:pPr>
        <w:widowControl w:val="0"/>
        <w:rPr>
          <w:b/>
        </w:rPr>
      </w:pPr>
      <w:r w:rsidRPr="00CD6C34">
        <w:rPr>
          <w:b/>
        </w:rPr>
        <w:t>For immediate release</w:t>
      </w:r>
    </w:p>
    <w:p w:rsidR="006F2579" w:rsidRPr="00CD6C34" w:rsidRDefault="006F2579" w:rsidP="006F2579">
      <w:pPr>
        <w:widowControl w:val="0"/>
      </w:pPr>
    </w:p>
    <w:p w:rsidR="006F2579" w:rsidRPr="00CD6C34" w:rsidRDefault="006F2579" w:rsidP="006F2579">
      <w:pPr>
        <w:widowControl w:val="0"/>
        <w:rPr>
          <w:lang w:val="fr-CA"/>
        </w:rPr>
      </w:pPr>
      <w:r w:rsidRPr="00CD6C34">
        <w:rPr>
          <w:b/>
        </w:rPr>
        <w:t>OTTAWA</w:t>
      </w:r>
      <w:r w:rsidRPr="00CD6C34">
        <w:t xml:space="preserve"> – The Supreme Court of Canad</w:t>
      </w:r>
      <w:r w:rsidR="006246E4" w:rsidRPr="00CD6C34">
        <w:t>a</w:t>
      </w:r>
      <w:r w:rsidRPr="00CD6C34">
        <w:t xml:space="preserve"> announced today that judgment in the following </w:t>
      </w:r>
      <w:r w:rsidR="00DB6199" w:rsidRPr="00CD6C34">
        <w:t xml:space="preserve">leave applications </w:t>
      </w:r>
      <w:r w:rsidRPr="00CD6C34">
        <w:t>will be delivere</w:t>
      </w:r>
      <w:r w:rsidR="00CE2C5F" w:rsidRPr="00CD6C34">
        <w:t>d</w:t>
      </w:r>
      <w:r w:rsidRPr="00CD6C34">
        <w:t xml:space="preserve"> at 9:45 a.m. </w:t>
      </w:r>
      <w:r w:rsidR="00E05816" w:rsidRPr="00CD6C34">
        <w:t>E</w:t>
      </w:r>
      <w:r w:rsidR="006D4676" w:rsidRPr="00CD6C34">
        <w:t>S</w:t>
      </w:r>
      <w:r w:rsidR="00E05816" w:rsidRPr="00CD6C34">
        <w:t>T</w:t>
      </w:r>
      <w:r w:rsidRPr="00CD6C34">
        <w:t xml:space="preserve"> on </w:t>
      </w:r>
      <w:r w:rsidR="00322A9C" w:rsidRPr="00CD6C34">
        <w:t>Thurs</w:t>
      </w:r>
      <w:r w:rsidR="00680A85" w:rsidRPr="00CD6C34">
        <w:t>day</w:t>
      </w:r>
      <w:r w:rsidRPr="00CD6C34">
        <w:t xml:space="preserve">, </w:t>
      </w:r>
      <w:r w:rsidR="00644008">
        <w:t>January</w:t>
      </w:r>
      <w:r w:rsidR="00455912" w:rsidRPr="00CD6C34">
        <w:t xml:space="preserve"> </w:t>
      </w:r>
      <w:r w:rsidR="00644008">
        <w:t>1</w:t>
      </w:r>
      <w:r w:rsidR="009A5C9E" w:rsidRPr="00CD6C34">
        <w:t>3</w:t>
      </w:r>
      <w:r w:rsidR="007E112F" w:rsidRPr="00CD6C34">
        <w:t>,</w:t>
      </w:r>
      <w:r w:rsidR="002F38D7" w:rsidRPr="00CD6C34">
        <w:t xml:space="preserve"> </w:t>
      </w:r>
      <w:r w:rsidR="006648D1" w:rsidRPr="00CD6C34">
        <w:t>20</w:t>
      </w:r>
      <w:r w:rsidR="00526754" w:rsidRPr="00CD6C34">
        <w:t>2</w:t>
      </w:r>
      <w:r w:rsidR="00644008">
        <w:t>2</w:t>
      </w:r>
      <w:r w:rsidRPr="00CD6C34">
        <w:t xml:space="preserve">. </w:t>
      </w:r>
      <w:r w:rsidRPr="00CD6C34">
        <w:rPr>
          <w:lang w:val="fr-CA"/>
        </w:rPr>
        <w:t>This list is subject to chang</w:t>
      </w:r>
      <w:r w:rsidR="00192F7F" w:rsidRPr="00CD6C34">
        <w:rPr>
          <w:lang w:val="fr-CA"/>
        </w:rPr>
        <w:t>e</w:t>
      </w:r>
      <w:r w:rsidRPr="00CD6C34">
        <w:rPr>
          <w:lang w:val="fr-CA"/>
        </w:rPr>
        <w:t>.</w:t>
      </w:r>
    </w:p>
    <w:p w:rsidR="00FF5AA4" w:rsidRPr="00CD6C34" w:rsidRDefault="00FF5AA4" w:rsidP="006F2579">
      <w:pPr>
        <w:widowControl w:val="0"/>
        <w:rPr>
          <w:lang w:val="fr-CA"/>
        </w:rPr>
      </w:pPr>
    </w:p>
    <w:p w:rsidR="00B43418" w:rsidRPr="00CD6C34" w:rsidRDefault="00B43418" w:rsidP="006F2579">
      <w:pPr>
        <w:widowControl w:val="0"/>
        <w:rPr>
          <w:lang w:val="fr-CA"/>
        </w:rPr>
      </w:pPr>
    </w:p>
    <w:p w:rsidR="006F2579" w:rsidRPr="00CD6C34" w:rsidRDefault="006F2579" w:rsidP="006F2579">
      <w:pPr>
        <w:widowControl w:val="0"/>
        <w:jc w:val="center"/>
        <w:rPr>
          <w:lang w:val="fr-CA"/>
        </w:rPr>
      </w:pPr>
      <w:r w:rsidRPr="00CD6C34">
        <w:rPr>
          <w:b/>
          <w:lang w:val="fr-CA"/>
        </w:rPr>
        <w:t>PROCHAIN</w:t>
      </w:r>
      <w:r w:rsidR="00B17AAC" w:rsidRPr="00CD6C34">
        <w:rPr>
          <w:b/>
          <w:lang w:val="fr-CA"/>
        </w:rPr>
        <w:t>S</w:t>
      </w:r>
      <w:r w:rsidRPr="00CD6C34">
        <w:rPr>
          <w:b/>
          <w:lang w:val="fr-CA"/>
        </w:rPr>
        <w:t xml:space="preserve"> JUGEMENT</w:t>
      </w:r>
      <w:r w:rsidR="00B17AAC" w:rsidRPr="00CD6C34">
        <w:rPr>
          <w:b/>
          <w:lang w:val="fr-CA"/>
        </w:rPr>
        <w:t>S</w:t>
      </w:r>
      <w:r w:rsidR="00001846" w:rsidRPr="00CD6C34">
        <w:rPr>
          <w:b/>
          <w:lang w:val="fr-CA"/>
        </w:rPr>
        <w:t xml:space="preserve"> SUR DEMANDE</w:t>
      </w:r>
      <w:r w:rsidR="00B17AAC" w:rsidRPr="00CD6C34">
        <w:rPr>
          <w:b/>
          <w:lang w:val="fr-CA"/>
        </w:rPr>
        <w:t>S</w:t>
      </w:r>
      <w:r w:rsidRPr="00CD6C34">
        <w:rPr>
          <w:b/>
          <w:lang w:val="fr-CA"/>
        </w:rPr>
        <w:t xml:space="preserve"> D’AUTORISATION</w:t>
      </w:r>
    </w:p>
    <w:p w:rsidR="006F2579" w:rsidRPr="00CD6C34" w:rsidRDefault="006F2579" w:rsidP="006F2579">
      <w:pPr>
        <w:widowControl w:val="0"/>
        <w:rPr>
          <w:lang w:val="fr-CA"/>
        </w:rPr>
      </w:pPr>
    </w:p>
    <w:p w:rsidR="006F2579" w:rsidRPr="00CD6C34" w:rsidRDefault="006F2579" w:rsidP="006F2579">
      <w:pPr>
        <w:widowControl w:val="0"/>
        <w:rPr>
          <w:lang w:val="fr-CA"/>
        </w:rPr>
      </w:pPr>
      <w:r w:rsidRPr="00CD6C34">
        <w:rPr>
          <w:b/>
          <w:lang w:val="fr-CA"/>
        </w:rPr>
        <w:t>Le</w:t>
      </w:r>
      <w:r w:rsidR="00957A76" w:rsidRPr="00CD6C34">
        <w:rPr>
          <w:b/>
          <w:lang w:val="fr-CA"/>
        </w:rPr>
        <w:t xml:space="preserve"> </w:t>
      </w:r>
      <w:r w:rsidR="00644008">
        <w:rPr>
          <w:b/>
          <w:lang w:val="fr-CA"/>
        </w:rPr>
        <w:t>1</w:t>
      </w:r>
      <w:r w:rsidR="009A5C9E" w:rsidRPr="00CD6C34">
        <w:rPr>
          <w:b/>
          <w:lang w:val="fr-CA"/>
        </w:rPr>
        <w:t>0</w:t>
      </w:r>
      <w:r w:rsidR="00075EC0" w:rsidRPr="00CD6C34">
        <w:rPr>
          <w:b/>
          <w:lang w:val="fr-CA"/>
        </w:rPr>
        <w:t xml:space="preserve"> </w:t>
      </w:r>
      <w:r w:rsidR="00644008">
        <w:rPr>
          <w:b/>
          <w:lang w:val="fr-CA"/>
        </w:rPr>
        <w:t>janvier</w:t>
      </w:r>
      <w:r w:rsidR="00A151D1" w:rsidRPr="00CD6C34">
        <w:rPr>
          <w:b/>
          <w:lang w:val="fr-CA"/>
        </w:rPr>
        <w:t xml:space="preserve"> 20</w:t>
      </w:r>
      <w:r w:rsidR="00526754" w:rsidRPr="00CD6C34">
        <w:rPr>
          <w:b/>
          <w:lang w:val="fr-CA"/>
        </w:rPr>
        <w:t>2</w:t>
      </w:r>
      <w:r w:rsidR="00644008">
        <w:rPr>
          <w:b/>
          <w:lang w:val="fr-CA"/>
        </w:rPr>
        <w:t>2</w:t>
      </w:r>
    </w:p>
    <w:p w:rsidR="006F2579" w:rsidRPr="00CD6C34" w:rsidRDefault="006F2579" w:rsidP="006F2579">
      <w:pPr>
        <w:widowControl w:val="0"/>
        <w:rPr>
          <w:b/>
          <w:lang w:val="fr-CA"/>
        </w:rPr>
      </w:pPr>
      <w:r w:rsidRPr="00CD6C34">
        <w:rPr>
          <w:b/>
          <w:lang w:val="fr-CA"/>
        </w:rPr>
        <w:t>Pour diffusion immédiate</w:t>
      </w:r>
    </w:p>
    <w:p w:rsidR="006F2579" w:rsidRPr="00CD6C34" w:rsidRDefault="006F2579" w:rsidP="006F2579">
      <w:pPr>
        <w:widowControl w:val="0"/>
        <w:rPr>
          <w:lang w:val="fr-CA"/>
        </w:rPr>
      </w:pPr>
    </w:p>
    <w:p w:rsidR="006F2579" w:rsidRPr="00CD6C34" w:rsidRDefault="006F2579" w:rsidP="006F2579">
      <w:pPr>
        <w:widowControl w:val="0"/>
        <w:rPr>
          <w:lang w:val="fr-CA"/>
        </w:rPr>
      </w:pPr>
      <w:r w:rsidRPr="00CD6C34">
        <w:rPr>
          <w:b/>
          <w:lang w:val="fr-CA"/>
        </w:rPr>
        <w:t>OTTAWA</w:t>
      </w:r>
      <w:r w:rsidRPr="00CD6C34">
        <w:rPr>
          <w:lang w:val="fr-CA"/>
        </w:rPr>
        <w:t xml:space="preserve"> – La Cour suprême du Canada annonce que jugement ser</w:t>
      </w:r>
      <w:r w:rsidR="004259F9" w:rsidRPr="00CD6C34">
        <w:rPr>
          <w:lang w:val="fr-CA"/>
        </w:rPr>
        <w:t>a</w:t>
      </w:r>
      <w:r w:rsidRPr="00CD6C34">
        <w:rPr>
          <w:lang w:val="fr-CA"/>
        </w:rPr>
        <w:t xml:space="preserve"> rendu dans l</w:t>
      </w:r>
      <w:r w:rsidR="008600ED" w:rsidRPr="00CD6C34">
        <w:rPr>
          <w:lang w:val="fr-CA"/>
        </w:rPr>
        <w:t>es</w:t>
      </w:r>
      <w:r w:rsidRPr="00CD6C34">
        <w:rPr>
          <w:lang w:val="fr-CA"/>
        </w:rPr>
        <w:t xml:space="preserve"> demande</w:t>
      </w:r>
      <w:r w:rsidR="008600ED" w:rsidRPr="00CD6C34">
        <w:rPr>
          <w:lang w:val="fr-CA"/>
        </w:rPr>
        <w:t>s</w:t>
      </w:r>
      <w:r w:rsidRPr="00CD6C34">
        <w:rPr>
          <w:lang w:val="fr-CA"/>
        </w:rPr>
        <w:t xml:space="preserve"> d</w:t>
      </w:r>
      <w:r w:rsidR="00001846" w:rsidRPr="00CD6C34">
        <w:rPr>
          <w:lang w:val="fr-CA"/>
        </w:rPr>
        <w:t>’autorisation suivante</w:t>
      </w:r>
      <w:r w:rsidR="008600ED" w:rsidRPr="00CD6C34">
        <w:rPr>
          <w:lang w:val="fr-CA"/>
        </w:rPr>
        <w:t>s</w:t>
      </w:r>
      <w:r w:rsidRPr="00CD6C34">
        <w:rPr>
          <w:lang w:val="fr-CA"/>
        </w:rPr>
        <w:t xml:space="preserve"> le </w:t>
      </w:r>
      <w:r w:rsidR="00322A9C" w:rsidRPr="00CD6C34">
        <w:rPr>
          <w:lang w:val="fr-CA"/>
        </w:rPr>
        <w:t>jeu</w:t>
      </w:r>
      <w:r w:rsidR="00680A85" w:rsidRPr="00CD6C34">
        <w:rPr>
          <w:lang w:val="fr-CA"/>
        </w:rPr>
        <w:t>di</w:t>
      </w:r>
      <w:r w:rsidRPr="00CD6C34">
        <w:rPr>
          <w:lang w:val="fr-CA"/>
        </w:rPr>
        <w:t xml:space="preserve"> </w:t>
      </w:r>
      <w:r w:rsidR="00644008">
        <w:rPr>
          <w:lang w:val="fr-CA"/>
        </w:rPr>
        <w:t>1</w:t>
      </w:r>
      <w:r w:rsidR="009A5C9E" w:rsidRPr="00CD6C34">
        <w:rPr>
          <w:lang w:val="fr-CA"/>
        </w:rPr>
        <w:t>3</w:t>
      </w:r>
      <w:r w:rsidR="009E0BD3" w:rsidRPr="00CD6C34">
        <w:rPr>
          <w:lang w:val="fr-CA"/>
        </w:rPr>
        <w:t xml:space="preserve"> </w:t>
      </w:r>
      <w:r w:rsidR="00644008">
        <w:rPr>
          <w:lang w:val="fr-CA"/>
        </w:rPr>
        <w:t>janvier</w:t>
      </w:r>
      <w:r w:rsidR="00694391" w:rsidRPr="00CD6C34">
        <w:rPr>
          <w:lang w:val="fr-CA"/>
        </w:rPr>
        <w:t xml:space="preserve"> 2</w:t>
      </w:r>
      <w:r w:rsidR="006648D1" w:rsidRPr="00CD6C34">
        <w:rPr>
          <w:lang w:val="fr-CA"/>
        </w:rPr>
        <w:t>0</w:t>
      </w:r>
      <w:r w:rsidR="00526754" w:rsidRPr="00CD6C34">
        <w:rPr>
          <w:lang w:val="fr-CA"/>
        </w:rPr>
        <w:t>2</w:t>
      </w:r>
      <w:r w:rsidR="00644008">
        <w:rPr>
          <w:lang w:val="fr-CA"/>
        </w:rPr>
        <w:t>2</w:t>
      </w:r>
      <w:r w:rsidRPr="00CD6C34">
        <w:rPr>
          <w:lang w:val="fr-CA"/>
        </w:rPr>
        <w:t xml:space="preserve">, à 9 h 45 </w:t>
      </w:r>
      <w:r w:rsidR="000627A2" w:rsidRPr="00CD6C34">
        <w:rPr>
          <w:lang w:val="fr-CA"/>
        </w:rPr>
        <w:t>H</w:t>
      </w:r>
      <w:r w:rsidR="006D4676" w:rsidRPr="00CD6C34">
        <w:rPr>
          <w:lang w:val="fr-CA"/>
        </w:rPr>
        <w:t>N</w:t>
      </w:r>
      <w:r w:rsidRPr="00CD6C34">
        <w:rPr>
          <w:lang w:val="fr-CA"/>
        </w:rPr>
        <w:t>E. Cette liste est sujette à modification</w:t>
      </w:r>
      <w:r w:rsidR="00130ADB" w:rsidRPr="00CD6C34">
        <w:rPr>
          <w:lang w:val="fr-CA"/>
        </w:rPr>
        <w:t>s</w:t>
      </w:r>
      <w:r w:rsidRPr="00CD6C34">
        <w:rPr>
          <w:lang w:val="fr-CA"/>
        </w:rPr>
        <w:t>.</w:t>
      </w:r>
    </w:p>
    <w:p w:rsidR="0080556B" w:rsidRPr="00CD6C34" w:rsidRDefault="0080556B" w:rsidP="005F2A78">
      <w:pPr>
        <w:widowControl w:val="0"/>
        <w:tabs>
          <w:tab w:val="left" w:pos="3840"/>
        </w:tabs>
        <w:jc w:val="both"/>
        <w:rPr>
          <w:sz w:val="20"/>
          <w:lang w:val="fr-CA"/>
        </w:rPr>
      </w:pPr>
    </w:p>
    <w:p w:rsidR="00867C61" w:rsidRPr="00CD6C34" w:rsidRDefault="00370316" w:rsidP="009B14F4">
      <w:pPr>
        <w:widowControl w:val="0"/>
        <w:jc w:val="both"/>
        <w:rPr>
          <w:sz w:val="20"/>
        </w:rPr>
      </w:pPr>
      <w:r>
        <w:rPr>
          <w:sz w:val="20"/>
        </w:rPr>
        <w:pict>
          <v:rect id="_x0000_i1025" style="width:2in;height:1pt" o:hrpct="0" o:hralign="center" o:hrstd="t" o:hrnoshade="t" o:hr="t" fillcolor="black [3213]" stroked="f"/>
        </w:pict>
      </w:r>
    </w:p>
    <w:p w:rsidR="004A6E51" w:rsidRDefault="004A6E51" w:rsidP="0053032E">
      <w:pPr>
        <w:rPr>
          <w:sz w:val="20"/>
          <w:lang w:val="fr-CA"/>
        </w:rPr>
      </w:pPr>
    </w:p>
    <w:p w:rsidR="006010C0" w:rsidRPr="000A4752" w:rsidRDefault="006010C0" w:rsidP="006010C0">
      <w:pPr>
        <w:pStyle w:val="ListParagraph"/>
        <w:numPr>
          <w:ilvl w:val="0"/>
          <w:numId w:val="29"/>
        </w:numPr>
        <w:tabs>
          <w:tab w:val="left" w:pos="360"/>
        </w:tabs>
        <w:ind w:left="357" w:hanging="357"/>
        <w:rPr>
          <w:i/>
          <w:sz w:val="20"/>
        </w:rPr>
      </w:pPr>
      <w:r w:rsidRPr="000A4752">
        <w:rPr>
          <w:i/>
          <w:sz w:val="20"/>
        </w:rPr>
        <w:t xml:space="preserve">Chael Mills v. Her Majesty the Queen </w:t>
      </w:r>
      <w:r w:rsidRPr="000A4752">
        <w:rPr>
          <w:sz w:val="20"/>
        </w:rPr>
        <w:t xml:space="preserve">(Ont.) (Criminal) (By Leave) </w:t>
      </w:r>
      <w:r w:rsidR="000A4752" w:rsidRPr="000A4752">
        <w:rPr>
          <w:rFonts w:eastAsia="Calibri"/>
          <w:sz w:val="20"/>
        </w:rPr>
        <w:t>(</w:t>
      </w:r>
      <w:hyperlink r:id="rId8" w:history="1">
        <w:r w:rsidR="000A4752" w:rsidRPr="000A4752">
          <w:rPr>
            <w:rStyle w:val="Hyperlink"/>
            <w:rFonts w:eastAsia="Calibri"/>
            <w:sz w:val="20"/>
          </w:rPr>
          <w:t>39779</w:t>
        </w:r>
      </w:hyperlink>
      <w:r w:rsidR="000A4752" w:rsidRPr="000A4752">
        <w:rPr>
          <w:rFonts w:eastAsia="Calibri"/>
          <w:sz w:val="20"/>
        </w:rPr>
        <w:t>)</w:t>
      </w:r>
    </w:p>
    <w:p w:rsidR="006010C0" w:rsidRPr="000A4752" w:rsidRDefault="006010C0" w:rsidP="006010C0">
      <w:pPr>
        <w:tabs>
          <w:tab w:val="left" w:pos="360"/>
        </w:tabs>
        <w:ind w:left="357" w:hanging="357"/>
        <w:rPr>
          <w:i/>
          <w:sz w:val="20"/>
        </w:rPr>
      </w:pPr>
    </w:p>
    <w:p w:rsidR="006010C0" w:rsidRPr="000A4752" w:rsidRDefault="006010C0" w:rsidP="006010C0">
      <w:pPr>
        <w:pStyle w:val="ListParagraph"/>
        <w:numPr>
          <w:ilvl w:val="0"/>
          <w:numId w:val="29"/>
        </w:numPr>
        <w:tabs>
          <w:tab w:val="left" w:pos="360"/>
        </w:tabs>
        <w:ind w:left="357" w:hanging="357"/>
        <w:rPr>
          <w:i/>
          <w:sz w:val="20"/>
          <w:lang w:val="fr-CA"/>
        </w:rPr>
      </w:pPr>
      <w:r w:rsidRPr="000A4752">
        <w:rPr>
          <w:i/>
          <w:sz w:val="20"/>
        </w:rPr>
        <w:t xml:space="preserve">Lavare Williams v. Her Majesty the Queen </w:t>
      </w:r>
      <w:r w:rsidRPr="000A4752">
        <w:rPr>
          <w:sz w:val="20"/>
        </w:rPr>
        <w:t xml:space="preserve">(Ont.) </w:t>
      </w:r>
      <w:r w:rsidR="000A4752" w:rsidRPr="000A4752">
        <w:rPr>
          <w:sz w:val="20"/>
          <w:lang w:val="fr-CA"/>
        </w:rPr>
        <w:t>(Criminal) (By Leave)</w:t>
      </w:r>
      <w:r w:rsidRPr="000A4752">
        <w:rPr>
          <w:sz w:val="20"/>
          <w:lang w:val="fr-CA"/>
        </w:rPr>
        <w:t xml:space="preserve"> </w:t>
      </w:r>
      <w:r w:rsidR="000A4752" w:rsidRPr="000A4752">
        <w:rPr>
          <w:rFonts w:eastAsia="Calibri"/>
          <w:sz w:val="20"/>
        </w:rPr>
        <w:t>(</w:t>
      </w:r>
      <w:hyperlink r:id="rId9" w:history="1">
        <w:r w:rsidR="000A4752" w:rsidRPr="000A4752">
          <w:rPr>
            <w:rStyle w:val="Hyperlink"/>
            <w:rFonts w:eastAsia="Calibri"/>
            <w:sz w:val="20"/>
          </w:rPr>
          <w:t>39787</w:t>
        </w:r>
      </w:hyperlink>
      <w:r w:rsidR="000A4752" w:rsidRPr="000A4752">
        <w:rPr>
          <w:rFonts w:eastAsia="Calibri"/>
          <w:sz w:val="20"/>
        </w:rPr>
        <w:t>)</w:t>
      </w:r>
    </w:p>
    <w:p w:rsidR="006010C0" w:rsidRPr="000A4752" w:rsidRDefault="006010C0" w:rsidP="006010C0">
      <w:pPr>
        <w:tabs>
          <w:tab w:val="left" w:pos="360"/>
        </w:tabs>
        <w:ind w:left="357" w:hanging="357"/>
        <w:rPr>
          <w:i/>
          <w:sz w:val="20"/>
          <w:lang w:val="fr-CA"/>
        </w:rPr>
      </w:pPr>
    </w:p>
    <w:p w:rsidR="006010C0" w:rsidRPr="000A4752" w:rsidRDefault="006010C0" w:rsidP="006010C0">
      <w:pPr>
        <w:pStyle w:val="ListParagraph"/>
        <w:numPr>
          <w:ilvl w:val="0"/>
          <w:numId w:val="29"/>
        </w:numPr>
        <w:tabs>
          <w:tab w:val="left" w:pos="360"/>
        </w:tabs>
        <w:ind w:left="357" w:hanging="357"/>
        <w:rPr>
          <w:sz w:val="20"/>
          <w:lang w:val="fr-CA"/>
        </w:rPr>
      </w:pPr>
      <w:r w:rsidRPr="000A4752">
        <w:rPr>
          <w:i/>
          <w:sz w:val="20"/>
          <w:lang w:val="fr-CA"/>
        </w:rPr>
        <w:t xml:space="preserve">Construction Unibec inc. c. Ville de Saguenay </w:t>
      </w:r>
      <w:r w:rsidRPr="000A4752">
        <w:rPr>
          <w:sz w:val="20"/>
          <w:lang w:val="fr-CA"/>
        </w:rPr>
        <w:t xml:space="preserve">(Qc) (Civile) (Autorisation) </w:t>
      </w:r>
      <w:r w:rsidR="000A4752" w:rsidRPr="000A4752">
        <w:rPr>
          <w:rFonts w:eastAsia="Calibri"/>
          <w:sz w:val="20"/>
          <w:lang w:val="fr-CA"/>
        </w:rPr>
        <w:t>(</w:t>
      </w:r>
      <w:hyperlink r:id="rId10" w:history="1">
        <w:r w:rsidR="000A4752" w:rsidRPr="000A4752">
          <w:rPr>
            <w:rStyle w:val="Hyperlink"/>
            <w:rFonts w:eastAsia="Calibri"/>
            <w:sz w:val="20"/>
            <w:lang w:val="fr-CA"/>
          </w:rPr>
          <w:t>39702</w:t>
        </w:r>
      </w:hyperlink>
      <w:r w:rsidR="000A4752" w:rsidRPr="000A4752">
        <w:rPr>
          <w:rFonts w:eastAsia="Calibri"/>
          <w:sz w:val="20"/>
          <w:lang w:val="fr-CA"/>
        </w:rPr>
        <w:t>)</w:t>
      </w:r>
    </w:p>
    <w:p w:rsidR="006010C0" w:rsidRPr="000A4752" w:rsidRDefault="006010C0" w:rsidP="006010C0">
      <w:pPr>
        <w:tabs>
          <w:tab w:val="left" w:pos="360"/>
        </w:tabs>
        <w:ind w:left="357" w:hanging="357"/>
        <w:contextualSpacing/>
        <w:rPr>
          <w:sz w:val="20"/>
          <w:lang w:val="fr-CA"/>
        </w:rPr>
      </w:pPr>
    </w:p>
    <w:p w:rsidR="006010C0" w:rsidRPr="000A4752" w:rsidRDefault="006010C0" w:rsidP="006010C0">
      <w:pPr>
        <w:pStyle w:val="ListParagraph"/>
        <w:numPr>
          <w:ilvl w:val="0"/>
          <w:numId w:val="29"/>
        </w:numPr>
        <w:tabs>
          <w:tab w:val="left" w:pos="360"/>
        </w:tabs>
        <w:ind w:left="357" w:hanging="357"/>
        <w:rPr>
          <w:sz w:val="20"/>
          <w:lang w:val="fr-CA"/>
        </w:rPr>
      </w:pPr>
      <w:r w:rsidRPr="000A4752">
        <w:rPr>
          <w:rStyle w:val="SCCAppellantInfoAppellantInfoChar"/>
          <w:i/>
          <w:sz w:val="20"/>
          <w:szCs w:val="20"/>
          <w:lang w:val="fr-CA"/>
        </w:rPr>
        <w:t>Nancy Savoie c. Charles Savoie</w:t>
      </w:r>
      <w:r w:rsidRPr="000A4752">
        <w:rPr>
          <w:rStyle w:val="SCCAppellantInfoAppellantInfoChar"/>
          <w:sz w:val="20"/>
          <w:szCs w:val="20"/>
          <w:lang w:val="fr-CA"/>
        </w:rPr>
        <w:t xml:space="preserve"> (N.-B.) (Civile) (Autorisation)</w:t>
      </w:r>
      <w:r w:rsidRPr="000A4752">
        <w:rPr>
          <w:sz w:val="20"/>
          <w:lang w:val="fr-CA"/>
        </w:rPr>
        <w:t xml:space="preserve"> </w:t>
      </w:r>
      <w:r w:rsidR="000A4752" w:rsidRPr="000A4752">
        <w:rPr>
          <w:rFonts w:eastAsia="Calibri"/>
          <w:sz w:val="20"/>
        </w:rPr>
        <w:t>(</w:t>
      </w:r>
      <w:hyperlink r:id="rId11" w:history="1">
        <w:r w:rsidR="000A4752" w:rsidRPr="000A4752">
          <w:rPr>
            <w:rStyle w:val="Hyperlink"/>
            <w:rFonts w:eastAsia="Calibri"/>
            <w:sz w:val="20"/>
          </w:rPr>
          <w:t>39741</w:t>
        </w:r>
      </w:hyperlink>
      <w:r w:rsidR="000A4752" w:rsidRPr="000A4752">
        <w:rPr>
          <w:rFonts w:eastAsia="Calibri"/>
          <w:sz w:val="20"/>
        </w:rPr>
        <w:t>)</w:t>
      </w:r>
    </w:p>
    <w:p w:rsidR="006010C0" w:rsidRPr="000A4752" w:rsidRDefault="006010C0" w:rsidP="006010C0">
      <w:pPr>
        <w:tabs>
          <w:tab w:val="left" w:pos="360"/>
        </w:tabs>
        <w:ind w:left="357" w:hanging="357"/>
        <w:rPr>
          <w:sz w:val="20"/>
          <w:lang w:val="fr-CA"/>
        </w:rPr>
      </w:pPr>
    </w:p>
    <w:p w:rsidR="006010C0" w:rsidRPr="000A4752" w:rsidRDefault="006010C0" w:rsidP="006010C0">
      <w:pPr>
        <w:pStyle w:val="ListParagraph"/>
        <w:numPr>
          <w:ilvl w:val="0"/>
          <w:numId w:val="29"/>
        </w:numPr>
        <w:tabs>
          <w:tab w:val="left" w:pos="360"/>
        </w:tabs>
        <w:ind w:left="357" w:hanging="357"/>
        <w:rPr>
          <w:sz w:val="20"/>
        </w:rPr>
      </w:pPr>
      <w:r w:rsidRPr="000A4752">
        <w:rPr>
          <w:i/>
          <w:sz w:val="20"/>
        </w:rPr>
        <w:t>Temitope Dare v. Her Majesty the Queen</w:t>
      </w:r>
      <w:r w:rsidRPr="000A4752">
        <w:rPr>
          <w:sz w:val="20"/>
        </w:rPr>
        <w:t xml:space="preserve"> (Ont.) (Criminal) (By Leave) </w:t>
      </w:r>
      <w:r w:rsidR="000A4752" w:rsidRPr="000A4752">
        <w:rPr>
          <w:rFonts w:eastAsia="Calibri"/>
          <w:sz w:val="20"/>
        </w:rPr>
        <w:t>(</w:t>
      </w:r>
      <w:hyperlink r:id="rId12" w:history="1">
        <w:r w:rsidR="000A4752" w:rsidRPr="000A4752">
          <w:rPr>
            <w:rStyle w:val="Hyperlink"/>
            <w:rFonts w:eastAsia="Calibri"/>
            <w:sz w:val="20"/>
          </w:rPr>
          <w:t>39871</w:t>
        </w:r>
      </w:hyperlink>
      <w:r w:rsidR="000A4752" w:rsidRPr="000A4752">
        <w:rPr>
          <w:rFonts w:eastAsia="Calibri"/>
          <w:sz w:val="20"/>
        </w:rPr>
        <w:t>)</w:t>
      </w:r>
    </w:p>
    <w:p w:rsidR="006010C0" w:rsidRPr="006010C0" w:rsidRDefault="006010C0" w:rsidP="006010C0">
      <w:pPr>
        <w:ind w:left="357" w:hanging="357"/>
        <w:rPr>
          <w:sz w:val="20"/>
        </w:rPr>
      </w:pPr>
    </w:p>
    <w:p w:rsidR="006010C0" w:rsidRPr="00646C62" w:rsidRDefault="006010C0" w:rsidP="006010C0">
      <w:pPr>
        <w:pStyle w:val="ListParagraph"/>
        <w:numPr>
          <w:ilvl w:val="0"/>
          <w:numId w:val="29"/>
        </w:numPr>
        <w:ind w:left="357" w:hanging="357"/>
        <w:rPr>
          <w:sz w:val="20"/>
          <w:lang w:val="en-CA"/>
        </w:rPr>
      </w:pPr>
      <w:r w:rsidRPr="00646C62">
        <w:rPr>
          <w:i/>
          <w:sz w:val="20"/>
        </w:rPr>
        <w:t>Brandon Michael McManus v. Her Majesty the Queen</w:t>
      </w:r>
      <w:r w:rsidRPr="00646C62">
        <w:rPr>
          <w:i/>
          <w:sz w:val="20"/>
          <w:lang w:val="en-CA"/>
        </w:rPr>
        <w:t xml:space="preserve"> </w:t>
      </w:r>
      <w:r w:rsidRPr="00646C62">
        <w:rPr>
          <w:rFonts w:eastAsiaTheme="minorHAnsi" w:cstheme="minorBidi"/>
          <w:sz w:val="20"/>
          <w:lang w:val="en-CA"/>
        </w:rPr>
        <w:t xml:space="preserve">(Alta.) (Criminal) (By Leave) </w:t>
      </w:r>
      <w:r w:rsidR="000A4752" w:rsidRPr="00646C62">
        <w:rPr>
          <w:rFonts w:eastAsia="Calibri"/>
          <w:sz w:val="20"/>
        </w:rPr>
        <w:t>(</w:t>
      </w:r>
      <w:hyperlink r:id="rId13" w:history="1">
        <w:r w:rsidR="000A4752" w:rsidRPr="00646C62">
          <w:rPr>
            <w:rStyle w:val="Hyperlink"/>
            <w:rFonts w:eastAsia="Calibri"/>
            <w:sz w:val="20"/>
          </w:rPr>
          <w:t>39801</w:t>
        </w:r>
      </w:hyperlink>
      <w:r w:rsidR="000A4752" w:rsidRPr="00646C62">
        <w:rPr>
          <w:rFonts w:eastAsia="Calibri"/>
          <w:sz w:val="20"/>
        </w:rPr>
        <w:t>)</w:t>
      </w:r>
    </w:p>
    <w:p w:rsidR="006010C0" w:rsidRPr="00646C62" w:rsidRDefault="006010C0" w:rsidP="006010C0">
      <w:pPr>
        <w:widowControl w:val="0"/>
        <w:autoSpaceDE w:val="0"/>
        <w:autoSpaceDN w:val="0"/>
        <w:adjustRightInd w:val="0"/>
        <w:ind w:left="357" w:hanging="357"/>
        <w:contextualSpacing/>
        <w:rPr>
          <w:sz w:val="20"/>
          <w:lang w:val="en-CA"/>
        </w:rPr>
      </w:pPr>
    </w:p>
    <w:p w:rsidR="006010C0" w:rsidRPr="00646C62" w:rsidRDefault="006010C0" w:rsidP="006010C0">
      <w:pPr>
        <w:pStyle w:val="ListParagraph"/>
        <w:numPr>
          <w:ilvl w:val="0"/>
          <w:numId w:val="29"/>
        </w:numPr>
        <w:ind w:left="357" w:hanging="357"/>
        <w:rPr>
          <w:sz w:val="20"/>
          <w:lang w:val="en-CA"/>
        </w:rPr>
      </w:pPr>
      <w:r w:rsidRPr="00646C62">
        <w:rPr>
          <w:i/>
          <w:sz w:val="20"/>
        </w:rPr>
        <w:t xml:space="preserve">D.W. Conley, </w:t>
      </w:r>
      <w:r w:rsidR="000A4752" w:rsidRPr="00646C62">
        <w:rPr>
          <w:i/>
          <w:sz w:val="20"/>
        </w:rPr>
        <w:t>et al.</w:t>
      </w:r>
      <w:r w:rsidRPr="00646C62">
        <w:rPr>
          <w:i/>
          <w:sz w:val="20"/>
        </w:rPr>
        <w:t xml:space="preserve"> v. Cole Parliament, an incapable by his Litigation Guardian, Kimberley York, John Parliament</w:t>
      </w:r>
      <w:r w:rsidR="000A4752" w:rsidRPr="00646C62">
        <w:rPr>
          <w:i/>
          <w:sz w:val="20"/>
        </w:rPr>
        <w:t>,</w:t>
      </w:r>
      <w:r w:rsidRPr="00646C62">
        <w:rPr>
          <w:i/>
          <w:sz w:val="20"/>
        </w:rPr>
        <w:t xml:space="preserve"> </w:t>
      </w:r>
      <w:r w:rsidR="000A4752" w:rsidRPr="00646C62">
        <w:rPr>
          <w:i/>
          <w:sz w:val="20"/>
        </w:rPr>
        <w:t>et al.</w:t>
      </w:r>
      <w:r w:rsidRPr="00646C62">
        <w:rPr>
          <w:sz w:val="20"/>
        </w:rPr>
        <w:t xml:space="preserve"> (Ont.) (Civil) (By Leave) </w:t>
      </w:r>
      <w:r w:rsidR="000A4752" w:rsidRPr="00646C62">
        <w:rPr>
          <w:rFonts w:eastAsia="Calibri"/>
          <w:sz w:val="20"/>
        </w:rPr>
        <w:t>(</w:t>
      </w:r>
      <w:hyperlink r:id="rId14" w:history="1">
        <w:r w:rsidR="000A4752" w:rsidRPr="00646C62">
          <w:rPr>
            <w:rStyle w:val="Hyperlink"/>
            <w:rFonts w:eastAsia="Calibri"/>
            <w:sz w:val="20"/>
          </w:rPr>
          <w:t>39734</w:t>
        </w:r>
      </w:hyperlink>
      <w:r w:rsidR="000A4752" w:rsidRPr="00646C62">
        <w:rPr>
          <w:rFonts w:eastAsia="Calibri"/>
          <w:sz w:val="20"/>
        </w:rPr>
        <w:t>)</w:t>
      </w:r>
    </w:p>
    <w:p w:rsidR="006010C0" w:rsidRPr="00646C62" w:rsidRDefault="006010C0" w:rsidP="006010C0">
      <w:pPr>
        <w:widowControl w:val="0"/>
        <w:autoSpaceDE w:val="0"/>
        <w:autoSpaceDN w:val="0"/>
        <w:adjustRightInd w:val="0"/>
        <w:ind w:left="357" w:hanging="357"/>
        <w:rPr>
          <w:sz w:val="20"/>
          <w:lang w:val="en-CA"/>
        </w:rPr>
      </w:pPr>
    </w:p>
    <w:p w:rsidR="006010C0" w:rsidRPr="00646C62" w:rsidRDefault="006010C0" w:rsidP="006010C0">
      <w:pPr>
        <w:pStyle w:val="ListParagraph"/>
        <w:numPr>
          <w:ilvl w:val="0"/>
          <w:numId w:val="29"/>
        </w:numPr>
        <w:ind w:left="357" w:hanging="357"/>
        <w:rPr>
          <w:sz w:val="20"/>
          <w:lang w:val="en-CA"/>
        </w:rPr>
      </w:pPr>
      <w:r w:rsidRPr="00646C62">
        <w:rPr>
          <w:i/>
          <w:sz w:val="20"/>
        </w:rPr>
        <w:t xml:space="preserve">Chinedu Gideon Ubah v. Canadian National Resources Limited, </w:t>
      </w:r>
      <w:r w:rsidR="000A4752" w:rsidRPr="00646C62">
        <w:rPr>
          <w:i/>
          <w:sz w:val="20"/>
        </w:rPr>
        <w:t>et al.</w:t>
      </w:r>
      <w:r w:rsidRPr="00646C62">
        <w:rPr>
          <w:sz w:val="20"/>
        </w:rPr>
        <w:t xml:space="preserve"> (Alta.) (Civil) (By Leave) </w:t>
      </w:r>
      <w:r w:rsidR="000A4752" w:rsidRPr="00646C62">
        <w:rPr>
          <w:rFonts w:eastAsia="Calibri"/>
          <w:sz w:val="20"/>
        </w:rPr>
        <w:t>(</w:t>
      </w:r>
      <w:hyperlink r:id="rId15" w:history="1">
        <w:r w:rsidR="000A4752" w:rsidRPr="00646C62">
          <w:rPr>
            <w:rStyle w:val="Hyperlink"/>
            <w:rFonts w:eastAsia="Calibri"/>
            <w:sz w:val="20"/>
          </w:rPr>
          <w:t>39757</w:t>
        </w:r>
      </w:hyperlink>
      <w:r w:rsidR="000A4752" w:rsidRPr="00646C62">
        <w:rPr>
          <w:rFonts w:eastAsia="Calibri"/>
          <w:sz w:val="20"/>
        </w:rPr>
        <w:t>)</w:t>
      </w:r>
    </w:p>
    <w:p w:rsidR="006010C0" w:rsidRPr="00646C62" w:rsidRDefault="006010C0" w:rsidP="006010C0">
      <w:pPr>
        <w:widowControl w:val="0"/>
        <w:autoSpaceDE w:val="0"/>
        <w:autoSpaceDN w:val="0"/>
        <w:adjustRightInd w:val="0"/>
        <w:ind w:left="357" w:hanging="357"/>
        <w:rPr>
          <w:rFonts w:eastAsia="Calibri"/>
          <w:sz w:val="20"/>
          <w:lang w:val="en-CA"/>
        </w:rPr>
      </w:pPr>
    </w:p>
    <w:p w:rsidR="006010C0" w:rsidRPr="00646C62" w:rsidRDefault="006010C0" w:rsidP="006010C0">
      <w:pPr>
        <w:pStyle w:val="ListParagraph"/>
        <w:numPr>
          <w:ilvl w:val="0"/>
          <w:numId w:val="29"/>
        </w:numPr>
        <w:ind w:left="357" w:hanging="357"/>
        <w:rPr>
          <w:sz w:val="20"/>
        </w:rPr>
      </w:pPr>
      <w:r w:rsidRPr="0028541A">
        <w:rPr>
          <w:i/>
          <w:sz w:val="20"/>
          <w:lang w:val="fr-CA"/>
        </w:rPr>
        <w:t xml:space="preserve">Liliana Kostic v. Bruce Alger, </w:t>
      </w:r>
      <w:r w:rsidR="000A4752" w:rsidRPr="0028541A">
        <w:rPr>
          <w:i/>
          <w:sz w:val="20"/>
          <w:lang w:val="fr-CA"/>
        </w:rPr>
        <w:t>et al.</w:t>
      </w:r>
      <w:r w:rsidRPr="0028541A">
        <w:rPr>
          <w:rFonts w:eastAsiaTheme="minorHAnsi" w:cstheme="minorBidi"/>
          <w:sz w:val="20"/>
          <w:lang w:val="fr-CA"/>
        </w:rPr>
        <w:t xml:space="preserve"> </w:t>
      </w:r>
      <w:r w:rsidRPr="00646C62">
        <w:rPr>
          <w:sz w:val="20"/>
        </w:rPr>
        <w:t xml:space="preserve">(Alta.) (Civil) (By Leave) </w:t>
      </w:r>
      <w:r w:rsidR="000A4752" w:rsidRPr="00646C62">
        <w:rPr>
          <w:rFonts w:eastAsia="Calibri"/>
          <w:sz w:val="20"/>
        </w:rPr>
        <w:t>(</w:t>
      </w:r>
      <w:hyperlink r:id="rId16" w:history="1">
        <w:r w:rsidR="000A4752" w:rsidRPr="00646C62">
          <w:rPr>
            <w:rStyle w:val="Hyperlink"/>
            <w:rFonts w:eastAsia="Calibri"/>
            <w:sz w:val="20"/>
          </w:rPr>
          <w:t>39752</w:t>
        </w:r>
      </w:hyperlink>
      <w:r w:rsidR="000A4752" w:rsidRPr="00646C62">
        <w:rPr>
          <w:rFonts w:eastAsia="Calibri"/>
          <w:sz w:val="20"/>
        </w:rPr>
        <w:t>)</w:t>
      </w:r>
    </w:p>
    <w:p w:rsidR="006010C0" w:rsidRPr="00646C62" w:rsidRDefault="006010C0" w:rsidP="006010C0">
      <w:pPr>
        <w:widowControl w:val="0"/>
        <w:autoSpaceDE w:val="0"/>
        <w:autoSpaceDN w:val="0"/>
        <w:adjustRightInd w:val="0"/>
        <w:ind w:left="357" w:hanging="357"/>
        <w:contextualSpacing/>
        <w:rPr>
          <w:sz w:val="20"/>
        </w:rPr>
      </w:pPr>
    </w:p>
    <w:p w:rsidR="006010C0" w:rsidRPr="00646C62" w:rsidRDefault="006010C0" w:rsidP="006010C0">
      <w:pPr>
        <w:pStyle w:val="ListParagraph"/>
        <w:numPr>
          <w:ilvl w:val="0"/>
          <w:numId w:val="29"/>
        </w:numPr>
        <w:ind w:left="357" w:hanging="357"/>
        <w:rPr>
          <w:sz w:val="20"/>
          <w:lang w:val="en-CA"/>
        </w:rPr>
      </w:pPr>
      <w:r w:rsidRPr="00646C62">
        <w:rPr>
          <w:i/>
          <w:sz w:val="20"/>
          <w:lang w:val="en-CA"/>
        </w:rPr>
        <w:t>Glen Hansman v. Barry Neufeld</w:t>
      </w:r>
      <w:r w:rsidRPr="00646C62">
        <w:rPr>
          <w:sz w:val="20"/>
        </w:rPr>
        <w:t xml:space="preserve"> (B.C.) (Civil) (By Leave) </w:t>
      </w:r>
      <w:r w:rsidR="000A4752" w:rsidRPr="00646C62">
        <w:rPr>
          <w:rFonts w:eastAsia="Calibri"/>
          <w:sz w:val="20"/>
        </w:rPr>
        <w:t>(</w:t>
      </w:r>
      <w:hyperlink r:id="rId17" w:history="1">
        <w:r w:rsidR="000A4752" w:rsidRPr="00646C62">
          <w:rPr>
            <w:rStyle w:val="Hyperlink"/>
            <w:rFonts w:eastAsia="Calibri"/>
            <w:sz w:val="20"/>
          </w:rPr>
          <w:t>39796</w:t>
        </w:r>
      </w:hyperlink>
      <w:r w:rsidR="000A4752" w:rsidRPr="00646C62">
        <w:rPr>
          <w:rFonts w:eastAsia="Calibri"/>
          <w:sz w:val="20"/>
        </w:rPr>
        <w:t>)</w:t>
      </w:r>
    </w:p>
    <w:p w:rsidR="006010C0" w:rsidRPr="006010C0" w:rsidRDefault="006010C0" w:rsidP="006010C0">
      <w:pPr>
        <w:ind w:left="357" w:hanging="357"/>
        <w:rPr>
          <w:sz w:val="20"/>
        </w:rPr>
      </w:pPr>
    </w:p>
    <w:p w:rsidR="00644008" w:rsidRPr="006010C0" w:rsidRDefault="00644008" w:rsidP="006010C0">
      <w:pPr>
        <w:pStyle w:val="ListParagraph"/>
        <w:numPr>
          <w:ilvl w:val="0"/>
          <w:numId w:val="29"/>
        </w:numPr>
        <w:ind w:left="357" w:hanging="357"/>
        <w:rPr>
          <w:i/>
          <w:sz w:val="20"/>
          <w:lang w:val="fr-CA"/>
        </w:rPr>
      </w:pPr>
      <w:r w:rsidRPr="006010C0">
        <w:rPr>
          <w:i/>
          <w:sz w:val="20"/>
          <w:lang w:val="fr-CA"/>
        </w:rPr>
        <w:t xml:space="preserve">Steve Larrivée c. Sa Majesté la Reine </w:t>
      </w:r>
      <w:r w:rsidRPr="006010C0">
        <w:rPr>
          <w:sz w:val="20"/>
          <w:lang w:val="fr-CA"/>
        </w:rPr>
        <w:t xml:space="preserve">(Qc) (Criminelle) (Autorisation) </w:t>
      </w:r>
      <w:r w:rsidRPr="006010C0">
        <w:rPr>
          <w:rFonts w:eastAsia="Calibri"/>
          <w:sz w:val="20"/>
          <w:lang w:val="fr-CA"/>
        </w:rPr>
        <w:t>(</w:t>
      </w:r>
      <w:hyperlink r:id="rId18" w:history="1">
        <w:r w:rsidRPr="006010C0">
          <w:rPr>
            <w:rStyle w:val="Hyperlink"/>
            <w:rFonts w:eastAsia="Calibri"/>
            <w:sz w:val="20"/>
            <w:lang w:val="fr-CA"/>
          </w:rPr>
          <w:t>39585</w:t>
        </w:r>
      </w:hyperlink>
      <w:r w:rsidRPr="006010C0">
        <w:rPr>
          <w:rFonts w:eastAsia="Calibri"/>
          <w:sz w:val="20"/>
          <w:lang w:val="fr-CA"/>
        </w:rPr>
        <w:t>)</w:t>
      </w:r>
    </w:p>
    <w:p w:rsidR="00644008" w:rsidRPr="00644008" w:rsidRDefault="00644008" w:rsidP="006010C0">
      <w:pPr>
        <w:ind w:left="357" w:hanging="357"/>
        <w:rPr>
          <w:sz w:val="20"/>
          <w:lang w:val="fr-CA"/>
        </w:rPr>
      </w:pPr>
    </w:p>
    <w:p w:rsidR="00644008" w:rsidRPr="006010C0" w:rsidRDefault="00644008" w:rsidP="006010C0">
      <w:pPr>
        <w:pStyle w:val="ListParagraph"/>
        <w:numPr>
          <w:ilvl w:val="0"/>
          <w:numId w:val="29"/>
        </w:numPr>
        <w:ind w:left="357" w:hanging="357"/>
        <w:rPr>
          <w:sz w:val="20"/>
          <w:szCs w:val="20"/>
        </w:rPr>
      </w:pPr>
      <w:r w:rsidRPr="006010C0">
        <w:rPr>
          <w:i/>
          <w:sz w:val="20"/>
          <w:szCs w:val="20"/>
        </w:rPr>
        <w:t>Terry Wingert v. Her Majesty the Queen</w:t>
      </w:r>
      <w:r w:rsidRPr="006010C0">
        <w:rPr>
          <w:sz w:val="20"/>
          <w:szCs w:val="20"/>
        </w:rPr>
        <w:t xml:space="preserve"> (Alta.) (Criminal) (By Leave)</w:t>
      </w:r>
      <w:r w:rsidRPr="006010C0">
        <w:rPr>
          <w:sz w:val="20"/>
        </w:rPr>
        <w:t xml:space="preserve"> </w:t>
      </w:r>
      <w:r w:rsidRPr="006010C0">
        <w:rPr>
          <w:rFonts w:eastAsia="Calibri"/>
          <w:sz w:val="20"/>
        </w:rPr>
        <w:t>(</w:t>
      </w:r>
      <w:hyperlink r:id="rId19" w:history="1">
        <w:r w:rsidRPr="006010C0">
          <w:rPr>
            <w:rStyle w:val="Hyperlink"/>
            <w:rFonts w:eastAsia="Calibri"/>
            <w:sz w:val="20"/>
          </w:rPr>
          <w:t>39767</w:t>
        </w:r>
      </w:hyperlink>
      <w:r w:rsidRPr="006010C0">
        <w:rPr>
          <w:rFonts w:eastAsia="Calibri"/>
          <w:sz w:val="20"/>
        </w:rPr>
        <w:t>)</w:t>
      </w:r>
    </w:p>
    <w:p w:rsidR="003100F2" w:rsidRPr="00CD6C34" w:rsidRDefault="003100F2" w:rsidP="0053032E">
      <w:pPr>
        <w:rPr>
          <w:sz w:val="20"/>
        </w:rPr>
      </w:pPr>
    </w:p>
    <w:p w:rsidR="0057402C" w:rsidRPr="00CD6C34" w:rsidRDefault="00370316" w:rsidP="0053032E">
      <w:pPr>
        <w:widowControl w:val="0"/>
        <w:jc w:val="both"/>
        <w:rPr>
          <w:sz w:val="20"/>
        </w:rPr>
      </w:pPr>
      <w:r>
        <w:rPr>
          <w:sz w:val="20"/>
        </w:rPr>
        <w:pict>
          <v:rect id="_x0000_i1026" style="width:2in;height:1pt" o:hrpct="0" o:hralign="center" o:hrstd="t" o:hrnoshade="t" o:hr="t" fillcolor="black [3213]" stroked="f"/>
        </w:pict>
      </w:r>
    </w:p>
    <w:p w:rsidR="00644008" w:rsidRDefault="00644008" w:rsidP="005A487B">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39779</w:t>
            </w:r>
          </w:p>
        </w:tc>
        <w:tc>
          <w:tcPr>
            <w:tcW w:w="4457" w:type="pct"/>
            <w:gridSpan w:val="3"/>
          </w:tcPr>
          <w:p w:rsidR="0028541A" w:rsidRPr="0028541A" w:rsidRDefault="0028541A" w:rsidP="0028541A">
            <w:pPr>
              <w:pStyle w:val="SCCLsocParty"/>
              <w:jc w:val="both"/>
              <w:rPr>
                <w:b/>
                <w:sz w:val="20"/>
                <w:szCs w:val="20"/>
                <w:lang w:val="en-US"/>
              </w:rPr>
            </w:pPr>
            <w:r w:rsidRPr="0028541A">
              <w:rPr>
                <w:b/>
                <w:sz w:val="20"/>
                <w:szCs w:val="20"/>
                <w:lang w:val="en-US"/>
              </w:rPr>
              <w:t xml:space="preserve">Chael </w:t>
            </w:r>
            <w:proofErr w:type="gramStart"/>
            <w:r w:rsidRPr="0028541A">
              <w:rPr>
                <w:b/>
                <w:sz w:val="20"/>
                <w:szCs w:val="20"/>
                <w:lang w:val="en-US"/>
              </w:rPr>
              <w:t>Mills</w:t>
            </w:r>
            <w:proofErr w:type="gramEnd"/>
            <w:r w:rsidRPr="0028541A">
              <w:rPr>
                <w:b/>
                <w:sz w:val="20"/>
                <w:szCs w:val="20"/>
                <w:lang w:val="en-US"/>
              </w:rPr>
              <w:t xml:space="preserve"> v. Her Majesty the Queen</w:t>
            </w:r>
          </w:p>
          <w:p w:rsidR="0028541A" w:rsidRPr="0028541A" w:rsidRDefault="0028541A" w:rsidP="0028541A">
            <w:pPr>
              <w:jc w:val="both"/>
              <w:rPr>
                <w:sz w:val="20"/>
              </w:rPr>
            </w:pPr>
            <w:r w:rsidRPr="0028541A">
              <w:rPr>
                <w:sz w:val="20"/>
              </w:rPr>
              <w:t>(Ont.) (Criminal) (By Leave)</w:t>
            </w:r>
          </w:p>
        </w:tc>
      </w:tr>
      <w:tr w:rsidR="0028541A" w:rsidRPr="0028541A" w:rsidTr="0028541A">
        <w:tc>
          <w:tcPr>
            <w:tcW w:w="5000" w:type="pct"/>
            <w:gridSpan w:val="4"/>
          </w:tcPr>
          <w:p w:rsidR="0028541A" w:rsidRPr="0028541A" w:rsidRDefault="0028541A" w:rsidP="0028541A">
            <w:pPr>
              <w:jc w:val="both"/>
              <w:rPr>
                <w:sz w:val="20"/>
              </w:rPr>
            </w:pPr>
            <w:r w:rsidRPr="0028541A">
              <w:rPr>
                <w:sz w:val="20"/>
              </w:rPr>
              <w:lastRenderedPageBreak/>
              <w:t>Criminal law — Evidence — Whether rap compositions should be admitted as evidence of guilt</w:t>
            </w:r>
            <w:r w:rsidRPr="0028541A">
              <w:rPr>
                <w:color w:val="000000"/>
                <w:sz w:val="20"/>
              </w:rPr>
              <w:t>?</w:t>
            </w:r>
          </w:p>
        </w:tc>
      </w:tr>
      <w:tr w:rsidR="0028541A" w:rsidRPr="0028541A" w:rsidTr="0028541A">
        <w:tc>
          <w:tcPr>
            <w:tcW w:w="5000" w:type="pct"/>
            <w:gridSpan w:val="4"/>
          </w:tcPr>
          <w:p w:rsidR="0028541A" w:rsidRPr="0028541A" w:rsidRDefault="0028541A" w:rsidP="0028541A">
            <w:pPr>
              <w:jc w:val="both"/>
              <w:rPr>
                <w:sz w:val="20"/>
              </w:rPr>
            </w:pPr>
          </w:p>
          <w:p w:rsidR="0028541A" w:rsidRPr="0028541A" w:rsidRDefault="0028541A" w:rsidP="0028541A">
            <w:pPr>
              <w:jc w:val="both"/>
              <w:rPr>
                <w:sz w:val="20"/>
              </w:rPr>
            </w:pPr>
            <w:r w:rsidRPr="0028541A">
              <w:rPr>
                <w:sz w:val="20"/>
              </w:rPr>
              <w:t xml:space="preserve">Mr. Mills was charged with first degree murder following a fatal shooting. Crown counsel alleged that the shooting was gang-related and that Mr. Mills belonged to a street gang known as </w:t>
            </w:r>
            <w:r w:rsidRPr="0028541A">
              <w:rPr>
                <w:sz w:val="20"/>
                <w:lang w:val="en"/>
              </w:rPr>
              <w:t xml:space="preserve">M.O.B. Klick. The defence argued </w:t>
            </w:r>
            <w:r w:rsidRPr="0028541A">
              <w:rPr>
                <w:sz w:val="20"/>
              </w:rPr>
              <w:t xml:space="preserve">M.O.B. Klick was a legitimate rap group with no gang affiliation. </w:t>
            </w:r>
            <w:r w:rsidRPr="0028541A">
              <w:rPr>
                <w:sz w:val="20"/>
                <w:lang w:val="en"/>
              </w:rPr>
              <w:t>The Crown was granted leave to admit into evidence videos of rap music is which Mr. Mills appears, and handwritten rap lyrics allegedly authored by Mr. Mills. A jury convicted Mr. Mills of first degree murder. The Court of Appeal dismissed an appeal.</w:t>
            </w:r>
          </w:p>
        </w:tc>
      </w:tr>
      <w:tr w:rsidR="0028541A" w:rsidRPr="0028541A" w:rsidTr="0028541A">
        <w:tc>
          <w:tcPr>
            <w:tcW w:w="5000" w:type="pct"/>
            <w:gridSpan w:val="4"/>
          </w:tcPr>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February 19, 2013</w:t>
            </w:r>
          </w:p>
          <w:p w:rsidR="0028541A" w:rsidRPr="0028541A" w:rsidRDefault="0028541A" w:rsidP="0028541A">
            <w:pPr>
              <w:jc w:val="both"/>
              <w:rPr>
                <w:sz w:val="20"/>
              </w:rPr>
            </w:pPr>
            <w:r w:rsidRPr="0028541A">
              <w:rPr>
                <w:sz w:val="20"/>
              </w:rPr>
              <w:t>Ontario Superior Court of Justice</w:t>
            </w:r>
          </w:p>
          <w:p w:rsidR="0028541A" w:rsidRPr="0028541A" w:rsidRDefault="0028541A" w:rsidP="0028541A">
            <w:pPr>
              <w:jc w:val="both"/>
              <w:rPr>
                <w:sz w:val="20"/>
              </w:rPr>
            </w:pPr>
            <w:r w:rsidRPr="0028541A">
              <w:rPr>
                <w:sz w:val="20"/>
              </w:rPr>
              <w:t>(Clark J.)</w:t>
            </w:r>
          </w:p>
          <w:p w:rsidR="0028541A" w:rsidRPr="0028541A" w:rsidRDefault="00370316" w:rsidP="0028541A">
            <w:pPr>
              <w:jc w:val="both"/>
              <w:rPr>
                <w:sz w:val="20"/>
              </w:rPr>
            </w:pPr>
            <w:hyperlink r:id="rId20" w:history="1">
              <w:r w:rsidR="0028541A" w:rsidRPr="0028541A">
                <w:rPr>
                  <w:rStyle w:val="Hyperlink"/>
                  <w:sz w:val="20"/>
                </w:rPr>
                <w:t>2013 ONSC 1076</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Application to admit evidence allowed</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March 4 and March 7, 2013</w:t>
            </w:r>
          </w:p>
          <w:p w:rsidR="0028541A" w:rsidRPr="0028541A" w:rsidRDefault="0028541A" w:rsidP="0028541A">
            <w:pPr>
              <w:jc w:val="both"/>
              <w:rPr>
                <w:sz w:val="20"/>
              </w:rPr>
            </w:pPr>
            <w:r w:rsidRPr="0028541A">
              <w:rPr>
                <w:sz w:val="20"/>
              </w:rPr>
              <w:t xml:space="preserve">Ontario Superior Court of Justice </w:t>
            </w:r>
          </w:p>
          <w:p w:rsidR="0028541A" w:rsidRPr="0028541A" w:rsidRDefault="0028541A" w:rsidP="0028541A">
            <w:pPr>
              <w:jc w:val="both"/>
              <w:rPr>
                <w:sz w:val="20"/>
              </w:rPr>
            </w:pPr>
            <w:r w:rsidRPr="0028541A">
              <w:rPr>
                <w:sz w:val="20"/>
              </w:rPr>
              <w:t>(Clark J.)</w:t>
            </w:r>
          </w:p>
          <w:p w:rsidR="0028541A" w:rsidRPr="0028541A" w:rsidRDefault="00370316" w:rsidP="0028541A">
            <w:pPr>
              <w:jc w:val="both"/>
              <w:rPr>
                <w:sz w:val="20"/>
              </w:rPr>
            </w:pPr>
            <w:hyperlink r:id="rId21" w:history="1">
              <w:r w:rsidR="0028541A" w:rsidRPr="0028541A">
                <w:rPr>
                  <w:rStyle w:val="Hyperlink"/>
                  <w:sz w:val="20"/>
                </w:rPr>
                <w:t>2013 ONSC 3100</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Further ruling on admissibility of evidence</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March 23, 2013</w:t>
            </w:r>
          </w:p>
          <w:p w:rsidR="0028541A" w:rsidRPr="0028541A" w:rsidRDefault="0028541A" w:rsidP="0028541A">
            <w:pPr>
              <w:jc w:val="both"/>
              <w:rPr>
                <w:sz w:val="20"/>
              </w:rPr>
            </w:pPr>
            <w:r w:rsidRPr="0028541A">
              <w:rPr>
                <w:sz w:val="20"/>
              </w:rPr>
              <w:t>Ontario Superior Court of Justice</w:t>
            </w:r>
          </w:p>
          <w:p w:rsidR="0028541A" w:rsidRPr="0028541A" w:rsidRDefault="0028541A" w:rsidP="0028541A">
            <w:pPr>
              <w:jc w:val="both"/>
              <w:rPr>
                <w:sz w:val="20"/>
              </w:rPr>
            </w:pPr>
            <w:r w:rsidRPr="0028541A">
              <w:rPr>
                <w:sz w:val="20"/>
              </w:rPr>
              <w:t>(Clark J.)(Unreported)</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Conviction by jury of first-degree murder</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November 29, 2019</w:t>
            </w:r>
          </w:p>
          <w:p w:rsidR="0028541A" w:rsidRPr="0028541A" w:rsidRDefault="0028541A" w:rsidP="0028541A">
            <w:pPr>
              <w:jc w:val="both"/>
              <w:rPr>
                <w:sz w:val="20"/>
              </w:rPr>
            </w:pPr>
            <w:r w:rsidRPr="0028541A">
              <w:rPr>
                <w:sz w:val="20"/>
              </w:rPr>
              <w:t>Court of Appeal for Ontario</w:t>
            </w:r>
          </w:p>
          <w:p w:rsidR="0028541A" w:rsidRPr="0028541A" w:rsidRDefault="0028541A" w:rsidP="0028541A">
            <w:pPr>
              <w:jc w:val="both"/>
              <w:rPr>
                <w:sz w:val="20"/>
              </w:rPr>
            </w:pPr>
            <w:r w:rsidRPr="0028541A">
              <w:rPr>
                <w:sz w:val="20"/>
              </w:rPr>
              <w:t>(Feldman, Miller, Fairburn JJ.A.)</w:t>
            </w:r>
          </w:p>
          <w:p w:rsidR="0028541A" w:rsidRPr="0028541A" w:rsidRDefault="00370316" w:rsidP="0028541A">
            <w:pPr>
              <w:jc w:val="both"/>
              <w:rPr>
                <w:sz w:val="20"/>
              </w:rPr>
            </w:pPr>
            <w:hyperlink r:id="rId22" w:history="1">
              <w:r w:rsidR="0028541A" w:rsidRPr="0028541A">
                <w:rPr>
                  <w:rStyle w:val="Hyperlink"/>
                  <w:sz w:val="20"/>
                </w:rPr>
                <w:t>2019 ONCA 940</w:t>
              </w:r>
            </w:hyperlink>
            <w:r w:rsidR="0028541A" w:rsidRPr="0028541A">
              <w:rPr>
                <w:sz w:val="20"/>
              </w:rPr>
              <w:t>; C59625</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Appeal dismissed</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August 4, 2021</w:t>
            </w:r>
          </w:p>
          <w:p w:rsidR="0028541A" w:rsidRPr="0028541A" w:rsidRDefault="0028541A" w:rsidP="0028541A">
            <w:pPr>
              <w:jc w:val="both"/>
              <w:rPr>
                <w:sz w:val="20"/>
              </w:rPr>
            </w:pPr>
            <w:r w:rsidRPr="0028541A">
              <w:rPr>
                <w:sz w:val="20"/>
              </w:rPr>
              <w:t>Supreme Court of Canada</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 xml:space="preserve">Motion for extension of time to serve and file application for leave to appeal and application for leave to appeal filed </w:t>
            </w:r>
          </w:p>
        </w:tc>
      </w:tr>
    </w:tbl>
    <w:p w:rsidR="0028541A" w:rsidRDefault="0028541A" w:rsidP="0028541A">
      <w:pPr>
        <w:jc w:val="both"/>
        <w:rPr>
          <w:sz w:val="20"/>
        </w:rPr>
      </w:pPr>
    </w:p>
    <w:p w:rsidR="0028541A" w:rsidRDefault="00370316" w:rsidP="0028541A">
      <w:pPr>
        <w:jc w:val="both"/>
        <w:rPr>
          <w:sz w:val="20"/>
        </w:rPr>
      </w:pPr>
      <w:r>
        <w:rPr>
          <w:sz w:val="20"/>
        </w:rPr>
        <w:pict>
          <v:rect id="_x0000_i1027" style="width:2in;height:1pt" o:hrpct="0" o:hralign="center" o:hrstd="t" o:hrnoshade="t" o:hr="t" fillcolor="black [3213]" stroked="f"/>
        </w:pict>
      </w:r>
    </w:p>
    <w:p w:rsidR="0028541A" w:rsidRPr="0028541A" w:rsidRDefault="0028541A" w:rsidP="002854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39779</w:t>
            </w:r>
          </w:p>
        </w:tc>
        <w:tc>
          <w:tcPr>
            <w:tcW w:w="4457" w:type="pct"/>
            <w:gridSpan w:val="3"/>
          </w:tcPr>
          <w:p w:rsidR="0028541A" w:rsidRPr="0028541A" w:rsidRDefault="0028541A" w:rsidP="0028541A">
            <w:pPr>
              <w:pStyle w:val="SCCLsocParty"/>
              <w:jc w:val="both"/>
              <w:rPr>
                <w:b/>
                <w:sz w:val="20"/>
                <w:szCs w:val="20"/>
              </w:rPr>
            </w:pPr>
            <w:r w:rsidRPr="0028541A">
              <w:rPr>
                <w:b/>
                <w:sz w:val="20"/>
                <w:szCs w:val="20"/>
              </w:rPr>
              <w:t>Chael Mills c. Sa Majesté la Reine</w:t>
            </w:r>
          </w:p>
          <w:p w:rsidR="0028541A" w:rsidRPr="0028541A" w:rsidRDefault="0028541A" w:rsidP="0028541A">
            <w:pPr>
              <w:jc w:val="both"/>
              <w:rPr>
                <w:sz w:val="20"/>
              </w:rPr>
            </w:pPr>
            <w:r w:rsidRPr="0028541A">
              <w:rPr>
                <w:sz w:val="20"/>
              </w:rPr>
              <w:t>(Ont.) (Criminelle) (Autorisation)</w:t>
            </w: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Droit criminel — Preuve — Des compositions de musique rap devraient</w:t>
            </w:r>
            <w:r w:rsidRPr="0028541A">
              <w:rPr>
                <w:sz w:val="20"/>
                <w:lang w:val="fr-CA"/>
              </w:rPr>
              <w:noBreakHyphen/>
              <w:t>elles être admises comme preuve de culpabilité?</w:t>
            </w:r>
          </w:p>
        </w:tc>
      </w:tr>
      <w:tr w:rsidR="0028541A" w:rsidRPr="0028541A" w:rsidTr="0028541A">
        <w:tc>
          <w:tcPr>
            <w:tcW w:w="5000" w:type="pct"/>
            <w:gridSpan w:val="4"/>
          </w:tcPr>
          <w:p w:rsidR="0028541A" w:rsidRPr="0028541A" w:rsidRDefault="0028541A" w:rsidP="0028541A">
            <w:pPr>
              <w:jc w:val="both"/>
              <w:rPr>
                <w:sz w:val="20"/>
                <w:lang w:val="fr-CA"/>
              </w:rPr>
            </w:pPr>
          </w:p>
          <w:p w:rsidR="0028541A" w:rsidRPr="0028541A" w:rsidRDefault="0028541A" w:rsidP="0028541A">
            <w:pPr>
              <w:jc w:val="both"/>
              <w:rPr>
                <w:sz w:val="20"/>
                <w:lang w:val="fr-CA"/>
              </w:rPr>
            </w:pPr>
            <w:r w:rsidRPr="0028541A">
              <w:rPr>
                <w:sz w:val="20"/>
                <w:lang w:val="fr-CA"/>
              </w:rPr>
              <w:t>M. Mills a été inculpé de meurtre au premier degré à la suite d’une fusillade mortelle. L’avocat de la Couronne a fait valoir que la fusillade était liée aux gangs et que M. Mills faisait partie d’un gang de rue connu sous le nom de M.O.B. Klick. La défense a plaidé que M.O.B. Klick était un groupe de rap légitime, sans aucune affiliation à un gang. La couronne a obtenu l’autorisation d’admettre en guise de preuve des vidéos de musique rap dans lesquelles on voyait M. Mills, et des paroles rap écrites à la main dont M. Mills serait l’auteur. Un jury a déclaré M. Mills coupable de meurtre au premier degré. La Cour d’appel a rejeté l’appel.</w:t>
            </w:r>
          </w:p>
        </w:tc>
      </w:tr>
      <w:tr w:rsidR="0028541A" w:rsidRPr="0028541A" w:rsidTr="0028541A">
        <w:tc>
          <w:tcPr>
            <w:tcW w:w="5000" w:type="pct"/>
            <w:gridSpan w:val="4"/>
          </w:tcPr>
          <w:p w:rsidR="0028541A" w:rsidRPr="0028541A" w:rsidRDefault="0028541A" w:rsidP="0028541A">
            <w:pPr>
              <w:jc w:val="both"/>
              <w:rPr>
                <w:sz w:val="20"/>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19 février 2013</w:t>
            </w:r>
          </w:p>
          <w:p w:rsidR="0028541A" w:rsidRPr="0028541A" w:rsidRDefault="0028541A" w:rsidP="0028541A">
            <w:pPr>
              <w:jc w:val="both"/>
              <w:rPr>
                <w:sz w:val="20"/>
                <w:lang w:val="fr-CA"/>
              </w:rPr>
            </w:pPr>
            <w:r w:rsidRPr="0028541A">
              <w:rPr>
                <w:sz w:val="20"/>
                <w:lang w:val="fr-CA"/>
              </w:rPr>
              <w:t xml:space="preserve">Cour supérieure de justice de l’Ontario </w:t>
            </w:r>
          </w:p>
          <w:p w:rsidR="0028541A" w:rsidRPr="0028541A" w:rsidRDefault="0028541A" w:rsidP="0028541A">
            <w:pPr>
              <w:jc w:val="both"/>
              <w:rPr>
                <w:sz w:val="20"/>
              </w:rPr>
            </w:pPr>
            <w:r w:rsidRPr="0028541A">
              <w:rPr>
                <w:sz w:val="20"/>
              </w:rPr>
              <w:t>(juge Clark)</w:t>
            </w:r>
          </w:p>
          <w:p w:rsidR="0028541A" w:rsidRPr="0028541A" w:rsidRDefault="00370316" w:rsidP="0028541A">
            <w:pPr>
              <w:jc w:val="both"/>
              <w:rPr>
                <w:sz w:val="20"/>
              </w:rPr>
            </w:pPr>
            <w:hyperlink r:id="rId23" w:history="1">
              <w:r w:rsidR="0028541A" w:rsidRPr="0028541A">
                <w:rPr>
                  <w:rStyle w:val="Hyperlink"/>
                  <w:sz w:val="20"/>
                </w:rPr>
                <w:t>2013 ONSC 1076</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 xml:space="preserve">Demande en vue d’admettre la preuve accueillie </w:t>
            </w: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4 et 7 mars 2013</w:t>
            </w:r>
          </w:p>
          <w:p w:rsidR="0028541A" w:rsidRPr="0028541A" w:rsidRDefault="0028541A" w:rsidP="0028541A">
            <w:pPr>
              <w:jc w:val="both"/>
              <w:rPr>
                <w:sz w:val="20"/>
                <w:lang w:val="fr-CA"/>
              </w:rPr>
            </w:pPr>
            <w:r w:rsidRPr="0028541A">
              <w:rPr>
                <w:sz w:val="20"/>
                <w:lang w:val="fr-CA"/>
              </w:rPr>
              <w:t xml:space="preserve">Cour supérieure de justice de l’Ontario </w:t>
            </w:r>
          </w:p>
          <w:p w:rsidR="0028541A" w:rsidRPr="0028541A" w:rsidRDefault="0028541A" w:rsidP="0028541A">
            <w:pPr>
              <w:jc w:val="both"/>
              <w:rPr>
                <w:sz w:val="20"/>
              </w:rPr>
            </w:pPr>
            <w:r w:rsidRPr="0028541A">
              <w:rPr>
                <w:sz w:val="20"/>
              </w:rPr>
              <w:t>(juge Clark)</w:t>
            </w:r>
          </w:p>
          <w:p w:rsidR="0028541A" w:rsidRPr="0028541A" w:rsidRDefault="00370316" w:rsidP="0028541A">
            <w:pPr>
              <w:jc w:val="both"/>
              <w:rPr>
                <w:sz w:val="20"/>
              </w:rPr>
            </w:pPr>
            <w:hyperlink r:id="rId24" w:history="1">
              <w:r w:rsidR="0028541A" w:rsidRPr="0028541A">
                <w:rPr>
                  <w:rStyle w:val="Hyperlink"/>
                  <w:sz w:val="20"/>
                </w:rPr>
                <w:t>2013 ONSC 3100</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 xml:space="preserve">Autre décision sur l’admissibilité de la preuve </w:t>
            </w: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23 mars 2013</w:t>
            </w:r>
          </w:p>
          <w:p w:rsidR="0028541A" w:rsidRPr="0028541A" w:rsidRDefault="0028541A" w:rsidP="0028541A">
            <w:pPr>
              <w:jc w:val="both"/>
              <w:rPr>
                <w:sz w:val="20"/>
                <w:lang w:val="fr-CA"/>
              </w:rPr>
            </w:pPr>
            <w:r w:rsidRPr="0028541A">
              <w:rPr>
                <w:sz w:val="20"/>
                <w:lang w:val="fr-CA"/>
              </w:rPr>
              <w:t xml:space="preserve">Cour supérieure de justice de l’Ontario </w:t>
            </w:r>
          </w:p>
          <w:p w:rsidR="0028541A" w:rsidRPr="0028541A" w:rsidRDefault="0028541A" w:rsidP="0028541A">
            <w:pPr>
              <w:jc w:val="both"/>
              <w:rPr>
                <w:sz w:val="20"/>
              </w:rPr>
            </w:pPr>
            <w:r w:rsidRPr="0028541A">
              <w:rPr>
                <w:sz w:val="20"/>
              </w:rPr>
              <w:t>(juge Clark) (non publiée)</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 xml:space="preserve">Déclaration de culpabilité prononcée par un jury pour meurtre au premier degré </w:t>
            </w:r>
          </w:p>
        </w:tc>
      </w:tr>
      <w:tr w:rsidR="0028541A" w:rsidRPr="0028541A" w:rsidTr="0028541A">
        <w:tc>
          <w:tcPr>
            <w:tcW w:w="2427" w:type="pct"/>
            <w:gridSpan w:val="2"/>
          </w:tcPr>
          <w:p w:rsidR="0028541A" w:rsidRPr="0028541A" w:rsidRDefault="0028541A" w:rsidP="0028541A">
            <w:pPr>
              <w:jc w:val="both"/>
              <w:rPr>
                <w:sz w:val="20"/>
                <w:lang w:val="fr-CA"/>
              </w:rPr>
            </w:pPr>
            <w:r w:rsidRPr="0028541A">
              <w:rPr>
                <w:sz w:val="20"/>
                <w:lang w:val="fr-CA"/>
              </w:rPr>
              <w:t>29 novembre 2019</w:t>
            </w:r>
          </w:p>
          <w:p w:rsidR="0028541A" w:rsidRPr="0028541A" w:rsidRDefault="0028541A" w:rsidP="0028541A">
            <w:pPr>
              <w:jc w:val="both"/>
              <w:rPr>
                <w:sz w:val="20"/>
                <w:lang w:val="fr-CA"/>
              </w:rPr>
            </w:pPr>
            <w:r w:rsidRPr="0028541A">
              <w:rPr>
                <w:sz w:val="20"/>
                <w:lang w:val="fr-CA"/>
              </w:rPr>
              <w:t>Cour d’appel de l’Ontario</w:t>
            </w:r>
          </w:p>
          <w:p w:rsidR="0028541A" w:rsidRPr="0028541A" w:rsidRDefault="0028541A" w:rsidP="0028541A">
            <w:pPr>
              <w:jc w:val="both"/>
              <w:rPr>
                <w:sz w:val="20"/>
                <w:lang w:val="fr-CA"/>
              </w:rPr>
            </w:pPr>
            <w:r w:rsidRPr="0028541A">
              <w:rPr>
                <w:sz w:val="20"/>
                <w:lang w:val="fr-CA"/>
              </w:rPr>
              <w:t>(juges Feldman, Miller, Fairburn)</w:t>
            </w:r>
          </w:p>
          <w:p w:rsidR="0028541A" w:rsidRPr="0028541A" w:rsidRDefault="00370316" w:rsidP="0028541A">
            <w:pPr>
              <w:jc w:val="both"/>
              <w:rPr>
                <w:sz w:val="20"/>
              </w:rPr>
            </w:pPr>
            <w:hyperlink r:id="rId25" w:history="1">
              <w:r w:rsidR="0028541A" w:rsidRPr="0028541A">
                <w:rPr>
                  <w:rStyle w:val="Hyperlink"/>
                  <w:sz w:val="20"/>
                </w:rPr>
                <w:t>2019 ONCA 940</w:t>
              </w:r>
            </w:hyperlink>
            <w:r w:rsidR="0028541A" w:rsidRPr="0028541A">
              <w:rPr>
                <w:sz w:val="20"/>
              </w:rPr>
              <w:t>; C59625</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Appel rejeté</w:t>
            </w: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4 août 2021</w:t>
            </w:r>
          </w:p>
          <w:p w:rsidR="0028541A" w:rsidRPr="0028541A" w:rsidRDefault="0028541A" w:rsidP="0028541A">
            <w:pPr>
              <w:jc w:val="both"/>
              <w:rPr>
                <w:sz w:val="20"/>
                <w:lang w:val="fr-CA"/>
              </w:rPr>
            </w:pPr>
            <w:r w:rsidRPr="0028541A">
              <w:rPr>
                <w:sz w:val="20"/>
                <w:lang w:val="fr-CA"/>
              </w:rPr>
              <w:t>Cour suprême du Canada</w:t>
            </w:r>
          </w:p>
          <w:p w:rsidR="0028541A" w:rsidRPr="0028541A" w:rsidRDefault="0028541A" w:rsidP="0028541A">
            <w:pPr>
              <w:jc w:val="both"/>
              <w:rPr>
                <w:sz w:val="20"/>
                <w:lang w:val="fr-CA"/>
              </w:rPr>
            </w:pP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 xml:space="preserve">Requête en vue de la prorogation du délai pour signifier et déposer une demande d’autorisation d’appel et demande d’autorisation </w:t>
            </w:r>
            <w:proofErr w:type="gramStart"/>
            <w:r w:rsidRPr="0028541A">
              <w:rPr>
                <w:sz w:val="20"/>
                <w:lang w:val="fr-CA"/>
              </w:rPr>
              <w:t>d’appel déposées</w:t>
            </w:r>
            <w:proofErr w:type="gramEnd"/>
            <w:r w:rsidRPr="0028541A">
              <w:rPr>
                <w:sz w:val="20"/>
                <w:lang w:val="fr-CA"/>
              </w:rPr>
              <w:t xml:space="preserve"> </w:t>
            </w:r>
          </w:p>
        </w:tc>
      </w:tr>
    </w:tbl>
    <w:p w:rsidR="0028541A" w:rsidRPr="0028541A" w:rsidRDefault="0028541A" w:rsidP="0028541A">
      <w:pPr>
        <w:jc w:val="both"/>
        <w:rPr>
          <w:sz w:val="20"/>
          <w:lang w:val="fr-CA"/>
        </w:rPr>
      </w:pPr>
    </w:p>
    <w:p w:rsidR="00644008" w:rsidRDefault="00370316" w:rsidP="0028541A">
      <w:pPr>
        <w:widowControl w:val="0"/>
        <w:tabs>
          <w:tab w:val="left" w:pos="3840"/>
        </w:tabs>
        <w:jc w:val="both"/>
        <w:rPr>
          <w:sz w:val="20"/>
          <w:lang w:val="fr-CA"/>
        </w:rPr>
      </w:pPr>
      <w:r>
        <w:rPr>
          <w:sz w:val="20"/>
        </w:rPr>
        <w:pict>
          <v:rect id="_x0000_i1028"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39787</w:t>
            </w:r>
          </w:p>
        </w:tc>
        <w:tc>
          <w:tcPr>
            <w:tcW w:w="4457" w:type="pct"/>
            <w:gridSpan w:val="3"/>
          </w:tcPr>
          <w:p w:rsidR="0028541A" w:rsidRPr="0028541A" w:rsidRDefault="0028541A" w:rsidP="0028541A">
            <w:pPr>
              <w:pStyle w:val="SCCLsocParty"/>
              <w:jc w:val="both"/>
              <w:rPr>
                <w:b/>
                <w:sz w:val="20"/>
                <w:szCs w:val="20"/>
                <w:lang w:val="en-US"/>
              </w:rPr>
            </w:pPr>
            <w:r w:rsidRPr="0028541A">
              <w:rPr>
                <w:b/>
                <w:sz w:val="20"/>
                <w:szCs w:val="20"/>
                <w:lang w:val="en-US"/>
              </w:rPr>
              <w:t xml:space="preserve">Lavare </w:t>
            </w:r>
            <w:proofErr w:type="gramStart"/>
            <w:r w:rsidRPr="0028541A">
              <w:rPr>
                <w:b/>
                <w:sz w:val="20"/>
                <w:szCs w:val="20"/>
                <w:lang w:val="en-US"/>
              </w:rPr>
              <w:t>Williams</w:t>
            </w:r>
            <w:proofErr w:type="gramEnd"/>
            <w:r w:rsidRPr="0028541A">
              <w:rPr>
                <w:b/>
                <w:sz w:val="20"/>
                <w:szCs w:val="20"/>
                <w:lang w:val="en-US"/>
              </w:rPr>
              <w:t xml:space="preserve"> v. Her Majesty the Queen</w:t>
            </w:r>
          </w:p>
          <w:p w:rsidR="0028541A" w:rsidRPr="0028541A" w:rsidRDefault="0028541A" w:rsidP="0028541A">
            <w:pPr>
              <w:jc w:val="both"/>
              <w:rPr>
                <w:sz w:val="20"/>
              </w:rPr>
            </w:pPr>
            <w:r w:rsidRPr="0028541A">
              <w:rPr>
                <w:sz w:val="20"/>
              </w:rPr>
              <w:t>(Ont.) (Criminal) (By Leave)</w:t>
            </w:r>
          </w:p>
        </w:tc>
      </w:tr>
      <w:tr w:rsidR="0028541A" w:rsidRPr="0028541A" w:rsidTr="0028541A">
        <w:tc>
          <w:tcPr>
            <w:tcW w:w="5000" w:type="pct"/>
            <w:gridSpan w:val="4"/>
          </w:tcPr>
          <w:p w:rsidR="0028541A" w:rsidRPr="0028541A" w:rsidRDefault="0028541A" w:rsidP="0028541A">
            <w:pPr>
              <w:jc w:val="both"/>
              <w:rPr>
                <w:sz w:val="20"/>
              </w:rPr>
            </w:pPr>
            <w:r w:rsidRPr="0028541A">
              <w:rPr>
                <w:sz w:val="20"/>
              </w:rPr>
              <w:t>Criminal law — Evidence — Bias — Expert opinion evidence — Whether</w:t>
            </w:r>
            <w:r w:rsidRPr="0028541A">
              <w:rPr>
                <w:color w:val="000000"/>
                <w:sz w:val="20"/>
              </w:rPr>
              <w:t xml:space="preserve"> trial counsel must raise bias by the trial judge at trial in order to raise the bias on appeal — Whether expert opinion evidence is admissible if a trial judge fails to assess the expert’s bias at the threshold level?</w:t>
            </w:r>
          </w:p>
        </w:tc>
      </w:tr>
      <w:tr w:rsidR="0028541A" w:rsidRPr="0028541A" w:rsidTr="0028541A">
        <w:tc>
          <w:tcPr>
            <w:tcW w:w="5000" w:type="pct"/>
            <w:gridSpan w:val="4"/>
          </w:tcPr>
          <w:p w:rsidR="0028541A" w:rsidRPr="0028541A" w:rsidRDefault="0028541A" w:rsidP="0028541A">
            <w:pPr>
              <w:jc w:val="both"/>
              <w:rPr>
                <w:sz w:val="20"/>
              </w:rPr>
            </w:pPr>
          </w:p>
          <w:p w:rsidR="0028541A" w:rsidRPr="0028541A" w:rsidRDefault="0028541A" w:rsidP="0028541A">
            <w:pPr>
              <w:jc w:val="both"/>
              <w:rPr>
                <w:sz w:val="20"/>
              </w:rPr>
            </w:pPr>
            <w:r w:rsidRPr="0028541A">
              <w:rPr>
                <w:sz w:val="20"/>
              </w:rPr>
              <w:t>Mr. Williams was charged with second degree murder following a fatal shooting. Crown counsel alleged that the shooting was gang</w:t>
            </w:r>
            <w:r w:rsidRPr="0028541A">
              <w:rPr>
                <w:sz w:val="20"/>
              </w:rPr>
              <w:noBreakHyphen/>
              <w:t xml:space="preserve">related and that Mr. Williams belonged to a street gang known as </w:t>
            </w:r>
            <w:r w:rsidRPr="0028541A">
              <w:rPr>
                <w:sz w:val="20"/>
                <w:lang w:val="en"/>
              </w:rPr>
              <w:t xml:space="preserve">M.O.B. Klick. The defence argued </w:t>
            </w:r>
            <w:r w:rsidRPr="0028541A">
              <w:rPr>
                <w:sz w:val="20"/>
              </w:rPr>
              <w:t xml:space="preserve">M.O.B. Klick was a legitimate rap group with no gang affiliation. </w:t>
            </w:r>
            <w:r w:rsidRPr="0028541A">
              <w:rPr>
                <w:sz w:val="20"/>
                <w:lang w:val="en"/>
              </w:rPr>
              <w:t>The Crown was granted leave to call a police officer to testify as an expert on street gangs. During trial, conflict between Mr. Williams’ counsel and the trial judge prompted the trial judge to repeatedly intervene and criticize counsel, sometimes using harsh language. A jury convicted Mr. Williams of second degree murder. The Court of Appeal dismissed an appeal.</w:t>
            </w:r>
          </w:p>
        </w:tc>
      </w:tr>
      <w:tr w:rsidR="0028541A" w:rsidRPr="0028541A" w:rsidTr="0028541A">
        <w:tc>
          <w:tcPr>
            <w:tcW w:w="5000" w:type="pct"/>
            <w:gridSpan w:val="4"/>
          </w:tcPr>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February 19, 2013</w:t>
            </w:r>
          </w:p>
          <w:p w:rsidR="0028541A" w:rsidRPr="0028541A" w:rsidRDefault="0028541A" w:rsidP="0028541A">
            <w:pPr>
              <w:jc w:val="both"/>
              <w:rPr>
                <w:sz w:val="20"/>
              </w:rPr>
            </w:pPr>
            <w:r w:rsidRPr="0028541A">
              <w:rPr>
                <w:sz w:val="20"/>
              </w:rPr>
              <w:t>Ontario Superior Court of Justice</w:t>
            </w:r>
          </w:p>
          <w:p w:rsidR="0028541A" w:rsidRPr="0028541A" w:rsidRDefault="0028541A" w:rsidP="0028541A">
            <w:pPr>
              <w:jc w:val="both"/>
              <w:rPr>
                <w:sz w:val="20"/>
              </w:rPr>
            </w:pPr>
            <w:r w:rsidRPr="0028541A">
              <w:rPr>
                <w:sz w:val="20"/>
              </w:rPr>
              <w:t>(Clark J.)</w:t>
            </w:r>
          </w:p>
          <w:p w:rsidR="0028541A" w:rsidRPr="0028541A" w:rsidRDefault="00370316" w:rsidP="0028541A">
            <w:pPr>
              <w:jc w:val="both"/>
              <w:rPr>
                <w:sz w:val="20"/>
              </w:rPr>
            </w:pPr>
            <w:hyperlink r:id="rId26" w:history="1">
              <w:r w:rsidR="0028541A" w:rsidRPr="0028541A">
                <w:rPr>
                  <w:rStyle w:val="Hyperlink"/>
                  <w:sz w:val="20"/>
                </w:rPr>
                <w:t>2013 ONSC 1076</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Application to admit expert opinion evidence allowed</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March 23, 2013</w:t>
            </w:r>
          </w:p>
          <w:p w:rsidR="0028541A" w:rsidRPr="0028541A" w:rsidRDefault="0028541A" w:rsidP="0028541A">
            <w:pPr>
              <w:jc w:val="both"/>
              <w:rPr>
                <w:sz w:val="20"/>
              </w:rPr>
            </w:pPr>
            <w:r w:rsidRPr="0028541A">
              <w:rPr>
                <w:sz w:val="20"/>
              </w:rPr>
              <w:t>Ontario Superior Court of Justice</w:t>
            </w:r>
          </w:p>
          <w:p w:rsidR="0028541A" w:rsidRPr="0028541A" w:rsidRDefault="0028541A" w:rsidP="0028541A">
            <w:pPr>
              <w:jc w:val="both"/>
              <w:rPr>
                <w:sz w:val="20"/>
              </w:rPr>
            </w:pPr>
            <w:r w:rsidRPr="0028541A">
              <w:rPr>
                <w:sz w:val="20"/>
              </w:rPr>
              <w:t>(Clark J.)(Unreported)</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Conviction by jury of second-degree murder</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November 29, 2019</w:t>
            </w:r>
          </w:p>
          <w:p w:rsidR="0028541A" w:rsidRPr="0028541A" w:rsidRDefault="0028541A" w:rsidP="0028541A">
            <w:pPr>
              <w:jc w:val="both"/>
              <w:rPr>
                <w:sz w:val="20"/>
              </w:rPr>
            </w:pPr>
            <w:r w:rsidRPr="0028541A">
              <w:rPr>
                <w:sz w:val="20"/>
              </w:rPr>
              <w:t>Court of Appeal for Ontario</w:t>
            </w:r>
          </w:p>
          <w:p w:rsidR="0028541A" w:rsidRPr="0028541A" w:rsidRDefault="0028541A" w:rsidP="0028541A">
            <w:pPr>
              <w:jc w:val="both"/>
              <w:rPr>
                <w:sz w:val="20"/>
              </w:rPr>
            </w:pPr>
            <w:r w:rsidRPr="0028541A">
              <w:rPr>
                <w:sz w:val="20"/>
              </w:rPr>
              <w:t>(Feldman, Miller and Fairburn JJ.A.)</w:t>
            </w:r>
          </w:p>
          <w:p w:rsidR="0028541A" w:rsidRPr="0028541A" w:rsidRDefault="00370316" w:rsidP="0028541A">
            <w:pPr>
              <w:jc w:val="both"/>
              <w:rPr>
                <w:sz w:val="20"/>
              </w:rPr>
            </w:pPr>
            <w:hyperlink r:id="rId27" w:history="1">
              <w:r w:rsidR="0028541A" w:rsidRPr="0028541A">
                <w:rPr>
                  <w:rStyle w:val="Hyperlink"/>
                  <w:sz w:val="20"/>
                </w:rPr>
                <w:t>2019 ONCA 940</w:t>
              </w:r>
            </w:hyperlink>
            <w:r w:rsidR="0028541A" w:rsidRPr="0028541A">
              <w:rPr>
                <w:sz w:val="20"/>
              </w:rPr>
              <w:t>; C59931</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Appeal dismissed</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August 24, 2021</w:t>
            </w:r>
          </w:p>
          <w:p w:rsidR="0028541A" w:rsidRPr="0028541A" w:rsidRDefault="0028541A" w:rsidP="0028541A">
            <w:pPr>
              <w:jc w:val="both"/>
              <w:rPr>
                <w:sz w:val="20"/>
              </w:rPr>
            </w:pPr>
            <w:r w:rsidRPr="0028541A">
              <w:rPr>
                <w:sz w:val="20"/>
              </w:rPr>
              <w:t>Supreme Court of Canada</w:t>
            </w: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 xml:space="preserve">Motion for extension of time to serve and file application for leave to appeal and application for leave to appeal filed </w:t>
            </w:r>
          </w:p>
        </w:tc>
      </w:tr>
    </w:tbl>
    <w:p w:rsidR="0028541A" w:rsidRDefault="0028541A" w:rsidP="0028541A">
      <w:pPr>
        <w:jc w:val="both"/>
        <w:rPr>
          <w:sz w:val="20"/>
        </w:rPr>
      </w:pPr>
    </w:p>
    <w:p w:rsidR="0028541A" w:rsidRDefault="00370316" w:rsidP="0028541A">
      <w:pPr>
        <w:jc w:val="both"/>
        <w:rPr>
          <w:sz w:val="20"/>
        </w:rPr>
      </w:pPr>
      <w:r>
        <w:rPr>
          <w:sz w:val="20"/>
        </w:rPr>
        <w:pict>
          <v:rect id="_x0000_i1029" style="width:2in;height:1pt" o:hrpct="0" o:hralign="center" o:hrstd="t" o:hrnoshade="t" o:hr="t" fillcolor="black [3213]" stroked="f"/>
        </w:pict>
      </w:r>
    </w:p>
    <w:p w:rsidR="0028541A" w:rsidRPr="0028541A" w:rsidRDefault="0028541A" w:rsidP="002854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39787</w:t>
            </w:r>
          </w:p>
        </w:tc>
        <w:tc>
          <w:tcPr>
            <w:tcW w:w="4457" w:type="pct"/>
            <w:gridSpan w:val="3"/>
          </w:tcPr>
          <w:p w:rsidR="0028541A" w:rsidRPr="0028541A" w:rsidRDefault="0028541A" w:rsidP="0028541A">
            <w:pPr>
              <w:pStyle w:val="SCCLsocParty"/>
              <w:jc w:val="both"/>
              <w:rPr>
                <w:b/>
                <w:sz w:val="20"/>
                <w:szCs w:val="20"/>
              </w:rPr>
            </w:pPr>
            <w:r w:rsidRPr="0028541A">
              <w:rPr>
                <w:b/>
                <w:sz w:val="20"/>
                <w:szCs w:val="20"/>
              </w:rPr>
              <w:t>Lavare Williams c. Sa Majesté la Reine</w:t>
            </w:r>
          </w:p>
          <w:p w:rsidR="0028541A" w:rsidRPr="0028541A" w:rsidRDefault="0028541A" w:rsidP="0028541A">
            <w:pPr>
              <w:jc w:val="both"/>
              <w:rPr>
                <w:sz w:val="20"/>
              </w:rPr>
            </w:pPr>
            <w:r w:rsidRPr="0028541A">
              <w:rPr>
                <w:sz w:val="20"/>
              </w:rPr>
              <w:t>(Ont.) (Criminelle) (Autorisation)</w:t>
            </w: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Droit criminel — Preuve — Préjugés — Témoignage d’opinion d’un expert — Un avocat au procès doit</w:t>
            </w:r>
            <w:r w:rsidRPr="0028541A">
              <w:rPr>
                <w:sz w:val="20"/>
                <w:lang w:val="fr-CA"/>
              </w:rPr>
              <w:noBreakHyphen/>
              <w:t xml:space="preserve">il invoquer les préjugés du juge du procès lors du procès s’il veut pouvoir les invoquer en appel? </w:t>
            </w:r>
            <w:r w:rsidRPr="0028541A">
              <w:rPr>
                <w:color w:val="000000"/>
                <w:sz w:val="20"/>
                <w:lang w:val="fr-CA"/>
              </w:rPr>
              <w:t>— Le témoignage d’opinion d’un expert est</w:t>
            </w:r>
            <w:r w:rsidRPr="0028541A">
              <w:rPr>
                <w:color w:val="000000"/>
                <w:sz w:val="20"/>
                <w:lang w:val="fr-CA"/>
              </w:rPr>
              <w:noBreakHyphen/>
              <w:t>il admissible si le juge du procès omet d’évaluer les préjugés de l’expert à un seuil minimal?</w:t>
            </w:r>
          </w:p>
        </w:tc>
      </w:tr>
      <w:tr w:rsidR="0028541A" w:rsidRPr="0028541A" w:rsidTr="0028541A">
        <w:tc>
          <w:tcPr>
            <w:tcW w:w="5000" w:type="pct"/>
            <w:gridSpan w:val="4"/>
          </w:tcPr>
          <w:p w:rsidR="0028541A" w:rsidRPr="0028541A" w:rsidRDefault="0028541A" w:rsidP="0028541A">
            <w:pPr>
              <w:jc w:val="both"/>
              <w:rPr>
                <w:sz w:val="20"/>
                <w:lang w:val="fr-CA"/>
              </w:rPr>
            </w:pPr>
          </w:p>
          <w:p w:rsidR="0028541A" w:rsidRPr="0028541A" w:rsidRDefault="0028541A" w:rsidP="0028541A">
            <w:pPr>
              <w:jc w:val="both"/>
              <w:rPr>
                <w:sz w:val="20"/>
                <w:lang w:val="fr-CA"/>
              </w:rPr>
            </w:pPr>
            <w:r w:rsidRPr="0028541A">
              <w:rPr>
                <w:sz w:val="20"/>
                <w:lang w:val="fr-CA"/>
              </w:rPr>
              <w:t>M. Williams a été inculpé de meurtre au deuxième degré à la suite d’une fusillade mortelle. L’avocat de la Couronne a fait valoir que la fusillade était liée aux gangs et que M. Williams faisait partie d’un gang de rue connu sous le nom de M.O.B. Klick. La défense a plaidé que M.O.B. Klick était un groupe de rap légitime, sans aucune affiliation à un gang. La Couronne a obtenu l’autorisation d’appeler un agent de police à témoigner en tant qu’expert des gangs de rue. Pendant le procès, des divergences entre l’avocat de M. Williams et le juge du procès ont amené ce dernier à intervenir de manière répétée et à critiquer l’avocat, au moyen parfois de paroles dures. Un jury a déclaré M. </w:t>
            </w:r>
            <w:r w:rsidR="006500D2" w:rsidRPr="0028541A">
              <w:rPr>
                <w:sz w:val="20"/>
                <w:lang w:val="fr-CA"/>
              </w:rPr>
              <w:t>Williams</w:t>
            </w:r>
            <w:r w:rsidRPr="0028541A">
              <w:rPr>
                <w:sz w:val="20"/>
                <w:lang w:val="fr-CA"/>
              </w:rPr>
              <w:t xml:space="preserve"> coupable de meurtre au deuxième degré. La Cour d’appel a rejeté l’appel.</w:t>
            </w:r>
          </w:p>
        </w:tc>
      </w:tr>
      <w:tr w:rsidR="0028541A" w:rsidRPr="0028541A" w:rsidTr="0028541A">
        <w:tc>
          <w:tcPr>
            <w:tcW w:w="5000" w:type="pct"/>
            <w:gridSpan w:val="4"/>
          </w:tcPr>
          <w:p w:rsidR="0028541A" w:rsidRPr="0028541A" w:rsidRDefault="0028541A" w:rsidP="0028541A">
            <w:pPr>
              <w:jc w:val="both"/>
              <w:rPr>
                <w:sz w:val="20"/>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19 février 2013</w:t>
            </w:r>
          </w:p>
          <w:p w:rsidR="0028541A" w:rsidRPr="0028541A" w:rsidRDefault="0028541A" w:rsidP="0028541A">
            <w:pPr>
              <w:jc w:val="both"/>
              <w:rPr>
                <w:sz w:val="20"/>
                <w:lang w:val="fr-CA"/>
              </w:rPr>
            </w:pPr>
            <w:r w:rsidRPr="0028541A">
              <w:rPr>
                <w:sz w:val="20"/>
                <w:lang w:val="fr-CA"/>
              </w:rPr>
              <w:t>Cour supérieure de justice de l’Ontario</w:t>
            </w:r>
          </w:p>
          <w:p w:rsidR="0028541A" w:rsidRPr="0028541A" w:rsidRDefault="0028541A" w:rsidP="0028541A">
            <w:pPr>
              <w:jc w:val="both"/>
              <w:rPr>
                <w:sz w:val="20"/>
              </w:rPr>
            </w:pPr>
            <w:r w:rsidRPr="0028541A">
              <w:rPr>
                <w:sz w:val="20"/>
              </w:rPr>
              <w:t>(juge Clark)</w:t>
            </w:r>
          </w:p>
          <w:p w:rsidR="0028541A" w:rsidRPr="0028541A" w:rsidRDefault="00370316" w:rsidP="0028541A">
            <w:pPr>
              <w:jc w:val="both"/>
              <w:rPr>
                <w:sz w:val="20"/>
              </w:rPr>
            </w:pPr>
            <w:hyperlink r:id="rId28" w:history="1">
              <w:r w:rsidR="0028541A" w:rsidRPr="0028541A">
                <w:rPr>
                  <w:rStyle w:val="Hyperlink"/>
                  <w:sz w:val="20"/>
                </w:rPr>
                <w:t>2013 ONSC 1076</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Demande en vue d’admettre la preuve accueillie</w:t>
            </w: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23 mars 2013</w:t>
            </w:r>
          </w:p>
          <w:p w:rsidR="0028541A" w:rsidRPr="0028541A" w:rsidRDefault="0028541A" w:rsidP="0028541A">
            <w:pPr>
              <w:jc w:val="both"/>
              <w:rPr>
                <w:sz w:val="20"/>
                <w:lang w:val="fr-CA"/>
              </w:rPr>
            </w:pPr>
            <w:r w:rsidRPr="0028541A">
              <w:rPr>
                <w:sz w:val="20"/>
                <w:lang w:val="fr-CA"/>
              </w:rPr>
              <w:t>Cour supérieure de justice de l’Ontario</w:t>
            </w:r>
          </w:p>
          <w:p w:rsidR="0028541A" w:rsidRPr="0028541A" w:rsidRDefault="0028541A" w:rsidP="0028541A">
            <w:pPr>
              <w:jc w:val="both"/>
              <w:rPr>
                <w:sz w:val="20"/>
              </w:rPr>
            </w:pPr>
            <w:r w:rsidRPr="0028541A">
              <w:rPr>
                <w:sz w:val="20"/>
              </w:rPr>
              <w:t>(juge Clark) (non</w:t>
            </w:r>
            <w:r w:rsidRPr="0028541A">
              <w:rPr>
                <w:sz w:val="20"/>
              </w:rPr>
              <w:noBreakHyphen/>
              <w:t>publiée)</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Déclaration de culpabilité prononcée par un jury pour meurtre au premier degré</w:t>
            </w:r>
          </w:p>
        </w:tc>
      </w:tr>
      <w:tr w:rsidR="0028541A" w:rsidRPr="0028541A" w:rsidTr="0028541A">
        <w:tc>
          <w:tcPr>
            <w:tcW w:w="2427" w:type="pct"/>
            <w:gridSpan w:val="2"/>
          </w:tcPr>
          <w:p w:rsidR="0028541A" w:rsidRPr="0028541A" w:rsidRDefault="0028541A" w:rsidP="0028541A">
            <w:pPr>
              <w:jc w:val="both"/>
              <w:rPr>
                <w:sz w:val="20"/>
                <w:lang w:val="fr-CA"/>
              </w:rPr>
            </w:pPr>
            <w:r w:rsidRPr="0028541A">
              <w:rPr>
                <w:sz w:val="20"/>
                <w:lang w:val="fr-CA"/>
              </w:rPr>
              <w:t>29 novembre 2019</w:t>
            </w:r>
          </w:p>
          <w:p w:rsidR="0028541A" w:rsidRPr="0028541A" w:rsidRDefault="0028541A" w:rsidP="0028541A">
            <w:pPr>
              <w:jc w:val="both"/>
              <w:rPr>
                <w:sz w:val="20"/>
                <w:lang w:val="fr-CA"/>
              </w:rPr>
            </w:pPr>
            <w:r w:rsidRPr="0028541A">
              <w:rPr>
                <w:sz w:val="20"/>
                <w:lang w:val="fr-CA"/>
              </w:rPr>
              <w:t>Cour d’appel de l’Ontario</w:t>
            </w:r>
          </w:p>
          <w:p w:rsidR="0028541A" w:rsidRPr="0028541A" w:rsidRDefault="0028541A" w:rsidP="0028541A">
            <w:pPr>
              <w:jc w:val="both"/>
              <w:rPr>
                <w:sz w:val="20"/>
                <w:lang w:val="fr-CA"/>
              </w:rPr>
            </w:pPr>
            <w:r w:rsidRPr="0028541A">
              <w:rPr>
                <w:sz w:val="20"/>
                <w:lang w:val="fr-CA"/>
              </w:rPr>
              <w:t>(juges Feldman, Miller et Fairburn)</w:t>
            </w:r>
          </w:p>
          <w:p w:rsidR="0028541A" w:rsidRPr="0028541A" w:rsidRDefault="00370316" w:rsidP="0028541A">
            <w:pPr>
              <w:jc w:val="both"/>
              <w:rPr>
                <w:sz w:val="20"/>
                <w:lang w:val="fr-CA"/>
              </w:rPr>
            </w:pPr>
            <w:hyperlink r:id="rId29" w:history="1">
              <w:r w:rsidR="0028541A" w:rsidRPr="0028541A">
                <w:rPr>
                  <w:rStyle w:val="Hyperlink"/>
                  <w:sz w:val="20"/>
                  <w:lang w:val="fr-CA"/>
                </w:rPr>
                <w:t>2019 ONCA 940</w:t>
              </w:r>
            </w:hyperlink>
            <w:r w:rsidR="0028541A" w:rsidRPr="0028541A">
              <w:rPr>
                <w:sz w:val="20"/>
                <w:lang w:val="fr-CA"/>
              </w:rPr>
              <w:t>; C59931</w:t>
            </w:r>
          </w:p>
          <w:p w:rsidR="0028541A" w:rsidRPr="0028541A" w:rsidRDefault="0028541A" w:rsidP="0028541A">
            <w:pPr>
              <w:jc w:val="both"/>
              <w:rPr>
                <w:sz w:val="20"/>
                <w:lang w:val="fr-CA"/>
              </w:rPr>
            </w:pP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rPr>
            </w:pPr>
            <w:r w:rsidRPr="0028541A">
              <w:rPr>
                <w:sz w:val="20"/>
              </w:rPr>
              <w:t>Appel rejeté</w:t>
            </w: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24 août 2021</w:t>
            </w:r>
          </w:p>
          <w:p w:rsidR="0028541A" w:rsidRPr="0028541A" w:rsidRDefault="0028541A" w:rsidP="0028541A">
            <w:pPr>
              <w:jc w:val="both"/>
              <w:rPr>
                <w:sz w:val="20"/>
                <w:lang w:val="fr-CA"/>
              </w:rPr>
            </w:pPr>
            <w:r w:rsidRPr="0028541A">
              <w:rPr>
                <w:sz w:val="20"/>
                <w:lang w:val="fr-CA"/>
              </w:rPr>
              <w:t>Cour suprême du Canada</w:t>
            </w: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 xml:space="preserve">Requête en vue de la prorogation du délai pour signifier et déposer une demande d’autorisation d’appel et demande d’autorisation </w:t>
            </w:r>
            <w:proofErr w:type="gramStart"/>
            <w:r w:rsidRPr="0028541A">
              <w:rPr>
                <w:sz w:val="20"/>
                <w:lang w:val="fr-CA"/>
              </w:rPr>
              <w:t>d’appel déposées</w:t>
            </w:r>
            <w:proofErr w:type="gramEnd"/>
            <w:r w:rsidRPr="0028541A">
              <w:rPr>
                <w:sz w:val="20"/>
                <w:lang w:val="fr-CA"/>
              </w:rPr>
              <w:t xml:space="preserve"> </w:t>
            </w:r>
          </w:p>
        </w:tc>
      </w:tr>
    </w:tbl>
    <w:p w:rsidR="0028541A" w:rsidRDefault="0028541A" w:rsidP="0028541A">
      <w:pPr>
        <w:jc w:val="both"/>
        <w:rPr>
          <w:sz w:val="20"/>
          <w:lang w:val="fr-CA"/>
        </w:rPr>
      </w:pPr>
    </w:p>
    <w:p w:rsidR="006500D2" w:rsidRPr="0028541A" w:rsidRDefault="00370316" w:rsidP="0028541A">
      <w:pPr>
        <w:jc w:val="both"/>
        <w:rPr>
          <w:sz w:val="20"/>
          <w:lang w:val="fr-CA"/>
        </w:rPr>
      </w:pPr>
      <w:r>
        <w:rPr>
          <w:sz w:val="20"/>
        </w:rPr>
        <w:pict>
          <v:rect id="_x0000_i1030"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lang w:val="en-CA"/>
              </w:rPr>
            </w:pPr>
            <w:r w:rsidRPr="0028541A">
              <w:rPr>
                <w:rStyle w:val="SCCFileNumberChar"/>
                <w:sz w:val="20"/>
                <w:szCs w:val="20"/>
              </w:rPr>
              <w:t>39702</w:t>
            </w:r>
          </w:p>
        </w:tc>
        <w:tc>
          <w:tcPr>
            <w:tcW w:w="4457" w:type="pct"/>
            <w:gridSpan w:val="3"/>
          </w:tcPr>
          <w:p w:rsidR="0028541A" w:rsidRPr="006500D2" w:rsidRDefault="0028541A" w:rsidP="0028541A">
            <w:pPr>
              <w:pStyle w:val="SCCLsocParty"/>
              <w:jc w:val="both"/>
              <w:rPr>
                <w:b/>
                <w:sz w:val="20"/>
                <w:szCs w:val="20"/>
              </w:rPr>
            </w:pPr>
            <w:r w:rsidRPr="006500D2">
              <w:rPr>
                <w:b/>
                <w:sz w:val="20"/>
                <w:szCs w:val="20"/>
              </w:rPr>
              <w:t>Construction Unibec inc. v. Ville de Saguenay</w:t>
            </w:r>
          </w:p>
          <w:p w:rsidR="0028541A" w:rsidRPr="0028541A" w:rsidRDefault="0028541A" w:rsidP="0028541A">
            <w:pPr>
              <w:jc w:val="both"/>
              <w:rPr>
                <w:sz w:val="20"/>
                <w:lang w:val="en-CA"/>
              </w:rPr>
            </w:pPr>
            <w:r w:rsidRPr="0028541A">
              <w:rPr>
                <w:sz w:val="20"/>
                <w:lang w:val="en-CA"/>
              </w:rPr>
              <w:t>(Que.) (Civil) (By Leave)</w:t>
            </w:r>
          </w:p>
        </w:tc>
      </w:tr>
      <w:tr w:rsidR="0028541A" w:rsidRPr="0028541A" w:rsidTr="0028541A">
        <w:tc>
          <w:tcPr>
            <w:tcW w:w="5000" w:type="pct"/>
            <w:gridSpan w:val="4"/>
          </w:tcPr>
          <w:p w:rsidR="0028541A" w:rsidRPr="0028541A" w:rsidRDefault="0028541A" w:rsidP="0028541A">
            <w:pPr>
              <w:jc w:val="both"/>
              <w:rPr>
                <w:sz w:val="20"/>
                <w:lang w:val="en-CA"/>
              </w:rPr>
            </w:pPr>
            <w:proofErr w:type="gramStart"/>
            <w:r w:rsidRPr="0028541A">
              <w:rPr>
                <w:sz w:val="20"/>
                <w:lang w:val="en-CA"/>
              </w:rPr>
              <w:t xml:space="preserve">Judgments and orders — Remand of case under s. 43(1.1) of </w:t>
            </w:r>
            <w:r w:rsidRPr="0028541A">
              <w:rPr>
                <w:i/>
                <w:sz w:val="20"/>
                <w:lang w:val="en-CA"/>
              </w:rPr>
              <w:t xml:space="preserve">Supreme Court Act </w:t>
            </w:r>
            <w:r w:rsidRPr="0028541A">
              <w:rPr>
                <w:sz w:val="20"/>
                <w:lang w:val="en-CA"/>
              </w:rPr>
              <w:t xml:space="preserve">— Scope of remand — Municipal law — Contracts — Amendment to municipal contract — Restitution of prestations — Scope of remand pursuant to s. 43(1.1) of </w:t>
            </w:r>
            <w:r w:rsidRPr="0028541A">
              <w:rPr>
                <w:i/>
                <w:sz w:val="20"/>
                <w:lang w:val="en-CA"/>
              </w:rPr>
              <w:t>Supreme Court Act</w:t>
            </w:r>
            <w:r w:rsidRPr="0028541A">
              <w:rPr>
                <w:sz w:val="20"/>
                <w:lang w:val="en-CA"/>
              </w:rPr>
              <w:t xml:space="preserve"> — Whether municipality can amend validly awarded construction contract otherwise than through express resolution of municipal council — In alternative, whether Ville de Saguenay must reimburse Unibec based on rules on receipt of payment not due and restitution of prestations — </w:t>
            </w:r>
            <w:r w:rsidRPr="0028541A">
              <w:rPr>
                <w:i/>
                <w:sz w:val="20"/>
                <w:lang w:val="en-CA"/>
              </w:rPr>
              <w:t>Supreme Court Act</w:t>
            </w:r>
            <w:r w:rsidRPr="0028541A">
              <w:rPr>
                <w:sz w:val="20"/>
                <w:lang w:val="en-CA"/>
              </w:rPr>
              <w:t>, R.S.C. 1985, c. S</w:t>
            </w:r>
            <w:r w:rsidRPr="0028541A">
              <w:rPr>
                <w:sz w:val="20"/>
                <w:lang w:val="en-CA"/>
              </w:rPr>
              <w:noBreakHyphen/>
              <w:t>26, s. 43(1.1).</w:t>
            </w:r>
            <w:proofErr w:type="gramEnd"/>
          </w:p>
        </w:tc>
      </w:tr>
      <w:tr w:rsidR="0028541A" w:rsidRPr="0028541A" w:rsidTr="0028541A">
        <w:tc>
          <w:tcPr>
            <w:tcW w:w="5000" w:type="pct"/>
            <w:gridSpan w:val="4"/>
          </w:tcPr>
          <w:p w:rsidR="0028541A" w:rsidRPr="0028541A" w:rsidRDefault="0028541A" w:rsidP="0028541A">
            <w:pPr>
              <w:jc w:val="both"/>
              <w:rPr>
                <w:sz w:val="20"/>
                <w:lang w:val="en-CA"/>
              </w:rPr>
            </w:pPr>
          </w:p>
        </w:tc>
      </w:tr>
      <w:tr w:rsidR="0028541A" w:rsidRPr="0028541A" w:rsidTr="0028541A">
        <w:tc>
          <w:tcPr>
            <w:tcW w:w="5000" w:type="pct"/>
            <w:gridSpan w:val="4"/>
          </w:tcPr>
          <w:p w:rsidR="0028541A" w:rsidRPr="0028541A" w:rsidRDefault="0028541A" w:rsidP="0028541A">
            <w:pPr>
              <w:jc w:val="both"/>
              <w:rPr>
                <w:sz w:val="20"/>
                <w:lang w:val="en-CA"/>
              </w:rPr>
            </w:pPr>
            <w:r w:rsidRPr="0028541A">
              <w:rPr>
                <w:sz w:val="20"/>
                <w:lang w:val="en-CA"/>
              </w:rPr>
              <w:t xml:space="preserve">During the performance of a contract for the construction of a multipurpose centre, the respondent, Ville de Saguenay (“City”), wanted some additional work done. A site instruction </w:t>
            </w:r>
            <w:proofErr w:type="gramStart"/>
            <w:r w:rsidRPr="0028541A">
              <w:rPr>
                <w:sz w:val="20"/>
                <w:lang w:val="en-CA"/>
              </w:rPr>
              <w:t>was issued</w:t>
            </w:r>
            <w:proofErr w:type="gramEnd"/>
            <w:r w:rsidRPr="0028541A">
              <w:rPr>
                <w:sz w:val="20"/>
                <w:lang w:val="en-CA"/>
              </w:rPr>
              <w:t xml:space="preserve">, accompanied by specific plans. The applicant, Construction Unibec inc., to which the construction contract </w:t>
            </w:r>
            <w:proofErr w:type="gramStart"/>
            <w:r w:rsidRPr="0028541A">
              <w:rPr>
                <w:sz w:val="20"/>
                <w:lang w:val="en-CA"/>
              </w:rPr>
              <w:t>had been awarded</w:t>
            </w:r>
            <w:proofErr w:type="gramEnd"/>
            <w:r w:rsidRPr="0028541A">
              <w:rPr>
                <w:sz w:val="20"/>
                <w:lang w:val="en-CA"/>
              </w:rPr>
              <w:t xml:space="preserve"> by resolution, sent the City a tender for $148,588.71 for the additional work. The tender </w:t>
            </w:r>
            <w:proofErr w:type="gramStart"/>
            <w:r w:rsidRPr="0028541A">
              <w:rPr>
                <w:sz w:val="20"/>
                <w:lang w:val="en-CA"/>
              </w:rPr>
              <w:t>was accepted</w:t>
            </w:r>
            <w:proofErr w:type="gramEnd"/>
            <w:r w:rsidRPr="0028541A">
              <w:rPr>
                <w:sz w:val="20"/>
                <w:lang w:val="en-CA"/>
              </w:rPr>
              <w:t xml:space="preserve"> by resolution. Unibec realized that backfilling work, which it had not included in the tendered price, was required to complete the additional work. It </w:t>
            </w:r>
            <w:proofErr w:type="gramStart"/>
            <w:r w:rsidRPr="0028541A">
              <w:rPr>
                <w:sz w:val="20"/>
                <w:lang w:val="en-CA"/>
              </w:rPr>
              <w:t>was agreed</w:t>
            </w:r>
            <w:proofErr w:type="gramEnd"/>
            <w:r w:rsidRPr="0028541A">
              <w:rPr>
                <w:sz w:val="20"/>
                <w:lang w:val="en-CA"/>
              </w:rPr>
              <w:t xml:space="preserve"> that the backfilling work would be done separately from the contract for the additional work with cost plus pricing based on the cost of materials and labour. On completion of the work, Unibec sent its final invoice for $297,241.10. The City refused to pay $148,652.39, the amount for the backfilling work.</w:t>
            </w:r>
          </w:p>
          <w:p w:rsidR="0028541A" w:rsidRPr="006500D2" w:rsidRDefault="0028541A" w:rsidP="0028541A">
            <w:pPr>
              <w:jc w:val="both"/>
              <w:rPr>
                <w:sz w:val="20"/>
                <w:lang w:val="en-CA"/>
              </w:rPr>
            </w:pPr>
          </w:p>
          <w:p w:rsidR="0028541A" w:rsidRPr="0028541A" w:rsidRDefault="0028541A" w:rsidP="0028541A">
            <w:pPr>
              <w:jc w:val="both"/>
              <w:rPr>
                <w:sz w:val="20"/>
                <w:lang w:val="en-CA"/>
              </w:rPr>
            </w:pPr>
            <w:r w:rsidRPr="0028541A">
              <w:rPr>
                <w:sz w:val="20"/>
                <w:lang w:val="en-CA"/>
              </w:rPr>
              <w:t xml:space="preserve">The Superior Court allowed Unibec’s motion to institute proceedings and ordered the City to pay Unibec $148,652.39 for the backfilling work. The Court of Appeal dismissed Unibec’s motion to institute proceedings. The Supreme Court, pursuant to s. 43(1.1) of the </w:t>
            </w:r>
            <w:r w:rsidRPr="0028541A">
              <w:rPr>
                <w:i/>
                <w:sz w:val="20"/>
                <w:lang w:val="en-CA"/>
              </w:rPr>
              <w:t>Supreme Court Act</w:t>
            </w:r>
            <w:r w:rsidRPr="0028541A">
              <w:rPr>
                <w:sz w:val="20"/>
                <w:lang w:val="en-CA"/>
              </w:rPr>
              <w:t xml:space="preserve">, remanded the case forming the basis of the application for leave to appeal to the Quebec Court of Appeal for disposition in accordance with </w:t>
            </w:r>
            <w:r w:rsidRPr="0028541A">
              <w:rPr>
                <w:i/>
                <w:sz w:val="20"/>
                <w:lang w:val="en-CA"/>
              </w:rPr>
              <w:t>Montréal (Ville) v. Octane Stratégie inc.</w:t>
            </w:r>
            <w:r w:rsidRPr="0028541A">
              <w:rPr>
                <w:sz w:val="20"/>
                <w:lang w:val="en-CA"/>
              </w:rPr>
              <w:t xml:space="preserve">, 2019 SCC 57. The Court of Appeal affirmed the judgment it had rendered in 2019. </w:t>
            </w:r>
          </w:p>
          <w:p w:rsidR="0028541A" w:rsidRPr="0028541A" w:rsidRDefault="0028541A" w:rsidP="0028541A">
            <w:pPr>
              <w:jc w:val="both"/>
              <w:rPr>
                <w:sz w:val="20"/>
                <w:lang w:val="en-CA"/>
              </w:rPr>
            </w:pP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lastRenderedPageBreak/>
              <w:t>October 3, 2016</w:t>
            </w:r>
          </w:p>
          <w:p w:rsidR="0028541A" w:rsidRPr="0028541A" w:rsidRDefault="0028541A" w:rsidP="0028541A">
            <w:pPr>
              <w:jc w:val="both"/>
              <w:rPr>
                <w:sz w:val="20"/>
                <w:lang w:val="en-CA"/>
              </w:rPr>
            </w:pPr>
            <w:r w:rsidRPr="0028541A">
              <w:rPr>
                <w:sz w:val="20"/>
                <w:lang w:val="en-CA"/>
              </w:rPr>
              <w:t>Quebec Superior Court</w:t>
            </w:r>
          </w:p>
          <w:p w:rsidR="0028541A" w:rsidRPr="0028541A" w:rsidRDefault="0028541A" w:rsidP="0028541A">
            <w:pPr>
              <w:jc w:val="both"/>
              <w:rPr>
                <w:sz w:val="20"/>
                <w:lang w:val="en-CA"/>
              </w:rPr>
            </w:pPr>
            <w:r w:rsidRPr="0028541A">
              <w:rPr>
                <w:sz w:val="20"/>
                <w:lang w:val="en-CA"/>
              </w:rPr>
              <w:t>(Duchesne J.)</w:t>
            </w:r>
          </w:p>
          <w:p w:rsidR="0028541A" w:rsidRPr="0028541A" w:rsidRDefault="00370316" w:rsidP="0028541A">
            <w:pPr>
              <w:jc w:val="both"/>
              <w:rPr>
                <w:sz w:val="20"/>
                <w:lang w:val="en-CA"/>
              </w:rPr>
            </w:pPr>
            <w:hyperlink r:id="rId30" w:history="1">
              <w:r w:rsidR="0028541A" w:rsidRPr="0028541A">
                <w:rPr>
                  <w:rStyle w:val="Hyperlink"/>
                  <w:sz w:val="20"/>
                  <w:lang w:val="en-CA"/>
                </w:rPr>
                <w:t>2016 QCCS 4816</w:t>
              </w:r>
            </w:hyperlink>
          </w:p>
          <w:p w:rsidR="0028541A" w:rsidRPr="0028541A" w:rsidRDefault="0028541A" w:rsidP="0028541A">
            <w:pPr>
              <w:jc w:val="both"/>
              <w:rPr>
                <w:sz w:val="20"/>
                <w:lang w:val="en-CA"/>
              </w:rPr>
            </w:pP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Motion to institute proceedings against City allowed; City ordered to pay Unibec $148,652.39 for backfilling work</w:t>
            </w:r>
          </w:p>
          <w:p w:rsidR="0028541A" w:rsidRPr="0028541A" w:rsidRDefault="0028541A" w:rsidP="0028541A">
            <w:pPr>
              <w:jc w:val="both"/>
              <w:rPr>
                <w:sz w:val="20"/>
                <w:lang w:val="en-CA"/>
              </w:rPr>
            </w:pP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t>January 11, 2019</w:t>
            </w:r>
          </w:p>
          <w:p w:rsidR="0028541A" w:rsidRPr="0028541A" w:rsidRDefault="0028541A" w:rsidP="0028541A">
            <w:pPr>
              <w:jc w:val="both"/>
              <w:rPr>
                <w:sz w:val="20"/>
                <w:lang w:val="en-CA"/>
              </w:rPr>
            </w:pPr>
            <w:r w:rsidRPr="0028541A">
              <w:rPr>
                <w:sz w:val="20"/>
                <w:lang w:val="en-CA"/>
              </w:rPr>
              <w:t>Quebec Court of Appeal</w:t>
            </w:r>
          </w:p>
          <w:p w:rsidR="0028541A" w:rsidRPr="0028541A" w:rsidRDefault="0028541A" w:rsidP="0028541A">
            <w:pPr>
              <w:jc w:val="both"/>
              <w:rPr>
                <w:sz w:val="20"/>
                <w:lang w:val="en-CA"/>
              </w:rPr>
            </w:pPr>
            <w:r w:rsidRPr="0028541A">
              <w:rPr>
                <w:sz w:val="20"/>
                <w:lang w:val="en-CA"/>
              </w:rPr>
              <w:t>(Thibault, Rancourt and Roy JJ.A.)</w:t>
            </w:r>
          </w:p>
          <w:p w:rsidR="0028541A" w:rsidRPr="0028541A" w:rsidRDefault="00370316" w:rsidP="0028541A">
            <w:pPr>
              <w:jc w:val="both"/>
              <w:rPr>
                <w:sz w:val="20"/>
                <w:lang w:val="en-CA"/>
              </w:rPr>
            </w:pPr>
            <w:hyperlink r:id="rId31" w:history="1">
              <w:r w:rsidR="0028541A" w:rsidRPr="0028541A">
                <w:rPr>
                  <w:rStyle w:val="Hyperlink"/>
                  <w:sz w:val="20"/>
                  <w:lang w:val="en-CA"/>
                </w:rPr>
                <w:t>2019 QCCA 38</w:t>
              </w:r>
            </w:hyperlink>
          </w:p>
          <w:p w:rsidR="0028541A" w:rsidRPr="0028541A" w:rsidRDefault="0028541A" w:rsidP="0028541A">
            <w:pPr>
              <w:jc w:val="both"/>
              <w:rPr>
                <w:sz w:val="20"/>
                <w:lang w:val="en-CA"/>
              </w:rPr>
            </w:pP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Appeal allowed in part; motion to institute proceedings against City dismissed</w:t>
            </w: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t>January 9, 2020</w:t>
            </w:r>
          </w:p>
          <w:p w:rsidR="0028541A" w:rsidRPr="0028541A" w:rsidRDefault="0028541A" w:rsidP="0028541A">
            <w:pPr>
              <w:jc w:val="both"/>
              <w:rPr>
                <w:sz w:val="20"/>
                <w:lang w:val="en-CA"/>
              </w:rPr>
            </w:pPr>
            <w:r w:rsidRPr="0028541A">
              <w:rPr>
                <w:sz w:val="20"/>
                <w:lang w:val="en-CA"/>
              </w:rPr>
              <w:t>Supreme Court of Canada (</w:t>
            </w:r>
            <w:hyperlink r:id="rId32" w:history="1">
              <w:r w:rsidRPr="0028541A">
                <w:rPr>
                  <w:rStyle w:val="Hyperlink"/>
                  <w:sz w:val="20"/>
                  <w:lang w:val="en-CA"/>
                </w:rPr>
                <w:t>38545</w:t>
              </w:r>
            </w:hyperlink>
            <w:r w:rsidRPr="0028541A">
              <w:rPr>
                <w:sz w:val="20"/>
                <w:lang w:val="en-CA"/>
              </w:rPr>
              <w:t>)</w:t>
            </w:r>
          </w:p>
          <w:p w:rsidR="0028541A" w:rsidRPr="0028541A" w:rsidRDefault="0028541A" w:rsidP="0028541A">
            <w:pPr>
              <w:jc w:val="both"/>
              <w:rPr>
                <w:sz w:val="20"/>
                <w:lang w:val="en-CA"/>
              </w:rPr>
            </w:pP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 xml:space="preserve">Case forming basis of application for leave to appeal remanded to Quebec Court of Appeal </w:t>
            </w:r>
          </w:p>
          <w:p w:rsidR="0028541A" w:rsidRPr="0028541A" w:rsidRDefault="0028541A" w:rsidP="0028541A">
            <w:pPr>
              <w:jc w:val="both"/>
              <w:rPr>
                <w:sz w:val="20"/>
                <w:lang w:val="en-CA"/>
              </w:rPr>
            </w:pP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t>April 7, 2021</w:t>
            </w:r>
          </w:p>
          <w:p w:rsidR="0028541A" w:rsidRPr="0028541A" w:rsidRDefault="0028541A" w:rsidP="0028541A">
            <w:pPr>
              <w:jc w:val="both"/>
              <w:rPr>
                <w:sz w:val="20"/>
                <w:lang w:val="en-CA"/>
              </w:rPr>
            </w:pPr>
            <w:r w:rsidRPr="0028541A">
              <w:rPr>
                <w:sz w:val="20"/>
                <w:lang w:val="en-CA"/>
              </w:rPr>
              <w:t>Quebec Court of Appeal (Québec)</w:t>
            </w:r>
          </w:p>
          <w:p w:rsidR="0028541A" w:rsidRPr="0028541A" w:rsidRDefault="0028541A" w:rsidP="0028541A">
            <w:pPr>
              <w:jc w:val="both"/>
              <w:rPr>
                <w:sz w:val="20"/>
                <w:lang w:val="en-CA"/>
              </w:rPr>
            </w:pPr>
            <w:r w:rsidRPr="0028541A">
              <w:rPr>
                <w:sz w:val="20"/>
                <w:lang w:val="en-CA"/>
              </w:rPr>
              <w:t>(Dutil, Ruel and Lavallée JJ.A.)</w:t>
            </w:r>
          </w:p>
          <w:p w:rsidR="0028541A" w:rsidRPr="0028541A" w:rsidRDefault="00370316" w:rsidP="0028541A">
            <w:pPr>
              <w:jc w:val="both"/>
              <w:rPr>
                <w:sz w:val="20"/>
                <w:lang w:val="en-CA"/>
              </w:rPr>
            </w:pPr>
            <w:hyperlink r:id="rId33" w:history="1">
              <w:r w:rsidR="0028541A" w:rsidRPr="0028541A">
                <w:rPr>
                  <w:rStyle w:val="Hyperlink"/>
                  <w:sz w:val="20"/>
                  <w:lang w:val="en-CA"/>
                </w:rPr>
                <w:t>2021 QCCA 560</w:t>
              </w:r>
            </w:hyperlink>
            <w:r w:rsidR="0028541A" w:rsidRPr="0028541A">
              <w:rPr>
                <w:sz w:val="20"/>
                <w:lang w:val="en-CA"/>
              </w:rPr>
              <w:t xml:space="preserve"> (200</w:t>
            </w:r>
            <w:r w:rsidR="0028541A" w:rsidRPr="0028541A">
              <w:rPr>
                <w:sz w:val="20"/>
                <w:lang w:val="en-CA"/>
              </w:rPr>
              <w:noBreakHyphen/>
              <w:t>09</w:t>
            </w:r>
            <w:r w:rsidR="0028541A" w:rsidRPr="0028541A">
              <w:rPr>
                <w:sz w:val="20"/>
                <w:lang w:val="en-CA"/>
              </w:rPr>
              <w:noBreakHyphen/>
              <w:t>009390</w:t>
            </w:r>
            <w:r w:rsidR="0028541A" w:rsidRPr="0028541A">
              <w:rPr>
                <w:sz w:val="20"/>
                <w:lang w:val="en-CA"/>
              </w:rPr>
              <w:noBreakHyphen/>
              <w:t>169)</w:t>
            </w:r>
          </w:p>
          <w:p w:rsidR="0028541A" w:rsidRPr="0028541A" w:rsidRDefault="0028541A" w:rsidP="0028541A">
            <w:pPr>
              <w:jc w:val="both"/>
              <w:rPr>
                <w:sz w:val="20"/>
                <w:lang w:val="en-CA"/>
              </w:rPr>
            </w:pP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Appeal allowed in part; motion to institute proceedings against City dismissed</w:t>
            </w:r>
          </w:p>
          <w:p w:rsidR="0028541A" w:rsidRPr="0028541A" w:rsidRDefault="0028541A" w:rsidP="0028541A">
            <w:pPr>
              <w:jc w:val="both"/>
              <w:rPr>
                <w:sz w:val="20"/>
                <w:lang w:val="en-CA"/>
              </w:rPr>
            </w:pP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t>June 7, 2021</w:t>
            </w:r>
          </w:p>
          <w:p w:rsidR="0028541A" w:rsidRPr="0028541A" w:rsidRDefault="0028541A" w:rsidP="0028541A">
            <w:pPr>
              <w:jc w:val="both"/>
              <w:rPr>
                <w:sz w:val="20"/>
                <w:lang w:val="en-CA"/>
              </w:rPr>
            </w:pPr>
            <w:r w:rsidRPr="0028541A">
              <w:rPr>
                <w:sz w:val="20"/>
                <w:lang w:val="en-CA"/>
              </w:rPr>
              <w:t>Supreme Court of Canada</w:t>
            </w: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Application for leave to appeal filed</w:t>
            </w:r>
          </w:p>
          <w:p w:rsidR="0028541A" w:rsidRPr="0028541A" w:rsidRDefault="0028541A" w:rsidP="0028541A">
            <w:pPr>
              <w:jc w:val="both"/>
              <w:rPr>
                <w:sz w:val="20"/>
                <w:lang w:val="en-CA"/>
              </w:rPr>
            </w:pPr>
          </w:p>
        </w:tc>
      </w:tr>
    </w:tbl>
    <w:p w:rsidR="0028541A" w:rsidRDefault="0028541A" w:rsidP="0028541A">
      <w:pPr>
        <w:jc w:val="both"/>
        <w:rPr>
          <w:sz w:val="20"/>
          <w:lang w:val="en-CA"/>
        </w:rPr>
      </w:pPr>
    </w:p>
    <w:p w:rsidR="006500D2" w:rsidRDefault="00370316" w:rsidP="0028541A">
      <w:pPr>
        <w:jc w:val="both"/>
        <w:rPr>
          <w:sz w:val="20"/>
          <w:lang w:val="en-CA"/>
        </w:rPr>
      </w:pPr>
      <w:r>
        <w:rPr>
          <w:sz w:val="20"/>
        </w:rPr>
        <w:pict>
          <v:rect id="_x0000_i1031" style="width:2in;height:1pt" o:hrpct="0" o:hralign="center" o:hrstd="t" o:hrnoshade="t" o:hr="t" fillcolor="black [3213]" stroked="f"/>
        </w:pict>
      </w:r>
    </w:p>
    <w:p w:rsidR="006500D2" w:rsidRPr="0028541A" w:rsidRDefault="006500D2" w:rsidP="0028541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39702</w:t>
            </w:r>
          </w:p>
        </w:tc>
        <w:tc>
          <w:tcPr>
            <w:tcW w:w="4457" w:type="pct"/>
            <w:gridSpan w:val="3"/>
          </w:tcPr>
          <w:p w:rsidR="0028541A" w:rsidRPr="006500D2" w:rsidRDefault="0028541A" w:rsidP="0028541A">
            <w:pPr>
              <w:pStyle w:val="SCCLsocParty"/>
              <w:jc w:val="both"/>
              <w:rPr>
                <w:b/>
                <w:sz w:val="20"/>
                <w:szCs w:val="20"/>
              </w:rPr>
            </w:pPr>
            <w:r w:rsidRPr="006500D2">
              <w:rPr>
                <w:b/>
                <w:sz w:val="20"/>
                <w:szCs w:val="20"/>
              </w:rPr>
              <w:t>Construction Unibec inc. c. Ville de Saguenay</w:t>
            </w:r>
          </w:p>
          <w:p w:rsidR="0028541A" w:rsidRPr="0028541A" w:rsidRDefault="0028541A" w:rsidP="0028541A">
            <w:pPr>
              <w:jc w:val="both"/>
              <w:rPr>
                <w:sz w:val="20"/>
              </w:rPr>
            </w:pPr>
            <w:r w:rsidRPr="0028541A">
              <w:rPr>
                <w:sz w:val="20"/>
              </w:rPr>
              <w:t>(Qc) (Civile) (Autorisation)</w:t>
            </w: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 xml:space="preserve">Jugements et ordonnances — Renvoi d’une affaire sous le par. 43(1.1) de la </w:t>
            </w:r>
            <w:r w:rsidRPr="0028541A">
              <w:rPr>
                <w:i/>
                <w:sz w:val="20"/>
                <w:lang w:val="fr-CA"/>
              </w:rPr>
              <w:t xml:space="preserve">Loi sur la Cour suprême </w:t>
            </w:r>
            <w:r w:rsidRPr="0028541A">
              <w:rPr>
                <w:sz w:val="20"/>
                <w:lang w:val="fr-CA"/>
              </w:rPr>
              <w:t xml:space="preserve">— Portée du renvoi — Droit municipal — Contrats — Modification d’un contrat municipal — Restitution des prestations — Quelle est la portée d’un renvoi conformément au </w:t>
            </w:r>
            <w:proofErr w:type="spellStart"/>
            <w:r w:rsidRPr="0028541A">
              <w:rPr>
                <w:sz w:val="20"/>
                <w:lang w:val="fr-CA"/>
              </w:rPr>
              <w:t>par</w:t>
            </w:r>
            <w:proofErr w:type="spellEnd"/>
            <w:r w:rsidRPr="0028541A">
              <w:rPr>
                <w:sz w:val="20"/>
                <w:lang w:val="fr-CA"/>
              </w:rPr>
              <w:t xml:space="preserve">. 43(1.1) de la </w:t>
            </w:r>
            <w:r w:rsidRPr="0028541A">
              <w:rPr>
                <w:i/>
                <w:sz w:val="20"/>
                <w:lang w:val="fr-CA"/>
              </w:rPr>
              <w:t>Loi sur la Cour suprême</w:t>
            </w:r>
            <w:r w:rsidRPr="0028541A">
              <w:rPr>
                <w:sz w:val="20"/>
                <w:lang w:val="fr-CA"/>
              </w:rPr>
              <w:t>? — Une municipalité peut</w:t>
            </w:r>
            <w:r w:rsidRPr="0028541A">
              <w:rPr>
                <w:sz w:val="20"/>
                <w:lang w:val="fr-CA"/>
              </w:rPr>
              <w:noBreakHyphen/>
              <w:t>elle modifier un contrat de construction valablement octroyé autrement que par une résolution explicite du conseil municipal? — Subsidiairement, la Ville doit</w:t>
            </w:r>
            <w:r w:rsidRPr="0028541A">
              <w:rPr>
                <w:sz w:val="20"/>
                <w:lang w:val="fr-CA"/>
              </w:rPr>
              <w:noBreakHyphen/>
              <w:t xml:space="preserve">elle </w:t>
            </w:r>
            <w:proofErr w:type="gramStart"/>
            <w:r w:rsidRPr="0028541A">
              <w:rPr>
                <w:sz w:val="20"/>
                <w:lang w:val="fr-CA"/>
              </w:rPr>
              <w:t>rembourser</w:t>
            </w:r>
            <w:proofErr w:type="gramEnd"/>
            <w:r w:rsidRPr="0028541A">
              <w:rPr>
                <w:sz w:val="20"/>
                <w:lang w:val="fr-CA"/>
              </w:rPr>
              <w:t xml:space="preserve"> Unibec sur la base du régime de la réception de l’indu et de la restitution des prestations? — </w:t>
            </w:r>
            <w:r w:rsidRPr="0028541A">
              <w:rPr>
                <w:i/>
                <w:sz w:val="20"/>
                <w:lang w:val="fr-CA"/>
              </w:rPr>
              <w:t>Loi sur la Cour suprême</w:t>
            </w:r>
            <w:r w:rsidRPr="0028541A">
              <w:rPr>
                <w:sz w:val="20"/>
                <w:lang w:val="fr-CA"/>
              </w:rPr>
              <w:t>, L.R.C. 1985, c. S</w:t>
            </w:r>
            <w:r w:rsidRPr="0028541A">
              <w:rPr>
                <w:sz w:val="20"/>
                <w:lang w:val="fr-CA"/>
              </w:rPr>
              <w:noBreakHyphen/>
              <w:t>26, art. 43(1.1).</w:t>
            </w:r>
          </w:p>
        </w:tc>
      </w:tr>
      <w:tr w:rsidR="0028541A" w:rsidRPr="00370316" w:rsidTr="0028541A">
        <w:tc>
          <w:tcPr>
            <w:tcW w:w="5000" w:type="pct"/>
            <w:gridSpan w:val="4"/>
          </w:tcPr>
          <w:p w:rsidR="0028541A" w:rsidRPr="0028541A" w:rsidRDefault="0028541A" w:rsidP="0028541A">
            <w:pPr>
              <w:jc w:val="both"/>
              <w:rPr>
                <w:sz w:val="20"/>
                <w:lang w:val="fr-CA"/>
              </w:rPr>
            </w:pPr>
          </w:p>
        </w:tc>
      </w:tr>
      <w:tr w:rsidR="0028541A" w:rsidRPr="0028541A" w:rsidTr="0028541A">
        <w:tc>
          <w:tcPr>
            <w:tcW w:w="5000" w:type="pct"/>
            <w:gridSpan w:val="4"/>
          </w:tcPr>
          <w:p w:rsidR="0028541A" w:rsidRPr="0028541A" w:rsidRDefault="0028541A" w:rsidP="0028541A">
            <w:pPr>
              <w:jc w:val="both"/>
              <w:rPr>
                <w:sz w:val="20"/>
                <w:lang w:val="fr-CA"/>
              </w:rPr>
            </w:pPr>
            <w:r w:rsidRPr="0028541A">
              <w:rPr>
                <w:sz w:val="20"/>
                <w:lang w:val="fr-CA"/>
              </w:rPr>
              <w:t>Alors qu’un contrat de construction pour un centre multifonctionnel est en cours d’exécution, l’intimée, Ville de Saguenay, souhaite que des travaux supplémentaires soient effectués. Une directive de chantier accompagnée des plans explicites est émise et la demanderesse, Construction Unibec inc., à qui le contrat de construction avait été octroyé par résolution, transmet à la Ville sa soumission pour les travaux supplémentaires, au prix de 148 588,71 $. La soumission est acceptée par résolution. Unibec réalise que des travaux de remblayage, qu’elle n’avait pas prévus dans le prix soumis, sont nécessaires pour compléter les travaux supplémentaires. Il est convenu que les travaux de remblayage se feront de façon indépendante du contrat pour les travaux supplémentaires, en régie contrôlée, selon le coût du matériel et de la main-d’œuvre. À la fin des travaux, Unibec transmet sa facture finale de 297 241,10 $. La Ville refuse de payer la somme attribuable aux travaux de remblayage, soit 148 652,39 $.</w:t>
            </w:r>
          </w:p>
          <w:p w:rsidR="0028541A" w:rsidRPr="006500D2" w:rsidRDefault="0028541A" w:rsidP="0028541A">
            <w:pPr>
              <w:jc w:val="both"/>
              <w:rPr>
                <w:sz w:val="20"/>
                <w:lang w:val="fr-CA"/>
              </w:rPr>
            </w:pPr>
          </w:p>
          <w:p w:rsidR="0028541A" w:rsidRPr="0028541A" w:rsidRDefault="0028541A" w:rsidP="0028541A">
            <w:pPr>
              <w:jc w:val="both"/>
              <w:rPr>
                <w:sz w:val="20"/>
              </w:rPr>
            </w:pPr>
            <w:r w:rsidRPr="0028541A">
              <w:rPr>
                <w:sz w:val="20"/>
                <w:lang w:val="fr-CA"/>
              </w:rPr>
              <w:t xml:space="preserve">La Cour supérieure accueille la requête introductive d’instance d’Unibec et condamne la Ville à payer 148 652,39 $ à Unibec pour les travaux de remblayage. La Cour d’appel rejette la requête introductive d’instance d’Unibec. La Cour suprême, conformément au </w:t>
            </w:r>
            <w:proofErr w:type="spellStart"/>
            <w:r w:rsidRPr="0028541A">
              <w:rPr>
                <w:sz w:val="20"/>
                <w:lang w:val="fr-CA"/>
              </w:rPr>
              <w:t>par</w:t>
            </w:r>
            <w:proofErr w:type="spellEnd"/>
            <w:r w:rsidRPr="0028541A">
              <w:rPr>
                <w:sz w:val="20"/>
                <w:lang w:val="fr-CA"/>
              </w:rPr>
              <w:t xml:space="preserve">. 43(1.1) de la </w:t>
            </w:r>
            <w:r w:rsidRPr="0028541A">
              <w:rPr>
                <w:i/>
                <w:sz w:val="20"/>
                <w:lang w:val="fr-CA"/>
              </w:rPr>
              <w:t>Loi sur la Cour suprême</w:t>
            </w:r>
            <w:r w:rsidRPr="0028541A">
              <w:rPr>
                <w:sz w:val="20"/>
                <w:lang w:val="fr-CA"/>
              </w:rPr>
              <w:t xml:space="preserve">, renvoie l’affaire à l’origine de la demande d’autorisation d’appel à la Cour d’appel du Québec pour qu’elle statue en conformité avec </w:t>
            </w:r>
            <w:r w:rsidRPr="0028541A">
              <w:rPr>
                <w:i/>
                <w:sz w:val="20"/>
                <w:lang w:val="fr-CA"/>
              </w:rPr>
              <w:t>Montréal (Ville) c. Octane Stratégie inc.</w:t>
            </w:r>
            <w:r w:rsidRPr="0028541A">
              <w:rPr>
                <w:sz w:val="20"/>
                <w:lang w:val="fr-CA"/>
              </w:rPr>
              <w:t xml:space="preserve">, 2019 CSC 57. </w:t>
            </w:r>
            <w:r w:rsidRPr="0028541A">
              <w:rPr>
                <w:sz w:val="20"/>
              </w:rPr>
              <w:t xml:space="preserve">La Cour d’appel confirme l’arrêt qu’elle a rendu en 2019. </w:t>
            </w:r>
          </w:p>
          <w:p w:rsidR="0028541A" w:rsidRPr="0028541A" w:rsidRDefault="0028541A" w:rsidP="0028541A">
            <w:pPr>
              <w:jc w:val="both"/>
              <w:rPr>
                <w:sz w:val="20"/>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Le 3 octobre 2016</w:t>
            </w:r>
          </w:p>
          <w:p w:rsidR="0028541A" w:rsidRPr="0028541A" w:rsidRDefault="0028541A" w:rsidP="0028541A">
            <w:pPr>
              <w:jc w:val="both"/>
              <w:rPr>
                <w:sz w:val="20"/>
                <w:lang w:val="fr-CA"/>
              </w:rPr>
            </w:pPr>
            <w:r w:rsidRPr="0028541A">
              <w:rPr>
                <w:sz w:val="20"/>
                <w:lang w:val="fr-CA"/>
              </w:rPr>
              <w:t>Cour supérieure du Québec</w:t>
            </w:r>
          </w:p>
          <w:p w:rsidR="0028541A" w:rsidRPr="0028541A" w:rsidRDefault="0028541A" w:rsidP="0028541A">
            <w:pPr>
              <w:jc w:val="both"/>
              <w:rPr>
                <w:sz w:val="20"/>
              </w:rPr>
            </w:pPr>
            <w:r w:rsidRPr="0028541A">
              <w:rPr>
                <w:sz w:val="20"/>
              </w:rPr>
              <w:t>(Le juge Duchesne)</w:t>
            </w:r>
          </w:p>
          <w:p w:rsidR="0028541A" w:rsidRPr="0028541A" w:rsidRDefault="00370316" w:rsidP="0028541A">
            <w:pPr>
              <w:jc w:val="both"/>
              <w:rPr>
                <w:sz w:val="20"/>
              </w:rPr>
            </w:pPr>
            <w:hyperlink r:id="rId34" w:history="1">
              <w:r w:rsidR="0028541A" w:rsidRPr="0028541A">
                <w:rPr>
                  <w:rStyle w:val="Hyperlink"/>
                  <w:sz w:val="20"/>
                </w:rPr>
                <w:t>2016 QCCS 4816</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Requête introductive d’instance à l’encontre de la Ville de Saguenay accueillie; condamnation de la Ville à payer 148 652,39 $ à Unibec pour les travaux de remblayage</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Le 11 janvier 2019</w:t>
            </w:r>
          </w:p>
          <w:p w:rsidR="0028541A" w:rsidRPr="0028541A" w:rsidRDefault="0028541A" w:rsidP="0028541A">
            <w:pPr>
              <w:jc w:val="both"/>
              <w:rPr>
                <w:sz w:val="20"/>
                <w:lang w:val="fr-CA"/>
              </w:rPr>
            </w:pPr>
            <w:r w:rsidRPr="0028541A">
              <w:rPr>
                <w:sz w:val="20"/>
                <w:lang w:val="fr-CA"/>
              </w:rPr>
              <w:t>Cour d’appel du Québec</w:t>
            </w:r>
          </w:p>
          <w:p w:rsidR="0028541A" w:rsidRPr="0028541A" w:rsidRDefault="0028541A" w:rsidP="0028541A">
            <w:pPr>
              <w:jc w:val="both"/>
              <w:rPr>
                <w:sz w:val="20"/>
                <w:lang w:val="fr-CA"/>
              </w:rPr>
            </w:pPr>
            <w:r w:rsidRPr="0028541A">
              <w:rPr>
                <w:sz w:val="20"/>
                <w:lang w:val="fr-CA"/>
              </w:rPr>
              <w:lastRenderedPageBreak/>
              <w:t>(Les juges Thibault, Rancourt et Roy)</w:t>
            </w:r>
          </w:p>
          <w:p w:rsidR="0028541A" w:rsidRPr="0028541A" w:rsidRDefault="00370316" w:rsidP="0028541A">
            <w:pPr>
              <w:jc w:val="both"/>
              <w:rPr>
                <w:sz w:val="20"/>
              </w:rPr>
            </w:pPr>
            <w:hyperlink r:id="rId35" w:history="1">
              <w:r w:rsidR="0028541A" w:rsidRPr="0028541A">
                <w:rPr>
                  <w:rStyle w:val="Hyperlink"/>
                  <w:sz w:val="20"/>
                </w:rPr>
                <w:t>2019 QCCA 38</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Appel accueilli en partie; requête introductive d’instance à l’encontre de la Ville de Saguenay rejetée</w:t>
            </w: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Le 9 janvier 2020</w:t>
            </w:r>
          </w:p>
          <w:p w:rsidR="0028541A" w:rsidRPr="0028541A" w:rsidRDefault="0028541A" w:rsidP="0028541A">
            <w:pPr>
              <w:jc w:val="both"/>
              <w:rPr>
                <w:sz w:val="20"/>
                <w:lang w:val="fr-CA"/>
              </w:rPr>
            </w:pPr>
            <w:r w:rsidRPr="0028541A">
              <w:rPr>
                <w:sz w:val="20"/>
                <w:lang w:val="fr-CA"/>
              </w:rPr>
              <w:t>Cour suprême du Canada (</w:t>
            </w:r>
            <w:hyperlink r:id="rId36" w:history="1">
              <w:r w:rsidRPr="0028541A">
                <w:rPr>
                  <w:rStyle w:val="Hyperlink"/>
                  <w:sz w:val="20"/>
                  <w:lang w:val="fr-CA"/>
                </w:rPr>
                <w:t>38545</w:t>
              </w:r>
            </w:hyperlink>
            <w:r w:rsidRPr="0028541A">
              <w:rPr>
                <w:sz w:val="20"/>
                <w:lang w:val="fr-CA"/>
              </w:rPr>
              <w:t>)</w:t>
            </w:r>
          </w:p>
          <w:p w:rsidR="0028541A" w:rsidRPr="0028541A" w:rsidRDefault="0028541A" w:rsidP="0028541A">
            <w:pPr>
              <w:jc w:val="both"/>
              <w:rPr>
                <w:sz w:val="20"/>
                <w:lang w:val="fr-CA"/>
              </w:rPr>
            </w:pP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 xml:space="preserve">Affaire à l’origine de la demande d’autorisation d’appel renvoyée à la Cour d’appel du Québec </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Le 7 avril 2021</w:t>
            </w:r>
          </w:p>
          <w:p w:rsidR="0028541A" w:rsidRPr="0028541A" w:rsidRDefault="0028541A" w:rsidP="0028541A">
            <w:pPr>
              <w:jc w:val="both"/>
              <w:rPr>
                <w:sz w:val="20"/>
                <w:lang w:val="fr-CA"/>
              </w:rPr>
            </w:pPr>
            <w:r w:rsidRPr="0028541A">
              <w:rPr>
                <w:sz w:val="20"/>
                <w:lang w:val="fr-CA"/>
              </w:rPr>
              <w:t>Cour d’appel du Québec (Québec)</w:t>
            </w:r>
          </w:p>
          <w:p w:rsidR="0028541A" w:rsidRPr="0028541A" w:rsidRDefault="0028541A" w:rsidP="0028541A">
            <w:pPr>
              <w:jc w:val="both"/>
              <w:rPr>
                <w:sz w:val="20"/>
                <w:lang w:val="fr-CA"/>
              </w:rPr>
            </w:pPr>
            <w:r w:rsidRPr="0028541A">
              <w:rPr>
                <w:sz w:val="20"/>
                <w:lang w:val="fr-CA"/>
              </w:rPr>
              <w:t>(Les juges Dutil, Ruel et Lavallée)</w:t>
            </w:r>
          </w:p>
          <w:p w:rsidR="0028541A" w:rsidRPr="0028541A" w:rsidRDefault="00370316" w:rsidP="0028541A">
            <w:pPr>
              <w:jc w:val="both"/>
              <w:rPr>
                <w:sz w:val="20"/>
              </w:rPr>
            </w:pPr>
            <w:hyperlink r:id="rId37" w:history="1">
              <w:r w:rsidR="0028541A" w:rsidRPr="0028541A">
                <w:rPr>
                  <w:rStyle w:val="Hyperlink"/>
                  <w:sz w:val="20"/>
                </w:rPr>
                <w:t>2021 QCCA 560</w:t>
              </w:r>
            </w:hyperlink>
            <w:r w:rsidR="0028541A" w:rsidRPr="0028541A">
              <w:rPr>
                <w:sz w:val="20"/>
              </w:rPr>
              <w:t xml:space="preserve"> (200</w:t>
            </w:r>
            <w:r w:rsidR="0028541A" w:rsidRPr="0028541A">
              <w:rPr>
                <w:sz w:val="20"/>
              </w:rPr>
              <w:noBreakHyphen/>
              <w:t>09</w:t>
            </w:r>
            <w:r w:rsidR="0028541A" w:rsidRPr="0028541A">
              <w:rPr>
                <w:sz w:val="20"/>
              </w:rPr>
              <w:noBreakHyphen/>
              <w:t>009390</w:t>
            </w:r>
            <w:r w:rsidR="0028541A" w:rsidRPr="0028541A">
              <w:rPr>
                <w:sz w:val="20"/>
              </w:rPr>
              <w:noBreakHyphen/>
              <w:t>169)</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Appel accueilli en partie; requête introductive d’instance à l’encontre de la Ville de Saguenay rejetée</w:t>
            </w:r>
          </w:p>
          <w:p w:rsidR="0028541A" w:rsidRPr="0028541A" w:rsidRDefault="0028541A" w:rsidP="0028541A">
            <w:pPr>
              <w:jc w:val="both"/>
              <w:rPr>
                <w:sz w:val="20"/>
                <w:lang w:val="fr-CA"/>
              </w:rPr>
            </w:pPr>
          </w:p>
        </w:tc>
      </w:tr>
      <w:tr w:rsidR="0028541A" w:rsidRPr="0028541A" w:rsidTr="0028541A">
        <w:tc>
          <w:tcPr>
            <w:tcW w:w="2427" w:type="pct"/>
            <w:gridSpan w:val="2"/>
          </w:tcPr>
          <w:p w:rsidR="0028541A" w:rsidRPr="0028541A" w:rsidRDefault="0028541A" w:rsidP="0028541A">
            <w:pPr>
              <w:jc w:val="both"/>
              <w:rPr>
                <w:sz w:val="20"/>
                <w:lang w:val="fr-CA"/>
              </w:rPr>
            </w:pPr>
            <w:r w:rsidRPr="0028541A">
              <w:rPr>
                <w:sz w:val="20"/>
                <w:lang w:val="fr-CA"/>
              </w:rPr>
              <w:t>Le 7 juin 2021</w:t>
            </w:r>
          </w:p>
          <w:p w:rsidR="0028541A" w:rsidRPr="0028541A" w:rsidRDefault="0028541A" w:rsidP="0028541A">
            <w:pPr>
              <w:jc w:val="both"/>
              <w:rPr>
                <w:sz w:val="20"/>
                <w:lang w:val="fr-CA"/>
              </w:rPr>
            </w:pPr>
            <w:r w:rsidRPr="0028541A">
              <w:rPr>
                <w:sz w:val="20"/>
                <w:lang w:val="fr-CA"/>
              </w:rPr>
              <w:t>Cour suprême du Canada</w:t>
            </w: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rPr>
            </w:pPr>
            <w:r w:rsidRPr="0028541A">
              <w:rPr>
                <w:sz w:val="20"/>
              </w:rPr>
              <w:t>Demande d’autorisation d’appel déposée</w:t>
            </w:r>
          </w:p>
          <w:p w:rsidR="0028541A" w:rsidRPr="0028541A" w:rsidRDefault="0028541A" w:rsidP="0028541A">
            <w:pPr>
              <w:jc w:val="both"/>
              <w:rPr>
                <w:sz w:val="20"/>
              </w:rPr>
            </w:pPr>
          </w:p>
        </w:tc>
      </w:tr>
    </w:tbl>
    <w:p w:rsidR="0028541A" w:rsidRDefault="0028541A" w:rsidP="0028541A">
      <w:pPr>
        <w:widowControl w:val="0"/>
        <w:tabs>
          <w:tab w:val="left" w:pos="3840"/>
        </w:tabs>
        <w:jc w:val="both"/>
        <w:rPr>
          <w:sz w:val="20"/>
          <w:lang w:val="fr-CA"/>
        </w:rPr>
      </w:pPr>
    </w:p>
    <w:p w:rsidR="006500D2" w:rsidRPr="0028541A" w:rsidRDefault="00370316" w:rsidP="0028541A">
      <w:pPr>
        <w:widowControl w:val="0"/>
        <w:tabs>
          <w:tab w:val="left" w:pos="3840"/>
        </w:tabs>
        <w:jc w:val="both"/>
        <w:rPr>
          <w:sz w:val="20"/>
          <w:lang w:val="fr-CA"/>
        </w:rPr>
      </w:pPr>
      <w:r>
        <w:rPr>
          <w:sz w:val="20"/>
        </w:rPr>
        <w:pict>
          <v:rect id="_x0000_i1032"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lang w:val="en-CA"/>
              </w:rPr>
            </w:pPr>
            <w:r w:rsidRPr="0028541A">
              <w:rPr>
                <w:rStyle w:val="SCCFileNumberChar"/>
                <w:sz w:val="20"/>
                <w:szCs w:val="20"/>
              </w:rPr>
              <w:t>39741</w:t>
            </w:r>
          </w:p>
        </w:tc>
        <w:tc>
          <w:tcPr>
            <w:tcW w:w="4457" w:type="pct"/>
            <w:gridSpan w:val="3"/>
          </w:tcPr>
          <w:p w:rsidR="0028541A" w:rsidRPr="006500D2" w:rsidRDefault="0028541A" w:rsidP="0028541A">
            <w:pPr>
              <w:pStyle w:val="SCCLsocParty"/>
              <w:jc w:val="both"/>
              <w:rPr>
                <w:b/>
                <w:sz w:val="20"/>
                <w:szCs w:val="20"/>
                <w:lang w:val="en-CA"/>
              </w:rPr>
            </w:pPr>
            <w:r w:rsidRPr="006500D2">
              <w:rPr>
                <w:b/>
                <w:sz w:val="20"/>
                <w:szCs w:val="20"/>
                <w:lang w:val="en-CA"/>
              </w:rPr>
              <w:t>Nancy Savoie v. Charles Savoie</w:t>
            </w:r>
          </w:p>
          <w:p w:rsidR="0028541A" w:rsidRPr="0028541A" w:rsidRDefault="0028541A" w:rsidP="0028541A">
            <w:pPr>
              <w:jc w:val="both"/>
              <w:rPr>
                <w:sz w:val="20"/>
                <w:lang w:val="en-CA"/>
              </w:rPr>
            </w:pPr>
            <w:r w:rsidRPr="0028541A">
              <w:rPr>
                <w:sz w:val="20"/>
                <w:lang w:val="en-CA"/>
              </w:rPr>
              <w:t>(N.B.) (Civil) (By Leave)</w:t>
            </w:r>
          </w:p>
        </w:tc>
      </w:tr>
      <w:tr w:rsidR="0028541A" w:rsidRPr="0028541A" w:rsidTr="0028541A">
        <w:tc>
          <w:tcPr>
            <w:tcW w:w="5000" w:type="pct"/>
            <w:gridSpan w:val="4"/>
          </w:tcPr>
          <w:p w:rsidR="0028541A" w:rsidRPr="0028541A" w:rsidRDefault="0028541A" w:rsidP="0028541A">
            <w:pPr>
              <w:jc w:val="both"/>
              <w:rPr>
                <w:sz w:val="20"/>
                <w:lang w:val="en-CA"/>
              </w:rPr>
            </w:pPr>
            <w:proofErr w:type="gramStart"/>
            <w:r w:rsidRPr="0028541A">
              <w:rPr>
                <w:sz w:val="20"/>
                <w:lang w:val="en-CA"/>
              </w:rPr>
              <w:t>Charter of Rights —</w:t>
            </w:r>
            <w:r w:rsidRPr="0028541A">
              <w:rPr>
                <w:i/>
                <w:sz w:val="20"/>
                <w:lang w:val="en-CA"/>
              </w:rPr>
              <w:t xml:space="preserve"> </w:t>
            </w:r>
            <w:r w:rsidRPr="0028541A">
              <w:rPr>
                <w:sz w:val="20"/>
                <w:lang w:val="en-CA"/>
              </w:rPr>
              <w:t>Right to equality — Family law — Support — Spousal support — Family assets — Whether Court of Appeal failed to consider several relevant pieces of evidence — Whether Court of Appeal rendered erroneous judgment by not taking several grounds of appeal raised seriously — Whether there is reasonable apprehension of bias on part of trial judge — Whether interim support order was falsified and signed by judge in favour of respondent.</w:t>
            </w:r>
            <w:proofErr w:type="gramEnd"/>
          </w:p>
        </w:tc>
      </w:tr>
      <w:tr w:rsidR="0028541A" w:rsidRPr="0028541A" w:rsidTr="0028541A">
        <w:tc>
          <w:tcPr>
            <w:tcW w:w="5000" w:type="pct"/>
            <w:gridSpan w:val="4"/>
          </w:tcPr>
          <w:p w:rsidR="0028541A" w:rsidRPr="0028541A" w:rsidRDefault="0028541A" w:rsidP="0028541A">
            <w:pPr>
              <w:jc w:val="both"/>
              <w:rPr>
                <w:sz w:val="20"/>
                <w:lang w:val="en-CA"/>
              </w:rPr>
            </w:pPr>
          </w:p>
          <w:p w:rsidR="0028541A" w:rsidRPr="0028541A" w:rsidRDefault="0028541A" w:rsidP="0028541A">
            <w:pPr>
              <w:jc w:val="both"/>
              <w:rPr>
                <w:sz w:val="20"/>
                <w:lang w:val="en-CA"/>
              </w:rPr>
            </w:pPr>
            <w:r w:rsidRPr="0028541A">
              <w:rPr>
                <w:sz w:val="20"/>
                <w:lang w:val="en-CA"/>
              </w:rPr>
              <w:t>The applicant, Ms. Savoie, filed a petition for divorce in which the main issues were support for her and the division of property and debts. The Court of Queen’s Bench made orders granting a divorce, requiring the respondent, Mr. Savoie, to pay Ms. Savoie $11,200 a month in support as of September 1, 2015 and for an indefinite period, and providing for the equal division of property and debts. Ms. Savoie appealed, and Mr. Savoie filed a cross</w:t>
            </w:r>
            <w:r w:rsidRPr="0028541A">
              <w:rPr>
                <w:sz w:val="20"/>
                <w:lang w:val="en-CA"/>
              </w:rPr>
              <w:noBreakHyphen/>
              <w:t>appeal. The Court of Appeal dismissed the appeal and the cross</w:t>
            </w:r>
            <w:r w:rsidRPr="0028541A">
              <w:rPr>
                <w:sz w:val="20"/>
                <w:lang w:val="en-CA"/>
              </w:rPr>
              <w:noBreakHyphen/>
              <w:t xml:space="preserve">appeal, as it was of the view </w:t>
            </w:r>
            <w:proofErr w:type="gramStart"/>
            <w:r w:rsidRPr="0028541A">
              <w:rPr>
                <w:sz w:val="20"/>
                <w:lang w:val="en-CA"/>
              </w:rPr>
              <w:t>that the trial judge’s reasons were complete and contain no error</w:t>
            </w:r>
            <w:proofErr w:type="gramEnd"/>
            <w:r w:rsidRPr="0028541A">
              <w:rPr>
                <w:sz w:val="20"/>
                <w:lang w:val="en-CA"/>
              </w:rPr>
              <w:t xml:space="preserve">. </w:t>
            </w:r>
          </w:p>
        </w:tc>
      </w:tr>
      <w:tr w:rsidR="0028541A" w:rsidRPr="0028541A" w:rsidTr="0028541A">
        <w:tc>
          <w:tcPr>
            <w:tcW w:w="5000" w:type="pct"/>
            <w:gridSpan w:val="4"/>
          </w:tcPr>
          <w:p w:rsidR="0028541A" w:rsidRPr="0028541A" w:rsidRDefault="0028541A" w:rsidP="0028541A">
            <w:pPr>
              <w:jc w:val="both"/>
              <w:rPr>
                <w:sz w:val="20"/>
                <w:lang w:val="en-CA"/>
              </w:rPr>
            </w:pP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t>April 24, 2020</w:t>
            </w:r>
          </w:p>
          <w:p w:rsidR="0028541A" w:rsidRPr="0028541A" w:rsidRDefault="0028541A" w:rsidP="0028541A">
            <w:pPr>
              <w:jc w:val="both"/>
              <w:rPr>
                <w:sz w:val="20"/>
                <w:lang w:val="en-CA"/>
              </w:rPr>
            </w:pPr>
            <w:r w:rsidRPr="0028541A">
              <w:rPr>
                <w:sz w:val="20"/>
                <w:lang w:val="en-CA"/>
              </w:rPr>
              <w:t>New Brunswick Court of Queen’s Bench</w:t>
            </w:r>
          </w:p>
          <w:p w:rsidR="0028541A" w:rsidRPr="0028541A" w:rsidRDefault="0028541A" w:rsidP="0028541A">
            <w:pPr>
              <w:jc w:val="both"/>
              <w:rPr>
                <w:sz w:val="20"/>
                <w:lang w:val="en-CA"/>
              </w:rPr>
            </w:pPr>
            <w:r w:rsidRPr="0028541A">
              <w:rPr>
                <w:sz w:val="20"/>
                <w:lang w:val="en-CA"/>
              </w:rPr>
              <w:t>(Robichaud J.)</w:t>
            </w:r>
          </w:p>
          <w:p w:rsidR="0028541A" w:rsidRPr="0028541A" w:rsidRDefault="00370316" w:rsidP="0028541A">
            <w:pPr>
              <w:jc w:val="both"/>
              <w:rPr>
                <w:sz w:val="20"/>
                <w:lang w:val="en-CA"/>
              </w:rPr>
            </w:pPr>
            <w:hyperlink r:id="rId38" w:history="1">
              <w:r w:rsidR="0028541A" w:rsidRPr="0028541A">
                <w:rPr>
                  <w:rStyle w:val="Hyperlink"/>
                  <w:sz w:val="20"/>
                  <w:lang w:val="en-CA"/>
                </w:rPr>
                <w:t>2020 NBQB 132</w:t>
              </w:r>
            </w:hyperlink>
          </w:p>
          <w:p w:rsidR="0028541A" w:rsidRPr="0028541A" w:rsidRDefault="0028541A" w:rsidP="0028541A">
            <w:pPr>
              <w:jc w:val="both"/>
              <w:rPr>
                <w:sz w:val="20"/>
                <w:lang w:val="en-CA"/>
              </w:rPr>
            </w:pP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Divorce granted; equal division of property and debts ordered; monthly support awarded to applicant as of September 1, 2015 and for indefinite period</w:t>
            </w:r>
          </w:p>
          <w:p w:rsidR="0028541A" w:rsidRPr="0028541A" w:rsidRDefault="0028541A" w:rsidP="0028541A">
            <w:pPr>
              <w:jc w:val="both"/>
              <w:rPr>
                <w:sz w:val="20"/>
                <w:lang w:val="en-CA"/>
              </w:rPr>
            </w:pP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t>April 29, 2021</w:t>
            </w:r>
          </w:p>
          <w:p w:rsidR="0028541A" w:rsidRPr="0028541A" w:rsidRDefault="0028541A" w:rsidP="0028541A">
            <w:pPr>
              <w:jc w:val="both"/>
              <w:rPr>
                <w:sz w:val="20"/>
                <w:lang w:val="en-CA"/>
              </w:rPr>
            </w:pPr>
            <w:r w:rsidRPr="0028541A">
              <w:rPr>
                <w:sz w:val="20"/>
                <w:lang w:val="en-CA"/>
              </w:rPr>
              <w:t>New Brunswick Court of Appeal</w:t>
            </w:r>
          </w:p>
          <w:p w:rsidR="0028541A" w:rsidRPr="0028541A" w:rsidRDefault="0028541A" w:rsidP="0028541A">
            <w:pPr>
              <w:jc w:val="both"/>
              <w:rPr>
                <w:sz w:val="20"/>
                <w:lang w:val="en-CA"/>
              </w:rPr>
            </w:pPr>
            <w:r w:rsidRPr="0028541A">
              <w:rPr>
                <w:sz w:val="20"/>
                <w:lang w:val="en-CA"/>
              </w:rPr>
              <w:t>(Quigg, Baird and LeBlond JJ.A.)</w:t>
            </w:r>
          </w:p>
          <w:p w:rsidR="0028541A" w:rsidRPr="0028541A" w:rsidRDefault="00370316" w:rsidP="0028541A">
            <w:pPr>
              <w:jc w:val="both"/>
              <w:rPr>
                <w:sz w:val="20"/>
                <w:lang w:val="en-CA"/>
              </w:rPr>
            </w:pPr>
            <w:hyperlink r:id="rId39" w:history="1">
              <w:r w:rsidR="0028541A" w:rsidRPr="0028541A">
                <w:rPr>
                  <w:rStyle w:val="Hyperlink"/>
                  <w:sz w:val="20"/>
                  <w:lang w:val="en-CA"/>
                </w:rPr>
                <w:t>2021 NBCA 20</w:t>
              </w:r>
            </w:hyperlink>
          </w:p>
          <w:p w:rsidR="0028541A" w:rsidRPr="0028541A" w:rsidRDefault="0028541A" w:rsidP="0028541A">
            <w:pPr>
              <w:jc w:val="both"/>
              <w:rPr>
                <w:sz w:val="20"/>
                <w:lang w:val="en-CA"/>
              </w:rPr>
            </w:pP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Applicant’s appeal dismissed; respondent’s cross</w:t>
            </w:r>
            <w:r w:rsidRPr="0028541A">
              <w:rPr>
                <w:sz w:val="20"/>
                <w:lang w:val="en-CA"/>
              </w:rPr>
              <w:noBreakHyphen/>
              <w:t xml:space="preserve">appeal dismissed </w:t>
            </w: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t>June 25, 2021</w:t>
            </w:r>
          </w:p>
          <w:p w:rsidR="0028541A" w:rsidRPr="0028541A" w:rsidRDefault="0028541A" w:rsidP="0028541A">
            <w:pPr>
              <w:jc w:val="both"/>
              <w:rPr>
                <w:sz w:val="20"/>
                <w:lang w:val="en-CA"/>
              </w:rPr>
            </w:pPr>
            <w:r w:rsidRPr="0028541A">
              <w:rPr>
                <w:sz w:val="20"/>
                <w:lang w:val="en-CA"/>
              </w:rPr>
              <w:t>Supreme Court of Canada</w:t>
            </w: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Application for leave to appeal filed by applicant</w:t>
            </w:r>
          </w:p>
          <w:p w:rsidR="0028541A" w:rsidRPr="0028541A" w:rsidRDefault="0028541A" w:rsidP="0028541A">
            <w:pPr>
              <w:jc w:val="both"/>
              <w:rPr>
                <w:sz w:val="20"/>
                <w:lang w:val="en-CA"/>
              </w:rPr>
            </w:pPr>
          </w:p>
        </w:tc>
      </w:tr>
    </w:tbl>
    <w:p w:rsidR="0028541A" w:rsidRDefault="0028541A" w:rsidP="0028541A">
      <w:pPr>
        <w:jc w:val="both"/>
        <w:rPr>
          <w:sz w:val="20"/>
          <w:lang w:val="en-CA"/>
        </w:rPr>
      </w:pPr>
    </w:p>
    <w:p w:rsidR="006500D2" w:rsidRDefault="00370316" w:rsidP="0028541A">
      <w:pPr>
        <w:jc w:val="both"/>
        <w:rPr>
          <w:sz w:val="20"/>
          <w:lang w:val="en-CA"/>
        </w:rPr>
      </w:pPr>
      <w:r>
        <w:rPr>
          <w:sz w:val="20"/>
        </w:rPr>
        <w:pict>
          <v:rect id="_x0000_i1033" style="width:2in;height:1pt" o:hrpct="0" o:hralign="center" o:hrstd="t" o:hrnoshade="t" o:hr="t" fillcolor="black [3213]" stroked="f"/>
        </w:pict>
      </w:r>
    </w:p>
    <w:p w:rsidR="006500D2" w:rsidRPr="0028541A" w:rsidRDefault="006500D2" w:rsidP="0028541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39741</w:t>
            </w:r>
          </w:p>
        </w:tc>
        <w:tc>
          <w:tcPr>
            <w:tcW w:w="4457" w:type="pct"/>
            <w:gridSpan w:val="3"/>
          </w:tcPr>
          <w:p w:rsidR="0028541A" w:rsidRPr="006500D2" w:rsidRDefault="0028541A" w:rsidP="0028541A">
            <w:pPr>
              <w:pStyle w:val="SCCLsocParty"/>
              <w:jc w:val="both"/>
              <w:rPr>
                <w:b/>
                <w:sz w:val="20"/>
                <w:szCs w:val="20"/>
              </w:rPr>
            </w:pPr>
            <w:r w:rsidRPr="006500D2">
              <w:rPr>
                <w:b/>
                <w:sz w:val="20"/>
                <w:szCs w:val="20"/>
              </w:rPr>
              <w:t>Nancy Savoie c. Charles Savoie</w:t>
            </w:r>
          </w:p>
          <w:p w:rsidR="0028541A" w:rsidRPr="0028541A" w:rsidRDefault="0028541A" w:rsidP="0028541A">
            <w:pPr>
              <w:jc w:val="both"/>
              <w:rPr>
                <w:sz w:val="20"/>
              </w:rPr>
            </w:pPr>
            <w:r w:rsidRPr="0028541A">
              <w:rPr>
                <w:sz w:val="20"/>
                <w:lang w:val="fr-CA"/>
              </w:rPr>
              <w:t xml:space="preserve">(N.-B.) </w:t>
            </w:r>
            <w:r w:rsidRPr="0028541A">
              <w:rPr>
                <w:sz w:val="20"/>
              </w:rPr>
              <w:t>(Civile) (Autorisation)</w:t>
            </w:r>
          </w:p>
        </w:tc>
      </w:tr>
      <w:tr w:rsidR="0028541A" w:rsidRPr="00370316" w:rsidTr="0028541A">
        <w:tc>
          <w:tcPr>
            <w:tcW w:w="5000" w:type="pct"/>
            <w:gridSpan w:val="4"/>
          </w:tcPr>
          <w:p w:rsidR="0028541A" w:rsidRPr="0028541A" w:rsidRDefault="0028541A" w:rsidP="0028541A">
            <w:pPr>
              <w:jc w:val="both"/>
              <w:rPr>
                <w:sz w:val="20"/>
                <w:lang w:val="fr-CA"/>
              </w:rPr>
            </w:pPr>
            <w:r w:rsidRPr="0028541A">
              <w:rPr>
                <w:i/>
                <w:sz w:val="20"/>
                <w:lang w:val="fr-CA"/>
              </w:rPr>
              <w:t xml:space="preserve">Charte des droits </w:t>
            </w:r>
            <w:r w:rsidRPr="0028541A">
              <w:rPr>
                <w:sz w:val="20"/>
                <w:lang w:val="fr-CA"/>
              </w:rPr>
              <w:t>—</w:t>
            </w:r>
            <w:r w:rsidRPr="0028541A">
              <w:rPr>
                <w:i/>
                <w:sz w:val="20"/>
                <w:lang w:val="fr-CA"/>
              </w:rPr>
              <w:t xml:space="preserve"> </w:t>
            </w:r>
            <w:r w:rsidRPr="0028541A">
              <w:rPr>
                <w:sz w:val="20"/>
                <w:lang w:val="fr-CA"/>
              </w:rPr>
              <w:t>Droit à l’égalité — Droit de la famille — Aliments — Pension alimentaire pour le conjoint — Biens familiaux — Est</w:t>
            </w:r>
            <w:r w:rsidRPr="0028541A">
              <w:rPr>
                <w:sz w:val="20"/>
                <w:lang w:val="fr-CA"/>
              </w:rPr>
              <w:noBreakHyphen/>
              <w:t>ce que la Cour d’appel a omis de prendre en compte plusieurs éléments de preuve pertinents? — Est</w:t>
            </w:r>
            <w:r w:rsidRPr="0028541A">
              <w:rPr>
                <w:sz w:val="20"/>
                <w:lang w:val="fr-CA"/>
              </w:rPr>
              <w:noBreakHyphen/>
              <w:t>ce que la Cour d’appel a rendu un jugement erroné en ne prenant pas au sérieux plusieurs des moyens d’appel soulevés? — Est</w:t>
            </w:r>
            <w:r w:rsidRPr="0028541A">
              <w:rPr>
                <w:sz w:val="20"/>
                <w:lang w:val="fr-CA"/>
              </w:rPr>
              <w:noBreakHyphen/>
              <w:t>ce qu’il y a crainte raisonnable de partialité de la part du juge de procès? — Est</w:t>
            </w:r>
            <w:r w:rsidRPr="0028541A">
              <w:rPr>
                <w:sz w:val="20"/>
                <w:lang w:val="fr-CA"/>
              </w:rPr>
              <w:noBreakHyphen/>
              <w:t>ce que l’ordonnance portant sur la pension alimentaire intérimaire a été falsifiée et signée par le juge au profit de l’intimé?</w:t>
            </w:r>
          </w:p>
        </w:tc>
      </w:tr>
      <w:tr w:rsidR="0028541A" w:rsidRPr="00370316" w:rsidTr="0028541A">
        <w:tc>
          <w:tcPr>
            <w:tcW w:w="5000" w:type="pct"/>
            <w:gridSpan w:val="4"/>
          </w:tcPr>
          <w:p w:rsidR="0028541A" w:rsidRPr="0028541A" w:rsidRDefault="0028541A" w:rsidP="0028541A">
            <w:pPr>
              <w:jc w:val="both"/>
              <w:rPr>
                <w:sz w:val="20"/>
                <w:lang w:val="fr-CA"/>
              </w:rPr>
            </w:pPr>
          </w:p>
          <w:p w:rsidR="0028541A" w:rsidRPr="0028541A" w:rsidRDefault="0028541A" w:rsidP="0028541A">
            <w:pPr>
              <w:jc w:val="both"/>
              <w:rPr>
                <w:sz w:val="20"/>
                <w:lang w:val="fr-CA"/>
              </w:rPr>
            </w:pPr>
            <w:r w:rsidRPr="0028541A">
              <w:rPr>
                <w:sz w:val="20"/>
                <w:lang w:val="fr-CA"/>
              </w:rPr>
              <w:lastRenderedPageBreak/>
              <w:t>La demanderesse, Mme Savoie, a déposé une requête en divorce. Les questions principales soulevées portaient sur les aliments au profit de celle</w:t>
            </w:r>
            <w:r w:rsidRPr="0028541A">
              <w:rPr>
                <w:sz w:val="20"/>
                <w:lang w:val="fr-CA"/>
              </w:rPr>
              <w:noBreakHyphen/>
              <w:t>ci et le partage des biens et des dettes. La Cour du Banc de la Reine a rendu des ordonnances accordant le divorce, prévoyant que l’intimé, M. Savoie, verse à Mme Savoie une pension alimentaire mensuelle de 11 200 $ à partir du 1</w:t>
            </w:r>
            <w:r w:rsidRPr="0028541A">
              <w:rPr>
                <w:sz w:val="20"/>
                <w:vertAlign w:val="superscript"/>
                <w:lang w:val="fr-CA"/>
              </w:rPr>
              <w:t>er</w:t>
            </w:r>
            <w:r w:rsidRPr="0028541A">
              <w:rPr>
                <w:sz w:val="20"/>
                <w:lang w:val="fr-CA"/>
              </w:rPr>
              <w:t xml:space="preserve"> septembre 2015 pour une durée indéterminée, et que les biens et les dettes soient partagés en parts égales. Mme Savoie a interjeté appel et M. Savoie a déposé un appel reconventionnel. La Cour d’appel a rejeté l’appel et l’appel reconventionnel, étant d’avis que les motifs du juge de procès étaient complets et ne comportaient pas d’erreur. </w:t>
            </w:r>
          </w:p>
        </w:tc>
      </w:tr>
      <w:tr w:rsidR="0028541A" w:rsidRPr="00370316" w:rsidTr="0028541A">
        <w:tc>
          <w:tcPr>
            <w:tcW w:w="5000" w:type="pct"/>
            <w:gridSpan w:val="4"/>
          </w:tcPr>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Le 24 avril 2020</w:t>
            </w:r>
          </w:p>
          <w:p w:rsidR="0028541A" w:rsidRPr="0028541A" w:rsidRDefault="0028541A" w:rsidP="0028541A">
            <w:pPr>
              <w:jc w:val="both"/>
              <w:rPr>
                <w:sz w:val="20"/>
                <w:lang w:val="fr-CA"/>
              </w:rPr>
            </w:pPr>
            <w:r w:rsidRPr="0028541A">
              <w:rPr>
                <w:sz w:val="20"/>
                <w:lang w:val="fr-CA"/>
              </w:rPr>
              <w:t>Cour du Banc de la Reine du Nouveau-</w:t>
            </w:r>
          </w:p>
          <w:p w:rsidR="0028541A" w:rsidRPr="0028541A" w:rsidRDefault="0028541A" w:rsidP="0028541A">
            <w:pPr>
              <w:jc w:val="both"/>
              <w:rPr>
                <w:sz w:val="20"/>
                <w:lang w:val="fr-CA"/>
              </w:rPr>
            </w:pPr>
            <w:r w:rsidRPr="0028541A">
              <w:rPr>
                <w:sz w:val="20"/>
                <w:lang w:val="fr-CA"/>
              </w:rPr>
              <w:t>Brunswick</w:t>
            </w:r>
          </w:p>
          <w:p w:rsidR="0028541A" w:rsidRPr="0028541A" w:rsidRDefault="0028541A" w:rsidP="0028541A">
            <w:pPr>
              <w:jc w:val="both"/>
              <w:rPr>
                <w:sz w:val="20"/>
                <w:lang w:val="fr-CA"/>
              </w:rPr>
            </w:pPr>
            <w:r w:rsidRPr="0028541A">
              <w:rPr>
                <w:sz w:val="20"/>
                <w:lang w:val="fr-CA"/>
              </w:rPr>
              <w:t>(le juge Robichaud)</w:t>
            </w:r>
          </w:p>
          <w:p w:rsidR="0028541A" w:rsidRPr="0028541A" w:rsidRDefault="00370316" w:rsidP="0028541A">
            <w:pPr>
              <w:jc w:val="both"/>
              <w:rPr>
                <w:sz w:val="20"/>
                <w:lang w:val="fr-CA"/>
              </w:rPr>
            </w:pPr>
            <w:hyperlink r:id="rId40" w:history="1">
              <w:r w:rsidR="0028541A" w:rsidRPr="0028541A">
                <w:rPr>
                  <w:rStyle w:val="Hyperlink"/>
                  <w:sz w:val="20"/>
                  <w:lang w:val="fr-CA"/>
                </w:rPr>
                <w:t>2020 NBBR 132</w:t>
              </w:r>
            </w:hyperlink>
          </w:p>
          <w:p w:rsidR="0028541A" w:rsidRPr="0028541A" w:rsidRDefault="0028541A" w:rsidP="0028541A">
            <w:pPr>
              <w:jc w:val="both"/>
              <w:rPr>
                <w:sz w:val="20"/>
                <w:lang w:val="fr-CA"/>
              </w:rPr>
            </w:pP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Divorce accordé; division des biens et des dettes en parts égales ordonnée; pension alimentaire mensuelle accordée à la demanderesse à partir du 1</w:t>
            </w:r>
            <w:r w:rsidRPr="0028541A">
              <w:rPr>
                <w:sz w:val="20"/>
                <w:vertAlign w:val="superscript"/>
                <w:lang w:val="fr-CA"/>
              </w:rPr>
              <w:t>er</w:t>
            </w:r>
            <w:r w:rsidRPr="0028541A">
              <w:rPr>
                <w:sz w:val="20"/>
                <w:lang w:val="fr-CA"/>
              </w:rPr>
              <w:t xml:space="preserve"> septembre 2015 et pour une durée indéterminée</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Le 29 avril 2021</w:t>
            </w:r>
          </w:p>
          <w:p w:rsidR="0028541A" w:rsidRPr="0028541A" w:rsidRDefault="0028541A" w:rsidP="0028541A">
            <w:pPr>
              <w:jc w:val="both"/>
              <w:rPr>
                <w:sz w:val="20"/>
                <w:lang w:val="fr-CA"/>
              </w:rPr>
            </w:pPr>
            <w:r w:rsidRPr="0028541A">
              <w:rPr>
                <w:sz w:val="20"/>
                <w:lang w:val="fr-CA"/>
              </w:rPr>
              <w:t>Cour d’appel du Nouveau-Brunswick</w:t>
            </w:r>
          </w:p>
          <w:p w:rsidR="0028541A" w:rsidRPr="0028541A" w:rsidRDefault="0028541A" w:rsidP="0028541A">
            <w:pPr>
              <w:jc w:val="both"/>
              <w:rPr>
                <w:sz w:val="20"/>
                <w:lang w:val="fr-CA"/>
              </w:rPr>
            </w:pPr>
            <w:r w:rsidRPr="0028541A">
              <w:rPr>
                <w:sz w:val="20"/>
                <w:lang w:val="fr-CA"/>
              </w:rPr>
              <w:t>(les juges Quigg, Baird et LeBlond)</w:t>
            </w:r>
          </w:p>
          <w:p w:rsidR="0028541A" w:rsidRPr="0028541A" w:rsidRDefault="00370316" w:rsidP="0028541A">
            <w:pPr>
              <w:jc w:val="both"/>
              <w:rPr>
                <w:sz w:val="20"/>
              </w:rPr>
            </w:pPr>
            <w:hyperlink r:id="rId41" w:history="1">
              <w:r w:rsidR="0028541A" w:rsidRPr="0028541A">
                <w:rPr>
                  <w:rStyle w:val="Hyperlink"/>
                  <w:sz w:val="20"/>
                </w:rPr>
                <w:t>2021 NBCA 20</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 xml:space="preserve">Appel de la demanderesse rejeté; appel reconventionnel de l’intimé rejeté </w:t>
            </w: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Le 25 juin 2021</w:t>
            </w:r>
          </w:p>
          <w:p w:rsidR="0028541A" w:rsidRPr="0028541A" w:rsidRDefault="0028541A" w:rsidP="0028541A">
            <w:pPr>
              <w:jc w:val="both"/>
              <w:rPr>
                <w:sz w:val="20"/>
                <w:lang w:val="fr-CA"/>
              </w:rPr>
            </w:pPr>
            <w:r w:rsidRPr="0028541A">
              <w:rPr>
                <w:sz w:val="20"/>
                <w:lang w:val="fr-CA"/>
              </w:rPr>
              <w:t>Cour suprême du Canada</w:t>
            </w: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6500D2">
            <w:pPr>
              <w:jc w:val="both"/>
              <w:rPr>
                <w:sz w:val="20"/>
                <w:lang w:val="fr-CA"/>
              </w:rPr>
            </w:pPr>
            <w:r w:rsidRPr="0028541A">
              <w:rPr>
                <w:sz w:val="20"/>
                <w:lang w:val="fr-CA"/>
              </w:rPr>
              <w:t>Demande d’autorisation d’appel déposée par la demanderesse</w:t>
            </w:r>
          </w:p>
        </w:tc>
      </w:tr>
    </w:tbl>
    <w:p w:rsidR="0028541A" w:rsidRDefault="0028541A" w:rsidP="0028541A">
      <w:pPr>
        <w:jc w:val="both"/>
        <w:rPr>
          <w:sz w:val="20"/>
          <w:lang w:val="fr-CA"/>
        </w:rPr>
      </w:pPr>
    </w:p>
    <w:p w:rsidR="006500D2" w:rsidRPr="0028541A" w:rsidRDefault="00370316" w:rsidP="0028541A">
      <w:pPr>
        <w:jc w:val="both"/>
        <w:rPr>
          <w:sz w:val="20"/>
          <w:lang w:val="fr-CA"/>
        </w:rPr>
      </w:pPr>
      <w:r>
        <w:rPr>
          <w:sz w:val="20"/>
        </w:rPr>
        <w:pict>
          <v:rect id="_x0000_i1034"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39871</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Temitope Dare v. Her Majesty the Queen</w:t>
            </w:r>
          </w:p>
          <w:p w:rsidR="0028541A" w:rsidRPr="0028541A" w:rsidRDefault="0028541A" w:rsidP="0028541A">
            <w:pPr>
              <w:jc w:val="both"/>
              <w:rPr>
                <w:sz w:val="20"/>
              </w:rPr>
            </w:pPr>
            <w:r w:rsidRPr="0028541A">
              <w:rPr>
                <w:sz w:val="20"/>
              </w:rPr>
              <w:t>(Ont.) (Criminal) (By Leave)</w:t>
            </w:r>
          </w:p>
        </w:tc>
      </w:tr>
      <w:tr w:rsidR="0028541A" w:rsidRPr="0028541A" w:rsidTr="0028541A">
        <w:tc>
          <w:tcPr>
            <w:tcW w:w="5000" w:type="pct"/>
            <w:gridSpan w:val="4"/>
          </w:tcPr>
          <w:p w:rsidR="0028541A" w:rsidRPr="0028541A" w:rsidRDefault="0028541A" w:rsidP="0028541A">
            <w:pPr>
              <w:jc w:val="both"/>
              <w:rPr>
                <w:sz w:val="20"/>
              </w:rPr>
            </w:pPr>
            <w:r w:rsidRPr="0028541A">
              <w:rPr>
                <w:sz w:val="20"/>
              </w:rPr>
              <w:t>Criminal law — Abuse of process — Entrapment — Luring — How should courts “precisely define” virtual spaces such as entire websites and social media platforms in determining whether or not entrapment has occurred?</w:t>
            </w:r>
          </w:p>
        </w:tc>
      </w:tr>
      <w:tr w:rsidR="0028541A" w:rsidRPr="0028541A" w:rsidTr="0028541A">
        <w:tc>
          <w:tcPr>
            <w:tcW w:w="5000" w:type="pct"/>
            <w:gridSpan w:val="4"/>
          </w:tcPr>
          <w:p w:rsidR="0028541A" w:rsidRPr="0028541A" w:rsidRDefault="0028541A" w:rsidP="0028541A">
            <w:pPr>
              <w:jc w:val="both"/>
              <w:rPr>
                <w:sz w:val="20"/>
              </w:rPr>
            </w:pPr>
          </w:p>
        </w:tc>
      </w:tr>
      <w:tr w:rsidR="0028541A" w:rsidRPr="0028541A" w:rsidTr="0028541A">
        <w:tc>
          <w:tcPr>
            <w:tcW w:w="5000" w:type="pct"/>
            <w:gridSpan w:val="4"/>
          </w:tcPr>
          <w:p w:rsidR="0028541A" w:rsidRPr="0028541A" w:rsidRDefault="0028541A" w:rsidP="0028541A">
            <w:pPr>
              <w:jc w:val="both"/>
              <w:rPr>
                <w:sz w:val="20"/>
              </w:rPr>
            </w:pPr>
            <w:r w:rsidRPr="0028541A">
              <w:rPr>
                <w:sz w:val="20"/>
              </w:rPr>
              <w:t>The applicant, Temitope Dare, was arrested and charged with offences under ss. 172.1(1</w:t>
            </w:r>
            <w:proofErr w:type="gramStart"/>
            <w:r w:rsidRPr="0028541A">
              <w:rPr>
                <w:sz w:val="20"/>
              </w:rPr>
              <w:t>)(</w:t>
            </w:r>
            <w:proofErr w:type="gramEnd"/>
            <w:r w:rsidRPr="0028541A">
              <w:rPr>
                <w:sz w:val="20"/>
              </w:rPr>
              <w:t xml:space="preserve">a) (child luring under 18), 172.1(1)(b) (child luring under 16), and 286.1(2) (communicating to obtain sexual services from a minor) of the </w:t>
            </w:r>
            <w:r w:rsidRPr="0028541A">
              <w:rPr>
                <w:i/>
                <w:sz w:val="20"/>
              </w:rPr>
              <w:t>Criminal Code</w:t>
            </w:r>
            <w:r w:rsidRPr="0028541A">
              <w:rPr>
                <w:sz w:val="20"/>
              </w:rPr>
              <w:t>, R.S.C. 1985, c. C</w:t>
            </w:r>
            <w:r w:rsidRPr="0028541A">
              <w:rPr>
                <w:sz w:val="20"/>
              </w:rPr>
              <w:noBreakHyphen/>
              <w:t>46. The charges arose out of Project Raphael designed by the York Regional Police — an undercover investigation that began in 2014 with the objective of reducing the demand for sexual services from juveniles in the region by targeting the “buyer side”. As part of the investigation, the police posted fake advertisements in the “escorts” section of the online classified advertising website Backpage.com. When individuals responded to the ads, an undercover officer posing as an escort would disclose in the ensuing text chat that “she” was underage. Individuals who continued the chat and arranged sexual services and a price were directed to a hotel room to complete the transaction and were arrested and charged on their arrival.</w:t>
            </w:r>
          </w:p>
          <w:p w:rsidR="0028541A" w:rsidRPr="0028541A" w:rsidRDefault="0028541A" w:rsidP="0028541A">
            <w:pPr>
              <w:jc w:val="both"/>
              <w:rPr>
                <w:sz w:val="20"/>
              </w:rPr>
            </w:pPr>
          </w:p>
          <w:p w:rsidR="0028541A" w:rsidRPr="0028541A" w:rsidRDefault="0028541A" w:rsidP="0028541A">
            <w:pPr>
              <w:jc w:val="both"/>
              <w:rPr>
                <w:sz w:val="20"/>
              </w:rPr>
            </w:pPr>
            <w:r w:rsidRPr="0028541A">
              <w:rPr>
                <w:sz w:val="20"/>
              </w:rPr>
              <w:t>A jury found the applicant guilty of all three offences. The trial judge stayed the convictions under ss. 172.1(1</w:t>
            </w:r>
            <w:proofErr w:type="gramStart"/>
            <w:r w:rsidRPr="0028541A">
              <w:rPr>
                <w:sz w:val="20"/>
              </w:rPr>
              <w:t>)(</w:t>
            </w:r>
            <w:proofErr w:type="gramEnd"/>
            <w:r w:rsidRPr="0028541A">
              <w:rPr>
                <w:sz w:val="20"/>
              </w:rPr>
              <w:t xml:space="preserve">b) (child luring under 16) and 286.1(2) (communicating to obtain sexual services from a minor), pursuant to </w:t>
            </w:r>
            <w:r w:rsidRPr="0028541A">
              <w:rPr>
                <w:i/>
                <w:sz w:val="20"/>
              </w:rPr>
              <w:t>Kienapple v. The Queen</w:t>
            </w:r>
            <w:r w:rsidRPr="0028541A">
              <w:rPr>
                <w:sz w:val="20"/>
              </w:rPr>
              <w:t xml:space="preserve">, [1975] 1 S.C.R. 729. The trial judge then dismissed the applicant’s application for a stay of proceedings based on entrapment. The applicant’s appeal from the convictions and the ruling on entrapment was dismissed. </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February 9, 2018</w:t>
            </w:r>
          </w:p>
          <w:p w:rsidR="0028541A" w:rsidRPr="0028541A" w:rsidRDefault="0028541A" w:rsidP="0028541A">
            <w:pPr>
              <w:jc w:val="both"/>
              <w:rPr>
                <w:sz w:val="20"/>
              </w:rPr>
            </w:pPr>
            <w:r w:rsidRPr="0028541A">
              <w:rPr>
                <w:sz w:val="20"/>
              </w:rPr>
              <w:t>Ontario Superior Court of Justice</w:t>
            </w:r>
          </w:p>
          <w:p w:rsidR="0028541A" w:rsidRPr="0028541A" w:rsidRDefault="0028541A" w:rsidP="0028541A">
            <w:pPr>
              <w:jc w:val="both"/>
              <w:rPr>
                <w:sz w:val="20"/>
              </w:rPr>
            </w:pPr>
            <w:r w:rsidRPr="0028541A">
              <w:rPr>
                <w:sz w:val="20"/>
              </w:rPr>
              <w:t>(Bird J.)</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 xml:space="preserve">Convictions entered by jury for 3 offences committed contrary to ss. 172.1 and 286.1(2) of the </w:t>
            </w:r>
            <w:r w:rsidRPr="0028541A">
              <w:rPr>
                <w:i/>
                <w:sz w:val="20"/>
              </w:rPr>
              <w:t>Criminal Code</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June 22, 2018</w:t>
            </w:r>
          </w:p>
          <w:p w:rsidR="0028541A" w:rsidRPr="0028541A" w:rsidRDefault="0028541A" w:rsidP="0028541A">
            <w:pPr>
              <w:jc w:val="both"/>
              <w:rPr>
                <w:sz w:val="20"/>
              </w:rPr>
            </w:pPr>
            <w:r w:rsidRPr="0028541A">
              <w:rPr>
                <w:sz w:val="20"/>
              </w:rPr>
              <w:t>Ontario Superior Court of Justice</w:t>
            </w:r>
          </w:p>
          <w:p w:rsidR="0028541A" w:rsidRPr="0028541A" w:rsidRDefault="0028541A" w:rsidP="0028541A">
            <w:pPr>
              <w:jc w:val="both"/>
              <w:rPr>
                <w:sz w:val="20"/>
              </w:rPr>
            </w:pPr>
            <w:r w:rsidRPr="0028541A">
              <w:rPr>
                <w:sz w:val="20"/>
              </w:rPr>
              <w:t>(Bird J.)</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Application for stay of proceedings based on entrapment dismissed</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May 17, 2021</w:t>
            </w:r>
          </w:p>
          <w:p w:rsidR="0028541A" w:rsidRPr="0028541A" w:rsidRDefault="0028541A" w:rsidP="0028541A">
            <w:pPr>
              <w:jc w:val="both"/>
              <w:rPr>
                <w:sz w:val="20"/>
              </w:rPr>
            </w:pPr>
            <w:r w:rsidRPr="0028541A">
              <w:rPr>
                <w:sz w:val="20"/>
              </w:rPr>
              <w:t>Court of Appeal for Ontario</w:t>
            </w:r>
          </w:p>
          <w:p w:rsidR="0028541A" w:rsidRPr="0028541A" w:rsidRDefault="0028541A" w:rsidP="0028541A">
            <w:pPr>
              <w:jc w:val="both"/>
              <w:rPr>
                <w:sz w:val="20"/>
              </w:rPr>
            </w:pPr>
            <w:r w:rsidRPr="0028541A">
              <w:rPr>
                <w:sz w:val="20"/>
              </w:rPr>
              <w:t>(Juriansz, Tulloch and Paciocco JJ.A.)</w:t>
            </w:r>
          </w:p>
          <w:p w:rsidR="0028541A" w:rsidRPr="0028541A" w:rsidRDefault="00370316" w:rsidP="0028541A">
            <w:pPr>
              <w:jc w:val="both"/>
              <w:rPr>
                <w:sz w:val="20"/>
              </w:rPr>
            </w:pPr>
            <w:hyperlink r:id="rId42" w:history="1">
              <w:r w:rsidR="0028541A" w:rsidRPr="0028541A">
                <w:rPr>
                  <w:rStyle w:val="Hyperlink"/>
                  <w:sz w:val="20"/>
                </w:rPr>
                <w:t>2021 ONCA 327</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 xml:space="preserve">Appeal from conviction and from entrapment application dismissed </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October 19, 2021</w:t>
            </w:r>
          </w:p>
          <w:p w:rsidR="0028541A" w:rsidRPr="0028541A" w:rsidRDefault="0028541A" w:rsidP="006500D2">
            <w:pPr>
              <w:jc w:val="both"/>
              <w:rPr>
                <w:sz w:val="20"/>
              </w:rPr>
            </w:pPr>
            <w:r w:rsidRPr="0028541A">
              <w:rPr>
                <w:sz w:val="20"/>
              </w:rPr>
              <w:t>Supreme Court of Canada</w:t>
            </w: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Application for leave to appeal filed together with motion for an extension of time to serve and file it</w:t>
            </w:r>
          </w:p>
        </w:tc>
      </w:tr>
    </w:tbl>
    <w:p w:rsidR="0028541A" w:rsidRDefault="0028541A" w:rsidP="0028541A">
      <w:pPr>
        <w:jc w:val="both"/>
        <w:rPr>
          <w:sz w:val="20"/>
        </w:rPr>
      </w:pPr>
    </w:p>
    <w:p w:rsidR="006500D2" w:rsidRDefault="00370316" w:rsidP="0028541A">
      <w:pPr>
        <w:jc w:val="both"/>
        <w:rPr>
          <w:sz w:val="20"/>
        </w:rPr>
      </w:pPr>
      <w:r>
        <w:rPr>
          <w:sz w:val="20"/>
        </w:rPr>
        <w:pict>
          <v:rect id="_x0000_i1035" style="width:2in;height:1pt" o:hrpct="0" o:hralign="center" o:hrstd="t" o:hrnoshade="t" o:hr="t" fillcolor="black [3213]" stroked="f"/>
        </w:pict>
      </w:r>
    </w:p>
    <w:p w:rsidR="006500D2" w:rsidRPr="0028541A" w:rsidRDefault="006500D2" w:rsidP="002854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39871</w:t>
            </w:r>
          </w:p>
        </w:tc>
        <w:tc>
          <w:tcPr>
            <w:tcW w:w="4457" w:type="pct"/>
            <w:gridSpan w:val="3"/>
          </w:tcPr>
          <w:p w:rsidR="0028541A" w:rsidRPr="006500D2" w:rsidRDefault="0028541A" w:rsidP="0028541A">
            <w:pPr>
              <w:pStyle w:val="SCCLsocParty"/>
              <w:jc w:val="both"/>
              <w:rPr>
                <w:b/>
                <w:sz w:val="20"/>
                <w:szCs w:val="20"/>
              </w:rPr>
            </w:pPr>
            <w:r w:rsidRPr="006500D2">
              <w:rPr>
                <w:b/>
                <w:sz w:val="20"/>
                <w:szCs w:val="20"/>
              </w:rPr>
              <w:t>Temitope Dare c. Sa Majesté la Reine</w:t>
            </w:r>
          </w:p>
          <w:p w:rsidR="0028541A" w:rsidRPr="0028541A" w:rsidRDefault="0028541A" w:rsidP="0028541A">
            <w:pPr>
              <w:jc w:val="both"/>
              <w:rPr>
                <w:sz w:val="20"/>
              </w:rPr>
            </w:pPr>
            <w:r w:rsidRPr="0028541A">
              <w:rPr>
                <w:sz w:val="20"/>
              </w:rPr>
              <w:t>(Ont.) (Criminelle) (Sur autorisation)</w:t>
            </w: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Droit criminel — Abus de procédure — Provocation policière — Leurre — De quelle manière les tribunaux devraient</w:t>
            </w:r>
            <w:r w:rsidRPr="0028541A">
              <w:rPr>
                <w:sz w:val="20"/>
                <w:lang w:val="fr-CA"/>
              </w:rPr>
              <w:noBreakHyphen/>
              <w:t>ils « définir avec précision » les espaces virtuels comme des sites Web et des plateformes de médias sociaux complets pour décider s’il y a eu ou non provocation policière?</w:t>
            </w:r>
          </w:p>
        </w:tc>
      </w:tr>
      <w:tr w:rsidR="0028541A" w:rsidRPr="00370316" w:rsidTr="0028541A">
        <w:tc>
          <w:tcPr>
            <w:tcW w:w="5000" w:type="pct"/>
            <w:gridSpan w:val="4"/>
          </w:tcPr>
          <w:p w:rsidR="0028541A" w:rsidRPr="0028541A" w:rsidRDefault="0028541A" w:rsidP="0028541A">
            <w:pPr>
              <w:jc w:val="both"/>
              <w:rPr>
                <w:sz w:val="20"/>
                <w:lang w:val="fr-CA"/>
              </w:rPr>
            </w:pP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 xml:space="preserve">Le demandeur, Temitope Dare, a été arrêté et inculpé d’infractions aux al. 172.1(1)a) (leurre d’enfant de moins de 18 ans) et 172.1(1)b) (leurre d’enfant de moins de 16 ans) de même qu’au par. 286.1(2) (communiquer pour obtenir des services sexuels d’un mineur) du </w:t>
            </w:r>
            <w:r w:rsidRPr="0028541A">
              <w:rPr>
                <w:i/>
                <w:sz w:val="20"/>
                <w:lang w:val="fr-CA"/>
              </w:rPr>
              <w:t>Code criminel</w:t>
            </w:r>
            <w:r w:rsidRPr="0028541A">
              <w:rPr>
                <w:sz w:val="20"/>
                <w:lang w:val="fr-CA"/>
              </w:rPr>
              <w:t>, L.R.C. 1985, c. C</w:t>
            </w:r>
            <w:r w:rsidRPr="0028541A">
              <w:rPr>
                <w:sz w:val="20"/>
                <w:lang w:val="fr-CA"/>
              </w:rPr>
              <w:noBreakHyphen/>
              <w:t>46. Les accusations découlent du projet Raphael échafaudé par la police régionale de York — une opération sous couverture qui a débuté en 2014 dans le but de réduire la demande de services sexuels de mineurs dans la région en prenant pour cible les « acheteurs ». Dans le cadre de l’opération, les policiers ont publié de fausses annonces dans la section « escortes » des annonces classées du site Web Backpage.com. Quand des individus répondaient aux annonces, un agent d’infiltration se faisant passer pour une escorte révélait dans le texto qui suivait qu’« elle » était mineure. Les individus qui poursuivaient la conversation et demandaient des services sexuels et leur prix étaient dirigés à une chambre d’hôtel pour conclure la transaction. Ils étaient arrêtés et accusés à leur arrivée.</w:t>
            </w:r>
          </w:p>
          <w:p w:rsidR="0028541A" w:rsidRPr="0028541A" w:rsidRDefault="0028541A" w:rsidP="0028541A">
            <w:pPr>
              <w:jc w:val="both"/>
              <w:rPr>
                <w:sz w:val="20"/>
                <w:lang w:val="fr-CA"/>
              </w:rPr>
            </w:pPr>
          </w:p>
          <w:p w:rsidR="0028541A" w:rsidRPr="0028541A" w:rsidRDefault="0028541A" w:rsidP="0028541A">
            <w:pPr>
              <w:jc w:val="both"/>
              <w:rPr>
                <w:sz w:val="20"/>
                <w:lang w:val="fr-CA"/>
              </w:rPr>
            </w:pPr>
            <w:r w:rsidRPr="0028541A">
              <w:rPr>
                <w:sz w:val="20"/>
                <w:lang w:val="fr-CA"/>
              </w:rPr>
              <w:t xml:space="preserve">Un jury a reconnu le demandeur coupable de toutes les trois infractions. La juge du procès a suspendu les déclarations de culpabilité fondées sur l’al. 172.1(1)b) (leurre d’un enfant de moins de 16 ans) et le par. 286.1(2) (communiquer pour obtenir des services sexuels d’un mineur), en application de l’arrêt </w:t>
            </w:r>
            <w:r w:rsidRPr="0028541A">
              <w:rPr>
                <w:i/>
                <w:sz w:val="20"/>
                <w:lang w:val="fr-CA"/>
              </w:rPr>
              <w:t>Kienapple c. La Reine</w:t>
            </w:r>
            <w:r w:rsidRPr="0028541A">
              <w:rPr>
                <w:sz w:val="20"/>
                <w:lang w:val="fr-CA"/>
              </w:rPr>
              <w:t xml:space="preserve">, [1975] 1 R.C.S. 729. Elle a ensuite rejeté la demande d’arrêt des procédures du demandeur fondée sur la provocation policière. L’appel formé par le demandeur contre les déclarations de culpabilité et la décision sur la provocation policière a été rejeté.  </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9 février 2018</w:t>
            </w:r>
          </w:p>
          <w:p w:rsidR="0028541A" w:rsidRPr="0028541A" w:rsidRDefault="0028541A" w:rsidP="0028541A">
            <w:pPr>
              <w:jc w:val="both"/>
              <w:rPr>
                <w:sz w:val="20"/>
                <w:lang w:val="fr-CA"/>
              </w:rPr>
            </w:pPr>
            <w:r w:rsidRPr="0028541A">
              <w:rPr>
                <w:sz w:val="20"/>
                <w:lang w:val="fr-CA"/>
              </w:rPr>
              <w:t>Cour supérieure de justice de l’Ontario</w:t>
            </w:r>
          </w:p>
          <w:p w:rsidR="0028541A" w:rsidRPr="0028541A" w:rsidRDefault="0028541A" w:rsidP="0028541A">
            <w:pPr>
              <w:jc w:val="both"/>
              <w:rPr>
                <w:sz w:val="20"/>
              </w:rPr>
            </w:pPr>
            <w:r w:rsidRPr="0028541A">
              <w:rPr>
                <w:sz w:val="20"/>
              </w:rPr>
              <w:t>(juge Bird)</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 xml:space="preserve">Déclarations de culpabilité inscrites par le jury pour 3 infractions commises en violation de l’art. 172.1 et du par. 286.1(2) du </w:t>
            </w:r>
            <w:r w:rsidRPr="0028541A">
              <w:rPr>
                <w:i/>
                <w:sz w:val="20"/>
                <w:lang w:val="fr-CA"/>
              </w:rPr>
              <w:t>Code criminel</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22 juin 2018</w:t>
            </w:r>
          </w:p>
          <w:p w:rsidR="0028541A" w:rsidRPr="0028541A" w:rsidRDefault="0028541A" w:rsidP="0028541A">
            <w:pPr>
              <w:jc w:val="both"/>
              <w:rPr>
                <w:sz w:val="20"/>
                <w:lang w:val="fr-CA"/>
              </w:rPr>
            </w:pPr>
            <w:r w:rsidRPr="0028541A">
              <w:rPr>
                <w:sz w:val="20"/>
                <w:lang w:val="fr-CA"/>
              </w:rPr>
              <w:t>Cour supérieure de justice de l’Ontario</w:t>
            </w:r>
          </w:p>
          <w:p w:rsidR="0028541A" w:rsidRPr="0028541A" w:rsidRDefault="0028541A" w:rsidP="0028541A">
            <w:pPr>
              <w:jc w:val="both"/>
              <w:rPr>
                <w:sz w:val="20"/>
                <w:lang w:val="fr-CA"/>
              </w:rPr>
            </w:pPr>
            <w:r w:rsidRPr="0028541A">
              <w:rPr>
                <w:sz w:val="20"/>
                <w:lang w:val="fr-CA"/>
              </w:rPr>
              <w:t>(juge Bird)</w:t>
            </w:r>
          </w:p>
          <w:p w:rsidR="0028541A" w:rsidRPr="0028541A" w:rsidRDefault="0028541A" w:rsidP="0028541A">
            <w:pPr>
              <w:jc w:val="both"/>
              <w:rPr>
                <w:sz w:val="20"/>
                <w:lang w:val="fr-CA"/>
              </w:rPr>
            </w:pP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 xml:space="preserve">Rejet de la demande d’arrêt des procédures fondée sur la provocation policière </w:t>
            </w: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17 mai 2021</w:t>
            </w:r>
          </w:p>
          <w:p w:rsidR="0028541A" w:rsidRPr="0028541A" w:rsidRDefault="0028541A" w:rsidP="0028541A">
            <w:pPr>
              <w:jc w:val="both"/>
              <w:rPr>
                <w:sz w:val="20"/>
                <w:lang w:val="fr-CA"/>
              </w:rPr>
            </w:pPr>
            <w:r w:rsidRPr="0028541A">
              <w:rPr>
                <w:sz w:val="20"/>
                <w:lang w:val="fr-CA"/>
              </w:rPr>
              <w:t>Cour d’appel de l’Ontario</w:t>
            </w:r>
          </w:p>
          <w:p w:rsidR="0028541A" w:rsidRPr="0028541A" w:rsidRDefault="0028541A" w:rsidP="0028541A">
            <w:pPr>
              <w:jc w:val="both"/>
              <w:rPr>
                <w:sz w:val="20"/>
                <w:lang w:val="fr-CA"/>
              </w:rPr>
            </w:pPr>
            <w:r w:rsidRPr="0028541A">
              <w:rPr>
                <w:sz w:val="20"/>
                <w:lang w:val="fr-CA"/>
              </w:rPr>
              <w:t>(juges Juriansz, Tulloch et Paciocco)</w:t>
            </w:r>
          </w:p>
          <w:p w:rsidR="0028541A" w:rsidRPr="0028541A" w:rsidRDefault="00370316" w:rsidP="0028541A">
            <w:pPr>
              <w:jc w:val="both"/>
              <w:rPr>
                <w:sz w:val="20"/>
              </w:rPr>
            </w:pPr>
            <w:hyperlink r:id="rId43" w:history="1">
              <w:r w:rsidR="0028541A" w:rsidRPr="0028541A">
                <w:rPr>
                  <w:rStyle w:val="Hyperlink"/>
                  <w:sz w:val="20"/>
                </w:rPr>
                <w:t>2021 ONCA 327</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 xml:space="preserve">Rejet de l’appel formé contre la déclaration de culpabilité et de la demande fondée sur la provocation policière </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rPr>
            </w:pPr>
            <w:r w:rsidRPr="0028541A">
              <w:rPr>
                <w:sz w:val="20"/>
              </w:rPr>
              <w:t>19 octobre 2021</w:t>
            </w:r>
          </w:p>
          <w:p w:rsidR="0028541A" w:rsidRPr="0028541A" w:rsidRDefault="0028541A" w:rsidP="0028541A">
            <w:pPr>
              <w:jc w:val="both"/>
              <w:rPr>
                <w:sz w:val="20"/>
              </w:rPr>
            </w:pPr>
            <w:r w:rsidRPr="0028541A">
              <w:rPr>
                <w:sz w:val="20"/>
              </w:rPr>
              <w:t>Cour suprême du Canada</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Dépôt de la demande d’autorisation d’appel ainsi que de la requête en prorogation de délai pour déposer cette demande</w:t>
            </w:r>
          </w:p>
        </w:tc>
      </w:tr>
    </w:tbl>
    <w:p w:rsidR="0028541A" w:rsidRDefault="0028541A" w:rsidP="0028541A">
      <w:pPr>
        <w:jc w:val="both"/>
        <w:rPr>
          <w:sz w:val="20"/>
          <w:lang w:val="fr-CA"/>
        </w:rPr>
      </w:pPr>
    </w:p>
    <w:p w:rsidR="006500D2" w:rsidRPr="0028541A" w:rsidRDefault="00370316" w:rsidP="0028541A">
      <w:pPr>
        <w:jc w:val="both"/>
        <w:rPr>
          <w:sz w:val="20"/>
          <w:lang w:val="fr-CA"/>
        </w:rPr>
      </w:pPr>
      <w:r>
        <w:rPr>
          <w:sz w:val="20"/>
        </w:rPr>
        <w:pict>
          <v:rect id="_x0000_i1036"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39801</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Brandon Michael McManus v. Her Majesty the Queen</w:t>
            </w:r>
          </w:p>
          <w:p w:rsidR="0028541A" w:rsidRPr="0028541A" w:rsidRDefault="0028541A" w:rsidP="0028541A">
            <w:pPr>
              <w:jc w:val="both"/>
              <w:rPr>
                <w:sz w:val="20"/>
              </w:rPr>
            </w:pPr>
            <w:r w:rsidRPr="0028541A">
              <w:rPr>
                <w:sz w:val="20"/>
              </w:rPr>
              <w:t>(Alta.) (Criminal) (By Leave)</w:t>
            </w:r>
          </w:p>
        </w:tc>
      </w:tr>
      <w:tr w:rsidR="0028541A" w:rsidRPr="0028541A" w:rsidTr="0028541A">
        <w:tc>
          <w:tcPr>
            <w:tcW w:w="5000" w:type="pct"/>
            <w:gridSpan w:val="4"/>
          </w:tcPr>
          <w:p w:rsidR="0028541A" w:rsidRPr="0028541A" w:rsidRDefault="0028541A" w:rsidP="0028541A">
            <w:pPr>
              <w:jc w:val="both"/>
              <w:rPr>
                <w:sz w:val="20"/>
              </w:rPr>
            </w:pPr>
            <w:r w:rsidRPr="0028541A">
              <w:rPr>
                <w:i/>
                <w:sz w:val="20"/>
              </w:rPr>
              <w:t>Charter of Rights</w:t>
            </w:r>
            <w:r w:rsidRPr="0028541A">
              <w:rPr>
                <w:sz w:val="20"/>
              </w:rPr>
              <w:t xml:space="preserve"> — Search and seizure — Criminal law — Is a warrantless search still presumed to be unreasonable — If so, in the context of a </w:t>
            </w:r>
            <w:r w:rsidRPr="0028541A">
              <w:rPr>
                <w:i/>
                <w:sz w:val="20"/>
              </w:rPr>
              <w:t xml:space="preserve">Charter </w:t>
            </w:r>
            <w:r w:rsidRPr="0028541A">
              <w:rPr>
                <w:sz w:val="20"/>
              </w:rPr>
              <w:t xml:space="preserve">challenge, does the Crown still bear the burden of proving the reasonableness of the search by establishing that the search was authorized by law, that the law itself is reasonable, and that the manner in which the search was carried out was reasonable — Did the Court of Appeal err in unduly restricting the relevant </w:t>
            </w:r>
            <w:r w:rsidRPr="0028541A">
              <w:rPr>
                <w:sz w:val="20"/>
              </w:rPr>
              <w:lastRenderedPageBreak/>
              <w:t xml:space="preserve">factors to be considered in assessing whether a warrantless search of breath samples was conducted in a reasonable manner — Whether the Court of Appeal’s decision is at odds with </w:t>
            </w:r>
            <w:r w:rsidRPr="0028541A">
              <w:rPr>
                <w:i/>
                <w:sz w:val="20"/>
              </w:rPr>
              <w:t xml:space="preserve">R. </w:t>
            </w:r>
            <w:r w:rsidRPr="0028541A">
              <w:rPr>
                <w:sz w:val="20"/>
              </w:rPr>
              <w:t xml:space="preserve">v. </w:t>
            </w:r>
            <w:r w:rsidRPr="0028541A">
              <w:rPr>
                <w:i/>
                <w:sz w:val="20"/>
              </w:rPr>
              <w:t>Collins</w:t>
            </w:r>
            <w:r w:rsidRPr="0028541A">
              <w:rPr>
                <w:sz w:val="20"/>
              </w:rPr>
              <w:t xml:space="preserve">, [1987] 1 S.C.R. 265 — s. 8 of the </w:t>
            </w:r>
            <w:r w:rsidRPr="0028541A">
              <w:rPr>
                <w:i/>
                <w:sz w:val="20"/>
              </w:rPr>
              <w:t>Canadian Charter of Rights and Freedoms</w:t>
            </w:r>
            <w:r w:rsidRPr="0028541A">
              <w:rPr>
                <w:sz w:val="20"/>
              </w:rPr>
              <w:t>.</w:t>
            </w:r>
          </w:p>
        </w:tc>
      </w:tr>
      <w:tr w:rsidR="0028541A" w:rsidRPr="0028541A" w:rsidTr="0028541A">
        <w:tc>
          <w:tcPr>
            <w:tcW w:w="5000" w:type="pct"/>
            <w:gridSpan w:val="4"/>
          </w:tcPr>
          <w:p w:rsidR="0028541A" w:rsidRPr="0028541A" w:rsidRDefault="0028541A" w:rsidP="0028541A">
            <w:pPr>
              <w:jc w:val="both"/>
              <w:rPr>
                <w:sz w:val="20"/>
              </w:rPr>
            </w:pPr>
          </w:p>
        </w:tc>
      </w:tr>
      <w:tr w:rsidR="0028541A" w:rsidRPr="0028541A" w:rsidTr="0028541A">
        <w:tc>
          <w:tcPr>
            <w:tcW w:w="5000" w:type="pct"/>
            <w:gridSpan w:val="4"/>
          </w:tcPr>
          <w:p w:rsidR="0028541A" w:rsidRPr="0028541A" w:rsidRDefault="0028541A" w:rsidP="0028541A">
            <w:pPr>
              <w:jc w:val="both"/>
              <w:rPr>
                <w:sz w:val="20"/>
              </w:rPr>
            </w:pPr>
            <w:r w:rsidRPr="0028541A">
              <w:rPr>
                <w:sz w:val="20"/>
              </w:rPr>
              <w:t xml:space="preserve">After failing a roadside test in a targeted stop, the applicant was arrested. Two breath samples were obtained following breath demands. </w:t>
            </w:r>
            <w:r w:rsidRPr="0028541A">
              <w:rPr>
                <w:sz w:val="20"/>
                <w:lang w:val="en"/>
              </w:rPr>
              <w:t xml:space="preserve">The applicant argued that the police failed to observe him for 15 minutes before the samples of his breath were provided into the approved instrument, as was required by their training. The applicant also argued that because of this failure, the manner of taking the samples was unreasonable, and gave rise to a breach of s. 8 of the </w:t>
            </w:r>
            <w:r w:rsidRPr="0028541A">
              <w:rPr>
                <w:i/>
                <w:iCs/>
                <w:sz w:val="20"/>
                <w:lang w:val="en"/>
              </w:rPr>
              <w:t>Charter</w:t>
            </w:r>
            <w:r w:rsidRPr="0028541A">
              <w:rPr>
                <w:sz w:val="20"/>
                <w:lang w:val="en"/>
              </w:rPr>
              <w:t xml:space="preserve">. </w:t>
            </w:r>
            <w:r w:rsidRPr="0028541A">
              <w:rPr>
                <w:sz w:val="20"/>
              </w:rPr>
              <w:t>The applicant was convicted of operating a motor vehicle with a blood alcohol concentration over the legal limit. The summary conviction appeal judge allowed the applicant’s appeal, and ordered a new trial. The Court of Appeal allowed the Crown’s appeal, and restored the conviction.</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January 2, 2019</w:t>
            </w:r>
          </w:p>
          <w:p w:rsidR="0028541A" w:rsidRPr="0028541A" w:rsidRDefault="0028541A" w:rsidP="0028541A">
            <w:pPr>
              <w:jc w:val="both"/>
              <w:rPr>
                <w:sz w:val="20"/>
              </w:rPr>
            </w:pPr>
            <w:r w:rsidRPr="0028541A">
              <w:rPr>
                <w:sz w:val="20"/>
              </w:rPr>
              <w:t>Provincial Court of Alberta</w:t>
            </w:r>
          </w:p>
          <w:p w:rsidR="0028541A" w:rsidRPr="0028541A" w:rsidRDefault="0028541A" w:rsidP="0028541A">
            <w:pPr>
              <w:jc w:val="both"/>
              <w:rPr>
                <w:sz w:val="20"/>
              </w:rPr>
            </w:pPr>
            <w:r w:rsidRPr="0028541A">
              <w:rPr>
                <w:sz w:val="20"/>
              </w:rPr>
              <w:t>(Bilodeau P.C.J.)</w:t>
            </w:r>
          </w:p>
          <w:p w:rsidR="0028541A" w:rsidRPr="0028541A" w:rsidRDefault="0028541A" w:rsidP="0028541A">
            <w:pPr>
              <w:jc w:val="both"/>
              <w:rPr>
                <w:sz w:val="20"/>
              </w:rPr>
            </w:pPr>
            <w:r w:rsidRPr="0028541A">
              <w:rPr>
                <w:sz w:val="20"/>
              </w:rPr>
              <w:t>(unreported)</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Conviction entered: operating a motor vehicle with a blood alcohol concentration over legal limit</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October 28, 2019</w:t>
            </w:r>
          </w:p>
          <w:p w:rsidR="0028541A" w:rsidRPr="0028541A" w:rsidRDefault="0028541A" w:rsidP="0028541A">
            <w:pPr>
              <w:jc w:val="both"/>
              <w:rPr>
                <w:sz w:val="20"/>
              </w:rPr>
            </w:pPr>
            <w:r w:rsidRPr="0028541A">
              <w:rPr>
                <w:sz w:val="20"/>
              </w:rPr>
              <w:t>Court of Queen’s Bench of Alberta</w:t>
            </w:r>
          </w:p>
          <w:p w:rsidR="0028541A" w:rsidRPr="0028541A" w:rsidRDefault="0028541A" w:rsidP="0028541A">
            <w:pPr>
              <w:jc w:val="both"/>
              <w:rPr>
                <w:sz w:val="20"/>
              </w:rPr>
            </w:pPr>
            <w:r w:rsidRPr="0028541A">
              <w:rPr>
                <w:sz w:val="20"/>
              </w:rPr>
              <w:t>(Henderson J.)</w:t>
            </w:r>
          </w:p>
          <w:p w:rsidR="0028541A" w:rsidRPr="0028541A" w:rsidRDefault="00370316" w:rsidP="0028541A">
            <w:pPr>
              <w:jc w:val="both"/>
              <w:rPr>
                <w:sz w:val="20"/>
              </w:rPr>
            </w:pPr>
            <w:hyperlink r:id="rId44" w:history="1">
              <w:r w:rsidR="0028541A" w:rsidRPr="0028541A">
                <w:rPr>
                  <w:rStyle w:val="Hyperlink"/>
                  <w:sz w:val="20"/>
                </w:rPr>
                <w:t>2019 ABQB 829</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Applicant’s appeal allowed; new trial ordered</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May 14, 2021</w:t>
            </w:r>
          </w:p>
          <w:p w:rsidR="0028541A" w:rsidRPr="0028541A" w:rsidRDefault="0028541A" w:rsidP="0028541A">
            <w:pPr>
              <w:jc w:val="both"/>
              <w:rPr>
                <w:sz w:val="20"/>
              </w:rPr>
            </w:pPr>
            <w:r w:rsidRPr="0028541A">
              <w:rPr>
                <w:sz w:val="20"/>
              </w:rPr>
              <w:t>Court of Appeal of Alberta (Edmonton)</w:t>
            </w:r>
          </w:p>
          <w:p w:rsidR="0028541A" w:rsidRPr="0028541A" w:rsidRDefault="0028541A" w:rsidP="0028541A">
            <w:pPr>
              <w:jc w:val="both"/>
              <w:rPr>
                <w:sz w:val="20"/>
              </w:rPr>
            </w:pPr>
            <w:r w:rsidRPr="0028541A">
              <w:rPr>
                <w:sz w:val="20"/>
              </w:rPr>
              <w:t>(Crighton, Pentelechuck, Feehan JJ.A.)</w:t>
            </w:r>
          </w:p>
          <w:p w:rsidR="0028541A" w:rsidRPr="0028541A" w:rsidRDefault="00370316" w:rsidP="0028541A">
            <w:pPr>
              <w:jc w:val="both"/>
              <w:rPr>
                <w:sz w:val="20"/>
              </w:rPr>
            </w:pPr>
            <w:hyperlink r:id="rId45" w:history="1">
              <w:r w:rsidR="0028541A" w:rsidRPr="0028541A">
                <w:rPr>
                  <w:rStyle w:val="Hyperlink"/>
                  <w:sz w:val="20"/>
                </w:rPr>
                <w:t>2021 ABCA 177</w:t>
              </w:r>
            </w:hyperlink>
            <w:r w:rsidR="0028541A" w:rsidRPr="0028541A">
              <w:rPr>
                <w:sz w:val="20"/>
              </w:rPr>
              <w:t>; 1903</w:t>
            </w:r>
            <w:r w:rsidR="0028541A" w:rsidRPr="0028541A">
              <w:rPr>
                <w:sz w:val="20"/>
              </w:rPr>
              <w:noBreakHyphen/>
              <w:t>0302A</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Crown’s appeal allowed; conviction reinstated</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August 13, 2021</w:t>
            </w:r>
          </w:p>
          <w:p w:rsidR="0028541A" w:rsidRPr="0028541A" w:rsidRDefault="0028541A" w:rsidP="0028541A">
            <w:pPr>
              <w:jc w:val="both"/>
              <w:rPr>
                <w:sz w:val="20"/>
              </w:rPr>
            </w:pPr>
            <w:r w:rsidRPr="0028541A">
              <w:rPr>
                <w:sz w:val="20"/>
              </w:rPr>
              <w:t>Supreme Court of Canada</w:t>
            </w: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Application for leave to appeal filed</w:t>
            </w:r>
          </w:p>
          <w:p w:rsidR="0028541A" w:rsidRPr="0028541A" w:rsidRDefault="0028541A" w:rsidP="0028541A">
            <w:pPr>
              <w:jc w:val="both"/>
              <w:rPr>
                <w:sz w:val="20"/>
              </w:rPr>
            </w:pPr>
          </w:p>
        </w:tc>
      </w:tr>
    </w:tbl>
    <w:p w:rsidR="0028541A" w:rsidRDefault="0028541A" w:rsidP="0028541A">
      <w:pPr>
        <w:jc w:val="both"/>
        <w:rPr>
          <w:sz w:val="20"/>
        </w:rPr>
      </w:pPr>
    </w:p>
    <w:p w:rsidR="006500D2" w:rsidRDefault="00370316" w:rsidP="0028541A">
      <w:pPr>
        <w:jc w:val="both"/>
        <w:rPr>
          <w:sz w:val="20"/>
        </w:rPr>
      </w:pPr>
      <w:r>
        <w:rPr>
          <w:sz w:val="20"/>
        </w:rPr>
        <w:pict>
          <v:rect id="_x0000_i1037" style="width:2in;height:1pt" o:hrpct="0" o:hralign="center" o:hrstd="t" o:hrnoshade="t" o:hr="t" fillcolor="black [3213]" stroked="f"/>
        </w:pict>
      </w:r>
    </w:p>
    <w:p w:rsidR="006500D2" w:rsidRPr="0028541A" w:rsidRDefault="006500D2" w:rsidP="002854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39801</w:t>
            </w:r>
          </w:p>
        </w:tc>
        <w:tc>
          <w:tcPr>
            <w:tcW w:w="4457" w:type="pct"/>
            <w:gridSpan w:val="3"/>
          </w:tcPr>
          <w:p w:rsidR="0028541A" w:rsidRPr="006500D2" w:rsidRDefault="0028541A" w:rsidP="0028541A">
            <w:pPr>
              <w:pStyle w:val="SCCLsocParty"/>
              <w:jc w:val="both"/>
              <w:rPr>
                <w:b/>
                <w:sz w:val="20"/>
                <w:szCs w:val="20"/>
              </w:rPr>
            </w:pPr>
            <w:r w:rsidRPr="006500D2">
              <w:rPr>
                <w:b/>
                <w:sz w:val="20"/>
                <w:szCs w:val="20"/>
              </w:rPr>
              <w:t>Brandon Michael McManus c. Sa Majesté la Reine</w:t>
            </w:r>
          </w:p>
          <w:p w:rsidR="0028541A" w:rsidRPr="0028541A" w:rsidRDefault="0028541A" w:rsidP="0028541A">
            <w:pPr>
              <w:jc w:val="both"/>
              <w:rPr>
                <w:sz w:val="20"/>
              </w:rPr>
            </w:pPr>
            <w:r w:rsidRPr="0028541A">
              <w:rPr>
                <w:sz w:val="20"/>
              </w:rPr>
              <w:t>(Alb.) (Criminelle) (Autorisation)</w:t>
            </w:r>
          </w:p>
        </w:tc>
      </w:tr>
      <w:tr w:rsidR="0028541A" w:rsidRPr="00370316" w:rsidTr="0028541A">
        <w:tc>
          <w:tcPr>
            <w:tcW w:w="5000" w:type="pct"/>
            <w:gridSpan w:val="4"/>
          </w:tcPr>
          <w:p w:rsidR="0028541A" w:rsidRPr="0028541A" w:rsidRDefault="0028541A" w:rsidP="0028541A">
            <w:pPr>
              <w:jc w:val="both"/>
              <w:rPr>
                <w:sz w:val="20"/>
                <w:lang w:val="fr-CA"/>
              </w:rPr>
            </w:pPr>
            <w:r w:rsidRPr="0028541A">
              <w:rPr>
                <w:i/>
                <w:sz w:val="20"/>
                <w:lang w:val="fr-CA"/>
              </w:rPr>
              <w:t xml:space="preserve">Charte des droits </w:t>
            </w:r>
            <w:r w:rsidRPr="0028541A">
              <w:rPr>
                <w:sz w:val="20"/>
                <w:lang w:val="fr-CA"/>
              </w:rPr>
              <w:t>— Fouilles, perquisitions et saisies — Droit criminel — Une perquisition sans mandat est</w:t>
            </w:r>
            <w:r w:rsidRPr="0028541A">
              <w:rPr>
                <w:sz w:val="20"/>
                <w:lang w:val="fr-CA"/>
              </w:rPr>
              <w:noBreakHyphen/>
              <w:t xml:space="preserve">elle toujours présumée déraisonnable? — Si oui, dans le contexte d’une contestation fondée sur la </w:t>
            </w:r>
            <w:r w:rsidRPr="0028541A">
              <w:rPr>
                <w:i/>
                <w:sz w:val="20"/>
                <w:lang w:val="fr-CA"/>
              </w:rPr>
              <w:t>Charte</w:t>
            </w:r>
            <w:r w:rsidRPr="0028541A">
              <w:rPr>
                <w:sz w:val="20"/>
                <w:lang w:val="fr-CA"/>
              </w:rPr>
              <w:t>, le fardeau de prouver le caractère raisonnable de la perquisition pèse</w:t>
            </w:r>
            <w:r w:rsidRPr="0028541A">
              <w:rPr>
                <w:sz w:val="20"/>
                <w:lang w:val="fr-CA"/>
              </w:rPr>
              <w:noBreakHyphen/>
              <w:t>t</w:t>
            </w:r>
            <w:r w:rsidRPr="0028541A">
              <w:rPr>
                <w:sz w:val="20"/>
                <w:lang w:val="fr-CA"/>
              </w:rPr>
              <w:noBreakHyphen/>
              <w:t>il encore sur la Couronne qui doit établir que la perquisition était autorisée par les dispositions législatives et que celles</w:t>
            </w:r>
            <w:r w:rsidRPr="0028541A">
              <w:rPr>
                <w:sz w:val="20"/>
                <w:lang w:val="fr-CA"/>
              </w:rPr>
              <w:noBreakHyphen/>
              <w:t xml:space="preserve">ci </w:t>
            </w:r>
            <w:proofErr w:type="gramStart"/>
            <w:r w:rsidRPr="0028541A">
              <w:rPr>
                <w:sz w:val="20"/>
                <w:lang w:val="fr-CA"/>
              </w:rPr>
              <w:t>sont</w:t>
            </w:r>
            <w:proofErr w:type="gramEnd"/>
            <w:r w:rsidRPr="0028541A">
              <w:rPr>
                <w:sz w:val="20"/>
                <w:lang w:val="fr-CA"/>
              </w:rPr>
              <w:t xml:space="preserve"> raisonnables en soi, et que la manière selon laquelle la perquisition a été effectuée était raisonnable? — La Cour d’appel a</w:t>
            </w:r>
            <w:r w:rsidRPr="0028541A">
              <w:rPr>
                <w:sz w:val="20"/>
                <w:lang w:val="fr-CA"/>
              </w:rPr>
              <w:noBreakHyphen/>
              <w:t>t</w:t>
            </w:r>
            <w:r w:rsidRPr="0028541A">
              <w:rPr>
                <w:sz w:val="20"/>
                <w:lang w:val="fr-CA"/>
              </w:rPr>
              <w:noBreakHyphen/>
              <w:t>elle commis une erreur en restreignant indûment les facteurs pertinents dont il est tenu compte lorsqu’on évalue si une perquisition d’échantillons d’haleine sans mandat a été effectuée de manière raisonnable? — L’arrêt de la Cour d’appel est</w:t>
            </w:r>
            <w:r w:rsidRPr="0028541A">
              <w:rPr>
                <w:sz w:val="20"/>
                <w:lang w:val="fr-CA"/>
              </w:rPr>
              <w:noBreakHyphen/>
              <w:t xml:space="preserve">il incompatible avec l’arrêt </w:t>
            </w:r>
            <w:r w:rsidRPr="0028541A">
              <w:rPr>
                <w:i/>
                <w:sz w:val="20"/>
                <w:lang w:val="fr-CA"/>
              </w:rPr>
              <w:t xml:space="preserve">R. </w:t>
            </w:r>
            <w:r w:rsidRPr="0028541A">
              <w:rPr>
                <w:sz w:val="20"/>
                <w:lang w:val="fr-CA"/>
              </w:rPr>
              <w:t xml:space="preserve">c. </w:t>
            </w:r>
            <w:r w:rsidRPr="0028541A">
              <w:rPr>
                <w:i/>
                <w:sz w:val="20"/>
                <w:lang w:val="fr-CA"/>
              </w:rPr>
              <w:t>Collins</w:t>
            </w:r>
            <w:r w:rsidRPr="0028541A">
              <w:rPr>
                <w:sz w:val="20"/>
                <w:lang w:val="fr-CA"/>
              </w:rPr>
              <w:t>, [1987] 1 R.C.S. 265 — art. 8 de la</w:t>
            </w:r>
            <w:r w:rsidRPr="0028541A">
              <w:rPr>
                <w:i/>
                <w:sz w:val="20"/>
                <w:lang w:val="fr-CA"/>
              </w:rPr>
              <w:t xml:space="preserve"> Charte canadienne des droits et libertés</w:t>
            </w:r>
            <w:r w:rsidRPr="0028541A">
              <w:rPr>
                <w:sz w:val="20"/>
                <w:lang w:val="fr-CA"/>
              </w:rPr>
              <w:t>.</w:t>
            </w:r>
          </w:p>
        </w:tc>
      </w:tr>
      <w:tr w:rsidR="0028541A" w:rsidRPr="00370316" w:rsidTr="0028541A">
        <w:tc>
          <w:tcPr>
            <w:tcW w:w="5000" w:type="pct"/>
            <w:gridSpan w:val="4"/>
          </w:tcPr>
          <w:p w:rsidR="0028541A" w:rsidRPr="0028541A" w:rsidRDefault="0028541A" w:rsidP="0028541A">
            <w:pPr>
              <w:jc w:val="both"/>
              <w:rPr>
                <w:sz w:val="20"/>
                <w:lang w:val="fr-CA"/>
              </w:rPr>
            </w:pP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 xml:space="preserve">Après avoir failli à un test routier à un arrêt ciblé, le demandeur a été arrêté. Deux échantillons d’haleine ont été obtenus à la suite de demandes d’échantillons. Le demandeur a plaidé que les policiers ne l’ont pas observé pendant 15 minutes avant que les échantillons de son haleine ne soient fournis dans l’instrument approuvé, contrairement à ce qu’exigeait la formation. Le demandeur a aussi plaidé qu’en raison de ce manquement, la manière dont les échantillons ont été obtenus était déraisonnable et entraînait une contravention à l’art. 8 de la </w:t>
            </w:r>
            <w:r w:rsidRPr="0028541A">
              <w:rPr>
                <w:i/>
                <w:sz w:val="20"/>
                <w:lang w:val="fr-CA"/>
              </w:rPr>
              <w:t>Charte</w:t>
            </w:r>
            <w:r w:rsidRPr="0028541A">
              <w:rPr>
                <w:sz w:val="20"/>
                <w:lang w:val="fr-CA"/>
              </w:rPr>
              <w:t>. Le demandeur a été déclaré coupable d’avoir conduit un véhicule à moteur avec un taux d’alcoolémie excédant la limite légale. Le juge de la Cour d’appel des poursuites sommaires a accueilli l’appel interjeté par le demandeur et ordonné la tenue d’un nouveau procès. La Cour d’appel a accueilli l’appel interjeté par la Couronne et rétabli la déclaration de culpabilité.</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lastRenderedPageBreak/>
              <w:t>2 janvier 2019</w:t>
            </w:r>
          </w:p>
          <w:p w:rsidR="0028541A" w:rsidRPr="0028541A" w:rsidRDefault="0028541A" w:rsidP="0028541A">
            <w:pPr>
              <w:jc w:val="both"/>
              <w:rPr>
                <w:sz w:val="20"/>
                <w:lang w:val="fr-CA"/>
              </w:rPr>
            </w:pPr>
            <w:r w:rsidRPr="0028541A">
              <w:rPr>
                <w:sz w:val="20"/>
                <w:lang w:val="fr-CA"/>
              </w:rPr>
              <w:t>Cour provinciale de l’Alberta</w:t>
            </w:r>
          </w:p>
          <w:p w:rsidR="0028541A" w:rsidRPr="0028541A" w:rsidRDefault="0028541A" w:rsidP="0028541A">
            <w:pPr>
              <w:jc w:val="both"/>
              <w:rPr>
                <w:sz w:val="20"/>
                <w:lang w:val="fr-CA"/>
              </w:rPr>
            </w:pPr>
            <w:r w:rsidRPr="0028541A">
              <w:rPr>
                <w:sz w:val="20"/>
                <w:lang w:val="fr-CA"/>
              </w:rPr>
              <w:t>(juge Bilodeau)</w:t>
            </w:r>
          </w:p>
          <w:p w:rsidR="0028541A" w:rsidRPr="0028541A" w:rsidRDefault="0028541A" w:rsidP="0028541A">
            <w:pPr>
              <w:jc w:val="both"/>
              <w:rPr>
                <w:sz w:val="20"/>
              </w:rPr>
            </w:pPr>
            <w:r w:rsidRPr="0028541A">
              <w:rPr>
                <w:sz w:val="20"/>
              </w:rPr>
              <w:t>(non</w:t>
            </w:r>
            <w:r w:rsidRPr="0028541A">
              <w:rPr>
                <w:sz w:val="20"/>
              </w:rPr>
              <w:noBreakHyphen/>
              <w:t>publiée)</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 xml:space="preserve">Déclaration de culpabilité inscrite : conduite d’un véhicule à moteur avec un taux d’alcoolémie excédant la limite légale </w:t>
            </w: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28 octobre 2019</w:t>
            </w:r>
          </w:p>
          <w:p w:rsidR="0028541A" w:rsidRPr="0028541A" w:rsidRDefault="0028541A" w:rsidP="0028541A">
            <w:pPr>
              <w:jc w:val="both"/>
              <w:rPr>
                <w:sz w:val="20"/>
                <w:lang w:val="fr-CA"/>
              </w:rPr>
            </w:pPr>
            <w:r w:rsidRPr="0028541A">
              <w:rPr>
                <w:sz w:val="20"/>
                <w:lang w:val="fr-CA"/>
              </w:rPr>
              <w:t>Cour du banc de la Reine de l’Alberta</w:t>
            </w:r>
          </w:p>
          <w:p w:rsidR="0028541A" w:rsidRPr="0028541A" w:rsidRDefault="0028541A" w:rsidP="0028541A">
            <w:pPr>
              <w:jc w:val="both"/>
              <w:rPr>
                <w:sz w:val="20"/>
              </w:rPr>
            </w:pPr>
            <w:r w:rsidRPr="0028541A">
              <w:rPr>
                <w:sz w:val="20"/>
              </w:rPr>
              <w:t>(juge Henderson)</w:t>
            </w:r>
          </w:p>
          <w:p w:rsidR="0028541A" w:rsidRPr="0028541A" w:rsidRDefault="00370316" w:rsidP="0028541A">
            <w:pPr>
              <w:jc w:val="both"/>
              <w:rPr>
                <w:sz w:val="20"/>
              </w:rPr>
            </w:pPr>
            <w:hyperlink r:id="rId46" w:history="1">
              <w:r w:rsidR="0028541A" w:rsidRPr="0028541A">
                <w:rPr>
                  <w:rStyle w:val="Hyperlink"/>
                  <w:sz w:val="20"/>
                </w:rPr>
                <w:t>2019 ABQB 829</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Appel du demandeur accueilli; nouveau procès ordonné</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14 mai 2021</w:t>
            </w:r>
          </w:p>
          <w:p w:rsidR="0028541A" w:rsidRPr="0028541A" w:rsidRDefault="0028541A" w:rsidP="0028541A">
            <w:pPr>
              <w:jc w:val="both"/>
              <w:rPr>
                <w:sz w:val="20"/>
                <w:lang w:val="fr-CA"/>
              </w:rPr>
            </w:pPr>
            <w:r w:rsidRPr="0028541A">
              <w:rPr>
                <w:sz w:val="20"/>
                <w:lang w:val="fr-CA"/>
              </w:rPr>
              <w:t>Cour d’appel de l’Alberta (Edmonton)</w:t>
            </w:r>
          </w:p>
          <w:p w:rsidR="0028541A" w:rsidRPr="0028541A" w:rsidRDefault="0028541A" w:rsidP="0028541A">
            <w:pPr>
              <w:jc w:val="both"/>
              <w:rPr>
                <w:sz w:val="20"/>
              </w:rPr>
            </w:pPr>
            <w:r w:rsidRPr="0028541A">
              <w:rPr>
                <w:sz w:val="20"/>
              </w:rPr>
              <w:t>(juges Crighton, Pentelechuck, Feehan)</w:t>
            </w:r>
          </w:p>
          <w:p w:rsidR="0028541A" w:rsidRPr="0028541A" w:rsidRDefault="00370316" w:rsidP="0028541A">
            <w:pPr>
              <w:jc w:val="both"/>
              <w:rPr>
                <w:sz w:val="20"/>
              </w:rPr>
            </w:pPr>
            <w:hyperlink r:id="rId47" w:history="1">
              <w:r w:rsidR="0028541A" w:rsidRPr="0028541A">
                <w:rPr>
                  <w:rStyle w:val="Hyperlink"/>
                  <w:sz w:val="20"/>
                </w:rPr>
                <w:t>2021 ABCA 177</w:t>
              </w:r>
            </w:hyperlink>
            <w:r w:rsidR="0028541A" w:rsidRPr="0028541A">
              <w:rPr>
                <w:sz w:val="20"/>
              </w:rPr>
              <w:t>; 1903</w:t>
            </w:r>
            <w:r w:rsidR="0028541A" w:rsidRPr="0028541A">
              <w:rPr>
                <w:sz w:val="20"/>
              </w:rPr>
              <w:noBreakHyphen/>
              <w:t>0302A</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Appel de la Couronne accueilli; déclaration de culpabilité rétablie</w:t>
            </w:r>
          </w:p>
          <w:p w:rsidR="0028541A" w:rsidRPr="0028541A" w:rsidRDefault="0028541A" w:rsidP="0028541A">
            <w:pPr>
              <w:jc w:val="both"/>
              <w:rPr>
                <w:sz w:val="20"/>
                <w:lang w:val="fr-CA"/>
              </w:rPr>
            </w:pPr>
          </w:p>
        </w:tc>
      </w:tr>
      <w:tr w:rsidR="0028541A" w:rsidRPr="0028541A" w:rsidTr="0028541A">
        <w:tc>
          <w:tcPr>
            <w:tcW w:w="2427" w:type="pct"/>
            <w:gridSpan w:val="2"/>
          </w:tcPr>
          <w:p w:rsidR="0028541A" w:rsidRPr="0028541A" w:rsidRDefault="0028541A" w:rsidP="0028541A">
            <w:pPr>
              <w:jc w:val="both"/>
              <w:rPr>
                <w:sz w:val="20"/>
                <w:lang w:val="fr-CA"/>
              </w:rPr>
            </w:pPr>
            <w:r w:rsidRPr="0028541A">
              <w:rPr>
                <w:sz w:val="20"/>
                <w:lang w:val="fr-CA"/>
              </w:rPr>
              <w:t>13 août 2021</w:t>
            </w:r>
          </w:p>
          <w:p w:rsidR="0028541A" w:rsidRPr="0028541A" w:rsidRDefault="0028541A" w:rsidP="0028541A">
            <w:pPr>
              <w:jc w:val="both"/>
              <w:rPr>
                <w:sz w:val="20"/>
                <w:lang w:val="fr-CA"/>
              </w:rPr>
            </w:pPr>
            <w:r w:rsidRPr="0028541A">
              <w:rPr>
                <w:sz w:val="20"/>
                <w:lang w:val="fr-CA"/>
              </w:rPr>
              <w:t>Cour suprême du Canada</w:t>
            </w: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rPr>
            </w:pPr>
            <w:r w:rsidRPr="0028541A">
              <w:rPr>
                <w:sz w:val="20"/>
              </w:rPr>
              <w:t>Demande d’autorisation d’appel déposée</w:t>
            </w:r>
          </w:p>
          <w:p w:rsidR="0028541A" w:rsidRPr="0028541A" w:rsidRDefault="0028541A" w:rsidP="0028541A">
            <w:pPr>
              <w:jc w:val="both"/>
              <w:rPr>
                <w:sz w:val="20"/>
              </w:rPr>
            </w:pPr>
          </w:p>
        </w:tc>
      </w:tr>
    </w:tbl>
    <w:p w:rsidR="0028541A" w:rsidRDefault="0028541A" w:rsidP="0028541A">
      <w:pPr>
        <w:jc w:val="both"/>
        <w:rPr>
          <w:sz w:val="20"/>
        </w:rPr>
      </w:pPr>
    </w:p>
    <w:p w:rsidR="006500D2" w:rsidRPr="0028541A" w:rsidRDefault="00370316" w:rsidP="0028541A">
      <w:pPr>
        <w:jc w:val="both"/>
        <w:rPr>
          <w:sz w:val="20"/>
        </w:rPr>
      </w:pPr>
      <w:r>
        <w:rPr>
          <w:sz w:val="20"/>
        </w:rPr>
        <w:pict>
          <v:rect id="_x0000_i1038"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39734</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D.W. Conley, V. Park v. Cole Parliament, an incapable by his Litigation Guardian, Kimberley York, John Parliament and Kimberley York personally</w:t>
            </w:r>
          </w:p>
          <w:p w:rsidR="0028541A" w:rsidRPr="0028541A" w:rsidRDefault="0028541A" w:rsidP="0028541A">
            <w:pPr>
              <w:jc w:val="both"/>
              <w:rPr>
                <w:sz w:val="20"/>
              </w:rPr>
            </w:pPr>
            <w:r w:rsidRPr="0028541A">
              <w:rPr>
                <w:sz w:val="20"/>
              </w:rPr>
              <w:t>(Ont.) (Civil) (By Leave)</w:t>
            </w:r>
          </w:p>
        </w:tc>
      </w:tr>
      <w:tr w:rsidR="0028541A" w:rsidRPr="0028541A" w:rsidTr="0028541A">
        <w:tc>
          <w:tcPr>
            <w:tcW w:w="5000" w:type="pct"/>
            <w:gridSpan w:val="4"/>
          </w:tcPr>
          <w:p w:rsidR="0028541A" w:rsidRPr="0028541A" w:rsidRDefault="0028541A" w:rsidP="0028541A">
            <w:pPr>
              <w:jc w:val="both"/>
              <w:rPr>
                <w:sz w:val="20"/>
              </w:rPr>
            </w:pPr>
            <w:r w:rsidRPr="0028541A">
              <w:rPr>
                <w:sz w:val="20"/>
              </w:rPr>
              <w:t>Civil procedure — Jury trial — Evidence — Expert witness — Negligence — What is the proper interpretation and application of the test to set aside a jury verdict and order a new trial on the basis of an error of law — How should a trial judge exercise their gatekeeping role when evidence inadmissible for its truth is elicited from an expert on cross</w:t>
            </w:r>
            <w:r w:rsidRPr="0028541A">
              <w:rPr>
                <w:sz w:val="20"/>
              </w:rPr>
              <w:noBreakHyphen/>
              <w:t>examination — Whether an appellant should be able to succeed on appeal when they deliberately authored their own misfortune at trial.</w:t>
            </w:r>
          </w:p>
          <w:p w:rsidR="0028541A" w:rsidRPr="0028541A" w:rsidRDefault="0028541A" w:rsidP="0028541A">
            <w:pPr>
              <w:jc w:val="both"/>
              <w:rPr>
                <w:sz w:val="20"/>
              </w:rPr>
            </w:pPr>
          </w:p>
          <w:p w:rsidR="0028541A" w:rsidRPr="0028541A" w:rsidRDefault="0028541A" w:rsidP="006500D2">
            <w:pPr>
              <w:jc w:val="both"/>
              <w:rPr>
                <w:sz w:val="20"/>
              </w:rPr>
            </w:pPr>
            <w:r w:rsidRPr="0028541A">
              <w:rPr>
                <w:sz w:val="20"/>
              </w:rPr>
              <w:t>The respondent Cole Parliament was diagnosed with severe hydrocephalus when he was around four months old. He is now 22 years old and has cognitive and physical disabilities. His parents, the respondents Kimberley York and John Parliament, sued the applicants Dr. Conley and Dr. Park for negligence, alleging that the applicants delayed diagnosing and treating Cole’s hydrocephalus and that this delay caused his brain damage. After a lengthy trial, the jury found that the standard of care had been met by both doctors, and the trial judge accordingly dismissed the action. The Court of Appeal allowed the respondents’ appeal and ordered a new trial.</w:t>
            </w:r>
          </w:p>
        </w:tc>
      </w:tr>
      <w:tr w:rsidR="0028541A" w:rsidRPr="0028541A" w:rsidTr="0028541A">
        <w:tc>
          <w:tcPr>
            <w:tcW w:w="5000" w:type="pct"/>
            <w:gridSpan w:val="4"/>
          </w:tcPr>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August 30, 2019</w:t>
            </w:r>
          </w:p>
          <w:p w:rsidR="0028541A" w:rsidRPr="0028541A" w:rsidRDefault="0028541A" w:rsidP="0028541A">
            <w:pPr>
              <w:jc w:val="both"/>
              <w:rPr>
                <w:sz w:val="20"/>
              </w:rPr>
            </w:pPr>
            <w:r w:rsidRPr="0028541A">
              <w:rPr>
                <w:sz w:val="20"/>
              </w:rPr>
              <w:t>Ontario Superior Court of Justice</w:t>
            </w:r>
          </w:p>
          <w:p w:rsidR="0028541A" w:rsidRPr="0028541A" w:rsidRDefault="0028541A" w:rsidP="0028541A">
            <w:pPr>
              <w:jc w:val="both"/>
              <w:rPr>
                <w:sz w:val="20"/>
              </w:rPr>
            </w:pPr>
            <w:r w:rsidRPr="0028541A">
              <w:rPr>
                <w:sz w:val="20"/>
              </w:rPr>
              <w:t>(Woodley J.)</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Respondents’ action dismissed</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April 26, 2021</w:t>
            </w:r>
          </w:p>
          <w:p w:rsidR="0028541A" w:rsidRPr="0028541A" w:rsidRDefault="0028541A" w:rsidP="0028541A">
            <w:pPr>
              <w:jc w:val="both"/>
              <w:rPr>
                <w:sz w:val="20"/>
              </w:rPr>
            </w:pPr>
            <w:r w:rsidRPr="0028541A">
              <w:rPr>
                <w:sz w:val="20"/>
              </w:rPr>
              <w:t>Court of Appeal for Ontario</w:t>
            </w:r>
          </w:p>
          <w:p w:rsidR="0028541A" w:rsidRPr="0028541A" w:rsidRDefault="0028541A" w:rsidP="0028541A">
            <w:pPr>
              <w:jc w:val="both"/>
              <w:rPr>
                <w:sz w:val="20"/>
              </w:rPr>
            </w:pPr>
            <w:r w:rsidRPr="0028541A">
              <w:rPr>
                <w:sz w:val="20"/>
              </w:rPr>
              <w:t xml:space="preserve">(Huscroft, Nordheimer and Harvison </w:t>
            </w:r>
          </w:p>
          <w:p w:rsidR="0028541A" w:rsidRPr="0028541A" w:rsidRDefault="0028541A" w:rsidP="0028541A">
            <w:pPr>
              <w:jc w:val="both"/>
              <w:rPr>
                <w:sz w:val="20"/>
              </w:rPr>
            </w:pPr>
            <w:r w:rsidRPr="0028541A">
              <w:rPr>
                <w:sz w:val="20"/>
              </w:rPr>
              <w:t>Young JJ.A.)</w:t>
            </w:r>
          </w:p>
          <w:p w:rsidR="0028541A" w:rsidRPr="0028541A" w:rsidRDefault="00370316" w:rsidP="0028541A">
            <w:pPr>
              <w:jc w:val="both"/>
              <w:rPr>
                <w:sz w:val="20"/>
              </w:rPr>
            </w:pPr>
            <w:hyperlink r:id="rId48" w:history="1">
              <w:r w:rsidR="0028541A" w:rsidRPr="0028541A">
                <w:rPr>
                  <w:rStyle w:val="Hyperlink"/>
                  <w:sz w:val="20"/>
                </w:rPr>
                <w:t>2021 ONCA 261</w:t>
              </w:r>
            </w:hyperlink>
            <w:r w:rsidR="0028541A" w:rsidRPr="0028541A">
              <w:rPr>
                <w:sz w:val="20"/>
              </w:rPr>
              <w:t>; C67348</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Appeal allowed; judgment set aside; new trial ordered</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June 25, 2021</w:t>
            </w:r>
          </w:p>
          <w:p w:rsidR="0028541A" w:rsidRPr="0028541A" w:rsidRDefault="0028541A" w:rsidP="0028541A">
            <w:pPr>
              <w:jc w:val="both"/>
              <w:rPr>
                <w:sz w:val="20"/>
              </w:rPr>
            </w:pPr>
            <w:r w:rsidRPr="0028541A">
              <w:rPr>
                <w:sz w:val="20"/>
              </w:rPr>
              <w:t>Supreme Court of Canada</w:t>
            </w: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Application for leave to appeal filed</w:t>
            </w:r>
          </w:p>
          <w:p w:rsidR="0028541A" w:rsidRPr="0028541A" w:rsidRDefault="0028541A" w:rsidP="0028541A">
            <w:pPr>
              <w:jc w:val="both"/>
              <w:rPr>
                <w:sz w:val="20"/>
              </w:rPr>
            </w:pPr>
          </w:p>
        </w:tc>
      </w:tr>
    </w:tbl>
    <w:p w:rsidR="0028541A" w:rsidRDefault="0028541A" w:rsidP="0028541A">
      <w:pPr>
        <w:jc w:val="both"/>
        <w:rPr>
          <w:sz w:val="20"/>
        </w:rPr>
      </w:pPr>
    </w:p>
    <w:p w:rsidR="006500D2" w:rsidRDefault="00370316" w:rsidP="0028541A">
      <w:pPr>
        <w:jc w:val="both"/>
        <w:rPr>
          <w:sz w:val="20"/>
        </w:rPr>
      </w:pPr>
      <w:r>
        <w:rPr>
          <w:sz w:val="20"/>
        </w:rPr>
        <w:pict>
          <v:rect id="_x0000_i1039" style="width:2in;height:1pt" o:hrpct="0" o:hralign="center" o:hrstd="t" o:hrnoshade="t" o:hr="t" fillcolor="black [3213]" stroked="f"/>
        </w:pict>
      </w:r>
    </w:p>
    <w:p w:rsidR="006500D2" w:rsidRPr="0028541A" w:rsidRDefault="006500D2" w:rsidP="002854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39734</w:t>
            </w:r>
          </w:p>
        </w:tc>
        <w:tc>
          <w:tcPr>
            <w:tcW w:w="4457" w:type="pct"/>
            <w:gridSpan w:val="3"/>
          </w:tcPr>
          <w:p w:rsidR="0028541A" w:rsidRPr="006500D2" w:rsidRDefault="00370316" w:rsidP="0028541A">
            <w:pPr>
              <w:pStyle w:val="SCCLsocParty"/>
              <w:jc w:val="both"/>
              <w:rPr>
                <w:b/>
                <w:sz w:val="20"/>
                <w:szCs w:val="20"/>
              </w:rPr>
            </w:pPr>
            <w:r w:rsidRPr="00370316">
              <w:rPr>
                <w:b/>
                <w:sz w:val="20"/>
                <w:szCs w:val="20"/>
              </w:rPr>
              <w:t xml:space="preserve">D.W. Conley, V. Park c. Cole Parliament, un incapable représenté par sa tutrice </w:t>
            </w:r>
            <w:bookmarkStart w:id="0" w:name="_GoBack"/>
            <w:bookmarkEnd w:id="0"/>
            <w:r w:rsidRPr="00370316">
              <w:rPr>
                <w:b/>
                <w:sz w:val="20"/>
                <w:szCs w:val="20"/>
              </w:rPr>
              <w:t>à l’instance, Kimberley York, John Parliament et Kimberley York personnellement</w:t>
            </w:r>
          </w:p>
          <w:p w:rsidR="0028541A" w:rsidRPr="0028541A" w:rsidRDefault="0028541A" w:rsidP="0028541A">
            <w:pPr>
              <w:jc w:val="both"/>
              <w:rPr>
                <w:sz w:val="20"/>
              </w:rPr>
            </w:pPr>
            <w:r w:rsidRPr="0028541A">
              <w:rPr>
                <w:sz w:val="20"/>
              </w:rPr>
              <w:t>(Ont.) (Civile) (Autorisation)</w:t>
            </w:r>
          </w:p>
        </w:tc>
      </w:tr>
      <w:tr w:rsidR="0028541A" w:rsidRPr="00370316" w:rsidTr="0028541A">
        <w:tc>
          <w:tcPr>
            <w:tcW w:w="5000" w:type="pct"/>
            <w:gridSpan w:val="4"/>
          </w:tcPr>
          <w:p w:rsidR="00370316" w:rsidRPr="00370316" w:rsidRDefault="00370316" w:rsidP="00370316">
            <w:pPr>
              <w:jc w:val="both"/>
              <w:rPr>
                <w:sz w:val="20"/>
                <w:lang w:val="fr-CA"/>
              </w:rPr>
            </w:pPr>
          </w:p>
          <w:p w:rsidR="00370316" w:rsidRPr="00370316" w:rsidRDefault="00370316" w:rsidP="00370316">
            <w:pPr>
              <w:jc w:val="both"/>
              <w:rPr>
                <w:sz w:val="20"/>
                <w:lang w:val="fr-CA"/>
              </w:rPr>
            </w:pPr>
            <w:r w:rsidRPr="00370316">
              <w:rPr>
                <w:sz w:val="20"/>
                <w:lang w:val="fr-CA"/>
              </w:rPr>
              <w:lastRenderedPageBreak/>
              <w:t xml:space="preserve">Procédure civile — Procès avec jury — Preuve — Témoin expert — Négligence — Quelles sont les bonnes interprétation et application du test pour annuler le verdict d’un jury et ordonner la tenue d’un nouveau procès sur le fondement d’une erreur de droit? — Dans quelle mesure le juge du procès devrait il exercer son rôle de gardien lorsque lorsqu'une preuve inadmissible pour sa véracité est obtenue d'un expert lors d'un contre interrogatoire? — Un appelant devrait il obtenir gain de cause dans son appel alors qu’il a délibérément été l’artisan de son propre malheur lors du procès? </w:t>
            </w:r>
          </w:p>
          <w:p w:rsidR="00370316" w:rsidRPr="00370316" w:rsidRDefault="00370316" w:rsidP="00370316">
            <w:pPr>
              <w:jc w:val="both"/>
              <w:rPr>
                <w:sz w:val="20"/>
                <w:lang w:val="fr-CA"/>
              </w:rPr>
            </w:pPr>
          </w:p>
          <w:p w:rsidR="0028541A" w:rsidRPr="0028541A" w:rsidRDefault="00370316" w:rsidP="00370316">
            <w:pPr>
              <w:jc w:val="both"/>
              <w:rPr>
                <w:sz w:val="20"/>
                <w:lang w:val="fr-CA"/>
              </w:rPr>
            </w:pPr>
            <w:r w:rsidRPr="00370316">
              <w:rPr>
                <w:sz w:val="20"/>
                <w:lang w:val="fr-CA"/>
              </w:rPr>
              <w:t>Le défendeur, Cole Parliament, a reçu un diagnostic d’hydrocéphalie grave lorsqu’il avait environ quatre mois. Il a maintenant 22 ans et a des déficiences cognitives et physiques. Ses parents, les défendeurs Kimberley York et John Parliament, ont intenté une action en négligence contre les demandeurs, les docteurs Conley et Park, ils alléguaient que les demandeurs avaient retardé le diagnostic et le traitement de l’hydrocéphalie de Cole, et que ce retard lui a causé des lésions cérébrales. Après un long procès, le jury a conclu que les deux docteurs avaient satisfait à la norme de diligence, et le juge du procès a donc rejeté l’action. La Cour d’appel a accueilli l’appel interjeté par les défendeurs et ordonné la tenue d’un nouveau procès.</w:t>
            </w:r>
          </w:p>
        </w:tc>
      </w:tr>
      <w:tr w:rsidR="0028541A" w:rsidRPr="00370316" w:rsidTr="0028541A">
        <w:tc>
          <w:tcPr>
            <w:tcW w:w="5000" w:type="pct"/>
            <w:gridSpan w:val="4"/>
          </w:tcPr>
          <w:p w:rsidR="0028541A" w:rsidRPr="0028541A" w:rsidRDefault="0028541A" w:rsidP="0028541A">
            <w:pPr>
              <w:jc w:val="both"/>
              <w:rPr>
                <w:sz w:val="20"/>
                <w:lang w:val="fr-CA"/>
              </w:rPr>
            </w:pPr>
          </w:p>
        </w:tc>
      </w:tr>
      <w:tr w:rsidR="0028541A" w:rsidRPr="0028541A" w:rsidTr="0028541A">
        <w:tc>
          <w:tcPr>
            <w:tcW w:w="2427" w:type="pct"/>
            <w:gridSpan w:val="2"/>
          </w:tcPr>
          <w:p w:rsidR="0028541A" w:rsidRPr="0028541A" w:rsidRDefault="0028541A" w:rsidP="0028541A">
            <w:pPr>
              <w:jc w:val="both"/>
              <w:rPr>
                <w:sz w:val="20"/>
                <w:lang w:val="fr-CA"/>
              </w:rPr>
            </w:pPr>
            <w:r w:rsidRPr="0028541A">
              <w:rPr>
                <w:sz w:val="20"/>
                <w:lang w:val="fr-CA"/>
              </w:rPr>
              <w:t>30 août 2019</w:t>
            </w:r>
          </w:p>
          <w:p w:rsidR="0028541A" w:rsidRPr="0028541A" w:rsidRDefault="0028541A" w:rsidP="0028541A">
            <w:pPr>
              <w:jc w:val="both"/>
              <w:rPr>
                <w:sz w:val="20"/>
                <w:lang w:val="fr-CA"/>
              </w:rPr>
            </w:pPr>
            <w:r w:rsidRPr="0028541A">
              <w:rPr>
                <w:sz w:val="20"/>
                <w:lang w:val="fr-CA"/>
              </w:rPr>
              <w:t xml:space="preserve">Cour supérieure de justice de l’Ontario </w:t>
            </w:r>
          </w:p>
          <w:p w:rsidR="0028541A" w:rsidRPr="0028541A" w:rsidRDefault="0028541A" w:rsidP="0028541A">
            <w:pPr>
              <w:jc w:val="both"/>
              <w:rPr>
                <w:sz w:val="20"/>
              </w:rPr>
            </w:pPr>
            <w:r w:rsidRPr="0028541A">
              <w:rPr>
                <w:sz w:val="20"/>
              </w:rPr>
              <w:t>(juge Woodley)</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 xml:space="preserve">Rejet de l’action des défendeurs </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26 avril 2021</w:t>
            </w:r>
          </w:p>
          <w:p w:rsidR="0028541A" w:rsidRPr="0028541A" w:rsidRDefault="0028541A" w:rsidP="0028541A">
            <w:pPr>
              <w:jc w:val="both"/>
              <w:rPr>
                <w:sz w:val="20"/>
                <w:lang w:val="fr-CA"/>
              </w:rPr>
            </w:pPr>
            <w:r w:rsidRPr="0028541A">
              <w:rPr>
                <w:sz w:val="20"/>
                <w:lang w:val="fr-CA"/>
              </w:rPr>
              <w:t>Cour d’appel de l’Ontario</w:t>
            </w:r>
          </w:p>
          <w:p w:rsidR="0028541A" w:rsidRPr="0028541A" w:rsidRDefault="0028541A" w:rsidP="0028541A">
            <w:pPr>
              <w:jc w:val="both"/>
              <w:rPr>
                <w:sz w:val="20"/>
                <w:lang w:val="fr-CA"/>
              </w:rPr>
            </w:pPr>
            <w:r w:rsidRPr="0028541A">
              <w:rPr>
                <w:sz w:val="20"/>
                <w:lang w:val="fr-CA"/>
              </w:rPr>
              <w:t xml:space="preserve">(juges Huscroft, Nordheimer et Harvison </w:t>
            </w:r>
          </w:p>
          <w:p w:rsidR="0028541A" w:rsidRPr="0028541A" w:rsidRDefault="0028541A" w:rsidP="0028541A">
            <w:pPr>
              <w:jc w:val="both"/>
              <w:rPr>
                <w:sz w:val="20"/>
                <w:lang w:val="fr-CA"/>
              </w:rPr>
            </w:pPr>
            <w:r w:rsidRPr="0028541A">
              <w:rPr>
                <w:sz w:val="20"/>
                <w:lang w:val="fr-CA"/>
              </w:rPr>
              <w:t>Young)</w:t>
            </w:r>
          </w:p>
          <w:p w:rsidR="0028541A" w:rsidRPr="0028541A" w:rsidRDefault="00370316" w:rsidP="0028541A">
            <w:pPr>
              <w:jc w:val="both"/>
              <w:rPr>
                <w:sz w:val="20"/>
                <w:lang w:val="fr-CA"/>
              </w:rPr>
            </w:pPr>
            <w:hyperlink r:id="rId49" w:history="1">
              <w:r w:rsidR="0028541A" w:rsidRPr="0028541A">
                <w:rPr>
                  <w:rStyle w:val="Hyperlink"/>
                  <w:sz w:val="20"/>
                  <w:lang w:val="fr-CA"/>
                </w:rPr>
                <w:t>2021 ONCA 261</w:t>
              </w:r>
            </w:hyperlink>
            <w:r w:rsidR="0028541A" w:rsidRPr="0028541A">
              <w:rPr>
                <w:sz w:val="20"/>
                <w:lang w:val="fr-CA"/>
              </w:rPr>
              <w:t>; C67348</w:t>
            </w:r>
          </w:p>
          <w:p w:rsidR="0028541A" w:rsidRPr="0028541A" w:rsidRDefault="0028541A" w:rsidP="0028541A">
            <w:pPr>
              <w:jc w:val="both"/>
              <w:rPr>
                <w:sz w:val="20"/>
                <w:lang w:val="fr-CA"/>
              </w:rPr>
            </w:pP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Appel accueilli; jugement annulé; nouveau procès ordonné</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25 juin 2021</w:t>
            </w:r>
          </w:p>
          <w:p w:rsidR="0028541A" w:rsidRPr="0028541A" w:rsidRDefault="0028541A" w:rsidP="0028541A">
            <w:pPr>
              <w:jc w:val="both"/>
              <w:rPr>
                <w:sz w:val="20"/>
                <w:lang w:val="fr-CA"/>
              </w:rPr>
            </w:pPr>
            <w:r w:rsidRPr="0028541A">
              <w:rPr>
                <w:sz w:val="20"/>
                <w:lang w:val="fr-CA"/>
              </w:rPr>
              <w:t>Cour suprême du Canada</w:t>
            </w: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 xml:space="preserve">Dépôt de la demande d’autorisation d’appel </w:t>
            </w:r>
          </w:p>
          <w:p w:rsidR="0028541A" w:rsidRPr="0028541A" w:rsidRDefault="0028541A" w:rsidP="0028541A">
            <w:pPr>
              <w:jc w:val="both"/>
              <w:rPr>
                <w:sz w:val="20"/>
                <w:lang w:val="fr-CA"/>
              </w:rPr>
            </w:pPr>
          </w:p>
        </w:tc>
      </w:tr>
    </w:tbl>
    <w:p w:rsidR="0028541A" w:rsidRPr="0028541A" w:rsidRDefault="0028541A" w:rsidP="0028541A">
      <w:pPr>
        <w:jc w:val="both"/>
        <w:rPr>
          <w:sz w:val="20"/>
          <w:lang w:val="fr-CA"/>
        </w:rPr>
      </w:pPr>
    </w:p>
    <w:p w:rsidR="0028541A" w:rsidRPr="0028541A" w:rsidRDefault="00370316" w:rsidP="0028541A">
      <w:pPr>
        <w:widowControl w:val="0"/>
        <w:tabs>
          <w:tab w:val="left" w:pos="3840"/>
        </w:tabs>
        <w:jc w:val="both"/>
        <w:rPr>
          <w:sz w:val="20"/>
          <w:lang w:val="fr-CA"/>
        </w:rPr>
      </w:pPr>
      <w:r>
        <w:rPr>
          <w:sz w:val="20"/>
        </w:rPr>
        <w:pict>
          <v:rect id="_x0000_i1040"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39757</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Chinedu Gideon Ubah v. Canadian National Resources Limited, Steve Laut, Jim Yukes</w:t>
            </w:r>
          </w:p>
          <w:p w:rsidR="0028541A" w:rsidRPr="0028541A" w:rsidRDefault="0028541A" w:rsidP="0028541A">
            <w:pPr>
              <w:jc w:val="both"/>
              <w:rPr>
                <w:sz w:val="20"/>
              </w:rPr>
            </w:pPr>
            <w:r w:rsidRPr="0028541A">
              <w:rPr>
                <w:sz w:val="20"/>
              </w:rPr>
              <w:t>(Alta.) (Civil) (By Leave)</w:t>
            </w:r>
          </w:p>
        </w:tc>
      </w:tr>
      <w:tr w:rsidR="0028541A" w:rsidRPr="0028541A" w:rsidTr="0028541A">
        <w:tc>
          <w:tcPr>
            <w:tcW w:w="5000" w:type="pct"/>
            <w:gridSpan w:val="4"/>
          </w:tcPr>
          <w:p w:rsidR="0028541A" w:rsidRPr="0028541A" w:rsidRDefault="0028541A" w:rsidP="0028541A">
            <w:pPr>
              <w:jc w:val="both"/>
              <w:rPr>
                <w:sz w:val="20"/>
              </w:rPr>
            </w:pPr>
            <w:r w:rsidRPr="0028541A">
              <w:rPr>
                <w:sz w:val="20"/>
              </w:rPr>
              <w:t>Civil procedure — Abuse of process — Vexatious litigant — Courts — What is the scope of the superior court’s inherent jurisdiction to effectively control vexatious litigants without impeding their legitimate access to the courts — When a court brings its own motion to evaluate whether a self</w:t>
            </w:r>
            <w:r w:rsidRPr="0028541A">
              <w:rPr>
                <w:sz w:val="20"/>
              </w:rPr>
              <w:noBreakHyphen/>
              <w:t>represented litigant is vexatious, pursuant to either its inherent or statutory jurisdiction, may it engage in an inquiry and seek evidence — What principles of procedural fairness must apply to protect a self</w:t>
            </w:r>
            <w:r w:rsidRPr="0028541A">
              <w:rPr>
                <w:sz w:val="20"/>
              </w:rPr>
              <w:noBreakHyphen/>
              <w:t>represented litigant in a summary procedure that determines whether that litigant is vexatious and subject to restricted court access.</w:t>
            </w:r>
          </w:p>
          <w:p w:rsidR="0028541A" w:rsidRPr="0028541A" w:rsidRDefault="0028541A" w:rsidP="0028541A">
            <w:pPr>
              <w:jc w:val="both"/>
              <w:rPr>
                <w:sz w:val="20"/>
              </w:rPr>
            </w:pPr>
          </w:p>
        </w:tc>
      </w:tr>
      <w:tr w:rsidR="0028541A" w:rsidRPr="0028541A" w:rsidTr="0028541A">
        <w:trPr>
          <w:trHeight w:val="54"/>
        </w:trPr>
        <w:tc>
          <w:tcPr>
            <w:tcW w:w="5000" w:type="pct"/>
            <w:gridSpan w:val="4"/>
          </w:tcPr>
          <w:p w:rsidR="0028541A" w:rsidRPr="0028541A" w:rsidRDefault="0028541A" w:rsidP="0028541A">
            <w:pPr>
              <w:jc w:val="both"/>
              <w:rPr>
                <w:sz w:val="20"/>
              </w:rPr>
            </w:pPr>
            <w:r w:rsidRPr="0028541A">
              <w:rPr>
                <w:sz w:val="20"/>
              </w:rPr>
              <w:t xml:space="preserve">When the applicant commenced proceedings against the respondents, they objected on the ground that it was a vexatious proceeding. The court concluded, among other things, that the action appeared to be an abusive proceeding as a collateral attack and that the applicant should be subject to interim court access restrictions. In a subsequent decision, the applicant was ultimately found to be a vexatious litigant and further indefinite restrictions were imposed. The applicant succeeded in obtaining leave to appeal on two issues arising from that decision. The Court of Appeal of Alberta struck from the lower court order the prohibitions on the applicant commencing </w:t>
            </w:r>
            <w:r w:rsidRPr="0028541A">
              <w:rPr>
                <w:color w:val="000000"/>
                <w:sz w:val="20"/>
              </w:rPr>
              <w:t xml:space="preserve">proceedings in the Federal Court of Canada, the Federal Court of Appeal, the Tax Court of Canada, the Supreme Court of Canada, any Court outside of Alberta, or any Canadian administrative tribunal, without simultaneously providing a copy of three previous decisions of the Alberta Court of Queen’s Bench and the Order imposing conditions on him as a vexatious litigant. </w:t>
            </w:r>
          </w:p>
        </w:tc>
      </w:tr>
      <w:tr w:rsidR="0028541A" w:rsidRPr="0028541A" w:rsidTr="0028541A">
        <w:tc>
          <w:tcPr>
            <w:tcW w:w="5000" w:type="pct"/>
            <w:gridSpan w:val="4"/>
          </w:tcPr>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September 6, 2019</w:t>
            </w:r>
          </w:p>
          <w:p w:rsidR="0028541A" w:rsidRPr="0028541A" w:rsidRDefault="0028541A" w:rsidP="0028541A">
            <w:pPr>
              <w:jc w:val="both"/>
              <w:rPr>
                <w:sz w:val="20"/>
              </w:rPr>
            </w:pPr>
            <w:r w:rsidRPr="0028541A">
              <w:rPr>
                <w:sz w:val="20"/>
              </w:rPr>
              <w:t>Court of Queen’s Bench of Alberta</w:t>
            </w:r>
          </w:p>
          <w:p w:rsidR="0028541A" w:rsidRPr="0028541A" w:rsidRDefault="0028541A" w:rsidP="0028541A">
            <w:pPr>
              <w:jc w:val="both"/>
              <w:rPr>
                <w:sz w:val="20"/>
              </w:rPr>
            </w:pPr>
            <w:r w:rsidRPr="0028541A">
              <w:rPr>
                <w:sz w:val="20"/>
              </w:rPr>
              <w:t>(Rooke A.C.J.)</w:t>
            </w:r>
          </w:p>
          <w:p w:rsidR="0028541A" w:rsidRPr="0028541A" w:rsidRDefault="00370316" w:rsidP="0028541A">
            <w:pPr>
              <w:jc w:val="both"/>
              <w:rPr>
                <w:sz w:val="20"/>
              </w:rPr>
            </w:pPr>
            <w:hyperlink r:id="rId50" w:history="1">
              <w:r w:rsidR="0028541A" w:rsidRPr="0028541A">
                <w:rPr>
                  <w:rStyle w:val="Hyperlink"/>
                  <w:sz w:val="20"/>
                </w:rPr>
                <w:t>2019 ABQB 692</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Order declaring the applicant a vexatious litigant and imposing various conditions and prohibitions.</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lastRenderedPageBreak/>
              <w:t>January 12, 2021</w:t>
            </w:r>
          </w:p>
          <w:p w:rsidR="0028541A" w:rsidRPr="0028541A" w:rsidRDefault="0028541A" w:rsidP="0028541A">
            <w:pPr>
              <w:jc w:val="both"/>
              <w:rPr>
                <w:sz w:val="20"/>
              </w:rPr>
            </w:pPr>
            <w:r w:rsidRPr="0028541A">
              <w:rPr>
                <w:sz w:val="20"/>
              </w:rPr>
              <w:t>Court of Appeal of Alberta (Calgary)</w:t>
            </w:r>
          </w:p>
          <w:p w:rsidR="0028541A" w:rsidRPr="0028541A" w:rsidRDefault="0028541A" w:rsidP="0028541A">
            <w:pPr>
              <w:jc w:val="both"/>
              <w:rPr>
                <w:sz w:val="20"/>
              </w:rPr>
            </w:pPr>
            <w:r w:rsidRPr="0028541A">
              <w:rPr>
                <w:sz w:val="20"/>
              </w:rPr>
              <w:t>(Paperny, Slatter and Hughes JJ.A.)</w:t>
            </w:r>
          </w:p>
          <w:p w:rsidR="0028541A" w:rsidRPr="0028541A" w:rsidRDefault="00370316" w:rsidP="0028541A">
            <w:pPr>
              <w:jc w:val="both"/>
              <w:rPr>
                <w:sz w:val="20"/>
              </w:rPr>
            </w:pPr>
            <w:hyperlink r:id="rId51" w:history="1">
              <w:r w:rsidR="0028541A" w:rsidRPr="0028541A">
                <w:rPr>
                  <w:rStyle w:val="Hyperlink"/>
                  <w:sz w:val="20"/>
                </w:rPr>
                <w:t>2021 ABCA 5</w:t>
              </w:r>
            </w:hyperlink>
            <w:r w:rsidR="0028541A" w:rsidRPr="0028541A">
              <w:rPr>
                <w:sz w:val="20"/>
              </w:rPr>
              <w:t>; 2001</w:t>
            </w:r>
            <w:r w:rsidR="0028541A" w:rsidRPr="0028541A">
              <w:rPr>
                <w:sz w:val="20"/>
              </w:rPr>
              <w:noBreakHyphen/>
              <w:t>0073</w:t>
            </w:r>
            <w:r w:rsidR="0028541A" w:rsidRPr="0028541A">
              <w:rPr>
                <w:sz w:val="20"/>
              </w:rPr>
              <w:noBreakHyphen/>
              <w:t>AC</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Appeal of certain issues allowed, clauses 19(i) and (ii) deleted from the vexatious litigant order.</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June 25, 2021</w:t>
            </w:r>
          </w:p>
          <w:p w:rsidR="0028541A" w:rsidRPr="0028541A" w:rsidRDefault="0028541A" w:rsidP="006500D2">
            <w:pPr>
              <w:jc w:val="both"/>
              <w:rPr>
                <w:sz w:val="20"/>
              </w:rPr>
            </w:pPr>
            <w:r w:rsidRPr="0028541A">
              <w:rPr>
                <w:sz w:val="20"/>
              </w:rPr>
              <w:t>Supreme Court of Canada</w:t>
            </w: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Motion for an extension of time and application for leave to appeal filed.</w:t>
            </w:r>
          </w:p>
        </w:tc>
      </w:tr>
    </w:tbl>
    <w:p w:rsidR="0028541A" w:rsidRDefault="0028541A" w:rsidP="0028541A">
      <w:pPr>
        <w:jc w:val="both"/>
        <w:rPr>
          <w:sz w:val="20"/>
        </w:rPr>
      </w:pPr>
    </w:p>
    <w:p w:rsidR="006500D2" w:rsidRPr="006500D2" w:rsidRDefault="00370316" w:rsidP="0028541A">
      <w:pPr>
        <w:jc w:val="both"/>
        <w:rPr>
          <w:sz w:val="20"/>
        </w:rPr>
      </w:pPr>
      <w:r>
        <w:rPr>
          <w:sz w:val="20"/>
        </w:rPr>
        <w:pict>
          <v:rect id="_x0000_i1041" style="width:2in;height:1pt" o:hrpct="0" o:hralign="center" o:hrstd="t" o:hrnoshade="t" o:hr="t" fillcolor="black [3213]" stroked="f"/>
        </w:pict>
      </w:r>
    </w:p>
    <w:p w:rsidR="006500D2" w:rsidRPr="0028541A" w:rsidRDefault="006500D2" w:rsidP="002854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39757</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Chinedu Gideon Ubah c. Canadian National Resources Limited, Steve Laut, Jim Yukes</w:t>
            </w:r>
          </w:p>
          <w:p w:rsidR="0028541A" w:rsidRPr="0028541A" w:rsidRDefault="0028541A" w:rsidP="0028541A">
            <w:pPr>
              <w:jc w:val="both"/>
              <w:rPr>
                <w:sz w:val="20"/>
              </w:rPr>
            </w:pPr>
            <w:r w:rsidRPr="0028541A">
              <w:rPr>
                <w:sz w:val="20"/>
              </w:rPr>
              <w:t>(Alb.) (Civile) (Autorisation)</w:t>
            </w: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Procédure civile — Abus de procédure — Plaideur quérulent — Tribunaux — Quelle est l’étendue de la compétence inhérente de la cour supérieure d’effectuer un contrôle efficace des plaideurs quérulents sans porter atteinte à leur droit légitime d’accès aux tribunaux? — Lorsqu’un tribunal présente sa propre requête afin d’évaluer si un plaideur non représenté est quérulent, sur le fondement de sa compétence inhérente ou de sa compétence légale, peut</w:t>
            </w:r>
            <w:r w:rsidRPr="0028541A">
              <w:rPr>
                <w:sz w:val="20"/>
                <w:lang w:val="fr-CA"/>
              </w:rPr>
              <w:noBreakHyphen/>
              <w:t xml:space="preserve">il se livrer à une enquête et solliciter des preuves? — Quels principes d’équité procédurale doivent s’appliquer pour protéger un plaideur non représenté dans une procédure sommaire qui vise à déterminer si ce plaideur est quérulent et soumis à un accès restreint aux tribunaux? </w:t>
            </w:r>
          </w:p>
          <w:p w:rsidR="0028541A" w:rsidRPr="0028541A" w:rsidRDefault="0028541A" w:rsidP="0028541A">
            <w:pPr>
              <w:jc w:val="both"/>
              <w:rPr>
                <w:sz w:val="20"/>
                <w:lang w:val="fr-CA"/>
              </w:rPr>
            </w:pPr>
          </w:p>
        </w:tc>
      </w:tr>
      <w:tr w:rsidR="0028541A" w:rsidRPr="00370316" w:rsidTr="0028541A">
        <w:trPr>
          <w:trHeight w:val="54"/>
        </w:trPr>
        <w:tc>
          <w:tcPr>
            <w:tcW w:w="5000" w:type="pct"/>
            <w:gridSpan w:val="4"/>
          </w:tcPr>
          <w:p w:rsidR="0028541A" w:rsidRPr="0028541A" w:rsidRDefault="0028541A" w:rsidP="006500D2">
            <w:pPr>
              <w:jc w:val="both"/>
              <w:rPr>
                <w:sz w:val="20"/>
                <w:lang w:val="fr-CA"/>
              </w:rPr>
            </w:pPr>
            <w:r w:rsidRPr="0028541A">
              <w:rPr>
                <w:sz w:val="20"/>
                <w:lang w:val="fr-CA"/>
              </w:rPr>
              <w:t>Quand le demandeur a commencé une procédure contre les défendeurs, ils s’y sont opposé au motif qu’il s’agissait d’une procédure vexatoire. Le tribunal a conclu, entre autres, que l’action semblait être une procédure abusive, en tant qu’attaque collatérale, et que le demandeur devrait être soumis à des restrictions provisoires quant à l’accès aux tribunaux. Dans une décision subséquente, le demandeur a, en définitive, été déclaré plaideur quérulent et d’autres restrictions définitives ont été imposées. Le demandeur a obtenu gain de cause dans sa demande d’autorisation d’interjeter appel relativement à deux questions découlant de cette décision. La Cour d’appel de l’Alberta a radié, de l’ordonnance de la juridiction inférieure, les interdictions pesant sur le demandeur quant à la procédure commencée devant la Cour fédérale du Canada, la Cour d’appel fédérale, la Cour canadienne de l’impôt et la Cour suprême du Canada ou devant tout tribunal situé à l’extérieur de l’Alberta, devant tout autre tribunal administratif canadien, sans offrir simultanément un exemplaire des trois décisions antérieures de la Cour du banc de la Reine de l’Alberta, et de l’ordonnance lui imposant des conditions en tant que plaideur quérulent.</w:t>
            </w:r>
          </w:p>
        </w:tc>
      </w:tr>
      <w:tr w:rsidR="0028541A" w:rsidRPr="00370316" w:rsidTr="0028541A">
        <w:tc>
          <w:tcPr>
            <w:tcW w:w="5000" w:type="pct"/>
            <w:gridSpan w:val="4"/>
          </w:tcPr>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6 septembre 2019</w:t>
            </w:r>
          </w:p>
          <w:p w:rsidR="0028541A" w:rsidRPr="0028541A" w:rsidRDefault="0028541A" w:rsidP="0028541A">
            <w:pPr>
              <w:jc w:val="both"/>
              <w:rPr>
                <w:sz w:val="20"/>
                <w:lang w:val="fr-CA"/>
              </w:rPr>
            </w:pPr>
            <w:r w:rsidRPr="0028541A">
              <w:rPr>
                <w:sz w:val="20"/>
                <w:lang w:val="fr-CA"/>
              </w:rPr>
              <w:t>Cour du banc de la Reine de l’Alberta</w:t>
            </w:r>
          </w:p>
          <w:p w:rsidR="0028541A" w:rsidRPr="0028541A" w:rsidRDefault="0028541A" w:rsidP="0028541A">
            <w:pPr>
              <w:jc w:val="both"/>
              <w:rPr>
                <w:sz w:val="20"/>
                <w:lang w:val="fr-CA"/>
              </w:rPr>
            </w:pPr>
            <w:r w:rsidRPr="0028541A">
              <w:rPr>
                <w:sz w:val="20"/>
                <w:lang w:val="fr-CA"/>
              </w:rPr>
              <w:t>(juge en chef adjoint Rooke)</w:t>
            </w:r>
          </w:p>
          <w:p w:rsidR="0028541A" w:rsidRPr="0028541A" w:rsidRDefault="00370316" w:rsidP="0028541A">
            <w:pPr>
              <w:jc w:val="both"/>
              <w:rPr>
                <w:sz w:val="20"/>
              </w:rPr>
            </w:pPr>
            <w:hyperlink r:id="rId52" w:history="1">
              <w:r w:rsidR="0028541A" w:rsidRPr="0028541A">
                <w:rPr>
                  <w:rStyle w:val="Hyperlink"/>
                  <w:sz w:val="20"/>
                </w:rPr>
                <w:t>2019 ABQB 692</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Ordonnance déclarant que le demandeur est un plaideur quérulent, et imposant diverses conditions et interdictions.</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12 janvier 2021</w:t>
            </w:r>
          </w:p>
          <w:p w:rsidR="0028541A" w:rsidRPr="0028541A" w:rsidRDefault="0028541A" w:rsidP="0028541A">
            <w:pPr>
              <w:jc w:val="both"/>
              <w:rPr>
                <w:sz w:val="20"/>
                <w:lang w:val="fr-CA"/>
              </w:rPr>
            </w:pPr>
            <w:r w:rsidRPr="0028541A">
              <w:rPr>
                <w:sz w:val="20"/>
                <w:lang w:val="fr-CA"/>
              </w:rPr>
              <w:t>Cour d’appel de l’Alberta (Calgary)</w:t>
            </w:r>
          </w:p>
          <w:p w:rsidR="0028541A" w:rsidRPr="0028541A" w:rsidRDefault="0028541A" w:rsidP="0028541A">
            <w:pPr>
              <w:jc w:val="both"/>
              <w:rPr>
                <w:sz w:val="20"/>
              </w:rPr>
            </w:pPr>
            <w:r w:rsidRPr="0028541A">
              <w:rPr>
                <w:sz w:val="20"/>
              </w:rPr>
              <w:t>(juges Paperny, Slatter et Hughes)</w:t>
            </w:r>
          </w:p>
          <w:p w:rsidR="0028541A" w:rsidRPr="0028541A" w:rsidRDefault="00370316" w:rsidP="0028541A">
            <w:pPr>
              <w:jc w:val="both"/>
              <w:rPr>
                <w:sz w:val="20"/>
              </w:rPr>
            </w:pPr>
            <w:hyperlink r:id="rId53" w:history="1">
              <w:r w:rsidR="0028541A" w:rsidRPr="0028541A">
                <w:rPr>
                  <w:rStyle w:val="Hyperlink"/>
                  <w:sz w:val="20"/>
                </w:rPr>
                <w:t>2021 ABCA 5</w:t>
              </w:r>
            </w:hyperlink>
            <w:r w:rsidR="0028541A" w:rsidRPr="0028541A">
              <w:rPr>
                <w:sz w:val="20"/>
              </w:rPr>
              <w:t>; 2001</w:t>
            </w:r>
            <w:r w:rsidR="0028541A" w:rsidRPr="0028541A">
              <w:rPr>
                <w:sz w:val="20"/>
              </w:rPr>
              <w:noBreakHyphen/>
              <w:t>0073</w:t>
            </w:r>
            <w:r w:rsidR="0028541A" w:rsidRPr="0028541A">
              <w:rPr>
                <w:sz w:val="20"/>
              </w:rPr>
              <w:noBreakHyphen/>
              <w:t>AC</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Appel portant sur certaines questions accueilli, clauses 19(i) et (ii) radiées de l’ordonnance du plaideur quérulent.</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25 juin 2021</w:t>
            </w:r>
          </w:p>
          <w:p w:rsidR="0028541A" w:rsidRPr="0028541A" w:rsidRDefault="0028541A" w:rsidP="006500D2">
            <w:pPr>
              <w:jc w:val="both"/>
              <w:rPr>
                <w:sz w:val="20"/>
                <w:lang w:val="fr-CA"/>
              </w:rPr>
            </w:pPr>
            <w:r w:rsidRPr="0028541A">
              <w:rPr>
                <w:sz w:val="20"/>
                <w:lang w:val="fr-CA"/>
              </w:rPr>
              <w:t>Cour suprême du Canada</w:t>
            </w: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Requête en vue de la prorogation du délai et demande d’autorisation d’appel déposées.</w:t>
            </w:r>
          </w:p>
        </w:tc>
      </w:tr>
    </w:tbl>
    <w:p w:rsidR="0028541A" w:rsidRDefault="0028541A" w:rsidP="0028541A">
      <w:pPr>
        <w:jc w:val="both"/>
        <w:rPr>
          <w:sz w:val="20"/>
          <w:lang w:val="fr-CA"/>
        </w:rPr>
      </w:pPr>
    </w:p>
    <w:p w:rsidR="006500D2" w:rsidRPr="006500D2" w:rsidRDefault="00370316" w:rsidP="0028541A">
      <w:pPr>
        <w:jc w:val="both"/>
        <w:rPr>
          <w:sz w:val="20"/>
          <w:lang w:val="fr-CA"/>
        </w:rPr>
      </w:pPr>
      <w:r>
        <w:rPr>
          <w:sz w:val="20"/>
        </w:rPr>
        <w:pict>
          <v:rect id="_x0000_i1042"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39752</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Liliana Kostic v. Bruce Alger, Grant Thornton Limited, Grant Thornton Alger Inc., Grant Thornton LLP, Caron &amp; Partners, Daniel Gilborn and Richard Gilborn</w:t>
            </w:r>
          </w:p>
          <w:p w:rsidR="0028541A" w:rsidRPr="0028541A" w:rsidRDefault="0028541A" w:rsidP="0028541A">
            <w:pPr>
              <w:jc w:val="both"/>
              <w:rPr>
                <w:sz w:val="20"/>
              </w:rPr>
            </w:pPr>
            <w:r w:rsidRPr="0028541A">
              <w:rPr>
                <w:sz w:val="20"/>
              </w:rPr>
              <w:t>(Alta.) (Civil) (By Leave)</w:t>
            </w:r>
          </w:p>
        </w:tc>
      </w:tr>
      <w:tr w:rsidR="0028541A" w:rsidRPr="0028541A" w:rsidTr="0028541A">
        <w:tc>
          <w:tcPr>
            <w:tcW w:w="5000" w:type="pct"/>
            <w:gridSpan w:val="4"/>
          </w:tcPr>
          <w:p w:rsidR="0028541A" w:rsidRPr="0028541A" w:rsidRDefault="0028541A" w:rsidP="0028541A">
            <w:pPr>
              <w:jc w:val="both"/>
              <w:rPr>
                <w:sz w:val="20"/>
              </w:rPr>
            </w:pPr>
            <w:r w:rsidRPr="0028541A">
              <w:rPr>
                <w:sz w:val="20"/>
              </w:rPr>
              <w:t>Civil procedure — Contempt of court — Sanction — Whether the law is settled and lacks uniformity in the interpretation of what constitutes a fair and just hearing — Whether it is open for a Court of Appeal to not consider issues by disregarding evidence properly before it thereby creating an unfair advantage for the respondents and creating an unfair hearing for the applicant.</w:t>
            </w:r>
          </w:p>
        </w:tc>
      </w:tr>
      <w:tr w:rsidR="0028541A" w:rsidRPr="0028541A" w:rsidTr="0028541A">
        <w:tc>
          <w:tcPr>
            <w:tcW w:w="5000" w:type="pct"/>
            <w:gridSpan w:val="4"/>
          </w:tcPr>
          <w:p w:rsidR="0028541A" w:rsidRPr="0028541A" w:rsidRDefault="0028541A" w:rsidP="0028541A">
            <w:pPr>
              <w:jc w:val="both"/>
              <w:rPr>
                <w:sz w:val="20"/>
              </w:rPr>
            </w:pPr>
          </w:p>
          <w:p w:rsidR="0028541A" w:rsidRPr="0028541A" w:rsidRDefault="0028541A" w:rsidP="0028541A">
            <w:pPr>
              <w:jc w:val="both"/>
              <w:rPr>
                <w:sz w:val="20"/>
              </w:rPr>
            </w:pPr>
            <w:r w:rsidRPr="0028541A">
              <w:rPr>
                <w:sz w:val="20"/>
              </w:rPr>
              <w:lastRenderedPageBreak/>
              <w:t>The applicant, Ms. Kostic, was sued by the Piikani Nation for allegedly mismanaging its investment funds. Ms. Kostic appealed a number of case management decisions related to the litigation, but her appeal was dismissed with costs in the sum of $92,000, including $14,500 in favour of the respondents Bruce Alger, Grant Thornton Limited, Grant Thornton Alger Inc. and Grant Thornton LLP (the “Grant Thornton respondents”). The Grant Thornton respondents began enforcement proceedings to realize their costs award. Ms. Kostic was found in contempt when she failed to provide the required financial report of debtor. It was determined at a further hearing that Ms. Kostic had not purged her contempt, and the sanction imposed was to dismiss Ms. Kostic’s application to add the Grant Thornton respondents as parties to the Piikani Nation litigation. Ms. Kostic was also unsuccessful in adding the respondents Caron &amp; Partners, Daniel Gilborn and Richard Gilborn as parties to the Piikani Nation litigation. Her subsequent appeal was dismissed.</w:t>
            </w:r>
          </w:p>
        </w:tc>
      </w:tr>
      <w:tr w:rsidR="0028541A" w:rsidRPr="0028541A" w:rsidTr="0028541A">
        <w:tc>
          <w:tcPr>
            <w:tcW w:w="5000" w:type="pct"/>
            <w:gridSpan w:val="4"/>
          </w:tcPr>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September 11, 2019</w:t>
            </w:r>
          </w:p>
          <w:p w:rsidR="0028541A" w:rsidRPr="0028541A" w:rsidRDefault="0028541A" w:rsidP="0028541A">
            <w:pPr>
              <w:jc w:val="both"/>
              <w:rPr>
                <w:sz w:val="20"/>
              </w:rPr>
            </w:pPr>
            <w:r w:rsidRPr="0028541A">
              <w:rPr>
                <w:sz w:val="20"/>
              </w:rPr>
              <w:t>Court of Queen’s Bench of Alberta</w:t>
            </w:r>
          </w:p>
          <w:p w:rsidR="0028541A" w:rsidRPr="0028541A" w:rsidRDefault="0028541A" w:rsidP="0028541A">
            <w:pPr>
              <w:jc w:val="both"/>
              <w:rPr>
                <w:sz w:val="20"/>
              </w:rPr>
            </w:pPr>
            <w:r w:rsidRPr="0028541A">
              <w:rPr>
                <w:sz w:val="20"/>
              </w:rPr>
              <w:t>(Nation J.)</w:t>
            </w:r>
          </w:p>
          <w:p w:rsidR="0028541A" w:rsidRPr="0028541A" w:rsidRDefault="0028541A" w:rsidP="0028541A">
            <w:pPr>
              <w:jc w:val="both"/>
              <w:rPr>
                <w:sz w:val="20"/>
              </w:rPr>
            </w:pPr>
            <w:r w:rsidRPr="0028541A">
              <w:rPr>
                <w:sz w:val="20"/>
              </w:rPr>
              <w:t>(unreported)</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Applicant’s request to add respondents to an action dismissed</w:t>
            </w:r>
          </w:p>
          <w:p w:rsidR="0028541A" w:rsidRPr="0028541A" w:rsidRDefault="0028541A" w:rsidP="0028541A">
            <w:pPr>
              <w:jc w:val="both"/>
              <w:rPr>
                <w:sz w:val="20"/>
              </w:rPr>
            </w:pPr>
            <w:r w:rsidRPr="0028541A">
              <w:rPr>
                <w:sz w:val="20"/>
              </w:rPr>
              <w:t xml:space="preserve"> </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January 29, 2021</w:t>
            </w:r>
          </w:p>
          <w:p w:rsidR="0028541A" w:rsidRPr="0028541A" w:rsidRDefault="0028541A" w:rsidP="0028541A">
            <w:pPr>
              <w:jc w:val="both"/>
              <w:rPr>
                <w:sz w:val="20"/>
              </w:rPr>
            </w:pPr>
            <w:r w:rsidRPr="0028541A">
              <w:rPr>
                <w:sz w:val="20"/>
              </w:rPr>
              <w:t>Court of Appeal of Alberta (Calgary)</w:t>
            </w:r>
          </w:p>
          <w:p w:rsidR="0028541A" w:rsidRPr="0028541A" w:rsidRDefault="0028541A" w:rsidP="0028541A">
            <w:pPr>
              <w:jc w:val="both"/>
              <w:rPr>
                <w:sz w:val="20"/>
              </w:rPr>
            </w:pPr>
            <w:r w:rsidRPr="0028541A">
              <w:rPr>
                <w:sz w:val="20"/>
              </w:rPr>
              <w:t>(Slatter, Greckol and Hughes JJ.A.)</w:t>
            </w:r>
          </w:p>
          <w:p w:rsidR="0028541A" w:rsidRPr="0028541A" w:rsidRDefault="00370316" w:rsidP="0028541A">
            <w:pPr>
              <w:jc w:val="both"/>
              <w:rPr>
                <w:sz w:val="20"/>
              </w:rPr>
            </w:pPr>
            <w:hyperlink r:id="rId54" w:history="1">
              <w:r w:rsidR="0028541A" w:rsidRPr="0028541A">
                <w:rPr>
                  <w:rStyle w:val="Hyperlink"/>
                  <w:sz w:val="20"/>
                </w:rPr>
                <w:t>2021 ABCA 31</w:t>
              </w:r>
            </w:hyperlink>
            <w:r w:rsidR="0028541A" w:rsidRPr="0028541A">
              <w:rPr>
                <w:sz w:val="20"/>
              </w:rPr>
              <w:t>; 1901</w:t>
            </w:r>
            <w:r w:rsidR="0028541A" w:rsidRPr="0028541A">
              <w:rPr>
                <w:sz w:val="20"/>
              </w:rPr>
              <w:noBreakHyphen/>
              <w:t>0310</w:t>
            </w:r>
            <w:r w:rsidR="0028541A" w:rsidRPr="0028541A">
              <w:rPr>
                <w:sz w:val="20"/>
              </w:rPr>
              <w:noBreakHyphen/>
              <w:t>AC</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Appeal dismissed</w:t>
            </w:r>
          </w:p>
          <w:p w:rsidR="0028541A" w:rsidRPr="0028541A" w:rsidRDefault="0028541A" w:rsidP="0028541A">
            <w:pPr>
              <w:jc w:val="both"/>
              <w:rPr>
                <w:sz w:val="20"/>
              </w:rPr>
            </w:pPr>
            <w:r w:rsidRPr="0028541A">
              <w:rPr>
                <w:sz w:val="20"/>
              </w:rPr>
              <w:t xml:space="preserve"> </w:t>
            </w:r>
          </w:p>
        </w:tc>
      </w:tr>
      <w:tr w:rsidR="0028541A" w:rsidRPr="0028541A" w:rsidTr="0028541A">
        <w:tc>
          <w:tcPr>
            <w:tcW w:w="2427" w:type="pct"/>
            <w:gridSpan w:val="2"/>
          </w:tcPr>
          <w:p w:rsidR="0028541A" w:rsidRPr="0028541A" w:rsidRDefault="0028541A" w:rsidP="0028541A">
            <w:pPr>
              <w:jc w:val="both"/>
              <w:rPr>
                <w:sz w:val="20"/>
              </w:rPr>
            </w:pPr>
            <w:r w:rsidRPr="0028541A">
              <w:rPr>
                <w:sz w:val="20"/>
              </w:rPr>
              <w:t>March 31, 2021</w:t>
            </w:r>
          </w:p>
          <w:p w:rsidR="0028541A" w:rsidRPr="0028541A" w:rsidRDefault="0028541A" w:rsidP="0028541A">
            <w:pPr>
              <w:jc w:val="both"/>
              <w:rPr>
                <w:sz w:val="20"/>
              </w:rPr>
            </w:pPr>
            <w:r w:rsidRPr="0028541A">
              <w:rPr>
                <w:sz w:val="20"/>
              </w:rPr>
              <w:t>Supreme Court of Canada</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 xml:space="preserve">Motion for extension of time to serve and file application for leave to appeal and Application for leave to appeal filed </w:t>
            </w:r>
          </w:p>
        </w:tc>
      </w:tr>
    </w:tbl>
    <w:p w:rsidR="0028541A" w:rsidRDefault="0028541A" w:rsidP="0028541A">
      <w:pPr>
        <w:jc w:val="both"/>
        <w:rPr>
          <w:sz w:val="20"/>
        </w:rPr>
      </w:pPr>
    </w:p>
    <w:p w:rsidR="006500D2" w:rsidRPr="006500D2" w:rsidRDefault="00370316" w:rsidP="0028541A">
      <w:pPr>
        <w:jc w:val="both"/>
        <w:rPr>
          <w:sz w:val="20"/>
        </w:rPr>
      </w:pPr>
      <w:r>
        <w:rPr>
          <w:sz w:val="20"/>
        </w:rPr>
        <w:pict>
          <v:rect id="_x0000_i1043" style="width:2in;height:1pt" o:hrpct="0" o:hralign="center" o:hrstd="t" o:hrnoshade="t" o:hr="t" fillcolor="black [3213]" stroked="f"/>
        </w:pict>
      </w:r>
    </w:p>
    <w:p w:rsidR="006500D2" w:rsidRPr="0028541A" w:rsidRDefault="006500D2" w:rsidP="002854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39752</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Liliana Kostic c. Bruce Alger, Grant Thornton Limited, Grant Thornton Alger Inc., Grant Thornton LLP, Caron &amp; Partners, Daniel Gilborn et Richard Gilborn</w:t>
            </w:r>
          </w:p>
          <w:p w:rsidR="0028541A" w:rsidRPr="0028541A" w:rsidRDefault="0028541A" w:rsidP="0028541A">
            <w:pPr>
              <w:jc w:val="both"/>
              <w:rPr>
                <w:sz w:val="20"/>
              </w:rPr>
            </w:pPr>
            <w:r w:rsidRPr="0028541A">
              <w:rPr>
                <w:sz w:val="20"/>
              </w:rPr>
              <w:t>(Alb.) (Civile) (Autorisation)</w:t>
            </w: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Procédure civile — Outrage au tribunal — Sanction — Le droit est</w:t>
            </w:r>
            <w:r w:rsidRPr="0028541A">
              <w:rPr>
                <w:sz w:val="20"/>
                <w:lang w:val="fr-CA"/>
              </w:rPr>
              <w:noBreakHyphen/>
              <w:t>il établi et manque</w:t>
            </w:r>
            <w:r w:rsidRPr="0028541A">
              <w:rPr>
                <w:sz w:val="20"/>
                <w:lang w:val="fr-CA"/>
              </w:rPr>
              <w:noBreakHyphen/>
              <w:t>t</w:t>
            </w:r>
            <w:r w:rsidRPr="0028541A">
              <w:rPr>
                <w:sz w:val="20"/>
                <w:lang w:val="fr-CA"/>
              </w:rPr>
              <w:noBreakHyphen/>
              <w:t>il d’uniformité quant à l’interprétation de ce qui constitue une audience juste et équitable? — Est</w:t>
            </w:r>
            <w:r w:rsidRPr="0028541A">
              <w:rPr>
                <w:sz w:val="20"/>
                <w:lang w:val="fr-CA"/>
              </w:rPr>
              <w:noBreakHyphen/>
              <w:t xml:space="preserve">il loisible à la Cour d’appel de ne pas examiner des questions, en écartant la preuve adéquatement déposée devant elle et en créant donc un avantage injuste pour les défendeurs et une audience injuste pour la demanderesse? </w:t>
            </w:r>
          </w:p>
          <w:p w:rsidR="0028541A" w:rsidRPr="0028541A" w:rsidRDefault="0028541A" w:rsidP="0028541A">
            <w:pPr>
              <w:jc w:val="both"/>
              <w:rPr>
                <w:sz w:val="20"/>
                <w:lang w:val="fr-CA"/>
              </w:rPr>
            </w:pPr>
          </w:p>
        </w:tc>
      </w:tr>
      <w:tr w:rsidR="0028541A" w:rsidRPr="0028541A" w:rsidTr="0028541A">
        <w:tc>
          <w:tcPr>
            <w:tcW w:w="5000" w:type="pct"/>
            <w:gridSpan w:val="4"/>
          </w:tcPr>
          <w:p w:rsidR="0028541A" w:rsidRPr="0028541A" w:rsidRDefault="0028541A" w:rsidP="0028541A">
            <w:pPr>
              <w:jc w:val="both"/>
              <w:rPr>
                <w:sz w:val="20"/>
                <w:lang w:val="fr-CA"/>
              </w:rPr>
            </w:pPr>
            <w:r w:rsidRPr="0028541A">
              <w:rPr>
                <w:sz w:val="20"/>
                <w:lang w:val="fr-CA"/>
              </w:rPr>
              <w:t>La demanderesse, M</w:t>
            </w:r>
            <w:r w:rsidRPr="0028541A">
              <w:rPr>
                <w:sz w:val="20"/>
                <w:vertAlign w:val="superscript"/>
                <w:lang w:val="fr-CA"/>
              </w:rPr>
              <w:t>me</w:t>
            </w:r>
            <w:r w:rsidRPr="0028541A">
              <w:rPr>
                <w:sz w:val="20"/>
                <w:lang w:val="fr-CA"/>
              </w:rPr>
              <w:t> Kostic, a été poursuivie par la Nation Piikani, if qu’elle aurait mal géré les fonds d’investissement de celle</w:t>
            </w:r>
            <w:r w:rsidRPr="0028541A">
              <w:rPr>
                <w:sz w:val="20"/>
                <w:lang w:val="fr-CA"/>
              </w:rPr>
              <w:noBreakHyphen/>
              <w:t>ci. M</w:t>
            </w:r>
            <w:r w:rsidRPr="0028541A">
              <w:rPr>
                <w:sz w:val="20"/>
                <w:vertAlign w:val="superscript"/>
                <w:lang w:val="fr-CA"/>
              </w:rPr>
              <w:t>me</w:t>
            </w:r>
            <w:r w:rsidRPr="0028541A">
              <w:rPr>
                <w:sz w:val="20"/>
                <w:lang w:val="fr-CA"/>
              </w:rPr>
              <w:t> Kostic a interjeté appel à l’encontre de nombreuses décisions de gestion de l’instance relatives au litige, mais son appel a été rejeté avec dépens pour la somme de 92 000 $, incluant 14 500 $ en faveur des défendeurs Bruce Alger, Grant Thornton Limited, Grant Thornton Alger Inc. et Grant Thornton LLP (les « défendeurs Grant Thornton »). Les défendeurs Grant Thornton ont commencé les procédures d’exécution de la décision afin de recouvrer les dépens qui leur avaient été adjugés. M</w:t>
            </w:r>
            <w:r w:rsidRPr="0028541A">
              <w:rPr>
                <w:sz w:val="20"/>
                <w:vertAlign w:val="superscript"/>
                <w:lang w:val="fr-CA"/>
              </w:rPr>
              <w:t>me</w:t>
            </w:r>
            <w:r w:rsidRPr="0028541A">
              <w:rPr>
                <w:sz w:val="20"/>
                <w:lang w:val="fr-CA"/>
              </w:rPr>
              <w:t> Kostic a été déclarée coupable d’outrage au tribunal quand elle n’a pas fourni le rapport financier requis de la débitrice. Lors d’une autre audience, il a été décidé que M</w:t>
            </w:r>
            <w:r w:rsidRPr="0028541A">
              <w:rPr>
                <w:sz w:val="20"/>
                <w:vertAlign w:val="superscript"/>
                <w:lang w:val="fr-CA"/>
              </w:rPr>
              <w:t>me</w:t>
            </w:r>
            <w:r w:rsidRPr="0028541A">
              <w:rPr>
                <w:sz w:val="20"/>
                <w:lang w:val="fr-CA"/>
              </w:rPr>
              <w:t> Kostic n’avait pas réparé son outrage au tribunal, et que la sanction imposée était le rejet de la demande de M</w:t>
            </w:r>
            <w:r w:rsidRPr="0028541A">
              <w:rPr>
                <w:sz w:val="20"/>
                <w:vertAlign w:val="superscript"/>
                <w:lang w:val="fr-CA"/>
              </w:rPr>
              <w:t>me</w:t>
            </w:r>
            <w:r w:rsidRPr="0028541A">
              <w:rPr>
                <w:sz w:val="20"/>
                <w:lang w:val="fr-CA"/>
              </w:rPr>
              <w:t> Kostic visant à ajouter les défendeurs Grant Thornton comme parties au litige de la Nation Piikani. M</w:t>
            </w:r>
            <w:r w:rsidRPr="0028541A">
              <w:rPr>
                <w:sz w:val="20"/>
                <w:vertAlign w:val="superscript"/>
                <w:lang w:val="fr-CA"/>
              </w:rPr>
              <w:t>me</w:t>
            </w:r>
            <w:r w:rsidRPr="0028541A">
              <w:rPr>
                <w:sz w:val="20"/>
                <w:lang w:val="fr-CA"/>
              </w:rPr>
              <w:t> Kostic n’a pas non plus obtenu gain de cause dans la demande d’ajout de Caron &amp; Partners, de Daniel Gilborn et de Richard Gilborn comme parties au litige de la Nation Piikani. L’appel subséquent qu’elle a interjeté a été rejeté.</w:t>
            </w:r>
          </w:p>
          <w:p w:rsidR="0028541A" w:rsidRPr="0028541A" w:rsidRDefault="0028541A" w:rsidP="0028541A">
            <w:pPr>
              <w:jc w:val="both"/>
              <w:rPr>
                <w:sz w:val="20"/>
                <w:lang w:val="fr-CA"/>
              </w:rPr>
            </w:pPr>
          </w:p>
        </w:tc>
      </w:tr>
      <w:tr w:rsidR="0028541A" w:rsidRPr="0028541A" w:rsidTr="0028541A">
        <w:tc>
          <w:tcPr>
            <w:tcW w:w="5000" w:type="pct"/>
            <w:gridSpan w:val="4"/>
          </w:tcPr>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11 septembre 2019</w:t>
            </w:r>
          </w:p>
          <w:p w:rsidR="0028541A" w:rsidRPr="0028541A" w:rsidRDefault="0028541A" w:rsidP="0028541A">
            <w:pPr>
              <w:jc w:val="both"/>
              <w:rPr>
                <w:sz w:val="20"/>
                <w:lang w:val="fr-CA"/>
              </w:rPr>
            </w:pPr>
            <w:r w:rsidRPr="0028541A">
              <w:rPr>
                <w:sz w:val="20"/>
                <w:lang w:val="fr-CA"/>
              </w:rPr>
              <w:t>Cour du banc de la Reine de l’Alberta</w:t>
            </w:r>
          </w:p>
          <w:p w:rsidR="0028541A" w:rsidRPr="0028541A" w:rsidRDefault="0028541A" w:rsidP="0028541A">
            <w:pPr>
              <w:jc w:val="both"/>
              <w:rPr>
                <w:sz w:val="20"/>
              </w:rPr>
            </w:pPr>
            <w:r w:rsidRPr="0028541A">
              <w:rPr>
                <w:sz w:val="20"/>
              </w:rPr>
              <w:t>(juge Nation)</w:t>
            </w:r>
          </w:p>
          <w:p w:rsidR="0028541A" w:rsidRPr="0028541A" w:rsidRDefault="0028541A" w:rsidP="0028541A">
            <w:pPr>
              <w:jc w:val="both"/>
              <w:rPr>
                <w:sz w:val="20"/>
              </w:rPr>
            </w:pPr>
            <w:r w:rsidRPr="0028541A">
              <w:rPr>
                <w:sz w:val="20"/>
              </w:rPr>
              <w:t>(non</w:t>
            </w:r>
            <w:r w:rsidRPr="0028541A">
              <w:rPr>
                <w:sz w:val="20"/>
              </w:rPr>
              <w:noBreakHyphen/>
              <w:t>publiée)</w:t>
            </w:r>
          </w:p>
          <w:p w:rsidR="0028541A" w:rsidRPr="0028541A" w:rsidRDefault="0028541A" w:rsidP="0028541A">
            <w:pPr>
              <w:jc w:val="both"/>
              <w:rPr>
                <w:sz w:val="20"/>
              </w:rPr>
            </w:pPr>
            <w:r w:rsidRPr="0028541A">
              <w:rPr>
                <w:sz w:val="20"/>
              </w:rPr>
              <w:t xml:space="preserve"> </w:t>
            </w: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Demande de la demanderesse en vue de l’ajout de défendeurs à l’action rejetée</w:t>
            </w:r>
          </w:p>
          <w:p w:rsidR="0028541A" w:rsidRPr="0028541A" w:rsidRDefault="0028541A" w:rsidP="0028541A">
            <w:pPr>
              <w:jc w:val="both"/>
              <w:rPr>
                <w:sz w:val="20"/>
                <w:lang w:val="fr-CA"/>
              </w:rPr>
            </w:pPr>
            <w:r w:rsidRPr="0028541A">
              <w:rPr>
                <w:sz w:val="20"/>
                <w:lang w:val="fr-CA"/>
              </w:rPr>
              <w:t xml:space="preserve"> </w:t>
            </w:r>
          </w:p>
        </w:tc>
      </w:tr>
      <w:tr w:rsidR="0028541A" w:rsidRPr="0028541A" w:rsidTr="0028541A">
        <w:tc>
          <w:tcPr>
            <w:tcW w:w="2427" w:type="pct"/>
            <w:gridSpan w:val="2"/>
          </w:tcPr>
          <w:p w:rsidR="0028541A" w:rsidRPr="0028541A" w:rsidRDefault="0028541A" w:rsidP="0028541A">
            <w:pPr>
              <w:jc w:val="both"/>
              <w:rPr>
                <w:sz w:val="20"/>
                <w:lang w:val="fr-CA"/>
              </w:rPr>
            </w:pPr>
            <w:r w:rsidRPr="0028541A">
              <w:rPr>
                <w:sz w:val="20"/>
                <w:lang w:val="fr-CA"/>
              </w:rPr>
              <w:t>29 janvier 2021</w:t>
            </w:r>
          </w:p>
          <w:p w:rsidR="0028541A" w:rsidRPr="0028541A" w:rsidRDefault="0028541A" w:rsidP="0028541A">
            <w:pPr>
              <w:jc w:val="both"/>
              <w:rPr>
                <w:sz w:val="20"/>
                <w:lang w:val="fr-CA"/>
              </w:rPr>
            </w:pPr>
            <w:r w:rsidRPr="0028541A">
              <w:rPr>
                <w:sz w:val="20"/>
                <w:lang w:val="fr-CA"/>
              </w:rPr>
              <w:t>Cour d’appel de l’Alberta (Calgary)</w:t>
            </w:r>
          </w:p>
          <w:p w:rsidR="0028541A" w:rsidRPr="0028541A" w:rsidRDefault="0028541A" w:rsidP="0028541A">
            <w:pPr>
              <w:jc w:val="both"/>
              <w:rPr>
                <w:sz w:val="20"/>
              </w:rPr>
            </w:pPr>
            <w:r w:rsidRPr="0028541A">
              <w:rPr>
                <w:sz w:val="20"/>
              </w:rPr>
              <w:lastRenderedPageBreak/>
              <w:t>(juges Slatter, Greckol et Hughes)</w:t>
            </w:r>
          </w:p>
          <w:p w:rsidR="0028541A" w:rsidRPr="0028541A" w:rsidRDefault="00370316" w:rsidP="0028541A">
            <w:pPr>
              <w:jc w:val="both"/>
              <w:rPr>
                <w:sz w:val="20"/>
              </w:rPr>
            </w:pPr>
            <w:hyperlink r:id="rId55" w:history="1">
              <w:r w:rsidR="0028541A" w:rsidRPr="0028541A">
                <w:rPr>
                  <w:rStyle w:val="Hyperlink"/>
                  <w:sz w:val="20"/>
                </w:rPr>
                <w:t>2021 ABCA 31</w:t>
              </w:r>
            </w:hyperlink>
            <w:r w:rsidR="0028541A" w:rsidRPr="0028541A">
              <w:rPr>
                <w:sz w:val="20"/>
              </w:rPr>
              <w:t>; 1901</w:t>
            </w:r>
            <w:r w:rsidR="0028541A" w:rsidRPr="0028541A">
              <w:rPr>
                <w:sz w:val="20"/>
              </w:rPr>
              <w:noBreakHyphen/>
              <w:t>0310</w:t>
            </w:r>
            <w:r w:rsidR="0028541A" w:rsidRPr="0028541A">
              <w:rPr>
                <w:sz w:val="20"/>
              </w:rPr>
              <w:noBreakHyphen/>
              <w:t>AC</w:t>
            </w:r>
          </w:p>
          <w:p w:rsidR="0028541A" w:rsidRPr="0028541A" w:rsidRDefault="0028541A" w:rsidP="0028541A">
            <w:pPr>
              <w:jc w:val="both"/>
              <w:rPr>
                <w:sz w:val="20"/>
              </w:rPr>
            </w:pPr>
            <w:r w:rsidRPr="0028541A">
              <w:rPr>
                <w:sz w:val="20"/>
              </w:rPr>
              <w:t xml:space="preserve"> </w:t>
            </w: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Appel rejeté</w:t>
            </w:r>
          </w:p>
          <w:p w:rsidR="0028541A" w:rsidRPr="0028541A" w:rsidRDefault="0028541A" w:rsidP="0028541A">
            <w:pPr>
              <w:jc w:val="both"/>
              <w:rPr>
                <w:sz w:val="20"/>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31 mars 2021</w:t>
            </w:r>
          </w:p>
          <w:p w:rsidR="0028541A" w:rsidRPr="0028541A" w:rsidRDefault="0028541A" w:rsidP="0028541A">
            <w:pPr>
              <w:jc w:val="both"/>
              <w:rPr>
                <w:sz w:val="20"/>
                <w:lang w:val="fr-CA"/>
              </w:rPr>
            </w:pPr>
            <w:r w:rsidRPr="0028541A">
              <w:rPr>
                <w:sz w:val="20"/>
                <w:lang w:val="fr-CA"/>
              </w:rPr>
              <w:t>Cour suprême du Canada</w:t>
            </w:r>
          </w:p>
          <w:p w:rsidR="0028541A" w:rsidRPr="0028541A" w:rsidRDefault="0028541A" w:rsidP="0028541A">
            <w:pPr>
              <w:jc w:val="both"/>
              <w:rPr>
                <w:sz w:val="20"/>
                <w:lang w:val="fr-CA"/>
              </w:rPr>
            </w:pP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 xml:space="preserve">Requête en vue de la prorogation du délai pour déposer et signifier la demande d’autorisation d’appel et demande d’autorisation </w:t>
            </w:r>
            <w:proofErr w:type="gramStart"/>
            <w:r w:rsidRPr="0028541A">
              <w:rPr>
                <w:sz w:val="20"/>
                <w:lang w:val="fr-CA"/>
              </w:rPr>
              <w:t>d’appel déposées</w:t>
            </w:r>
            <w:proofErr w:type="gramEnd"/>
          </w:p>
        </w:tc>
      </w:tr>
    </w:tbl>
    <w:p w:rsidR="0028541A" w:rsidRPr="0028541A" w:rsidRDefault="0028541A" w:rsidP="0028541A">
      <w:pPr>
        <w:jc w:val="both"/>
        <w:rPr>
          <w:sz w:val="20"/>
          <w:lang w:val="fr-CA"/>
        </w:rPr>
      </w:pPr>
    </w:p>
    <w:p w:rsidR="0028541A" w:rsidRPr="0028541A" w:rsidRDefault="00370316" w:rsidP="0028541A">
      <w:pPr>
        <w:widowControl w:val="0"/>
        <w:tabs>
          <w:tab w:val="left" w:pos="3840"/>
        </w:tabs>
        <w:jc w:val="both"/>
        <w:rPr>
          <w:sz w:val="20"/>
          <w:lang w:val="fr-CA"/>
        </w:rPr>
      </w:pPr>
      <w:r>
        <w:rPr>
          <w:sz w:val="20"/>
        </w:rPr>
        <w:pict>
          <v:rect id="_x0000_i1044"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39796</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Glen Hansman v. Barry Neufeld</w:t>
            </w:r>
          </w:p>
          <w:p w:rsidR="0028541A" w:rsidRPr="0028541A" w:rsidRDefault="0028541A" w:rsidP="0028541A">
            <w:pPr>
              <w:jc w:val="both"/>
              <w:rPr>
                <w:sz w:val="20"/>
              </w:rPr>
            </w:pPr>
            <w:r w:rsidRPr="0028541A">
              <w:rPr>
                <w:sz w:val="20"/>
              </w:rPr>
              <w:t>(B.C.) (Civil) (By Leave)</w:t>
            </w:r>
          </w:p>
        </w:tc>
      </w:tr>
      <w:tr w:rsidR="0028541A" w:rsidRPr="0028541A" w:rsidTr="0028541A">
        <w:tc>
          <w:tcPr>
            <w:tcW w:w="5000" w:type="pct"/>
            <w:gridSpan w:val="4"/>
          </w:tcPr>
          <w:p w:rsidR="0028541A" w:rsidRPr="0028541A" w:rsidRDefault="0028541A" w:rsidP="0028541A">
            <w:pPr>
              <w:jc w:val="both"/>
              <w:rPr>
                <w:sz w:val="20"/>
              </w:rPr>
            </w:pPr>
            <w:r w:rsidRPr="0028541A">
              <w:rPr>
                <w:sz w:val="20"/>
              </w:rPr>
              <w:t>Torts — Libel and slander — Anti</w:t>
            </w:r>
            <w:r w:rsidRPr="0028541A">
              <w:rPr>
                <w:sz w:val="20"/>
              </w:rPr>
              <w:noBreakHyphen/>
              <w:t xml:space="preserve">SLAPP legislation — Applicant applying to summarily dismiss respondent’s defamation action in relation to applicant’s public statements that were published and broadcast — Whether s. 4 of the </w:t>
            </w:r>
            <w:r w:rsidRPr="0028541A">
              <w:rPr>
                <w:i/>
                <w:sz w:val="20"/>
              </w:rPr>
              <w:t>Protection of Public Participation Act</w:t>
            </w:r>
            <w:r w:rsidRPr="0028541A">
              <w:rPr>
                <w:sz w:val="20"/>
              </w:rPr>
              <w:t>, S.B.C. 2019, c. 3, permits a court to weigh the potential chilling effect of a dismissal on the expressive activity of the plaintiff or others when deciding whether the public interest in permitting the plaintiff’s action to proceed outweighs the public interest in protecting the defendant’s expression? — How is the court to weigh the chilling effect of the expressive activity of the plaintiff or others against the public interest in protecting the defendant’s expression? — How is the court to weigh the defendant’s expression when it is made in defence of a vulnerable group in society?</w:t>
            </w:r>
          </w:p>
        </w:tc>
      </w:tr>
      <w:tr w:rsidR="0028541A" w:rsidRPr="0028541A" w:rsidTr="0028541A">
        <w:tc>
          <w:tcPr>
            <w:tcW w:w="5000" w:type="pct"/>
            <w:gridSpan w:val="4"/>
          </w:tcPr>
          <w:p w:rsidR="0028541A" w:rsidRPr="0028541A" w:rsidRDefault="0028541A" w:rsidP="0028541A">
            <w:pPr>
              <w:jc w:val="both"/>
              <w:rPr>
                <w:sz w:val="20"/>
              </w:rPr>
            </w:pPr>
          </w:p>
          <w:p w:rsidR="0028541A" w:rsidRPr="0028541A" w:rsidRDefault="0028541A" w:rsidP="0028541A">
            <w:pPr>
              <w:jc w:val="both"/>
              <w:rPr>
                <w:sz w:val="20"/>
              </w:rPr>
            </w:pPr>
            <w:r w:rsidRPr="0028541A">
              <w:rPr>
                <w:sz w:val="20"/>
              </w:rPr>
              <w:t xml:space="preserve">The applicant is a teacher and the president of the British Columbia Teacher’s Federation. Mr. Neufeld is an elected public school board trustee in British Columbia. The Minister of Education published resources for teachers for the promotion of inclusive environments, policies and procedures in schools regarding sexual orientation and gender identity (“SOGI 123”). In 2017, Mr. Neufeld made negative comments and criticisms about the implementation of the SOGI 123 materials, which were posted on his Facebook page. His comments attracted significant criticism and media attention. Mr. Hansman was interviewed about Mr. Neufeld’s post. Mr. Neufeld alleged that Mr. Hansman defamed him in that interview, and in subsequent statements that were broadcast and published in the press and online. Mr. Neufeld filed a defamation action against Mr. Hansman, identifying 11 specific publications in which Mr. Hansman allegedly made defamatory remarks that Mr. Neufeld promoted hatred, was discriminatory against gay and transgender students, acted with malice, and presented a safety risk to students. Mr. Hansman applied to have Mr. Neufeld’s application dismissed pursuant to s. 4 of British Columbia’s </w:t>
            </w:r>
            <w:r w:rsidRPr="0028541A">
              <w:rPr>
                <w:i/>
                <w:sz w:val="20"/>
              </w:rPr>
              <w:t>Protection of Public Participation Act</w:t>
            </w:r>
            <w:r w:rsidRPr="0028541A">
              <w:rPr>
                <w:sz w:val="20"/>
              </w:rPr>
              <w:t>. The application judge granted the motion and dismissed the defamation action. This decision was overturned on appeal.</w:t>
            </w:r>
          </w:p>
        </w:tc>
      </w:tr>
      <w:tr w:rsidR="0028541A" w:rsidRPr="0028541A" w:rsidTr="0028541A">
        <w:tc>
          <w:tcPr>
            <w:tcW w:w="5000" w:type="pct"/>
            <w:gridSpan w:val="4"/>
          </w:tcPr>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November 26, 2019</w:t>
            </w:r>
          </w:p>
          <w:p w:rsidR="0028541A" w:rsidRPr="0028541A" w:rsidRDefault="0028541A" w:rsidP="0028541A">
            <w:pPr>
              <w:jc w:val="both"/>
              <w:rPr>
                <w:sz w:val="20"/>
              </w:rPr>
            </w:pPr>
            <w:r w:rsidRPr="0028541A">
              <w:rPr>
                <w:sz w:val="20"/>
              </w:rPr>
              <w:t>Supreme Court of British Columbia</w:t>
            </w:r>
          </w:p>
          <w:p w:rsidR="0028541A" w:rsidRPr="0028541A" w:rsidRDefault="0028541A" w:rsidP="0028541A">
            <w:pPr>
              <w:jc w:val="both"/>
              <w:rPr>
                <w:sz w:val="20"/>
              </w:rPr>
            </w:pPr>
            <w:r w:rsidRPr="0028541A">
              <w:rPr>
                <w:sz w:val="20"/>
              </w:rPr>
              <w:t>(Ross J.)</w:t>
            </w:r>
          </w:p>
          <w:p w:rsidR="0028541A" w:rsidRPr="0028541A" w:rsidRDefault="00370316" w:rsidP="0028541A">
            <w:pPr>
              <w:jc w:val="both"/>
              <w:rPr>
                <w:sz w:val="20"/>
              </w:rPr>
            </w:pPr>
            <w:hyperlink r:id="rId56" w:history="1">
              <w:r w:rsidR="0028541A" w:rsidRPr="0028541A">
                <w:rPr>
                  <w:rStyle w:val="Hyperlink"/>
                  <w:sz w:val="20"/>
                </w:rPr>
                <w:t>2019 BCSC 2028</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Applicant’s summary motion to dismiss respondent’s action granted; action dismissed</w:t>
            </w:r>
          </w:p>
          <w:p w:rsidR="0028541A" w:rsidRPr="0028541A" w:rsidRDefault="0028541A" w:rsidP="0028541A">
            <w:pPr>
              <w:jc w:val="both"/>
              <w:rPr>
                <w:sz w:val="20"/>
              </w:rPr>
            </w:pPr>
          </w:p>
          <w:p w:rsidR="0028541A" w:rsidRPr="0028541A" w:rsidRDefault="0028541A" w:rsidP="0028541A">
            <w:pPr>
              <w:jc w:val="both"/>
              <w:rPr>
                <w:sz w:val="20"/>
              </w:rPr>
            </w:pP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June 9, 2021</w:t>
            </w:r>
          </w:p>
          <w:p w:rsidR="0028541A" w:rsidRPr="0028541A" w:rsidRDefault="0028541A" w:rsidP="0028541A">
            <w:pPr>
              <w:jc w:val="both"/>
              <w:rPr>
                <w:sz w:val="20"/>
              </w:rPr>
            </w:pPr>
            <w:r w:rsidRPr="0028541A">
              <w:rPr>
                <w:sz w:val="20"/>
              </w:rPr>
              <w:t xml:space="preserve">Court of Appeal for British Columbia </w:t>
            </w:r>
          </w:p>
          <w:p w:rsidR="0028541A" w:rsidRPr="0028541A" w:rsidRDefault="0028541A" w:rsidP="0028541A">
            <w:pPr>
              <w:jc w:val="both"/>
              <w:rPr>
                <w:sz w:val="20"/>
              </w:rPr>
            </w:pPr>
            <w:r w:rsidRPr="0028541A">
              <w:rPr>
                <w:sz w:val="20"/>
              </w:rPr>
              <w:t>(Vancouver)</w:t>
            </w:r>
          </w:p>
          <w:p w:rsidR="0028541A" w:rsidRPr="0028541A" w:rsidRDefault="0028541A" w:rsidP="0028541A">
            <w:pPr>
              <w:jc w:val="both"/>
              <w:rPr>
                <w:sz w:val="20"/>
              </w:rPr>
            </w:pPr>
            <w:r w:rsidRPr="0028541A">
              <w:rPr>
                <w:sz w:val="20"/>
              </w:rPr>
              <w:t>(Willcock, Fenlon and Voith JJ.A.)</w:t>
            </w:r>
          </w:p>
          <w:p w:rsidR="0028541A" w:rsidRPr="0028541A" w:rsidRDefault="00370316" w:rsidP="0028541A">
            <w:pPr>
              <w:jc w:val="both"/>
              <w:rPr>
                <w:sz w:val="20"/>
              </w:rPr>
            </w:pPr>
            <w:hyperlink r:id="rId57" w:history="1">
              <w:r w:rsidR="0028541A" w:rsidRPr="0028541A">
                <w:rPr>
                  <w:rStyle w:val="Hyperlink"/>
                  <w:sz w:val="20"/>
                </w:rPr>
                <w:t>2021 BCCA 222</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Appeal allowed; order dismissing the action quashed; matter remitted to trial judge</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August 25, 2021</w:t>
            </w:r>
          </w:p>
          <w:p w:rsidR="0028541A" w:rsidRPr="0028541A" w:rsidRDefault="0028541A" w:rsidP="0028541A">
            <w:pPr>
              <w:jc w:val="both"/>
              <w:rPr>
                <w:sz w:val="20"/>
              </w:rPr>
            </w:pPr>
            <w:r w:rsidRPr="0028541A">
              <w:rPr>
                <w:sz w:val="20"/>
              </w:rPr>
              <w:t>Supreme Court of Canada</w:t>
            </w: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Application for leave to appeal filed</w:t>
            </w:r>
          </w:p>
          <w:p w:rsidR="0028541A" w:rsidRPr="0028541A" w:rsidRDefault="0028541A" w:rsidP="0028541A">
            <w:pPr>
              <w:jc w:val="both"/>
              <w:rPr>
                <w:sz w:val="20"/>
              </w:rPr>
            </w:pPr>
          </w:p>
        </w:tc>
      </w:tr>
    </w:tbl>
    <w:p w:rsidR="0028541A" w:rsidRDefault="0028541A" w:rsidP="0028541A">
      <w:pPr>
        <w:jc w:val="both"/>
        <w:rPr>
          <w:sz w:val="20"/>
        </w:rPr>
      </w:pPr>
    </w:p>
    <w:p w:rsidR="006500D2" w:rsidRDefault="00370316" w:rsidP="0028541A">
      <w:pPr>
        <w:jc w:val="both"/>
        <w:rPr>
          <w:sz w:val="20"/>
        </w:rPr>
      </w:pPr>
      <w:r>
        <w:rPr>
          <w:sz w:val="20"/>
        </w:rPr>
        <w:pict>
          <v:rect id="_x0000_i1045" style="width:2in;height:1pt" o:hrpct="0" o:hralign="center" o:hrstd="t" o:hrnoshade="t" o:hr="t" fillcolor="black [3213]" stroked="f"/>
        </w:pict>
      </w:r>
    </w:p>
    <w:p w:rsidR="006500D2" w:rsidRPr="0028541A" w:rsidRDefault="006500D2" w:rsidP="002854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39796</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Glen Hansman c. Barry Neufeld</w:t>
            </w:r>
          </w:p>
          <w:p w:rsidR="0028541A" w:rsidRPr="0028541A" w:rsidRDefault="0028541A" w:rsidP="0028541A">
            <w:pPr>
              <w:jc w:val="both"/>
              <w:rPr>
                <w:sz w:val="20"/>
              </w:rPr>
            </w:pPr>
            <w:r w:rsidRPr="0028541A">
              <w:rPr>
                <w:sz w:val="20"/>
              </w:rPr>
              <w:t>(C.</w:t>
            </w:r>
            <w:r w:rsidRPr="0028541A">
              <w:rPr>
                <w:sz w:val="20"/>
              </w:rPr>
              <w:noBreakHyphen/>
              <w:t>B.) (Civile) (Autorisation)</w:t>
            </w: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Responsabilité délictuelle — Diffamation — Loi contre les poursuites</w:t>
            </w:r>
            <w:r w:rsidRPr="0028541A">
              <w:rPr>
                <w:sz w:val="20"/>
                <w:lang w:val="fr-CA"/>
              </w:rPr>
              <w:noBreakHyphen/>
              <w:t xml:space="preserve">bâillons — Demandeur sollicitant le rejet sommaire de l’action en diffamation du défendeur relativement aux déclarations publiques du demandeur, lesquelles ont été publiées et diffusées — L’art. 4 de la </w:t>
            </w:r>
            <w:r w:rsidRPr="0028541A">
              <w:rPr>
                <w:i/>
                <w:sz w:val="20"/>
                <w:lang w:val="fr-CA"/>
              </w:rPr>
              <w:t>Protection of Public Participation Act</w:t>
            </w:r>
            <w:r w:rsidRPr="0028541A">
              <w:rPr>
                <w:sz w:val="20"/>
                <w:lang w:val="fr-CA"/>
              </w:rPr>
              <w:t>, S.B.C. 2019, c. 3, permet</w:t>
            </w:r>
            <w:r w:rsidRPr="0028541A">
              <w:rPr>
                <w:sz w:val="20"/>
                <w:lang w:val="fr-CA"/>
              </w:rPr>
              <w:noBreakHyphen/>
              <w:t xml:space="preserve">il à un </w:t>
            </w:r>
            <w:r w:rsidRPr="0028541A">
              <w:rPr>
                <w:sz w:val="20"/>
                <w:lang w:val="fr-CA"/>
              </w:rPr>
              <w:lastRenderedPageBreak/>
              <w:t>tribunal de soupeser l’effet paralysant potentiel d’un rejet sur l’activité expressive du plaignant ou d’autres personnes lorsqu’il détermine si l’intérêt public de permettre la continuation de l’action du plaignant outrepasse l’intérêt public de la protection de l’expression du défendeur? — Comment le tribunal doit</w:t>
            </w:r>
            <w:r w:rsidRPr="0028541A">
              <w:rPr>
                <w:sz w:val="20"/>
                <w:lang w:val="fr-CA"/>
              </w:rPr>
              <w:noBreakHyphen/>
              <w:t>il soupeser l’effet paralysant de l’activité expressive du plaignant ou d’autres personnes par rapport à l’intérêt public de la protection de l’expression du défendeur? — Comment le tribunal doit</w:t>
            </w:r>
            <w:r w:rsidRPr="0028541A">
              <w:rPr>
                <w:sz w:val="20"/>
                <w:lang w:val="fr-CA"/>
              </w:rPr>
              <w:noBreakHyphen/>
              <w:t>il soupeser l’expression du défendeur lorsque celle</w:t>
            </w:r>
            <w:r w:rsidRPr="0028541A">
              <w:rPr>
                <w:sz w:val="20"/>
                <w:lang w:val="fr-CA"/>
              </w:rPr>
              <w:noBreakHyphen/>
              <w:t>ci est formulée dans la défense d’un groupe vulnérable de la société?</w:t>
            </w:r>
          </w:p>
        </w:tc>
      </w:tr>
      <w:tr w:rsidR="0028541A" w:rsidRPr="0028541A" w:rsidTr="0028541A">
        <w:tc>
          <w:tcPr>
            <w:tcW w:w="5000" w:type="pct"/>
            <w:gridSpan w:val="4"/>
          </w:tcPr>
          <w:p w:rsidR="0028541A" w:rsidRPr="0028541A" w:rsidRDefault="0028541A" w:rsidP="0028541A">
            <w:pPr>
              <w:jc w:val="both"/>
              <w:rPr>
                <w:sz w:val="20"/>
                <w:lang w:val="fr-CA"/>
              </w:rPr>
            </w:pPr>
          </w:p>
          <w:p w:rsidR="0028541A" w:rsidRPr="0028541A" w:rsidRDefault="0028541A" w:rsidP="006500D2">
            <w:pPr>
              <w:jc w:val="both"/>
              <w:rPr>
                <w:sz w:val="20"/>
                <w:lang w:val="fr-CA"/>
              </w:rPr>
            </w:pPr>
            <w:r w:rsidRPr="0028541A">
              <w:rPr>
                <w:sz w:val="20"/>
                <w:lang w:val="fr-CA"/>
              </w:rPr>
              <w:t>Le demandeur est enseignant et président de la British Columbia Teacher’s Federation. M. Neufeld est membre élu de la public scho</w:t>
            </w:r>
            <w:r w:rsidR="006500D2">
              <w:rPr>
                <w:sz w:val="20"/>
                <w:lang w:val="fr-CA"/>
              </w:rPr>
              <w:t>o</w:t>
            </w:r>
            <w:r w:rsidRPr="0028541A">
              <w:rPr>
                <w:sz w:val="20"/>
                <w:lang w:val="fr-CA"/>
              </w:rPr>
              <w:t>l board trustee en Colombie</w:t>
            </w:r>
            <w:r w:rsidRPr="0028541A">
              <w:rPr>
                <w:sz w:val="20"/>
                <w:lang w:val="fr-CA"/>
              </w:rPr>
              <w:noBreakHyphen/>
              <w:t xml:space="preserve">Britannique. Le ministère de l’Éducation a publié des ressources destinées aux enseignants faisant la promotion de politiques, de procédures et d’environnements inclusifs concernant l’orientation sexuelle et l’identité de genre (« SOGI 123 »). En 2017, M. Neufeld a fait des commentaires désagréables et des critiques sur la mise en œuvre des documents SOGI 123, lesquels ont été publiés sur sa page Facebook. Ses commentaires ont suscité beaucoup de critiques et ont attiré l’attention des médias. M. Hansman a été interviewé relativement aux publications de M. Neufeld. Ce dernier a prétendu que M. Hansman l’a </w:t>
            </w:r>
            <w:proofErr w:type="gramStart"/>
            <w:r w:rsidRPr="0028541A">
              <w:rPr>
                <w:sz w:val="20"/>
                <w:lang w:val="fr-CA"/>
              </w:rPr>
              <w:t>diffamé</w:t>
            </w:r>
            <w:proofErr w:type="gramEnd"/>
            <w:r w:rsidRPr="0028541A">
              <w:rPr>
                <w:sz w:val="20"/>
                <w:lang w:val="fr-CA"/>
              </w:rPr>
              <w:t xml:space="preserve"> dans cette entrevue et dans des déclarations subséquentes qui ont été diffusées et publiées dans les journaux et en ligne. M. Neufeld a déposé une action en diffamation contre M. Hansman, identifiant 11 publications précises dans lesquelles M. Hansman aurait fait des commentaires diffamatoires selon lesquels M. Neufeld faisait la promotion de la haine, commettait des discriminations envers les élèves gais et transgenres, agissait avec malveillance et constituait un risque pour la sécurité des élèves. M. Hansman a présenté une demande afin de que l’action de M. Neufeld soit rejetée, au titre de l’art. 4 de la </w:t>
            </w:r>
            <w:r w:rsidRPr="0028541A">
              <w:rPr>
                <w:i/>
                <w:sz w:val="20"/>
                <w:lang w:val="fr-CA"/>
              </w:rPr>
              <w:t>Protection of Public Participation Act</w:t>
            </w:r>
            <w:r w:rsidRPr="0028541A">
              <w:rPr>
                <w:sz w:val="20"/>
                <w:lang w:val="fr-CA"/>
              </w:rPr>
              <w:t xml:space="preserve"> de la Colombie</w:t>
            </w:r>
            <w:r w:rsidRPr="0028541A">
              <w:rPr>
                <w:sz w:val="20"/>
                <w:lang w:val="fr-CA"/>
              </w:rPr>
              <w:noBreakHyphen/>
              <w:t>Britannique. Le juge de première instance a accueilli la requête et rejeté l’action en diffamation. Cette décision a été infirmée en appel.</w:t>
            </w:r>
          </w:p>
        </w:tc>
      </w:tr>
      <w:tr w:rsidR="0028541A" w:rsidRPr="0028541A" w:rsidTr="0028541A">
        <w:tc>
          <w:tcPr>
            <w:tcW w:w="5000" w:type="pct"/>
            <w:gridSpan w:val="4"/>
          </w:tcPr>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26 novembre 2019</w:t>
            </w:r>
          </w:p>
          <w:p w:rsidR="0028541A" w:rsidRPr="0028541A" w:rsidRDefault="0028541A" w:rsidP="0028541A">
            <w:pPr>
              <w:jc w:val="both"/>
              <w:rPr>
                <w:sz w:val="20"/>
                <w:lang w:val="fr-CA"/>
              </w:rPr>
            </w:pPr>
            <w:r w:rsidRPr="0028541A">
              <w:rPr>
                <w:sz w:val="20"/>
                <w:lang w:val="fr-CA"/>
              </w:rPr>
              <w:t>Cour suprême de la Colombie</w:t>
            </w:r>
            <w:r w:rsidRPr="0028541A">
              <w:rPr>
                <w:sz w:val="20"/>
                <w:lang w:val="fr-CA"/>
              </w:rPr>
              <w:noBreakHyphen/>
              <w:t>Britannique</w:t>
            </w:r>
          </w:p>
          <w:p w:rsidR="0028541A" w:rsidRPr="0028541A" w:rsidRDefault="0028541A" w:rsidP="0028541A">
            <w:pPr>
              <w:jc w:val="both"/>
              <w:rPr>
                <w:sz w:val="20"/>
              </w:rPr>
            </w:pPr>
            <w:r w:rsidRPr="0028541A">
              <w:rPr>
                <w:sz w:val="20"/>
              </w:rPr>
              <w:t>(juge Ross)</w:t>
            </w:r>
          </w:p>
          <w:p w:rsidR="0028541A" w:rsidRPr="0028541A" w:rsidRDefault="00370316" w:rsidP="0028541A">
            <w:pPr>
              <w:jc w:val="both"/>
              <w:rPr>
                <w:sz w:val="20"/>
              </w:rPr>
            </w:pPr>
            <w:hyperlink r:id="rId58" w:history="1">
              <w:r w:rsidR="0028541A" w:rsidRPr="0028541A">
                <w:rPr>
                  <w:rStyle w:val="Hyperlink"/>
                  <w:sz w:val="20"/>
                </w:rPr>
                <w:t>2019 BCSC 2028</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Requête du demandeur en vue d’un jugement sommaire rejetant l’action du défendeur accueillie; action rejetée</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9 juin 2021</w:t>
            </w:r>
          </w:p>
          <w:p w:rsidR="0028541A" w:rsidRPr="0028541A" w:rsidRDefault="0028541A" w:rsidP="0028541A">
            <w:pPr>
              <w:jc w:val="both"/>
              <w:rPr>
                <w:sz w:val="20"/>
                <w:lang w:val="fr-CA"/>
              </w:rPr>
            </w:pPr>
            <w:r w:rsidRPr="0028541A">
              <w:rPr>
                <w:sz w:val="20"/>
                <w:lang w:val="fr-CA"/>
              </w:rPr>
              <w:t>Cour d’appel de la Colombie</w:t>
            </w:r>
            <w:r w:rsidRPr="0028541A">
              <w:rPr>
                <w:sz w:val="20"/>
                <w:lang w:val="fr-CA"/>
              </w:rPr>
              <w:noBreakHyphen/>
              <w:t>Britannique</w:t>
            </w:r>
          </w:p>
          <w:p w:rsidR="0028541A" w:rsidRPr="0028541A" w:rsidRDefault="0028541A" w:rsidP="0028541A">
            <w:pPr>
              <w:jc w:val="both"/>
              <w:rPr>
                <w:sz w:val="20"/>
                <w:lang w:val="fr-CA"/>
              </w:rPr>
            </w:pPr>
            <w:r w:rsidRPr="0028541A">
              <w:rPr>
                <w:sz w:val="20"/>
                <w:lang w:val="fr-CA"/>
              </w:rPr>
              <w:t>(Vancouver)</w:t>
            </w:r>
          </w:p>
          <w:p w:rsidR="0028541A" w:rsidRPr="0028541A" w:rsidRDefault="0028541A" w:rsidP="0028541A">
            <w:pPr>
              <w:jc w:val="both"/>
              <w:rPr>
                <w:sz w:val="20"/>
                <w:lang w:val="fr-CA"/>
              </w:rPr>
            </w:pPr>
            <w:r w:rsidRPr="0028541A">
              <w:rPr>
                <w:sz w:val="20"/>
                <w:lang w:val="fr-CA"/>
              </w:rPr>
              <w:t>(juges Willcock, Fenlon et Voith)</w:t>
            </w:r>
          </w:p>
          <w:p w:rsidR="0028541A" w:rsidRPr="0028541A" w:rsidRDefault="00370316" w:rsidP="0028541A">
            <w:pPr>
              <w:jc w:val="both"/>
              <w:rPr>
                <w:sz w:val="20"/>
              </w:rPr>
            </w:pPr>
            <w:hyperlink r:id="rId59" w:history="1">
              <w:r w:rsidR="0028541A" w:rsidRPr="0028541A">
                <w:rPr>
                  <w:rStyle w:val="Hyperlink"/>
                  <w:sz w:val="20"/>
                </w:rPr>
                <w:t>2021 BCCA 222</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Appel accueilli; ordonnance rejetant l’action annulée; affaire renvoyée au juge de première instance</w:t>
            </w:r>
          </w:p>
          <w:p w:rsidR="0028541A" w:rsidRPr="0028541A" w:rsidRDefault="0028541A" w:rsidP="0028541A">
            <w:pPr>
              <w:jc w:val="both"/>
              <w:rPr>
                <w:sz w:val="20"/>
                <w:lang w:val="fr-CA"/>
              </w:rPr>
            </w:pPr>
          </w:p>
        </w:tc>
      </w:tr>
      <w:tr w:rsidR="0028541A" w:rsidRPr="0028541A" w:rsidTr="0028541A">
        <w:tc>
          <w:tcPr>
            <w:tcW w:w="2427" w:type="pct"/>
            <w:gridSpan w:val="2"/>
          </w:tcPr>
          <w:p w:rsidR="0028541A" w:rsidRPr="0028541A" w:rsidRDefault="0028541A" w:rsidP="0028541A">
            <w:pPr>
              <w:jc w:val="both"/>
              <w:rPr>
                <w:sz w:val="20"/>
                <w:lang w:val="fr-CA"/>
              </w:rPr>
            </w:pPr>
            <w:r w:rsidRPr="0028541A">
              <w:rPr>
                <w:sz w:val="20"/>
                <w:lang w:val="fr-CA"/>
              </w:rPr>
              <w:t>25 août 2021</w:t>
            </w:r>
          </w:p>
          <w:p w:rsidR="0028541A" w:rsidRPr="0028541A" w:rsidRDefault="0028541A" w:rsidP="0028541A">
            <w:pPr>
              <w:jc w:val="both"/>
              <w:rPr>
                <w:sz w:val="20"/>
                <w:lang w:val="fr-CA"/>
              </w:rPr>
            </w:pPr>
            <w:r w:rsidRPr="0028541A">
              <w:rPr>
                <w:sz w:val="20"/>
                <w:lang w:val="fr-CA"/>
              </w:rPr>
              <w:t>Cour suprême du Canada</w:t>
            </w: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rPr>
            </w:pPr>
            <w:r w:rsidRPr="0028541A">
              <w:rPr>
                <w:sz w:val="20"/>
              </w:rPr>
              <w:t>Demande d’autorisation d’appel déposée</w:t>
            </w:r>
          </w:p>
          <w:p w:rsidR="0028541A" w:rsidRPr="0028541A" w:rsidRDefault="0028541A" w:rsidP="0028541A">
            <w:pPr>
              <w:jc w:val="both"/>
              <w:rPr>
                <w:sz w:val="20"/>
              </w:rPr>
            </w:pPr>
          </w:p>
        </w:tc>
      </w:tr>
    </w:tbl>
    <w:p w:rsidR="0028541A" w:rsidRDefault="0028541A" w:rsidP="0028541A">
      <w:pPr>
        <w:jc w:val="both"/>
        <w:rPr>
          <w:sz w:val="20"/>
        </w:rPr>
      </w:pPr>
    </w:p>
    <w:p w:rsidR="006500D2" w:rsidRPr="0028541A" w:rsidRDefault="00370316" w:rsidP="0028541A">
      <w:pPr>
        <w:jc w:val="both"/>
        <w:rPr>
          <w:sz w:val="20"/>
        </w:rPr>
      </w:pPr>
      <w:r>
        <w:rPr>
          <w:sz w:val="20"/>
        </w:rPr>
        <w:pict>
          <v:rect id="_x0000_i1046"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lang w:val="en-CA"/>
              </w:rPr>
            </w:pPr>
            <w:r w:rsidRPr="0028541A">
              <w:rPr>
                <w:rStyle w:val="SCCFileNumberChar"/>
                <w:sz w:val="20"/>
                <w:szCs w:val="20"/>
              </w:rPr>
              <w:t>39585</w:t>
            </w:r>
          </w:p>
        </w:tc>
        <w:tc>
          <w:tcPr>
            <w:tcW w:w="4457" w:type="pct"/>
            <w:gridSpan w:val="3"/>
          </w:tcPr>
          <w:p w:rsidR="0028541A" w:rsidRPr="006500D2" w:rsidRDefault="0028541A" w:rsidP="0028541A">
            <w:pPr>
              <w:pStyle w:val="SCCLsocParty"/>
              <w:jc w:val="both"/>
              <w:rPr>
                <w:b/>
                <w:sz w:val="20"/>
                <w:szCs w:val="20"/>
                <w:lang w:val="en-CA"/>
              </w:rPr>
            </w:pPr>
            <w:r w:rsidRPr="006500D2">
              <w:rPr>
                <w:b/>
                <w:sz w:val="20"/>
                <w:szCs w:val="20"/>
                <w:lang w:val="en-CA"/>
              </w:rPr>
              <w:t>Steve Larrivée v. Her Majesty the Queen</w:t>
            </w:r>
          </w:p>
          <w:p w:rsidR="0028541A" w:rsidRPr="0028541A" w:rsidRDefault="0028541A" w:rsidP="0028541A">
            <w:pPr>
              <w:pStyle w:val="SCCLsocOtherPartySeparator"/>
              <w:rPr>
                <w:sz w:val="20"/>
                <w:szCs w:val="20"/>
              </w:rPr>
            </w:pPr>
            <w:r w:rsidRPr="0028541A">
              <w:rPr>
                <w:sz w:val="20"/>
                <w:szCs w:val="20"/>
              </w:rPr>
              <w:t>- and -</w:t>
            </w:r>
          </w:p>
          <w:p w:rsidR="0028541A" w:rsidRPr="006500D2" w:rsidRDefault="0028541A" w:rsidP="0028541A">
            <w:pPr>
              <w:pStyle w:val="SCCLsocParty"/>
              <w:jc w:val="both"/>
              <w:rPr>
                <w:b/>
                <w:sz w:val="20"/>
                <w:szCs w:val="20"/>
              </w:rPr>
            </w:pPr>
            <w:r w:rsidRPr="006500D2">
              <w:rPr>
                <w:b/>
                <w:sz w:val="20"/>
                <w:szCs w:val="20"/>
              </w:rPr>
              <w:t>Association des avocats et avocates en droit carcéral du Québec</w:t>
            </w:r>
          </w:p>
          <w:p w:rsidR="0028541A" w:rsidRPr="0028541A" w:rsidRDefault="0028541A" w:rsidP="0028541A">
            <w:pPr>
              <w:jc w:val="both"/>
              <w:rPr>
                <w:sz w:val="20"/>
                <w:lang w:val="en-CA"/>
              </w:rPr>
            </w:pPr>
            <w:r w:rsidRPr="0028541A">
              <w:rPr>
                <w:sz w:val="20"/>
                <w:lang w:val="en-CA"/>
              </w:rPr>
              <w:t>(Que.) (Criminal) (By Leave)</w:t>
            </w:r>
          </w:p>
        </w:tc>
      </w:tr>
      <w:tr w:rsidR="0028541A" w:rsidRPr="0028541A" w:rsidTr="0028541A">
        <w:tc>
          <w:tcPr>
            <w:tcW w:w="5000" w:type="pct"/>
            <w:gridSpan w:val="4"/>
          </w:tcPr>
          <w:p w:rsidR="0028541A" w:rsidRPr="0028541A" w:rsidRDefault="0028541A" w:rsidP="0028541A">
            <w:pPr>
              <w:pStyle w:val="SCCBanSummary"/>
              <w:rPr>
                <w:sz w:val="20"/>
                <w:szCs w:val="20"/>
              </w:rPr>
            </w:pPr>
            <w:r w:rsidRPr="0028541A">
              <w:rPr>
                <w:sz w:val="20"/>
                <w:szCs w:val="20"/>
              </w:rPr>
              <w:t>(Publication Ban in Case)</w:t>
            </w:r>
          </w:p>
          <w:p w:rsidR="0028541A" w:rsidRPr="0028541A" w:rsidRDefault="0028541A" w:rsidP="0028541A">
            <w:pPr>
              <w:jc w:val="both"/>
              <w:rPr>
                <w:sz w:val="20"/>
                <w:lang w:val="en-CA"/>
              </w:rPr>
            </w:pPr>
          </w:p>
        </w:tc>
      </w:tr>
      <w:tr w:rsidR="0028541A" w:rsidRPr="0028541A" w:rsidTr="0028541A">
        <w:tc>
          <w:tcPr>
            <w:tcW w:w="5000" w:type="pct"/>
            <w:gridSpan w:val="4"/>
          </w:tcPr>
          <w:p w:rsidR="0028541A" w:rsidRPr="0028541A" w:rsidRDefault="0028541A" w:rsidP="0028541A">
            <w:pPr>
              <w:jc w:val="both"/>
              <w:rPr>
                <w:sz w:val="20"/>
                <w:lang w:val="en-CA"/>
              </w:rPr>
            </w:pPr>
            <w:proofErr w:type="gramStart"/>
            <w:r w:rsidRPr="0028541A">
              <w:rPr>
                <w:sz w:val="20"/>
                <w:lang w:val="en-CA"/>
              </w:rPr>
              <w:t>Criminal law — Sentencing — Breach of long</w:t>
            </w:r>
            <w:r w:rsidRPr="0028541A">
              <w:rPr>
                <w:sz w:val="20"/>
                <w:lang w:val="en-CA"/>
              </w:rPr>
              <w:noBreakHyphen/>
              <w:t>term supervision order — Whether trial judge erred in not including 85 days spent in custody, between applicant’s arrest and date he was formally charged, as pre</w:t>
            </w:r>
            <w:r w:rsidRPr="0028541A">
              <w:rPr>
                <w:sz w:val="20"/>
                <w:lang w:val="en-CA"/>
              </w:rPr>
              <w:noBreakHyphen/>
              <w:t xml:space="preserve">sentence custody for purposes of s. 719(3) and (3.1) </w:t>
            </w:r>
            <w:r w:rsidRPr="0028541A">
              <w:rPr>
                <w:i/>
                <w:sz w:val="20"/>
                <w:lang w:val="en-CA"/>
              </w:rPr>
              <w:t>Cr. C.</w:t>
            </w:r>
            <w:r w:rsidRPr="0028541A">
              <w:rPr>
                <w:sz w:val="20"/>
                <w:lang w:val="en-CA"/>
              </w:rPr>
              <w:t> </w:t>
            </w:r>
            <w:r w:rsidRPr="0028541A">
              <w:rPr>
                <w:i/>
                <w:sz w:val="20"/>
                <w:lang w:val="en-CA"/>
              </w:rPr>
              <w:t>— Criminal Code</w:t>
            </w:r>
            <w:r w:rsidRPr="0028541A">
              <w:rPr>
                <w:sz w:val="20"/>
                <w:lang w:val="en-CA"/>
              </w:rPr>
              <w:t>, R.S.C. 1985, c. C</w:t>
            </w:r>
            <w:r w:rsidRPr="0028541A">
              <w:rPr>
                <w:sz w:val="20"/>
                <w:lang w:val="en-CA"/>
              </w:rPr>
              <w:noBreakHyphen/>
              <w:t xml:space="preserve">46, ss. 719, 753, 753.1 and 753.3 — </w:t>
            </w:r>
            <w:r w:rsidRPr="0028541A">
              <w:rPr>
                <w:i/>
                <w:sz w:val="20"/>
                <w:lang w:val="en-CA"/>
              </w:rPr>
              <w:t>Corrections and Conditional Release Act</w:t>
            </w:r>
            <w:r w:rsidRPr="0028541A">
              <w:rPr>
                <w:sz w:val="20"/>
                <w:lang w:val="en-CA"/>
              </w:rPr>
              <w:t>, S.C. 1992, c. 20, ss. 135 and 135.1.</w:t>
            </w:r>
            <w:proofErr w:type="gramEnd"/>
          </w:p>
        </w:tc>
      </w:tr>
      <w:tr w:rsidR="0028541A" w:rsidRPr="0028541A" w:rsidTr="0028541A">
        <w:tc>
          <w:tcPr>
            <w:tcW w:w="5000" w:type="pct"/>
            <w:gridSpan w:val="4"/>
          </w:tcPr>
          <w:p w:rsidR="0028541A" w:rsidRPr="0028541A" w:rsidRDefault="0028541A" w:rsidP="0028541A">
            <w:pPr>
              <w:jc w:val="both"/>
              <w:rPr>
                <w:sz w:val="20"/>
                <w:lang w:val="en-CA"/>
              </w:rPr>
            </w:pPr>
          </w:p>
          <w:p w:rsidR="0028541A" w:rsidRPr="0028541A" w:rsidRDefault="0028541A" w:rsidP="0028541A">
            <w:pPr>
              <w:jc w:val="both"/>
              <w:rPr>
                <w:sz w:val="20"/>
                <w:lang w:val="en-CA"/>
              </w:rPr>
            </w:pPr>
            <w:r w:rsidRPr="0028541A">
              <w:rPr>
                <w:sz w:val="20"/>
                <w:lang w:val="en-CA"/>
              </w:rPr>
              <w:t xml:space="preserve">The accused, the applicant Steve Larrivée, </w:t>
            </w:r>
            <w:proofErr w:type="gramStart"/>
            <w:r w:rsidRPr="0028541A">
              <w:rPr>
                <w:sz w:val="20"/>
                <w:lang w:val="en-CA"/>
              </w:rPr>
              <w:t>was sentenced</w:t>
            </w:r>
            <w:proofErr w:type="gramEnd"/>
            <w:r w:rsidRPr="0028541A">
              <w:rPr>
                <w:sz w:val="20"/>
                <w:lang w:val="en-CA"/>
              </w:rPr>
              <w:t xml:space="preserve"> to imprisonment for nine years followed by long</w:t>
            </w:r>
            <w:r w:rsidRPr="0028541A">
              <w:rPr>
                <w:sz w:val="20"/>
                <w:lang w:val="en-CA"/>
              </w:rPr>
              <w:noBreakHyphen/>
              <w:t>term supervision after being found to be a long</w:t>
            </w:r>
            <w:r w:rsidRPr="0028541A">
              <w:rPr>
                <w:sz w:val="20"/>
                <w:lang w:val="en-CA"/>
              </w:rPr>
              <w:noBreakHyphen/>
              <w:t>term offender. A three</w:t>
            </w:r>
            <w:r w:rsidRPr="0028541A">
              <w:rPr>
                <w:sz w:val="20"/>
                <w:lang w:val="en-CA"/>
              </w:rPr>
              <w:noBreakHyphen/>
              <w:t>year long</w:t>
            </w:r>
            <w:r w:rsidRPr="0028541A">
              <w:rPr>
                <w:sz w:val="20"/>
                <w:lang w:val="en-CA"/>
              </w:rPr>
              <w:noBreakHyphen/>
              <w:t xml:space="preserve">term supervision order (“LTSO”) prohibited him, among other things, from contacting his minor son. Following his release, Mr. Larrivée contacted his minor son 30 times through Messenger, thereby breaching a condition of his LTSO. In August 2019, the supervision period </w:t>
            </w:r>
            <w:proofErr w:type="gramStart"/>
            <w:r w:rsidRPr="0028541A">
              <w:rPr>
                <w:sz w:val="20"/>
                <w:lang w:val="en-CA"/>
              </w:rPr>
              <w:t>was suspended</w:t>
            </w:r>
            <w:proofErr w:type="gramEnd"/>
            <w:r w:rsidRPr="0028541A">
              <w:rPr>
                <w:sz w:val="20"/>
                <w:lang w:val="en-CA"/>
              </w:rPr>
              <w:t xml:space="preserve"> under s. 135.1 of the </w:t>
            </w:r>
            <w:r w:rsidRPr="0028541A">
              <w:rPr>
                <w:i/>
                <w:sz w:val="20"/>
                <w:lang w:val="en-CA"/>
              </w:rPr>
              <w:t>Corrections and Conditional Release Act</w:t>
            </w:r>
            <w:r w:rsidRPr="0028541A">
              <w:rPr>
                <w:sz w:val="20"/>
                <w:lang w:val="en-CA"/>
              </w:rPr>
              <w:t xml:space="preserve">, and Mr. Larrivée </w:t>
            </w:r>
            <w:r w:rsidRPr="0028541A">
              <w:rPr>
                <w:sz w:val="20"/>
                <w:lang w:val="en-CA"/>
              </w:rPr>
              <w:lastRenderedPageBreak/>
              <w:t>was committed to a penitentiary for breaching the no</w:t>
            </w:r>
            <w:r w:rsidRPr="0028541A">
              <w:rPr>
                <w:sz w:val="20"/>
                <w:lang w:val="en-CA"/>
              </w:rPr>
              <w:noBreakHyphen/>
              <w:t xml:space="preserve">contact condition. His release </w:t>
            </w:r>
            <w:proofErr w:type="gramStart"/>
            <w:r w:rsidRPr="0028541A">
              <w:rPr>
                <w:sz w:val="20"/>
                <w:lang w:val="en-CA"/>
              </w:rPr>
              <w:t>was revoked</w:t>
            </w:r>
            <w:proofErr w:type="gramEnd"/>
            <w:r w:rsidRPr="0028541A">
              <w:rPr>
                <w:sz w:val="20"/>
                <w:lang w:val="en-CA"/>
              </w:rPr>
              <w:t xml:space="preserve"> for 90 days, until a charge was laid in November 2019. He then remained in custody until March 2020, when he pleaded guilty.</w:t>
            </w:r>
          </w:p>
          <w:p w:rsidR="0028541A" w:rsidRPr="0028541A" w:rsidRDefault="0028541A" w:rsidP="0028541A">
            <w:pPr>
              <w:jc w:val="both"/>
              <w:rPr>
                <w:sz w:val="20"/>
                <w:lang w:val="en-CA"/>
              </w:rPr>
            </w:pPr>
          </w:p>
          <w:p w:rsidR="0028541A" w:rsidRPr="0028541A" w:rsidRDefault="0028541A" w:rsidP="0028541A">
            <w:pPr>
              <w:jc w:val="both"/>
              <w:rPr>
                <w:sz w:val="20"/>
                <w:lang w:val="en-CA"/>
              </w:rPr>
            </w:pPr>
            <w:r w:rsidRPr="0028541A">
              <w:rPr>
                <w:sz w:val="20"/>
                <w:lang w:val="en-CA"/>
              </w:rPr>
              <w:t>On March 9, 2020, the Superior Court convicted Mr. Larrivée and sentenced him to imprisonment for eight months for breaching the LTSO condition. The trial judge did not grant credit for the two periods Mr. Larrivée had spent in custody before and after being charged. The Court of Appeal allowed Mr. Larrivée’s appeal in part. It granted credit for the second period in custody (from November 2019, when the charge was laid, until March 2020, when he pleaded guilty), but it held that the trial judge had not erred in not granting credit for the first period in custody before the charge was laid in November 2019.</w:t>
            </w:r>
          </w:p>
          <w:p w:rsidR="0028541A" w:rsidRPr="0028541A" w:rsidRDefault="0028541A" w:rsidP="0028541A">
            <w:pPr>
              <w:jc w:val="both"/>
              <w:rPr>
                <w:sz w:val="20"/>
                <w:lang w:val="en-CA"/>
              </w:rPr>
            </w:pP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lastRenderedPageBreak/>
              <w:t>March 9, 2020</w:t>
            </w:r>
          </w:p>
          <w:p w:rsidR="0028541A" w:rsidRPr="0028541A" w:rsidRDefault="0028541A" w:rsidP="0028541A">
            <w:pPr>
              <w:jc w:val="both"/>
              <w:rPr>
                <w:sz w:val="20"/>
                <w:lang w:val="en-CA"/>
              </w:rPr>
            </w:pPr>
            <w:r w:rsidRPr="0028541A">
              <w:rPr>
                <w:sz w:val="20"/>
                <w:lang w:val="en-CA"/>
              </w:rPr>
              <w:t>Quebec Superior Court</w:t>
            </w:r>
          </w:p>
          <w:p w:rsidR="0028541A" w:rsidRPr="0028541A" w:rsidRDefault="0028541A" w:rsidP="0028541A">
            <w:pPr>
              <w:jc w:val="both"/>
              <w:rPr>
                <w:sz w:val="20"/>
                <w:lang w:val="en-CA"/>
              </w:rPr>
            </w:pPr>
            <w:r w:rsidRPr="0028541A">
              <w:rPr>
                <w:sz w:val="20"/>
                <w:lang w:val="en-CA"/>
              </w:rPr>
              <w:t>(Blanchard J.)</w:t>
            </w:r>
          </w:p>
          <w:p w:rsidR="0028541A" w:rsidRPr="0028541A" w:rsidRDefault="0028541A" w:rsidP="0028541A">
            <w:pPr>
              <w:jc w:val="both"/>
              <w:rPr>
                <w:sz w:val="20"/>
                <w:lang w:val="en-CA"/>
              </w:rPr>
            </w:pPr>
            <w:r w:rsidRPr="0028541A">
              <w:rPr>
                <w:sz w:val="20"/>
                <w:lang w:val="en-CA"/>
              </w:rPr>
              <w:t>700</w:t>
            </w:r>
            <w:r w:rsidRPr="0028541A">
              <w:rPr>
                <w:sz w:val="20"/>
                <w:lang w:val="en-CA"/>
              </w:rPr>
              <w:noBreakHyphen/>
              <w:t>01</w:t>
            </w:r>
            <w:r w:rsidRPr="0028541A">
              <w:rPr>
                <w:sz w:val="20"/>
                <w:lang w:val="en-CA"/>
              </w:rPr>
              <w:noBreakHyphen/>
              <w:t>174863</w:t>
            </w:r>
            <w:r w:rsidRPr="0028541A">
              <w:rPr>
                <w:sz w:val="20"/>
                <w:lang w:val="en-CA"/>
              </w:rPr>
              <w:noBreakHyphen/>
              <w:t>194</w:t>
            </w:r>
          </w:p>
          <w:p w:rsidR="0028541A" w:rsidRPr="0028541A" w:rsidRDefault="0028541A" w:rsidP="0028541A">
            <w:pPr>
              <w:jc w:val="both"/>
              <w:rPr>
                <w:sz w:val="20"/>
                <w:lang w:val="en-CA"/>
              </w:rPr>
            </w:pP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Applicant convicted and sentenced to imprisonment; no credit granted for two periods in custody</w:t>
            </w:r>
          </w:p>
          <w:p w:rsidR="0028541A" w:rsidRPr="0028541A" w:rsidRDefault="0028541A" w:rsidP="0028541A">
            <w:pPr>
              <w:jc w:val="both"/>
              <w:rPr>
                <w:sz w:val="20"/>
                <w:lang w:val="en-CA"/>
              </w:rPr>
            </w:pP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t>December 18, 2020</w:t>
            </w:r>
          </w:p>
          <w:p w:rsidR="0028541A" w:rsidRPr="0028541A" w:rsidRDefault="0028541A" w:rsidP="0028541A">
            <w:pPr>
              <w:jc w:val="both"/>
              <w:rPr>
                <w:sz w:val="20"/>
                <w:lang w:val="en-CA"/>
              </w:rPr>
            </w:pPr>
            <w:r w:rsidRPr="0028541A">
              <w:rPr>
                <w:sz w:val="20"/>
                <w:lang w:val="en-CA"/>
              </w:rPr>
              <w:t>Quebec Court of Appeal (Montréal)</w:t>
            </w:r>
          </w:p>
          <w:p w:rsidR="0028541A" w:rsidRPr="0028541A" w:rsidRDefault="0028541A" w:rsidP="0028541A">
            <w:pPr>
              <w:jc w:val="both"/>
              <w:rPr>
                <w:sz w:val="20"/>
                <w:lang w:val="en-CA"/>
              </w:rPr>
            </w:pPr>
            <w:r w:rsidRPr="0028541A">
              <w:rPr>
                <w:sz w:val="20"/>
                <w:lang w:val="en-CA"/>
              </w:rPr>
              <w:t>(Dutil, Bélanger and Mainville JJ.A.)</w:t>
            </w:r>
          </w:p>
          <w:p w:rsidR="0028541A" w:rsidRPr="0028541A" w:rsidRDefault="00370316" w:rsidP="0028541A">
            <w:pPr>
              <w:jc w:val="both"/>
              <w:rPr>
                <w:sz w:val="20"/>
                <w:lang w:val="en-CA"/>
              </w:rPr>
            </w:pPr>
            <w:hyperlink r:id="rId60" w:history="1">
              <w:r w:rsidR="0028541A" w:rsidRPr="0028541A">
                <w:rPr>
                  <w:rStyle w:val="Hyperlink"/>
                  <w:sz w:val="20"/>
                  <w:lang w:val="en-CA"/>
                </w:rPr>
                <w:t>2020 QCCA 1774</w:t>
              </w:r>
            </w:hyperlink>
          </w:p>
          <w:p w:rsidR="0028541A" w:rsidRPr="0028541A" w:rsidRDefault="0028541A" w:rsidP="0028541A">
            <w:pPr>
              <w:jc w:val="both"/>
              <w:rPr>
                <w:sz w:val="20"/>
                <w:lang w:val="en-CA"/>
              </w:rPr>
            </w:pP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 xml:space="preserve">Appeal allowed in part; credit granted for second period in custody </w:t>
            </w:r>
          </w:p>
          <w:p w:rsidR="0028541A" w:rsidRPr="0028541A" w:rsidRDefault="0028541A" w:rsidP="0028541A">
            <w:pPr>
              <w:jc w:val="both"/>
              <w:rPr>
                <w:sz w:val="20"/>
                <w:lang w:val="en-CA"/>
              </w:rPr>
            </w:pPr>
          </w:p>
        </w:tc>
      </w:tr>
      <w:tr w:rsidR="0028541A" w:rsidRPr="0028541A" w:rsidTr="0028541A">
        <w:tc>
          <w:tcPr>
            <w:tcW w:w="2427" w:type="pct"/>
            <w:gridSpan w:val="2"/>
          </w:tcPr>
          <w:p w:rsidR="0028541A" w:rsidRPr="0028541A" w:rsidRDefault="0028541A" w:rsidP="0028541A">
            <w:pPr>
              <w:jc w:val="both"/>
              <w:rPr>
                <w:sz w:val="20"/>
                <w:lang w:val="en-CA"/>
              </w:rPr>
            </w:pPr>
            <w:r w:rsidRPr="0028541A">
              <w:rPr>
                <w:sz w:val="20"/>
                <w:lang w:val="en-CA"/>
              </w:rPr>
              <w:t>February 15, 2021</w:t>
            </w:r>
          </w:p>
          <w:p w:rsidR="0028541A" w:rsidRPr="0028541A" w:rsidRDefault="0028541A" w:rsidP="0028541A">
            <w:pPr>
              <w:jc w:val="both"/>
              <w:rPr>
                <w:sz w:val="20"/>
                <w:lang w:val="en-CA"/>
              </w:rPr>
            </w:pPr>
            <w:r w:rsidRPr="0028541A">
              <w:rPr>
                <w:sz w:val="20"/>
                <w:lang w:val="en-CA"/>
              </w:rPr>
              <w:t>Supreme Court of Canada</w:t>
            </w:r>
          </w:p>
        </w:tc>
        <w:tc>
          <w:tcPr>
            <w:tcW w:w="243" w:type="pct"/>
          </w:tcPr>
          <w:p w:rsidR="0028541A" w:rsidRPr="0028541A" w:rsidRDefault="0028541A" w:rsidP="0028541A">
            <w:pPr>
              <w:jc w:val="both"/>
              <w:rPr>
                <w:sz w:val="20"/>
                <w:lang w:val="en-CA"/>
              </w:rPr>
            </w:pPr>
          </w:p>
        </w:tc>
        <w:tc>
          <w:tcPr>
            <w:tcW w:w="2330" w:type="pct"/>
          </w:tcPr>
          <w:p w:rsidR="0028541A" w:rsidRPr="0028541A" w:rsidRDefault="0028541A" w:rsidP="0028541A">
            <w:pPr>
              <w:jc w:val="both"/>
              <w:rPr>
                <w:sz w:val="20"/>
                <w:lang w:val="en-CA"/>
              </w:rPr>
            </w:pPr>
            <w:r w:rsidRPr="0028541A">
              <w:rPr>
                <w:sz w:val="20"/>
                <w:lang w:val="en-CA"/>
              </w:rPr>
              <w:t>Application for leave to appeal filed</w:t>
            </w:r>
          </w:p>
        </w:tc>
      </w:tr>
    </w:tbl>
    <w:p w:rsidR="0028541A" w:rsidRDefault="0028541A" w:rsidP="0028541A">
      <w:pPr>
        <w:jc w:val="both"/>
        <w:rPr>
          <w:sz w:val="20"/>
          <w:lang w:val="en-CA"/>
        </w:rPr>
      </w:pPr>
    </w:p>
    <w:p w:rsidR="006500D2" w:rsidRDefault="00370316" w:rsidP="0028541A">
      <w:pPr>
        <w:jc w:val="both"/>
        <w:rPr>
          <w:sz w:val="20"/>
          <w:lang w:val="en-CA"/>
        </w:rPr>
      </w:pPr>
      <w:r>
        <w:rPr>
          <w:sz w:val="20"/>
        </w:rPr>
        <w:pict>
          <v:rect id="_x0000_i1047" style="width:2in;height:1pt" o:hrpct="0" o:hralign="center" o:hrstd="t" o:hrnoshade="t" o:hr="t" fillcolor="black [3213]" stroked="f"/>
        </w:pict>
      </w:r>
    </w:p>
    <w:p w:rsidR="006500D2" w:rsidRPr="0028541A" w:rsidRDefault="006500D2" w:rsidP="0028541A">
      <w:pPr>
        <w:jc w:val="both"/>
        <w:rPr>
          <w:sz w:val="20"/>
          <w:lang w:val="en-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39585</w:t>
            </w:r>
          </w:p>
        </w:tc>
        <w:tc>
          <w:tcPr>
            <w:tcW w:w="4457" w:type="pct"/>
            <w:gridSpan w:val="3"/>
          </w:tcPr>
          <w:p w:rsidR="0028541A" w:rsidRPr="006500D2" w:rsidRDefault="0028541A" w:rsidP="0028541A">
            <w:pPr>
              <w:pStyle w:val="SCCLsocParty"/>
              <w:jc w:val="both"/>
              <w:rPr>
                <w:b/>
                <w:sz w:val="20"/>
                <w:szCs w:val="20"/>
              </w:rPr>
            </w:pPr>
            <w:r w:rsidRPr="006500D2">
              <w:rPr>
                <w:b/>
                <w:sz w:val="20"/>
                <w:szCs w:val="20"/>
              </w:rPr>
              <w:t>Steve Larrivée c. Sa Majesté la Reine</w:t>
            </w:r>
          </w:p>
          <w:p w:rsidR="0028541A" w:rsidRPr="0028541A" w:rsidRDefault="0028541A" w:rsidP="0028541A">
            <w:pPr>
              <w:pStyle w:val="SCCLsocOtherPartySeparator"/>
              <w:rPr>
                <w:sz w:val="20"/>
                <w:szCs w:val="20"/>
              </w:rPr>
            </w:pPr>
            <w:r w:rsidRPr="0028541A">
              <w:rPr>
                <w:sz w:val="20"/>
                <w:szCs w:val="20"/>
              </w:rPr>
              <w:t>- et -</w:t>
            </w:r>
          </w:p>
          <w:p w:rsidR="0028541A" w:rsidRPr="006500D2" w:rsidRDefault="0028541A" w:rsidP="0028541A">
            <w:pPr>
              <w:pStyle w:val="SCCLsocParty"/>
              <w:jc w:val="both"/>
              <w:rPr>
                <w:b/>
                <w:sz w:val="20"/>
                <w:szCs w:val="20"/>
              </w:rPr>
            </w:pPr>
            <w:r w:rsidRPr="006500D2">
              <w:rPr>
                <w:b/>
                <w:sz w:val="20"/>
                <w:szCs w:val="20"/>
              </w:rPr>
              <w:t>Association des avocats et avocates en droit carcéral du Québec</w:t>
            </w:r>
          </w:p>
          <w:p w:rsidR="0028541A" w:rsidRPr="0028541A" w:rsidRDefault="0028541A" w:rsidP="0028541A">
            <w:pPr>
              <w:jc w:val="both"/>
              <w:rPr>
                <w:sz w:val="20"/>
              </w:rPr>
            </w:pPr>
            <w:r w:rsidRPr="0028541A">
              <w:rPr>
                <w:sz w:val="20"/>
              </w:rPr>
              <w:t>(Qc) (Criminelle) (Autorisation)</w:t>
            </w:r>
          </w:p>
        </w:tc>
      </w:tr>
      <w:tr w:rsidR="0028541A" w:rsidRPr="00370316" w:rsidTr="0028541A">
        <w:tc>
          <w:tcPr>
            <w:tcW w:w="5000" w:type="pct"/>
            <w:gridSpan w:val="4"/>
          </w:tcPr>
          <w:p w:rsidR="0028541A" w:rsidRPr="0028541A" w:rsidRDefault="0028541A" w:rsidP="0028541A">
            <w:pPr>
              <w:pStyle w:val="SCCBanSummary"/>
              <w:rPr>
                <w:sz w:val="20"/>
                <w:szCs w:val="20"/>
                <w:lang w:val="fr-CA"/>
              </w:rPr>
            </w:pPr>
            <w:r w:rsidRPr="0028541A">
              <w:rPr>
                <w:sz w:val="20"/>
                <w:szCs w:val="20"/>
                <w:lang w:val="fr-CA"/>
              </w:rPr>
              <w:t>(Ordonnance de non</w:t>
            </w:r>
            <w:r w:rsidRPr="0028541A">
              <w:rPr>
                <w:sz w:val="20"/>
                <w:szCs w:val="20"/>
                <w:lang w:val="fr-CA"/>
              </w:rPr>
              <w:noBreakHyphen/>
              <w:t>publication dans le dossier)</w:t>
            </w:r>
          </w:p>
          <w:p w:rsidR="0028541A" w:rsidRPr="0028541A" w:rsidRDefault="0028541A" w:rsidP="0028541A">
            <w:pPr>
              <w:jc w:val="both"/>
              <w:rPr>
                <w:sz w:val="20"/>
                <w:lang w:val="fr-CA"/>
              </w:rPr>
            </w:pPr>
          </w:p>
        </w:tc>
      </w:tr>
      <w:tr w:rsidR="0028541A" w:rsidRPr="00370316" w:rsidTr="0028541A">
        <w:tc>
          <w:tcPr>
            <w:tcW w:w="5000" w:type="pct"/>
            <w:gridSpan w:val="4"/>
          </w:tcPr>
          <w:p w:rsidR="0028541A" w:rsidRPr="0028541A" w:rsidRDefault="0028541A" w:rsidP="0028541A">
            <w:pPr>
              <w:jc w:val="both"/>
              <w:rPr>
                <w:sz w:val="20"/>
                <w:lang w:val="fr-CA"/>
              </w:rPr>
            </w:pPr>
            <w:r w:rsidRPr="0028541A">
              <w:rPr>
                <w:sz w:val="20"/>
                <w:lang w:val="fr-CA"/>
              </w:rPr>
              <w:t>Droit criminel — Détermination de la peine — Violation d’une ordonnance de surveillance de longue durée — Le juge de première instance a</w:t>
            </w:r>
            <w:r w:rsidRPr="0028541A">
              <w:rPr>
                <w:sz w:val="20"/>
                <w:lang w:val="fr-CA"/>
              </w:rPr>
              <w:noBreakHyphen/>
              <w:t>t</w:t>
            </w:r>
            <w:r w:rsidRPr="0028541A">
              <w:rPr>
                <w:sz w:val="20"/>
                <w:lang w:val="fr-CA"/>
              </w:rPr>
              <w:noBreakHyphen/>
              <w:t>il erré en excluant le temps de détention de 85 jours entre l’arrestation du demandeur et sa mise en accusation formelle, à titre de détention provisoire au sens des paragraphes 719(3</w:t>
            </w:r>
            <w:proofErr w:type="gramStart"/>
            <w:r w:rsidRPr="0028541A">
              <w:rPr>
                <w:sz w:val="20"/>
                <w:lang w:val="fr-CA"/>
              </w:rPr>
              <w:t>)(</w:t>
            </w:r>
            <w:proofErr w:type="gramEnd"/>
            <w:r w:rsidRPr="0028541A">
              <w:rPr>
                <w:sz w:val="20"/>
                <w:lang w:val="fr-CA"/>
              </w:rPr>
              <w:t xml:space="preserve">3.1) </w:t>
            </w:r>
            <w:r w:rsidRPr="0028541A">
              <w:rPr>
                <w:i/>
                <w:sz w:val="20"/>
                <w:lang w:val="fr-CA"/>
              </w:rPr>
              <w:t xml:space="preserve">C.cr. </w:t>
            </w:r>
            <w:r w:rsidRPr="0028541A">
              <w:rPr>
                <w:sz w:val="20"/>
                <w:lang w:val="fr-CA"/>
              </w:rPr>
              <w:t>?</w:t>
            </w:r>
            <w:r w:rsidRPr="0028541A">
              <w:rPr>
                <w:i/>
                <w:sz w:val="20"/>
                <w:lang w:val="fr-CA"/>
              </w:rPr>
              <w:t xml:space="preserve"> — Code criminel</w:t>
            </w:r>
            <w:r w:rsidRPr="0028541A">
              <w:rPr>
                <w:sz w:val="20"/>
                <w:lang w:val="fr-CA"/>
              </w:rPr>
              <w:t>, L.R.C. 1985, ch. C</w:t>
            </w:r>
            <w:r w:rsidRPr="0028541A">
              <w:rPr>
                <w:sz w:val="20"/>
                <w:lang w:val="fr-CA"/>
              </w:rPr>
              <w:noBreakHyphen/>
              <w:t xml:space="preserve">46,  art. 719, 753, 753.1, 753.3 — </w:t>
            </w:r>
            <w:r w:rsidRPr="0028541A">
              <w:rPr>
                <w:i/>
                <w:sz w:val="20"/>
                <w:lang w:val="fr-CA"/>
              </w:rPr>
              <w:t>Loi sur le système correctionnel et la mise en liberté sous condition</w:t>
            </w:r>
            <w:r w:rsidRPr="0028541A">
              <w:rPr>
                <w:sz w:val="20"/>
                <w:lang w:val="fr-CA"/>
              </w:rPr>
              <w:t>, L.C. 1992, ch. 20, art. 135, 135.1.</w:t>
            </w:r>
          </w:p>
        </w:tc>
      </w:tr>
      <w:tr w:rsidR="0028541A" w:rsidRPr="00370316" w:rsidTr="0028541A">
        <w:tc>
          <w:tcPr>
            <w:tcW w:w="5000" w:type="pct"/>
            <w:gridSpan w:val="4"/>
          </w:tcPr>
          <w:p w:rsidR="0028541A" w:rsidRPr="0028541A" w:rsidRDefault="0028541A" w:rsidP="0028541A">
            <w:pPr>
              <w:jc w:val="both"/>
              <w:rPr>
                <w:sz w:val="20"/>
                <w:lang w:val="fr-CA"/>
              </w:rPr>
            </w:pPr>
          </w:p>
          <w:p w:rsidR="0028541A" w:rsidRPr="0028541A" w:rsidRDefault="0028541A" w:rsidP="0028541A">
            <w:pPr>
              <w:jc w:val="both"/>
              <w:rPr>
                <w:sz w:val="20"/>
                <w:lang w:val="fr-CA"/>
              </w:rPr>
            </w:pPr>
            <w:r w:rsidRPr="0028541A">
              <w:rPr>
                <w:sz w:val="20"/>
                <w:lang w:val="fr-CA"/>
              </w:rPr>
              <w:t xml:space="preserve">L’accusé, le demandeur Steve Larrivée, a été condamné à une peine de neuf ans d’emprisonnement suivis d’une surveillance de longue durée après avoir été déclaré délinquant à contrôler. Une ordonnance de surveillance de longue durée (« OSLD ») d’une durée de trois ans l’interdisait, entre autres, de communiquer avec son fils mineur. Après sa libération, M. Larrivée communique 30 fois avec son fils mineur par l’intermédiaire de </w:t>
            </w:r>
            <w:r w:rsidRPr="0028541A">
              <w:rPr>
                <w:i/>
                <w:sz w:val="20"/>
                <w:lang w:val="fr-CA"/>
              </w:rPr>
              <w:t>Messenger</w:t>
            </w:r>
            <w:r w:rsidRPr="0028541A">
              <w:rPr>
                <w:sz w:val="20"/>
                <w:lang w:val="fr-CA"/>
              </w:rPr>
              <w:t xml:space="preserve">, manquant ainsi à une condition de son OSLD. En août 2019, la période de surveillance est suspendue en vertu de l’art. 135.1 de la </w:t>
            </w:r>
            <w:r w:rsidRPr="0028541A">
              <w:rPr>
                <w:i/>
                <w:sz w:val="20"/>
                <w:lang w:val="fr-CA"/>
              </w:rPr>
              <w:t>Loi sur le système correctionnel et la mise en liberté sous condition</w:t>
            </w:r>
            <w:r w:rsidRPr="0028541A">
              <w:rPr>
                <w:sz w:val="20"/>
                <w:lang w:val="fr-CA"/>
              </w:rPr>
              <w:t>, et M. Larrivée est incarcéré dans un pénitencier pour avoir enfreint l’interdit de communication. Sa liberté est révoquée pour une période de 90 jours, jusqu’au dépôt de l’acte d’accusation en novembre 2019. Monsieur Larrivée demeure ensuite incarcéré jusqu’en mars 2020, lorsqu’il plaide coupable.</w:t>
            </w:r>
          </w:p>
          <w:p w:rsidR="0028541A" w:rsidRPr="0028541A" w:rsidRDefault="0028541A" w:rsidP="0028541A">
            <w:pPr>
              <w:jc w:val="both"/>
              <w:rPr>
                <w:sz w:val="20"/>
                <w:lang w:val="fr-CA"/>
              </w:rPr>
            </w:pPr>
          </w:p>
          <w:p w:rsidR="0028541A" w:rsidRPr="0028541A" w:rsidRDefault="0028541A" w:rsidP="0028541A">
            <w:pPr>
              <w:jc w:val="both"/>
              <w:rPr>
                <w:sz w:val="20"/>
                <w:lang w:val="fr-CA"/>
              </w:rPr>
            </w:pPr>
            <w:r w:rsidRPr="0028541A">
              <w:rPr>
                <w:sz w:val="20"/>
                <w:lang w:val="fr-CA"/>
              </w:rPr>
              <w:t>Le 9 mars 2020, la Cour supérieure condamne M. Larrivée et impose une peine d’emprisonnement de huit mois pour bris de condition de l’OSLD. Le juge de première instance n’accorde pas de crédit pour les deux périodes de détention, pré</w:t>
            </w:r>
            <w:r w:rsidRPr="0028541A">
              <w:rPr>
                <w:sz w:val="20"/>
                <w:lang w:val="fr-CA"/>
              </w:rPr>
              <w:noBreakHyphen/>
              <w:t xml:space="preserve"> et post</w:t>
            </w:r>
            <w:r w:rsidRPr="0028541A">
              <w:rPr>
                <w:sz w:val="20"/>
                <w:lang w:val="fr-CA"/>
              </w:rPr>
              <w:noBreakHyphen/>
              <w:t>inculpatoire. La Cour d’appel accueille en partie l’appel de M. Larrivée. Elle accorde un crédit pour la deuxième période de détention (du dépôt de l’acte d’accusation en novembre 2019 jusqu’en mars 2020 lorsqu’il plaide coupable); mais elle conclut que le juge de première instance n’a pas erré en n’accordant pas de crédit pour la première période de détention avant le dépôt de l’acte d’accusation en novembre 2019.</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lastRenderedPageBreak/>
              <w:t>Le 9 mars 2020</w:t>
            </w:r>
          </w:p>
          <w:p w:rsidR="0028541A" w:rsidRPr="0028541A" w:rsidRDefault="0028541A" w:rsidP="0028541A">
            <w:pPr>
              <w:jc w:val="both"/>
              <w:rPr>
                <w:sz w:val="20"/>
                <w:lang w:val="fr-CA"/>
              </w:rPr>
            </w:pPr>
            <w:r w:rsidRPr="0028541A">
              <w:rPr>
                <w:sz w:val="20"/>
                <w:lang w:val="fr-CA"/>
              </w:rPr>
              <w:t>Cour supérieure du Québec</w:t>
            </w:r>
          </w:p>
          <w:p w:rsidR="0028541A" w:rsidRPr="0028541A" w:rsidRDefault="0028541A" w:rsidP="0028541A">
            <w:pPr>
              <w:jc w:val="both"/>
              <w:rPr>
                <w:sz w:val="20"/>
              </w:rPr>
            </w:pPr>
            <w:r w:rsidRPr="0028541A">
              <w:rPr>
                <w:sz w:val="20"/>
              </w:rPr>
              <w:t>(le juge Blanchard)</w:t>
            </w:r>
          </w:p>
          <w:p w:rsidR="0028541A" w:rsidRPr="0028541A" w:rsidRDefault="0028541A" w:rsidP="0028541A">
            <w:pPr>
              <w:jc w:val="both"/>
              <w:rPr>
                <w:sz w:val="20"/>
              </w:rPr>
            </w:pPr>
            <w:r w:rsidRPr="0028541A">
              <w:rPr>
                <w:sz w:val="20"/>
              </w:rPr>
              <w:t>700</w:t>
            </w:r>
            <w:r w:rsidRPr="0028541A">
              <w:rPr>
                <w:sz w:val="20"/>
              </w:rPr>
              <w:noBreakHyphen/>
              <w:t>01</w:t>
            </w:r>
            <w:r w:rsidRPr="0028541A">
              <w:rPr>
                <w:sz w:val="20"/>
              </w:rPr>
              <w:noBreakHyphen/>
              <w:t>174863</w:t>
            </w:r>
            <w:r w:rsidRPr="0028541A">
              <w:rPr>
                <w:sz w:val="20"/>
              </w:rPr>
              <w:noBreakHyphen/>
              <w:t>194</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Condamnation et peine d’emprisonnement prononcée; aucun crédit accordé pour les deux périodes de détention</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Le 18 décembre 2020</w:t>
            </w:r>
          </w:p>
          <w:p w:rsidR="0028541A" w:rsidRPr="0028541A" w:rsidRDefault="0028541A" w:rsidP="0028541A">
            <w:pPr>
              <w:jc w:val="both"/>
              <w:rPr>
                <w:sz w:val="20"/>
                <w:lang w:val="fr-CA"/>
              </w:rPr>
            </w:pPr>
            <w:r w:rsidRPr="0028541A">
              <w:rPr>
                <w:sz w:val="20"/>
                <w:lang w:val="fr-CA"/>
              </w:rPr>
              <w:t>Cour d’appel du Québec (Montréal)</w:t>
            </w:r>
          </w:p>
          <w:p w:rsidR="0028541A" w:rsidRPr="0028541A" w:rsidRDefault="0028541A" w:rsidP="0028541A">
            <w:pPr>
              <w:jc w:val="both"/>
              <w:rPr>
                <w:sz w:val="20"/>
                <w:lang w:val="fr-CA"/>
              </w:rPr>
            </w:pPr>
            <w:r w:rsidRPr="0028541A">
              <w:rPr>
                <w:sz w:val="20"/>
                <w:lang w:val="fr-CA"/>
              </w:rPr>
              <w:t>(les juges Dutil, Bélanger et Mainville)</w:t>
            </w:r>
          </w:p>
          <w:p w:rsidR="0028541A" w:rsidRPr="0028541A" w:rsidRDefault="00370316" w:rsidP="0028541A">
            <w:pPr>
              <w:jc w:val="both"/>
              <w:rPr>
                <w:sz w:val="20"/>
              </w:rPr>
            </w:pPr>
            <w:hyperlink r:id="rId61" w:history="1">
              <w:r w:rsidR="0028541A" w:rsidRPr="0028541A">
                <w:rPr>
                  <w:rStyle w:val="Hyperlink"/>
                  <w:sz w:val="20"/>
                </w:rPr>
                <w:t>2020 QCCA 1774</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 xml:space="preserve">Appel accueilli en partie; crédit accordé pour la deuxième période de détention </w:t>
            </w:r>
          </w:p>
          <w:p w:rsidR="0028541A" w:rsidRPr="0028541A" w:rsidRDefault="0028541A" w:rsidP="0028541A">
            <w:pPr>
              <w:jc w:val="both"/>
              <w:rPr>
                <w:sz w:val="20"/>
                <w:lang w:val="fr-CA"/>
              </w:rPr>
            </w:pPr>
          </w:p>
        </w:tc>
      </w:tr>
      <w:tr w:rsidR="0028541A" w:rsidRPr="0028541A" w:rsidTr="0028541A">
        <w:tc>
          <w:tcPr>
            <w:tcW w:w="2427" w:type="pct"/>
            <w:gridSpan w:val="2"/>
          </w:tcPr>
          <w:p w:rsidR="0028541A" w:rsidRPr="0028541A" w:rsidRDefault="0028541A" w:rsidP="0028541A">
            <w:pPr>
              <w:jc w:val="both"/>
              <w:rPr>
                <w:sz w:val="20"/>
                <w:lang w:val="fr-CA"/>
              </w:rPr>
            </w:pPr>
            <w:r w:rsidRPr="0028541A">
              <w:rPr>
                <w:sz w:val="20"/>
                <w:lang w:val="fr-CA"/>
              </w:rPr>
              <w:t>Le 15 février 2021</w:t>
            </w:r>
          </w:p>
          <w:p w:rsidR="0028541A" w:rsidRPr="0028541A" w:rsidRDefault="0028541A" w:rsidP="0028541A">
            <w:pPr>
              <w:jc w:val="both"/>
              <w:rPr>
                <w:sz w:val="20"/>
                <w:lang w:val="fr-CA"/>
              </w:rPr>
            </w:pPr>
            <w:r w:rsidRPr="0028541A">
              <w:rPr>
                <w:sz w:val="20"/>
                <w:lang w:val="fr-CA"/>
              </w:rPr>
              <w:t>Cour suprême du Canada</w:t>
            </w: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rPr>
            </w:pPr>
            <w:r w:rsidRPr="0028541A">
              <w:rPr>
                <w:sz w:val="20"/>
              </w:rPr>
              <w:t>Demande d’autorisation d’appel déposée</w:t>
            </w:r>
          </w:p>
        </w:tc>
      </w:tr>
    </w:tbl>
    <w:p w:rsidR="0028541A" w:rsidRDefault="0028541A" w:rsidP="0028541A">
      <w:pPr>
        <w:jc w:val="both"/>
        <w:rPr>
          <w:sz w:val="20"/>
        </w:rPr>
      </w:pPr>
    </w:p>
    <w:p w:rsidR="006500D2" w:rsidRPr="0028541A" w:rsidRDefault="00370316" w:rsidP="0028541A">
      <w:pPr>
        <w:jc w:val="both"/>
        <w:rPr>
          <w:sz w:val="20"/>
        </w:rPr>
      </w:pPr>
      <w:r>
        <w:rPr>
          <w:sz w:val="20"/>
        </w:rPr>
        <w:pict>
          <v:rect id="_x0000_i1048" style="width:2in;height:1pt" o:hrpct="0" o:hralign="center" o:hrstd="t" o:hrnoshade="t" o:hr="t" fillcolor="black [3213]" stroked="f"/>
        </w:pict>
      </w:r>
    </w:p>
    <w:p w:rsidR="0028541A" w:rsidRPr="0028541A" w:rsidRDefault="0028541A" w:rsidP="0028541A">
      <w:pPr>
        <w:widowControl w:val="0"/>
        <w:tabs>
          <w:tab w:val="left" w:pos="3840"/>
        </w:tabs>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39767</w:t>
            </w:r>
          </w:p>
        </w:tc>
        <w:tc>
          <w:tcPr>
            <w:tcW w:w="4457" w:type="pct"/>
            <w:gridSpan w:val="3"/>
          </w:tcPr>
          <w:p w:rsidR="0028541A" w:rsidRPr="006500D2" w:rsidRDefault="0028541A" w:rsidP="0028541A">
            <w:pPr>
              <w:pStyle w:val="SCCLsocParty"/>
              <w:jc w:val="both"/>
              <w:rPr>
                <w:b/>
                <w:sz w:val="20"/>
                <w:szCs w:val="20"/>
                <w:lang w:val="en-US"/>
              </w:rPr>
            </w:pPr>
            <w:r w:rsidRPr="006500D2">
              <w:rPr>
                <w:b/>
                <w:sz w:val="20"/>
                <w:szCs w:val="20"/>
                <w:lang w:val="en-US"/>
              </w:rPr>
              <w:t>Terry Wingert v. Her Majesty the Queen</w:t>
            </w:r>
          </w:p>
          <w:p w:rsidR="0028541A" w:rsidRPr="0028541A" w:rsidRDefault="006500D2" w:rsidP="0028541A">
            <w:pPr>
              <w:jc w:val="both"/>
              <w:rPr>
                <w:sz w:val="20"/>
              </w:rPr>
            </w:pPr>
            <w:r>
              <w:rPr>
                <w:sz w:val="20"/>
              </w:rPr>
              <w:t>(Alta.) (Criminal) (By Leave)</w:t>
            </w:r>
          </w:p>
        </w:tc>
      </w:tr>
      <w:tr w:rsidR="0028541A" w:rsidRPr="0028541A" w:rsidTr="0028541A">
        <w:tc>
          <w:tcPr>
            <w:tcW w:w="5000" w:type="pct"/>
            <w:gridSpan w:val="4"/>
          </w:tcPr>
          <w:p w:rsidR="0028541A" w:rsidRPr="0028541A" w:rsidRDefault="0028541A" w:rsidP="0028541A">
            <w:pPr>
              <w:pStyle w:val="SCCBanSummary"/>
              <w:rPr>
                <w:sz w:val="20"/>
                <w:szCs w:val="20"/>
              </w:rPr>
            </w:pPr>
            <w:r w:rsidRPr="0028541A">
              <w:rPr>
                <w:sz w:val="20"/>
                <w:szCs w:val="20"/>
              </w:rPr>
              <w:t>(Publication ban in case)</w:t>
            </w:r>
          </w:p>
          <w:p w:rsidR="0028541A" w:rsidRPr="0028541A" w:rsidRDefault="0028541A" w:rsidP="0028541A">
            <w:pPr>
              <w:jc w:val="both"/>
              <w:rPr>
                <w:sz w:val="20"/>
              </w:rPr>
            </w:pPr>
          </w:p>
          <w:p w:rsidR="0028541A" w:rsidRPr="0028541A" w:rsidRDefault="0028541A" w:rsidP="0028541A">
            <w:pPr>
              <w:jc w:val="both"/>
              <w:rPr>
                <w:sz w:val="20"/>
              </w:rPr>
            </w:pPr>
            <w:r w:rsidRPr="0028541A">
              <w:rPr>
                <w:sz w:val="20"/>
              </w:rPr>
              <w:t>Criminal law — Evidence — Admissibility — Reliability — Confessions — “Mr. Big” confessions — Whether the applicant’s confession, obtained through a “Mr. Big” investigation, was sufficiently reliable to be admitted into evidence at trial — If so, whether the applicant’s confession was sufficiently reliable for the Crown to prove beyond a reasonable doubt the necessary intent for a conviction of second</w:t>
            </w:r>
            <w:r w:rsidRPr="0028541A">
              <w:rPr>
                <w:sz w:val="20"/>
              </w:rPr>
              <w:noBreakHyphen/>
              <w:t xml:space="preserve">degree murder — What constitutes a “Mr. Big” confession? — To what extent is the framework developed in </w:t>
            </w:r>
            <w:r w:rsidRPr="0028541A">
              <w:rPr>
                <w:i/>
                <w:color w:val="000000"/>
                <w:sz w:val="20"/>
              </w:rPr>
              <w:t xml:space="preserve">R. </w:t>
            </w:r>
            <w:r w:rsidRPr="0028541A">
              <w:rPr>
                <w:i/>
                <w:iCs/>
                <w:color w:val="000000"/>
                <w:sz w:val="20"/>
              </w:rPr>
              <w:t>v.</w:t>
            </w:r>
            <w:r w:rsidRPr="0028541A">
              <w:rPr>
                <w:i/>
                <w:color w:val="000000"/>
                <w:sz w:val="20"/>
              </w:rPr>
              <w:t xml:space="preserve"> Bradshaw</w:t>
            </w:r>
            <w:r w:rsidRPr="0028541A">
              <w:rPr>
                <w:color w:val="000000"/>
                <w:sz w:val="20"/>
              </w:rPr>
              <w:t>, 2017 SCC 35, [2017] 1 S.C.R. 865</w:t>
            </w:r>
            <w:r w:rsidRPr="0028541A">
              <w:rPr>
                <w:sz w:val="20"/>
              </w:rPr>
              <w:t>, applicable in the context of “Mr. Big” confessions? — How should courts ensure a proper separation between the test for establishing the threshold and ultimate reliability of a “Mr. Big” confession?</w:t>
            </w:r>
          </w:p>
        </w:tc>
      </w:tr>
      <w:tr w:rsidR="0028541A" w:rsidRPr="0028541A" w:rsidTr="0028541A">
        <w:tc>
          <w:tcPr>
            <w:tcW w:w="5000" w:type="pct"/>
            <w:gridSpan w:val="4"/>
          </w:tcPr>
          <w:p w:rsidR="0028541A" w:rsidRPr="0028541A" w:rsidRDefault="0028541A" w:rsidP="0028541A">
            <w:pPr>
              <w:jc w:val="both"/>
              <w:rPr>
                <w:sz w:val="20"/>
              </w:rPr>
            </w:pPr>
          </w:p>
          <w:p w:rsidR="0028541A" w:rsidRPr="0028541A" w:rsidRDefault="0028541A" w:rsidP="0028541A">
            <w:pPr>
              <w:jc w:val="both"/>
              <w:rPr>
                <w:sz w:val="20"/>
              </w:rPr>
            </w:pPr>
            <w:r w:rsidRPr="0028541A">
              <w:rPr>
                <w:sz w:val="20"/>
              </w:rPr>
              <w:t xml:space="preserve">The applicant, Terry Wingert, was charged with second-degree murder. As part of the investigation into the murder, a “Mr. Big” operation was carried out in which the applicant was subjected to 45 different police scenarios. During the 32nd scenario, he confessed to an undercover police officer that he played a role in the murder of the victim. The confession was video and audio recorded. The applicant was then arrested and interviewed by a detective to whom he also confessed about his role in the murder. After the applicant’s guilty plea to the lesser and included offence of manslaughter was rejected by the Crown, the trial proceeded. </w:t>
            </w:r>
          </w:p>
          <w:p w:rsidR="0028541A" w:rsidRPr="0028541A" w:rsidRDefault="0028541A" w:rsidP="0028541A">
            <w:pPr>
              <w:jc w:val="both"/>
              <w:rPr>
                <w:sz w:val="20"/>
              </w:rPr>
            </w:pPr>
          </w:p>
          <w:p w:rsidR="0028541A" w:rsidRPr="0028541A" w:rsidRDefault="0028541A" w:rsidP="0028541A">
            <w:pPr>
              <w:jc w:val="both"/>
              <w:rPr>
                <w:sz w:val="20"/>
              </w:rPr>
            </w:pPr>
            <w:r w:rsidRPr="0028541A">
              <w:rPr>
                <w:sz w:val="20"/>
              </w:rPr>
              <w:t xml:space="preserve">A </w:t>
            </w:r>
            <w:r w:rsidRPr="0028541A">
              <w:rPr>
                <w:i/>
                <w:sz w:val="20"/>
              </w:rPr>
              <w:t>voir dire</w:t>
            </w:r>
            <w:r w:rsidRPr="0028541A">
              <w:rPr>
                <w:sz w:val="20"/>
              </w:rPr>
              <w:t xml:space="preserve"> was held in which the trial judge concluded that the confession and statement were admissible as evidence. The trial judge found that the applicant had the requisite intent for murder under s. 229(a) of the </w:t>
            </w:r>
            <w:r w:rsidRPr="0028541A">
              <w:rPr>
                <w:i/>
                <w:sz w:val="20"/>
              </w:rPr>
              <w:t>Criminal Code</w:t>
            </w:r>
            <w:r w:rsidRPr="0028541A">
              <w:rPr>
                <w:sz w:val="20"/>
              </w:rPr>
              <w:t>, R.S.C. 1985, c. C</w:t>
            </w:r>
            <w:r w:rsidRPr="0028541A">
              <w:rPr>
                <w:sz w:val="20"/>
              </w:rPr>
              <w:noBreakHyphen/>
              <w:t>46,</w:t>
            </w:r>
            <w:r w:rsidRPr="0028541A">
              <w:rPr>
                <w:i/>
                <w:sz w:val="20"/>
              </w:rPr>
              <w:t xml:space="preserve"> </w:t>
            </w:r>
            <w:r w:rsidRPr="0028541A">
              <w:rPr>
                <w:sz w:val="20"/>
              </w:rPr>
              <w:t xml:space="preserve">and convicted him of second-degree murder. The Court of Appeal dismissed the applicant’s conviction appeal. It rejected the applicant’s arguments that (1) the trial judge erred in admitting the confession, as it was not reliable; and (2) the trial judge erred in finding the confession provided the necessary proof of intent, and the verdict based on that confession was therefore unreasonable. </w:t>
            </w:r>
          </w:p>
        </w:tc>
      </w:tr>
      <w:tr w:rsidR="0028541A" w:rsidRPr="0028541A" w:rsidTr="0028541A">
        <w:tc>
          <w:tcPr>
            <w:tcW w:w="5000" w:type="pct"/>
            <w:gridSpan w:val="4"/>
          </w:tcPr>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July 3, 2018</w:t>
            </w:r>
          </w:p>
          <w:p w:rsidR="0028541A" w:rsidRPr="0028541A" w:rsidRDefault="0028541A" w:rsidP="0028541A">
            <w:pPr>
              <w:jc w:val="both"/>
              <w:rPr>
                <w:sz w:val="20"/>
              </w:rPr>
            </w:pPr>
            <w:r w:rsidRPr="0028541A">
              <w:rPr>
                <w:sz w:val="20"/>
              </w:rPr>
              <w:t>Court of Queen’s Bench of Alberta</w:t>
            </w:r>
          </w:p>
          <w:p w:rsidR="0028541A" w:rsidRPr="0028541A" w:rsidRDefault="0028541A" w:rsidP="0028541A">
            <w:pPr>
              <w:jc w:val="both"/>
              <w:rPr>
                <w:sz w:val="20"/>
              </w:rPr>
            </w:pPr>
            <w:r w:rsidRPr="0028541A">
              <w:rPr>
                <w:sz w:val="20"/>
              </w:rPr>
              <w:t>(Brooker J.)</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 xml:space="preserve">Ruling on </w:t>
            </w:r>
            <w:r w:rsidRPr="0028541A">
              <w:rPr>
                <w:i/>
                <w:sz w:val="20"/>
              </w:rPr>
              <w:t>voir dire</w:t>
            </w:r>
            <w:r w:rsidRPr="0028541A">
              <w:rPr>
                <w:sz w:val="20"/>
              </w:rPr>
              <w:t>: confession ruled admissible</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May 9, 2019</w:t>
            </w:r>
          </w:p>
          <w:p w:rsidR="0028541A" w:rsidRPr="0028541A" w:rsidRDefault="0028541A" w:rsidP="0028541A">
            <w:pPr>
              <w:jc w:val="both"/>
              <w:rPr>
                <w:sz w:val="20"/>
              </w:rPr>
            </w:pPr>
            <w:r w:rsidRPr="0028541A">
              <w:rPr>
                <w:sz w:val="20"/>
              </w:rPr>
              <w:t>Court of Queen’s Bench of Alberta</w:t>
            </w:r>
          </w:p>
          <w:p w:rsidR="0028541A" w:rsidRPr="0028541A" w:rsidRDefault="0028541A" w:rsidP="0028541A">
            <w:pPr>
              <w:jc w:val="both"/>
              <w:rPr>
                <w:sz w:val="20"/>
              </w:rPr>
            </w:pPr>
            <w:r w:rsidRPr="0028541A">
              <w:rPr>
                <w:sz w:val="20"/>
              </w:rPr>
              <w:t>(Brooker J.)</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Conviction for second</w:t>
            </w:r>
            <w:r w:rsidRPr="0028541A">
              <w:rPr>
                <w:sz w:val="20"/>
              </w:rPr>
              <w:noBreakHyphen/>
              <w:t>degree murder</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t>August 26, 2020</w:t>
            </w:r>
          </w:p>
          <w:p w:rsidR="0028541A" w:rsidRPr="0028541A" w:rsidRDefault="0028541A" w:rsidP="0028541A">
            <w:pPr>
              <w:jc w:val="both"/>
              <w:rPr>
                <w:sz w:val="20"/>
              </w:rPr>
            </w:pPr>
            <w:r w:rsidRPr="0028541A">
              <w:rPr>
                <w:sz w:val="20"/>
              </w:rPr>
              <w:t>Court of Appeal of Alberta (Calgary)</w:t>
            </w:r>
          </w:p>
          <w:p w:rsidR="0028541A" w:rsidRPr="0028541A" w:rsidRDefault="0028541A" w:rsidP="0028541A">
            <w:pPr>
              <w:jc w:val="both"/>
              <w:rPr>
                <w:sz w:val="20"/>
              </w:rPr>
            </w:pPr>
            <w:r w:rsidRPr="0028541A">
              <w:rPr>
                <w:sz w:val="20"/>
              </w:rPr>
              <w:t>(Martin, Watson and O’Ferrall JJ.A.)</w:t>
            </w:r>
          </w:p>
          <w:p w:rsidR="0028541A" w:rsidRPr="0028541A" w:rsidRDefault="00370316" w:rsidP="0028541A">
            <w:pPr>
              <w:jc w:val="both"/>
              <w:rPr>
                <w:sz w:val="20"/>
              </w:rPr>
            </w:pPr>
            <w:hyperlink r:id="rId62" w:history="1">
              <w:r w:rsidR="0028541A" w:rsidRPr="0028541A">
                <w:rPr>
                  <w:rStyle w:val="Hyperlink"/>
                  <w:sz w:val="20"/>
                </w:rPr>
                <w:t>2020 ABCA 304</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Appeal dismissed</w:t>
            </w:r>
          </w:p>
          <w:p w:rsidR="0028541A" w:rsidRPr="0028541A" w:rsidRDefault="0028541A" w:rsidP="0028541A">
            <w:pPr>
              <w:jc w:val="both"/>
              <w:rPr>
                <w:sz w:val="20"/>
              </w:rPr>
            </w:pPr>
          </w:p>
        </w:tc>
      </w:tr>
      <w:tr w:rsidR="0028541A" w:rsidRPr="0028541A" w:rsidTr="0028541A">
        <w:tc>
          <w:tcPr>
            <w:tcW w:w="2427" w:type="pct"/>
            <w:gridSpan w:val="2"/>
          </w:tcPr>
          <w:p w:rsidR="0028541A" w:rsidRPr="0028541A" w:rsidRDefault="0028541A" w:rsidP="0028541A">
            <w:pPr>
              <w:jc w:val="both"/>
              <w:rPr>
                <w:sz w:val="20"/>
              </w:rPr>
            </w:pPr>
            <w:r w:rsidRPr="0028541A">
              <w:rPr>
                <w:sz w:val="20"/>
              </w:rPr>
              <w:lastRenderedPageBreak/>
              <w:t>July 14, 2021</w:t>
            </w:r>
          </w:p>
          <w:p w:rsidR="0028541A" w:rsidRPr="0028541A" w:rsidRDefault="0028541A" w:rsidP="004E7825">
            <w:pPr>
              <w:jc w:val="both"/>
              <w:rPr>
                <w:sz w:val="20"/>
              </w:rPr>
            </w:pPr>
            <w:r w:rsidRPr="0028541A">
              <w:rPr>
                <w:sz w:val="20"/>
              </w:rPr>
              <w:t>Supreme Court of Canada</w:t>
            </w: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Application for leave to appeal filed together with motion for extension of time to serve and file it</w:t>
            </w:r>
          </w:p>
        </w:tc>
      </w:tr>
    </w:tbl>
    <w:p w:rsidR="0028541A" w:rsidRDefault="0028541A" w:rsidP="0028541A">
      <w:pPr>
        <w:jc w:val="both"/>
        <w:rPr>
          <w:sz w:val="20"/>
        </w:rPr>
      </w:pPr>
    </w:p>
    <w:p w:rsidR="004E7825" w:rsidRDefault="00370316" w:rsidP="0028541A">
      <w:pPr>
        <w:jc w:val="both"/>
        <w:rPr>
          <w:sz w:val="20"/>
        </w:rPr>
      </w:pPr>
      <w:r>
        <w:rPr>
          <w:sz w:val="20"/>
        </w:rPr>
        <w:pict>
          <v:rect id="_x0000_i1049" style="width:2in;height:1pt" o:hrpct="0" o:hralign="center" o:hrstd="t" o:hrnoshade="t" o:hr="t" fillcolor="black [3213]" stroked="f"/>
        </w:pict>
      </w:r>
    </w:p>
    <w:p w:rsidR="004E7825" w:rsidRPr="0028541A" w:rsidRDefault="004E7825" w:rsidP="0028541A">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06"/>
        <w:gridCol w:w="3493"/>
        <w:gridCol w:w="451"/>
        <w:gridCol w:w="4320"/>
      </w:tblGrid>
      <w:tr w:rsidR="0028541A" w:rsidRPr="0028541A" w:rsidTr="0028541A">
        <w:tc>
          <w:tcPr>
            <w:tcW w:w="543" w:type="pct"/>
          </w:tcPr>
          <w:p w:rsidR="0028541A" w:rsidRPr="0028541A" w:rsidRDefault="0028541A" w:rsidP="0028541A">
            <w:pPr>
              <w:jc w:val="both"/>
              <w:rPr>
                <w:sz w:val="20"/>
              </w:rPr>
            </w:pPr>
            <w:r w:rsidRPr="0028541A">
              <w:rPr>
                <w:rStyle w:val="SCCFileNumberChar"/>
                <w:sz w:val="20"/>
                <w:szCs w:val="20"/>
              </w:rPr>
              <w:t>39767</w:t>
            </w:r>
          </w:p>
        </w:tc>
        <w:tc>
          <w:tcPr>
            <w:tcW w:w="4457" w:type="pct"/>
            <w:gridSpan w:val="3"/>
          </w:tcPr>
          <w:p w:rsidR="0028541A" w:rsidRPr="004E7825" w:rsidRDefault="0028541A" w:rsidP="0028541A">
            <w:pPr>
              <w:pStyle w:val="SCCLsocParty"/>
              <w:jc w:val="both"/>
              <w:rPr>
                <w:b/>
                <w:sz w:val="20"/>
                <w:szCs w:val="20"/>
              </w:rPr>
            </w:pPr>
            <w:r w:rsidRPr="004E7825">
              <w:rPr>
                <w:b/>
                <w:sz w:val="20"/>
                <w:szCs w:val="20"/>
              </w:rPr>
              <w:t>Terry Wingert c. Sa Majesté la Reine</w:t>
            </w:r>
          </w:p>
          <w:p w:rsidR="0028541A" w:rsidRPr="0028541A" w:rsidRDefault="0028541A" w:rsidP="0028541A">
            <w:pPr>
              <w:jc w:val="both"/>
              <w:rPr>
                <w:sz w:val="20"/>
              </w:rPr>
            </w:pPr>
            <w:r w:rsidRPr="0028541A">
              <w:rPr>
                <w:sz w:val="20"/>
              </w:rPr>
              <w:t>(Alb.) (Criminelle)</w:t>
            </w:r>
            <w:r w:rsidR="004E7825">
              <w:rPr>
                <w:sz w:val="20"/>
              </w:rPr>
              <w:t xml:space="preserve"> (Autorisation)</w:t>
            </w:r>
          </w:p>
        </w:tc>
      </w:tr>
      <w:tr w:rsidR="0028541A" w:rsidRPr="00370316" w:rsidTr="0028541A">
        <w:tc>
          <w:tcPr>
            <w:tcW w:w="5000" w:type="pct"/>
            <w:gridSpan w:val="4"/>
          </w:tcPr>
          <w:p w:rsidR="0028541A" w:rsidRPr="0028541A" w:rsidRDefault="0028541A" w:rsidP="0028541A">
            <w:pPr>
              <w:pStyle w:val="SCCBanSummary"/>
              <w:rPr>
                <w:sz w:val="20"/>
                <w:szCs w:val="20"/>
                <w:lang w:val="fr-CA"/>
              </w:rPr>
            </w:pPr>
            <w:r w:rsidRPr="0028541A">
              <w:rPr>
                <w:sz w:val="20"/>
                <w:szCs w:val="20"/>
                <w:lang w:val="fr-CA"/>
              </w:rPr>
              <w:t>(Ordonnance de non</w:t>
            </w:r>
            <w:r w:rsidRPr="0028541A">
              <w:rPr>
                <w:sz w:val="20"/>
                <w:szCs w:val="20"/>
                <w:lang w:val="fr-CA"/>
              </w:rPr>
              <w:noBreakHyphen/>
              <w:t>publication dans le dossier)</w:t>
            </w:r>
          </w:p>
          <w:p w:rsidR="0028541A" w:rsidRPr="0028541A" w:rsidRDefault="0028541A" w:rsidP="0028541A">
            <w:pPr>
              <w:jc w:val="both"/>
              <w:rPr>
                <w:sz w:val="20"/>
                <w:lang w:val="fr-CA"/>
              </w:rPr>
            </w:pPr>
          </w:p>
          <w:p w:rsidR="0028541A" w:rsidRPr="0028541A" w:rsidRDefault="0028541A" w:rsidP="0028541A">
            <w:pPr>
              <w:jc w:val="both"/>
              <w:rPr>
                <w:sz w:val="20"/>
                <w:lang w:val="fr-CA"/>
              </w:rPr>
            </w:pPr>
            <w:r w:rsidRPr="0028541A">
              <w:rPr>
                <w:sz w:val="20"/>
                <w:lang w:val="fr-CA"/>
              </w:rPr>
              <w:t>Droit criminel — Preuve — Admissibilité — Fiabilité — Aveux — Aveux obtenus dans l’opération « Monsieur Big » — L’aveu du demandeur, obtenu dans le cadre de l’enquête relative à l’opération « Monsieur Big » était</w:t>
            </w:r>
            <w:r w:rsidRPr="0028541A">
              <w:rPr>
                <w:sz w:val="20"/>
                <w:lang w:val="fr-CA"/>
              </w:rPr>
              <w:noBreakHyphen/>
              <w:t>il suffisamment fiable pour être admis en preuve lors du procès? — Si oui, l’aveu du demandeur était</w:t>
            </w:r>
            <w:r w:rsidRPr="0028541A">
              <w:rPr>
                <w:sz w:val="20"/>
                <w:lang w:val="fr-CA"/>
              </w:rPr>
              <w:noBreakHyphen/>
              <w:t>il suffisamment fiable pour que la Couronne prouve au</w:t>
            </w:r>
            <w:r w:rsidRPr="0028541A">
              <w:rPr>
                <w:sz w:val="20"/>
                <w:lang w:val="fr-CA"/>
              </w:rPr>
              <w:noBreakHyphen/>
              <w:t>delà de tout doute raisonnable l’intention requise afin d’obtenir une déclaration de culpabilité de meurtre au deuxième degré? — Qu’est</w:t>
            </w:r>
            <w:r w:rsidRPr="0028541A">
              <w:rPr>
                <w:sz w:val="20"/>
                <w:lang w:val="fr-CA"/>
              </w:rPr>
              <w:noBreakHyphen/>
              <w:t xml:space="preserve">ce qui constitue un aveu de l’opération « Monsieur Big »? — Dans quelle mesure le cadre d’analyse élaboré dans l’arrêt </w:t>
            </w:r>
            <w:r w:rsidRPr="0028541A">
              <w:rPr>
                <w:i/>
                <w:color w:val="000000"/>
                <w:sz w:val="20"/>
                <w:lang w:val="fr-CA"/>
              </w:rPr>
              <w:t xml:space="preserve">R. </w:t>
            </w:r>
            <w:r w:rsidRPr="0028541A">
              <w:rPr>
                <w:i/>
                <w:iCs/>
                <w:color w:val="000000"/>
                <w:sz w:val="20"/>
                <w:lang w:val="fr-CA"/>
              </w:rPr>
              <w:t>c.</w:t>
            </w:r>
            <w:r w:rsidRPr="0028541A">
              <w:rPr>
                <w:i/>
                <w:color w:val="000000"/>
                <w:sz w:val="20"/>
                <w:lang w:val="fr-CA"/>
              </w:rPr>
              <w:t xml:space="preserve"> Bradshaw</w:t>
            </w:r>
            <w:r w:rsidRPr="0028541A">
              <w:rPr>
                <w:color w:val="000000"/>
                <w:sz w:val="20"/>
                <w:lang w:val="fr-CA"/>
              </w:rPr>
              <w:t>, 2017 CSC 35, [2017] 1 R.C.S. 865</w:t>
            </w:r>
            <w:r w:rsidRPr="0028541A">
              <w:rPr>
                <w:sz w:val="20"/>
                <w:lang w:val="fr-CA"/>
              </w:rPr>
              <w:t>, est</w:t>
            </w:r>
            <w:r w:rsidRPr="0028541A">
              <w:rPr>
                <w:sz w:val="20"/>
                <w:lang w:val="fr-CA"/>
              </w:rPr>
              <w:noBreakHyphen/>
              <w:t>il applicable dans le contexte des aveux recueillis dans l’opération « Monsieur Big »? — Comment les tribunaux devraient</w:t>
            </w:r>
            <w:r w:rsidRPr="0028541A">
              <w:rPr>
                <w:sz w:val="20"/>
                <w:lang w:val="fr-CA"/>
              </w:rPr>
              <w:noBreakHyphen/>
              <w:t xml:space="preserve">ils assurer une séparation adéquate entre le test requis pour établir le critère et en définitive la fiabilité d’un aveu recueilli dans l’opération « Monsieur Big »? </w:t>
            </w:r>
          </w:p>
        </w:tc>
      </w:tr>
      <w:tr w:rsidR="0028541A" w:rsidRPr="00370316" w:rsidTr="0028541A">
        <w:tc>
          <w:tcPr>
            <w:tcW w:w="5000" w:type="pct"/>
            <w:gridSpan w:val="4"/>
          </w:tcPr>
          <w:p w:rsidR="0028541A" w:rsidRPr="0028541A" w:rsidRDefault="0028541A" w:rsidP="0028541A">
            <w:pPr>
              <w:jc w:val="both"/>
              <w:rPr>
                <w:sz w:val="20"/>
                <w:lang w:val="fr-CA"/>
              </w:rPr>
            </w:pPr>
          </w:p>
          <w:p w:rsidR="0028541A" w:rsidRPr="0028541A" w:rsidRDefault="0028541A" w:rsidP="0028541A">
            <w:pPr>
              <w:jc w:val="both"/>
              <w:rPr>
                <w:sz w:val="20"/>
                <w:lang w:val="fr-CA"/>
              </w:rPr>
            </w:pPr>
            <w:r w:rsidRPr="0028541A">
              <w:rPr>
                <w:sz w:val="20"/>
                <w:lang w:val="fr-CA"/>
              </w:rPr>
              <w:t>Le demandeur, Terry Wingert, a été inculpé de meurtre au deuxième degré. Comme partie de l’enquête relative au meurtre, une opération « Monsieur Big » a été menée pendant laquelle le demandeur a été soumis par la police à 45 scénarios différents. Durant le 32</w:t>
            </w:r>
            <w:r w:rsidRPr="0028541A">
              <w:rPr>
                <w:sz w:val="20"/>
                <w:vertAlign w:val="superscript"/>
                <w:lang w:val="fr-CA"/>
              </w:rPr>
              <w:t>e</w:t>
            </w:r>
            <w:r w:rsidRPr="0028541A">
              <w:rPr>
                <w:sz w:val="20"/>
                <w:lang w:val="fr-CA"/>
              </w:rPr>
              <w:t xml:space="preserve"> scénario, il a avoué à un agent d’infiltration de la police qu’il avait joué un rôle dans le meurtre de la victime. L’aveu a fait l’objet d’un enregistrement vidéo et audio. Le demandeur a ensuite été arrêté et interviewé par un policier à qui il a aussi avoué son rôle dans le meurtre. Après que l’aveu de culpabilité du demandeur relativement à une accusation moindre et incluse d’homicide involontaire eut été rejeté par la Couronne, le procès a continué. </w:t>
            </w:r>
          </w:p>
          <w:p w:rsidR="0028541A" w:rsidRPr="0028541A" w:rsidRDefault="0028541A" w:rsidP="0028541A">
            <w:pPr>
              <w:jc w:val="both"/>
              <w:rPr>
                <w:sz w:val="20"/>
                <w:lang w:val="fr-CA"/>
              </w:rPr>
            </w:pPr>
          </w:p>
          <w:p w:rsidR="0028541A" w:rsidRPr="0028541A" w:rsidRDefault="0028541A" w:rsidP="0028541A">
            <w:pPr>
              <w:jc w:val="both"/>
              <w:rPr>
                <w:sz w:val="20"/>
                <w:lang w:val="fr-CA"/>
              </w:rPr>
            </w:pPr>
            <w:r w:rsidRPr="0028541A">
              <w:rPr>
                <w:sz w:val="20"/>
                <w:lang w:val="fr-CA"/>
              </w:rPr>
              <w:t>Un voir</w:t>
            </w:r>
            <w:r w:rsidRPr="0028541A">
              <w:rPr>
                <w:sz w:val="20"/>
                <w:lang w:val="fr-CA"/>
              </w:rPr>
              <w:noBreakHyphen/>
              <w:t xml:space="preserve">dire a eu lieu dans lequel le juge du procès a conclu que l’aveu et la déclaration étaient admissibles en tant que preuves. Le juge du procès a conclu que le demandeur avait l’intention requise pour établir le meurtre, au titre de l’al. 229a) du </w:t>
            </w:r>
            <w:r w:rsidRPr="0028541A">
              <w:rPr>
                <w:i/>
                <w:sz w:val="20"/>
                <w:lang w:val="fr-CA"/>
              </w:rPr>
              <w:t>Code criminel</w:t>
            </w:r>
            <w:r w:rsidRPr="0028541A">
              <w:rPr>
                <w:sz w:val="20"/>
                <w:lang w:val="fr-CA"/>
              </w:rPr>
              <w:t xml:space="preserve">, L.R.C. 1985, c. C 46, il a déclaré coupable de meurtre au deuxième degré. La Cour d’appel a rejeté l’appel interjeté par le demandeur à l’encontre de la déclaration de culpabilité. Elle a rejeté les arguments du demandeur selon lesquels, (1) le juge du procès a commis une erreur en admettant l’aveu, car il n’était pas fiable; et (2) le juge du procès a commis une erreur en concluant que l’aveu fournissait la preuve nécessaire de l’intention, et le verdict fondé sur cet aveu était donc déraisonnable. </w:t>
            </w:r>
          </w:p>
        </w:tc>
      </w:tr>
      <w:tr w:rsidR="0028541A" w:rsidRPr="00370316" w:rsidTr="0028541A">
        <w:tc>
          <w:tcPr>
            <w:tcW w:w="5000" w:type="pct"/>
            <w:gridSpan w:val="4"/>
          </w:tcPr>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3 juillet 2018</w:t>
            </w:r>
          </w:p>
          <w:p w:rsidR="0028541A" w:rsidRPr="0028541A" w:rsidRDefault="0028541A" w:rsidP="0028541A">
            <w:pPr>
              <w:jc w:val="both"/>
              <w:rPr>
                <w:sz w:val="20"/>
                <w:lang w:val="fr-CA"/>
              </w:rPr>
            </w:pPr>
            <w:r w:rsidRPr="0028541A">
              <w:rPr>
                <w:sz w:val="20"/>
                <w:lang w:val="fr-CA"/>
              </w:rPr>
              <w:t>Cour du banc de la Reine de l’Alberta</w:t>
            </w:r>
          </w:p>
          <w:p w:rsidR="0028541A" w:rsidRPr="0028541A" w:rsidRDefault="0028541A" w:rsidP="0028541A">
            <w:pPr>
              <w:jc w:val="both"/>
              <w:rPr>
                <w:sz w:val="20"/>
              </w:rPr>
            </w:pPr>
            <w:r w:rsidRPr="0028541A">
              <w:rPr>
                <w:sz w:val="20"/>
              </w:rPr>
              <w:t>(juge Brooker)</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Décision de voir</w:t>
            </w:r>
            <w:r w:rsidRPr="0028541A">
              <w:rPr>
                <w:sz w:val="20"/>
                <w:lang w:val="fr-CA"/>
              </w:rPr>
              <w:noBreakHyphen/>
              <w:t xml:space="preserve">dire : aveu jugé admissible </w:t>
            </w:r>
          </w:p>
          <w:p w:rsidR="0028541A" w:rsidRPr="0028541A" w:rsidRDefault="0028541A" w:rsidP="0028541A">
            <w:pPr>
              <w:jc w:val="both"/>
              <w:rPr>
                <w:sz w:val="20"/>
                <w:lang w:val="fr-CA"/>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9 mai 2019</w:t>
            </w:r>
          </w:p>
          <w:p w:rsidR="0028541A" w:rsidRPr="0028541A" w:rsidRDefault="0028541A" w:rsidP="0028541A">
            <w:pPr>
              <w:jc w:val="both"/>
              <w:rPr>
                <w:sz w:val="20"/>
                <w:lang w:val="fr-CA"/>
              </w:rPr>
            </w:pPr>
            <w:r w:rsidRPr="0028541A">
              <w:rPr>
                <w:sz w:val="20"/>
                <w:lang w:val="fr-CA"/>
              </w:rPr>
              <w:t>Cour du banc de la Reine de l’Alberta</w:t>
            </w:r>
          </w:p>
          <w:p w:rsidR="0028541A" w:rsidRPr="0028541A" w:rsidRDefault="0028541A" w:rsidP="0028541A">
            <w:pPr>
              <w:jc w:val="both"/>
              <w:rPr>
                <w:sz w:val="20"/>
              </w:rPr>
            </w:pPr>
            <w:r w:rsidRPr="0028541A">
              <w:rPr>
                <w:sz w:val="20"/>
              </w:rPr>
              <w:t>(juge Brooker)</w:t>
            </w:r>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lang w:val="fr-CA"/>
              </w:rPr>
            </w:pPr>
            <w:r w:rsidRPr="0028541A">
              <w:rPr>
                <w:sz w:val="20"/>
                <w:lang w:val="fr-CA"/>
              </w:rPr>
              <w:t>Déclaration de culpabilité de meurtre au deuxième degré</w:t>
            </w:r>
          </w:p>
          <w:p w:rsidR="0028541A" w:rsidRPr="0028541A" w:rsidRDefault="0028541A" w:rsidP="0028541A">
            <w:pPr>
              <w:jc w:val="both"/>
              <w:rPr>
                <w:sz w:val="20"/>
                <w:lang w:val="fr-CA"/>
              </w:rPr>
            </w:pPr>
          </w:p>
        </w:tc>
      </w:tr>
      <w:tr w:rsidR="0028541A" w:rsidRPr="0028541A" w:rsidTr="0028541A">
        <w:tc>
          <w:tcPr>
            <w:tcW w:w="2427" w:type="pct"/>
            <w:gridSpan w:val="2"/>
          </w:tcPr>
          <w:p w:rsidR="0028541A" w:rsidRPr="0028541A" w:rsidRDefault="0028541A" w:rsidP="0028541A">
            <w:pPr>
              <w:jc w:val="both"/>
              <w:rPr>
                <w:sz w:val="20"/>
                <w:lang w:val="fr-CA"/>
              </w:rPr>
            </w:pPr>
            <w:r w:rsidRPr="0028541A">
              <w:rPr>
                <w:sz w:val="20"/>
                <w:lang w:val="fr-CA"/>
              </w:rPr>
              <w:t>26 août 2020</w:t>
            </w:r>
          </w:p>
          <w:p w:rsidR="0028541A" w:rsidRPr="0028541A" w:rsidRDefault="0028541A" w:rsidP="0028541A">
            <w:pPr>
              <w:jc w:val="both"/>
              <w:rPr>
                <w:sz w:val="20"/>
                <w:lang w:val="fr-CA"/>
              </w:rPr>
            </w:pPr>
            <w:r w:rsidRPr="0028541A">
              <w:rPr>
                <w:sz w:val="20"/>
                <w:lang w:val="fr-CA"/>
              </w:rPr>
              <w:t>Cour d’appel de l’Alberta (Calgary)</w:t>
            </w:r>
          </w:p>
          <w:p w:rsidR="0028541A" w:rsidRPr="0028541A" w:rsidRDefault="0028541A" w:rsidP="0028541A">
            <w:pPr>
              <w:jc w:val="both"/>
              <w:rPr>
                <w:sz w:val="20"/>
                <w:lang w:val="fr-CA"/>
              </w:rPr>
            </w:pPr>
            <w:r w:rsidRPr="0028541A">
              <w:rPr>
                <w:sz w:val="20"/>
                <w:lang w:val="fr-CA"/>
              </w:rPr>
              <w:t>(juges Martin, Watson et O’Ferrall)</w:t>
            </w:r>
          </w:p>
          <w:p w:rsidR="0028541A" w:rsidRPr="0028541A" w:rsidRDefault="00370316" w:rsidP="0028541A">
            <w:pPr>
              <w:jc w:val="both"/>
              <w:rPr>
                <w:sz w:val="20"/>
              </w:rPr>
            </w:pPr>
            <w:hyperlink r:id="rId63" w:history="1">
              <w:r w:rsidR="0028541A" w:rsidRPr="0028541A">
                <w:rPr>
                  <w:rStyle w:val="Hyperlink"/>
                  <w:sz w:val="20"/>
                </w:rPr>
                <w:t>2020 ABCA 304</w:t>
              </w:r>
            </w:hyperlink>
          </w:p>
          <w:p w:rsidR="0028541A" w:rsidRPr="0028541A" w:rsidRDefault="0028541A" w:rsidP="0028541A">
            <w:pPr>
              <w:jc w:val="both"/>
              <w:rPr>
                <w:sz w:val="20"/>
              </w:rPr>
            </w:pPr>
          </w:p>
        </w:tc>
        <w:tc>
          <w:tcPr>
            <w:tcW w:w="243" w:type="pct"/>
          </w:tcPr>
          <w:p w:rsidR="0028541A" w:rsidRPr="0028541A" w:rsidRDefault="0028541A" w:rsidP="0028541A">
            <w:pPr>
              <w:jc w:val="both"/>
              <w:rPr>
                <w:sz w:val="20"/>
              </w:rPr>
            </w:pPr>
          </w:p>
        </w:tc>
        <w:tc>
          <w:tcPr>
            <w:tcW w:w="2330" w:type="pct"/>
          </w:tcPr>
          <w:p w:rsidR="0028541A" w:rsidRPr="0028541A" w:rsidRDefault="0028541A" w:rsidP="0028541A">
            <w:pPr>
              <w:jc w:val="both"/>
              <w:rPr>
                <w:sz w:val="20"/>
              </w:rPr>
            </w:pPr>
            <w:r w:rsidRPr="0028541A">
              <w:rPr>
                <w:sz w:val="20"/>
              </w:rPr>
              <w:t>Appel rejeté</w:t>
            </w:r>
          </w:p>
          <w:p w:rsidR="0028541A" w:rsidRPr="0028541A" w:rsidRDefault="0028541A" w:rsidP="0028541A">
            <w:pPr>
              <w:jc w:val="both"/>
              <w:rPr>
                <w:sz w:val="20"/>
              </w:rPr>
            </w:pPr>
          </w:p>
        </w:tc>
      </w:tr>
      <w:tr w:rsidR="0028541A" w:rsidRPr="00370316" w:rsidTr="0028541A">
        <w:tc>
          <w:tcPr>
            <w:tcW w:w="2427" w:type="pct"/>
            <w:gridSpan w:val="2"/>
          </w:tcPr>
          <w:p w:rsidR="0028541A" w:rsidRPr="0028541A" w:rsidRDefault="0028541A" w:rsidP="0028541A">
            <w:pPr>
              <w:jc w:val="both"/>
              <w:rPr>
                <w:sz w:val="20"/>
                <w:lang w:val="fr-CA"/>
              </w:rPr>
            </w:pPr>
            <w:r w:rsidRPr="0028541A">
              <w:rPr>
                <w:sz w:val="20"/>
                <w:lang w:val="fr-CA"/>
              </w:rPr>
              <w:t>14 juillet 2021</w:t>
            </w:r>
          </w:p>
          <w:p w:rsidR="0028541A" w:rsidRPr="0028541A" w:rsidRDefault="0028541A" w:rsidP="0028541A">
            <w:pPr>
              <w:jc w:val="both"/>
              <w:rPr>
                <w:sz w:val="20"/>
                <w:lang w:val="fr-CA"/>
              </w:rPr>
            </w:pPr>
            <w:r w:rsidRPr="0028541A">
              <w:rPr>
                <w:sz w:val="20"/>
                <w:lang w:val="fr-CA"/>
              </w:rPr>
              <w:t>Cour suprême du Canada</w:t>
            </w:r>
          </w:p>
          <w:p w:rsidR="0028541A" w:rsidRPr="0028541A" w:rsidRDefault="0028541A" w:rsidP="0028541A">
            <w:pPr>
              <w:jc w:val="both"/>
              <w:rPr>
                <w:sz w:val="20"/>
                <w:lang w:val="fr-CA"/>
              </w:rPr>
            </w:pPr>
          </w:p>
        </w:tc>
        <w:tc>
          <w:tcPr>
            <w:tcW w:w="243" w:type="pct"/>
          </w:tcPr>
          <w:p w:rsidR="0028541A" w:rsidRPr="0028541A" w:rsidRDefault="0028541A" w:rsidP="0028541A">
            <w:pPr>
              <w:jc w:val="both"/>
              <w:rPr>
                <w:sz w:val="20"/>
                <w:lang w:val="fr-CA"/>
              </w:rPr>
            </w:pPr>
          </w:p>
        </w:tc>
        <w:tc>
          <w:tcPr>
            <w:tcW w:w="2330" w:type="pct"/>
          </w:tcPr>
          <w:p w:rsidR="0028541A" w:rsidRPr="0028541A" w:rsidRDefault="0028541A" w:rsidP="0028541A">
            <w:pPr>
              <w:jc w:val="both"/>
              <w:rPr>
                <w:sz w:val="20"/>
                <w:lang w:val="fr-CA"/>
              </w:rPr>
            </w:pPr>
            <w:r w:rsidRPr="0028541A">
              <w:rPr>
                <w:sz w:val="20"/>
                <w:lang w:val="fr-CA"/>
              </w:rPr>
              <w:t>Demande d’autorisation d’appel déposée ainsi qu’une requête en prorogation de délai pour la signifier et la déposer</w:t>
            </w:r>
          </w:p>
        </w:tc>
      </w:tr>
    </w:tbl>
    <w:p w:rsidR="005A7B6B" w:rsidRPr="007B0EC7" w:rsidRDefault="005A7B6B" w:rsidP="00350651">
      <w:pPr>
        <w:widowControl w:val="0"/>
        <w:jc w:val="both"/>
        <w:rPr>
          <w:sz w:val="20"/>
          <w:lang w:val="fr-CA"/>
        </w:rPr>
      </w:pPr>
    </w:p>
    <w:p w:rsidR="0028541A" w:rsidRPr="00CD6C34" w:rsidRDefault="00370316" w:rsidP="00350651">
      <w:pPr>
        <w:widowControl w:val="0"/>
        <w:jc w:val="both"/>
        <w:rPr>
          <w:sz w:val="20"/>
        </w:rPr>
      </w:pPr>
      <w:r>
        <w:rPr>
          <w:sz w:val="20"/>
        </w:rPr>
        <w:pict>
          <v:rect id="_x0000_i1050" style="width:2in;height:1pt" o:hrpct="0" o:hralign="center" o:hrstd="t" o:hrnoshade="t" o:hr="t" fillcolor="black [3213]" stroked="f"/>
        </w:pict>
      </w:r>
    </w:p>
    <w:p w:rsidR="00FD3FA0" w:rsidRPr="00CD6C34" w:rsidRDefault="00FD3FA0" w:rsidP="00350651">
      <w:pPr>
        <w:ind w:left="142" w:hanging="142"/>
        <w:jc w:val="both"/>
        <w:rPr>
          <w:sz w:val="20"/>
        </w:rPr>
      </w:pPr>
    </w:p>
    <w:p w:rsidR="008F2F11" w:rsidRPr="00CD6C34" w:rsidRDefault="008F2F11" w:rsidP="00350651">
      <w:pPr>
        <w:ind w:left="142" w:hanging="142"/>
        <w:jc w:val="both"/>
        <w:rPr>
          <w:sz w:val="20"/>
        </w:rPr>
      </w:pPr>
    </w:p>
    <w:p w:rsidR="008F2F11" w:rsidRPr="00CD6C34" w:rsidRDefault="008F2F11" w:rsidP="00350651">
      <w:pPr>
        <w:ind w:left="142" w:hanging="142"/>
        <w:jc w:val="both"/>
        <w:rPr>
          <w:sz w:val="20"/>
        </w:rPr>
      </w:pPr>
    </w:p>
    <w:p w:rsidR="00D3344A" w:rsidRPr="00CD6C34" w:rsidRDefault="00D3344A" w:rsidP="00D3344A">
      <w:pPr>
        <w:widowControl w:val="0"/>
        <w:outlineLvl w:val="0"/>
      </w:pPr>
      <w:r w:rsidRPr="00CD6C34">
        <w:lastRenderedPageBreak/>
        <w:t xml:space="preserve">Supreme Court of Canada / Cour suprême du </w:t>
      </w:r>
      <w:proofErr w:type="gramStart"/>
      <w:r w:rsidRPr="00CD6C34">
        <w:t>Canad</w:t>
      </w:r>
      <w:r w:rsidR="00EE289F" w:rsidRPr="00CD6C34">
        <w:t>a</w:t>
      </w:r>
      <w:r w:rsidRPr="00CD6C34">
        <w:t xml:space="preserve"> :</w:t>
      </w:r>
      <w:proofErr w:type="gramEnd"/>
    </w:p>
    <w:p w:rsidR="00D3344A" w:rsidRPr="00CD6C34" w:rsidRDefault="00370316" w:rsidP="00D3344A">
      <w:pPr>
        <w:widowControl w:val="0"/>
        <w:outlineLvl w:val="0"/>
        <w:rPr>
          <w:u w:val="single"/>
        </w:rPr>
      </w:pPr>
      <w:hyperlink r:id="rId64" w:history="1">
        <w:r w:rsidR="009B7391" w:rsidRPr="00CD6C34">
          <w:rPr>
            <w:rStyle w:val="Hyperlink"/>
          </w:rPr>
          <w:t>comments-commentaires@scc-csc.ca</w:t>
        </w:r>
      </w:hyperlink>
    </w:p>
    <w:p w:rsidR="00D3344A" w:rsidRPr="00CD6C34" w:rsidRDefault="0065588C" w:rsidP="00D3344A">
      <w:pPr>
        <w:widowControl w:val="0"/>
        <w:outlineLvl w:val="0"/>
      </w:pPr>
      <w:r w:rsidRPr="00CD6C34">
        <w:t>613-</w:t>
      </w:r>
      <w:r w:rsidR="00D3344A" w:rsidRPr="00CD6C34">
        <w:t>995-4330</w:t>
      </w:r>
    </w:p>
    <w:p w:rsidR="00497B5E" w:rsidRPr="00CD6C34" w:rsidRDefault="00497B5E" w:rsidP="00497B5E">
      <w:pPr>
        <w:widowControl w:val="0"/>
        <w:rPr>
          <w:sz w:val="20"/>
        </w:rPr>
      </w:pPr>
    </w:p>
    <w:p w:rsidR="00F6251B" w:rsidRPr="006E558B" w:rsidRDefault="003F43E6" w:rsidP="00F6251B">
      <w:pPr>
        <w:pStyle w:val="Footer"/>
        <w:jc w:val="center"/>
      </w:pPr>
      <w:r w:rsidRPr="00CD6C34">
        <w:t>- 30 -</w:t>
      </w:r>
    </w:p>
    <w:sectPr w:rsidR="00F6251B" w:rsidRPr="006E558B" w:rsidSect="00E62F93">
      <w:headerReference w:type="even" r:id="rId65"/>
      <w:headerReference w:type="default" r:id="rId66"/>
      <w:footerReference w:type="even" r:id="rId67"/>
      <w:footerReference w:type="default" r:id="rId68"/>
      <w:headerReference w:type="first" r:id="rId69"/>
      <w:footerReference w:type="first" r:id="rId70"/>
      <w:pgSz w:w="12240" w:h="15840"/>
      <w:pgMar w:top="851" w:right="1440" w:bottom="1134" w:left="1440" w:header="578" w:footer="71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C7" w:rsidRDefault="007B0EC7" w:rsidP="0034178A">
      <w:r>
        <w:separator/>
      </w:r>
    </w:p>
  </w:endnote>
  <w:endnote w:type="continuationSeparator" w:id="0">
    <w:p w:rsidR="007B0EC7" w:rsidRDefault="007B0EC7"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C7" w:rsidRDefault="007B0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C7" w:rsidRPr="009F77F0" w:rsidRDefault="007B0EC7" w:rsidP="00EF33BF">
    <w:pPr>
      <w:pStyle w:val="Footer"/>
      <w:rPr>
        <w:lang w:val="fr-C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C7" w:rsidRDefault="007B0E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C7" w:rsidRDefault="007B0EC7" w:rsidP="0034178A">
      <w:r>
        <w:separator/>
      </w:r>
    </w:p>
  </w:footnote>
  <w:footnote w:type="continuationSeparator" w:id="0">
    <w:p w:rsidR="007B0EC7" w:rsidRDefault="007B0EC7"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C7" w:rsidRDefault="007B0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C7" w:rsidRDefault="007B0E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EC7" w:rsidRDefault="007B0E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321F3"/>
    <w:multiLevelType w:val="hybridMultilevel"/>
    <w:tmpl w:val="4E2AF526"/>
    <w:lvl w:ilvl="0" w:tplc="6A94272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854D9"/>
    <w:multiLevelType w:val="hybridMultilevel"/>
    <w:tmpl w:val="BB460794"/>
    <w:lvl w:ilvl="0" w:tplc="266A270A">
      <w:start w:val="1"/>
      <w:numFmt w:val="decimal"/>
      <w:lvlText w:val="%1."/>
      <w:lvlJc w:val="left"/>
      <w:pPr>
        <w:ind w:left="720" w:hanging="360"/>
      </w:pPr>
      <w:rPr>
        <w:b w:val="0"/>
        <w:i w:val="0"/>
        <w:sz w:val="20"/>
        <w:szCs w:val="2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520CB1"/>
    <w:multiLevelType w:val="hybridMultilevel"/>
    <w:tmpl w:val="54FCB592"/>
    <w:lvl w:ilvl="0" w:tplc="434E95DC">
      <w:start w:val="1"/>
      <w:numFmt w:val="decimal"/>
      <w:lvlText w:val="%1."/>
      <w:lvlJc w:val="left"/>
      <w:pPr>
        <w:ind w:left="450" w:hanging="360"/>
      </w:pPr>
      <w:rPr>
        <w:rFonts w:hint="default"/>
        <w:b w:val="0"/>
        <w:i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0F030B35"/>
    <w:multiLevelType w:val="hybridMultilevel"/>
    <w:tmpl w:val="211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05B28"/>
    <w:multiLevelType w:val="hybridMultilevel"/>
    <w:tmpl w:val="33EC3438"/>
    <w:lvl w:ilvl="0" w:tplc="A4DC3DE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A82F7F"/>
    <w:multiLevelType w:val="hybridMultilevel"/>
    <w:tmpl w:val="1F22AB28"/>
    <w:lvl w:ilvl="0" w:tplc="EADED970">
      <w:start w:val="4"/>
      <w:numFmt w:val="decimal"/>
      <w:lvlText w:val="%1."/>
      <w:lvlJc w:val="left"/>
      <w:pPr>
        <w:tabs>
          <w:tab w:val="num" w:pos="378"/>
        </w:tabs>
        <w:ind w:left="16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6" w15:restartNumberingAfterBreak="0">
    <w:nsid w:val="1E5C796B"/>
    <w:multiLevelType w:val="hybridMultilevel"/>
    <w:tmpl w:val="0574A07E"/>
    <w:lvl w:ilvl="0" w:tplc="68389EC6">
      <w:start w:val="3"/>
      <w:numFmt w:val="decimal"/>
      <w:lvlText w:val="%1."/>
      <w:lvlJc w:val="left"/>
      <w:pPr>
        <w:ind w:left="720" w:hanging="360"/>
      </w:pPr>
      <w:rPr>
        <w:rFonts w:eastAsiaTheme="minorEastAsia"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F7A6D"/>
    <w:multiLevelType w:val="hybridMultilevel"/>
    <w:tmpl w:val="78BC6382"/>
    <w:lvl w:ilvl="0" w:tplc="0F36FAD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77D4E"/>
    <w:multiLevelType w:val="hybridMultilevel"/>
    <w:tmpl w:val="1896A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1B30CC"/>
    <w:multiLevelType w:val="hybridMultilevel"/>
    <w:tmpl w:val="1FAEA3DA"/>
    <w:lvl w:ilvl="0" w:tplc="653ABB5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C7A8E"/>
    <w:multiLevelType w:val="hybridMultilevel"/>
    <w:tmpl w:val="CC0C653E"/>
    <w:lvl w:ilvl="0" w:tplc="61A45E24">
      <w:start w:val="2"/>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5579B"/>
    <w:multiLevelType w:val="hybridMultilevel"/>
    <w:tmpl w:val="1F22AB28"/>
    <w:lvl w:ilvl="0" w:tplc="EADED970">
      <w:start w:val="4"/>
      <w:numFmt w:val="decimal"/>
      <w:lvlText w:val="%1."/>
      <w:lvlJc w:val="left"/>
      <w:pPr>
        <w:tabs>
          <w:tab w:val="num" w:pos="558"/>
        </w:tabs>
        <w:ind w:left="342" w:hanging="72"/>
      </w:pPr>
      <w:rPr>
        <w:rFonts w:hint="default"/>
        <w:b w:val="0"/>
        <w:i w:val="0"/>
        <w:lang w:val="en-CA"/>
      </w:rPr>
    </w:lvl>
    <w:lvl w:ilvl="1" w:tplc="0C0C0019" w:tentative="1">
      <w:start w:val="1"/>
      <w:numFmt w:val="lowerLetter"/>
      <w:lvlText w:val="%2."/>
      <w:lvlJc w:val="left"/>
      <w:pPr>
        <w:ind w:left="1368" w:hanging="360"/>
      </w:pPr>
    </w:lvl>
    <w:lvl w:ilvl="2" w:tplc="0C0C001B" w:tentative="1">
      <w:start w:val="1"/>
      <w:numFmt w:val="lowerRoman"/>
      <w:lvlText w:val="%3."/>
      <w:lvlJc w:val="right"/>
      <w:pPr>
        <w:ind w:left="2088" w:hanging="180"/>
      </w:pPr>
    </w:lvl>
    <w:lvl w:ilvl="3" w:tplc="0C0C000F" w:tentative="1">
      <w:start w:val="1"/>
      <w:numFmt w:val="decimal"/>
      <w:lvlText w:val="%4."/>
      <w:lvlJc w:val="left"/>
      <w:pPr>
        <w:ind w:left="2808" w:hanging="360"/>
      </w:pPr>
    </w:lvl>
    <w:lvl w:ilvl="4" w:tplc="0C0C0019" w:tentative="1">
      <w:start w:val="1"/>
      <w:numFmt w:val="lowerLetter"/>
      <w:lvlText w:val="%5."/>
      <w:lvlJc w:val="left"/>
      <w:pPr>
        <w:ind w:left="3528" w:hanging="360"/>
      </w:pPr>
    </w:lvl>
    <w:lvl w:ilvl="5" w:tplc="0C0C001B" w:tentative="1">
      <w:start w:val="1"/>
      <w:numFmt w:val="lowerRoman"/>
      <w:lvlText w:val="%6."/>
      <w:lvlJc w:val="right"/>
      <w:pPr>
        <w:ind w:left="4248" w:hanging="180"/>
      </w:pPr>
    </w:lvl>
    <w:lvl w:ilvl="6" w:tplc="0C0C000F" w:tentative="1">
      <w:start w:val="1"/>
      <w:numFmt w:val="decimal"/>
      <w:lvlText w:val="%7."/>
      <w:lvlJc w:val="left"/>
      <w:pPr>
        <w:ind w:left="4968" w:hanging="360"/>
      </w:pPr>
    </w:lvl>
    <w:lvl w:ilvl="7" w:tplc="0C0C0019" w:tentative="1">
      <w:start w:val="1"/>
      <w:numFmt w:val="lowerLetter"/>
      <w:lvlText w:val="%8."/>
      <w:lvlJc w:val="left"/>
      <w:pPr>
        <w:ind w:left="5688" w:hanging="360"/>
      </w:pPr>
    </w:lvl>
    <w:lvl w:ilvl="8" w:tplc="0C0C001B" w:tentative="1">
      <w:start w:val="1"/>
      <w:numFmt w:val="lowerRoman"/>
      <w:lvlText w:val="%9."/>
      <w:lvlJc w:val="right"/>
      <w:pPr>
        <w:ind w:left="6408" w:hanging="180"/>
      </w:pPr>
    </w:lvl>
  </w:abstractNum>
  <w:abstractNum w:abstractNumId="12" w15:restartNumberingAfterBreak="0">
    <w:nsid w:val="38DC07DA"/>
    <w:multiLevelType w:val="hybridMultilevel"/>
    <w:tmpl w:val="505682C2"/>
    <w:lvl w:ilvl="0" w:tplc="E1DEA73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EA548E"/>
    <w:multiLevelType w:val="hybridMultilevel"/>
    <w:tmpl w:val="3C784298"/>
    <w:lvl w:ilvl="0" w:tplc="24A4F3F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8F11FD"/>
    <w:multiLevelType w:val="hybridMultilevel"/>
    <w:tmpl w:val="933C0FE4"/>
    <w:lvl w:ilvl="0" w:tplc="E3DABFD6">
      <w:start w:val="1"/>
      <w:numFmt w:val="decimal"/>
      <w:lvlText w:val="%1."/>
      <w:lvlJc w:val="left"/>
      <w:pPr>
        <w:ind w:left="810" w:hanging="360"/>
      </w:pPr>
      <w:rPr>
        <w:rFonts w:hint="default"/>
        <w:b w:val="0"/>
        <w:i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AEF6E26"/>
    <w:multiLevelType w:val="hybridMultilevel"/>
    <w:tmpl w:val="D2BAA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96430"/>
    <w:multiLevelType w:val="hybridMultilevel"/>
    <w:tmpl w:val="BE68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7A7987"/>
    <w:multiLevelType w:val="hybridMultilevel"/>
    <w:tmpl w:val="0666D9CC"/>
    <w:lvl w:ilvl="0" w:tplc="286C285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C72DEC"/>
    <w:multiLevelType w:val="hybridMultilevel"/>
    <w:tmpl w:val="D0F85A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3C4068"/>
    <w:multiLevelType w:val="hybridMultilevel"/>
    <w:tmpl w:val="E9CE0CF0"/>
    <w:lvl w:ilvl="0" w:tplc="93327E4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B96A31"/>
    <w:multiLevelType w:val="hybridMultilevel"/>
    <w:tmpl w:val="8EA00CA0"/>
    <w:lvl w:ilvl="0" w:tplc="9D0AFB6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0760F4"/>
    <w:multiLevelType w:val="hybridMultilevel"/>
    <w:tmpl w:val="918A04C8"/>
    <w:lvl w:ilvl="0" w:tplc="FE0A6F2E">
      <w:start w:val="4"/>
      <w:numFmt w:val="decimal"/>
      <w:lvlText w:val="%1."/>
      <w:lvlJc w:val="left"/>
      <w:pPr>
        <w:ind w:left="720" w:hanging="360"/>
      </w:pPr>
      <w:rPr>
        <w:rFonts w:hint="default"/>
        <w:b w:val="0"/>
        <w:i w:val="0"/>
        <w:lang w:val="en-C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5A6D96"/>
    <w:multiLevelType w:val="hybridMultilevel"/>
    <w:tmpl w:val="35683D3C"/>
    <w:lvl w:ilvl="0" w:tplc="929CF4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3926A0"/>
    <w:multiLevelType w:val="hybridMultilevel"/>
    <w:tmpl w:val="B9AA479C"/>
    <w:lvl w:ilvl="0" w:tplc="81868CD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7D7072"/>
    <w:multiLevelType w:val="hybridMultilevel"/>
    <w:tmpl w:val="0EAE9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396319"/>
    <w:multiLevelType w:val="hybridMultilevel"/>
    <w:tmpl w:val="EA3C8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447A21"/>
    <w:multiLevelType w:val="hybridMultilevel"/>
    <w:tmpl w:val="4E660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391EE3"/>
    <w:multiLevelType w:val="hybridMultilevel"/>
    <w:tmpl w:val="9AAEA436"/>
    <w:lvl w:ilvl="0" w:tplc="22405EB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4"/>
  </w:num>
  <w:num w:numId="3">
    <w:abstractNumId w:val="4"/>
  </w:num>
  <w:num w:numId="4">
    <w:abstractNumId w:val="11"/>
  </w:num>
  <w:num w:numId="5">
    <w:abstractNumId w:val="22"/>
  </w:num>
  <w:num w:numId="6">
    <w:abstractNumId w:val="9"/>
  </w:num>
  <w:num w:numId="7">
    <w:abstractNumId w:val="7"/>
  </w:num>
  <w:num w:numId="8">
    <w:abstractNumId w:val="5"/>
  </w:num>
  <w:num w:numId="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5"/>
  </w:num>
  <w:num w:numId="12">
    <w:abstractNumId w:val="0"/>
  </w:num>
  <w:num w:numId="13">
    <w:abstractNumId w:val="23"/>
  </w:num>
  <w:num w:numId="14">
    <w:abstractNumId w:val="20"/>
  </w:num>
  <w:num w:numId="15">
    <w:abstractNumId w:val="13"/>
  </w:num>
  <w:num w:numId="16">
    <w:abstractNumId w:val="24"/>
  </w:num>
  <w:num w:numId="17">
    <w:abstractNumId w:val="10"/>
  </w:num>
  <w:num w:numId="18">
    <w:abstractNumId w:val="16"/>
  </w:num>
  <w:num w:numId="19">
    <w:abstractNumId w:val="26"/>
  </w:num>
  <w:num w:numId="20">
    <w:abstractNumId w:val="12"/>
  </w:num>
  <w:num w:numId="21">
    <w:abstractNumId w:val="3"/>
  </w:num>
  <w:num w:numId="22">
    <w:abstractNumId w:val="2"/>
  </w:num>
  <w:num w:numId="23">
    <w:abstractNumId w:val="18"/>
  </w:num>
  <w:num w:numId="24">
    <w:abstractNumId w:val="17"/>
  </w:num>
  <w:num w:numId="25">
    <w:abstractNumId w:val="27"/>
  </w:num>
  <w:num w:numId="26">
    <w:abstractNumId w:val="6"/>
  </w:num>
  <w:num w:numId="27">
    <w:abstractNumId w:val="8"/>
  </w:num>
  <w:num w:numId="28">
    <w:abstractNumId w:val="21"/>
  </w:num>
  <w:num w:numId="29">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activeWritingStyle w:appName="MSWord" w:lang="en-CA" w:vendorID="64" w:dllVersion="131078" w:nlCheck="1" w:checkStyle="0"/>
  <w:activeWritingStyle w:appName="MSWord" w:lang="en-US" w:vendorID="64" w:dllVersion="131078" w:nlCheck="1" w:checkStyle="1"/>
  <w:activeWritingStyle w:appName="MSWord" w:lang="fr-CA"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157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0733"/>
    <w:rsid w:val="00000F97"/>
    <w:rsid w:val="00001309"/>
    <w:rsid w:val="00001846"/>
    <w:rsid w:val="000018E3"/>
    <w:rsid w:val="00001F09"/>
    <w:rsid w:val="000023A0"/>
    <w:rsid w:val="000026D6"/>
    <w:rsid w:val="00003072"/>
    <w:rsid w:val="00003A2D"/>
    <w:rsid w:val="00003D1C"/>
    <w:rsid w:val="00003FFB"/>
    <w:rsid w:val="00004333"/>
    <w:rsid w:val="000043C3"/>
    <w:rsid w:val="00006057"/>
    <w:rsid w:val="00006648"/>
    <w:rsid w:val="00006868"/>
    <w:rsid w:val="0000743E"/>
    <w:rsid w:val="000076E7"/>
    <w:rsid w:val="00010A38"/>
    <w:rsid w:val="000128A2"/>
    <w:rsid w:val="00012FFC"/>
    <w:rsid w:val="00013258"/>
    <w:rsid w:val="000136CC"/>
    <w:rsid w:val="0001374A"/>
    <w:rsid w:val="000147B1"/>
    <w:rsid w:val="00014C19"/>
    <w:rsid w:val="00014CA5"/>
    <w:rsid w:val="00014E32"/>
    <w:rsid w:val="00015958"/>
    <w:rsid w:val="000164DB"/>
    <w:rsid w:val="00016932"/>
    <w:rsid w:val="00016D65"/>
    <w:rsid w:val="00016D95"/>
    <w:rsid w:val="000170AD"/>
    <w:rsid w:val="0001736B"/>
    <w:rsid w:val="0001750E"/>
    <w:rsid w:val="000176FB"/>
    <w:rsid w:val="00017D08"/>
    <w:rsid w:val="000204A5"/>
    <w:rsid w:val="00020797"/>
    <w:rsid w:val="00020816"/>
    <w:rsid w:val="00020A11"/>
    <w:rsid w:val="00020DAE"/>
    <w:rsid w:val="00021515"/>
    <w:rsid w:val="0002267C"/>
    <w:rsid w:val="00022EFE"/>
    <w:rsid w:val="000238E0"/>
    <w:rsid w:val="00024962"/>
    <w:rsid w:val="00024D1A"/>
    <w:rsid w:val="000250B7"/>
    <w:rsid w:val="00025F42"/>
    <w:rsid w:val="00026D5C"/>
    <w:rsid w:val="00027443"/>
    <w:rsid w:val="000276EE"/>
    <w:rsid w:val="00027781"/>
    <w:rsid w:val="000277E1"/>
    <w:rsid w:val="00030233"/>
    <w:rsid w:val="00030382"/>
    <w:rsid w:val="00030D15"/>
    <w:rsid w:val="00032189"/>
    <w:rsid w:val="00032732"/>
    <w:rsid w:val="00032BD3"/>
    <w:rsid w:val="00032CDB"/>
    <w:rsid w:val="00032E02"/>
    <w:rsid w:val="00033071"/>
    <w:rsid w:val="00033257"/>
    <w:rsid w:val="00033935"/>
    <w:rsid w:val="00033D1E"/>
    <w:rsid w:val="00033D28"/>
    <w:rsid w:val="00034387"/>
    <w:rsid w:val="000343B3"/>
    <w:rsid w:val="0003496D"/>
    <w:rsid w:val="00034A7F"/>
    <w:rsid w:val="000352F8"/>
    <w:rsid w:val="00035790"/>
    <w:rsid w:val="000368C3"/>
    <w:rsid w:val="00036DC6"/>
    <w:rsid w:val="0003725B"/>
    <w:rsid w:val="000374DA"/>
    <w:rsid w:val="00040247"/>
    <w:rsid w:val="00040C48"/>
    <w:rsid w:val="00040DBB"/>
    <w:rsid w:val="00040E91"/>
    <w:rsid w:val="00041302"/>
    <w:rsid w:val="000414EB"/>
    <w:rsid w:val="0004159F"/>
    <w:rsid w:val="00041650"/>
    <w:rsid w:val="00041B58"/>
    <w:rsid w:val="00042069"/>
    <w:rsid w:val="00042390"/>
    <w:rsid w:val="00042618"/>
    <w:rsid w:val="0004298B"/>
    <w:rsid w:val="00042E94"/>
    <w:rsid w:val="000437B4"/>
    <w:rsid w:val="00043A5E"/>
    <w:rsid w:val="00043D20"/>
    <w:rsid w:val="00043FDE"/>
    <w:rsid w:val="000457AD"/>
    <w:rsid w:val="000464AC"/>
    <w:rsid w:val="000467DE"/>
    <w:rsid w:val="00046CB2"/>
    <w:rsid w:val="00046DF1"/>
    <w:rsid w:val="00047188"/>
    <w:rsid w:val="0004769C"/>
    <w:rsid w:val="00047941"/>
    <w:rsid w:val="00047CD6"/>
    <w:rsid w:val="00051DE6"/>
    <w:rsid w:val="00052C3A"/>
    <w:rsid w:val="00053B2B"/>
    <w:rsid w:val="00053BAF"/>
    <w:rsid w:val="00054353"/>
    <w:rsid w:val="0005486A"/>
    <w:rsid w:val="00054A01"/>
    <w:rsid w:val="00054F8E"/>
    <w:rsid w:val="00055DB2"/>
    <w:rsid w:val="0005719F"/>
    <w:rsid w:val="000577D9"/>
    <w:rsid w:val="000579A0"/>
    <w:rsid w:val="00060753"/>
    <w:rsid w:val="0006092E"/>
    <w:rsid w:val="00060981"/>
    <w:rsid w:val="00060B08"/>
    <w:rsid w:val="00060B62"/>
    <w:rsid w:val="00061283"/>
    <w:rsid w:val="00062012"/>
    <w:rsid w:val="0006231F"/>
    <w:rsid w:val="0006241B"/>
    <w:rsid w:val="000627A2"/>
    <w:rsid w:val="000629D7"/>
    <w:rsid w:val="0006325B"/>
    <w:rsid w:val="00063516"/>
    <w:rsid w:val="00063A81"/>
    <w:rsid w:val="0006417A"/>
    <w:rsid w:val="000645F4"/>
    <w:rsid w:val="00064D3D"/>
    <w:rsid w:val="000657E8"/>
    <w:rsid w:val="00065F8F"/>
    <w:rsid w:val="00066404"/>
    <w:rsid w:val="0006649C"/>
    <w:rsid w:val="0006663B"/>
    <w:rsid w:val="00066B80"/>
    <w:rsid w:val="00067D24"/>
    <w:rsid w:val="00067F50"/>
    <w:rsid w:val="00070830"/>
    <w:rsid w:val="00070B2E"/>
    <w:rsid w:val="00073B1F"/>
    <w:rsid w:val="0007424A"/>
    <w:rsid w:val="00074E6D"/>
    <w:rsid w:val="00074EB7"/>
    <w:rsid w:val="000757E6"/>
    <w:rsid w:val="00075EC0"/>
    <w:rsid w:val="000770D5"/>
    <w:rsid w:val="00077475"/>
    <w:rsid w:val="00077C71"/>
    <w:rsid w:val="00077CCC"/>
    <w:rsid w:val="00077CF7"/>
    <w:rsid w:val="00077E16"/>
    <w:rsid w:val="00080523"/>
    <w:rsid w:val="00080675"/>
    <w:rsid w:val="000809B3"/>
    <w:rsid w:val="000809F1"/>
    <w:rsid w:val="00080EAB"/>
    <w:rsid w:val="00081348"/>
    <w:rsid w:val="00081C6A"/>
    <w:rsid w:val="00082444"/>
    <w:rsid w:val="000825A5"/>
    <w:rsid w:val="00082885"/>
    <w:rsid w:val="00082D8D"/>
    <w:rsid w:val="00082E05"/>
    <w:rsid w:val="00083162"/>
    <w:rsid w:val="000831D6"/>
    <w:rsid w:val="0008327A"/>
    <w:rsid w:val="00083C1B"/>
    <w:rsid w:val="000841F9"/>
    <w:rsid w:val="000843DB"/>
    <w:rsid w:val="000845AF"/>
    <w:rsid w:val="00084C8D"/>
    <w:rsid w:val="00085BE8"/>
    <w:rsid w:val="00085D13"/>
    <w:rsid w:val="00085E26"/>
    <w:rsid w:val="00086629"/>
    <w:rsid w:val="00087808"/>
    <w:rsid w:val="000879BA"/>
    <w:rsid w:val="00087CEF"/>
    <w:rsid w:val="00090151"/>
    <w:rsid w:val="0009046F"/>
    <w:rsid w:val="00090851"/>
    <w:rsid w:val="00090A95"/>
    <w:rsid w:val="00090D30"/>
    <w:rsid w:val="00091FFC"/>
    <w:rsid w:val="00093575"/>
    <w:rsid w:val="00093693"/>
    <w:rsid w:val="00093B7C"/>
    <w:rsid w:val="00093DFA"/>
    <w:rsid w:val="00093FF5"/>
    <w:rsid w:val="000949BD"/>
    <w:rsid w:val="00094C56"/>
    <w:rsid w:val="00095627"/>
    <w:rsid w:val="00095945"/>
    <w:rsid w:val="00095A2E"/>
    <w:rsid w:val="0009622C"/>
    <w:rsid w:val="0009681E"/>
    <w:rsid w:val="00096BDC"/>
    <w:rsid w:val="00096F2F"/>
    <w:rsid w:val="000970A7"/>
    <w:rsid w:val="000975EC"/>
    <w:rsid w:val="00097C55"/>
    <w:rsid w:val="000A0444"/>
    <w:rsid w:val="000A0472"/>
    <w:rsid w:val="000A0F64"/>
    <w:rsid w:val="000A152E"/>
    <w:rsid w:val="000A1691"/>
    <w:rsid w:val="000A1891"/>
    <w:rsid w:val="000A1E61"/>
    <w:rsid w:val="000A20B0"/>
    <w:rsid w:val="000A245A"/>
    <w:rsid w:val="000A2C8D"/>
    <w:rsid w:val="000A397A"/>
    <w:rsid w:val="000A4311"/>
    <w:rsid w:val="000A43F5"/>
    <w:rsid w:val="000A4752"/>
    <w:rsid w:val="000A4D7E"/>
    <w:rsid w:val="000A50F9"/>
    <w:rsid w:val="000A53E5"/>
    <w:rsid w:val="000A6C60"/>
    <w:rsid w:val="000A6F64"/>
    <w:rsid w:val="000A7017"/>
    <w:rsid w:val="000A76D7"/>
    <w:rsid w:val="000A7798"/>
    <w:rsid w:val="000A78FC"/>
    <w:rsid w:val="000A7978"/>
    <w:rsid w:val="000A7C00"/>
    <w:rsid w:val="000A7E1F"/>
    <w:rsid w:val="000B02A2"/>
    <w:rsid w:val="000B07FB"/>
    <w:rsid w:val="000B10DF"/>
    <w:rsid w:val="000B1297"/>
    <w:rsid w:val="000B163F"/>
    <w:rsid w:val="000B29B7"/>
    <w:rsid w:val="000B2CB2"/>
    <w:rsid w:val="000B38C9"/>
    <w:rsid w:val="000B46A2"/>
    <w:rsid w:val="000B47C0"/>
    <w:rsid w:val="000B503B"/>
    <w:rsid w:val="000B5E52"/>
    <w:rsid w:val="000B6193"/>
    <w:rsid w:val="000B6AB3"/>
    <w:rsid w:val="000B7258"/>
    <w:rsid w:val="000B754A"/>
    <w:rsid w:val="000B7552"/>
    <w:rsid w:val="000B76DB"/>
    <w:rsid w:val="000B7CBE"/>
    <w:rsid w:val="000B7E41"/>
    <w:rsid w:val="000B7EF2"/>
    <w:rsid w:val="000C0262"/>
    <w:rsid w:val="000C02C5"/>
    <w:rsid w:val="000C0E20"/>
    <w:rsid w:val="000C10EA"/>
    <w:rsid w:val="000C164B"/>
    <w:rsid w:val="000C182C"/>
    <w:rsid w:val="000C18B8"/>
    <w:rsid w:val="000C236F"/>
    <w:rsid w:val="000C2ADE"/>
    <w:rsid w:val="000C2CA7"/>
    <w:rsid w:val="000C321D"/>
    <w:rsid w:val="000C3667"/>
    <w:rsid w:val="000C3E83"/>
    <w:rsid w:val="000C41A6"/>
    <w:rsid w:val="000C41C9"/>
    <w:rsid w:val="000C467B"/>
    <w:rsid w:val="000C4781"/>
    <w:rsid w:val="000C4D58"/>
    <w:rsid w:val="000C53A3"/>
    <w:rsid w:val="000C572E"/>
    <w:rsid w:val="000C61C7"/>
    <w:rsid w:val="000C6AA2"/>
    <w:rsid w:val="000C6C97"/>
    <w:rsid w:val="000C7179"/>
    <w:rsid w:val="000C7BD5"/>
    <w:rsid w:val="000D002C"/>
    <w:rsid w:val="000D031D"/>
    <w:rsid w:val="000D070B"/>
    <w:rsid w:val="000D1DDF"/>
    <w:rsid w:val="000D2200"/>
    <w:rsid w:val="000D262B"/>
    <w:rsid w:val="000D2F5C"/>
    <w:rsid w:val="000D2F8A"/>
    <w:rsid w:val="000D3129"/>
    <w:rsid w:val="000D3C7E"/>
    <w:rsid w:val="000D4BBF"/>
    <w:rsid w:val="000D556A"/>
    <w:rsid w:val="000D6416"/>
    <w:rsid w:val="000D66BD"/>
    <w:rsid w:val="000D6FB8"/>
    <w:rsid w:val="000D793B"/>
    <w:rsid w:val="000E0D38"/>
    <w:rsid w:val="000E1AEC"/>
    <w:rsid w:val="000E1B37"/>
    <w:rsid w:val="000E1FB7"/>
    <w:rsid w:val="000E2C70"/>
    <w:rsid w:val="000E2E04"/>
    <w:rsid w:val="000E3195"/>
    <w:rsid w:val="000E35CD"/>
    <w:rsid w:val="000E391F"/>
    <w:rsid w:val="000E3CC1"/>
    <w:rsid w:val="000E4801"/>
    <w:rsid w:val="000E4F1E"/>
    <w:rsid w:val="000E50F2"/>
    <w:rsid w:val="000E514D"/>
    <w:rsid w:val="000E51E9"/>
    <w:rsid w:val="000E5407"/>
    <w:rsid w:val="000E5979"/>
    <w:rsid w:val="000E5CCD"/>
    <w:rsid w:val="000E62FB"/>
    <w:rsid w:val="000E6310"/>
    <w:rsid w:val="000E68D3"/>
    <w:rsid w:val="000E6D46"/>
    <w:rsid w:val="000E6E56"/>
    <w:rsid w:val="000F03FB"/>
    <w:rsid w:val="000F04BF"/>
    <w:rsid w:val="000F0595"/>
    <w:rsid w:val="000F12B8"/>
    <w:rsid w:val="000F12C9"/>
    <w:rsid w:val="000F1BDC"/>
    <w:rsid w:val="000F233F"/>
    <w:rsid w:val="000F2CAD"/>
    <w:rsid w:val="000F3118"/>
    <w:rsid w:val="000F3522"/>
    <w:rsid w:val="000F3662"/>
    <w:rsid w:val="000F4B29"/>
    <w:rsid w:val="000F4C35"/>
    <w:rsid w:val="000F525E"/>
    <w:rsid w:val="000F5511"/>
    <w:rsid w:val="000F62C7"/>
    <w:rsid w:val="000F6CBD"/>
    <w:rsid w:val="0010013D"/>
    <w:rsid w:val="00100C1C"/>
    <w:rsid w:val="00100CEE"/>
    <w:rsid w:val="001017D1"/>
    <w:rsid w:val="00101E4B"/>
    <w:rsid w:val="00102395"/>
    <w:rsid w:val="001029D6"/>
    <w:rsid w:val="00102F8F"/>
    <w:rsid w:val="001033B2"/>
    <w:rsid w:val="001043C6"/>
    <w:rsid w:val="00105612"/>
    <w:rsid w:val="00105EA6"/>
    <w:rsid w:val="0010618E"/>
    <w:rsid w:val="001068F5"/>
    <w:rsid w:val="00106D48"/>
    <w:rsid w:val="00107219"/>
    <w:rsid w:val="00107693"/>
    <w:rsid w:val="00107A49"/>
    <w:rsid w:val="00107DAF"/>
    <w:rsid w:val="001101BB"/>
    <w:rsid w:val="00110FE1"/>
    <w:rsid w:val="001120A0"/>
    <w:rsid w:val="0011219D"/>
    <w:rsid w:val="00113F0C"/>
    <w:rsid w:val="0011442D"/>
    <w:rsid w:val="001147A4"/>
    <w:rsid w:val="00114929"/>
    <w:rsid w:val="00115653"/>
    <w:rsid w:val="00115CF1"/>
    <w:rsid w:val="001170C6"/>
    <w:rsid w:val="00117137"/>
    <w:rsid w:val="00117AF3"/>
    <w:rsid w:val="00117C0F"/>
    <w:rsid w:val="00117C68"/>
    <w:rsid w:val="0012000C"/>
    <w:rsid w:val="001200D6"/>
    <w:rsid w:val="00120360"/>
    <w:rsid w:val="0012068C"/>
    <w:rsid w:val="001207F9"/>
    <w:rsid w:val="00120BC7"/>
    <w:rsid w:val="00120C2F"/>
    <w:rsid w:val="00120CA0"/>
    <w:rsid w:val="00121008"/>
    <w:rsid w:val="0012101A"/>
    <w:rsid w:val="001215D6"/>
    <w:rsid w:val="0012202C"/>
    <w:rsid w:val="00122CE1"/>
    <w:rsid w:val="00122E2B"/>
    <w:rsid w:val="00123976"/>
    <w:rsid w:val="00124629"/>
    <w:rsid w:val="00124DEC"/>
    <w:rsid w:val="00124EFD"/>
    <w:rsid w:val="0012577E"/>
    <w:rsid w:val="0012596E"/>
    <w:rsid w:val="00125F7D"/>
    <w:rsid w:val="001260C8"/>
    <w:rsid w:val="001262EF"/>
    <w:rsid w:val="0012655D"/>
    <w:rsid w:val="00126583"/>
    <w:rsid w:val="00126B65"/>
    <w:rsid w:val="0012732F"/>
    <w:rsid w:val="00130339"/>
    <w:rsid w:val="001307C5"/>
    <w:rsid w:val="00130ADB"/>
    <w:rsid w:val="001311F8"/>
    <w:rsid w:val="00131433"/>
    <w:rsid w:val="0013159F"/>
    <w:rsid w:val="001319D2"/>
    <w:rsid w:val="00131EB1"/>
    <w:rsid w:val="00132635"/>
    <w:rsid w:val="0013283A"/>
    <w:rsid w:val="00134190"/>
    <w:rsid w:val="00134A11"/>
    <w:rsid w:val="00134F05"/>
    <w:rsid w:val="001354E7"/>
    <w:rsid w:val="00135A54"/>
    <w:rsid w:val="00136710"/>
    <w:rsid w:val="0013672B"/>
    <w:rsid w:val="00136FEB"/>
    <w:rsid w:val="001375B7"/>
    <w:rsid w:val="00137CFA"/>
    <w:rsid w:val="00137F05"/>
    <w:rsid w:val="001400A0"/>
    <w:rsid w:val="00140982"/>
    <w:rsid w:val="00140CFB"/>
    <w:rsid w:val="00140F37"/>
    <w:rsid w:val="00141200"/>
    <w:rsid w:val="00141591"/>
    <w:rsid w:val="0014172A"/>
    <w:rsid w:val="0014187A"/>
    <w:rsid w:val="00141FBC"/>
    <w:rsid w:val="001422C9"/>
    <w:rsid w:val="0014243F"/>
    <w:rsid w:val="0014294E"/>
    <w:rsid w:val="00142C72"/>
    <w:rsid w:val="001432CD"/>
    <w:rsid w:val="001432DF"/>
    <w:rsid w:val="00143447"/>
    <w:rsid w:val="00143519"/>
    <w:rsid w:val="001437C9"/>
    <w:rsid w:val="00143B74"/>
    <w:rsid w:val="00143E7A"/>
    <w:rsid w:val="00144111"/>
    <w:rsid w:val="00144A29"/>
    <w:rsid w:val="00147BE4"/>
    <w:rsid w:val="00147CDB"/>
    <w:rsid w:val="00147DDC"/>
    <w:rsid w:val="00147DE3"/>
    <w:rsid w:val="00147E04"/>
    <w:rsid w:val="00150453"/>
    <w:rsid w:val="00150A0F"/>
    <w:rsid w:val="00150C10"/>
    <w:rsid w:val="00150D1B"/>
    <w:rsid w:val="00151336"/>
    <w:rsid w:val="00152366"/>
    <w:rsid w:val="00152EC0"/>
    <w:rsid w:val="00153B2D"/>
    <w:rsid w:val="00153B85"/>
    <w:rsid w:val="001553A8"/>
    <w:rsid w:val="001554CE"/>
    <w:rsid w:val="00155FD8"/>
    <w:rsid w:val="0015605D"/>
    <w:rsid w:val="001560EC"/>
    <w:rsid w:val="001561DC"/>
    <w:rsid w:val="00156508"/>
    <w:rsid w:val="0015754D"/>
    <w:rsid w:val="00157B04"/>
    <w:rsid w:val="00157BD4"/>
    <w:rsid w:val="00160284"/>
    <w:rsid w:val="0016057A"/>
    <w:rsid w:val="00160866"/>
    <w:rsid w:val="0016091C"/>
    <w:rsid w:val="00160E97"/>
    <w:rsid w:val="00161774"/>
    <w:rsid w:val="00161E40"/>
    <w:rsid w:val="00161F83"/>
    <w:rsid w:val="0016346F"/>
    <w:rsid w:val="00163837"/>
    <w:rsid w:val="00163A54"/>
    <w:rsid w:val="00164559"/>
    <w:rsid w:val="00164791"/>
    <w:rsid w:val="00165EAA"/>
    <w:rsid w:val="00165EDD"/>
    <w:rsid w:val="001665EA"/>
    <w:rsid w:val="00166949"/>
    <w:rsid w:val="00167721"/>
    <w:rsid w:val="00170788"/>
    <w:rsid w:val="001708BE"/>
    <w:rsid w:val="0017098A"/>
    <w:rsid w:val="00170A70"/>
    <w:rsid w:val="00170C21"/>
    <w:rsid w:val="001716F7"/>
    <w:rsid w:val="00171A6F"/>
    <w:rsid w:val="00172993"/>
    <w:rsid w:val="00173064"/>
    <w:rsid w:val="001732B2"/>
    <w:rsid w:val="00173621"/>
    <w:rsid w:val="001739C2"/>
    <w:rsid w:val="00173B3A"/>
    <w:rsid w:val="00173FCF"/>
    <w:rsid w:val="00174655"/>
    <w:rsid w:val="00174D90"/>
    <w:rsid w:val="00175977"/>
    <w:rsid w:val="0017605B"/>
    <w:rsid w:val="001761EF"/>
    <w:rsid w:val="0017656E"/>
    <w:rsid w:val="00176784"/>
    <w:rsid w:val="00176790"/>
    <w:rsid w:val="00176D8B"/>
    <w:rsid w:val="0017751F"/>
    <w:rsid w:val="00180435"/>
    <w:rsid w:val="001809E0"/>
    <w:rsid w:val="00181375"/>
    <w:rsid w:val="001813C3"/>
    <w:rsid w:val="00181855"/>
    <w:rsid w:val="001819DA"/>
    <w:rsid w:val="00181FCF"/>
    <w:rsid w:val="00182693"/>
    <w:rsid w:val="001826A0"/>
    <w:rsid w:val="00182705"/>
    <w:rsid w:val="00182DFB"/>
    <w:rsid w:val="00182E38"/>
    <w:rsid w:val="001838E0"/>
    <w:rsid w:val="00183A15"/>
    <w:rsid w:val="00183F61"/>
    <w:rsid w:val="001845F7"/>
    <w:rsid w:val="001852AE"/>
    <w:rsid w:val="00185355"/>
    <w:rsid w:val="00185483"/>
    <w:rsid w:val="00185D52"/>
    <w:rsid w:val="0018601D"/>
    <w:rsid w:val="0018628A"/>
    <w:rsid w:val="001866BF"/>
    <w:rsid w:val="00186884"/>
    <w:rsid w:val="00187102"/>
    <w:rsid w:val="00187119"/>
    <w:rsid w:val="001878EB"/>
    <w:rsid w:val="0019000C"/>
    <w:rsid w:val="0019030D"/>
    <w:rsid w:val="0019076F"/>
    <w:rsid w:val="0019092C"/>
    <w:rsid w:val="00190C7A"/>
    <w:rsid w:val="00190E9E"/>
    <w:rsid w:val="00190F7F"/>
    <w:rsid w:val="0019269B"/>
    <w:rsid w:val="001929EF"/>
    <w:rsid w:val="00192AB3"/>
    <w:rsid w:val="00192F7F"/>
    <w:rsid w:val="001939CB"/>
    <w:rsid w:val="00193F5B"/>
    <w:rsid w:val="00194559"/>
    <w:rsid w:val="001947C1"/>
    <w:rsid w:val="001948EC"/>
    <w:rsid w:val="00194F2A"/>
    <w:rsid w:val="0019508F"/>
    <w:rsid w:val="001953F2"/>
    <w:rsid w:val="0019547E"/>
    <w:rsid w:val="00195688"/>
    <w:rsid w:val="00196BE4"/>
    <w:rsid w:val="0019734C"/>
    <w:rsid w:val="0019776A"/>
    <w:rsid w:val="001A0137"/>
    <w:rsid w:val="001A06DE"/>
    <w:rsid w:val="001A08FF"/>
    <w:rsid w:val="001A17B1"/>
    <w:rsid w:val="001A1AE7"/>
    <w:rsid w:val="001A2314"/>
    <w:rsid w:val="001A3100"/>
    <w:rsid w:val="001A3A22"/>
    <w:rsid w:val="001A3AA1"/>
    <w:rsid w:val="001A3CBF"/>
    <w:rsid w:val="001A3F98"/>
    <w:rsid w:val="001A4109"/>
    <w:rsid w:val="001A4547"/>
    <w:rsid w:val="001A48FB"/>
    <w:rsid w:val="001A4C89"/>
    <w:rsid w:val="001A562F"/>
    <w:rsid w:val="001A646C"/>
    <w:rsid w:val="001A66AF"/>
    <w:rsid w:val="001B0800"/>
    <w:rsid w:val="001B09DF"/>
    <w:rsid w:val="001B100D"/>
    <w:rsid w:val="001B1019"/>
    <w:rsid w:val="001B1B0D"/>
    <w:rsid w:val="001B2087"/>
    <w:rsid w:val="001B2704"/>
    <w:rsid w:val="001B2C82"/>
    <w:rsid w:val="001B2F6B"/>
    <w:rsid w:val="001B354E"/>
    <w:rsid w:val="001B3657"/>
    <w:rsid w:val="001B3EDD"/>
    <w:rsid w:val="001B3EE2"/>
    <w:rsid w:val="001B43FF"/>
    <w:rsid w:val="001B4478"/>
    <w:rsid w:val="001B4569"/>
    <w:rsid w:val="001B484F"/>
    <w:rsid w:val="001B4B99"/>
    <w:rsid w:val="001B5B2D"/>
    <w:rsid w:val="001B5EB4"/>
    <w:rsid w:val="001B6030"/>
    <w:rsid w:val="001B68D3"/>
    <w:rsid w:val="001B6F65"/>
    <w:rsid w:val="001B72AE"/>
    <w:rsid w:val="001B76EB"/>
    <w:rsid w:val="001B776A"/>
    <w:rsid w:val="001B77A1"/>
    <w:rsid w:val="001B7B29"/>
    <w:rsid w:val="001C0B1F"/>
    <w:rsid w:val="001C0C39"/>
    <w:rsid w:val="001C0E0C"/>
    <w:rsid w:val="001C1A1F"/>
    <w:rsid w:val="001C1B4B"/>
    <w:rsid w:val="001C2BA0"/>
    <w:rsid w:val="001C2F21"/>
    <w:rsid w:val="001C321B"/>
    <w:rsid w:val="001C3C19"/>
    <w:rsid w:val="001C3E96"/>
    <w:rsid w:val="001C3ED4"/>
    <w:rsid w:val="001C4E12"/>
    <w:rsid w:val="001C567B"/>
    <w:rsid w:val="001C5E6C"/>
    <w:rsid w:val="001C6066"/>
    <w:rsid w:val="001C6815"/>
    <w:rsid w:val="001C6B3A"/>
    <w:rsid w:val="001C7591"/>
    <w:rsid w:val="001D006E"/>
    <w:rsid w:val="001D0423"/>
    <w:rsid w:val="001D073F"/>
    <w:rsid w:val="001D0DE3"/>
    <w:rsid w:val="001D1020"/>
    <w:rsid w:val="001D15CF"/>
    <w:rsid w:val="001D1E16"/>
    <w:rsid w:val="001D235D"/>
    <w:rsid w:val="001D2555"/>
    <w:rsid w:val="001D2DE5"/>
    <w:rsid w:val="001D337C"/>
    <w:rsid w:val="001D380D"/>
    <w:rsid w:val="001D3DE8"/>
    <w:rsid w:val="001D41F0"/>
    <w:rsid w:val="001D65C6"/>
    <w:rsid w:val="001D6CED"/>
    <w:rsid w:val="001D6DDC"/>
    <w:rsid w:val="001E04E8"/>
    <w:rsid w:val="001E184B"/>
    <w:rsid w:val="001E1EE3"/>
    <w:rsid w:val="001E1F20"/>
    <w:rsid w:val="001E26B5"/>
    <w:rsid w:val="001E2AA6"/>
    <w:rsid w:val="001E386F"/>
    <w:rsid w:val="001E394B"/>
    <w:rsid w:val="001E3BCD"/>
    <w:rsid w:val="001E3D7B"/>
    <w:rsid w:val="001E4522"/>
    <w:rsid w:val="001E4E84"/>
    <w:rsid w:val="001E4EBC"/>
    <w:rsid w:val="001E4F0D"/>
    <w:rsid w:val="001E5107"/>
    <w:rsid w:val="001E55D4"/>
    <w:rsid w:val="001E6376"/>
    <w:rsid w:val="001E71B5"/>
    <w:rsid w:val="001E7B18"/>
    <w:rsid w:val="001F0D95"/>
    <w:rsid w:val="001F15CD"/>
    <w:rsid w:val="001F1A6D"/>
    <w:rsid w:val="001F1F3F"/>
    <w:rsid w:val="001F27B1"/>
    <w:rsid w:val="001F2F00"/>
    <w:rsid w:val="001F348D"/>
    <w:rsid w:val="001F3AE7"/>
    <w:rsid w:val="001F413E"/>
    <w:rsid w:val="001F47D0"/>
    <w:rsid w:val="001F5B11"/>
    <w:rsid w:val="001F5D0F"/>
    <w:rsid w:val="001F6550"/>
    <w:rsid w:val="001F69E8"/>
    <w:rsid w:val="001F7038"/>
    <w:rsid w:val="001F7320"/>
    <w:rsid w:val="001F77B6"/>
    <w:rsid w:val="00200F31"/>
    <w:rsid w:val="002012D7"/>
    <w:rsid w:val="00201B26"/>
    <w:rsid w:val="0020221F"/>
    <w:rsid w:val="00202E67"/>
    <w:rsid w:val="00203AEA"/>
    <w:rsid w:val="00203D33"/>
    <w:rsid w:val="00204D0F"/>
    <w:rsid w:val="00205051"/>
    <w:rsid w:val="0020794A"/>
    <w:rsid w:val="00207A23"/>
    <w:rsid w:val="00207C7F"/>
    <w:rsid w:val="00210B48"/>
    <w:rsid w:val="00211174"/>
    <w:rsid w:val="0021175A"/>
    <w:rsid w:val="00211B9D"/>
    <w:rsid w:val="00211BCE"/>
    <w:rsid w:val="002120BD"/>
    <w:rsid w:val="00212962"/>
    <w:rsid w:val="00213196"/>
    <w:rsid w:val="00214731"/>
    <w:rsid w:val="00214F01"/>
    <w:rsid w:val="0021540E"/>
    <w:rsid w:val="00215C9A"/>
    <w:rsid w:val="0021615A"/>
    <w:rsid w:val="002169FE"/>
    <w:rsid w:val="00216F58"/>
    <w:rsid w:val="00217135"/>
    <w:rsid w:val="00220296"/>
    <w:rsid w:val="0022132D"/>
    <w:rsid w:val="00221D16"/>
    <w:rsid w:val="00221D27"/>
    <w:rsid w:val="00222064"/>
    <w:rsid w:val="00222CAE"/>
    <w:rsid w:val="00223622"/>
    <w:rsid w:val="002237D8"/>
    <w:rsid w:val="0022382C"/>
    <w:rsid w:val="00223B83"/>
    <w:rsid w:val="00223DAB"/>
    <w:rsid w:val="00224D56"/>
    <w:rsid w:val="0022536E"/>
    <w:rsid w:val="002258F4"/>
    <w:rsid w:val="00225A53"/>
    <w:rsid w:val="00225C88"/>
    <w:rsid w:val="002262C4"/>
    <w:rsid w:val="002264F4"/>
    <w:rsid w:val="002277F0"/>
    <w:rsid w:val="00227A81"/>
    <w:rsid w:val="00230A52"/>
    <w:rsid w:val="00230B9E"/>
    <w:rsid w:val="00231427"/>
    <w:rsid w:val="00231B27"/>
    <w:rsid w:val="00231FE3"/>
    <w:rsid w:val="002326CA"/>
    <w:rsid w:val="00232934"/>
    <w:rsid w:val="00232BAB"/>
    <w:rsid w:val="00233057"/>
    <w:rsid w:val="002331EC"/>
    <w:rsid w:val="00233ABC"/>
    <w:rsid w:val="00233FCC"/>
    <w:rsid w:val="00234906"/>
    <w:rsid w:val="00234A3D"/>
    <w:rsid w:val="00235ACB"/>
    <w:rsid w:val="00235DEC"/>
    <w:rsid w:val="00235E6A"/>
    <w:rsid w:val="00236B10"/>
    <w:rsid w:val="00236EEA"/>
    <w:rsid w:val="002372B2"/>
    <w:rsid w:val="0023785A"/>
    <w:rsid w:val="00237DD0"/>
    <w:rsid w:val="002401C8"/>
    <w:rsid w:val="002407C6"/>
    <w:rsid w:val="00240AF3"/>
    <w:rsid w:val="00240DEB"/>
    <w:rsid w:val="0024142D"/>
    <w:rsid w:val="00241714"/>
    <w:rsid w:val="00241F1E"/>
    <w:rsid w:val="0024354E"/>
    <w:rsid w:val="00243D06"/>
    <w:rsid w:val="002442D3"/>
    <w:rsid w:val="00244391"/>
    <w:rsid w:val="002449C0"/>
    <w:rsid w:val="00244CDD"/>
    <w:rsid w:val="00245302"/>
    <w:rsid w:val="0024568B"/>
    <w:rsid w:val="00245D73"/>
    <w:rsid w:val="002460F2"/>
    <w:rsid w:val="00246374"/>
    <w:rsid w:val="002472FE"/>
    <w:rsid w:val="002477B4"/>
    <w:rsid w:val="0025030E"/>
    <w:rsid w:val="002503B8"/>
    <w:rsid w:val="00250F72"/>
    <w:rsid w:val="002514CA"/>
    <w:rsid w:val="00252675"/>
    <w:rsid w:val="00252803"/>
    <w:rsid w:val="00252FDB"/>
    <w:rsid w:val="0025369C"/>
    <w:rsid w:val="00254AAA"/>
    <w:rsid w:val="0025559A"/>
    <w:rsid w:val="00255E07"/>
    <w:rsid w:val="002567CD"/>
    <w:rsid w:val="00257287"/>
    <w:rsid w:val="00257322"/>
    <w:rsid w:val="002574ED"/>
    <w:rsid w:val="002576B5"/>
    <w:rsid w:val="0025785E"/>
    <w:rsid w:val="00260B9A"/>
    <w:rsid w:val="002612BE"/>
    <w:rsid w:val="002613AC"/>
    <w:rsid w:val="0026148A"/>
    <w:rsid w:val="002614AF"/>
    <w:rsid w:val="00261D3C"/>
    <w:rsid w:val="00262C42"/>
    <w:rsid w:val="0026349D"/>
    <w:rsid w:val="00263AF2"/>
    <w:rsid w:val="00264405"/>
    <w:rsid w:val="00265174"/>
    <w:rsid w:val="00266503"/>
    <w:rsid w:val="00266E0E"/>
    <w:rsid w:val="00266FD4"/>
    <w:rsid w:val="002671CC"/>
    <w:rsid w:val="00267241"/>
    <w:rsid w:val="002676FA"/>
    <w:rsid w:val="002677C2"/>
    <w:rsid w:val="002678E2"/>
    <w:rsid w:val="00267CA4"/>
    <w:rsid w:val="00267F57"/>
    <w:rsid w:val="00270135"/>
    <w:rsid w:val="0027099E"/>
    <w:rsid w:val="002709E7"/>
    <w:rsid w:val="00271222"/>
    <w:rsid w:val="00271B2A"/>
    <w:rsid w:val="00272101"/>
    <w:rsid w:val="002728FA"/>
    <w:rsid w:val="0027369C"/>
    <w:rsid w:val="00273706"/>
    <w:rsid w:val="00273FF3"/>
    <w:rsid w:val="00274A18"/>
    <w:rsid w:val="00274B8F"/>
    <w:rsid w:val="00274D9D"/>
    <w:rsid w:val="002769B7"/>
    <w:rsid w:val="00276C42"/>
    <w:rsid w:val="002775A0"/>
    <w:rsid w:val="0027764C"/>
    <w:rsid w:val="00280C4C"/>
    <w:rsid w:val="00280E55"/>
    <w:rsid w:val="0028141B"/>
    <w:rsid w:val="00281E59"/>
    <w:rsid w:val="00282861"/>
    <w:rsid w:val="00282FEC"/>
    <w:rsid w:val="00282FF3"/>
    <w:rsid w:val="0028364E"/>
    <w:rsid w:val="00284655"/>
    <w:rsid w:val="002848CB"/>
    <w:rsid w:val="00284D72"/>
    <w:rsid w:val="0028541A"/>
    <w:rsid w:val="00285776"/>
    <w:rsid w:val="002858BA"/>
    <w:rsid w:val="0028661B"/>
    <w:rsid w:val="002866B6"/>
    <w:rsid w:val="002866D9"/>
    <w:rsid w:val="0028686B"/>
    <w:rsid w:val="002912A0"/>
    <w:rsid w:val="0029184C"/>
    <w:rsid w:val="0029235D"/>
    <w:rsid w:val="00292574"/>
    <w:rsid w:val="002926A4"/>
    <w:rsid w:val="0029283C"/>
    <w:rsid w:val="00292EA2"/>
    <w:rsid w:val="00292F35"/>
    <w:rsid w:val="00292F9A"/>
    <w:rsid w:val="0029396A"/>
    <w:rsid w:val="00293DE2"/>
    <w:rsid w:val="00294D80"/>
    <w:rsid w:val="00295E8C"/>
    <w:rsid w:val="00296148"/>
    <w:rsid w:val="0029649C"/>
    <w:rsid w:val="0029655E"/>
    <w:rsid w:val="00296FB8"/>
    <w:rsid w:val="0029771E"/>
    <w:rsid w:val="002A01ED"/>
    <w:rsid w:val="002A04CF"/>
    <w:rsid w:val="002A0621"/>
    <w:rsid w:val="002A07B1"/>
    <w:rsid w:val="002A0B1A"/>
    <w:rsid w:val="002A17E0"/>
    <w:rsid w:val="002A21C3"/>
    <w:rsid w:val="002A4053"/>
    <w:rsid w:val="002A44EF"/>
    <w:rsid w:val="002A4823"/>
    <w:rsid w:val="002A50D2"/>
    <w:rsid w:val="002A5245"/>
    <w:rsid w:val="002A55D1"/>
    <w:rsid w:val="002A5C41"/>
    <w:rsid w:val="002A5CF5"/>
    <w:rsid w:val="002A60FB"/>
    <w:rsid w:val="002A63B1"/>
    <w:rsid w:val="002A6D5F"/>
    <w:rsid w:val="002A6EA4"/>
    <w:rsid w:val="002A7839"/>
    <w:rsid w:val="002A7B04"/>
    <w:rsid w:val="002A7E9D"/>
    <w:rsid w:val="002B0D7E"/>
    <w:rsid w:val="002B0E75"/>
    <w:rsid w:val="002B0F51"/>
    <w:rsid w:val="002B15AC"/>
    <w:rsid w:val="002B193B"/>
    <w:rsid w:val="002B19FB"/>
    <w:rsid w:val="002B33EC"/>
    <w:rsid w:val="002B36C3"/>
    <w:rsid w:val="002B3812"/>
    <w:rsid w:val="002B383A"/>
    <w:rsid w:val="002B4BA7"/>
    <w:rsid w:val="002B532E"/>
    <w:rsid w:val="002B543A"/>
    <w:rsid w:val="002B5525"/>
    <w:rsid w:val="002B5A2E"/>
    <w:rsid w:val="002B5A4B"/>
    <w:rsid w:val="002B5AA3"/>
    <w:rsid w:val="002B61A8"/>
    <w:rsid w:val="002B678E"/>
    <w:rsid w:val="002B68FE"/>
    <w:rsid w:val="002B7AFC"/>
    <w:rsid w:val="002C0717"/>
    <w:rsid w:val="002C0BC3"/>
    <w:rsid w:val="002C0D00"/>
    <w:rsid w:val="002C10D1"/>
    <w:rsid w:val="002C1CFA"/>
    <w:rsid w:val="002C239C"/>
    <w:rsid w:val="002C2F4E"/>
    <w:rsid w:val="002C30B8"/>
    <w:rsid w:val="002C30BF"/>
    <w:rsid w:val="002C356F"/>
    <w:rsid w:val="002C3A5F"/>
    <w:rsid w:val="002C3CEB"/>
    <w:rsid w:val="002C433A"/>
    <w:rsid w:val="002C43CD"/>
    <w:rsid w:val="002C4406"/>
    <w:rsid w:val="002C4DD7"/>
    <w:rsid w:val="002C4E55"/>
    <w:rsid w:val="002C5754"/>
    <w:rsid w:val="002C5E29"/>
    <w:rsid w:val="002C6BF5"/>
    <w:rsid w:val="002C6D79"/>
    <w:rsid w:val="002C765A"/>
    <w:rsid w:val="002C7B4C"/>
    <w:rsid w:val="002C7F3E"/>
    <w:rsid w:val="002D0C49"/>
    <w:rsid w:val="002D0F70"/>
    <w:rsid w:val="002D1469"/>
    <w:rsid w:val="002D212F"/>
    <w:rsid w:val="002D2333"/>
    <w:rsid w:val="002D2553"/>
    <w:rsid w:val="002D2624"/>
    <w:rsid w:val="002D43A1"/>
    <w:rsid w:val="002D48D1"/>
    <w:rsid w:val="002D54D8"/>
    <w:rsid w:val="002D6310"/>
    <w:rsid w:val="002D63D6"/>
    <w:rsid w:val="002D667F"/>
    <w:rsid w:val="002D6680"/>
    <w:rsid w:val="002D6EFA"/>
    <w:rsid w:val="002D79DB"/>
    <w:rsid w:val="002D7F1A"/>
    <w:rsid w:val="002E00CC"/>
    <w:rsid w:val="002E0473"/>
    <w:rsid w:val="002E0BB8"/>
    <w:rsid w:val="002E1197"/>
    <w:rsid w:val="002E1312"/>
    <w:rsid w:val="002E1AB7"/>
    <w:rsid w:val="002E1AF1"/>
    <w:rsid w:val="002E1F29"/>
    <w:rsid w:val="002E24D4"/>
    <w:rsid w:val="002E293D"/>
    <w:rsid w:val="002E2A27"/>
    <w:rsid w:val="002E3911"/>
    <w:rsid w:val="002E3E8A"/>
    <w:rsid w:val="002E527B"/>
    <w:rsid w:val="002E56B2"/>
    <w:rsid w:val="002E5ACF"/>
    <w:rsid w:val="002E604B"/>
    <w:rsid w:val="002E6084"/>
    <w:rsid w:val="002E710B"/>
    <w:rsid w:val="002E7C69"/>
    <w:rsid w:val="002F06D0"/>
    <w:rsid w:val="002F15AD"/>
    <w:rsid w:val="002F2385"/>
    <w:rsid w:val="002F2CF2"/>
    <w:rsid w:val="002F369F"/>
    <w:rsid w:val="002F3830"/>
    <w:rsid w:val="002F38D7"/>
    <w:rsid w:val="002F3EFA"/>
    <w:rsid w:val="002F40EA"/>
    <w:rsid w:val="002F42D9"/>
    <w:rsid w:val="002F4929"/>
    <w:rsid w:val="002F58A9"/>
    <w:rsid w:val="002F5989"/>
    <w:rsid w:val="002F694D"/>
    <w:rsid w:val="002F73F4"/>
    <w:rsid w:val="002F7DD0"/>
    <w:rsid w:val="002F7DDE"/>
    <w:rsid w:val="002F7E97"/>
    <w:rsid w:val="003000FF"/>
    <w:rsid w:val="003006A1"/>
    <w:rsid w:val="00300CBB"/>
    <w:rsid w:val="003012A2"/>
    <w:rsid w:val="00301499"/>
    <w:rsid w:val="003018B7"/>
    <w:rsid w:val="0030204B"/>
    <w:rsid w:val="003020C6"/>
    <w:rsid w:val="0030280A"/>
    <w:rsid w:val="00302C8C"/>
    <w:rsid w:val="00303EF4"/>
    <w:rsid w:val="00304ACA"/>
    <w:rsid w:val="00304F2A"/>
    <w:rsid w:val="00305A1B"/>
    <w:rsid w:val="003062D8"/>
    <w:rsid w:val="003063EA"/>
    <w:rsid w:val="0030704A"/>
    <w:rsid w:val="003070B7"/>
    <w:rsid w:val="00307309"/>
    <w:rsid w:val="003075BC"/>
    <w:rsid w:val="00307E7E"/>
    <w:rsid w:val="003100F2"/>
    <w:rsid w:val="003101EC"/>
    <w:rsid w:val="003104EE"/>
    <w:rsid w:val="003106DE"/>
    <w:rsid w:val="00311663"/>
    <w:rsid w:val="00311B59"/>
    <w:rsid w:val="00311E4C"/>
    <w:rsid w:val="00311F52"/>
    <w:rsid w:val="0031227B"/>
    <w:rsid w:val="003127F4"/>
    <w:rsid w:val="00312A20"/>
    <w:rsid w:val="00312A92"/>
    <w:rsid w:val="003133C7"/>
    <w:rsid w:val="00313652"/>
    <w:rsid w:val="0031376D"/>
    <w:rsid w:val="00313D36"/>
    <w:rsid w:val="00314899"/>
    <w:rsid w:val="003151B5"/>
    <w:rsid w:val="00315AF8"/>
    <w:rsid w:val="00315C91"/>
    <w:rsid w:val="003168A7"/>
    <w:rsid w:val="00316D90"/>
    <w:rsid w:val="003175F3"/>
    <w:rsid w:val="00317835"/>
    <w:rsid w:val="00317A71"/>
    <w:rsid w:val="00317C72"/>
    <w:rsid w:val="00320ED9"/>
    <w:rsid w:val="00321DAA"/>
    <w:rsid w:val="003225D9"/>
    <w:rsid w:val="00322A9C"/>
    <w:rsid w:val="00322AF3"/>
    <w:rsid w:val="0032306C"/>
    <w:rsid w:val="00323146"/>
    <w:rsid w:val="003235CC"/>
    <w:rsid w:val="003236E3"/>
    <w:rsid w:val="003240B6"/>
    <w:rsid w:val="00324EC4"/>
    <w:rsid w:val="00324FE0"/>
    <w:rsid w:val="00325427"/>
    <w:rsid w:val="00325668"/>
    <w:rsid w:val="00325823"/>
    <w:rsid w:val="00325E60"/>
    <w:rsid w:val="0032752E"/>
    <w:rsid w:val="00327705"/>
    <w:rsid w:val="00330014"/>
    <w:rsid w:val="0033097A"/>
    <w:rsid w:val="00330C51"/>
    <w:rsid w:val="00330DCC"/>
    <w:rsid w:val="003310D4"/>
    <w:rsid w:val="0033199D"/>
    <w:rsid w:val="00331CFC"/>
    <w:rsid w:val="0033241A"/>
    <w:rsid w:val="00332627"/>
    <w:rsid w:val="00332A87"/>
    <w:rsid w:val="00332E97"/>
    <w:rsid w:val="00332F1F"/>
    <w:rsid w:val="00333196"/>
    <w:rsid w:val="0033432E"/>
    <w:rsid w:val="00334EB2"/>
    <w:rsid w:val="003351CE"/>
    <w:rsid w:val="0033535C"/>
    <w:rsid w:val="00335589"/>
    <w:rsid w:val="0033559C"/>
    <w:rsid w:val="0033602B"/>
    <w:rsid w:val="0033625F"/>
    <w:rsid w:val="003362C9"/>
    <w:rsid w:val="003379DC"/>
    <w:rsid w:val="00337C8D"/>
    <w:rsid w:val="00340D7B"/>
    <w:rsid w:val="00341556"/>
    <w:rsid w:val="0034178A"/>
    <w:rsid w:val="003429E0"/>
    <w:rsid w:val="003436C7"/>
    <w:rsid w:val="00343A3B"/>
    <w:rsid w:val="00343B7B"/>
    <w:rsid w:val="00343C1E"/>
    <w:rsid w:val="003441F0"/>
    <w:rsid w:val="00346021"/>
    <w:rsid w:val="00346127"/>
    <w:rsid w:val="00346B36"/>
    <w:rsid w:val="0034796D"/>
    <w:rsid w:val="00347CC0"/>
    <w:rsid w:val="00350651"/>
    <w:rsid w:val="0035093A"/>
    <w:rsid w:val="003509E6"/>
    <w:rsid w:val="00350F1B"/>
    <w:rsid w:val="00351016"/>
    <w:rsid w:val="00351237"/>
    <w:rsid w:val="00351946"/>
    <w:rsid w:val="00351B53"/>
    <w:rsid w:val="00351FF0"/>
    <w:rsid w:val="0035210E"/>
    <w:rsid w:val="003521FD"/>
    <w:rsid w:val="00352802"/>
    <w:rsid w:val="00352C0E"/>
    <w:rsid w:val="00353085"/>
    <w:rsid w:val="003535EF"/>
    <w:rsid w:val="003538EF"/>
    <w:rsid w:val="00354D5C"/>
    <w:rsid w:val="0035515E"/>
    <w:rsid w:val="0035543B"/>
    <w:rsid w:val="00355868"/>
    <w:rsid w:val="00355E2C"/>
    <w:rsid w:val="00355EAC"/>
    <w:rsid w:val="00357596"/>
    <w:rsid w:val="003575B9"/>
    <w:rsid w:val="00357828"/>
    <w:rsid w:val="00357895"/>
    <w:rsid w:val="00357916"/>
    <w:rsid w:val="00357B15"/>
    <w:rsid w:val="0036025D"/>
    <w:rsid w:val="0036035B"/>
    <w:rsid w:val="00360937"/>
    <w:rsid w:val="00360957"/>
    <w:rsid w:val="00360B19"/>
    <w:rsid w:val="00360FCE"/>
    <w:rsid w:val="0036193E"/>
    <w:rsid w:val="003626D8"/>
    <w:rsid w:val="00362D25"/>
    <w:rsid w:val="00362DF3"/>
    <w:rsid w:val="00362E82"/>
    <w:rsid w:val="00363384"/>
    <w:rsid w:val="00364001"/>
    <w:rsid w:val="00364819"/>
    <w:rsid w:val="003658BD"/>
    <w:rsid w:val="00365B5F"/>
    <w:rsid w:val="00365DC3"/>
    <w:rsid w:val="0036633C"/>
    <w:rsid w:val="00366CA4"/>
    <w:rsid w:val="00366CC9"/>
    <w:rsid w:val="0036763E"/>
    <w:rsid w:val="00367773"/>
    <w:rsid w:val="00367C14"/>
    <w:rsid w:val="00367E02"/>
    <w:rsid w:val="0037013D"/>
    <w:rsid w:val="00370316"/>
    <w:rsid w:val="0037078A"/>
    <w:rsid w:val="0037085D"/>
    <w:rsid w:val="00370DA4"/>
    <w:rsid w:val="003710CD"/>
    <w:rsid w:val="00371CE1"/>
    <w:rsid w:val="00372673"/>
    <w:rsid w:val="00372E91"/>
    <w:rsid w:val="00372FAD"/>
    <w:rsid w:val="00372FD5"/>
    <w:rsid w:val="003731FD"/>
    <w:rsid w:val="00373321"/>
    <w:rsid w:val="003739D8"/>
    <w:rsid w:val="00375433"/>
    <w:rsid w:val="0037552F"/>
    <w:rsid w:val="0037573C"/>
    <w:rsid w:val="003758C3"/>
    <w:rsid w:val="0037633B"/>
    <w:rsid w:val="00376958"/>
    <w:rsid w:val="00376B25"/>
    <w:rsid w:val="00376C1A"/>
    <w:rsid w:val="00376DE7"/>
    <w:rsid w:val="0037769F"/>
    <w:rsid w:val="0037792A"/>
    <w:rsid w:val="00377C17"/>
    <w:rsid w:val="00377C46"/>
    <w:rsid w:val="003817A9"/>
    <w:rsid w:val="00382BFE"/>
    <w:rsid w:val="00383057"/>
    <w:rsid w:val="00383AFB"/>
    <w:rsid w:val="00383B9B"/>
    <w:rsid w:val="0038431A"/>
    <w:rsid w:val="00385319"/>
    <w:rsid w:val="0038547C"/>
    <w:rsid w:val="003857D3"/>
    <w:rsid w:val="00385A88"/>
    <w:rsid w:val="00385BA5"/>
    <w:rsid w:val="00386E93"/>
    <w:rsid w:val="00387900"/>
    <w:rsid w:val="00387AF8"/>
    <w:rsid w:val="00387BE8"/>
    <w:rsid w:val="00390065"/>
    <w:rsid w:val="00390A1E"/>
    <w:rsid w:val="0039120F"/>
    <w:rsid w:val="00393383"/>
    <w:rsid w:val="00393660"/>
    <w:rsid w:val="00393F9F"/>
    <w:rsid w:val="003940A4"/>
    <w:rsid w:val="00394A88"/>
    <w:rsid w:val="003957B6"/>
    <w:rsid w:val="003958AE"/>
    <w:rsid w:val="00395D43"/>
    <w:rsid w:val="00396076"/>
    <w:rsid w:val="0039618A"/>
    <w:rsid w:val="0039624A"/>
    <w:rsid w:val="0039709D"/>
    <w:rsid w:val="00397213"/>
    <w:rsid w:val="003A00C9"/>
    <w:rsid w:val="003A0258"/>
    <w:rsid w:val="003A08CE"/>
    <w:rsid w:val="003A11C4"/>
    <w:rsid w:val="003A1F69"/>
    <w:rsid w:val="003A47E8"/>
    <w:rsid w:val="003A4AB7"/>
    <w:rsid w:val="003A5083"/>
    <w:rsid w:val="003A58BA"/>
    <w:rsid w:val="003A67C6"/>
    <w:rsid w:val="003A7124"/>
    <w:rsid w:val="003B00B8"/>
    <w:rsid w:val="003B02EC"/>
    <w:rsid w:val="003B0718"/>
    <w:rsid w:val="003B1455"/>
    <w:rsid w:val="003B1639"/>
    <w:rsid w:val="003B196D"/>
    <w:rsid w:val="003B216A"/>
    <w:rsid w:val="003B23AF"/>
    <w:rsid w:val="003B2AC6"/>
    <w:rsid w:val="003B2F30"/>
    <w:rsid w:val="003B3019"/>
    <w:rsid w:val="003B34C2"/>
    <w:rsid w:val="003B39D7"/>
    <w:rsid w:val="003B3BF0"/>
    <w:rsid w:val="003B4B2E"/>
    <w:rsid w:val="003B4B41"/>
    <w:rsid w:val="003B51EE"/>
    <w:rsid w:val="003B5C08"/>
    <w:rsid w:val="003B61F0"/>
    <w:rsid w:val="003B62DF"/>
    <w:rsid w:val="003B6357"/>
    <w:rsid w:val="003B64B3"/>
    <w:rsid w:val="003B693A"/>
    <w:rsid w:val="003B6AB8"/>
    <w:rsid w:val="003B6DBC"/>
    <w:rsid w:val="003B6E18"/>
    <w:rsid w:val="003B7053"/>
    <w:rsid w:val="003B7102"/>
    <w:rsid w:val="003B774F"/>
    <w:rsid w:val="003B7778"/>
    <w:rsid w:val="003B7D49"/>
    <w:rsid w:val="003B7E00"/>
    <w:rsid w:val="003B7EA2"/>
    <w:rsid w:val="003C02CC"/>
    <w:rsid w:val="003C0862"/>
    <w:rsid w:val="003C0C25"/>
    <w:rsid w:val="003C160A"/>
    <w:rsid w:val="003C19D0"/>
    <w:rsid w:val="003C2377"/>
    <w:rsid w:val="003C2BBD"/>
    <w:rsid w:val="003C2CE7"/>
    <w:rsid w:val="003C2D62"/>
    <w:rsid w:val="003C3097"/>
    <w:rsid w:val="003C3816"/>
    <w:rsid w:val="003C4234"/>
    <w:rsid w:val="003C4C8B"/>
    <w:rsid w:val="003C54B4"/>
    <w:rsid w:val="003C5F5E"/>
    <w:rsid w:val="003C5FC2"/>
    <w:rsid w:val="003C656D"/>
    <w:rsid w:val="003C6612"/>
    <w:rsid w:val="003C6A1E"/>
    <w:rsid w:val="003C6BB7"/>
    <w:rsid w:val="003C7603"/>
    <w:rsid w:val="003D0A88"/>
    <w:rsid w:val="003D0DC8"/>
    <w:rsid w:val="003D12C2"/>
    <w:rsid w:val="003D19A0"/>
    <w:rsid w:val="003D265F"/>
    <w:rsid w:val="003D27BD"/>
    <w:rsid w:val="003D3202"/>
    <w:rsid w:val="003D353C"/>
    <w:rsid w:val="003D63C8"/>
    <w:rsid w:val="003D6472"/>
    <w:rsid w:val="003D6A4E"/>
    <w:rsid w:val="003D7756"/>
    <w:rsid w:val="003E059A"/>
    <w:rsid w:val="003E08FA"/>
    <w:rsid w:val="003E0A78"/>
    <w:rsid w:val="003E19E7"/>
    <w:rsid w:val="003E29B3"/>
    <w:rsid w:val="003E36C0"/>
    <w:rsid w:val="003E3724"/>
    <w:rsid w:val="003E3957"/>
    <w:rsid w:val="003E398D"/>
    <w:rsid w:val="003E4289"/>
    <w:rsid w:val="003E4800"/>
    <w:rsid w:val="003E487B"/>
    <w:rsid w:val="003E4957"/>
    <w:rsid w:val="003E4981"/>
    <w:rsid w:val="003E55E5"/>
    <w:rsid w:val="003E57F9"/>
    <w:rsid w:val="003E5DFE"/>
    <w:rsid w:val="003E5F4F"/>
    <w:rsid w:val="003E6144"/>
    <w:rsid w:val="003E6395"/>
    <w:rsid w:val="003E6A80"/>
    <w:rsid w:val="003E6EF7"/>
    <w:rsid w:val="003E7F59"/>
    <w:rsid w:val="003F0D8B"/>
    <w:rsid w:val="003F1BF6"/>
    <w:rsid w:val="003F1E6F"/>
    <w:rsid w:val="003F1F9E"/>
    <w:rsid w:val="003F27BF"/>
    <w:rsid w:val="003F2A93"/>
    <w:rsid w:val="003F3604"/>
    <w:rsid w:val="003F3BC1"/>
    <w:rsid w:val="003F3D76"/>
    <w:rsid w:val="003F43E6"/>
    <w:rsid w:val="003F4894"/>
    <w:rsid w:val="003F490D"/>
    <w:rsid w:val="003F4DDB"/>
    <w:rsid w:val="003F5542"/>
    <w:rsid w:val="003F5842"/>
    <w:rsid w:val="003F6190"/>
    <w:rsid w:val="003F61E1"/>
    <w:rsid w:val="003F704D"/>
    <w:rsid w:val="003F755C"/>
    <w:rsid w:val="003F77FC"/>
    <w:rsid w:val="003F7C1B"/>
    <w:rsid w:val="003F7E56"/>
    <w:rsid w:val="004000BE"/>
    <w:rsid w:val="00400122"/>
    <w:rsid w:val="004015C7"/>
    <w:rsid w:val="00401A49"/>
    <w:rsid w:val="00401D3D"/>
    <w:rsid w:val="004020AB"/>
    <w:rsid w:val="004024ED"/>
    <w:rsid w:val="004026BA"/>
    <w:rsid w:val="00403038"/>
    <w:rsid w:val="004030D5"/>
    <w:rsid w:val="0040388F"/>
    <w:rsid w:val="00404249"/>
    <w:rsid w:val="004042BA"/>
    <w:rsid w:val="004050B4"/>
    <w:rsid w:val="0040522A"/>
    <w:rsid w:val="00405746"/>
    <w:rsid w:val="004062EC"/>
    <w:rsid w:val="00406755"/>
    <w:rsid w:val="004067DB"/>
    <w:rsid w:val="004069C5"/>
    <w:rsid w:val="00406D6A"/>
    <w:rsid w:val="0040709C"/>
    <w:rsid w:val="00407F30"/>
    <w:rsid w:val="00410ECC"/>
    <w:rsid w:val="004116DA"/>
    <w:rsid w:val="004117D6"/>
    <w:rsid w:val="00411834"/>
    <w:rsid w:val="00411963"/>
    <w:rsid w:val="00411B1C"/>
    <w:rsid w:val="00411C7A"/>
    <w:rsid w:val="00412A23"/>
    <w:rsid w:val="004149DA"/>
    <w:rsid w:val="00414A2E"/>
    <w:rsid w:val="00415755"/>
    <w:rsid w:val="00415B3D"/>
    <w:rsid w:val="004161DE"/>
    <w:rsid w:val="00416211"/>
    <w:rsid w:val="004162D1"/>
    <w:rsid w:val="004167B1"/>
    <w:rsid w:val="00416DC5"/>
    <w:rsid w:val="0042035D"/>
    <w:rsid w:val="00420604"/>
    <w:rsid w:val="00420841"/>
    <w:rsid w:val="00421E00"/>
    <w:rsid w:val="0042220B"/>
    <w:rsid w:val="004226AA"/>
    <w:rsid w:val="00422793"/>
    <w:rsid w:val="00423732"/>
    <w:rsid w:val="0042396F"/>
    <w:rsid w:val="00423FCE"/>
    <w:rsid w:val="004249C4"/>
    <w:rsid w:val="00424F24"/>
    <w:rsid w:val="004259F9"/>
    <w:rsid w:val="00425B31"/>
    <w:rsid w:val="00425BAA"/>
    <w:rsid w:val="0042648D"/>
    <w:rsid w:val="00426957"/>
    <w:rsid w:val="00426976"/>
    <w:rsid w:val="00426BBE"/>
    <w:rsid w:val="00426D02"/>
    <w:rsid w:val="00427722"/>
    <w:rsid w:val="00427A13"/>
    <w:rsid w:val="00427C25"/>
    <w:rsid w:val="00427F4F"/>
    <w:rsid w:val="00430027"/>
    <w:rsid w:val="00430E76"/>
    <w:rsid w:val="00430ED0"/>
    <w:rsid w:val="00431731"/>
    <w:rsid w:val="00431779"/>
    <w:rsid w:val="00431A2A"/>
    <w:rsid w:val="00431CE6"/>
    <w:rsid w:val="00431F2E"/>
    <w:rsid w:val="0043240F"/>
    <w:rsid w:val="00433C39"/>
    <w:rsid w:val="00433C3E"/>
    <w:rsid w:val="00433DA2"/>
    <w:rsid w:val="004343BC"/>
    <w:rsid w:val="00434AC5"/>
    <w:rsid w:val="00435A31"/>
    <w:rsid w:val="0043648F"/>
    <w:rsid w:val="004365F0"/>
    <w:rsid w:val="00436DA8"/>
    <w:rsid w:val="00437108"/>
    <w:rsid w:val="00437D2F"/>
    <w:rsid w:val="00440246"/>
    <w:rsid w:val="00440912"/>
    <w:rsid w:val="00441468"/>
    <w:rsid w:val="00441588"/>
    <w:rsid w:val="00441CF2"/>
    <w:rsid w:val="00441EE6"/>
    <w:rsid w:val="00442540"/>
    <w:rsid w:val="0044307B"/>
    <w:rsid w:val="004431F9"/>
    <w:rsid w:val="00443484"/>
    <w:rsid w:val="00443B1B"/>
    <w:rsid w:val="00444072"/>
    <w:rsid w:val="004440D4"/>
    <w:rsid w:val="004441C7"/>
    <w:rsid w:val="00444204"/>
    <w:rsid w:val="004446E5"/>
    <w:rsid w:val="00444933"/>
    <w:rsid w:val="00446A46"/>
    <w:rsid w:val="00446BAE"/>
    <w:rsid w:val="004473E9"/>
    <w:rsid w:val="0045044A"/>
    <w:rsid w:val="004504BB"/>
    <w:rsid w:val="00450B23"/>
    <w:rsid w:val="004511AB"/>
    <w:rsid w:val="004511FA"/>
    <w:rsid w:val="004514DB"/>
    <w:rsid w:val="0045234D"/>
    <w:rsid w:val="0045235F"/>
    <w:rsid w:val="004533F1"/>
    <w:rsid w:val="00453797"/>
    <w:rsid w:val="00453ABE"/>
    <w:rsid w:val="004542A8"/>
    <w:rsid w:val="004546CE"/>
    <w:rsid w:val="004558EC"/>
    <w:rsid w:val="00455912"/>
    <w:rsid w:val="004560D2"/>
    <w:rsid w:val="004576E8"/>
    <w:rsid w:val="00457CEE"/>
    <w:rsid w:val="00460794"/>
    <w:rsid w:val="00461DF1"/>
    <w:rsid w:val="00462B10"/>
    <w:rsid w:val="00462BA8"/>
    <w:rsid w:val="00462C0D"/>
    <w:rsid w:val="00462E57"/>
    <w:rsid w:val="00463731"/>
    <w:rsid w:val="00463A9F"/>
    <w:rsid w:val="00463CEF"/>
    <w:rsid w:val="00463DEF"/>
    <w:rsid w:val="004648AA"/>
    <w:rsid w:val="00464FEE"/>
    <w:rsid w:val="00465391"/>
    <w:rsid w:val="004656CE"/>
    <w:rsid w:val="00466302"/>
    <w:rsid w:val="004672B7"/>
    <w:rsid w:val="00467391"/>
    <w:rsid w:val="0047018E"/>
    <w:rsid w:val="004706A0"/>
    <w:rsid w:val="0047103A"/>
    <w:rsid w:val="004712ED"/>
    <w:rsid w:val="00471318"/>
    <w:rsid w:val="004715A8"/>
    <w:rsid w:val="00471789"/>
    <w:rsid w:val="00471907"/>
    <w:rsid w:val="00472190"/>
    <w:rsid w:val="004724BF"/>
    <w:rsid w:val="00472695"/>
    <w:rsid w:val="004729E0"/>
    <w:rsid w:val="00473164"/>
    <w:rsid w:val="00473E9C"/>
    <w:rsid w:val="004744D7"/>
    <w:rsid w:val="00474823"/>
    <w:rsid w:val="00474AAA"/>
    <w:rsid w:val="00474BF7"/>
    <w:rsid w:val="00474D9B"/>
    <w:rsid w:val="00474E5C"/>
    <w:rsid w:val="00474F62"/>
    <w:rsid w:val="00475824"/>
    <w:rsid w:val="00475E1A"/>
    <w:rsid w:val="00476230"/>
    <w:rsid w:val="004762ED"/>
    <w:rsid w:val="004763E6"/>
    <w:rsid w:val="00476F6F"/>
    <w:rsid w:val="00477469"/>
    <w:rsid w:val="004774B6"/>
    <w:rsid w:val="004775E8"/>
    <w:rsid w:val="00477A87"/>
    <w:rsid w:val="00477C56"/>
    <w:rsid w:val="00477EAF"/>
    <w:rsid w:val="00480487"/>
    <w:rsid w:val="0048052E"/>
    <w:rsid w:val="00481888"/>
    <w:rsid w:val="004827FE"/>
    <w:rsid w:val="00482BE4"/>
    <w:rsid w:val="004831E5"/>
    <w:rsid w:val="0048370B"/>
    <w:rsid w:val="00483C2E"/>
    <w:rsid w:val="00483E9A"/>
    <w:rsid w:val="004848D1"/>
    <w:rsid w:val="0048491E"/>
    <w:rsid w:val="00486750"/>
    <w:rsid w:val="00487EBC"/>
    <w:rsid w:val="00490DDC"/>
    <w:rsid w:val="00490E33"/>
    <w:rsid w:val="00491D56"/>
    <w:rsid w:val="00491D60"/>
    <w:rsid w:val="004930DF"/>
    <w:rsid w:val="004947D5"/>
    <w:rsid w:val="0049492A"/>
    <w:rsid w:val="0049493B"/>
    <w:rsid w:val="00494CD1"/>
    <w:rsid w:val="00494CDA"/>
    <w:rsid w:val="00494F25"/>
    <w:rsid w:val="00495713"/>
    <w:rsid w:val="004957BA"/>
    <w:rsid w:val="0049590A"/>
    <w:rsid w:val="004959FF"/>
    <w:rsid w:val="00495CE9"/>
    <w:rsid w:val="004962C7"/>
    <w:rsid w:val="004963CC"/>
    <w:rsid w:val="004970C9"/>
    <w:rsid w:val="00497428"/>
    <w:rsid w:val="00497574"/>
    <w:rsid w:val="004977CF"/>
    <w:rsid w:val="004978DC"/>
    <w:rsid w:val="00497B5E"/>
    <w:rsid w:val="004A0C7E"/>
    <w:rsid w:val="004A1416"/>
    <w:rsid w:val="004A224A"/>
    <w:rsid w:val="004A275E"/>
    <w:rsid w:val="004A28DD"/>
    <w:rsid w:val="004A2F02"/>
    <w:rsid w:val="004A3074"/>
    <w:rsid w:val="004A32DD"/>
    <w:rsid w:val="004A41C2"/>
    <w:rsid w:val="004A570E"/>
    <w:rsid w:val="004A59B2"/>
    <w:rsid w:val="004A60ED"/>
    <w:rsid w:val="004A6E51"/>
    <w:rsid w:val="004A74F3"/>
    <w:rsid w:val="004A79D9"/>
    <w:rsid w:val="004A7CEC"/>
    <w:rsid w:val="004B00A4"/>
    <w:rsid w:val="004B06E1"/>
    <w:rsid w:val="004B129A"/>
    <w:rsid w:val="004B24A3"/>
    <w:rsid w:val="004B24F7"/>
    <w:rsid w:val="004B26C7"/>
    <w:rsid w:val="004B28AF"/>
    <w:rsid w:val="004B2A91"/>
    <w:rsid w:val="004B2F98"/>
    <w:rsid w:val="004B31C7"/>
    <w:rsid w:val="004B4BDC"/>
    <w:rsid w:val="004B4D42"/>
    <w:rsid w:val="004B4E10"/>
    <w:rsid w:val="004B60AB"/>
    <w:rsid w:val="004B612C"/>
    <w:rsid w:val="004B618B"/>
    <w:rsid w:val="004B62A5"/>
    <w:rsid w:val="004B6816"/>
    <w:rsid w:val="004B6BC5"/>
    <w:rsid w:val="004B702E"/>
    <w:rsid w:val="004B7E3E"/>
    <w:rsid w:val="004C0165"/>
    <w:rsid w:val="004C0544"/>
    <w:rsid w:val="004C07ED"/>
    <w:rsid w:val="004C1AF9"/>
    <w:rsid w:val="004C1C4F"/>
    <w:rsid w:val="004C1C62"/>
    <w:rsid w:val="004C228F"/>
    <w:rsid w:val="004C2469"/>
    <w:rsid w:val="004C2585"/>
    <w:rsid w:val="004C279B"/>
    <w:rsid w:val="004C281D"/>
    <w:rsid w:val="004C2E9D"/>
    <w:rsid w:val="004C3128"/>
    <w:rsid w:val="004C3294"/>
    <w:rsid w:val="004C40D2"/>
    <w:rsid w:val="004C4513"/>
    <w:rsid w:val="004C4BEC"/>
    <w:rsid w:val="004C5A9B"/>
    <w:rsid w:val="004C60DC"/>
    <w:rsid w:val="004C631D"/>
    <w:rsid w:val="004C7022"/>
    <w:rsid w:val="004C7663"/>
    <w:rsid w:val="004C7FC6"/>
    <w:rsid w:val="004D055D"/>
    <w:rsid w:val="004D08E0"/>
    <w:rsid w:val="004D129E"/>
    <w:rsid w:val="004D25B5"/>
    <w:rsid w:val="004D31BD"/>
    <w:rsid w:val="004D31CA"/>
    <w:rsid w:val="004D44D7"/>
    <w:rsid w:val="004D47B9"/>
    <w:rsid w:val="004D489C"/>
    <w:rsid w:val="004D49C8"/>
    <w:rsid w:val="004D4B5F"/>
    <w:rsid w:val="004D5428"/>
    <w:rsid w:val="004D5D5C"/>
    <w:rsid w:val="004D5FBA"/>
    <w:rsid w:val="004D6E67"/>
    <w:rsid w:val="004D752E"/>
    <w:rsid w:val="004E00B4"/>
    <w:rsid w:val="004E02BD"/>
    <w:rsid w:val="004E0745"/>
    <w:rsid w:val="004E0963"/>
    <w:rsid w:val="004E0B2F"/>
    <w:rsid w:val="004E0CCF"/>
    <w:rsid w:val="004E1B3F"/>
    <w:rsid w:val="004E21ED"/>
    <w:rsid w:val="004E2A8E"/>
    <w:rsid w:val="004E4559"/>
    <w:rsid w:val="004E458C"/>
    <w:rsid w:val="004E65D9"/>
    <w:rsid w:val="004E70F1"/>
    <w:rsid w:val="004E714B"/>
    <w:rsid w:val="004E723C"/>
    <w:rsid w:val="004E7825"/>
    <w:rsid w:val="004E7930"/>
    <w:rsid w:val="004F000D"/>
    <w:rsid w:val="004F0497"/>
    <w:rsid w:val="004F0EC9"/>
    <w:rsid w:val="004F0F77"/>
    <w:rsid w:val="004F224B"/>
    <w:rsid w:val="004F27DD"/>
    <w:rsid w:val="004F40AB"/>
    <w:rsid w:val="004F47F7"/>
    <w:rsid w:val="004F4C76"/>
    <w:rsid w:val="004F5AD4"/>
    <w:rsid w:val="004F5E74"/>
    <w:rsid w:val="004F5ED2"/>
    <w:rsid w:val="004F7CCB"/>
    <w:rsid w:val="0050050B"/>
    <w:rsid w:val="00500DC6"/>
    <w:rsid w:val="0050132A"/>
    <w:rsid w:val="00502F3E"/>
    <w:rsid w:val="00503196"/>
    <w:rsid w:val="005035E4"/>
    <w:rsid w:val="00503672"/>
    <w:rsid w:val="00503967"/>
    <w:rsid w:val="00503ADE"/>
    <w:rsid w:val="00503FC8"/>
    <w:rsid w:val="00504302"/>
    <w:rsid w:val="005044E0"/>
    <w:rsid w:val="0050467F"/>
    <w:rsid w:val="00504706"/>
    <w:rsid w:val="00504E60"/>
    <w:rsid w:val="0050553B"/>
    <w:rsid w:val="00505D13"/>
    <w:rsid w:val="005066F9"/>
    <w:rsid w:val="0050674F"/>
    <w:rsid w:val="00506767"/>
    <w:rsid w:val="00506A2E"/>
    <w:rsid w:val="00510478"/>
    <w:rsid w:val="00510BE0"/>
    <w:rsid w:val="00510C49"/>
    <w:rsid w:val="00510C5C"/>
    <w:rsid w:val="00511288"/>
    <w:rsid w:val="00511A73"/>
    <w:rsid w:val="00511E62"/>
    <w:rsid w:val="00513492"/>
    <w:rsid w:val="00513696"/>
    <w:rsid w:val="005139F7"/>
    <w:rsid w:val="005148F6"/>
    <w:rsid w:val="00515EAB"/>
    <w:rsid w:val="00517065"/>
    <w:rsid w:val="005178CD"/>
    <w:rsid w:val="005207B3"/>
    <w:rsid w:val="005208AC"/>
    <w:rsid w:val="00520B14"/>
    <w:rsid w:val="00520BF3"/>
    <w:rsid w:val="005219BF"/>
    <w:rsid w:val="00521DC2"/>
    <w:rsid w:val="00521EFA"/>
    <w:rsid w:val="005221C4"/>
    <w:rsid w:val="0052230A"/>
    <w:rsid w:val="0052266F"/>
    <w:rsid w:val="00522B6D"/>
    <w:rsid w:val="00522BED"/>
    <w:rsid w:val="00522CEC"/>
    <w:rsid w:val="00522D01"/>
    <w:rsid w:val="00523237"/>
    <w:rsid w:val="00523A16"/>
    <w:rsid w:val="00523D2D"/>
    <w:rsid w:val="00524432"/>
    <w:rsid w:val="00524822"/>
    <w:rsid w:val="005256BB"/>
    <w:rsid w:val="005256DB"/>
    <w:rsid w:val="00525AC4"/>
    <w:rsid w:val="00525B79"/>
    <w:rsid w:val="005264A5"/>
    <w:rsid w:val="00526754"/>
    <w:rsid w:val="00526A8A"/>
    <w:rsid w:val="00526D01"/>
    <w:rsid w:val="00526D9F"/>
    <w:rsid w:val="00527A69"/>
    <w:rsid w:val="0053032E"/>
    <w:rsid w:val="00530860"/>
    <w:rsid w:val="00531932"/>
    <w:rsid w:val="00531C3D"/>
    <w:rsid w:val="005325E8"/>
    <w:rsid w:val="005326BA"/>
    <w:rsid w:val="0053277C"/>
    <w:rsid w:val="00532EB0"/>
    <w:rsid w:val="005335BC"/>
    <w:rsid w:val="005336CE"/>
    <w:rsid w:val="00533CD5"/>
    <w:rsid w:val="00533FD5"/>
    <w:rsid w:val="00534621"/>
    <w:rsid w:val="00534871"/>
    <w:rsid w:val="00534F33"/>
    <w:rsid w:val="00535069"/>
    <w:rsid w:val="00535A60"/>
    <w:rsid w:val="005368AB"/>
    <w:rsid w:val="005372AF"/>
    <w:rsid w:val="00537F74"/>
    <w:rsid w:val="00540D5C"/>
    <w:rsid w:val="00540EBB"/>
    <w:rsid w:val="005414C4"/>
    <w:rsid w:val="005417CB"/>
    <w:rsid w:val="00541971"/>
    <w:rsid w:val="00541FF9"/>
    <w:rsid w:val="005432F7"/>
    <w:rsid w:val="00544481"/>
    <w:rsid w:val="005444FD"/>
    <w:rsid w:val="00544A27"/>
    <w:rsid w:val="00544C2E"/>
    <w:rsid w:val="0054689F"/>
    <w:rsid w:val="00546DAD"/>
    <w:rsid w:val="0054701C"/>
    <w:rsid w:val="0055024A"/>
    <w:rsid w:val="0055040D"/>
    <w:rsid w:val="00550CE9"/>
    <w:rsid w:val="00550D90"/>
    <w:rsid w:val="0055248D"/>
    <w:rsid w:val="00552EC6"/>
    <w:rsid w:val="00553590"/>
    <w:rsid w:val="005538CF"/>
    <w:rsid w:val="005542A1"/>
    <w:rsid w:val="005549AB"/>
    <w:rsid w:val="005553C6"/>
    <w:rsid w:val="005557FE"/>
    <w:rsid w:val="00555A0C"/>
    <w:rsid w:val="00555A17"/>
    <w:rsid w:val="00555EC7"/>
    <w:rsid w:val="005570AD"/>
    <w:rsid w:val="00557DCC"/>
    <w:rsid w:val="0056092A"/>
    <w:rsid w:val="00560C7F"/>
    <w:rsid w:val="00561169"/>
    <w:rsid w:val="005615B9"/>
    <w:rsid w:val="005617DA"/>
    <w:rsid w:val="00561AAC"/>
    <w:rsid w:val="00561B18"/>
    <w:rsid w:val="00561C21"/>
    <w:rsid w:val="00561F0C"/>
    <w:rsid w:val="005623E3"/>
    <w:rsid w:val="005624E0"/>
    <w:rsid w:val="005629EE"/>
    <w:rsid w:val="0056329F"/>
    <w:rsid w:val="0056339B"/>
    <w:rsid w:val="00563DF3"/>
    <w:rsid w:val="00564EBB"/>
    <w:rsid w:val="00565022"/>
    <w:rsid w:val="0056580C"/>
    <w:rsid w:val="00565B20"/>
    <w:rsid w:val="00566C79"/>
    <w:rsid w:val="00567966"/>
    <w:rsid w:val="00570169"/>
    <w:rsid w:val="00571DC3"/>
    <w:rsid w:val="00571DD3"/>
    <w:rsid w:val="00571FF4"/>
    <w:rsid w:val="005720B2"/>
    <w:rsid w:val="005721C8"/>
    <w:rsid w:val="00572D19"/>
    <w:rsid w:val="00573C76"/>
    <w:rsid w:val="0057402C"/>
    <w:rsid w:val="005748A1"/>
    <w:rsid w:val="00575001"/>
    <w:rsid w:val="005757C3"/>
    <w:rsid w:val="00575C32"/>
    <w:rsid w:val="0057720B"/>
    <w:rsid w:val="00577800"/>
    <w:rsid w:val="00577D2F"/>
    <w:rsid w:val="00580185"/>
    <w:rsid w:val="005809B5"/>
    <w:rsid w:val="005812EF"/>
    <w:rsid w:val="00582010"/>
    <w:rsid w:val="0058226F"/>
    <w:rsid w:val="0058254B"/>
    <w:rsid w:val="0058351E"/>
    <w:rsid w:val="00584064"/>
    <w:rsid w:val="00584584"/>
    <w:rsid w:val="00584922"/>
    <w:rsid w:val="005854E3"/>
    <w:rsid w:val="005858C5"/>
    <w:rsid w:val="00585EF3"/>
    <w:rsid w:val="00587914"/>
    <w:rsid w:val="005900F4"/>
    <w:rsid w:val="0059181C"/>
    <w:rsid w:val="005921B3"/>
    <w:rsid w:val="005925EC"/>
    <w:rsid w:val="00592ACB"/>
    <w:rsid w:val="00593ADA"/>
    <w:rsid w:val="00593E4F"/>
    <w:rsid w:val="00594F57"/>
    <w:rsid w:val="00595265"/>
    <w:rsid w:val="005958A0"/>
    <w:rsid w:val="0059611F"/>
    <w:rsid w:val="005964F5"/>
    <w:rsid w:val="00597224"/>
    <w:rsid w:val="005A0727"/>
    <w:rsid w:val="005A0F0D"/>
    <w:rsid w:val="005A1B7D"/>
    <w:rsid w:val="005A1FB5"/>
    <w:rsid w:val="005A21F0"/>
    <w:rsid w:val="005A2B32"/>
    <w:rsid w:val="005A3592"/>
    <w:rsid w:val="005A3696"/>
    <w:rsid w:val="005A4082"/>
    <w:rsid w:val="005A46DD"/>
    <w:rsid w:val="005A487B"/>
    <w:rsid w:val="005A5176"/>
    <w:rsid w:val="005A64FE"/>
    <w:rsid w:val="005A6943"/>
    <w:rsid w:val="005A6C46"/>
    <w:rsid w:val="005A71E5"/>
    <w:rsid w:val="005A7B6B"/>
    <w:rsid w:val="005B0AAB"/>
    <w:rsid w:val="005B2FBF"/>
    <w:rsid w:val="005B3AF7"/>
    <w:rsid w:val="005B3F91"/>
    <w:rsid w:val="005B409A"/>
    <w:rsid w:val="005B40F1"/>
    <w:rsid w:val="005B4285"/>
    <w:rsid w:val="005B48B5"/>
    <w:rsid w:val="005B4EB8"/>
    <w:rsid w:val="005B5497"/>
    <w:rsid w:val="005B5790"/>
    <w:rsid w:val="005B5E9D"/>
    <w:rsid w:val="005B5FA3"/>
    <w:rsid w:val="005B5FD3"/>
    <w:rsid w:val="005B633B"/>
    <w:rsid w:val="005B66C5"/>
    <w:rsid w:val="005B6C43"/>
    <w:rsid w:val="005B6F1B"/>
    <w:rsid w:val="005B711B"/>
    <w:rsid w:val="005B72C0"/>
    <w:rsid w:val="005C0DB2"/>
    <w:rsid w:val="005C1453"/>
    <w:rsid w:val="005C17AF"/>
    <w:rsid w:val="005C196C"/>
    <w:rsid w:val="005C1C71"/>
    <w:rsid w:val="005C205B"/>
    <w:rsid w:val="005C2CA2"/>
    <w:rsid w:val="005C3064"/>
    <w:rsid w:val="005C3121"/>
    <w:rsid w:val="005C3191"/>
    <w:rsid w:val="005C3464"/>
    <w:rsid w:val="005C3C86"/>
    <w:rsid w:val="005C42DE"/>
    <w:rsid w:val="005C4651"/>
    <w:rsid w:val="005C57A0"/>
    <w:rsid w:val="005C5C1C"/>
    <w:rsid w:val="005C7161"/>
    <w:rsid w:val="005C725E"/>
    <w:rsid w:val="005C7653"/>
    <w:rsid w:val="005C7BBF"/>
    <w:rsid w:val="005D0057"/>
    <w:rsid w:val="005D019B"/>
    <w:rsid w:val="005D15AC"/>
    <w:rsid w:val="005D22E9"/>
    <w:rsid w:val="005D3069"/>
    <w:rsid w:val="005D31CB"/>
    <w:rsid w:val="005D370F"/>
    <w:rsid w:val="005D3730"/>
    <w:rsid w:val="005D3BD1"/>
    <w:rsid w:val="005D40A5"/>
    <w:rsid w:val="005D4675"/>
    <w:rsid w:val="005D5344"/>
    <w:rsid w:val="005D57F3"/>
    <w:rsid w:val="005D5940"/>
    <w:rsid w:val="005D5A15"/>
    <w:rsid w:val="005D5D26"/>
    <w:rsid w:val="005D5EBA"/>
    <w:rsid w:val="005D60AE"/>
    <w:rsid w:val="005D7907"/>
    <w:rsid w:val="005E00F5"/>
    <w:rsid w:val="005E0B86"/>
    <w:rsid w:val="005E0FA3"/>
    <w:rsid w:val="005E1E45"/>
    <w:rsid w:val="005E248F"/>
    <w:rsid w:val="005E2F89"/>
    <w:rsid w:val="005E362C"/>
    <w:rsid w:val="005E374E"/>
    <w:rsid w:val="005E41CC"/>
    <w:rsid w:val="005E42AA"/>
    <w:rsid w:val="005E4545"/>
    <w:rsid w:val="005E4A75"/>
    <w:rsid w:val="005E4E13"/>
    <w:rsid w:val="005E5020"/>
    <w:rsid w:val="005E5138"/>
    <w:rsid w:val="005E5616"/>
    <w:rsid w:val="005E5730"/>
    <w:rsid w:val="005E5F5C"/>
    <w:rsid w:val="005E62CE"/>
    <w:rsid w:val="005E73A1"/>
    <w:rsid w:val="005E7458"/>
    <w:rsid w:val="005E76FD"/>
    <w:rsid w:val="005F013F"/>
    <w:rsid w:val="005F0547"/>
    <w:rsid w:val="005F06EC"/>
    <w:rsid w:val="005F19C6"/>
    <w:rsid w:val="005F1C17"/>
    <w:rsid w:val="005F2A78"/>
    <w:rsid w:val="005F3C6D"/>
    <w:rsid w:val="005F3F86"/>
    <w:rsid w:val="005F4197"/>
    <w:rsid w:val="005F45D3"/>
    <w:rsid w:val="005F4B38"/>
    <w:rsid w:val="005F4C67"/>
    <w:rsid w:val="005F4F12"/>
    <w:rsid w:val="005F5163"/>
    <w:rsid w:val="005F52C6"/>
    <w:rsid w:val="005F541C"/>
    <w:rsid w:val="005F5A77"/>
    <w:rsid w:val="005F6596"/>
    <w:rsid w:val="005F6751"/>
    <w:rsid w:val="005F73CC"/>
    <w:rsid w:val="005F7601"/>
    <w:rsid w:val="005F7D76"/>
    <w:rsid w:val="00600709"/>
    <w:rsid w:val="006010C0"/>
    <w:rsid w:val="00601491"/>
    <w:rsid w:val="00601639"/>
    <w:rsid w:val="006024F3"/>
    <w:rsid w:val="006028B7"/>
    <w:rsid w:val="00602D46"/>
    <w:rsid w:val="00603543"/>
    <w:rsid w:val="00603572"/>
    <w:rsid w:val="00603665"/>
    <w:rsid w:val="00604ACB"/>
    <w:rsid w:val="006055FE"/>
    <w:rsid w:val="00605FE7"/>
    <w:rsid w:val="006067DB"/>
    <w:rsid w:val="006073F9"/>
    <w:rsid w:val="00607C34"/>
    <w:rsid w:val="00607F86"/>
    <w:rsid w:val="0061009A"/>
    <w:rsid w:val="006104F9"/>
    <w:rsid w:val="00610669"/>
    <w:rsid w:val="00610BC0"/>
    <w:rsid w:val="00610FEC"/>
    <w:rsid w:val="00611335"/>
    <w:rsid w:val="006114ED"/>
    <w:rsid w:val="0061157C"/>
    <w:rsid w:val="006126BC"/>
    <w:rsid w:val="0061278F"/>
    <w:rsid w:val="0061282A"/>
    <w:rsid w:val="00612ACE"/>
    <w:rsid w:val="00612C9E"/>
    <w:rsid w:val="006131E5"/>
    <w:rsid w:val="006132AE"/>
    <w:rsid w:val="00615427"/>
    <w:rsid w:val="00615E96"/>
    <w:rsid w:val="006167B8"/>
    <w:rsid w:val="00617C22"/>
    <w:rsid w:val="00620A9C"/>
    <w:rsid w:val="00620D7C"/>
    <w:rsid w:val="00621047"/>
    <w:rsid w:val="00621A6D"/>
    <w:rsid w:val="00621DB3"/>
    <w:rsid w:val="00621F03"/>
    <w:rsid w:val="00621FED"/>
    <w:rsid w:val="006224E5"/>
    <w:rsid w:val="0062265E"/>
    <w:rsid w:val="00622F11"/>
    <w:rsid w:val="00623213"/>
    <w:rsid w:val="006246E4"/>
    <w:rsid w:val="00624BC2"/>
    <w:rsid w:val="006251DE"/>
    <w:rsid w:val="006254EE"/>
    <w:rsid w:val="00625B63"/>
    <w:rsid w:val="00626190"/>
    <w:rsid w:val="00626DB8"/>
    <w:rsid w:val="00627149"/>
    <w:rsid w:val="00627517"/>
    <w:rsid w:val="00630B1A"/>
    <w:rsid w:val="006311F7"/>
    <w:rsid w:val="006313B9"/>
    <w:rsid w:val="00632281"/>
    <w:rsid w:val="00632364"/>
    <w:rsid w:val="006324C1"/>
    <w:rsid w:val="006327BE"/>
    <w:rsid w:val="00632A4A"/>
    <w:rsid w:val="0063416F"/>
    <w:rsid w:val="00634573"/>
    <w:rsid w:val="006348CC"/>
    <w:rsid w:val="00635A24"/>
    <w:rsid w:val="00635DDF"/>
    <w:rsid w:val="006366BE"/>
    <w:rsid w:val="00636818"/>
    <w:rsid w:val="00636ADD"/>
    <w:rsid w:val="00636C79"/>
    <w:rsid w:val="006370A1"/>
    <w:rsid w:val="006373D4"/>
    <w:rsid w:val="00637E5C"/>
    <w:rsid w:val="00640221"/>
    <w:rsid w:val="006406E5"/>
    <w:rsid w:val="00640B24"/>
    <w:rsid w:val="0064110A"/>
    <w:rsid w:val="006416FE"/>
    <w:rsid w:val="006417BC"/>
    <w:rsid w:val="00641805"/>
    <w:rsid w:val="0064185B"/>
    <w:rsid w:val="00641C9C"/>
    <w:rsid w:val="00641EE6"/>
    <w:rsid w:val="00641F0C"/>
    <w:rsid w:val="006422EA"/>
    <w:rsid w:val="00642EB3"/>
    <w:rsid w:val="00644008"/>
    <w:rsid w:val="006441AD"/>
    <w:rsid w:val="006442C8"/>
    <w:rsid w:val="0064464F"/>
    <w:rsid w:val="006446B7"/>
    <w:rsid w:val="0064476C"/>
    <w:rsid w:val="00644B90"/>
    <w:rsid w:val="00646C62"/>
    <w:rsid w:val="00646E32"/>
    <w:rsid w:val="00646E56"/>
    <w:rsid w:val="00647687"/>
    <w:rsid w:val="00647768"/>
    <w:rsid w:val="006500D2"/>
    <w:rsid w:val="006505E5"/>
    <w:rsid w:val="006509AD"/>
    <w:rsid w:val="00651AD8"/>
    <w:rsid w:val="0065230F"/>
    <w:rsid w:val="00652A0D"/>
    <w:rsid w:val="0065353F"/>
    <w:rsid w:val="00653BE2"/>
    <w:rsid w:val="00653CF8"/>
    <w:rsid w:val="00653F72"/>
    <w:rsid w:val="006546B9"/>
    <w:rsid w:val="00654B60"/>
    <w:rsid w:val="00655090"/>
    <w:rsid w:val="0065588C"/>
    <w:rsid w:val="00655E6B"/>
    <w:rsid w:val="00656911"/>
    <w:rsid w:val="00656F58"/>
    <w:rsid w:val="00657719"/>
    <w:rsid w:val="00657727"/>
    <w:rsid w:val="00660969"/>
    <w:rsid w:val="00660B48"/>
    <w:rsid w:val="00662650"/>
    <w:rsid w:val="00662ADB"/>
    <w:rsid w:val="006634BC"/>
    <w:rsid w:val="0066366C"/>
    <w:rsid w:val="006648D1"/>
    <w:rsid w:val="00664D37"/>
    <w:rsid w:val="00664E1D"/>
    <w:rsid w:val="00666BA1"/>
    <w:rsid w:val="0066772B"/>
    <w:rsid w:val="00667D20"/>
    <w:rsid w:val="006700CB"/>
    <w:rsid w:val="0067011A"/>
    <w:rsid w:val="00670428"/>
    <w:rsid w:val="00670786"/>
    <w:rsid w:val="006708BC"/>
    <w:rsid w:val="00670BF6"/>
    <w:rsid w:val="00671FD0"/>
    <w:rsid w:val="006721DF"/>
    <w:rsid w:val="006727A0"/>
    <w:rsid w:val="00672956"/>
    <w:rsid w:val="00672A20"/>
    <w:rsid w:val="0067345B"/>
    <w:rsid w:val="006734ED"/>
    <w:rsid w:val="006738C1"/>
    <w:rsid w:val="00673D00"/>
    <w:rsid w:val="00674329"/>
    <w:rsid w:val="00674808"/>
    <w:rsid w:val="00674CE6"/>
    <w:rsid w:val="00674F39"/>
    <w:rsid w:val="00674FC2"/>
    <w:rsid w:val="006758EF"/>
    <w:rsid w:val="00675D53"/>
    <w:rsid w:val="006767DB"/>
    <w:rsid w:val="00676BB6"/>
    <w:rsid w:val="00676FCA"/>
    <w:rsid w:val="00677279"/>
    <w:rsid w:val="006773D9"/>
    <w:rsid w:val="00677979"/>
    <w:rsid w:val="0067798B"/>
    <w:rsid w:val="00680232"/>
    <w:rsid w:val="00680316"/>
    <w:rsid w:val="006803A0"/>
    <w:rsid w:val="00680A85"/>
    <w:rsid w:val="00680AC2"/>
    <w:rsid w:val="0068141A"/>
    <w:rsid w:val="0068146E"/>
    <w:rsid w:val="00681809"/>
    <w:rsid w:val="00681B55"/>
    <w:rsid w:val="00682088"/>
    <w:rsid w:val="0068273E"/>
    <w:rsid w:val="0068303F"/>
    <w:rsid w:val="006830FC"/>
    <w:rsid w:val="00683770"/>
    <w:rsid w:val="00683926"/>
    <w:rsid w:val="00683B58"/>
    <w:rsid w:val="0068416C"/>
    <w:rsid w:val="006849B0"/>
    <w:rsid w:val="006849D2"/>
    <w:rsid w:val="00685035"/>
    <w:rsid w:val="00685F7C"/>
    <w:rsid w:val="00686775"/>
    <w:rsid w:val="00686A7E"/>
    <w:rsid w:val="00686C41"/>
    <w:rsid w:val="00686CAE"/>
    <w:rsid w:val="006903A2"/>
    <w:rsid w:val="00690509"/>
    <w:rsid w:val="00690963"/>
    <w:rsid w:val="00690B95"/>
    <w:rsid w:val="00690EA6"/>
    <w:rsid w:val="00691156"/>
    <w:rsid w:val="00691601"/>
    <w:rsid w:val="00691998"/>
    <w:rsid w:val="00691CDA"/>
    <w:rsid w:val="00691E0A"/>
    <w:rsid w:val="00691FAB"/>
    <w:rsid w:val="0069205B"/>
    <w:rsid w:val="0069283C"/>
    <w:rsid w:val="00693751"/>
    <w:rsid w:val="00693795"/>
    <w:rsid w:val="006937ED"/>
    <w:rsid w:val="00693CE6"/>
    <w:rsid w:val="006940D6"/>
    <w:rsid w:val="0069414F"/>
    <w:rsid w:val="00694391"/>
    <w:rsid w:val="00695005"/>
    <w:rsid w:val="0069571C"/>
    <w:rsid w:val="00695E3A"/>
    <w:rsid w:val="00695E56"/>
    <w:rsid w:val="00695FA3"/>
    <w:rsid w:val="00696375"/>
    <w:rsid w:val="006965DF"/>
    <w:rsid w:val="00696CA3"/>
    <w:rsid w:val="00697BFC"/>
    <w:rsid w:val="006A0169"/>
    <w:rsid w:val="006A0433"/>
    <w:rsid w:val="006A09A4"/>
    <w:rsid w:val="006A134B"/>
    <w:rsid w:val="006A1957"/>
    <w:rsid w:val="006A21CC"/>
    <w:rsid w:val="006A22CA"/>
    <w:rsid w:val="006A291A"/>
    <w:rsid w:val="006A3856"/>
    <w:rsid w:val="006A3ED9"/>
    <w:rsid w:val="006A438F"/>
    <w:rsid w:val="006A503A"/>
    <w:rsid w:val="006A65A6"/>
    <w:rsid w:val="006A66BF"/>
    <w:rsid w:val="006A6750"/>
    <w:rsid w:val="006A7601"/>
    <w:rsid w:val="006A7A17"/>
    <w:rsid w:val="006A7D6E"/>
    <w:rsid w:val="006A7FA7"/>
    <w:rsid w:val="006B0417"/>
    <w:rsid w:val="006B0634"/>
    <w:rsid w:val="006B097E"/>
    <w:rsid w:val="006B0F9B"/>
    <w:rsid w:val="006B1837"/>
    <w:rsid w:val="006B1C34"/>
    <w:rsid w:val="006B1FDC"/>
    <w:rsid w:val="006B1FF1"/>
    <w:rsid w:val="006B2896"/>
    <w:rsid w:val="006B293F"/>
    <w:rsid w:val="006B34DE"/>
    <w:rsid w:val="006B35F3"/>
    <w:rsid w:val="006B40C1"/>
    <w:rsid w:val="006B5F49"/>
    <w:rsid w:val="006B60A2"/>
    <w:rsid w:val="006B6490"/>
    <w:rsid w:val="006B6572"/>
    <w:rsid w:val="006B6A20"/>
    <w:rsid w:val="006B6B37"/>
    <w:rsid w:val="006C078D"/>
    <w:rsid w:val="006C086F"/>
    <w:rsid w:val="006C0D6F"/>
    <w:rsid w:val="006C164E"/>
    <w:rsid w:val="006C1EDD"/>
    <w:rsid w:val="006C2188"/>
    <w:rsid w:val="006C22E4"/>
    <w:rsid w:val="006C25AD"/>
    <w:rsid w:val="006C2C69"/>
    <w:rsid w:val="006C2F5C"/>
    <w:rsid w:val="006C319D"/>
    <w:rsid w:val="006C3573"/>
    <w:rsid w:val="006C3593"/>
    <w:rsid w:val="006C4010"/>
    <w:rsid w:val="006C41FC"/>
    <w:rsid w:val="006C477E"/>
    <w:rsid w:val="006C4EC2"/>
    <w:rsid w:val="006C50D1"/>
    <w:rsid w:val="006C5AD3"/>
    <w:rsid w:val="006C6599"/>
    <w:rsid w:val="006C6D7A"/>
    <w:rsid w:val="006C7F0A"/>
    <w:rsid w:val="006D0350"/>
    <w:rsid w:val="006D037E"/>
    <w:rsid w:val="006D0C02"/>
    <w:rsid w:val="006D0F19"/>
    <w:rsid w:val="006D1BE0"/>
    <w:rsid w:val="006D24F7"/>
    <w:rsid w:val="006D2B2B"/>
    <w:rsid w:val="006D2DE9"/>
    <w:rsid w:val="006D35F8"/>
    <w:rsid w:val="006D36C1"/>
    <w:rsid w:val="006D3949"/>
    <w:rsid w:val="006D39A5"/>
    <w:rsid w:val="006D3E8B"/>
    <w:rsid w:val="006D3FB0"/>
    <w:rsid w:val="006D443D"/>
    <w:rsid w:val="006D4512"/>
    <w:rsid w:val="006D4676"/>
    <w:rsid w:val="006D46C7"/>
    <w:rsid w:val="006D4C04"/>
    <w:rsid w:val="006D4E80"/>
    <w:rsid w:val="006D5A07"/>
    <w:rsid w:val="006D5DCC"/>
    <w:rsid w:val="006D5E38"/>
    <w:rsid w:val="006D614A"/>
    <w:rsid w:val="006D61AF"/>
    <w:rsid w:val="006D65EC"/>
    <w:rsid w:val="006D6B5E"/>
    <w:rsid w:val="006D6CA1"/>
    <w:rsid w:val="006D712E"/>
    <w:rsid w:val="006D7DA7"/>
    <w:rsid w:val="006E08F5"/>
    <w:rsid w:val="006E09B5"/>
    <w:rsid w:val="006E0EE2"/>
    <w:rsid w:val="006E0FAD"/>
    <w:rsid w:val="006E1E87"/>
    <w:rsid w:val="006E2057"/>
    <w:rsid w:val="006E2715"/>
    <w:rsid w:val="006E27D1"/>
    <w:rsid w:val="006E2953"/>
    <w:rsid w:val="006E2ADA"/>
    <w:rsid w:val="006E2CD8"/>
    <w:rsid w:val="006E3E4E"/>
    <w:rsid w:val="006E4019"/>
    <w:rsid w:val="006E43D2"/>
    <w:rsid w:val="006E4462"/>
    <w:rsid w:val="006E465C"/>
    <w:rsid w:val="006E48B7"/>
    <w:rsid w:val="006E4B08"/>
    <w:rsid w:val="006E4EB7"/>
    <w:rsid w:val="006E558B"/>
    <w:rsid w:val="006E753A"/>
    <w:rsid w:val="006E7A5E"/>
    <w:rsid w:val="006E7C6D"/>
    <w:rsid w:val="006E7D59"/>
    <w:rsid w:val="006E7F4D"/>
    <w:rsid w:val="006E7F81"/>
    <w:rsid w:val="006F12A6"/>
    <w:rsid w:val="006F1443"/>
    <w:rsid w:val="006F17D6"/>
    <w:rsid w:val="006F17DA"/>
    <w:rsid w:val="006F1C69"/>
    <w:rsid w:val="006F22F8"/>
    <w:rsid w:val="006F2579"/>
    <w:rsid w:val="006F2855"/>
    <w:rsid w:val="006F2887"/>
    <w:rsid w:val="006F2958"/>
    <w:rsid w:val="006F2DD6"/>
    <w:rsid w:val="006F5439"/>
    <w:rsid w:val="006F5EA6"/>
    <w:rsid w:val="006F69AA"/>
    <w:rsid w:val="006F713E"/>
    <w:rsid w:val="006F7400"/>
    <w:rsid w:val="006F750C"/>
    <w:rsid w:val="006F7BB3"/>
    <w:rsid w:val="006F7EB1"/>
    <w:rsid w:val="00700A36"/>
    <w:rsid w:val="00700AD5"/>
    <w:rsid w:val="00701834"/>
    <w:rsid w:val="0070199E"/>
    <w:rsid w:val="007019C6"/>
    <w:rsid w:val="00701B71"/>
    <w:rsid w:val="00701BDD"/>
    <w:rsid w:val="00701E8E"/>
    <w:rsid w:val="00701EA6"/>
    <w:rsid w:val="00702171"/>
    <w:rsid w:val="00702B93"/>
    <w:rsid w:val="00702D4F"/>
    <w:rsid w:val="00703943"/>
    <w:rsid w:val="00703D5F"/>
    <w:rsid w:val="007045FC"/>
    <w:rsid w:val="0070488F"/>
    <w:rsid w:val="00704CDE"/>
    <w:rsid w:val="00704CF9"/>
    <w:rsid w:val="00704ECD"/>
    <w:rsid w:val="00705075"/>
    <w:rsid w:val="00705199"/>
    <w:rsid w:val="00705711"/>
    <w:rsid w:val="0070582E"/>
    <w:rsid w:val="0070596D"/>
    <w:rsid w:val="00705D7F"/>
    <w:rsid w:val="00706AAB"/>
    <w:rsid w:val="00707178"/>
    <w:rsid w:val="007073E2"/>
    <w:rsid w:val="0070772C"/>
    <w:rsid w:val="00707EED"/>
    <w:rsid w:val="00710713"/>
    <w:rsid w:val="00710A96"/>
    <w:rsid w:val="00711B38"/>
    <w:rsid w:val="00711F83"/>
    <w:rsid w:val="007122C3"/>
    <w:rsid w:val="007123C3"/>
    <w:rsid w:val="0071266E"/>
    <w:rsid w:val="00712C38"/>
    <w:rsid w:val="00712E25"/>
    <w:rsid w:val="00712E70"/>
    <w:rsid w:val="007130F7"/>
    <w:rsid w:val="00714183"/>
    <w:rsid w:val="007142A9"/>
    <w:rsid w:val="00714B95"/>
    <w:rsid w:val="00715CA4"/>
    <w:rsid w:val="00715E75"/>
    <w:rsid w:val="0071643E"/>
    <w:rsid w:val="0071691D"/>
    <w:rsid w:val="0071695A"/>
    <w:rsid w:val="007172B6"/>
    <w:rsid w:val="0071779F"/>
    <w:rsid w:val="00717CD9"/>
    <w:rsid w:val="00720C6C"/>
    <w:rsid w:val="00720D93"/>
    <w:rsid w:val="007218A2"/>
    <w:rsid w:val="00721EC2"/>
    <w:rsid w:val="007225C9"/>
    <w:rsid w:val="00722634"/>
    <w:rsid w:val="007226F3"/>
    <w:rsid w:val="00722D51"/>
    <w:rsid w:val="0072328D"/>
    <w:rsid w:val="0072344E"/>
    <w:rsid w:val="007237EE"/>
    <w:rsid w:val="007240C3"/>
    <w:rsid w:val="007243CC"/>
    <w:rsid w:val="00724B40"/>
    <w:rsid w:val="0072530B"/>
    <w:rsid w:val="007263B7"/>
    <w:rsid w:val="0072662D"/>
    <w:rsid w:val="0072677C"/>
    <w:rsid w:val="00727471"/>
    <w:rsid w:val="00727632"/>
    <w:rsid w:val="007301CB"/>
    <w:rsid w:val="0073087D"/>
    <w:rsid w:val="00731957"/>
    <w:rsid w:val="007323E0"/>
    <w:rsid w:val="00732744"/>
    <w:rsid w:val="0073288D"/>
    <w:rsid w:val="00732974"/>
    <w:rsid w:val="00732BB6"/>
    <w:rsid w:val="00733697"/>
    <w:rsid w:val="00733A31"/>
    <w:rsid w:val="00733C12"/>
    <w:rsid w:val="00733C2F"/>
    <w:rsid w:val="00733EF3"/>
    <w:rsid w:val="007344A7"/>
    <w:rsid w:val="007356BB"/>
    <w:rsid w:val="00735B0B"/>
    <w:rsid w:val="00735BED"/>
    <w:rsid w:val="0073666D"/>
    <w:rsid w:val="0073669E"/>
    <w:rsid w:val="00736799"/>
    <w:rsid w:val="00736EAD"/>
    <w:rsid w:val="0073707B"/>
    <w:rsid w:val="00737C67"/>
    <w:rsid w:val="00737D1D"/>
    <w:rsid w:val="00737F76"/>
    <w:rsid w:val="007404A0"/>
    <w:rsid w:val="007406D2"/>
    <w:rsid w:val="00740FC0"/>
    <w:rsid w:val="00741002"/>
    <w:rsid w:val="00741637"/>
    <w:rsid w:val="007418D4"/>
    <w:rsid w:val="00741E81"/>
    <w:rsid w:val="00742121"/>
    <w:rsid w:val="00742CE6"/>
    <w:rsid w:val="00743353"/>
    <w:rsid w:val="00743655"/>
    <w:rsid w:val="00743FDA"/>
    <w:rsid w:val="0074467F"/>
    <w:rsid w:val="00744F24"/>
    <w:rsid w:val="0074501E"/>
    <w:rsid w:val="00745868"/>
    <w:rsid w:val="007459F0"/>
    <w:rsid w:val="00746472"/>
    <w:rsid w:val="00746CD0"/>
    <w:rsid w:val="00746F76"/>
    <w:rsid w:val="007471B6"/>
    <w:rsid w:val="00747C5A"/>
    <w:rsid w:val="00747CD0"/>
    <w:rsid w:val="00747E2A"/>
    <w:rsid w:val="007500B9"/>
    <w:rsid w:val="007502B5"/>
    <w:rsid w:val="00750846"/>
    <w:rsid w:val="007516D1"/>
    <w:rsid w:val="00751ADF"/>
    <w:rsid w:val="00751DE7"/>
    <w:rsid w:val="00752CE8"/>
    <w:rsid w:val="00753790"/>
    <w:rsid w:val="0075428A"/>
    <w:rsid w:val="0075561B"/>
    <w:rsid w:val="00755E24"/>
    <w:rsid w:val="00756E8B"/>
    <w:rsid w:val="007575BC"/>
    <w:rsid w:val="007603BD"/>
    <w:rsid w:val="00760A78"/>
    <w:rsid w:val="007618B2"/>
    <w:rsid w:val="007620C8"/>
    <w:rsid w:val="00763C94"/>
    <w:rsid w:val="0076468E"/>
    <w:rsid w:val="00764725"/>
    <w:rsid w:val="0076472C"/>
    <w:rsid w:val="007649D6"/>
    <w:rsid w:val="00764B6B"/>
    <w:rsid w:val="00764F0C"/>
    <w:rsid w:val="007655BB"/>
    <w:rsid w:val="007659EF"/>
    <w:rsid w:val="00765B31"/>
    <w:rsid w:val="00766029"/>
    <w:rsid w:val="00766432"/>
    <w:rsid w:val="00766983"/>
    <w:rsid w:val="00767A28"/>
    <w:rsid w:val="00767D99"/>
    <w:rsid w:val="00770893"/>
    <w:rsid w:val="007712C3"/>
    <w:rsid w:val="00771D33"/>
    <w:rsid w:val="00771F1C"/>
    <w:rsid w:val="00771F3F"/>
    <w:rsid w:val="007724C4"/>
    <w:rsid w:val="007725DF"/>
    <w:rsid w:val="00772E14"/>
    <w:rsid w:val="00772E1A"/>
    <w:rsid w:val="007736D0"/>
    <w:rsid w:val="00773A11"/>
    <w:rsid w:val="00773D01"/>
    <w:rsid w:val="0077411F"/>
    <w:rsid w:val="00774C10"/>
    <w:rsid w:val="007754D1"/>
    <w:rsid w:val="007758B8"/>
    <w:rsid w:val="007758CF"/>
    <w:rsid w:val="00775FEC"/>
    <w:rsid w:val="00776317"/>
    <w:rsid w:val="00776B10"/>
    <w:rsid w:val="00776D06"/>
    <w:rsid w:val="00777ECC"/>
    <w:rsid w:val="00780317"/>
    <w:rsid w:val="00780E1B"/>
    <w:rsid w:val="007810BC"/>
    <w:rsid w:val="00781EB4"/>
    <w:rsid w:val="007823D7"/>
    <w:rsid w:val="00782941"/>
    <w:rsid w:val="00782E96"/>
    <w:rsid w:val="007844DE"/>
    <w:rsid w:val="007848DA"/>
    <w:rsid w:val="00784A3D"/>
    <w:rsid w:val="00785A39"/>
    <w:rsid w:val="00785E47"/>
    <w:rsid w:val="007861AA"/>
    <w:rsid w:val="0078659F"/>
    <w:rsid w:val="00787447"/>
    <w:rsid w:val="0078776F"/>
    <w:rsid w:val="007900EA"/>
    <w:rsid w:val="00790BDA"/>
    <w:rsid w:val="00790CD2"/>
    <w:rsid w:val="0079103F"/>
    <w:rsid w:val="007918A1"/>
    <w:rsid w:val="0079200A"/>
    <w:rsid w:val="00792169"/>
    <w:rsid w:val="00793091"/>
    <w:rsid w:val="00793F12"/>
    <w:rsid w:val="00794320"/>
    <w:rsid w:val="007943A8"/>
    <w:rsid w:val="007947F4"/>
    <w:rsid w:val="00795DC8"/>
    <w:rsid w:val="00795FC0"/>
    <w:rsid w:val="007963D7"/>
    <w:rsid w:val="00796527"/>
    <w:rsid w:val="007966D8"/>
    <w:rsid w:val="007975AC"/>
    <w:rsid w:val="00797CF6"/>
    <w:rsid w:val="007A0F7C"/>
    <w:rsid w:val="007A10D6"/>
    <w:rsid w:val="007A1167"/>
    <w:rsid w:val="007A12A7"/>
    <w:rsid w:val="007A14FC"/>
    <w:rsid w:val="007A1803"/>
    <w:rsid w:val="007A20A0"/>
    <w:rsid w:val="007A289D"/>
    <w:rsid w:val="007A2AD1"/>
    <w:rsid w:val="007A2B71"/>
    <w:rsid w:val="007A2BE6"/>
    <w:rsid w:val="007A2C5D"/>
    <w:rsid w:val="007A340C"/>
    <w:rsid w:val="007A367F"/>
    <w:rsid w:val="007A36E5"/>
    <w:rsid w:val="007A38B8"/>
    <w:rsid w:val="007A4A3D"/>
    <w:rsid w:val="007A4E3F"/>
    <w:rsid w:val="007A5090"/>
    <w:rsid w:val="007A5A11"/>
    <w:rsid w:val="007A5AB8"/>
    <w:rsid w:val="007A6BA7"/>
    <w:rsid w:val="007A6F16"/>
    <w:rsid w:val="007A72CA"/>
    <w:rsid w:val="007A7512"/>
    <w:rsid w:val="007A752A"/>
    <w:rsid w:val="007A7B6E"/>
    <w:rsid w:val="007A7E3D"/>
    <w:rsid w:val="007A7F7F"/>
    <w:rsid w:val="007A7FAB"/>
    <w:rsid w:val="007A7FD6"/>
    <w:rsid w:val="007B028F"/>
    <w:rsid w:val="007B09DF"/>
    <w:rsid w:val="007B0CC3"/>
    <w:rsid w:val="007B0EC7"/>
    <w:rsid w:val="007B16A1"/>
    <w:rsid w:val="007B217C"/>
    <w:rsid w:val="007B2DB6"/>
    <w:rsid w:val="007B300E"/>
    <w:rsid w:val="007B30CA"/>
    <w:rsid w:val="007B3A11"/>
    <w:rsid w:val="007B3AFD"/>
    <w:rsid w:val="007B4DDD"/>
    <w:rsid w:val="007B530F"/>
    <w:rsid w:val="007B567F"/>
    <w:rsid w:val="007B57E8"/>
    <w:rsid w:val="007B58BF"/>
    <w:rsid w:val="007B5D4F"/>
    <w:rsid w:val="007B65D4"/>
    <w:rsid w:val="007B67FE"/>
    <w:rsid w:val="007B7101"/>
    <w:rsid w:val="007B7B2B"/>
    <w:rsid w:val="007B7B34"/>
    <w:rsid w:val="007B7DA1"/>
    <w:rsid w:val="007B7F68"/>
    <w:rsid w:val="007C0BE9"/>
    <w:rsid w:val="007C10C6"/>
    <w:rsid w:val="007C138D"/>
    <w:rsid w:val="007C17BF"/>
    <w:rsid w:val="007C1B02"/>
    <w:rsid w:val="007C1D91"/>
    <w:rsid w:val="007C200D"/>
    <w:rsid w:val="007C204B"/>
    <w:rsid w:val="007C2519"/>
    <w:rsid w:val="007C398B"/>
    <w:rsid w:val="007C4C4F"/>
    <w:rsid w:val="007C5323"/>
    <w:rsid w:val="007C6187"/>
    <w:rsid w:val="007C63B8"/>
    <w:rsid w:val="007C67EE"/>
    <w:rsid w:val="007C7A8C"/>
    <w:rsid w:val="007D05C7"/>
    <w:rsid w:val="007D07F8"/>
    <w:rsid w:val="007D0EE9"/>
    <w:rsid w:val="007D1707"/>
    <w:rsid w:val="007D1B89"/>
    <w:rsid w:val="007D1BEA"/>
    <w:rsid w:val="007D24AB"/>
    <w:rsid w:val="007D2C5E"/>
    <w:rsid w:val="007D3405"/>
    <w:rsid w:val="007D3D41"/>
    <w:rsid w:val="007D41C2"/>
    <w:rsid w:val="007D42D5"/>
    <w:rsid w:val="007D467D"/>
    <w:rsid w:val="007D4BFC"/>
    <w:rsid w:val="007D5080"/>
    <w:rsid w:val="007D6193"/>
    <w:rsid w:val="007D6B1C"/>
    <w:rsid w:val="007D78EE"/>
    <w:rsid w:val="007D7A92"/>
    <w:rsid w:val="007D7BFE"/>
    <w:rsid w:val="007E01C5"/>
    <w:rsid w:val="007E0750"/>
    <w:rsid w:val="007E0A49"/>
    <w:rsid w:val="007E0B1E"/>
    <w:rsid w:val="007E0F2C"/>
    <w:rsid w:val="007E0FAF"/>
    <w:rsid w:val="007E112F"/>
    <w:rsid w:val="007E1356"/>
    <w:rsid w:val="007E1C60"/>
    <w:rsid w:val="007E3301"/>
    <w:rsid w:val="007E3373"/>
    <w:rsid w:val="007E3CC5"/>
    <w:rsid w:val="007E441D"/>
    <w:rsid w:val="007E450C"/>
    <w:rsid w:val="007E4A09"/>
    <w:rsid w:val="007E4C9C"/>
    <w:rsid w:val="007E5486"/>
    <w:rsid w:val="007E54AD"/>
    <w:rsid w:val="007E5B1C"/>
    <w:rsid w:val="007E5F2E"/>
    <w:rsid w:val="007E5FB5"/>
    <w:rsid w:val="007E6196"/>
    <w:rsid w:val="007E6656"/>
    <w:rsid w:val="007E6E12"/>
    <w:rsid w:val="007E70BF"/>
    <w:rsid w:val="007E717D"/>
    <w:rsid w:val="007E724E"/>
    <w:rsid w:val="007E735A"/>
    <w:rsid w:val="007E7432"/>
    <w:rsid w:val="007E7F06"/>
    <w:rsid w:val="007F0085"/>
    <w:rsid w:val="007F080F"/>
    <w:rsid w:val="007F0F01"/>
    <w:rsid w:val="007F155F"/>
    <w:rsid w:val="007F1A99"/>
    <w:rsid w:val="007F1C4A"/>
    <w:rsid w:val="007F22A7"/>
    <w:rsid w:val="007F22ED"/>
    <w:rsid w:val="007F24DA"/>
    <w:rsid w:val="007F2ED8"/>
    <w:rsid w:val="007F3253"/>
    <w:rsid w:val="007F3811"/>
    <w:rsid w:val="007F4457"/>
    <w:rsid w:val="007F4DE5"/>
    <w:rsid w:val="007F4F42"/>
    <w:rsid w:val="007F536B"/>
    <w:rsid w:val="007F59CD"/>
    <w:rsid w:val="007F5E48"/>
    <w:rsid w:val="007F67DD"/>
    <w:rsid w:val="007F67F0"/>
    <w:rsid w:val="007F6BC7"/>
    <w:rsid w:val="007F7F32"/>
    <w:rsid w:val="00800A70"/>
    <w:rsid w:val="00800DF8"/>
    <w:rsid w:val="008017C2"/>
    <w:rsid w:val="00801DBA"/>
    <w:rsid w:val="00801E32"/>
    <w:rsid w:val="00801FB7"/>
    <w:rsid w:val="008021FD"/>
    <w:rsid w:val="00802554"/>
    <w:rsid w:val="008026FA"/>
    <w:rsid w:val="00802B21"/>
    <w:rsid w:val="00802DB4"/>
    <w:rsid w:val="008036BE"/>
    <w:rsid w:val="00803B18"/>
    <w:rsid w:val="00803B2E"/>
    <w:rsid w:val="00804501"/>
    <w:rsid w:val="0080493A"/>
    <w:rsid w:val="00804957"/>
    <w:rsid w:val="00804BA2"/>
    <w:rsid w:val="00804FE6"/>
    <w:rsid w:val="008050F8"/>
    <w:rsid w:val="00805224"/>
    <w:rsid w:val="0080556B"/>
    <w:rsid w:val="00805FD6"/>
    <w:rsid w:val="008065A3"/>
    <w:rsid w:val="00806809"/>
    <w:rsid w:val="00806ABD"/>
    <w:rsid w:val="00806DCA"/>
    <w:rsid w:val="00807D00"/>
    <w:rsid w:val="00807EA4"/>
    <w:rsid w:val="00807EB6"/>
    <w:rsid w:val="008106E3"/>
    <w:rsid w:val="00810F07"/>
    <w:rsid w:val="008115B8"/>
    <w:rsid w:val="008115CF"/>
    <w:rsid w:val="00811E77"/>
    <w:rsid w:val="00812315"/>
    <w:rsid w:val="00813018"/>
    <w:rsid w:val="008143C7"/>
    <w:rsid w:val="00814DCA"/>
    <w:rsid w:val="008150BE"/>
    <w:rsid w:val="0081539C"/>
    <w:rsid w:val="008154EA"/>
    <w:rsid w:val="008157B3"/>
    <w:rsid w:val="00815822"/>
    <w:rsid w:val="00815936"/>
    <w:rsid w:val="00815D1B"/>
    <w:rsid w:val="008163BE"/>
    <w:rsid w:val="008164A8"/>
    <w:rsid w:val="00816C1F"/>
    <w:rsid w:val="008174AD"/>
    <w:rsid w:val="00820876"/>
    <w:rsid w:val="0082143F"/>
    <w:rsid w:val="0082159A"/>
    <w:rsid w:val="00821718"/>
    <w:rsid w:val="00821A8F"/>
    <w:rsid w:val="00822064"/>
    <w:rsid w:val="008220AD"/>
    <w:rsid w:val="00822738"/>
    <w:rsid w:val="00822969"/>
    <w:rsid w:val="00822D89"/>
    <w:rsid w:val="00823196"/>
    <w:rsid w:val="00823610"/>
    <w:rsid w:val="008237DE"/>
    <w:rsid w:val="00824ABF"/>
    <w:rsid w:val="00824E32"/>
    <w:rsid w:val="00825246"/>
    <w:rsid w:val="00825B9C"/>
    <w:rsid w:val="00827EFF"/>
    <w:rsid w:val="008301C6"/>
    <w:rsid w:val="0083049A"/>
    <w:rsid w:val="00830846"/>
    <w:rsid w:val="008319DA"/>
    <w:rsid w:val="00831D1D"/>
    <w:rsid w:val="008321A6"/>
    <w:rsid w:val="00832A5F"/>
    <w:rsid w:val="00832C7E"/>
    <w:rsid w:val="00833393"/>
    <w:rsid w:val="0083380F"/>
    <w:rsid w:val="00833A60"/>
    <w:rsid w:val="00833C3B"/>
    <w:rsid w:val="00833D2C"/>
    <w:rsid w:val="00834B4D"/>
    <w:rsid w:val="00835CF4"/>
    <w:rsid w:val="00835FCE"/>
    <w:rsid w:val="008368DE"/>
    <w:rsid w:val="0083696A"/>
    <w:rsid w:val="00840BCC"/>
    <w:rsid w:val="00840E25"/>
    <w:rsid w:val="0084161A"/>
    <w:rsid w:val="00841962"/>
    <w:rsid w:val="008424BB"/>
    <w:rsid w:val="00842B3A"/>
    <w:rsid w:val="00843613"/>
    <w:rsid w:val="0084383C"/>
    <w:rsid w:val="0084456D"/>
    <w:rsid w:val="00844729"/>
    <w:rsid w:val="008461B4"/>
    <w:rsid w:val="008465CB"/>
    <w:rsid w:val="00846695"/>
    <w:rsid w:val="00846A62"/>
    <w:rsid w:val="00846B1B"/>
    <w:rsid w:val="0085127E"/>
    <w:rsid w:val="008515CC"/>
    <w:rsid w:val="008517C6"/>
    <w:rsid w:val="00852898"/>
    <w:rsid w:val="00852F4F"/>
    <w:rsid w:val="00853308"/>
    <w:rsid w:val="008534CC"/>
    <w:rsid w:val="00853646"/>
    <w:rsid w:val="00853C98"/>
    <w:rsid w:val="00854103"/>
    <w:rsid w:val="00854773"/>
    <w:rsid w:val="008549B1"/>
    <w:rsid w:val="00854B47"/>
    <w:rsid w:val="008550BA"/>
    <w:rsid w:val="0085543E"/>
    <w:rsid w:val="00855820"/>
    <w:rsid w:val="008568B0"/>
    <w:rsid w:val="0085710E"/>
    <w:rsid w:val="008578F2"/>
    <w:rsid w:val="00857A16"/>
    <w:rsid w:val="00857DB6"/>
    <w:rsid w:val="008600ED"/>
    <w:rsid w:val="00860366"/>
    <w:rsid w:val="008614BF"/>
    <w:rsid w:val="008615DC"/>
    <w:rsid w:val="008619B4"/>
    <w:rsid w:val="00861CAB"/>
    <w:rsid w:val="00861F5B"/>
    <w:rsid w:val="008623CA"/>
    <w:rsid w:val="008627A8"/>
    <w:rsid w:val="00862B21"/>
    <w:rsid w:val="00863523"/>
    <w:rsid w:val="008636D6"/>
    <w:rsid w:val="00863E02"/>
    <w:rsid w:val="0086489A"/>
    <w:rsid w:val="00865274"/>
    <w:rsid w:val="00865301"/>
    <w:rsid w:val="00865940"/>
    <w:rsid w:val="00865A0D"/>
    <w:rsid w:val="00865EEC"/>
    <w:rsid w:val="00866416"/>
    <w:rsid w:val="00866A27"/>
    <w:rsid w:val="00866C88"/>
    <w:rsid w:val="0086726E"/>
    <w:rsid w:val="00867C61"/>
    <w:rsid w:val="008701DC"/>
    <w:rsid w:val="00870234"/>
    <w:rsid w:val="00870335"/>
    <w:rsid w:val="0087051A"/>
    <w:rsid w:val="0087081B"/>
    <w:rsid w:val="008714CD"/>
    <w:rsid w:val="00872A6E"/>
    <w:rsid w:val="008739F1"/>
    <w:rsid w:val="00873F33"/>
    <w:rsid w:val="00874197"/>
    <w:rsid w:val="00874308"/>
    <w:rsid w:val="00874882"/>
    <w:rsid w:val="00875375"/>
    <w:rsid w:val="008753E4"/>
    <w:rsid w:val="00875827"/>
    <w:rsid w:val="008764DF"/>
    <w:rsid w:val="00876C7F"/>
    <w:rsid w:val="00876DA9"/>
    <w:rsid w:val="00877B13"/>
    <w:rsid w:val="0088067E"/>
    <w:rsid w:val="00880AB5"/>
    <w:rsid w:val="00880AD5"/>
    <w:rsid w:val="00880C01"/>
    <w:rsid w:val="00881095"/>
    <w:rsid w:val="00881457"/>
    <w:rsid w:val="00881918"/>
    <w:rsid w:val="00881E91"/>
    <w:rsid w:val="00882802"/>
    <w:rsid w:val="00882B0F"/>
    <w:rsid w:val="008836A7"/>
    <w:rsid w:val="00883749"/>
    <w:rsid w:val="008837DA"/>
    <w:rsid w:val="00884467"/>
    <w:rsid w:val="0088452E"/>
    <w:rsid w:val="00884AB6"/>
    <w:rsid w:val="0088559A"/>
    <w:rsid w:val="00885D99"/>
    <w:rsid w:val="00886448"/>
    <w:rsid w:val="0088656B"/>
    <w:rsid w:val="00887031"/>
    <w:rsid w:val="008872D7"/>
    <w:rsid w:val="00887E8C"/>
    <w:rsid w:val="00887F03"/>
    <w:rsid w:val="0089031C"/>
    <w:rsid w:val="0089055E"/>
    <w:rsid w:val="00891448"/>
    <w:rsid w:val="008914A2"/>
    <w:rsid w:val="00891D38"/>
    <w:rsid w:val="00891D7B"/>
    <w:rsid w:val="008923EA"/>
    <w:rsid w:val="00892878"/>
    <w:rsid w:val="00893B95"/>
    <w:rsid w:val="008941B2"/>
    <w:rsid w:val="0089486E"/>
    <w:rsid w:val="00894DEA"/>
    <w:rsid w:val="00895941"/>
    <w:rsid w:val="00896875"/>
    <w:rsid w:val="008A04B2"/>
    <w:rsid w:val="008A0D44"/>
    <w:rsid w:val="008A1084"/>
    <w:rsid w:val="008A1C2F"/>
    <w:rsid w:val="008A1DA7"/>
    <w:rsid w:val="008A29BC"/>
    <w:rsid w:val="008A3884"/>
    <w:rsid w:val="008A3A4B"/>
    <w:rsid w:val="008A41DE"/>
    <w:rsid w:val="008A49EA"/>
    <w:rsid w:val="008A4ABF"/>
    <w:rsid w:val="008A5519"/>
    <w:rsid w:val="008A6614"/>
    <w:rsid w:val="008A739F"/>
    <w:rsid w:val="008A7517"/>
    <w:rsid w:val="008A790C"/>
    <w:rsid w:val="008B0108"/>
    <w:rsid w:val="008B0CD7"/>
    <w:rsid w:val="008B1123"/>
    <w:rsid w:val="008B18E3"/>
    <w:rsid w:val="008B2BE6"/>
    <w:rsid w:val="008B3670"/>
    <w:rsid w:val="008B392A"/>
    <w:rsid w:val="008B3E82"/>
    <w:rsid w:val="008B4157"/>
    <w:rsid w:val="008B4A24"/>
    <w:rsid w:val="008B51DE"/>
    <w:rsid w:val="008B5AFF"/>
    <w:rsid w:val="008B5E0B"/>
    <w:rsid w:val="008B758A"/>
    <w:rsid w:val="008B7817"/>
    <w:rsid w:val="008B7C72"/>
    <w:rsid w:val="008B7CD2"/>
    <w:rsid w:val="008C00EF"/>
    <w:rsid w:val="008C053C"/>
    <w:rsid w:val="008C0C4F"/>
    <w:rsid w:val="008C0F75"/>
    <w:rsid w:val="008C12F3"/>
    <w:rsid w:val="008C1433"/>
    <w:rsid w:val="008C17EE"/>
    <w:rsid w:val="008C1D8B"/>
    <w:rsid w:val="008C1F03"/>
    <w:rsid w:val="008C21EC"/>
    <w:rsid w:val="008C277A"/>
    <w:rsid w:val="008C2F47"/>
    <w:rsid w:val="008C3373"/>
    <w:rsid w:val="008C3C00"/>
    <w:rsid w:val="008C49A9"/>
    <w:rsid w:val="008C561D"/>
    <w:rsid w:val="008C62EC"/>
    <w:rsid w:val="008C6316"/>
    <w:rsid w:val="008C7911"/>
    <w:rsid w:val="008C7FAF"/>
    <w:rsid w:val="008D0A96"/>
    <w:rsid w:val="008D0BE4"/>
    <w:rsid w:val="008D0F42"/>
    <w:rsid w:val="008D1475"/>
    <w:rsid w:val="008D151E"/>
    <w:rsid w:val="008D19DB"/>
    <w:rsid w:val="008D35E2"/>
    <w:rsid w:val="008D3981"/>
    <w:rsid w:val="008D41B5"/>
    <w:rsid w:val="008D48AA"/>
    <w:rsid w:val="008D52D5"/>
    <w:rsid w:val="008D5BE0"/>
    <w:rsid w:val="008D72C3"/>
    <w:rsid w:val="008D7537"/>
    <w:rsid w:val="008D7689"/>
    <w:rsid w:val="008D7B10"/>
    <w:rsid w:val="008E041A"/>
    <w:rsid w:val="008E04F6"/>
    <w:rsid w:val="008E0FD3"/>
    <w:rsid w:val="008E154C"/>
    <w:rsid w:val="008E1B76"/>
    <w:rsid w:val="008E1DCB"/>
    <w:rsid w:val="008E2248"/>
    <w:rsid w:val="008E237A"/>
    <w:rsid w:val="008E24CD"/>
    <w:rsid w:val="008E2CD5"/>
    <w:rsid w:val="008E2DF1"/>
    <w:rsid w:val="008E3BD0"/>
    <w:rsid w:val="008E53E7"/>
    <w:rsid w:val="008E5B3B"/>
    <w:rsid w:val="008E5D69"/>
    <w:rsid w:val="008E5EE3"/>
    <w:rsid w:val="008E63EA"/>
    <w:rsid w:val="008E7537"/>
    <w:rsid w:val="008E7558"/>
    <w:rsid w:val="008E7C23"/>
    <w:rsid w:val="008E7F8D"/>
    <w:rsid w:val="008F06E9"/>
    <w:rsid w:val="008F11C4"/>
    <w:rsid w:val="008F19BB"/>
    <w:rsid w:val="008F2850"/>
    <w:rsid w:val="008F2F11"/>
    <w:rsid w:val="008F2FC2"/>
    <w:rsid w:val="008F302C"/>
    <w:rsid w:val="008F327F"/>
    <w:rsid w:val="008F3305"/>
    <w:rsid w:val="008F3A1B"/>
    <w:rsid w:val="008F3C46"/>
    <w:rsid w:val="008F3E18"/>
    <w:rsid w:val="008F4783"/>
    <w:rsid w:val="008F4C45"/>
    <w:rsid w:val="008F5481"/>
    <w:rsid w:val="008F5D1E"/>
    <w:rsid w:val="008F6FE8"/>
    <w:rsid w:val="008F7242"/>
    <w:rsid w:val="008F75F1"/>
    <w:rsid w:val="008F7D34"/>
    <w:rsid w:val="008F7FBB"/>
    <w:rsid w:val="009011A5"/>
    <w:rsid w:val="00901457"/>
    <w:rsid w:val="00901C77"/>
    <w:rsid w:val="0090233F"/>
    <w:rsid w:val="00902698"/>
    <w:rsid w:val="009026E8"/>
    <w:rsid w:val="009030B0"/>
    <w:rsid w:val="009031E3"/>
    <w:rsid w:val="009035A2"/>
    <w:rsid w:val="0090368C"/>
    <w:rsid w:val="00903C20"/>
    <w:rsid w:val="00903E1E"/>
    <w:rsid w:val="00903EBB"/>
    <w:rsid w:val="00904067"/>
    <w:rsid w:val="00904237"/>
    <w:rsid w:val="00904674"/>
    <w:rsid w:val="00904BC9"/>
    <w:rsid w:val="009056C1"/>
    <w:rsid w:val="009056CA"/>
    <w:rsid w:val="009057C5"/>
    <w:rsid w:val="00905F4A"/>
    <w:rsid w:val="009062BB"/>
    <w:rsid w:val="0090688C"/>
    <w:rsid w:val="0090766E"/>
    <w:rsid w:val="0091038B"/>
    <w:rsid w:val="009119D3"/>
    <w:rsid w:val="00911F66"/>
    <w:rsid w:val="00913377"/>
    <w:rsid w:val="0091344B"/>
    <w:rsid w:val="00913491"/>
    <w:rsid w:val="009136AF"/>
    <w:rsid w:val="00913C85"/>
    <w:rsid w:val="00913DCC"/>
    <w:rsid w:val="0091409A"/>
    <w:rsid w:val="00914378"/>
    <w:rsid w:val="00914F27"/>
    <w:rsid w:val="00916333"/>
    <w:rsid w:val="00916B50"/>
    <w:rsid w:val="00917B21"/>
    <w:rsid w:val="00921839"/>
    <w:rsid w:val="00921E03"/>
    <w:rsid w:val="00922101"/>
    <w:rsid w:val="00922A4B"/>
    <w:rsid w:val="00923492"/>
    <w:rsid w:val="009236F3"/>
    <w:rsid w:val="009241BB"/>
    <w:rsid w:val="009244F7"/>
    <w:rsid w:val="00924C0D"/>
    <w:rsid w:val="00924D94"/>
    <w:rsid w:val="0092501B"/>
    <w:rsid w:val="0092587F"/>
    <w:rsid w:val="00925AA4"/>
    <w:rsid w:val="00926BE1"/>
    <w:rsid w:val="0092714F"/>
    <w:rsid w:val="009272CD"/>
    <w:rsid w:val="00927F6D"/>
    <w:rsid w:val="00930FA6"/>
    <w:rsid w:val="00931158"/>
    <w:rsid w:val="009313BE"/>
    <w:rsid w:val="009318B0"/>
    <w:rsid w:val="00932FE2"/>
    <w:rsid w:val="00933907"/>
    <w:rsid w:val="00933DCB"/>
    <w:rsid w:val="0093405E"/>
    <w:rsid w:val="009340AB"/>
    <w:rsid w:val="0093426D"/>
    <w:rsid w:val="00934498"/>
    <w:rsid w:val="00936192"/>
    <w:rsid w:val="00937516"/>
    <w:rsid w:val="0094066E"/>
    <w:rsid w:val="0094182D"/>
    <w:rsid w:val="00942004"/>
    <w:rsid w:val="0094245B"/>
    <w:rsid w:val="00942913"/>
    <w:rsid w:val="00942A08"/>
    <w:rsid w:val="00942CAD"/>
    <w:rsid w:val="009432E4"/>
    <w:rsid w:val="00943363"/>
    <w:rsid w:val="009434CF"/>
    <w:rsid w:val="009434EA"/>
    <w:rsid w:val="009442EB"/>
    <w:rsid w:val="00944491"/>
    <w:rsid w:val="009447D8"/>
    <w:rsid w:val="00945752"/>
    <w:rsid w:val="009461AA"/>
    <w:rsid w:val="0094624F"/>
    <w:rsid w:val="009463C5"/>
    <w:rsid w:val="009468E9"/>
    <w:rsid w:val="00946910"/>
    <w:rsid w:val="00946D18"/>
    <w:rsid w:val="00947C38"/>
    <w:rsid w:val="00947E63"/>
    <w:rsid w:val="009514F0"/>
    <w:rsid w:val="00951718"/>
    <w:rsid w:val="00951817"/>
    <w:rsid w:val="00952BA2"/>
    <w:rsid w:val="00952CCB"/>
    <w:rsid w:val="009531E7"/>
    <w:rsid w:val="00953322"/>
    <w:rsid w:val="0095345A"/>
    <w:rsid w:val="00953BFE"/>
    <w:rsid w:val="009550BB"/>
    <w:rsid w:val="0095545C"/>
    <w:rsid w:val="00955935"/>
    <w:rsid w:val="00955992"/>
    <w:rsid w:val="00955AB7"/>
    <w:rsid w:val="00955B26"/>
    <w:rsid w:val="00955B99"/>
    <w:rsid w:val="00956067"/>
    <w:rsid w:val="00956115"/>
    <w:rsid w:val="00956244"/>
    <w:rsid w:val="00956304"/>
    <w:rsid w:val="009566DC"/>
    <w:rsid w:val="00957342"/>
    <w:rsid w:val="009574F2"/>
    <w:rsid w:val="00957921"/>
    <w:rsid w:val="009579D9"/>
    <w:rsid w:val="00957A1E"/>
    <w:rsid w:val="00957A76"/>
    <w:rsid w:val="00957C00"/>
    <w:rsid w:val="00960719"/>
    <w:rsid w:val="00960E56"/>
    <w:rsid w:val="00960F89"/>
    <w:rsid w:val="009616B6"/>
    <w:rsid w:val="009619CF"/>
    <w:rsid w:val="00962255"/>
    <w:rsid w:val="00962B2A"/>
    <w:rsid w:val="00963502"/>
    <w:rsid w:val="00963C96"/>
    <w:rsid w:val="009648EF"/>
    <w:rsid w:val="009649FF"/>
    <w:rsid w:val="00965DC9"/>
    <w:rsid w:val="00966B53"/>
    <w:rsid w:val="00967433"/>
    <w:rsid w:val="00967539"/>
    <w:rsid w:val="009700F8"/>
    <w:rsid w:val="00970584"/>
    <w:rsid w:val="00970F04"/>
    <w:rsid w:val="009710FB"/>
    <w:rsid w:val="0097114B"/>
    <w:rsid w:val="00971224"/>
    <w:rsid w:val="00971F36"/>
    <w:rsid w:val="009720C3"/>
    <w:rsid w:val="009729B4"/>
    <w:rsid w:val="0097319E"/>
    <w:rsid w:val="0097358B"/>
    <w:rsid w:val="00973730"/>
    <w:rsid w:val="00973A12"/>
    <w:rsid w:val="00973AFE"/>
    <w:rsid w:val="00974614"/>
    <w:rsid w:val="009748FF"/>
    <w:rsid w:val="00975084"/>
    <w:rsid w:val="00975243"/>
    <w:rsid w:val="009754BC"/>
    <w:rsid w:val="0097588C"/>
    <w:rsid w:val="00975C3B"/>
    <w:rsid w:val="0097620F"/>
    <w:rsid w:val="00976397"/>
    <w:rsid w:val="00976588"/>
    <w:rsid w:val="00976FE8"/>
    <w:rsid w:val="009771A0"/>
    <w:rsid w:val="0097799A"/>
    <w:rsid w:val="00977C25"/>
    <w:rsid w:val="009807C9"/>
    <w:rsid w:val="0098082E"/>
    <w:rsid w:val="00980CAF"/>
    <w:rsid w:val="00980DB8"/>
    <w:rsid w:val="00980E4D"/>
    <w:rsid w:val="0098122A"/>
    <w:rsid w:val="0098137E"/>
    <w:rsid w:val="009816C8"/>
    <w:rsid w:val="0098173F"/>
    <w:rsid w:val="00981DC5"/>
    <w:rsid w:val="00981FC9"/>
    <w:rsid w:val="00982327"/>
    <w:rsid w:val="009833CB"/>
    <w:rsid w:val="0098345D"/>
    <w:rsid w:val="009836FB"/>
    <w:rsid w:val="009837A3"/>
    <w:rsid w:val="00983F27"/>
    <w:rsid w:val="009843E2"/>
    <w:rsid w:val="0098582B"/>
    <w:rsid w:val="009858DA"/>
    <w:rsid w:val="009861EE"/>
    <w:rsid w:val="00986262"/>
    <w:rsid w:val="00987566"/>
    <w:rsid w:val="0098760C"/>
    <w:rsid w:val="0098795A"/>
    <w:rsid w:val="00987F32"/>
    <w:rsid w:val="0099011B"/>
    <w:rsid w:val="00990487"/>
    <w:rsid w:val="009912E2"/>
    <w:rsid w:val="00991536"/>
    <w:rsid w:val="009915AA"/>
    <w:rsid w:val="00991648"/>
    <w:rsid w:val="009918AC"/>
    <w:rsid w:val="0099255B"/>
    <w:rsid w:val="00992A8B"/>
    <w:rsid w:val="00993DAC"/>
    <w:rsid w:val="00995D5C"/>
    <w:rsid w:val="00996373"/>
    <w:rsid w:val="00996A23"/>
    <w:rsid w:val="00997046"/>
    <w:rsid w:val="009973B6"/>
    <w:rsid w:val="00997493"/>
    <w:rsid w:val="00997585"/>
    <w:rsid w:val="00997705"/>
    <w:rsid w:val="00997BEC"/>
    <w:rsid w:val="00997C26"/>
    <w:rsid w:val="009A06D0"/>
    <w:rsid w:val="009A0B7F"/>
    <w:rsid w:val="009A0E19"/>
    <w:rsid w:val="009A1215"/>
    <w:rsid w:val="009A1416"/>
    <w:rsid w:val="009A20E4"/>
    <w:rsid w:val="009A2440"/>
    <w:rsid w:val="009A2448"/>
    <w:rsid w:val="009A28F6"/>
    <w:rsid w:val="009A3437"/>
    <w:rsid w:val="009A3D15"/>
    <w:rsid w:val="009A3E6F"/>
    <w:rsid w:val="009A3FD3"/>
    <w:rsid w:val="009A4588"/>
    <w:rsid w:val="009A4ECB"/>
    <w:rsid w:val="009A5C9E"/>
    <w:rsid w:val="009A5F3F"/>
    <w:rsid w:val="009A6007"/>
    <w:rsid w:val="009A6A00"/>
    <w:rsid w:val="009A6E33"/>
    <w:rsid w:val="009A6F9E"/>
    <w:rsid w:val="009A714A"/>
    <w:rsid w:val="009A718B"/>
    <w:rsid w:val="009A7318"/>
    <w:rsid w:val="009A7B51"/>
    <w:rsid w:val="009A7E2A"/>
    <w:rsid w:val="009B0602"/>
    <w:rsid w:val="009B0987"/>
    <w:rsid w:val="009B0CAB"/>
    <w:rsid w:val="009B121B"/>
    <w:rsid w:val="009B144A"/>
    <w:rsid w:val="009B14F4"/>
    <w:rsid w:val="009B177F"/>
    <w:rsid w:val="009B17DB"/>
    <w:rsid w:val="009B26EE"/>
    <w:rsid w:val="009B3199"/>
    <w:rsid w:val="009B38BC"/>
    <w:rsid w:val="009B4EC5"/>
    <w:rsid w:val="009B50CC"/>
    <w:rsid w:val="009B51A4"/>
    <w:rsid w:val="009B5A4A"/>
    <w:rsid w:val="009B5ACD"/>
    <w:rsid w:val="009B5E21"/>
    <w:rsid w:val="009B67B3"/>
    <w:rsid w:val="009B7146"/>
    <w:rsid w:val="009B7391"/>
    <w:rsid w:val="009B739B"/>
    <w:rsid w:val="009B7407"/>
    <w:rsid w:val="009B7BAA"/>
    <w:rsid w:val="009C067B"/>
    <w:rsid w:val="009C08E6"/>
    <w:rsid w:val="009C09D7"/>
    <w:rsid w:val="009C0D27"/>
    <w:rsid w:val="009C1B38"/>
    <w:rsid w:val="009C205F"/>
    <w:rsid w:val="009C2E0C"/>
    <w:rsid w:val="009C307F"/>
    <w:rsid w:val="009C3B2A"/>
    <w:rsid w:val="009C4249"/>
    <w:rsid w:val="009C44E4"/>
    <w:rsid w:val="009C4614"/>
    <w:rsid w:val="009C477B"/>
    <w:rsid w:val="009C4918"/>
    <w:rsid w:val="009C4C78"/>
    <w:rsid w:val="009C5124"/>
    <w:rsid w:val="009C515D"/>
    <w:rsid w:val="009C51F7"/>
    <w:rsid w:val="009C5C5F"/>
    <w:rsid w:val="009C5F2B"/>
    <w:rsid w:val="009C5F5B"/>
    <w:rsid w:val="009C61C6"/>
    <w:rsid w:val="009C61EE"/>
    <w:rsid w:val="009C6454"/>
    <w:rsid w:val="009C6CF4"/>
    <w:rsid w:val="009C74B8"/>
    <w:rsid w:val="009C78E3"/>
    <w:rsid w:val="009C7FFB"/>
    <w:rsid w:val="009D04DD"/>
    <w:rsid w:val="009D1DCA"/>
    <w:rsid w:val="009D2018"/>
    <w:rsid w:val="009D2D62"/>
    <w:rsid w:val="009D31CD"/>
    <w:rsid w:val="009D4E10"/>
    <w:rsid w:val="009D4F53"/>
    <w:rsid w:val="009D5454"/>
    <w:rsid w:val="009D69CD"/>
    <w:rsid w:val="009D7121"/>
    <w:rsid w:val="009D7892"/>
    <w:rsid w:val="009E01B8"/>
    <w:rsid w:val="009E0843"/>
    <w:rsid w:val="009E0B3D"/>
    <w:rsid w:val="009E0BD3"/>
    <w:rsid w:val="009E18D5"/>
    <w:rsid w:val="009E1B79"/>
    <w:rsid w:val="009E1BC8"/>
    <w:rsid w:val="009E1E84"/>
    <w:rsid w:val="009E3111"/>
    <w:rsid w:val="009E38AF"/>
    <w:rsid w:val="009E40B7"/>
    <w:rsid w:val="009E4205"/>
    <w:rsid w:val="009E52A8"/>
    <w:rsid w:val="009E673E"/>
    <w:rsid w:val="009E68BE"/>
    <w:rsid w:val="009E68ED"/>
    <w:rsid w:val="009E6A49"/>
    <w:rsid w:val="009E74CA"/>
    <w:rsid w:val="009E759E"/>
    <w:rsid w:val="009E7AD8"/>
    <w:rsid w:val="009F096D"/>
    <w:rsid w:val="009F0C01"/>
    <w:rsid w:val="009F0D41"/>
    <w:rsid w:val="009F161C"/>
    <w:rsid w:val="009F1BC2"/>
    <w:rsid w:val="009F1D57"/>
    <w:rsid w:val="009F2351"/>
    <w:rsid w:val="009F28F7"/>
    <w:rsid w:val="009F29A4"/>
    <w:rsid w:val="009F2B8A"/>
    <w:rsid w:val="009F2BAF"/>
    <w:rsid w:val="009F2F18"/>
    <w:rsid w:val="009F3041"/>
    <w:rsid w:val="009F3655"/>
    <w:rsid w:val="009F38E8"/>
    <w:rsid w:val="009F39AD"/>
    <w:rsid w:val="009F4EF8"/>
    <w:rsid w:val="009F4F1B"/>
    <w:rsid w:val="009F5872"/>
    <w:rsid w:val="009F5FF4"/>
    <w:rsid w:val="009F6256"/>
    <w:rsid w:val="009F6DB9"/>
    <w:rsid w:val="009F70AA"/>
    <w:rsid w:val="009F740D"/>
    <w:rsid w:val="009F77F0"/>
    <w:rsid w:val="009F7E73"/>
    <w:rsid w:val="00A0020E"/>
    <w:rsid w:val="00A00370"/>
    <w:rsid w:val="00A0073E"/>
    <w:rsid w:val="00A00F88"/>
    <w:rsid w:val="00A0117F"/>
    <w:rsid w:val="00A016A7"/>
    <w:rsid w:val="00A01A02"/>
    <w:rsid w:val="00A01AAA"/>
    <w:rsid w:val="00A01AED"/>
    <w:rsid w:val="00A02007"/>
    <w:rsid w:val="00A024F6"/>
    <w:rsid w:val="00A0288A"/>
    <w:rsid w:val="00A02A8B"/>
    <w:rsid w:val="00A02B6A"/>
    <w:rsid w:val="00A02F74"/>
    <w:rsid w:val="00A030F3"/>
    <w:rsid w:val="00A03652"/>
    <w:rsid w:val="00A041C7"/>
    <w:rsid w:val="00A04E7C"/>
    <w:rsid w:val="00A04F4B"/>
    <w:rsid w:val="00A06B3C"/>
    <w:rsid w:val="00A06DB6"/>
    <w:rsid w:val="00A10003"/>
    <w:rsid w:val="00A1084E"/>
    <w:rsid w:val="00A10A09"/>
    <w:rsid w:val="00A113B3"/>
    <w:rsid w:val="00A114CC"/>
    <w:rsid w:val="00A11A74"/>
    <w:rsid w:val="00A11CB9"/>
    <w:rsid w:val="00A12CC9"/>
    <w:rsid w:val="00A134B1"/>
    <w:rsid w:val="00A13648"/>
    <w:rsid w:val="00A13C17"/>
    <w:rsid w:val="00A1449A"/>
    <w:rsid w:val="00A1467F"/>
    <w:rsid w:val="00A14921"/>
    <w:rsid w:val="00A151D1"/>
    <w:rsid w:val="00A15B66"/>
    <w:rsid w:val="00A15B7F"/>
    <w:rsid w:val="00A16462"/>
    <w:rsid w:val="00A168C8"/>
    <w:rsid w:val="00A169B5"/>
    <w:rsid w:val="00A17386"/>
    <w:rsid w:val="00A20173"/>
    <w:rsid w:val="00A2060D"/>
    <w:rsid w:val="00A20B21"/>
    <w:rsid w:val="00A216B7"/>
    <w:rsid w:val="00A21708"/>
    <w:rsid w:val="00A217B1"/>
    <w:rsid w:val="00A2186A"/>
    <w:rsid w:val="00A23EF0"/>
    <w:rsid w:val="00A242AE"/>
    <w:rsid w:val="00A242EA"/>
    <w:rsid w:val="00A2504D"/>
    <w:rsid w:val="00A26BB3"/>
    <w:rsid w:val="00A271B3"/>
    <w:rsid w:val="00A272BE"/>
    <w:rsid w:val="00A273BD"/>
    <w:rsid w:val="00A27757"/>
    <w:rsid w:val="00A2797C"/>
    <w:rsid w:val="00A27C35"/>
    <w:rsid w:val="00A30231"/>
    <w:rsid w:val="00A30317"/>
    <w:rsid w:val="00A30545"/>
    <w:rsid w:val="00A3071A"/>
    <w:rsid w:val="00A309B7"/>
    <w:rsid w:val="00A30B94"/>
    <w:rsid w:val="00A31850"/>
    <w:rsid w:val="00A318DD"/>
    <w:rsid w:val="00A31D0C"/>
    <w:rsid w:val="00A320FB"/>
    <w:rsid w:val="00A322BE"/>
    <w:rsid w:val="00A33274"/>
    <w:rsid w:val="00A33342"/>
    <w:rsid w:val="00A3344C"/>
    <w:rsid w:val="00A33719"/>
    <w:rsid w:val="00A33DF9"/>
    <w:rsid w:val="00A34383"/>
    <w:rsid w:val="00A3529A"/>
    <w:rsid w:val="00A376F0"/>
    <w:rsid w:val="00A40262"/>
    <w:rsid w:val="00A40858"/>
    <w:rsid w:val="00A40A77"/>
    <w:rsid w:val="00A4137E"/>
    <w:rsid w:val="00A41515"/>
    <w:rsid w:val="00A41B5E"/>
    <w:rsid w:val="00A41E03"/>
    <w:rsid w:val="00A41FEE"/>
    <w:rsid w:val="00A42042"/>
    <w:rsid w:val="00A422C2"/>
    <w:rsid w:val="00A42659"/>
    <w:rsid w:val="00A426D4"/>
    <w:rsid w:val="00A4281A"/>
    <w:rsid w:val="00A42CF9"/>
    <w:rsid w:val="00A42F88"/>
    <w:rsid w:val="00A43F0E"/>
    <w:rsid w:val="00A44228"/>
    <w:rsid w:val="00A44C41"/>
    <w:rsid w:val="00A44E81"/>
    <w:rsid w:val="00A45529"/>
    <w:rsid w:val="00A461E4"/>
    <w:rsid w:val="00A466AC"/>
    <w:rsid w:val="00A47031"/>
    <w:rsid w:val="00A4765E"/>
    <w:rsid w:val="00A50604"/>
    <w:rsid w:val="00A50E26"/>
    <w:rsid w:val="00A51518"/>
    <w:rsid w:val="00A51A8B"/>
    <w:rsid w:val="00A522C3"/>
    <w:rsid w:val="00A52331"/>
    <w:rsid w:val="00A524A6"/>
    <w:rsid w:val="00A543D2"/>
    <w:rsid w:val="00A54818"/>
    <w:rsid w:val="00A54C21"/>
    <w:rsid w:val="00A550AB"/>
    <w:rsid w:val="00A55DC6"/>
    <w:rsid w:val="00A55DD4"/>
    <w:rsid w:val="00A56070"/>
    <w:rsid w:val="00A56859"/>
    <w:rsid w:val="00A569E0"/>
    <w:rsid w:val="00A56D42"/>
    <w:rsid w:val="00A56D83"/>
    <w:rsid w:val="00A56FDE"/>
    <w:rsid w:val="00A5707D"/>
    <w:rsid w:val="00A6008D"/>
    <w:rsid w:val="00A60997"/>
    <w:rsid w:val="00A60CA4"/>
    <w:rsid w:val="00A61446"/>
    <w:rsid w:val="00A615E0"/>
    <w:rsid w:val="00A61D87"/>
    <w:rsid w:val="00A62285"/>
    <w:rsid w:val="00A62821"/>
    <w:rsid w:val="00A6338B"/>
    <w:rsid w:val="00A6390A"/>
    <w:rsid w:val="00A64524"/>
    <w:rsid w:val="00A64A9B"/>
    <w:rsid w:val="00A65A66"/>
    <w:rsid w:val="00A65C73"/>
    <w:rsid w:val="00A66BBF"/>
    <w:rsid w:val="00A66EE4"/>
    <w:rsid w:val="00A6710E"/>
    <w:rsid w:val="00A67235"/>
    <w:rsid w:val="00A67460"/>
    <w:rsid w:val="00A675DD"/>
    <w:rsid w:val="00A70197"/>
    <w:rsid w:val="00A7047F"/>
    <w:rsid w:val="00A70571"/>
    <w:rsid w:val="00A70585"/>
    <w:rsid w:val="00A70728"/>
    <w:rsid w:val="00A70C52"/>
    <w:rsid w:val="00A715EF"/>
    <w:rsid w:val="00A71A8E"/>
    <w:rsid w:val="00A71BDB"/>
    <w:rsid w:val="00A720B7"/>
    <w:rsid w:val="00A72719"/>
    <w:rsid w:val="00A72BCC"/>
    <w:rsid w:val="00A731D2"/>
    <w:rsid w:val="00A73387"/>
    <w:rsid w:val="00A73405"/>
    <w:rsid w:val="00A74310"/>
    <w:rsid w:val="00A745D3"/>
    <w:rsid w:val="00A7462D"/>
    <w:rsid w:val="00A748DB"/>
    <w:rsid w:val="00A7498A"/>
    <w:rsid w:val="00A750A1"/>
    <w:rsid w:val="00A7549A"/>
    <w:rsid w:val="00A77966"/>
    <w:rsid w:val="00A77A0F"/>
    <w:rsid w:val="00A77E09"/>
    <w:rsid w:val="00A77F4A"/>
    <w:rsid w:val="00A8029C"/>
    <w:rsid w:val="00A8033D"/>
    <w:rsid w:val="00A80449"/>
    <w:rsid w:val="00A826A0"/>
    <w:rsid w:val="00A826B4"/>
    <w:rsid w:val="00A82E1A"/>
    <w:rsid w:val="00A8395A"/>
    <w:rsid w:val="00A83B75"/>
    <w:rsid w:val="00A83C7E"/>
    <w:rsid w:val="00A8418C"/>
    <w:rsid w:val="00A84DA1"/>
    <w:rsid w:val="00A85505"/>
    <w:rsid w:val="00A85676"/>
    <w:rsid w:val="00A856DD"/>
    <w:rsid w:val="00A85812"/>
    <w:rsid w:val="00A85DC4"/>
    <w:rsid w:val="00A864D8"/>
    <w:rsid w:val="00A866C4"/>
    <w:rsid w:val="00A869C4"/>
    <w:rsid w:val="00A8700B"/>
    <w:rsid w:val="00A871C9"/>
    <w:rsid w:val="00A87FE2"/>
    <w:rsid w:val="00A91271"/>
    <w:rsid w:val="00A9140C"/>
    <w:rsid w:val="00A915C6"/>
    <w:rsid w:val="00A917FF"/>
    <w:rsid w:val="00A91E31"/>
    <w:rsid w:val="00A9205F"/>
    <w:rsid w:val="00A92202"/>
    <w:rsid w:val="00A92AC2"/>
    <w:rsid w:val="00A93498"/>
    <w:rsid w:val="00A93C3D"/>
    <w:rsid w:val="00A93D3C"/>
    <w:rsid w:val="00A940A9"/>
    <w:rsid w:val="00A9456E"/>
    <w:rsid w:val="00A948B2"/>
    <w:rsid w:val="00A95355"/>
    <w:rsid w:val="00A95EE6"/>
    <w:rsid w:val="00A95F70"/>
    <w:rsid w:val="00A960E9"/>
    <w:rsid w:val="00A964C7"/>
    <w:rsid w:val="00A96F3E"/>
    <w:rsid w:val="00A97B41"/>
    <w:rsid w:val="00A97DC4"/>
    <w:rsid w:val="00A97F0C"/>
    <w:rsid w:val="00A97F93"/>
    <w:rsid w:val="00AA0147"/>
    <w:rsid w:val="00AA0E4D"/>
    <w:rsid w:val="00AA219A"/>
    <w:rsid w:val="00AA25C5"/>
    <w:rsid w:val="00AA2964"/>
    <w:rsid w:val="00AA2B8B"/>
    <w:rsid w:val="00AA2C6E"/>
    <w:rsid w:val="00AA3E2B"/>
    <w:rsid w:val="00AA3F84"/>
    <w:rsid w:val="00AA46DD"/>
    <w:rsid w:val="00AA4886"/>
    <w:rsid w:val="00AA509E"/>
    <w:rsid w:val="00AA53A0"/>
    <w:rsid w:val="00AA53AC"/>
    <w:rsid w:val="00AA626F"/>
    <w:rsid w:val="00AA6484"/>
    <w:rsid w:val="00AA66A3"/>
    <w:rsid w:val="00AA7874"/>
    <w:rsid w:val="00AA7D0F"/>
    <w:rsid w:val="00AB0396"/>
    <w:rsid w:val="00AB0440"/>
    <w:rsid w:val="00AB0479"/>
    <w:rsid w:val="00AB05C9"/>
    <w:rsid w:val="00AB0A0C"/>
    <w:rsid w:val="00AB0BC7"/>
    <w:rsid w:val="00AB0FDF"/>
    <w:rsid w:val="00AB1831"/>
    <w:rsid w:val="00AB20AB"/>
    <w:rsid w:val="00AB27B9"/>
    <w:rsid w:val="00AB282E"/>
    <w:rsid w:val="00AB2831"/>
    <w:rsid w:val="00AB2AAE"/>
    <w:rsid w:val="00AB2C0F"/>
    <w:rsid w:val="00AB2D52"/>
    <w:rsid w:val="00AB3DD2"/>
    <w:rsid w:val="00AB40A0"/>
    <w:rsid w:val="00AB5528"/>
    <w:rsid w:val="00AB5538"/>
    <w:rsid w:val="00AB5825"/>
    <w:rsid w:val="00AB58D9"/>
    <w:rsid w:val="00AB5983"/>
    <w:rsid w:val="00AB6656"/>
    <w:rsid w:val="00AB7178"/>
    <w:rsid w:val="00AB74C3"/>
    <w:rsid w:val="00AC0BA7"/>
    <w:rsid w:val="00AC0E72"/>
    <w:rsid w:val="00AC1250"/>
    <w:rsid w:val="00AC21C6"/>
    <w:rsid w:val="00AC3779"/>
    <w:rsid w:val="00AC422A"/>
    <w:rsid w:val="00AC4739"/>
    <w:rsid w:val="00AC4979"/>
    <w:rsid w:val="00AC640E"/>
    <w:rsid w:val="00AC673B"/>
    <w:rsid w:val="00AC79A8"/>
    <w:rsid w:val="00AC7B7D"/>
    <w:rsid w:val="00AD0097"/>
    <w:rsid w:val="00AD020B"/>
    <w:rsid w:val="00AD07EF"/>
    <w:rsid w:val="00AD08E5"/>
    <w:rsid w:val="00AD0D5C"/>
    <w:rsid w:val="00AD0E15"/>
    <w:rsid w:val="00AD129B"/>
    <w:rsid w:val="00AD12B6"/>
    <w:rsid w:val="00AD1A96"/>
    <w:rsid w:val="00AD1E0A"/>
    <w:rsid w:val="00AD1E79"/>
    <w:rsid w:val="00AD2385"/>
    <w:rsid w:val="00AD23F3"/>
    <w:rsid w:val="00AD2A29"/>
    <w:rsid w:val="00AD2FCF"/>
    <w:rsid w:val="00AD36A2"/>
    <w:rsid w:val="00AD420D"/>
    <w:rsid w:val="00AD4728"/>
    <w:rsid w:val="00AD4CC2"/>
    <w:rsid w:val="00AD4F89"/>
    <w:rsid w:val="00AD52A6"/>
    <w:rsid w:val="00AD5AEC"/>
    <w:rsid w:val="00AD620C"/>
    <w:rsid w:val="00AD669D"/>
    <w:rsid w:val="00AD6AD0"/>
    <w:rsid w:val="00AD6D0B"/>
    <w:rsid w:val="00AD7537"/>
    <w:rsid w:val="00AD7D99"/>
    <w:rsid w:val="00AD7DC1"/>
    <w:rsid w:val="00AE07B8"/>
    <w:rsid w:val="00AE11D6"/>
    <w:rsid w:val="00AE2C85"/>
    <w:rsid w:val="00AE2D53"/>
    <w:rsid w:val="00AE328A"/>
    <w:rsid w:val="00AE42F5"/>
    <w:rsid w:val="00AE4721"/>
    <w:rsid w:val="00AE4736"/>
    <w:rsid w:val="00AE4C09"/>
    <w:rsid w:val="00AE541B"/>
    <w:rsid w:val="00AE56D5"/>
    <w:rsid w:val="00AE6180"/>
    <w:rsid w:val="00AE7160"/>
    <w:rsid w:val="00AE747B"/>
    <w:rsid w:val="00AE7B1F"/>
    <w:rsid w:val="00AE7D07"/>
    <w:rsid w:val="00AE7DE5"/>
    <w:rsid w:val="00AF03C7"/>
    <w:rsid w:val="00AF03E3"/>
    <w:rsid w:val="00AF12DE"/>
    <w:rsid w:val="00AF1653"/>
    <w:rsid w:val="00AF209A"/>
    <w:rsid w:val="00AF22E3"/>
    <w:rsid w:val="00AF3BF4"/>
    <w:rsid w:val="00AF3F93"/>
    <w:rsid w:val="00AF46CB"/>
    <w:rsid w:val="00AF48C9"/>
    <w:rsid w:val="00AF4BB9"/>
    <w:rsid w:val="00AF50BF"/>
    <w:rsid w:val="00AF5369"/>
    <w:rsid w:val="00AF5612"/>
    <w:rsid w:val="00AF5C96"/>
    <w:rsid w:val="00AF63E5"/>
    <w:rsid w:val="00AF67F3"/>
    <w:rsid w:val="00AF7083"/>
    <w:rsid w:val="00AF71D2"/>
    <w:rsid w:val="00B000F2"/>
    <w:rsid w:val="00B00325"/>
    <w:rsid w:val="00B00478"/>
    <w:rsid w:val="00B01410"/>
    <w:rsid w:val="00B01BCB"/>
    <w:rsid w:val="00B01DF0"/>
    <w:rsid w:val="00B026D2"/>
    <w:rsid w:val="00B02B12"/>
    <w:rsid w:val="00B02B2E"/>
    <w:rsid w:val="00B02C5B"/>
    <w:rsid w:val="00B02DE3"/>
    <w:rsid w:val="00B037AA"/>
    <w:rsid w:val="00B03A9D"/>
    <w:rsid w:val="00B053DD"/>
    <w:rsid w:val="00B054BA"/>
    <w:rsid w:val="00B06804"/>
    <w:rsid w:val="00B0782C"/>
    <w:rsid w:val="00B07908"/>
    <w:rsid w:val="00B07ADC"/>
    <w:rsid w:val="00B1005C"/>
    <w:rsid w:val="00B11D8C"/>
    <w:rsid w:val="00B11F8A"/>
    <w:rsid w:val="00B122A0"/>
    <w:rsid w:val="00B1256E"/>
    <w:rsid w:val="00B13430"/>
    <w:rsid w:val="00B13787"/>
    <w:rsid w:val="00B14007"/>
    <w:rsid w:val="00B1445B"/>
    <w:rsid w:val="00B15801"/>
    <w:rsid w:val="00B1644E"/>
    <w:rsid w:val="00B16CE0"/>
    <w:rsid w:val="00B177F3"/>
    <w:rsid w:val="00B17AAC"/>
    <w:rsid w:val="00B20571"/>
    <w:rsid w:val="00B215D0"/>
    <w:rsid w:val="00B21F73"/>
    <w:rsid w:val="00B22176"/>
    <w:rsid w:val="00B2235C"/>
    <w:rsid w:val="00B226F3"/>
    <w:rsid w:val="00B226FA"/>
    <w:rsid w:val="00B22741"/>
    <w:rsid w:val="00B22B7D"/>
    <w:rsid w:val="00B22D7B"/>
    <w:rsid w:val="00B2329D"/>
    <w:rsid w:val="00B2343E"/>
    <w:rsid w:val="00B2355A"/>
    <w:rsid w:val="00B23822"/>
    <w:rsid w:val="00B23A32"/>
    <w:rsid w:val="00B23A60"/>
    <w:rsid w:val="00B23B72"/>
    <w:rsid w:val="00B23D80"/>
    <w:rsid w:val="00B240C7"/>
    <w:rsid w:val="00B243A4"/>
    <w:rsid w:val="00B245B8"/>
    <w:rsid w:val="00B24ABA"/>
    <w:rsid w:val="00B255C5"/>
    <w:rsid w:val="00B25E98"/>
    <w:rsid w:val="00B25FB2"/>
    <w:rsid w:val="00B26A92"/>
    <w:rsid w:val="00B26D21"/>
    <w:rsid w:val="00B26DCD"/>
    <w:rsid w:val="00B274C7"/>
    <w:rsid w:val="00B27A36"/>
    <w:rsid w:val="00B27DB4"/>
    <w:rsid w:val="00B30276"/>
    <w:rsid w:val="00B30861"/>
    <w:rsid w:val="00B32642"/>
    <w:rsid w:val="00B328CA"/>
    <w:rsid w:val="00B33676"/>
    <w:rsid w:val="00B33FC9"/>
    <w:rsid w:val="00B343CF"/>
    <w:rsid w:val="00B34A70"/>
    <w:rsid w:val="00B34D05"/>
    <w:rsid w:val="00B34E1F"/>
    <w:rsid w:val="00B35194"/>
    <w:rsid w:val="00B352DD"/>
    <w:rsid w:val="00B3606F"/>
    <w:rsid w:val="00B36C97"/>
    <w:rsid w:val="00B37179"/>
    <w:rsid w:val="00B37AAA"/>
    <w:rsid w:val="00B37AE6"/>
    <w:rsid w:val="00B37C41"/>
    <w:rsid w:val="00B4078C"/>
    <w:rsid w:val="00B40A92"/>
    <w:rsid w:val="00B40D0C"/>
    <w:rsid w:val="00B41227"/>
    <w:rsid w:val="00B4191E"/>
    <w:rsid w:val="00B42C6D"/>
    <w:rsid w:val="00B43418"/>
    <w:rsid w:val="00B437D7"/>
    <w:rsid w:val="00B43B49"/>
    <w:rsid w:val="00B4461F"/>
    <w:rsid w:val="00B4481E"/>
    <w:rsid w:val="00B4516E"/>
    <w:rsid w:val="00B455D4"/>
    <w:rsid w:val="00B45B27"/>
    <w:rsid w:val="00B45D33"/>
    <w:rsid w:val="00B46233"/>
    <w:rsid w:val="00B467ED"/>
    <w:rsid w:val="00B46CB0"/>
    <w:rsid w:val="00B47A4F"/>
    <w:rsid w:val="00B50983"/>
    <w:rsid w:val="00B50BD3"/>
    <w:rsid w:val="00B5139A"/>
    <w:rsid w:val="00B51669"/>
    <w:rsid w:val="00B52315"/>
    <w:rsid w:val="00B5294D"/>
    <w:rsid w:val="00B52D8A"/>
    <w:rsid w:val="00B52DAB"/>
    <w:rsid w:val="00B539BE"/>
    <w:rsid w:val="00B53BAE"/>
    <w:rsid w:val="00B53CF9"/>
    <w:rsid w:val="00B54336"/>
    <w:rsid w:val="00B54F44"/>
    <w:rsid w:val="00B5549D"/>
    <w:rsid w:val="00B56011"/>
    <w:rsid w:val="00B56152"/>
    <w:rsid w:val="00B565D0"/>
    <w:rsid w:val="00B56C51"/>
    <w:rsid w:val="00B56EF5"/>
    <w:rsid w:val="00B575F4"/>
    <w:rsid w:val="00B57C19"/>
    <w:rsid w:val="00B60423"/>
    <w:rsid w:val="00B6058A"/>
    <w:rsid w:val="00B6070A"/>
    <w:rsid w:val="00B60A02"/>
    <w:rsid w:val="00B6183E"/>
    <w:rsid w:val="00B61D05"/>
    <w:rsid w:val="00B61DAB"/>
    <w:rsid w:val="00B62043"/>
    <w:rsid w:val="00B622BD"/>
    <w:rsid w:val="00B626BA"/>
    <w:rsid w:val="00B62901"/>
    <w:rsid w:val="00B633AD"/>
    <w:rsid w:val="00B63682"/>
    <w:rsid w:val="00B63C66"/>
    <w:rsid w:val="00B64183"/>
    <w:rsid w:val="00B65076"/>
    <w:rsid w:val="00B65787"/>
    <w:rsid w:val="00B6581A"/>
    <w:rsid w:val="00B6639E"/>
    <w:rsid w:val="00B6643D"/>
    <w:rsid w:val="00B670E5"/>
    <w:rsid w:val="00B70775"/>
    <w:rsid w:val="00B70807"/>
    <w:rsid w:val="00B70890"/>
    <w:rsid w:val="00B71CAF"/>
    <w:rsid w:val="00B71DB8"/>
    <w:rsid w:val="00B72ED7"/>
    <w:rsid w:val="00B7320C"/>
    <w:rsid w:val="00B73271"/>
    <w:rsid w:val="00B73752"/>
    <w:rsid w:val="00B73779"/>
    <w:rsid w:val="00B749EC"/>
    <w:rsid w:val="00B74DA0"/>
    <w:rsid w:val="00B74DFD"/>
    <w:rsid w:val="00B7733B"/>
    <w:rsid w:val="00B778F3"/>
    <w:rsid w:val="00B77E7C"/>
    <w:rsid w:val="00B80538"/>
    <w:rsid w:val="00B809A7"/>
    <w:rsid w:val="00B80A20"/>
    <w:rsid w:val="00B80BD8"/>
    <w:rsid w:val="00B80F85"/>
    <w:rsid w:val="00B81892"/>
    <w:rsid w:val="00B81B52"/>
    <w:rsid w:val="00B81CDF"/>
    <w:rsid w:val="00B824E7"/>
    <w:rsid w:val="00B827FD"/>
    <w:rsid w:val="00B829D3"/>
    <w:rsid w:val="00B82AA3"/>
    <w:rsid w:val="00B82D29"/>
    <w:rsid w:val="00B83703"/>
    <w:rsid w:val="00B83B7C"/>
    <w:rsid w:val="00B83E7E"/>
    <w:rsid w:val="00B83EBF"/>
    <w:rsid w:val="00B84F90"/>
    <w:rsid w:val="00B85A66"/>
    <w:rsid w:val="00B86396"/>
    <w:rsid w:val="00B86CFF"/>
    <w:rsid w:val="00B86E92"/>
    <w:rsid w:val="00B879A2"/>
    <w:rsid w:val="00B87DBB"/>
    <w:rsid w:val="00B90370"/>
    <w:rsid w:val="00B907B5"/>
    <w:rsid w:val="00B90F3B"/>
    <w:rsid w:val="00B91053"/>
    <w:rsid w:val="00B91270"/>
    <w:rsid w:val="00B916F3"/>
    <w:rsid w:val="00B91DE9"/>
    <w:rsid w:val="00B92397"/>
    <w:rsid w:val="00B92EB5"/>
    <w:rsid w:val="00B92EEB"/>
    <w:rsid w:val="00B9309E"/>
    <w:rsid w:val="00B93544"/>
    <w:rsid w:val="00B946DE"/>
    <w:rsid w:val="00B94A45"/>
    <w:rsid w:val="00B955E4"/>
    <w:rsid w:val="00B957C1"/>
    <w:rsid w:val="00B95994"/>
    <w:rsid w:val="00B95A58"/>
    <w:rsid w:val="00B95A9E"/>
    <w:rsid w:val="00B9625A"/>
    <w:rsid w:val="00B96795"/>
    <w:rsid w:val="00B96958"/>
    <w:rsid w:val="00B972EB"/>
    <w:rsid w:val="00B9730B"/>
    <w:rsid w:val="00B974A4"/>
    <w:rsid w:val="00B9752D"/>
    <w:rsid w:val="00B976DB"/>
    <w:rsid w:val="00B979F7"/>
    <w:rsid w:val="00BA00D5"/>
    <w:rsid w:val="00BA01C1"/>
    <w:rsid w:val="00BA0438"/>
    <w:rsid w:val="00BA05AA"/>
    <w:rsid w:val="00BA06FA"/>
    <w:rsid w:val="00BA0A23"/>
    <w:rsid w:val="00BA0E6A"/>
    <w:rsid w:val="00BA33A9"/>
    <w:rsid w:val="00BA3460"/>
    <w:rsid w:val="00BA39C2"/>
    <w:rsid w:val="00BA441A"/>
    <w:rsid w:val="00BA49AF"/>
    <w:rsid w:val="00BA4B61"/>
    <w:rsid w:val="00BA5BDA"/>
    <w:rsid w:val="00BA5EB3"/>
    <w:rsid w:val="00BA5F1E"/>
    <w:rsid w:val="00BA5F89"/>
    <w:rsid w:val="00BA60D2"/>
    <w:rsid w:val="00BA6D44"/>
    <w:rsid w:val="00BA6F31"/>
    <w:rsid w:val="00BA7240"/>
    <w:rsid w:val="00BA7782"/>
    <w:rsid w:val="00BB0472"/>
    <w:rsid w:val="00BB0D77"/>
    <w:rsid w:val="00BB134D"/>
    <w:rsid w:val="00BB2A4D"/>
    <w:rsid w:val="00BB2F5F"/>
    <w:rsid w:val="00BB3A0C"/>
    <w:rsid w:val="00BB3D35"/>
    <w:rsid w:val="00BB3D7A"/>
    <w:rsid w:val="00BB3DB6"/>
    <w:rsid w:val="00BB4A3A"/>
    <w:rsid w:val="00BB4B53"/>
    <w:rsid w:val="00BB4D5A"/>
    <w:rsid w:val="00BB5077"/>
    <w:rsid w:val="00BB5337"/>
    <w:rsid w:val="00BB6658"/>
    <w:rsid w:val="00BB686D"/>
    <w:rsid w:val="00BC0A42"/>
    <w:rsid w:val="00BC286A"/>
    <w:rsid w:val="00BC35D9"/>
    <w:rsid w:val="00BC3C65"/>
    <w:rsid w:val="00BC45E1"/>
    <w:rsid w:val="00BC471A"/>
    <w:rsid w:val="00BC52D2"/>
    <w:rsid w:val="00BC5FEE"/>
    <w:rsid w:val="00BC6152"/>
    <w:rsid w:val="00BC62C7"/>
    <w:rsid w:val="00BC6C9D"/>
    <w:rsid w:val="00BC6F58"/>
    <w:rsid w:val="00BD00C4"/>
    <w:rsid w:val="00BD07C7"/>
    <w:rsid w:val="00BD0E15"/>
    <w:rsid w:val="00BD1371"/>
    <w:rsid w:val="00BD14CE"/>
    <w:rsid w:val="00BD194D"/>
    <w:rsid w:val="00BD2421"/>
    <w:rsid w:val="00BD2506"/>
    <w:rsid w:val="00BD28F9"/>
    <w:rsid w:val="00BD2EF0"/>
    <w:rsid w:val="00BD3541"/>
    <w:rsid w:val="00BD4652"/>
    <w:rsid w:val="00BD4A2D"/>
    <w:rsid w:val="00BD4A8F"/>
    <w:rsid w:val="00BD4DE9"/>
    <w:rsid w:val="00BD513D"/>
    <w:rsid w:val="00BD525F"/>
    <w:rsid w:val="00BD5EDD"/>
    <w:rsid w:val="00BD62A2"/>
    <w:rsid w:val="00BD6A96"/>
    <w:rsid w:val="00BD6BF0"/>
    <w:rsid w:val="00BD74B1"/>
    <w:rsid w:val="00BD76C9"/>
    <w:rsid w:val="00BE0172"/>
    <w:rsid w:val="00BE037A"/>
    <w:rsid w:val="00BE0AF2"/>
    <w:rsid w:val="00BE0F38"/>
    <w:rsid w:val="00BE112A"/>
    <w:rsid w:val="00BE1561"/>
    <w:rsid w:val="00BE17E6"/>
    <w:rsid w:val="00BE17EB"/>
    <w:rsid w:val="00BE187B"/>
    <w:rsid w:val="00BE1D6C"/>
    <w:rsid w:val="00BE27CF"/>
    <w:rsid w:val="00BE2C4B"/>
    <w:rsid w:val="00BE2D7E"/>
    <w:rsid w:val="00BE32B4"/>
    <w:rsid w:val="00BE3A56"/>
    <w:rsid w:val="00BE3EAD"/>
    <w:rsid w:val="00BE4084"/>
    <w:rsid w:val="00BE40C9"/>
    <w:rsid w:val="00BE4426"/>
    <w:rsid w:val="00BE4966"/>
    <w:rsid w:val="00BE5178"/>
    <w:rsid w:val="00BE540B"/>
    <w:rsid w:val="00BE6364"/>
    <w:rsid w:val="00BE6576"/>
    <w:rsid w:val="00BE6C1C"/>
    <w:rsid w:val="00BE7433"/>
    <w:rsid w:val="00BE7CB6"/>
    <w:rsid w:val="00BF048F"/>
    <w:rsid w:val="00BF062D"/>
    <w:rsid w:val="00BF0B8A"/>
    <w:rsid w:val="00BF0BF1"/>
    <w:rsid w:val="00BF0ED1"/>
    <w:rsid w:val="00BF0F92"/>
    <w:rsid w:val="00BF159A"/>
    <w:rsid w:val="00BF1A2A"/>
    <w:rsid w:val="00BF1A6B"/>
    <w:rsid w:val="00BF1EEF"/>
    <w:rsid w:val="00BF1FCA"/>
    <w:rsid w:val="00BF282B"/>
    <w:rsid w:val="00BF3924"/>
    <w:rsid w:val="00BF44FB"/>
    <w:rsid w:val="00BF5160"/>
    <w:rsid w:val="00BF6E43"/>
    <w:rsid w:val="00BF72CB"/>
    <w:rsid w:val="00BF7494"/>
    <w:rsid w:val="00BF7FF6"/>
    <w:rsid w:val="00C00270"/>
    <w:rsid w:val="00C00650"/>
    <w:rsid w:val="00C00E23"/>
    <w:rsid w:val="00C012C4"/>
    <w:rsid w:val="00C014C3"/>
    <w:rsid w:val="00C01507"/>
    <w:rsid w:val="00C021BB"/>
    <w:rsid w:val="00C026F9"/>
    <w:rsid w:val="00C028E5"/>
    <w:rsid w:val="00C02BBE"/>
    <w:rsid w:val="00C0331F"/>
    <w:rsid w:val="00C037A3"/>
    <w:rsid w:val="00C03932"/>
    <w:rsid w:val="00C03D86"/>
    <w:rsid w:val="00C04812"/>
    <w:rsid w:val="00C04D79"/>
    <w:rsid w:val="00C0626D"/>
    <w:rsid w:val="00C06879"/>
    <w:rsid w:val="00C06B98"/>
    <w:rsid w:val="00C06DE4"/>
    <w:rsid w:val="00C06E22"/>
    <w:rsid w:val="00C0702A"/>
    <w:rsid w:val="00C076B5"/>
    <w:rsid w:val="00C110FB"/>
    <w:rsid w:val="00C1171A"/>
    <w:rsid w:val="00C1312A"/>
    <w:rsid w:val="00C1340F"/>
    <w:rsid w:val="00C138FD"/>
    <w:rsid w:val="00C13AB4"/>
    <w:rsid w:val="00C13EFE"/>
    <w:rsid w:val="00C143CD"/>
    <w:rsid w:val="00C14B68"/>
    <w:rsid w:val="00C14FA2"/>
    <w:rsid w:val="00C15480"/>
    <w:rsid w:val="00C166E5"/>
    <w:rsid w:val="00C16980"/>
    <w:rsid w:val="00C16A27"/>
    <w:rsid w:val="00C17F02"/>
    <w:rsid w:val="00C204EF"/>
    <w:rsid w:val="00C20EE2"/>
    <w:rsid w:val="00C21013"/>
    <w:rsid w:val="00C21459"/>
    <w:rsid w:val="00C214B9"/>
    <w:rsid w:val="00C234F7"/>
    <w:rsid w:val="00C2365B"/>
    <w:rsid w:val="00C23824"/>
    <w:rsid w:val="00C23B84"/>
    <w:rsid w:val="00C24599"/>
    <w:rsid w:val="00C25FA6"/>
    <w:rsid w:val="00C264D9"/>
    <w:rsid w:val="00C2655A"/>
    <w:rsid w:val="00C266E4"/>
    <w:rsid w:val="00C269D6"/>
    <w:rsid w:val="00C26F6A"/>
    <w:rsid w:val="00C27E4A"/>
    <w:rsid w:val="00C30F83"/>
    <w:rsid w:val="00C31069"/>
    <w:rsid w:val="00C3126C"/>
    <w:rsid w:val="00C312F5"/>
    <w:rsid w:val="00C31354"/>
    <w:rsid w:val="00C3135E"/>
    <w:rsid w:val="00C319FB"/>
    <w:rsid w:val="00C31C5A"/>
    <w:rsid w:val="00C31EAC"/>
    <w:rsid w:val="00C325F4"/>
    <w:rsid w:val="00C3269C"/>
    <w:rsid w:val="00C335C6"/>
    <w:rsid w:val="00C342CA"/>
    <w:rsid w:val="00C34515"/>
    <w:rsid w:val="00C34A03"/>
    <w:rsid w:val="00C34D9A"/>
    <w:rsid w:val="00C34ECA"/>
    <w:rsid w:val="00C350DE"/>
    <w:rsid w:val="00C35396"/>
    <w:rsid w:val="00C3552E"/>
    <w:rsid w:val="00C35A85"/>
    <w:rsid w:val="00C35B4B"/>
    <w:rsid w:val="00C360A1"/>
    <w:rsid w:val="00C36498"/>
    <w:rsid w:val="00C36C08"/>
    <w:rsid w:val="00C36CF8"/>
    <w:rsid w:val="00C36FF2"/>
    <w:rsid w:val="00C37183"/>
    <w:rsid w:val="00C373FF"/>
    <w:rsid w:val="00C40B69"/>
    <w:rsid w:val="00C40C2A"/>
    <w:rsid w:val="00C40E5E"/>
    <w:rsid w:val="00C412AD"/>
    <w:rsid w:val="00C413B0"/>
    <w:rsid w:val="00C418F0"/>
    <w:rsid w:val="00C419F7"/>
    <w:rsid w:val="00C42040"/>
    <w:rsid w:val="00C42448"/>
    <w:rsid w:val="00C42A51"/>
    <w:rsid w:val="00C4313B"/>
    <w:rsid w:val="00C4316A"/>
    <w:rsid w:val="00C435AB"/>
    <w:rsid w:val="00C44016"/>
    <w:rsid w:val="00C4528C"/>
    <w:rsid w:val="00C45F01"/>
    <w:rsid w:val="00C4698C"/>
    <w:rsid w:val="00C46B5F"/>
    <w:rsid w:val="00C472FB"/>
    <w:rsid w:val="00C508AD"/>
    <w:rsid w:val="00C51434"/>
    <w:rsid w:val="00C516F1"/>
    <w:rsid w:val="00C51AE8"/>
    <w:rsid w:val="00C5207F"/>
    <w:rsid w:val="00C5231F"/>
    <w:rsid w:val="00C52604"/>
    <w:rsid w:val="00C52AC9"/>
    <w:rsid w:val="00C52D21"/>
    <w:rsid w:val="00C5317E"/>
    <w:rsid w:val="00C53FC7"/>
    <w:rsid w:val="00C540A5"/>
    <w:rsid w:val="00C548A9"/>
    <w:rsid w:val="00C54C93"/>
    <w:rsid w:val="00C5509F"/>
    <w:rsid w:val="00C5543B"/>
    <w:rsid w:val="00C55F27"/>
    <w:rsid w:val="00C56B88"/>
    <w:rsid w:val="00C573B1"/>
    <w:rsid w:val="00C57B64"/>
    <w:rsid w:val="00C600EE"/>
    <w:rsid w:val="00C60567"/>
    <w:rsid w:val="00C6069D"/>
    <w:rsid w:val="00C611F9"/>
    <w:rsid w:val="00C61C88"/>
    <w:rsid w:val="00C6294C"/>
    <w:rsid w:val="00C62B06"/>
    <w:rsid w:val="00C62DF8"/>
    <w:rsid w:val="00C62E03"/>
    <w:rsid w:val="00C6321D"/>
    <w:rsid w:val="00C64192"/>
    <w:rsid w:val="00C647CB"/>
    <w:rsid w:val="00C64B47"/>
    <w:rsid w:val="00C651FF"/>
    <w:rsid w:val="00C65B99"/>
    <w:rsid w:val="00C66A35"/>
    <w:rsid w:val="00C66BB7"/>
    <w:rsid w:val="00C67D33"/>
    <w:rsid w:val="00C70135"/>
    <w:rsid w:val="00C71A35"/>
    <w:rsid w:val="00C7235F"/>
    <w:rsid w:val="00C72D39"/>
    <w:rsid w:val="00C72EB7"/>
    <w:rsid w:val="00C7333C"/>
    <w:rsid w:val="00C7346F"/>
    <w:rsid w:val="00C7351D"/>
    <w:rsid w:val="00C73A25"/>
    <w:rsid w:val="00C73D60"/>
    <w:rsid w:val="00C73E33"/>
    <w:rsid w:val="00C747F2"/>
    <w:rsid w:val="00C74C56"/>
    <w:rsid w:val="00C752A5"/>
    <w:rsid w:val="00C752EB"/>
    <w:rsid w:val="00C75878"/>
    <w:rsid w:val="00C75BD1"/>
    <w:rsid w:val="00C76BBB"/>
    <w:rsid w:val="00C7713E"/>
    <w:rsid w:val="00C77212"/>
    <w:rsid w:val="00C776FE"/>
    <w:rsid w:val="00C779D4"/>
    <w:rsid w:val="00C77B57"/>
    <w:rsid w:val="00C77C0E"/>
    <w:rsid w:val="00C77F67"/>
    <w:rsid w:val="00C80094"/>
    <w:rsid w:val="00C80125"/>
    <w:rsid w:val="00C809C6"/>
    <w:rsid w:val="00C81430"/>
    <w:rsid w:val="00C823B7"/>
    <w:rsid w:val="00C833AB"/>
    <w:rsid w:val="00C83677"/>
    <w:rsid w:val="00C83899"/>
    <w:rsid w:val="00C85536"/>
    <w:rsid w:val="00C8569F"/>
    <w:rsid w:val="00C861EB"/>
    <w:rsid w:val="00C86377"/>
    <w:rsid w:val="00C86829"/>
    <w:rsid w:val="00C86A4F"/>
    <w:rsid w:val="00C86DA3"/>
    <w:rsid w:val="00C871F5"/>
    <w:rsid w:val="00C8735E"/>
    <w:rsid w:val="00C878EC"/>
    <w:rsid w:val="00C879EA"/>
    <w:rsid w:val="00C87C1A"/>
    <w:rsid w:val="00C87EBA"/>
    <w:rsid w:val="00C90FB0"/>
    <w:rsid w:val="00C911A9"/>
    <w:rsid w:val="00C9135D"/>
    <w:rsid w:val="00C914F8"/>
    <w:rsid w:val="00C9154B"/>
    <w:rsid w:val="00C9209C"/>
    <w:rsid w:val="00C92A01"/>
    <w:rsid w:val="00C9319C"/>
    <w:rsid w:val="00C935F6"/>
    <w:rsid w:val="00C93DD4"/>
    <w:rsid w:val="00C93ED0"/>
    <w:rsid w:val="00C9420E"/>
    <w:rsid w:val="00C95234"/>
    <w:rsid w:val="00C971B3"/>
    <w:rsid w:val="00C97715"/>
    <w:rsid w:val="00C9788C"/>
    <w:rsid w:val="00C97C59"/>
    <w:rsid w:val="00C97FC7"/>
    <w:rsid w:val="00CA047B"/>
    <w:rsid w:val="00CA06A9"/>
    <w:rsid w:val="00CA08E3"/>
    <w:rsid w:val="00CA0C2B"/>
    <w:rsid w:val="00CA1087"/>
    <w:rsid w:val="00CA12D5"/>
    <w:rsid w:val="00CA2734"/>
    <w:rsid w:val="00CA2E4E"/>
    <w:rsid w:val="00CA32B5"/>
    <w:rsid w:val="00CA3794"/>
    <w:rsid w:val="00CA37CC"/>
    <w:rsid w:val="00CA418B"/>
    <w:rsid w:val="00CA42DE"/>
    <w:rsid w:val="00CA52C0"/>
    <w:rsid w:val="00CA5922"/>
    <w:rsid w:val="00CA5C69"/>
    <w:rsid w:val="00CA6C2E"/>
    <w:rsid w:val="00CA7A1E"/>
    <w:rsid w:val="00CB0884"/>
    <w:rsid w:val="00CB12E9"/>
    <w:rsid w:val="00CB16E0"/>
    <w:rsid w:val="00CB1766"/>
    <w:rsid w:val="00CB1BC5"/>
    <w:rsid w:val="00CB1E90"/>
    <w:rsid w:val="00CB1EB4"/>
    <w:rsid w:val="00CB328F"/>
    <w:rsid w:val="00CB3573"/>
    <w:rsid w:val="00CB364D"/>
    <w:rsid w:val="00CB3A38"/>
    <w:rsid w:val="00CB3B10"/>
    <w:rsid w:val="00CB3FD0"/>
    <w:rsid w:val="00CB425D"/>
    <w:rsid w:val="00CB46B1"/>
    <w:rsid w:val="00CB4831"/>
    <w:rsid w:val="00CB5609"/>
    <w:rsid w:val="00CB5C51"/>
    <w:rsid w:val="00CB5DBA"/>
    <w:rsid w:val="00CB5FBD"/>
    <w:rsid w:val="00CB65DC"/>
    <w:rsid w:val="00CB6DC9"/>
    <w:rsid w:val="00CB7F2D"/>
    <w:rsid w:val="00CC10A8"/>
    <w:rsid w:val="00CC16EE"/>
    <w:rsid w:val="00CC1763"/>
    <w:rsid w:val="00CC21F6"/>
    <w:rsid w:val="00CC2600"/>
    <w:rsid w:val="00CC3F69"/>
    <w:rsid w:val="00CC4526"/>
    <w:rsid w:val="00CC4B0F"/>
    <w:rsid w:val="00CC4B86"/>
    <w:rsid w:val="00CC5A1A"/>
    <w:rsid w:val="00CC5EA6"/>
    <w:rsid w:val="00CC6B67"/>
    <w:rsid w:val="00CC6CE2"/>
    <w:rsid w:val="00CC6D02"/>
    <w:rsid w:val="00CC70C2"/>
    <w:rsid w:val="00CC71C7"/>
    <w:rsid w:val="00CC759C"/>
    <w:rsid w:val="00CD0363"/>
    <w:rsid w:val="00CD11A6"/>
    <w:rsid w:val="00CD171A"/>
    <w:rsid w:val="00CD18B3"/>
    <w:rsid w:val="00CD1CCA"/>
    <w:rsid w:val="00CD2B43"/>
    <w:rsid w:val="00CD2C7C"/>
    <w:rsid w:val="00CD33A6"/>
    <w:rsid w:val="00CD3886"/>
    <w:rsid w:val="00CD3D9B"/>
    <w:rsid w:val="00CD4E01"/>
    <w:rsid w:val="00CD4F9A"/>
    <w:rsid w:val="00CD5608"/>
    <w:rsid w:val="00CD679B"/>
    <w:rsid w:val="00CD6935"/>
    <w:rsid w:val="00CD6C34"/>
    <w:rsid w:val="00CD6C36"/>
    <w:rsid w:val="00CD7204"/>
    <w:rsid w:val="00CD7CC3"/>
    <w:rsid w:val="00CE0A6E"/>
    <w:rsid w:val="00CE113C"/>
    <w:rsid w:val="00CE1E9C"/>
    <w:rsid w:val="00CE1F89"/>
    <w:rsid w:val="00CE1F94"/>
    <w:rsid w:val="00CE2C20"/>
    <w:rsid w:val="00CE2C5F"/>
    <w:rsid w:val="00CE2CC9"/>
    <w:rsid w:val="00CE3FC9"/>
    <w:rsid w:val="00CE42F4"/>
    <w:rsid w:val="00CE47E8"/>
    <w:rsid w:val="00CE4877"/>
    <w:rsid w:val="00CE4C9B"/>
    <w:rsid w:val="00CE6109"/>
    <w:rsid w:val="00CE6260"/>
    <w:rsid w:val="00CE62A5"/>
    <w:rsid w:val="00CE633C"/>
    <w:rsid w:val="00CE6BD0"/>
    <w:rsid w:val="00CE6C1C"/>
    <w:rsid w:val="00CE7150"/>
    <w:rsid w:val="00CE7B3F"/>
    <w:rsid w:val="00CE7C81"/>
    <w:rsid w:val="00CF0386"/>
    <w:rsid w:val="00CF08B2"/>
    <w:rsid w:val="00CF0A1E"/>
    <w:rsid w:val="00CF0D83"/>
    <w:rsid w:val="00CF0EF2"/>
    <w:rsid w:val="00CF234B"/>
    <w:rsid w:val="00CF3400"/>
    <w:rsid w:val="00CF34B6"/>
    <w:rsid w:val="00CF3BB6"/>
    <w:rsid w:val="00CF40C5"/>
    <w:rsid w:val="00CF4357"/>
    <w:rsid w:val="00CF47E5"/>
    <w:rsid w:val="00CF5B2D"/>
    <w:rsid w:val="00CF5BB5"/>
    <w:rsid w:val="00CF6964"/>
    <w:rsid w:val="00CF69A6"/>
    <w:rsid w:val="00CF6AA3"/>
    <w:rsid w:val="00CF732A"/>
    <w:rsid w:val="00D00533"/>
    <w:rsid w:val="00D00540"/>
    <w:rsid w:val="00D0083A"/>
    <w:rsid w:val="00D0094E"/>
    <w:rsid w:val="00D009A8"/>
    <w:rsid w:val="00D00AA4"/>
    <w:rsid w:val="00D00E4F"/>
    <w:rsid w:val="00D00F77"/>
    <w:rsid w:val="00D01406"/>
    <w:rsid w:val="00D015A7"/>
    <w:rsid w:val="00D015CB"/>
    <w:rsid w:val="00D01ABC"/>
    <w:rsid w:val="00D01D87"/>
    <w:rsid w:val="00D0250E"/>
    <w:rsid w:val="00D041BB"/>
    <w:rsid w:val="00D0423A"/>
    <w:rsid w:val="00D048C7"/>
    <w:rsid w:val="00D04A90"/>
    <w:rsid w:val="00D05C02"/>
    <w:rsid w:val="00D05D7C"/>
    <w:rsid w:val="00D06573"/>
    <w:rsid w:val="00D06989"/>
    <w:rsid w:val="00D06EF2"/>
    <w:rsid w:val="00D07131"/>
    <w:rsid w:val="00D07526"/>
    <w:rsid w:val="00D07E3B"/>
    <w:rsid w:val="00D10705"/>
    <w:rsid w:val="00D11276"/>
    <w:rsid w:val="00D1233D"/>
    <w:rsid w:val="00D123CF"/>
    <w:rsid w:val="00D127DF"/>
    <w:rsid w:val="00D1308F"/>
    <w:rsid w:val="00D130E2"/>
    <w:rsid w:val="00D13678"/>
    <w:rsid w:val="00D1460D"/>
    <w:rsid w:val="00D148E4"/>
    <w:rsid w:val="00D14B1E"/>
    <w:rsid w:val="00D14DCC"/>
    <w:rsid w:val="00D150F9"/>
    <w:rsid w:val="00D152F0"/>
    <w:rsid w:val="00D1550B"/>
    <w:rsid w:val="00D15858"/>
    <w:rsid w:val="00D165A5"/>
    <w:rsid w:val="00D166CC"/>
    <w:rsid w:val="00D17E05"/>
    <w:rsid w:val="00D17F23"/>
    <w:rsid w:val="00D2058A"/>
    <w:rsid w:val="00D207B2"/>
    <w:rsid w:val="00D2106D"/>
    <w:rsid w:val="00D216CF"/>
    <w:rsid w:val="00D220F4"/>
    <w:rsid w:val="00D22B49"/>
    <w:rsid w:val="00D22C80"/>
    <w:rsid w:val="00D23867"/>
    <w:rsid w:val="00D23F60"/>
    <w:rsid w:val="00D240C0"/>
    <w:rsid w:val="00D24A6C"/>
    <w:rsid w:val="00D24AC2"/>
    <w:rsid w:val="00D250F6"/>
    <w:rsid w:val="00D2514B"/>
    <w:rsid w:val="00D25A76"/>
    <w:rsid w:val="00D2692A"/>
    <w:rsid w:val="00D278F4"/>
    <w:rsid w:val="00D27C28"/>
    <w:rsid w:val="00D27E31"/>
    <w:rsid w:val="00D308D8"/>
    <w:rsid w:val="00D31186"/>
    <w:rsid w:val="00D311F7"/>
    <w:rsid w:val="00D318AF"/>
    <w:rsid w:val="00D322C3"/>
    <w:rsid w:val="00D32350"/>
    <w:rsid w:val="00D32B0E"/>
    <w:rsid w:val="00D3344A"/>
    <w:rsid w:val="00D3355A"/>
    <w:rsid w:val="00D33AB7"/>
    <w:rsid w:val="00D34CA3"/>
    <w:rsid w:val="00D35AA2"/>
    <w:rsid w:val="00D35BC0"/>
    <w:rsid w:val="00D36218"/>
    <w:rsid w:val="00D362BE"/>
    <w:rsid w:val="00D36BE9"/>
    <w:rsid w:val="00D3722A"/>
    <w:rsid w:val="00D37579"/>
    <w:rsid w:val="00D379CE"/>
    <w:rsid w:val="00D4006F"/>
    <w:rsid w:val="00D4068D"/>
    <w:rsid w:val="00D40B0A"/>
    <w:rsid w:val="00D42ACE"/>
    <w:rsid w:val="00D43569"/>
    <w:rsid w:val="00D43F58"/>
    <w:rsid w:val="00D43FC2"/>
    <w:rsid w:val="00D4457A"/>
    <w:rsid w:val="00D44932"/>
    <w:rsid w:val="00D44AF1"/>
    <w:rsid w:val="00D45734"/>
    <w:rsid w:val="00D45F69"/>
    <w:rsid w:val="00D46162"/>
    <w:rsid w:val="00D46172"/>
    <w:rsid w:val="00D46610"/>
    <w:rsid w:val="00D46632"/>
    <w:rsid w:val="00D46D5A"/>
    <w:rsid w:val="00D46E9D"/>
    <w:rsid w:val="00D47282"/>
    <w:rsid w:val="00D4779F"/>
    <w:rsid w:val="00D47829"/>
    <w:rsid w:val="00D47B29"/>
    <w:rsid w:val="00D47E7C"/>
    <w:rsid w:val="00D47EF5"/>
    <w:rsid w:val="00D50AD1"/>
    <w:rsid w:val="00D517BD"/>
    <w:rsid w:val="00D542A9"/>
    <w:rsid w:val="00D54305"/>
    <w:rsid w:val="00D5443B"/>
    <w:rsid w:val="00D54789"/>
    <w:rsid w:val="00D54F6A"/>
    <w:rsid w:val="00D54FAC"/>
    <w:rsid w:val="00D5501F"/>
    <w:rsid w:val="00D55807"/>
    <w:rsid w:val="00D56540"/>
    <w:rsid w:val="00D56BA3"/>
    <w:rsid w:val="00D56D40"/>
    <w:rsid w:val="00D56D87"/>
    <w:rsid w:val="00D57104"/>
    <w:rsid w:val="00D57242"/>
    <w:rsid w:val="00D57F64"/>
    <w:rsid w:val="00D57FAB"/>
    <w:rsid w:val="00D57FD7"/>
    <w:rsid w:val="00D604C4"/>
    <w:rsid w:val="00D605E1"/>
    <w:rsid w:val="00D60C3B"/>
    <w:rsid w:val="00D624DF"/>
    <w:rsid w:val="00D62550"/>
    <w:rsid w:val="00D62693"/>
    <w:rsid w:val="00D635F6"/>
    <w:rsid w:val="00D63645"/>
    <w:rsid w:val="00D63929"/>
    <w:rsid w:val="00D63C1C"/>
    <w:rsid w:val="00D63DC1"/>
    <w:rsid w:val="00D63E1C"/>
    <w:rsid w:val="00D6421D"/>
    <w:rsid w:val="00D645E0"/>
    <w:rsid w:val="00D65124"/>
    <w:rsid w:val="00D65231"/>
    <w:rsid w:val="00D65507"/>
    <w:rsid w:val="00D656B6"/>
    <w:rsid w:val="00D6599A"/>
    <w:rsid w:val="00D65B73"/>
    <w:rsid w:val="00D65E7D"/>
    <w:rsid w:val="00D660C7"/>
    <w:rsid w:val="00D66534"/>
    <w:rsid w:val="00D66977"/>
    <w:rsid w:val="00D669A4"/>
    <w:rsid w:val="00D66E91"/>
    <w:rsid w:val="00D66EFA"/>
    <w:rsid w:val="00D675FE"/>
    <w:rsid w:val="00D679B1"/>
    <w:rsid w:val="00D67C8A"/>
    <w:rsid w:val="00D704A2"/>
    <w:rsid w:val="00D709B7"/>
    <w:rsid w:val="00D71211"/>
    <w:rsid w:val="00D7143F"/>
    <w:rsid w:val="00D72409"/>
    <w:rsid w:val="00D72A0C"/>
    <w:rsid w:val="00D72AD0"/>
    <w:rsid w:val="00D72F4D"/>
    <w:rsid w:val="00D73033"/>
    <w:rsid w:val="00D73621"/>
    <w:rsid w:val="00D73785"/>
    <w:rsid w:val="00D74162"/>
    <w:rsid w:val="00D74745"/>
    <w:rsid w:val="00D74857"/>
    <w:rsid w:val="00D74B58"/>
    <w:rsid w:val="00D7507B"/>
    <w:rsid w:val="00D7557F"/>
    <w:rsid w:val="00D75794"/>
    <w:rsid w:val="00D75BC9"/>
    <w:rsid w:val="00D75CC0"/>
    <w:rsid w:val="00D77016"/>
    <w:rsid w:val="00D77153"/>
    <w:rsid w:val="00D77953"/>
    <w:rsid w:val="00D77B31"/>
    <w:rsid w:val="00D77D62"/>
    <w:rsid w:val="00D8028D"/>
    <w:rsid w:val="00D80B5C"/>
    <w:rsid w:val="00D81BB1"/>
    <w:rsid w:val="00D83554"/>
    <w:rsid w:val="00D84D29"/>
    <w:rsid w:val="00D84F6A"/>
    <w:rsid w:val="00D8506B"/>
    <w:rsid w:val="00D855D0"/>
    <w:rsid w:val="00D85A8B"/>
    <w:rsid w:val="00D86ADC"/>
    <w:rsid w:val="00D876CD"/>
    <w:rsid w:val="00D90124"/>
    <w:rsid w:val="00D90791"/>
    <w:rsid w:val="00D90A08"/>
    <w:rsid w:val="00D90F27"/>
    <w:rsid w:val="00D90F8B"/>
    <w:rsid w:val="00D9114E"/>
    <w:rsid w:val="00D91524"/>
    <w:rsid w:val="00D9171F"/>
    <w:rsid w:val="00D91C1A"/>
    <w:rsid w:val="00D928A3"/>
    <w:rsid w:val="00D9350D"/>
    <w:rsid w:val="00D93A74"/>
    <w:rsid w:val="00D9440E"/>
    <w:rsid w:val="00D94DD6"/>
    <w:rsid w:val="00D9526D"/>
    <w:rsid w:val="00D95433"/>
    <w:rsid w:val="00D95689"/>
    <w:rsid w:val="00D956B6"/>
    <w:rsid w:val="00D95EF6"/>
    <w:rsid w:val="00D95F43"/>
    <w:rsid w:val="00D961DA"/>
    <w:rsid w:val="00D9772E"/>
    <w:rsid w:val="00DA07B1"/>
    <w:rsid w:val="00DA0DC8"/>
    <w:rsid w:val="00DA1481"/>
    <w:rsid w:val="00DA17B0"/>
    <w:rsid w:val="00DA2689"/>
    <w:rsid w:val="00DA27C6"/>
    <w:rsid w:val="00DA2C00"/>
    <w:rsid w:val="00DA33EC"/>
    <w:rsid w:val="00DA3B79"/>
    <w:rsid w:val="00DA3F09"/>
    <w:rsid w:val="00DA48B0"/>
    <w:rsid w:val="00DA4E90"/>
    <w:rsid w:val="00DA5BA5"/>
    <w:rsid w:val="00DA5E1F"/>
    <w:rsid w:val="00DA65BB"/>
    <w:rsid w:val="00DA6756"/>
    <w:rsid w:val="00DA6D82"/>
    <w:rsid w:val="00DA70A5"/>
    <w:rsid w:val="00DA71AF"/>
    <w:rsid w:val="00DA74AE"/>
    <w:rsid w:val="00DA77D0"/>
    <w:rsid w:val="00DA7E29"/>
    <w:rsid w:val="00DB06D2"/>
    <w:rsid w:val="00DB1330"/>
    <w:rsid w:val="00DB169C"/>
    <w:rsid w:val="00DB180E"/>
    <w:rsid w:val="00DB19FA"/>
    <w:rsid w:val="00DB21E9"/>
    <w:rsid w:val="00DB25CD"/>
    <w:rsid w:val="00DB27AF"/>
    <w:rsid w:val="00DB292F"/>
    <w:rsid w:val="00DB3608"/>
    <w:rsid w:val="00DB3966"/>
    <w:rsid w:val="00DB3F0F"/>
    <w:rsid w:val="00DB4D5B"/>
    <w:rsid w:val="00DB597B"/>
    <w:rsid w:val="00DB5A3F"/>
    <w:rsid w:val="00DB6199"/>
    <w:rsid w:val="00DB6496"/>
    <w:rsid w:val="00DB78EC"/>
    <w:rsid w:val="00DB7EAE"/>
    <w:rsid w:val="00DC0112"/>
    <w:rsid w:val="00DC01B2"/>
    <w:rsid w:val="00DC124A"/>
    <w:rsid w:val="00DC1B8E"/>
    <w:rsid w:val="00DC1BD9"/>
    <w:rsid w:val="00DC1FC3"/>
    <w:rsid w:val="00DC2393"/>
    <w:rsid w:val="00DC23B0"/>
    <w:rsid w:val="00DC2400"/>
    <w:rsid w:val="00DC246B"/>
    <w:rsid w:val="00DC2998"/>
    <w:rsid w:val="00DC2AD7"/>
    <w:rsid w:val="00DC2CDA"/>
    <w:rsid w:val="00DC3655"/>
    <w:rsid w:val="00DC49A0"/>
    <w:rsid w:val="00DC54DF"/>
    <w:rsid w:val="00DC5A4C"/>
    <w:rsid w:val="00DC6443"/>
    <w:rsid w:val="00DC68D3"/>
    <w:rsid w:val="00DC6EBF"/>
    <w:rsid w:val="00DD0581"/>
    <w:rsid w:val="00DD085F"/>
    <w:rsid w:val="00DD1761"/>
    <w:rsid w:val="00DD19C3"/>
    <w:rsid w:val="00DD273A"/>
    <w:rsid w:val="00DD2EE7"/>
    <w:rsid w:val="00DD3483"/>
    <w:rsid w:val="00DD40A3"/>
    <w:rsid w:val="00DD4C6C"/>
    <w:rsid w:val="00DD4D17"/>
    <w:rsid w:val="00DD5846"/>
    <w:rsid w:val="00DD620A"/>
    <w:rsid w:val="00DD65CF"/>
    <w:rsid w:val="00DD6AAC"/>
    <w:rsid w:val="00DD6F71"/>
    <w:rsid w:val="00DD7392"/>
    <w:rsid w:val="00DD7C97"/>
    <w:rsid w:val="00DE0462"/>
    <w:rsid w:val="00DE0888"/>
    <w:rsid w:val="00DE10A6"/>
    <w:rsid w:val="00DE11D6"/>
    <w:rsid w:val="00DE1AEE"/>
    <w:rsid w:val="00DE2212"/>
    <w:rsid w:val="00DE2457"/>
    <w:rsid w:val="00DE2796"/>
    <w:rsid w:val="00DE2C8D"/>
    <w:rsid w:val="00DE36B6"/>
    <w:rsid w:val="00DE4021"/>
    <w:rsid w:val="00DE4278"/>
    <w:rsid w:val="00DE5E69"/>
    <w:rsid w:val="00DE6107"/>
    <w:rsid w:val="00DE610C"/>
    <w:rsid w:val="00DE6776"/>
    <w:rsid w:val="00DE6C81"/>
    <w:rsid w:val="00DE7B73"/>
    <w:rsid w:val="00DE7CEB"/>
    <w:rsid w:val="00DE7F13"/>
    <w:rsid w:val="00DF0396"/>
    <w:rsid w:val="00DF06C4"/>
    <w:rsid w:val="00DF090E"/>
    <w:rsid w:val="00DF0C8E"/>
    <w:rsid w:val="00DF0E4D"/>
    <w:rsid w:val="00DF1212"/>
    <w:rsid w:val="00DF12DD"/>
    <w:rsid w:val="00DF16E3"/>
    <w:rsid w:val="00DF1A38"/>
    <w:rsid w:val="00DF1CAA"/>
    <w:rsid w:val="00DF234C"/>
    <w:rsid w:val="00DF2530"/>
    <w:rsid w:val="00DF2C09"/>
    <w:rsid w:val="00DF2FFE"/>
    <w:rsid w:val="00DF3A31"/>
    <w:rsid w:val="00DF3DDB"/>
    <w:rsid w:val="00DF563C"/>
    <w:rsid w:val="00DF5D6C"/>
    <w:rsid w:val="00DF631D"/>
    <w:rsid w:val="00DF6C1A"/>
    <w:rsid w:val="00DF6C2D"/>
    <w:rsid w:val="00DF6D88"/>
    <w:rsid w:val="00DF74F4"/>
    <w:rsid w:val="00DF752A"/>
    <w:rsid w:val="00E00415"/>
    <w:rsid w:val="00E010DC"/>
    <w:rsid w:val="00E0165D"/>
    <w:rsid w:val="00E01D4D"/>
    <w:rsid w:val="00E02894"/>
    <w:rsid w:val="00E028C1"/>
    <w:rsid w:val="00E02941"/>
    <w:rsid w:val="00E03081"/>
    <w:rsid w:val="00E03094"/>
    <w:rsid w:val="00E03B96"/>
    <w:rsid w:val="00E03BA2"/>
    <w:rsid w:val="00E03FAB"/>
    <w:rsid w:val="00E04119"/>
    <w:rsid w:val="00E04231"/>
    <w:rsid w:val="00E04A8B"/>
    <w:rsid w:val="00E04B64"/>
    <w:rsid w:val="00E05816"/>
    <w:rsid w:val="00E0592D"/>
    <w:rsid w:val="00E059E0"/>
    <w:rsid w:val="00E05B90"/>
    <w:rsid w:val="00E05BF7"/>
    <w:rsid w:val="00E06224"/>
    <w:rsid w:val="00E06316"/>
    <w:rsid w:val="00E06B80"/>
    <w:rsid w:val="00E06E46"/>
    <w:rsid w:val="00E0787E"/>
    <w:rsid w:val="00E10E16"/>
    <w:rsid w:val="00E10EA2"/>
    <w:rsid w:val="00E10F8D"/>
    <w:rsid w:val="00E11171"/>
    <w:rsid w:val="00E112C9"/>
    <w:rsid w:val="00E114D9"/>
    <w:rsid w:val="00E11EF2"/>
    <w:rsid w:val="00E11FDF"/>
    <w:rsid w:val="00E12004"/>
    <w:rsid w:val="00E126BB"/>
    <w:rsid w:val="00E126F6"/>
    <w:rsid w:val="00E1305B"/>
    <w:rsid w:val="00E13069"/>
    <w:rsid w:val="00E13402"/>
    <w:rsid w:val="00E134A9"/>
    <w:rsid w:val="00E135F9"/>
    <w:rsid w:val="00E13649"/>
    <w:rsid w:val="00E136F7"/>
    <w:rsid w:val="00E13771"/>
    <w:rsid w:val="00E13D6B"/>
    <w:rsid w:val="00E140FF"/>
    <w:rsid w:val="00E14AED"/>
    <w:rsid w:val="00E14D31"/>
    <w:rsid w:val="00E150E0"/>
    <w:rsid w:val="00E155F6"/>
    <w:rsid w:val="00E167A2"/>
    <w:rsid w:val="00E16B4A"/>
    <w:rsid w:val="00E17534"/>
    <w:rsid w:val="00E17AB3"/>
    <w:rsid w:val="00E20C2E"/>
    <w:rsid w:val="00E2108D"/>
    <w:rsid w:val="00E214F0"/>
    <w:rsid w:val="00E218A3"/>
    <w:rsid w:val="00E21F9F"/>
    <w:rsid w:val="00E220EA"/>
    <w:rsid w:val="00E2262C"/>
    <w:rsid w:val="00E2294C"/>
    <w:rsid w:val="00E22E16"/>
    <w:rsid w:val="00E23054"/>
    <w:rsid w:val="00E2320D"/>
    <w:rsid w:val="00E236F6"/>
    <w:rsid w:val="00E237A8"/>
    <w:rsid w:val="00E23C15"/>
    <w:rsid w:val="00E23C73"/>
    <w:rsid w:val="00E24A7C"/>
    <w:rsid w:val="00E24D59"/>
    <w:rsid w:val="00E24F7C"/>
    <w:rsid w:val="00E25852"/>
    <w:rsid w:val="00E259D4"/>
    <w:rsid w:val="00E25B67"/>
    <w:rsid w:val="00E25F3E"/>
    <w:rsid w:val="00E25FDB"/>
    <w:rsid w:val="00E26152"/>
    <w:rsid w:val="00E267CF"/>
    <w:rsid w:val="00E26DDA"/>
    <w:rsid w:val="00E27379"/>
    <w:rsid w:val="00E30009"/>
    <w:rsid w:val="00E30A6C"/>
    <w:rsid w:val="00E30B9B"/>
    <w:rsid w:val="00E30FF3"/>
    <w:rsid w:val="00E3151F"/>
    <w:rsid w:val="00E31BA9"/>
    <w:rsid w:val="00E31C80"/>
    <w:rsid w:val="00E31DD1"/>
    <w:rsid w:val="00E31E1C"/>
    <w:rsid w:val="00E31E48"/>
    <w:rsid w:val="00E32CB6"/>
    <w:rsid w:val="00E3334E"/>
    <w:rsid w:val="00E337C4"/>
    <w:rsid w:val="00E337E8"/>
    <w:rsid w:val="00E33990"/>
    <w:rsid w:val="00E339C0"/>
    <w:rsid w:val="00E33A8F"/>
    <w:rsid w:val="00E33AE6"/>
    <w:rsid w:val="00E33EC0"/>
    <w:rsid w:val="00E34274"/>
    <w:rsid w:val="00E34814"/>
    <w:rsid w:val="00E3485E"/>
    <w:rsid w:val="00E34AA2"/>
    <w:rsid w:val="00E34E43"/>
    <w:rsid w:val="00E353B2"/>
    <w:rsid w:val="00E35486"/>
    <w:rsid w:val="00E35A3A"/>
    <w:rsid w:val="00E36AD6"/>
    <w:rsid w:val="00E3737C"/>
    <w:rsid w:val="00E379DE"/>
    <w:rsid w:val="00E37FAF"/>
    <w:rsid w:val="00E4090B"/>
    <w:rsid w:val="00E4098C"/>
    <w:rsid w:val="00E40ABB"/>
    <w:rsid w:val="00E412A9"/>
    <w:rsid w:val="00E4166F"/>
    <w:rsid w:val="00E416FB"/>
    <w:rsid w:val="00E419BD"/>
    <w:rsid w:val="00E41F06"/>
    <w:rsid w:val="00E422DC"/>
    <w:rsid w:val="00E42314"/>
    <w:rsid w:val="00E42827"/>
    <w:rsid w:val="00E42B30"/>
    <w:rsid w:val="00E42DA2"/>
    <w:rsid w:val="00E444F3"/>
    <w:rsid w:val="00E447FE"/>
    <w:rsid w:val="00E44CAD"/>
    <w:rsid w:val="00E457DA"/>
    <w:rsid w:val="00E4596A"/>
    <w:rsid w:val="00E45E6B"/>
    <w:rsid w:val="00E465FE"/>
    <w:rsid w:val="00E46B19"/>
    <w:rsid w:val="00E476B7"/>
    <w:rsid w:val="00E47A35"/>
    <w:rsid w:val="00E47A7A"/>
    <w:rsid w:val="00E47BA8"/>
    <w:rsid w:val="00E50167"/>
    <w:rsid w:val="00E5087A"/>
    <w:rsid w:val="00E5097C"/>
    <w:rsid w:val="00E50EAA"/>
    <w:rsid w:val="00E513DE"/>
    <w:rsid w:val="00E51879"/>
    <w:rsid w:val="00E51DDA"/>
    <w:rsid w:val="00E52A08"/>
    <w:rsid w:val="00E5361B"/>
    <w:rsid w:val="00E5366E"/>
    <w:rsid w:val="00E537AB"/>
    <w:rsid w:val="00E544E3"/>
    <w:rsid w:val="00E54925"/>
    <w:rsid w:val="00E5566F"/>
    <w:rsid w:val="00E5699C"/>
    <w:rsid w:val="00E57188"/>
    <w:rsid w:val="00E604A4"/>
    <w:rsid w:val="00E609FD"/>
    <w:rsid w:val="00E61C4E"/>
    <w:rsid w:val="00E62147"/>
    <w:rsid w:val="00E629E6"/>
    <w:rsid w:val="00E62C75"/>
    <w:rsid w:val="00E62F93"/>
    <w:rsid w:val="00E631DE"/>
    <w:rsid w:val="00E633BE"/>
    <w:rsid w:val="00E635C2"/>
    <w:rsid w:val="00E6371C"/>
    <w:rsid w:val="00E63872"/>
    <w:rsid w:val="00E63C6C"/>
    <w:rsid w:val="00E63F87"/>
    <w:rsid w:val="00E6527E"/>
    <w:rsid w:val="00E65A41"/>
    <w:rsid w:val="00E665CB"/>
    <w:rsid w:val="00E70259"/>
    <w:rsid w:val="00E70C65"/>
    <w:rsid w:val="00E710C9"/>
    <w:rsid w:val="00E71666"/>
    <w:rsid w:val="00E71676"/>
    <w:rsid w:val="00E71AD4"/>
    <w:rsid w:val="00E71BFF"/>
    <w:rsid w:val="00E71C69"/>
    <w:rsid w:val="00E724E4"/>
    <w:rsid w:val="00E72EEB"/>
    <w:rsid w:val="00E73155"/>
    <w:rsid w:val="00E73312"/>
    <w:rsid w:val="00E735D4"/>
    <w:rsid w:val="00E73AFD"/>
    <w:rsid w:val="00E7411D"/>
    <w:rsid w:val="00E7483A"/>
    <w:rsid w:val="00E7525A"/>
    <w:rsid w:val="00E76205"/>
    <w:rsid w:val="00E7637E"/>
    <w:rsid w:val="00E76439"/>
    <w:rsid w:val="00E76936"/>
    <w:rsid w:val="00E76CBC"/>
    <w:rsid w:val="00E77415"/>
    <w:rsid w:val="00E778EC"/>
    <w:rsid w:val="00E77D98"/>
    <w:rsid w:val="00E77EE6"/>
    <w:rsid w:val="00E80317"/>
    <w:rsid w:val="00E80877"/>
    <w:rsid w:val="00E810DA"/>
    <w:rsid w:val="00E81377"/>
    <w:rsid w:val="00E81E0D"/>
    <w:rsid w:val="00E829B0"/>
    <w:rsid w:val="00E829FE"/>
    <w:rsid w:val="00E82ABB"/>
    <w:rsid w:val="00E82B29"/>
    <w:rsid w:val="00E82B62"/>
    <w:rsid w:val="00E83021"/>
    <w:rsid w:val="00E83148"/>
    <w:rsid w:val="00E841D8"/>
    <w:rsid w:val="00E84E02"/>
    <w:rsid w:val="00E84E5C"/>
    <w:rsid w:val="00E850A8"/>
    <w:rsid w:val="00E85588"/>
    <w:rsid w:val="00E858D9"/>
    <w:rsid w:val="00E85DC1"/>
    <w:rsid w:val="00E862F4"/>
    <w:rsid w:val="00E864F0"/>
    <w:rsid w:val="00E8666E"/>
    <w:rsid w:val="00E86D33"/>
    <w:rsid w:val="00E9032B"/>
    <w:rsid w:val="00E90393"/>
    <w:rsid w:val="00E90B5E"/>
    <w:rsid w:val="00E91579"/>
    <w:rsid w:val="00E91640"/>
    <w:rsid w:val="00E92BD9"/>
    <w:rsid w:val="00E92DE1"/>
    <w:rsid w:val="00E936A7"/>
    <w:rsid w:val="00E93717"/>
    <w:rsid w:val="00E94339"/>
    <w:rsid w:val="00E944FD"/>
    <w:rsid w:val="00E945F8"/>
    <w:rsid w:val="00E94CF9"/>
    <w:rsid w:val="00E94FA2"/>
    <w:rsid w:val="00E94FDF"/>
    <w:rsid w:val="00E9546A"/>
    <w:rsid w:val="00E95546"/>
    <w:rsid w:val="00E95563"/>
    <w:rsid w:val="00E96188"/>
    <w:rsid w:val="00E97CCA"/>
    <w:rsid w:val="00E97E2B"/>
    <w:rsid w:val="00EA015C"/>
    <w:rsid w:val="00EA0177"/>
    <w:rsid w:val="00EA07F0"/>
    <w:rsid w:val="00EA0D5B"/>
    <w:rsid w:val="00EA0D76"/>
    <w:rsid w:val="00EA1578"/>
    <w:rsid w:val="00EA224E"/>
    <w:rsid w:val="00EA3FF6"/>
    <w:rsid w:val="00EA5683"/>
    <w:rsid w:val="00EA6DC0"/>
    <w:rsid w:val="00EA7FBE"/>
    <w:rsid w:val="00EB0C5B"/>
    <w:rsid w:val="00EB1185"/>
    <w:rsid w:val="00EB159B"/>
    <w:rsid w:val="00EB2033"/>
    <w:rsid w:val="00EB2481"/>
    <w:rsid w:val="00EB257B"/>
    <w:rsid w:val="00EB2A1F"/>
    <w:rsid w:val="00EB2D88"/>
    <w:rsid w:val="00EB370F"/>
    <w:rsid w:val="00EB404A"/>
    <w:rsid w:val="00EB44D2"/>
    <w:rsid w:val="00EB4BE5"/>
    <w:rsid w:val="00EB5234"/>
    <w:rsid w:val="00EB52CC"/>
    <w:rsid w:val="00EB610E"/>
    <w:rsid w:val="00EB6335"/>
    <w:rsid w:val="00EB722E"/>
    <w:rsid w:val="00EB733C"/>
    <w:rsid w:val="00EB7C4F"/>
    <w:rsid w:val="00EC091F"/>
    <w:rsid w:val="00EC0E72"/>
    <w:rsid w:val="00EC12AF"/>
    <w:rsid w:val="00EC1BE7"/>
    <w:rsid w:val="00EC2028"/>
    <w:rsid w:val="00EC2317"/>
    <w:rsid w:val="00EC25BA"/>
    <w:rsid w:val="00EC2990"/>
    <w:rsid w:val="00EC2A4D"/>
    <w:rsid w:val="00EC3301"/>
    <w:rsid w:val="00EC340D"/>
    <w:rsid w:val="00EC348F"/>
    <w:rsid w:val="00EC376C"/>
    <w:rsid w:val="00EC3CE7"/>
    <w:rsid w:val="00EC43F0"/>
    <w:rsid w:val="00EC4BBD"/>
    <w:rsid w:val="00EC4E0E"/>
    <w:rsid w:val="00EC4EC1"/>
    <w:rsid w:val="00EC4FBB"/>
    <w:rsid w:val="00EC55F9"/>
    <w:rsid w:val="00EC6001"/>
    <w:rsid w:val="00EC61E5"/>
    <w:rsid w:val="00EC63BD"/>
    <w:rsid w:val="00EC6533"/>
    <w:rsid w:val="00EC6654"/>
    <w:rsid w:val="00EC67A3"/>
    <w:rsid w:val="00EC6FC0"/>
    <w:rsid w:val="00EC7EEF"/>
    <w:rsid w:val="00ED0D0F"/>
    <w:rsid w:val="00ED0E87"/>
    <w:rsid w:val="00ED1037"/>
    <w:rsid w:val="00ED11BA"/>
    <w:rsid w:val="00ED1575"/>
    <w:rsid w:val="00ED1764"/>
    <w:rsid w:val="00ED19B7"/>
    <w:rsid w:val="00ED200B"/>
    <w:rsid w:val="00ED2520"/>
    <w:rsid w:val="00ED2E12"/>
    <w:rsid w:val="00ED3C62"/>
    <w:rsid w:val="00ED3EDC"/>
    <w:rsid w:val="00ED4F03"/>
    <w:rsid w:val="00ED52B2"/>
    <w:rsid w:val="00ED54B4"/>
    <w:rsid w:val="00ED552A"/>
    <w:rsid w:val="00ED56DC"/>
    <w:rsid w:val="00ED6F74"/>
    <w:rsid w:val="00ED7038"/>
    <w:rsid w:val="00ED76DC"/>
    <w:rsid w:val="00ED7D19"/>
    <w:rsid w:val="00ED7F87"/>
    <w:rsid w:val="00EE094E"/>
    <w:rsid w:val="00EE0ADC"/>
    <w:rsid w:val="00EE173D"/>
    <w:rsid w:val="00EE1BE8"/>
    <w:rsid w:val="00EE231A"/>
    <w:rsid w:val="00EE24D6"/>
    <w:rsid w:val="00EE289F"/>
    <w:rsid w:val="00EE2B04"/>
    <w:rsid w:val="00EE3626"/>
    <w:rsid w:val="00EE3B13"/>
    <w:rsid w:val="00EE424C"/>
    <w:rsid w:val="00EE59C6"/>
    <w:rsid w:val="00EE69B9"/>
    <w:rsid w:val="00EE75E5"/>
    <w:rsid w:val="00EE76C8"/>
    <w:rsid w:val="00EF0066"/>
    <w:rsid w:val="00EF14B9"/>
    <w:rsid w:val="00EF1864"/>
    <w:rsid w:val="00EF26B4"/>
    <w:rsid w:val="00EF2732"/>
    <w:rsid w:val="00EF2A9D"/>
    <w:rsid w:val="00EF2BB9"/>
    <w:rsid w:val="00EF3131"/>
    <w:rsid w:val="00EF33BF"/>
    <w:rsid w:val="00EF41F1"/>
    <w:rsid w:val="00EF491E"/>
    <w:rsid w:val="00EF50F3"/>
    <w:rsid w:val="00EF5D14"/>
    <w:rsid w:val="00EF6828"/>
    <w:rsid w:val="00EF6E6D"/>
    <w:rsid w:val="00EF6EAC"/>
    <w:rsid w:val="00EF775A"/>
    <w:rsid w:val="00EF7A66"/>
    <w:rsid w:val="00EF7D2B"/>
    <w:rsid w:val="00F00020"/>
    <w:rsid w:val="00F00B05"/>
    <w:rsid w:val="00F00DA4"/>
    <w:rsid w:val="00F01A7F"/>
    <w:rsid w:val="00F0227A"/>
    <w:rsid w:val="00F02E36"/>
    <w:rsid w:val="00F03426"/>
    <w:rsid w:val="00F036BA"/>
    <w:rsid w:val="00F036E9"/>
    <w:rsid w:val="00F03C4D"/>
    <w:rsid w:val="00F03CE3"/>
    <w:rsid w:val="00F04655"/>
    <w:rsid w:val="00F04707"/>
    <w:rsid w:val="00F04ACD"/>
    <w:rsid w:val="00F04D5B"/>
    <w:rsid w:val="00F04E23"/>
    <w:rsid w:val="00F0536F"/>
    <w:rsid w:val="00F0539D"/>
    <w:rsid w:val="00F0571B"/>
    <w:rsid w:val="00F062AE"/>
    <w:rsid w:val="00F0635E"/>
    <w:rsid w:val="00F071CC"/>
    <w:rsid w:val="00F07867"/>
    <w:rsid w:val="00F10181"/>
    <w:rsid w:val="00F107A8"/>
    <w:rsid w:val="00F10F01"/>
    <w:rsid w:val="00F110F6"/>
    <w:rsid w:val="00F111F9"/>
    <w:rsid w:val="00F115DB"/>
    <w:rsid w:val="00F11D6E"/>
    <w:rsid w:val="00F122E7"/>
    <w:rsid w:val="00F135FA"/>
    <w:rsid w:val="00F13671"/>
    <w:rsid w:val="00F13D28"/>
    <w:rsid w:val="00F1428B"/>
    <w:rsid w:val="00F14BA7"/>
    <w:rsid w:val="00F152B2"/>
    <w:rsid w:val="00F15343"/>
    <w:rsid w:val="00F1567A"/>
    <w:rsid w:val="00F15DE4"/>
    <w:rsid w:val="00F16949"/>
    <w:rsid w:val="00F16D8C"/>
    <w:rsid w:val="00F177AD"/>
    <w:rsid w:val="00F17C72"/>
    <w:rsid w:val="00F17D2D"/>
    <w:rsid w:val="00F201D4"/>
    <w:rsid w:val="00F20894"/>
    <w:rsid w:val="00F20D29"/>
    <w:rsid w:val="00F20D34"/>
    <w:rsid w:val="00F2115A"/>
    <w:rsid w:val="00F22383"/>
    <w:rsid w:val="00F2241D"/>
    <w:rsid w:val="00F22AEB"/>
    <w:rsid w:val="00F22AFE"/>
    <w:rsid w:val="00F22BCA"/>
    <w:rsid w:val="00F23754"/>
    <w:rsid w:val="00F237A4"/>
    <w:rsid w:val="00F23E6B"/>
    <w:rsid w:val="00F23F6D"/>
    <w:rsid w:val="00F24087"/>
    <w:rsid w:val="00F24334"/>
    <w:rsid w:val="00F243A3"/>
    <w:rsid w:val="00F243AE"/>
    <w:rsid w:val="00F24A5E"/>
    <w:rsid w:val="00F250A9"/>
    <w:rsid w:val="00F25B4F"/>
    <w:rsid w:val="00F265F6"/>
    <w:rsid w:val="00F26653"/>
    <w:rsid w:val="00F27291"/>
    <w:rsid w:val="00F2770C"/>
    <w:rsid w:val="00F3016B"/>
    <w:rsid w:val="00F30CB6"/>
    <w:rsid w:val="00F31113"/>
    <w:rsid w:val="00F311A3"/>
    <w:rsid w:val="00F314C0"/>
    <w:rsid w:val="00F314D3"/>
    <w:rsid w:val="00F31ABF"/>
    <w:rsid w:val="00F31D20"/>
    <w:rsid w:val="00F31E5C"/>
    <w:rsid w:val="00F31EE7"/>
    <w:rsid w:val="00F32084"/>
    <w:rsid w:val="00F32457"/>
    <w:rsid w:val="00F32541"/>
    <w:rsid w:val="00F3254D"/>
    <w:rsid w:val="00F32569"/>
    <w:rsid w:val="00F32D1C"/>
    <w:rsid w:val="00F33889"/>
    <w:rsid w:val="00F33B34"/>
    <w:rsid w:val="00F347C0"/>
    <w:rsid w:val="00F34B11"/>
    <w:rsid w:val="00F351D3"/>
    <w:rsid w:val="00F357FA"/>
    <w:rsid w:val="00F35C22"/>
    <w:rsid w:val="00F364B2"/>
    <w:rsid w:val="00F377FB"/>
    <w:rsid w:val="00F37FE3"/>
    <w:rsid w:val="00F40306"/>
    <w:rsid w:val="00F40663"/>
    <w:rsid w:val="00F41337"/>
    <w:rsid w:val="00F4140B"/>
    <w:rsid w:val="00F41940"/>
    <w:rsid w:val="00F433FB"/>
    <w:rsid w:val="00F43AF6"/>
    <w:rsid w:val="00F43E13"/>
    <w:rsid w:val="00F44405"/>
    <w:rsid w:val="00F44796"/>
    <w:rsid w:val="00F44C14"/>
    <w:rsid w:val="00F44D8E"/>
    <w:rsid w:val="00F45DCD"/>
    <w:rsid w:val="00F461AD"/>
    <w:rsid w:val="00F46255"/>
    <w:rsid w:val="00F478ED"/>
    <w:rsid w:val="00F47DC5"/>
    <w:rsid w:val="00F505DA"/>
    <w:rsid w:val="00F50665"/>
    <w:rsid w:val="00F50A23"/>
    <w:rsid w:val="00F50E9F"/>
    <w:rsid w:val="00F51174"/>
    <w:rsid w:val="00F51883"/>
    <w:rsid w:val="00F518F3"/>
    <w:rsid w:val="00F5367B"/>
    <w:rsid w:val="00F539D9"/>
    <w:rsid w:val="00F53B3B"/>
    <w:rsid w:val="00F542AC"/>
    <w:rsid w:val="00F54B12"/>
    <w:rsid w:val="00F55403"/>
    <w:rsid w:val="00F55934"/>
    <w:rsid w:val="00F559BB"/>
    <w:rsid w:val="00F5608F"/>
    <w:rsid w:val="00F560B9"/>
    <w:rsid w:val="00F579FF"/>
    <w:rsid w:val="00F6027C"/>
    <w:rsid w:val="00F60415"/>
    <w:rsid w:val="00F60DAD"/>
    <w:rsid w:val="00F60DE0"/>
    <w:rsid w:val="00F61271"/>
    <w:rsid w:val="00F617DE"/>
    <w:rsid w:val="00F61846"/>
    <w:rsid w:val="00F6194D"/>
    <w:rsid w:val="00F61F8E"/>
    <w:rsid w:val="00F61FFA"/>
    <w:rsid w:val="00F620EC"/>
    <w:rsid w:val="00F62233"/>
    <w:rsid w:val="00F6251B"/>
    <w:rsid w:val="00F626C6"/>
    <w:rsid w:val="00F62CF6"/>
    <w:rsid w:val="00F63405"/>
    <w:rsid w:val="00F63C7A"/>
    <w:rsid w:val="00F64156"/>
    <w:rsid w:val="00F65706"/>
    <w:rsid w:val="00F6576A"/>
    <w:rsid w:val="00F65925"/>
    <w:rsid w:val="00F6658A"/>
    <w:rsid w:val="00F66924"/>
    <w:rsid w:val="00F66F13"/>
    <w:rsid w:val="00F66FA6"/>
    <w:rsid w:val="00F67BD1"/>
    <w:rsid w:val="00F67C59"/>
    <w:rsid w:val="00F70293"/>
    <w:rsid w:val="00F708A1"/>
    <w:rsid w:val="00F70C8A"/>
    <w:rsid w:val="00F71087"/>
    <w:rsid w:val="00F71242"/>
    <w:rsid w:val="00F717FF"/>
    <w:rsid w:val="00F71A3F"/>
    <w:rsid w:val="00F71C01"/>
    <w:rsid w:val="00F721AC"/>
    <w:rsid w:val="00F7246A"/>
    <w:rsid w:val="00F731E5"/>
    <w:rsid w:val="00F73A04"/>
    <w:rsid w:val="00F73ECA"/>
    <w:rsid w:val="00F743A3"/>
    <w:rsid w:val="00F74A72"/>
    <w:rsid w:val="00F74DE7"/>
    <w:rsid w:val="00F74E5A"/>
    <w:rsid w:val="00F751B6"/>
    <w:rsid w:val="00F76A83"/>
    <w:rsid w:val="00F774C8"/>
    <w:rsid w:val="00F802C8"/>
    <w:rsid w:val="00F813B4"/>
    <w:rsid w:val="00F81D96"/>
    <w:rsid w:val="00F81F18"/>
    <w:rsid w:val="00F826E7"/>
    <w:rsid w:val="00F827AA"/>
    <w:rsid w:val="00F82C6C"/>
    <w:rsid w:val="00F83978"/>
    <w:rsid w:val="00F83ED3"/>
    <w:rsid w:val="00F83F3F"/>
    <w:rsid w:val="00F83FE2"/>
    <w:rsid w:val="00F840B9"/>
    <w:rsid w:val="00F857B4"/>
    <w:rsid w:val="00F85C14"/>
    <w:rsid w:val="00F85C44"/>
    <w:rsid w:val="00F85F4D"/>
    <w:rsid w:val="00F86002"/>
    <w:rsid w:val="00F86371"/>
    <w:rsid w:val="00F86648"/>
    <w:rsid w:val="00F86C88"/>
    <w:rsid w:val="00F86D13"/>
    <w:rsid w:val="00F86DBB"/>
    <w:rsid w:val="00F87027"/>
    <w:rsid w:val="00F874B8"/>
    <w:rsid w:val="00F87535"/>
    <w:rsid w:val="00F877A0"/>
    <w:rsid w:val="00F90859"/>
    <w:rsid w:val="00F916C9"/>
    <w:rsid w:val="00F91915"/>
    <w:rsid w:val="00F91D8C"/>
    <w:rsid w:val="00F921C0"/>
    <w:rsid w:val="00F92282"/>
    <w:rsid w:val="00F931F5"/>
    <w:rsid w:val="00F932FB"/>
    <w:rsid w:val="00F9337A"/>
    <w:rsid w:val="00F9347F"/>
    <w:rsid w:val="00F944B3"/>
    <w:rsid w:val="00F94D65"/>
    <w:rsid w:val="00F9549D"/>
    <w:rsid w:val="00F95724"/>
    <w:rsid w:val="00F960B1"/>
    <w:rsid w:val="00F962B4"/>
    <w:rsid w:val="00F96358"/>
    <w:rsid w:val="00F96CF3"/>
    <w:rsid w:val="00F972B0"/>
    <w:rsid w:val="00F976BA"/>
    <w:rsid w:val="00FA0210"/>
    <w:rsid w:val="00FA08D8"/>
    <w:rsid w:val="00FA2500"/>
    <w:rsid w:val="00FA2BF8"/>
    <w:rsid w:val="00FA32FF"/>
    <w:rsid w:val="00FA381D"/>
    <w:rsid w:val="00FA3AA3"/>
    <w:rsid w:val="00FA3D00"/>
    <w:rsid w:val="00FA4324"/>
    <w:rsid w:val="00FA4C1F"/>
    <w:rsid w:val="00FA538C"/>
    <w:rsid w:val="00FA5C2C"/>
    <w:rsid w:val="00FA5D62"/>
    <w:rsid w:val="00FA5FDE"/>
    <w:rsid w:val="00FA6040"/>
    <w:rsid w:val="00FA6293"/>
    <w:rsid w:val="00FA6373"/>
    <w:rsid w:val="00FA66EA"/>
    <w:rsid w:val="00FA686A"/>
    <w:rsid w:val="00FA6C96"/>
    <w:rsid w:val="00FA7214"/>
    <w:rsid w:val="00FA7547"/>
    <w:rsid w:val="00FB00F7"/>
    <w:rsid w:val="00FB08CC"/>
    <w:rsid w:val="00FB1304"/>
    <w:rsid w:val="00FB1514"/>
    <w:rsid w:val="00FB1AF1"/>
    <w:rsid w:val="00FB333E"/>
    <w:rsid w:val="00FB3686"/>
    <w:rsid w:val="00FB3958"/>
    <w:rsid w:val="00FB3CD7"/>
    <w:rsid w:val="00FB3FD6"/>
    <w:rsid w:val="00FB4545"/>
    <w:rsid w:val="00FB478F"/>
    <w:rsid w:val="00FB4AA0"/>
    <w:rsid w:val="00FB4B89"/>
    <w:rsid w:val="00FB5045"/>
    <w:rsid w:val="00FB56BD"/>
    <w:rsid w:val="00FB578C"/>
    <w:rsid w:val="00FB58BB"/>
    <w:rsid w:val="00FB597D"/>
    <w:rsid w:val="00FB5AF9"/>
    <w:rsid w:val="00FB634D"/>
    <w:rsid w:val="00FB642B"/>
    <w:rsid w:val="00FB6695"/>
    <w:rsid w:val="00FB66D9"/>
    <w:rsid w:val="00FB74E5"/>
    <w:rsid w:val="00FC05C1"/>
    <w:rsid w:val="00FC0A0F"/>
    <w:rsid w:val="00FC0D59"/>
    <w:rsid w:val="00FC13B1"/>
    <w:rsid w:val="00FC1673"/>
    <w:rsid w:val="00FC1A3D"/>
    <w:rsid w:val="00FC1A5C"/>
    <w:rsid w:val="00FC1C53"/>
    <w:rsid w:val="00FC1D2A"/>
    <w:rsid w:val="00FC2B88"/>
    <w:rsid w:val="00FC2D03"/>
    <w:rsid w:val="00FC2D4C"/>
    <w:rsid w:val="00FC39EA"/>
    <w:rsid w:val="00FC469C"/>
    <w:rsid w:val="00FC473D"/>
    <w:rsid w:val="00FC4943"/>
    <w:rsid w:val="00FC49E0"/>
    <w:rsid w:val="00FC4AA6"/>
    <w:rsid w:val="00FC559A"/>
    <w:rsid w:val="00FC56B8"/>
    <w:rsid w:val="00FC5CFE"/>
    <w:rsid w:val="00FC60B8"/>
    <w:rsid w:val="00FC6DE6"/>
    <w:rsid w:val="00FC6E48"/>
    <w:rsid w:val="00FD0A9D"/>
    <w:rsid w:val="00FD0A9E"/>
    <w:rsid w:val="00FD0F14"/>
    <w:rsid w:val="00FD15AF"/>
    <w:rsid w:val="00FD17DE"/>
    <w:rsid w:val="00FD2F1A"/>
    <w:rsid w:val="00FD3053"/>
    <w:rsid w:val="00FD3715"/>
    <w:rsid w:val="00FD37D0"/>
    <w:rsid w:val="00FD3DE0"/>
    <w:rsid w:val="00FD3FA0"/>
    <w:rsid w:val="00FD440C"/>
    <w:rsid w:val="00FD4EC8"/>
    <w:rsid w:val="00FD556D"/>
    <w:rsid w:val="00FD5684"/>
    <w:rsid w:val="00FD5E81"/>
    <w:rsid w:val="00FD5FF0"/>
    <w:rsid w:val="00FD60B6"/>
    <w:rsid w:val="00FD6616"/>
    <w:rsid w:val="00FD7F01"/>
    <w:rsid w:val="00FD7F02"/>
    <w:rsid w:val="00FE0775"/>
    <w:rsid w:val="00FE0F88"/>
    <w:rsid w:val="00FE1470"/>
    <w:rsid w:val="00FE1A47"/>
    <w:rsid w:val="00FE1D5C"/>
    <w:rsid w:val="00FE1F10"/>
    <w:rsid w:val="00FE2400"/>
    <w:rsid w:val="00FE2C02"/>
    <w:rsid w:val="00FE3782"/>
    <w:rsid w:val="00FE3A6A"/>
    <w:rsid w:val="00FE3AC5"/>
    <w:rsid w:val="00FE413B"/>
    <w:rsid w:val="00FE44CF"/>
    <w:rsid w:val="00FE4721"/>
    <w:rsid w:val="00FE4D2A"/>
    <w:rsid w:val="00FE4FA0"/>
    <w:rsid w:val="00FE4FD0"/>
    <w:rsid w:val="00FE5051"/>
    <w:rsid w:val="00FE53DC"/>
    <w:rsid w:val="00FE566B"/>
    <w:rsid w:val="00FE5839"/>
    <w:rsid w:val="00FE5B58"/>
    <w:rsid w:val="00FE6DE2"/>
    <w:rsid w:val="00FE6E80"/>
    <w:rsid w:val="00FF02E4"/>
    <w:rsid w:val="00FF0677"/>
    <w:rsid w:val="00FF0DA9"/>
    <w:rsid w:val="00FF10F1"/>
    <w:rsid w:val="00FF2986"/>
    <w:rsid w:val="00FF2F3F"/>
    <w:rsid w:val="00FF3209"/>
    <w:rsid w:val="00FF3A63"/>
    <w:rsid w:val="00FF4902"/>
    <w:rsid w:val="00FF524A"/>
    <w:rsid w:val="00FF524F"/>
    <w:rsid w:val="00FF58A5"/>
    <w:rsid w:val="00FF58F3"/>
    <w:rsid w:val="00FF5AA4"/>
    <w:rsid w:val="00FF6251"/>
    <w:rsid w:val="00FF6A5E"/>
    <w:rsid w:val="00FF7151"/>
    <w:rsid w:val="00FF7523"/>
    <w:rsid w:val="00FF7B13"/>
    <w:rsid w:val="00FF7C29"/>
    <w:rsid w:val="00FF7C5F"/>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paragraph" w:styleId="Heading2">
    <w:name w:val="heading 2"/>
    <w:basedOn w:val="Normal"/>
    <w:next w:val="Normal"/>
    <w:link w:val="Heading2Char"/>
    <w:uiPriority w:val="9"/>
    <w:semiHidden/>
    <w:unhideWhenUsed/>
    <w:rsid w:val="005E248F"/>
    <w:pPr>
      <w:keepNext/>
      <w:keepLines/>
      <w:spacing w:before="200"/>
      <w:jc w:val="both"/>
      <w:outlineLvl w:val="1"/>
    </w:pPr>
    <w:rPr>
      <w:rFonts w:asciiTheme="majorHAnsi" w:eastAsiaTheme="majorEastAsia" w:hAnsiTheme="majorHAnsi" w:cstheme="majorBidi"/>
      <w:b/>
      <w:bCs/>
      <w:color w:val="4F81BD" w:themeColor="accent1"/>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rsid w:val="00A2504D"/>
    <w:pPr>
      <w:jc w:val="both"/>
    </w:pPr>
    <w:rPr>
      <w:rFonts w:eastAsia="Calibri"/>
      <w:b/>
      <w:szCs w:val="22"/>
      <w:lang w:val="en-CA"/>
    </w:rPr>
  </w:style>
  <w:style w:type="character" w:customStyle="1" w:styleId="SCCFileNumberChar">
    <w:name w:val="SCC.FileNumber Char"/>
    <w:basedOn w:val="DefaultParagraphFont"/>
    <w:link w:val="SCCFileNumber"/>
    <w:rsid w:val="00A2504D"/>
    <w:rPr>
      <w:rFonts w:ascii="Times New Roman" w:hAnsi="Times New Roman"/>
      <w:b/>
      <w:sz w:val="24"/>
      <w:szCs w:val="22"/>
      <w:lang w:val="en-CA"/>
    </w:rPr>
  </w:style>
  <w:style w:type="paragraph" w:customStyle="1" w:styleId="SCCBanSummary">
    <w:name w:val="SCC.BanSummary"/>
    <w:basedOn w:val="Normal"/>
    <w:next w:val="Normal"/>
    <w:link w:val="SCCBanSummaryChar"/>
    <w:rsid w:val="00A2504D"/>
    <w:pPr>
      <w:jc w:val="both"/>
    </w:pPr>
    <w:rPr>
      <w:rFonts w:eastAsia="Calibri"/>
      <w:smallCaps/>
      <w:szCs w:val="22"/>
      <w:lang w:val="en-CA"/>
    </w:rPr>
  </w:style>
  <w:style w:type="character" w:customStyle="1" w:styleId="SCCBanSummaryChar">
    <w:name w:val="SCC.BanSummary Char"/>
    <w:basedOn w:val="DefaultParagraphFont"/>
    <w:link w:val="SCCBanSummary"/>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styleId="CommentReference">
    <w:name w:val="annotation reference"/>
    <w:basedOn w:val="DefaultParagraphFont"/>
    <w:uiPriority w:val="99"/>
    <w:semiHidden/>
    <w:unhideWhenUsed/>
    <w:rsid w:val="001D1E16"/>
    <w:rPr>
      <w:sz w:val="16"/>
      <w:szCs w:val="16"/>
    </w:rPr>
  </w:style>
  <w:style w:type="paragraph" w:styleId="CommentText">
    <w:name w:val="annotation text"/>
    <w:basedOn w:val="Normal"/>
    <w:link w:val="CommentTextChar"/>
    <w:uiPriority w:val="99"/>
    <w:semiHidden/>
    <w:unhideWhenUsed/>
    <w:rsid w:val="001D1E16"/>
    <w:rPr>
      <w:sz w:val="20"/>
    </w:rPr>
  </w:style>
  <w:style w:type="character" w:customStyle="1" w:styleId="CommentTextChar">
    <w:name w:val="Comment Text Char"/>
    <w:basedOn w:val="DefaultParagraphFont"/>
    <w:link w:val="CommentText"/>
    <w:uiPriority w:val="99"/>
    <w:semiHidden/>
    <w:rsid w:val="001D1E1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D1E16"/>
    <w:rPr>
      <w:b/>
      <w:bCs/>
    </w:rPr>
  </w:style>
  <w:style w:type="character" w:customStyle="1" w:styleId="CommentSubjectChar">
    <w:name w:val="Comment Subject Char"/>
    <w:basedOn w:val="CommentTextChar"/>
    <w:link w:val="CommentSubject"/>
    <w:uiPriority w:val="99"/>
    <w:semiHidden/>
    <w:rsid w:val="001D1E16"/>
    <w:rPr>
      <w:rFonts w:ascii="Times New Roman" w:eastAsia="Times New Roman" w:hAnsi="Times New Roman"/>
      <w:b/>
      <w:bCs/>
    </w:rPr>
  </w:style>
  <w:style w:type="table" w:styleId="TableGrid">
    <w:name w:val="Table Grid"/>
    <w:basedOn w:val="TableNormal"/>
    <w:uiPriority w:val="59"/>
    <w:rsid w:val="003240B6"/>
    <w:rPr>
      <w:rFonts w:ascii="Times New Roman" w:hAnsi="Times New Roman"/>
      <w:sz w:val="24"/>
      <w:szCs w:val="24"/>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CCLsocOtherPartySeparator">
    <w:name w:val="SCC.Lsoc.OtherPartySeparator"/>
    <w:basedOn w:val="Normal"/>
    <w:next w:val="Normal"/>
    <w:link w:val="SCCLsocOtherPartySeparatorChar"/>
    <w:rsid w:val="00537F74"/>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537F74"/>
    <w:rPr>
      <w:rFonts w:ascii="Times New Roman" w:eastAsiaTheme="minorHAnsi" w:hAnsi="Times New Roman" w:cstheme="minorBidi"/>
      <w:b/>
      <w:sz w:val="24"/>
      <w:szCs w:val="22"/>
      <w:lang w:val="fr-CA"/>
    </w:rPr>
  </w:style>
  <w:style w:type="paragraph" w:customStyle="1" w:styleId="mainparagraph1">
    <w:name w:val="mainparagraph1"/>
    <w:basedOn w:val="Normal"/>
    <w:rsid w:val="00537F74"/>
    <w:pPr>
      <w:spacing w:after="240"/>
      <w:ind w:left="720" w:hanging="720"/>
      <w:jc w:val="both"/>
    </w:pPr>
    <w:rPr>
      <w:szCs w:val="24"/>
    </w:rPr>
  </w:style>
  <w:style w:type="paragraph" w:customStyle="1" w:styleId="aparanumbering1">
    <w:name w:val="aparanumbering1"/>
    <w:basedOn w:val="Normal"/>
    <w:rsid w:val="00537F74"/>
    <w:pPr>
      <w:spacing w:before="120" w:after="120"/>
      <w:jc w:val="both"/>
    </w:pPr>
    <w:rPr>
      <w:rFonts w:ascii="Arial" w:hAnsi="Arial" w:cs="Arial"/>
      <w:sz w:val="26"/>
      <w:szCs w:val="26"/>
    </w:rPr>
  </w:style>
  <w:style w:type="paragraph" w:customStyle="1" w:styleId="number1">
    <w:name w:val="number1"/>
    <w:basedOn w:val="Normal"/>
    <w:rsid w:val="00FE413B"/>
    <w:pPr>
      <w:jc w:val="both"/>
    </w:pPr>
    <w:rPr>
      <w:rFonts w:ascii="Tahoma" w:hAnsi="Tahoma" w:cs="Tahoma"/>
      <w:szCs w:val="24"/>
    </w:rPr>
  </w:style>
  <w:style w:type="character" w:customStyle="1" w:styleId="reflex3-block">
    <w:name w:val="reflex3-block"/>
    <w:basedOn w:val="DefaultParagraphFont"/>
    <w:rsid w:val="00FE413B"/>
  </w:style>
  <w:style w:type="character" w:customStyle="1" w:styleId="reflex3-alt">
    <w:name w:val="reflex3-alt"/>
    <w:basedOn w:val="DefaultParagraphFont"/>
    <w:rsid w:val="00FE413B"/>
  </w:style>
  <w:style w:type="paragraph" w:customStyle="1" w:styleId="scjnumber1">
    <w:name w:val="scjnumber1"/>
    <w:basedOn w:val="Normal"/>
    <w:rsid w:val="00CA32B5"/>
    <w:pPr>
      <w:spacing w:after="240"/>
    </w:pPr>
    <w:rPr>
      <w:rFonts w:ascii="Arial" w:hAnsi="Arial" w:cs="Arial"/>
      <w:szCs w:val="24"/>
    </w:rPr>
  </w:style>
  <w:style w:type="character" w:customStyle="1" w:styleId="reflex">
    <w:name w:val="reflex"/>
    <w:basedOn w:val="DefaultParagraphFont"/>
    <w:rsid w:val="00E85588"/>
  </w:style>
  <w:style w:type="paragraph" w:customStyle="1" w:styleId="paragraphe">
    <w:name w:val="paragraphe"/>
    <w:basedOn w:val="Normal"/>
    <w:rsid w:val="007A38B8"/>
    <w:pPr>
      <w:spacing w:before="100" w:beforeAutospacing="1" w:after="100" w:afterAutospacing="1"/>
    </w:pPr>
    <w:rPr>
      <w:szCs w:val="24"/>
    </w:rPr>
  </w:style>
  <w:style w:type="character" w:customStyle="1" w:styleId="nowrap">
    <w:name w:val="nowrap"/>
    <w:basedOn w:val="DefaultParagraphFont"/>
    <w:rsid w:val="007A38B8"/>
  </w:style>
  <w:style w:type="paragraph" w:customStyle="1" w:styleId="SCCLsocSubfileSeparator">
    <w:name w:val="SCC.Lsoc.SubfileSeparator"/>
    <w:basedOn w:val="Normal"/>
    <w:next w:val="Normal"/>
    <w:link w:val="SCCLsocSubfileSeparatorChar"/>
    <w:rsid w:val="003F6190"/>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3F6190"/>
    <w:rPr>
      <w:rFonts w:ascii="Times New Roman" w:eastAsiaTheme="minorHAnsi" w:hAnsi="Times New Roman"/>
      <w:b/>
      <w:sz w:val="24"/>
      <w:szCs w:val="24"/>
      <w:lang w:val="en-CA"/>
    </w:rPr>
  </w:style>
  <w:style w:type="paragraph" w:customStyle="1" w:styleId="s3">
    <w:name w:val="s3"/>
    <w:basedOn w:val="Normal"/>
    <w:rsid w:val="00B328CA"/>
    <w:pPr>
      <w:spacing w:before="100" w:beforeAutospacing="1" w:after="100" w:afterAutospacing="1"/>
    </w:pPr>
    <w:rPr>
      <w:rFonts w:eastAsiaTheme="minorHAnsi"/>
      <w:szCs w:val="24"/>
    </w:rPr>
  </w:style>
  <w:style w:type="character" w:customStyle="1" w:styleId="s4">
    <w:name w:val="s4"/>
    <w:basedOn w:val="DefaultParagraphFont"/>
    <w:rsid w:val="00B328CA"/>
  </w:style>
  <w:style w:type="character" w:customStyle="1" w:styleId="s5">
    <w:name w:val="s5"/>
    <w:basedOn w:val="DefaultParagraphFont"/>
    <w:rsid w:val="00B328CA"/>
  </w:style>
  <w:style w:type="paragraph" w:customStyle="1" w:styleId="paragraphenumrot">
    <w:name w:val="paragraphenumrot"/>
    <w:basedOn w:val="Normal"/>
    <w:rsid w:val="001E2AA6"/>
    <w:pPr>
      <w:spacing w:before="100" w:beforeAutospacing="1" w:after="100" w:afterAutospacing="1"/>
    </w:pPr>
    <w:rPr>
      <w:szCs w:val="24"/>
    </w:rPr>
  </w:style>
  <w:style w:type="paragraph" w:customStyle="1" w:styleId="paragnum">
    <w:name w:val="paragnum"/>
    <w:basedOn w:val="Normal"/>
    <w:rsid w:val="0098760C"/>
    <w:pPr>
      <w:spacing w:before="100" w:beforeAutospacing="1" w:after="100" w:afterAutospacing="1"/>
    </w:pPr>
    <w:rPr>
      <w:szCs w:val="24"/>
    </w:rPr>
  </w:style>
  <w:style w:type="character" w:customStyle="1" w:styleId="sh3135415119">
    <w:name w:val="sh_3135415119"/>
    <w:basedOn w:val="DefaultParagraphFont"/>
    <w:rsid w:val="00843613"/>
  </w:style>
  <w:style w:type="character" w:styleId="Emphasis">
    <w:name w:val="Emphasis"/>
    <w:basedOn w:val="DefaultParagraphFont"/>
    <w:uiPriority w:val="20"/>
    <w:qFormat/>
    <w:rsid w:val="0039120F"/>
    <w:rPr>
      <w:i/>
      <w:iCs/>
    </w:rPr>
  </w:style>
  <w:style w:type="paragraph" w:customStyle="1" w:styleId="aparanumbering">
    <w:name w:val="aparanumbering"/>
    <w:basedOn w:val="Normal"/>
    <w:rsid w:val="002E6084"/>
    <w:pPr>
      <w:spacing w:before="100" w:beforeAutospacing="1" w:after="100" w:afterAutospacing="1"/>
    </w:pPr>
    <w:rPr>
      <w:szCs w:val="24"/>
    </w:rPr>
  </w:style>
  <w:style w:type="character" w:customStyle="1" w:styleId="citationcar">
    <w:name w:val="citationcar"/>
    <w:basedOn w:val="DefaultParagraphFont"/>
    <w:rsid w:val="00314899"/>
  </w:style>
  <w:style w:type="paragraph" w:customStyle="1" w:styleId="scjnumber">
    <w:name w:val="scjnumber"/>
    <w:basedOn w:val="Normal"/>
    <w:rsid w:val="006509AD"/>
    <w:pPr>
      <w:spacing w:before="100" w:beforeAutospacing="1" w:after="100" w:afterAutospacing="1"/>
    </w:pPr>
    <w:rPr>
      <w:szCs w:val="24"/>
    </w:rPr>
  </w:style>
  <w:style w:type="paragraph" w:customStyle="1" w:styleId="body">
    <w:name w:val="body"/>
    <w:basedOn w:val="Normal"/>
    <w:rsid w:val="002A4053"/>
    <w:pPr>
      <w:spacing w:before="100" w:beforeAutospacing="1" w:after="100" w:afterAutospacing="1"/>
    </w:pPr>
    <w:rPr>
      <w:szCs w:val="24"/>
    </w:rPr>
  </w:style>
  <w:style w:type="paragraph" w:customStyle="1" w:styleId="lib15result">
    <w:name w:val="lib15result"/>
    <w:basedOn w:val="Normal"/>
    <w:rsid w:val="002A4053"/>
    <w:pPr>
      <w:spacing w:before="100" w:beforeAutospacing="1" w:after="100" w:afterAutospacing="1"/>
    </w:pPr>
    <w:rPr>
      <w:szCs w:val="24"/>
    </w:rPr>
  </w:style>
  <w:style w:type="character" w:customStyle="1" w:styleId="reflex2-link">
    <w:name w:val="reflex2-link"/>
    <w:basedOn w:val="DefaultParagraphFont"/>
    <w:rsid w:val="00E864F0"/>
  </w:style>
  <w:style w:type="paragraph" w:customStyle="1" w:styleId="mainparagraph">
    <w:name w:val="mainparagraph"/>
    <w:basedOn w:val="Normal"/>
    <w:rsid w:val="00E864F0"/>
    <w:pPr>
      <w:spacing w:before="100" w:beforeAutospacing="1" w:after="100" w:afterAutospacing="1"/>
    </w:pPr>
    <w:rPr>
      <w:szCs w:val="24"/>
    </w:rPr>
  </w:style>
  <w:style w:type="character" w:customStyle="1" w:styleId="Heading2Char">
    <w:name w:val="Heading 2 Char"/>
    <w:basedOn w:val="DefaultParagraphFont"/>
    <w:link w:val="Heading2"/>
    <w:uiPriority w:val="9"/>
    <w:semiHidden/>
    <w:rsid w:val="005E248F"/>
    <w:rPr>
      <w:rFonts w:asciiTheme="majorHAnsi" w:eastAsiaTheme="majorEastAsia" w:hAnsiTheme="majorHAnsi" w:cstheme="majorBidi"/>
      <w:b/>
      <w:bCs/>
      <w:color w:val="4F81BD" w:themeColor="accent1"/>
      <w:sz w:val="26"/>
      <w:szCs w:val="26"/>
      <w:lang w:val="en-CA"/>
    </w:rPr>
  </w:style>
  <w:style w:type="character" w:customStyle="1" w:styleId="definedtermlink">
    <w:name w:val="definedtermlink"/>
    <w:basedOn w:val="DefaultParagraphFont"/>
    <w:rsid w:val="005E248F"/>
    <w:rPr>
      <w:i/>
      <w:iCs/>
    </w:rPr>
  </w:style>
  <w:style w:type="paragraph" w:customStyle="1" w:styleId="stylecause-citation">
    <w:name w:val="stylecause-citation"/>
    <w:basedOn w:val="Normal"/>
    <w:rsid w:val="00E62C75"/>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7906">
      <w:bodyDiv w:val="1"/>
      <w:marLeft w:val="0"/>
      <w:marRight w:val="0"/>
      <w:marTop w:val="0"/>
      <w:marBottom w:val="0"/>
      <w:divBdr>
        <w:top w:val="none" w:sz="0" w:space="0" w:color="auto"/>
        <w:left w:val="none" w:sz="0" w:space="0" w:color="auto"/>
        <w:bottom w:val="none" w:sz="0" w:space="0" w:color="auto"/>
        <w:right w:val="none" w:sz="0" w:space="0" w:color="auto"/>
      </w:divBdr>
    </w:div>
    <w:div w:id="9529092">
      <w:bodyDiv w:val="1"/>
      <w:marLeft w:val="0"/>
      <w:marRight w:val="0"/>
      <w:marTop w:val="0"/>
      <w:marBottom w:val="0"/>
      <w:divBdr>
        <w:top w:val="none" w:sz="0" w:space="0" w:color="auto"/>
        <w:left w:val="none" w:sz="0" w:space="0" w:color="auto"/>
        <w:bottom w:val="none" w:sz="0" w:space="0" w:color="auto"/>
        <w:right w:val="none" w:sz="0" w:space="0" w:color="auto"/>
      </w:divBdr>
    </w:div>
    <w:div w:id="18161495">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66611507">
      <w:bodyDiv w:val="1"/>
      <w:marLeft w:val="0"/>
      <w:marRight w:val="0"/>
      <w:marTop w:val="0"/>
      <w:marBottom w:val="0"/>
      <w:divBdr>
        <w:top w:val="none" w:sz="0" w:space="0" w:color="auto"/>
        <w:left w:val="none" w:sz="0" w:space="0" w:color="auto"/>
        <w:bottom w:val="none" w:sz="0" w:space="0" w:color="auto"/>
        <w:right w:val="none" w:sz="0" w:space="0" w:color="auto"/>
      </w:divBdr>
    </w:div>
    <w:div w:id="74206133">
      <w:bodyDiv w:val="1"/>
      <w:marLeft w:val="0"/>
      <w:marRight w:val="0"/>
      <w:marTop w:val="0"/>
      <w:marBottom w:val="0"/>
      <w:divBdr>
        <w:top w:val="none" w:sz="0" w:space="0" w:color="auto"/>
        <w:left w:val="none" w:sz="0" w:space="0" w:color="auto"/>
        <w:bottom w:val="none" w:sz="0" w:space="0" w:color="auto"/>
        <w:right w:val="none" w:sz="0" w:space="0" w:color="auto"/>
      </w:divBdr>
    </w:div>
    <w:div w:id="95904926">
      <w:bodyDiv w:val="1"/>
      <w:marLeft w:val="0"/>
      <w:marRight w:val="0"/>
      <w:marTop w:val="0"/>
      <w:marBottom w:val="0"/>
      <w:divBdr>
        <w:top w:val="none" w:sz="0" w:space="0" w:color="auto"/>
        <w:left w:val="none" w:sz="0" w:space="0" w:color="auto"/>
        <w:bottom w:val="none" w:sz="0" w:space="0" w:color="auto"/>
        <w:right w:val="none" w:sz="0" w:space="0" w:color="auto"/>
      </w:divBdr>
    </w:div>
    <w:div w:id="112752442">
      <w:bodyDiv w:val="1"/>
      <w:marLeft w:val="0"/>
      <w:marRight w:val="0"/>
      <w:marTop w:val="0"/>
      <w:marBottom w:val="0"/>
      <w:divBdr>
        <w:top w:val="none" w:sz="0" w:space="0" w:color="auto"/>
        <w:left w:val="none" w:sz="0" w:space="0" w:color="auto"/>
        <w:bottom w:val="none" w:sz="0" w:space="0" w:color="auto"/>
        <w:right w:val="none" w:sz="0" w:space="0" w:color="auto"/>
      </w:divBdr>
    </w:div>
    <w:div w:id="117800852">
      <w:bodyDiv w:val="1"/>
      <w:marLeft w:val="0"/>
      <w:marRight w:val="0"/>
      <w:marTop w:val="0"/>
      <w:marBottom w:val="0"/>
      <w:divBdr>
        <w:top w:val="none" w:sz="0" w:space="0" w:color="auto"/>
        <w:left w:val="none" w:sz="0" w:space="0" w:color="auto"/>
        <w:bottom w:val="none" w:sz="0" w:space="0" w:color="auto"/>
        <w:right w:val="none" w:sz="0" w:space="0" w:color="auto"/>
      </w:divBdr>
    </w:div>
    <w:div w:id="125588093">
      <w:bodyDiv w:val="1"/>
      <w:marLeft w:val="0"/>
      <w:marRight w:val="0"/>
      <w:marTop w:val="0"/>
      <w:marBottom w:val="0"/>
      <w:divBdr>
        <w:top w:val="none" w:sz="0" w:space="0" w:color="auto"/>
        <w:left w:val="none" w:sz="0" w:space="0" w:color="auto"/>
        <w:bottom w:val="none" w:sz="0" w:space="0" w:color="auto"/>
        <w:right w:val="none" w:sz="0" w:space="0" w:color="auto"/>
      </w:divBdr>
    </w:div>
    <w:div w:id="158467292">
      <w:bodyDiv w:val="1"/>
      <w:marLeft w:val="0"/>
      <w:marRight w:val="0"/>
      <w:marTop w:val="0"/>
      <w:marBottom w:val="0"/>
      <w:divBdr>
        <w:top w:val="none" w:sz="0" w:space="0" w:color="auto"/>
        <w:left w:val="none" w:sz="0" w:space="0" w:color="auto"/>
        <w:bottom w:val="none" w:sz="0" w:space="0" w:color="auto"/>
        <w:right w:val="none" w:sz="0" w:space="0" w:color="auto"/>
      </w:divBdr>
    </w:div>
    <w:div w:id="177543389">
      <w:bodyDiv w:val="1"/>
      <w:marLeft w:val="0"/>
      <w:marRight w:val="0"/>
      <w:marTop w:val="0"/>
      <w:marBottom w:val="0"/>
      <w:divBdr>
        <w:top w:val="none" w:sz="0" w:space="0" w:color="auto"/>
        <w:left w:val="none" w:sz="0" w:space="0" w:color="auto"/>
        <w:bottom w:val="none" w:sz="0" w:space="0" w:color="auto"/>
        <w:right w:val="none" w:sz="0" w:space="0" w:color="auto"/>
      </w:divBdr>
      <w:divsChild>
        <w:div w:id="1837987795">
          <w:marLeft w:val="0"/>
          <w:marRight w:val="0"/>
          <w:marTop w:val="0"/>
          <w:marBottom w:val="0"/>
          <w:divBdr>
            <w:top w:val="none" w:sz="0" w:space="0" w:color="auto"/>
            <w:left w:val="none" w:sz="0" w:space="0" w:color="auto"/>
            <w:bottom w:val="none" w:sz="0" w:space="0" w:color="auto"/>
            <w:right w:val="none" w:sz="0" w:space="0" w:color="auto"/>
          </w:divBdr>
          <w:divsChild>
            <w:div w:id="1328560028">
              <w:marLeft w:val="-225"/>
              <w:marRight w:val="-225"/>
              <w:marTop w:val="0"/>
              <w:marBottom w:val="0"/>
              <w:divBdr>
                <w:top w:val="none" w:sz="0" w:space="0" w:color="auto"/>
                <w:left w:val="none" w:sz="0" w:space="0" w:color="auto"/>
                <w:bottom w:val="none" w:sz="0" w:space="0" w:color="auto"/>
                <w:right w:val="none" w:sz="0" w:space="0" w:color="auto"/>
              </w:divBdr>
              <w:divsChild>
                <w:div w:id="981228292">
                  <w:marLeft w:val="0"/>
                  <w:marRight w:val="0"/>
                  <w:marTop w:val="0"/>
                  <w:marBottom w:val="0"/>
                  <w:divBdr>
                    <w:top w:val="none" w:sz="0" w:space="0" w:color="auto"/>
                    <w:left w:val="none" w:sz="0" w:space="0" w:color="auto"/>
                    <w:bottom w:val="none" w:sz="0" w:space="0" w:color="auto"/>
                    <w:right w:val="none" w:sz="0" w:space="0" w:color="auto"/>
                  </w:divBdr>
                  <w:divsChild>
                    <w:div w:id="2108845742">
                      <w:marLeft w:val="0"/>
                      <w:marRight w:val="0"/>
                      <w:marTop w:val="0"/>
                      <w:marBottom w:val="0"/>
                      <w:divBdr>
                        <w:top w:val="none" w:sz="0" w:space="0" w:color="auto"/>
                        <w:left w:val="none" w:sz="0" w:space="0" w:color="auto"/>
                        <w:bottom w:val="none" w:sz="0" w:space="0" w:color="auto"/>
                        <w:right w:val="none" w:sz="0" w:space="0" w:color="auto"/>
                      </w:divBdr>
                      <w:divsChild>
                        <w:div w:id="658730996">
                          <w:marLeft w:val="0"/>
                          <w:marRight w:val="0"/>
                          <w:marTop w:val="225"/>
                          <w:marBottom w:val="0"/>
                          <w:divBdr>
                            <w:top w:val="none" w:sz="0" w:space="0" w:color="auto"/>
                            <w:left w:val="none" w:sz="0" w:space="0" w:color="auto"/>
                            <w:bottom w:val="none" w:sz="0" w:space="0" w:color="auto"/>
                            <w:right w:val="none" w:sz="0" w:space="0" w:color="auto"/>
                          </w:divBdr>
                          <w:divsChild>
                            <w:div w:id="692267055">
                              <w:marLeft w:val="0"/>
                              <w:marRight w:val="0"/>
                              <w:marTop w:val="0"/>
                              <w:marBottom w:val="0"/>
                              <w:divBdr>
                                <w:top w:val="none" w:sz="0" w:space="0" w:color="auto"/>
                                <w:left w:val="none" w:sz="0" w:space="0" w:color="auto"/>
                                <w:bottom w:val="none" w:sz="0" w:space="0" w:color="auto"/>
                                <w:right w:val="none" w:sz="0" w:space="0" w:color="auto"/>
                              </w:divBdr>
                            </w:div>
                            <w:div w:id="77000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99090">
      <w:bodyDiv w:val="1"/>
      <w:marLeft w:val="0"/>
      <w:marRight w:val="0"/>
      <w:marTop w:val="0"/>
      <w:marBottom w:val="0"/>
      <w:divBdr>
        <w:top w:val="none" w:sz="0" w:space="0" w:color="auto"/>
        <w:left w:val="none" w:sz="0" w:space="0" w:color="auto"/>
        <w:bottom w:val="none" w:sz="0" w:space="0" w:color="auto"/>
        <w:right w:val="none" w:sz="0" w:space="0" w:color="auto"/>
      </w:divBdr>
    </w:div>
    <w:div w:id="180122840">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14895378">
      <w:bodyDiv w:val="1"/>
      <w:marLeft w:val="0"/>
      <w:marRight w:val="0"/>
      <w:marTop w:val="0"/>
      <w:marBottom w:val="0"/>
      <w:divBdr>
        <w:top w:val="none" w:sz="0" w:space="0" w:color="auto"/>
        <w:left w:val="none" w:sz="0" w:space="0" w:color="auto"/>
        <w:bottom w:val="none" w:sz="0" w:space="0" w:color="auto"/>
        <w:right w:val="none" w:sz="0" w:space="0" w:color="auto"/>
      </w:divBdr>
    </w:div>
    <w:div w:id="227494801">
      <w:bodyDiv w:val="1"/>
      <w:marLeft w:val="0"/>
      <w:marRight w:val="0"/>
      <w:marTop w:val="0"/>
      <w:marBottom w:val="0"/>
      <w:divBdr>
        <w:top w:val="none" w:sz="0" w:space="0" w:color="auto"/>
        <w:left w:val="none" w:sz="0" w:space="0" w:color="auto"/>
        <w:bottom w:val="none" w:sz="0" w:space="0" w:color="auto"/>
        <w:right w:val="none" w:sz="0" w:space="0" w:color="auto"/>
      </w:divBdr>
    </w:div>
    <w:div w:id="259413056">
      <w:bodyDiv w:val="1"/>
      <w:marLeft w:val="0"/>
      <w:marRight w:val="0"/>
      <w:marTop w:val="0"/>
      <w:marBottom w:val="0"/>
      <w:divBdr>
        <w:top w:val="none" w:sz="0" w:space="0" w:color="auto"/>
        <w:left w:val="none" w:sz="0" w:space="0" w:color="auto"/>
        <w:bottom w:val="none" w:sz="0" w:space="0" w:color="auto"/>
        <w:right w:val="none" w:sz="0" w:space="0" w:color="auto"/>
      </w:divBdr>
    </w:div>
    <w:div w:id="269892612">
      <w:bodyDiv w:val="1"/>
      <w:marLeft w:val="0"/>
      <w:marRight w:val="0"/>
      <w:marTop w:val="0"/>
      <w:marBottom w:val="0"/>
      <w:divBdr>
        <w:top w:val="none" w:sz="0" w:space="0" w:color="auto"/>
        <w:left w:val="none" w:sz="0" w:space="0" w:color="auto"/>
        <w:bottom w:val="none" w:sz="0" w:space="0" w:color="auto"/>
        <w:right w:val="none" w:sz="0" w:space="0" w:color="auto"/>
      </w:divBdr>
    </w:div>
    <w:div w:id="327291651">
      <w:bodyDiv w:val="1"/>
      <w:marLeft w:val="0"/>
      <w:marRight w:val="0"/>
      <w:marTop w:val="0"/>
      <w:marBottom w:val="0"/>
      <w:divBdr>
        <w:top w:val="none" w:sz="0" w:space="0" w:color="auto"/>
        <w:left w:val="none" w:sz="0" w:space="0" w:color="auto"/>
        <w:bottom w:val="none" w:sz="0" w:space="0" w:color="auto"/>
        <w:right w:val="none" w:sz="0" w:space="0" w:color="auto"/>
      </w:divBdr>
    </w:div>
    <w:div w:id="375324905">
      <w:bodyDiv w:val="1"/>
      <w:marLeft w:val="0"/>
      <w:marRight w:val="0"/>
      <w:marTop w:val="0"/>
      <w:marBottom w:val="0"/>
      <w:divBdr>
        <w:top w:val="none" w:sz="0" w:space="0" w:color="auto"/>
        <w:left w:val="none" w:sz="0" w:space="0" w:color="auto"/>
        <w:bottom w:val="none" w:sz="0" w:space="0" w:color="auto"/>
        <w:right w:val="none" w:sz="0" w:space="0" w:color="auto"/>
      </w:divBdr>
    </w:div>
    <w:div w:id="396323573">
      <w:bodyDiv w:val="1"/>
      <w:marLeft w:val="0"/>
      <w:marRight w:val="0"/>
      <w:marTop w:val="0"/>
      <w:marBottom w:val="0"/>
      <w:divBdr>
        <w:top w:val="none" w:sz="0" w:space="0" w:color="auto"/>
        <w:left w:val="none" w:sz="0" w:space="0" w:color="auto"/>
        <w:bottom w:val="none" w:sz="0" w:space="0" w:color="auto"/>
        <w:right w:val="none" w:sz="0" w:space="0" w:color="auto"/>
      </w:divBdr>
    </w:div>
    <w:div w:id="441999488">
      <w:bodyDiv w:val="1"/>
      <w:marLeft w:val="0"/>
      <w:marRight w:val="0"/>
      <w:marTop w:val="0"/>
      <w:marBottom w:val="0"/>
      <w:divBdr>
        <w:top w:val="none" w:sz="0" w:space="0" w:color="auto"/>
        <w:left w:val="none" w:sz="0" w:space="0" w:color="auto"/>
        <w:bottom w:val="none" w:sz="0" w:space="0" w:color="auto"/>
        <w:right w:val="none" w:sz="0" w:space="0" w:color="auto"/>
      </w:divBdr>
    </w:div>
    <w:div w:id="464660479">
      <w:bodyDiv w:val="1"/>
      <w:marLeft w:val="0"/>
      <w:marRight w:val="0"/>
      <w:marTop w:val="0"/>
      <w:marBottom w:val="0"/>
      <w:divBdr>
        <w:top w:val="none" w:sz="0" w:space="0" w:color="auto"/>
        <w:left w:val="none" w:sz="0" w:space="0" w:color="auto"/>
        <w:bottom w:val="none" w:sz="0" w:space="0" w:color="auto"/>
        <w:right w:val="none" w:sz="0" w:space="0" w:color="auto"/>
      </w:divBdr>
    </w:div>
    <w:div w:id="490677603">
      <w:bodyDiv w:val="1"/>
      <w:marLeft w:val="0"/>
      <w:marRight w:val="0"/>
      <w:marTop w:val="0"/>
      <w:marBottom w:val="0"/>
      <w:divBdr>
        <w:top w:val="none" w:sz="0" w:space="0" w:color="auto"/>
        <w:left w:val="none" w:sz="0" w:space="0" w:color="auto"/>
        <w:bottom w:val="none" w:sz="0" w:space="0" w:color="auto"/>
        <w:right w:val="none" w:sz="0" w:space="0" w:color="auto"/>
      </w:divBdr>
    </w:div>
    <w:div w:id="493565629">
      <w:bodyDiv w:val="1"/>
      <w:marLeft w:val="0"/>
      <w:marRight w:val="0"/>
      <w:marTop w:val="0"/>
      <w:marBottom w:val="0"/>
      <w:divBdr>
        <w:top w:val="none" w:sz="0" w:space="0" w:color="auto"/>
        <w:left w:val="none" w:sz="0" w:space="0" w:color="auto"/>
        <w:bottom w:val="none" w:sz="0" w:space="0" w:color="auto"/>
        <w:right w:val="none" w:sz="0" w:space="0" w:color="auto"/>
      </w:divBdr>
    </w:div>
    <w:div w:id="498548245">
      <w:bodyDiv w:val="1"/>
      <w:marLeft w:val="0"/>
      <w:marRight w:val="0"/>
      <w:marTop w:val="0"/>
      <w:marBottom w:val="0"/>
      <w:divBdr>
        <w:top w:val="none" w:sz="0" w:space="0" w:color="auto"/>
        <w:left w:val="none" w:sz="0" w:space="0" w:color="auto"/>
        <w:bottom w:val="none" w:sz="0" w:space="0" w:color="auto"/>
        <w:right w:val="none" w:sz="0" w:space="0" w:color="auto"/>
      </w:divBdr>
    </w:div>
    <w:div w:id="512649646">
      <w:bodyDiv w:val="1"/>
      <w:marLeft w:val="0"/>
      <w:marRight w:val="0"/>
      <w:marTop w:val="0"/>
      <w:marBottom w:val="0"/>
      <w:divBdr>
        <w:top w:val="none" w:sz="0" w:space="0" w:color="auto"/>
        <w:left w:val="none" w:sz="0" w:space="0" w:color="auto"/>
        <w:bottom w:val="none" w:sz="0" w:space="0" w:color="auto"/>
        <w:right w:val="none" w:sz="0" w:space="0" w:color="auto"/>
      </w:divBdr>
    </w:div>
    <w:div w:id="567806713">
      <w:bodyDiv w:val="1"/>
      <w:marLeft w:val="0"/>
      <w:marRight w:val="0"/>
      <w:marTop w:val="0"/>
      <w:marBottom w:val="0"/>
      <w:divBdr>
        <w:top w:val="none" w:sz="0" w:space="0" w:color="auto"/>
        <w:left w:val="none" w:sz="0" w:space="0" w:color="auto"/>
        <w:bottom w:val="none" w:sz="0" w:space="0" w:color="auto"/>
        <w:right w:val="none" w:sz="0" w:space="0" w:color="auto"/>
      </w:divBdr>
    </w:div>
    <w:div w:id="584610887">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94116326">
      <w:bodyDiv w:val="1"/>
      <w:marLeft w:val="0"/>
      <w:marRight w:val="0"/>
      <w:marTop w:val="0"/>
      <w:marBottom w:val="0"/>
      <w:divBdr>
        <w:top w:val="none" w:sz="0" w:space="0" w:color="auto"/>
        <w:left w:val="none" w:sz="0" w:space="0" w:color="auto"/>
        <w:bottom w:val="none" w:sz="0" w:space="0" w:color="auto"/>
        <w:right w:val="none" w:sz="0" w:space="0" w:color="auto"/>
      </w:divBdr>
    </w:div>
    <w:div w:id="732242612">
      <w:bodyDiv w:val="1"/>
      <w:marLeft w:val="0"/>
      <w:marRight w:val="0"/>
      <w:marTop w:val="0"/>
      <w:marBottom w:val="0"/>
      <w:divBdr>
        <w:top w:val="none" w:sz="0" w:space="0" w:color="auto"/>
        <w:left w:val="none" w:sz="0" w:space="0" w:color="auto"/>
        <w:bottom w:val="none" w:sz="0" w:space="0" w:color="auto"/>
        <w:right w:val="none" w:sz="0" w:space="0" w:color="auto"/>
      </w:divBdr>
    </w:div>
    <w:div w:id="781534562">
      <w:bodyDiv w:val="1"/>
      <w:marLeft w:val="0"/>
      <w:marRight w:val="0"/>
      <w:marTop w:val="0"/>
      <w:marBottom w:val="0"/>
      <w:divBdr>
        <w:top w:val="none" w:sz="0" w:space="0" w:color="auto"/>
        <w:left w:val="none" w:sz="0" w:space="0" w:color="auto"/>
        <w:bottom w:val="none" w:sz="0" w:space="0" w:color="auto"/>
        <w:right w:val="none" w:sz="0" w:space="0" w:color="auto"/>
      </w:divBdr>
    </w:div>
    <w:div w:id="79417419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54156564">
      <w:bodyDiv w:val="1"/>
      <w:marLeft w:val="0"/>
      <w:marRight w:val="0"/>
      <w:marTop w:val="0"/>
      <w:marBottom w:val="0"/>
      <w:divBdr>
        <w:top w:val="none" w:sz="0" w:space="0" w:color="auto"/>
        <w:left w:val="none" w:sz="0" w:space="0" w:color="auto"/>
        <w:bottom w:val="none" w:sz="0" w:space="0" w:color="auto"/>
        <w:right w:val="none" w:sz="0" w:space="0" w:color="auto"/>
      </w:divBdr>
    </w:div>
    <w:div w:id="858854321">
      <w:bodyDiv w:val="1"/>
      <w:marLeft w:val="0"/>
      <w:marRight w:val="0"/>
      <w:marTop w:val="0"/>
      <w:marBottom w:val="0"/>
      <w:divBdr>
        <w:top w:val="none" w:sz="0" w:space="0" w:color="auto"/>
        <w:left w:val="none" w:sz="0" w:space="0" w:color="auto"/>
        <w:bottom w:val="none" w:sz="0" w:space="0" w:color="auto"/>
        <w:right w:val="none" w:sz="0" w:space="0" w:color="auto"/>
      </w:divBdr>
    </w:div>
    <w:div w:id="874344606">
      <w:bodyDiv w:val="1"/>
      <w:marLeft w:val="0"/>
      <w:marRight w:val="0"/>
      <w:marTop w:val="0"/>
      <w:marBottom w:val="0"/>
      <w:divBdr>
        <w:top w:val="none" w:sz="0" w:space="0" w:color="auto"/>
        <w:left w:val="none" w:sz="0" w:space="0" w:color="auto"/>
        <w:bottom w:val="none" w:sz="0" w:space="0" w:color="auto"/>
        <w:right w:val="none" w:sz="0" w:space="0" w:color="auto"/>
      </w:divBdr>
    </w:div>
    <w:div w:id="899562612">
      <w:bodyDiv w:val="1"/>
      <w:marLeft w:val="0"/>
      <w:marRight w:val="0"/>
      <w:marTop w:val="0"/>
      <w:marBottom w:val="0"/>
      <w:divBdr>
        <w:top w:val="none" w:sz="0" w:space="0" w:color="auto"/>
        <w:left w:val="none" w:sz="0" w:space="0" w:color="auto"/>
        <w:bottom w:val="none" w:sz="0" w:space="0" w:color="auto"/>
        <w:right w:val="none" w:sz="0" w:space="0" w:color="auto"/>
      </w:divBdr>
    </w:div>
    <w:div w:id="908536618">
      <w:bodyDiv w:val="1"/>
      <w:marLeft w:val="0"/>
      <w:marRight w:val="0"/>
      <w:marTop w:val="0"/>
      <w:marBottom w:val="0"/>
      <w:divBdr>
        <w:top w:val="none" w:sz="0" w:space="0" w:color="auto"/>
        <w:left w:val="none" w:sz="0" w:space="0" w:color="auto"/>
        <w:bottom w:val="none" w:sz="0" w:space="0" w:color="auto"/>
        <w:right w:val="none" w:sz="0" w:space="0" w:color="auto"/>
      </w:divBdr>
    </w:div>
    <w:div w:id="912279638">
      <w:bodyDiv w:val="1"/>
      <w:marLeft w:val="0"/>
      <w:marRight w:val="0"/>
      <w:marTop w:val="0"/>
      <w:marBottom w:val="0"/>
      <w:divBdr>
        <w:top w:val="none" w:sz="0" w:space="0" w:color="auto"/>
        <w:left w:val="none" w:sz="0" w:space="0" w:color="auto"/>
        <w:bottom w:val="none" w:sz="0" w:space="0" w:color="auto"/>
        <w:right w:val="none" w:sz="0" w:space="0" w:color="auto"/>
      </w:divBdr>
    </w:div>
    <w:div w:id="953173637">
      <w:bodyDiv w:val="1"/>
      <w:marLeft w:val="0"/>
      <w:marRight w:val="0"/>
      <w:marTop w:val="0"/>
      <w:marBottom w:val="0"/>
      <w:divBdr>
        <w:top w:val="none" w:sz="0" w:space="0" w:color="auto"/>
        <w:left w:val="none" w:sz="0" w:space="0" w:color="auto"/>
        <w:bottom w:val="none" w:sz="0" w:space="0" w:color="auto"/>
        <w:right w:val="none" w:sz="0" w:space="0" w:color="auto"/>
      </w:divBdr>
    </w:div>
    <w:div w:id="1052073396">
      <w:bodyDiv w:val="1"/>
      <w:marLeft w:val="0"/>
      <w:marRight w:val="0"/>
      <w:marTop w:val="0"/>
      <w:marBottom w:val="0"/>
      <w:divBdr>
        <w:top w:val="none" w:sz="0" w:space="0" w:color="auto"/>
        <w:left w:val="none" w:sz="0" w:space="0" w:color="auto"/>
        <w:bottom w:val="none" w:sz="0" w:space="0" w:color="auto"/>
        <w:right w:val="none" w:sz="0" w:space="0" w:color="auto"/>
      </w:divBdr>
    </w:div>
    <w:div w:id="1093890777">
      <w:bodyDiv w:val="1"/>
      <w:marLeft w:val="0"/>
      <w:marRight w:val="0"/>
      <w:marTop w:val="0"/>
      <w:marBottom w:val="0"/>
      <w:divBdr>
        <w:top w:val="none" w:sz="0" w:space="0" w:color="auto"/>
        <w:left w:val="none" w:sz="0" w:space="0" w:color="auto"/>
        <w:bottom w:val="none" w:sz="0" w:space="0" w:color="auto"/>
        <w:right w:val="none" w:sz="0" w:space="0" w:color="auto"/>
      </w:divBdr>
    </w:div>
    <w:div w:id="1107042722">
      <w:bodyDiv w:val="1"/>
      <w:marLeft w:val="0"/>
      <w:marRight w:val="0"/>
      <w:marTop w:val="0"/>
      <w:marBottom w:val="0"/>
      <w:divBdr>
        <w:top w:val="none" w:sz="0" w:space="0" w:color="auto"/>
        <w:left w:val="none" w:sz="0" w:space="0" w:color="auto"/>
        <w:bottom w:val="none" w:sz="0" w:space="0" w:color="auto"/>
        <w:right w:val="none" w:sz="0" w:space="0" w:color="auto"/>
      </w:divBdr>
    </w:div>
    <w:div w:id="1121651338">
      <w:bodyDiv w:val="1"/>
      <w:marLeft w:val="0"/>
      <w:marRight w:val="0"/>
      <w:marTop w:val="0"/>
      <w:marBottom w:val="0"/>
      <w:divBdr>
        <w:top w:val="none" w:sz="0" w:space="0" w:color="auto"/>
        <w:left w:val="none" w:sz="0" w:space="0" w:color="auto"/>
        <w:bottom w:val="none" w:sz="0" w:space="0" w:color="auto"/>
        <w:right w:val="none" w:sz="0" w:space="0" w:color="auto"/>
      </w:divBdr>
    </w:div>
    <w:div w:id="1220479654">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763134">
      <w:bodyDiv w:val="1"/>
      <w:marLeft w:val="0"/>
      <w:marRight w:val="0"/>
      <w:marTop w:val="0"/>
      <w:marBottom w:val="0"/>
      <w:divBdr>
        <w:top w:val="none" w:sz="0" w:space="0" w:color="auto"/>
        <w:left w:val="none" w:sz="0" w:space="0" w:color="auto"/>
        <w:bottom w:val="none" w:sz="0" w:space="0" w:color="auto"/>
        <w:right w:val="none" w:sz="0" w:space="0" w:color="auto"/>
      </w:divBdr>
    </w:div>
    <w:div w:id="1231765835">
      <w:bodyDiv w:val="1"/>
      <w:marLeft w:val="0"/>
      <w:marRight w:val="0"/>
      <w:marTop w:val="0"/>
      <w:marBottom w:val="0"/>
      <w:divBdr>
        <w:top w:val="none" w:sz="0" w:space="0" w:color="auto"/>
        <w:left w:val="none" w:sz="0" w:space="0" w:color="auto"/>
        <w:bottom w:val="none" w:sz="0" w:space="0" w:color="auto"/>
        <w:right w:val="none" w:sz="0" w:space="0" w:color="auto"/>
      </w:divBdr>
    </w:div>
    <w:div w:id="1238591797">
      <w:bodyDiv w:val="1"/>
      <w:marLeft w:val="0"/>
      <w:marRight w:val="0"/>
      <w:marTop w:val="0"/>
      <w:marBottom w:val="0"/>
      <w:divBdr>
        <w:top w:val="none" w:sz="0" w:space="0" w:color="auto"/>
        <w:left w:val="none" w:sz="0" w:space="0" w:color="auto"/>
        <w:bottom w:val="none" w:sz="0" w:space="0" w:color="auto"/>
        <w:right w:val="none" w:sz="0" w:space="0" w:color="auto"/>
      </w:divBdr>
    </w:div>
    <w:div w:id="1249122291">
      <w:bodyDiv w:val="1"/>
      <w:marLeft w:val="0"/>
      <w:marRight w:val="0"/>
      <w:marTop w:val="0"/>
      <w:marBottom w:val="0"/>
      <w:divBdr>
        <w:top w:val="none" w:sz="0" w:space="0" w:color="auto"/>
        <w:left w:val="none" w:sz="0" w:space="0" w:color="auto"/>
        <w:bottom w:val="none" w:sz="0" w:space="0" w:color="auto"/>
        <w:right w:val="none" w:sz="0" w:space="0" w:color="auto"/>
      </w:divBdr>
    </w:div>
    <w:div w:id="1267150737">
      <w:bodyDiv w:val="1"/>
      <w:marLeft w:val="0"/>
      <w:marRight w:val="0"/>
      <w:marTop w:val="0"/>
      <w:marBottom w:val="0"/>
      <w:divBdr>
        <w:top w:val="none" w:sz="0" w:space="0" w:color="auto"/>
        <w:left w:val="none" w:sz="0" w:space="0" w:color="auto"/>
        <w:bottom w:val="none" w:sz="0" w:space="0" w:color="auto"/>
        <w:right w:val="none" w:sz="0" w:space="0" w:color="auto"/>
      </w:divBdr>
    </w:div>
    <w:div w:id="127227922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0392479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8243772">
      <w:bodyDiv w:val="1"/>
      <w:marLeft w:val="0"/>
      <w:marRight w:val="0"/>
      <w:marTop w:val="0"/>
      <w:marBottom w:val="0"/>
      <w:divBdr>
        <w:top w:val="none" w:sz="0" w:space="0" w:color="auto"/>
        <w:left w:val="none" w:sz="0" w:space="0" w:color="auto"/>
        <w:bottom w:val="none" w:sz="0" w:space="0" w:color="auto"/>
        <w:right w:val="none" w:sz="0" w:space="0" w:color="auto"/>
      </w:divBdr>
    </w:div>
    <w:div w:id="13442360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62701270">
      <w:bodyDiv w:val="1"/>
      <w:marLeft w:val="0"/>
      <w:marRight w:val="0"/>
      <w:marTop w:val="0"/>
      <w:marBottom w:val="0"/>
      <w:divBdr>
        <w:top w:val="none" w:sz="0" w:space="0" w:color="auto"/>
        <w:left w:val="none" w:sz="0" w:space="0" w:color="auto"/>
        <w:bottom w:val="none" w:sz="0" w:space="0" w:color="auto"/>
        <w:right w:val="none" w:sz="0" w:space="0" w:color="auto"/>
      </w:divBdr>
    </w:div>
    <w:div w:id="1365909297">
      <w:bodyDiv w:val="1"/>
      <w:marLeft w:val="0"/>
      <w:marRight w:val="0"/>
      <w:marTop w:val="0"/>
      <w:marBottom w:val="0"/>
      <w:divBdr>
        <w:top w:val="none" w:sz="0" w:space="0" w:color="auto"/>
        <w:left w:val="none" w:sz="0" w:space="0" w:color="auto"/>
        <w:bottom w:val="none" w:sz="0" w:space="0" w:color="auto"/>
        <w:right w:val="none" w:sz="0" w:space="0" w:color="auto"/>
      </w:divBdr>
    </w:div>
    <w:div w:id="1441873817">
      <w:bodyDiv w:val="1"/>
      <w:marLeft w:val="0"/>
      <w:marRight w:val="0"/>
      <w:marTop w:val="0"/>
      <w:marBottom w:val="0"/>
      <w:divBdr>
        <w:top w:val="none" w:sz="0" w:space="0" w:color="auto"/>
        <w:left w:val="none" w:sz="0" w:space="0" w:color="auto"/>
        <w:bottom w:val="none" w:sz="0" w:space="0" w:color="auto"/>
        <w:right w:val="none" w:sz="0" w:space="0" w:color="auto"/>
      </w:divBdr>
    </w:div>
    <w:div w:id="1467579258">
      <w:bodyDiv w:val="1"/>
      <w:marLeft w:val="0"/>
      <w:marRight w:val="0"/>
      <w:marTop w:val="0"/>
      <w:marBottom w:val="0"/>
      <w:divBdr>
        <w:top w:val="none" w:sz="0" w:space="0" w:color="auto"/>
        <w:left w:val="none" w:sz="0" w:space="0" w:color="auto"/>
        <w:bottom w:val="none" w:sz="0" w:space="0" w:color="auto"/>
        <w:right w:val="none" w:sz="0" w:space="0" w:color="auto"/>
      </w:divBdr>
    </w:div>
    <w:div w:id="1474909894">
      <w:bodyDiv w:val="1"/>
      <w:marLeft w:val="0"/>
      <w:marRight w:val="0"/>
      <w:marTop w:val="0"/>
      <w:marBottom w:val="0"/>
      <w:divBdr>
        <w:top w:val="none" w:sz="0" w:space="0" w:color="auto"/>
        <w:left w:val="none" w:sz="0" w:space="0" w:color="auto"/>
        <w:bottom w:val="none" w:sz="0" w:space="0" w:color="auto"/>
        <w:right w:val="none" w:sz="0" w:space="0" w:color="auto"/>
      </w:divBdr>
    </w:div>
    <w:div w:id="1487436763">
      <w:bodyDiv w:val="1"/>
      <w:marLeft w:val="0"/>
      <w:marRight w:val="0"/>
      <w:marTop w:val="0"/>
      <w:marBottom w:val="0"/>
      <w:divBdr>
        <w:top w:val="none" w:sz="0" w:space="0" w:color="auto"/>
        <w:left w:val="none" w:sz="0" w:space="0" w:color="auto"/>
        <w:bottom w:val="none" w:sz="0" w:space="0" w:color="auto"/>
        <w:right w:val="none" w:sz="0" w:space="0" w:color="auto"/>
      </w:divBdr>
    </w:div>
    <w:div w:id="1488475584">
      <w:bodyDiv w:val="1"/>
      <w:marLeft w:val="0"/>
      <w:marRight w:val="0"/>
      <w:marTop w:val="0"/>
      <w:marBottom w:val="0"/>
      <w:divBdr>
        <w:top w:val="none" w:sz="0" w:space="0" w:color="auto"/>
        <w:left w:val="none" w:sz="0" w:space="0" w:color="auto"/>
        <w:bottom w:val="none" w:sz="0" w:space="0" w:color="auto"/>
        <w:right w:val="none" w:sz="0" w:space="0" w:color="auto"/>
      </w:divBdr>
    </w:div>
    <w:div w:id="1516841784">
      <w:bodyDiv w:val="1"/>
      <w:marLeft w:val="0"/>
      <w:marRight w:val="0"/>
      <w:marTop w:val="0"/>
      <w:marBottom w:val="0"/>
      <w:divBdr>
        <w:top w:val="none" w:sz="0" w:space="0" w:color="auto"/>
        <w:left w:val="none" w:sz="0" w:space="0" w:color="auto"/>
        <w:bottom w:val="none" w:sz="0" w:space="0" w:color="auto"/>
        <w:right w:val="none" w:sz="0" w:space="0" w:color="auto"/>
      </w:divBdr>
    </w:div>
    <w:div w:id="1528175819">
      <w:bodyDiv w:val="1"/>
      <w:marLeft w:val="0"/>
      <w:marRight w:val="0"/>
      <w:marTop w:val="0"/>
      <w:marBottom w:val="0"/>
      <w:divBdr>
        <w:top w:val="none" w:sz="0" w:space="0" w:color="auto"/>
        <w:left w:val="none" w:sz="0" w:space="0" w:color="auto"/>
        <w:bottom w:val="none" w:sz="0" w:space="0" w:color="auto"/>
        <w:right w:val="none" w:sz="0" w:space="0" w:color="auto"/>
      </w:divBdr>
    </w:div>
    <w:div w:id="1555501231">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74851304">
      <w:bodyDiv w:val="1"/>
      <w:marLeft w:val="0"/>
      <w:marRight w:val="0"/>
      <w:marTop w:val="0"/>
      <w:marBottom w:val="0"/>
      <w:divBdr>
        <w:top w:val="none" w:sz="0" w:space="0" w:color="auto"/>
        <w:left w:val="none" w:sz="0" w:space="0" w:color="auto"/>
        <w:bottom w:val="none" w:sz="0" w:space="0" w:color="auto"/>
        <w:right w:val="none" w:sz="0" w:space="0" w:color="auto"/>
      </w:divBdr>
    </w:div>
    <w:div w:id="1612198747">
      <w:bodyDiv w:val="1"/>
      <w:marLeft w:val="0"/>
      <w:marRight w:val="0"/>
      <w:marTop w:val="0"/>
      <w:marBottom w:val="0"/>
      <w:divBdr>
        <w:top w:val="none" w:sz="0" w:space="0" w:color="auto"/>
        <w:left w:val="none" w:sz="0" w:space="0" w:color="auto"/>
        <w:bottom w:val="none" w:sz="0" w:space="0" w:color="auto"/>
        <w:right w:val="none" w:sz="0" w:space="0" w:color="auto"/>
      </w:divBdr>
    </w:div>
    <w:div w:id="1621064657">
      <w:bodyDiv w:val="1"/>
      <w:marLeft w:val="0"/>
      <w:marRight w:val="0"/>
      <w:marTop w:val="0"/>
      <w:marBottom w:val="0"/>
      <w:divBdr>
        <w:top w:val="none" w:sz="0" w:space="0" w:color="auto"/>
        <w:left w:val="none" w:sz="0" w:space="0" w:color="auto"/>
        <w:bottom w:val="none" w:sz="0" w:space="0" w:color="auto"/>
        <w:right w:val="none" w:sz="0" w:space="0" w:color="auto"/>
      </w:divBdr>
    </w:div>
    <w:div w:id="1635789143">
      <w:bodyDiv w:val="1"/>
      <w:marLeft w:val="0"/>
      <w:marRight w:val="0"/>
      <w:marTop w:val="0"/>
      <w:marBottom w:val="0"/>
      <w:divBdr>
        <w:top w:val="none" w:sz="0" w:space="0" w:color="auto"/>
        <w:left w:val="none" w:sz="0" w:space="0" w:color="auto"/>
        <w:bottom w:val="none" w:sz="0" w:space="0" w:color="auto"/>
        <w:right w:val="none" w:sz="0" w:space="0" w:color="auto"/>
      </w:divBdr>
    </w:div>
    <w:div w:id="1677880677">
      <w:bodyDiv w:val="1"/>
      <w:marLeft w:val="0"/>
      <w:marRight w:val="0"/>
      <w:marTop w:val="0"/>
      <w:marBottom w:val="0"/>
      <w:divBdr>
        <w:top w:val="none" w:sz="0" w:space="0" w:color="auto"/>
        <w:left w:val="none" w:sz="0" w:space="0" w:color="auto"/>
        <w:bottom w:val="none" w:sz="0" w:space="0" w:color="auto"/>
        <w:right w:val="none" w:sz="0" w:space="0" w:color="auto"/>
      </w:divBdr>
    </w:div>
    <w:div w:id="1703941297">
      <w:bodyDiv w:val="1"/>
      <w:marLeft w:val="0"/>
      <w:marRight w:val="0"/>
      <w:marTop w:val="0"/>
      <w:marBottom w:val="0"/>
      <w:divBdr>
        <w:top w:val="none" w:sz="0" w:space="0" w:color="auto"/>
        <w:left w:val="none" w:sz="0" w:space="0" w:color="auto"/>
        <w:bottom w:val="none" w:sz="0" w:space="0" w:color="auto"/>
        <w:right w:val="none" w:sz="0" w:space="0" w:color="auto"/>
      </w:divBdr>
    </w:div>
    <w:div w:id="1759591717">
      <w:bodyDiv w:val="1"/>
      <w:marLeft w:val="0"/>
      <w:marRight w:val="0"/>
      <w:marTop w:val="0"/>
      <w:marBottom w:val="0"/>
      <w:divBdr>
        <w:top w:val="none" w:sz="0" w:space="0" w:color="auto"/>
        <w:left w:val="none" w:sz="0" w:space="0" w:color="auto"/>
        <w:bottom w:val="none" w:sz="0" w:space="0" w:color="auto"/>
        <w:right w:val="none" w:sz="0" w:space="0" w:color="auto"/>
      </w:divBdr>
    </w:div>
    <w:div w:id="1766918350">
      <w:bodyDiv w:val="1"/>
      <w:marLeft w:val="0"/>
      <w:marRight w:val="0"/>
      <w:marTop w:val="0"/>
      <w:marBottom w:val="0"/>
      <w:divBdr>
        <w:top w:val="none" w:sz="0" w:space="0" w:color="auto"/>
        <w:left w:val="none" w:sz="0" w:space="0" w:color="auto"/>
        <w:bottom w:val="none" w:sz="0" w:space="0" w:color="auto"/>
        <w:right w:val="none" w:sz="0" w:space="0" w:color="auto"/>
      </w:divBdr>
    </w:div>
    <w:div w:id="1770782759">
      <w:bodyDiv w:val="1"/>
      <w:marLeft w:val="0"/>
      <w:marRight w:val="0"/>
      <w:marTop w:val="0"/>
      <w:marBottom w:val="0"/>
      <w:divBdr>
        <w:top w:val="none" w:sz="0" w:space="0" w:color="auto"/>
        <w:left w:val="none" w:sz="0" w:space="0" w:color="auto"/>
        <w:bottom w:val="none" w:sz="0" w:space="0" w:color="auto"/>
        <w:right w:val="none" w:sz="0" w:space="0" w:color="auto"/>
      </w:divBdr>
    </w:div>
    <w:div w:id="1774785672">
      <w:bodyDiv w:val="1"/>
      <w:marLeft w:val="0"/>
      <w:marRight w:val="0"/>
      <w:marTop w:val="0"/>
      <w:marBottom w:val="0"/>
      <w:divBdr>
        <w:top w:val="none" w:sz="0" w:space="0" w:color="auto"/>
        <w:left w:val="none" w:sz="0" w:space="0" w:color="auto"/>
        <w:bottom w:val="none" w:sz="0" w:space="0" w:color="auto"/>
        <w:right w:val="none" w:sz="0" w:space="0" w:color="auto"/>
      </w:divBdr>
    </w:div>
    <w:div w:id="1778058972">
      <w:bodyDiv w:val="1"/>
      <w:marLeft w:val="0"/>
      <w:marRight w:val="0"/>
      <w:marTop w:val="0"/>
      <w:marBottom w:val="0"/>
      <w:divBdr>
        <w:top w:val="none" w:sz="0" w:space="0" w:color="auto"/>
        <w:left w:val="none" w:sz="0" w:space="0" w:color="auto"/>
        <w:bottom w:val="none" w:sz="0" w:space="0" w:color="auto"/>
        <w:right w:val="none" w:sz="0" w:space="0" w:color="auto"/>
      </w:divBdr>
    </w:div>
    <w:div w:id="1791319787">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924555">
      <w:bodyDiv w:val="1"/>
      <w:marLeft w:val="0"/>
      <w:marRight w:val="0"/>
      <w:marTop w:val="0"/>
      <w:marBottom w:val="0"/>
      <w:divBdr>
        <w:top w:val="none" w:sz="0" w:space="0" w:color="auto"/>
        <w:left w:val="none" w:sz="0" w:space="0" w:color="auto"/>
        <w:bottom w:val="none" w:sz="0" w:space="0" w:color="auto"/>
        <w:right w:val="none" w:sz="0" w:space="0" w:color="auto"/>
      </w:divBdr>
    </w:div>
    <w:div w:id="1815369194">
      <w:bodyDiv w:val="1"/>
      <w:marLeft w:val="0"/>
      <w:marRight w:val="0"/>
      <w:marTop w:val="0"/>
      <w:marBottom w:val="0"/>
      <w:divBdr>
        <w:top w:val="none" w:sz="0" w:space="0" w:color="auto"/>
        <w:left w:val="none" w:sz="0" w:space="0" w:color="auto"/>
        <w:bottom w:val="none" w:sz="0" w:space="0" w:color="auto"/>
        <w:right w:val="none" w:sz="0" w:space="0" w:color="auto"/>
      </w:divBdr>
    </w:div>
    <w:div w:id="1825662139">
      <w:bodyDiv w:val="1"/>
      <w:marLeft w:val="0"/>
      <w:marRight w:val="0"/>
      <w:marTop w:val="0"/>
      <w:marBottom w:val="0"/>
      <w:divBdr>
        <w:top w:val="none" w:sz="0" w:space="0" w:color="auto"/>
        <w:left w:val="none" w:sz="0" w:space="0" w:color="auto"/>
        <w:bottom w:val="none" w:sz="0" w:space="0" w:color="auto"/>
        <w:right w:val="none" w:sz="0" w:space="0" w:color="auto"/>
      </w:divBdr>
    </w:div>
    <w:div w:id="1854494205">
      <w:bodyDiv w:val="1"/>
      <w:marLeft w:val="0"/>
      <w:marRight w:val="0"/>
      <w:marTop w:val="0"/>
      <w:marBottom w:val="0"/>
      <w:divBdr>
        <w:top w:val="none" w:sz="0" w:space="0" w:color="auto"/>
        <w:left w:val="none" w:sz="0" w:space="0" w:color="auto"/>
        <w:bottom w:val="none" w:sz="0" w:space="0" w:color="auto"/>
        <w:right w:val="none" w:sz="0" w:space="0" w:color="auto"/>
      </w:divBdr>
    </w:div>
    <w:div w:id="1858542319">
      <w:bodyDiv w:val="1"/>
      <w:marLeft w:val="0"/>
      <w:marRight w:val="0"/>
      <w:marTop w:val="0"/>
      <w:marBottom w:val="0"/>
      <w:divBdr>
        <w:top w:val="none" w:sz="0" w:space="0" w:color="auto"/>
        <w:left w:val="none" w:sz="0" w:space="0" w:color="auto"/>
        <w:bottom w:val="none" w:sz="0" w:space="0" w:color="auto"/>
        <w:right w:val="none" w:sz="0" w:space="0" w:color="auto"/>
      </w:divBdr>
    </w:div>
    <w:div w:id="1904565714">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1237626">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79450139">
      <w:bodyDiv w:val="1"/>
      <w:marLeft w:val="0"/>
      <w:marRight w:val="0"/>
      <w:marTop w:val="0"/>
      <w:marBottom w:val="0"/>
      <w:divBdr>
        <w:top w:val="none" w:sz="0" w:space="0" w:color="auto"/>
        <w:left w:val="none" w:sz="0" w:space="0" w:color="auto"/>
        <w:bottom w:val="none" w:sz="0" w:space="0" w:color="auto"/>
        <w:right w:val="none" w:sz="0" w:space="0" w:color="auto"/>
      </w:divBdr>
    </w:div>
    <w:div w:id="1986542580">
      <w:bodyDiv w:val="1"/>
      <w:marLeft w:val="0"/>
      <w:marRight w:val="0"/>
      <w:marTop w:val="0"/>
      <w:marBottom w:val="0"/>
      <w:divBdr>
        <w:top w:val="none" w:sz="0" w:space="0" w:color="auto"/>
        <w:left w:val="none" w:sz="0" w:space="0" w:color="auto"/>
        <w:bottom w:val="none" w:sz="0" w:space="0" w:color="auto"/>
        <w:right w:val="none" w:sz="0" w:space="0" w:color="auto"/>
      </w:divBdr>
    </w:div>
    <w:div w:id="2011180425">
      <w:bodyDiv w:val="1"/>
      <w:marLeft w:val="0"/>
      <w:marRight w:val="0"/>
      <w:marTop w:val="0"/>
      <w:marBottom w:val="0"/>
      <w:divBdr>
        <w:top w:val="none" w:sz="0" w:space="0" w:color="auto"/>
        <w:left w:val="none" w:sz="0" w:space="0" w:color="auto"/>
        <w:bottom w:val="none" w:sz="0" w:space="0" w:color="auto"/>
        <w:right w:val="none" w:sz="0" w:space="0" w:color="auto"/>
      </w:divBdr>
    </w:div>
    <w:div w:id="2021471672">
      <w:bodyDiv w:val="1"/>
      <w:marLeft w:val="0"/>
      <w:marRight w:val="0"/>
      <w:marTop w:val="0"/>
      <w:marBottom w:val="0"/>
      <w:divBdr>
        <w:top w:val="none" w:sz="0" w:space="0" w:color="auto"/>
        <w:left w:val="none" w:sz="0" w:space="0" w:color="auto"/>
        <w:bottom w:val="none" w:sz="0" w:space="0" w:color="auto"/>
        <w:right w:val="none" w:sz="0" w:space="0" w:color="auto"/>
      </w:divBdr>
    </w:div>
    <w:div w:id="2034837469">
      <w:bodyDiv w:val="1"/>
      <w:marLeft w:val="0"/>
      <w:marRight w:val="0"/>
      <w:marTop w:val="0"/>
      <w:marBottom w:val="0"/>
      <w:divBdr>
        <w:top w:val="none" w:sz="0" w:space="0" w:color="auto"/>
        <w:left w:val="none" w:sz="0" w:space="0" w:color="auto"/>
        <w:bottom w:val="none" w:sz="0" w:space="0" w:color="auto"/>
        <w:right w:val="none" w:sz="0" w:space="0" w:color="auto"/>
      </w:divBdr>
    </w:div>
    <w:div w:id="2042894611">
      <w:bodyDiv w:val="1"/>
      <w:marLeft w:val="0"/>
      <w:marRight w:val="0"/>
      <w:marTop w:val="0"/>
      <w:marBottom w:val="0"/>
      <w:divBdr>
        <w:top w:val="none" w:sz="0" w:space="0" w:color="auto"/>
        <w:left w:val="none" w:sz="0" w:space="0" w:color="auto"/>
        <w:bottom w:val="none" w:sz="0" w:space="0" w:color="auto"/>
        <w:right w:val="none" w:sz="0" w:space="0" w:color="auto"/>
      </w:divBdr>
    </w:div>
    <w:div w:id="2070104349">
      <w:bodyDiv w:val="1"/>
      <w:marLeft w:val="0"/>
      <w:marRight w:val="0"/>
      <w:marTop w:val="0"/>
      <w:marBottom w:val="0"/>
      <w:divBdr>
        <w:top w:val="none" w:sz="0" w:space="0" w:color="auto"/>
        <w:left w:val="none" w:sz="0" w:space="0" w:color="auto"/>
        <w:bottom w:val="none" w:sz="0" w:space="0" w:color="auto"/>
        <w:right w:val="none" w:sz="0" w:space="0" w:color="auto"/>
      </w:divBdr>
    </w:div>
    <w:div w:id="2111778548">
      <w:bodyDiv w:val="1"/>
      <w:marLeft w:val="0"/>
      <w:marRight w:val="0"/>
      <w:marTop w:val="0"/>
      <w:marBottom w:val="0"/>
      <w:divBdr>
        <w:top w:val="none" w:sz="0" w:space="0" w:color="auto"/>
        <w:left w:val="none" w:sz="0" w:space="0" w:color="auto"/>
        <w:bottom w:val="none" w:sz="0" w:space="0" w:color="auto"/>
        <w:right w:val="none" w:sz="0" w:space="0" w:color="auto"/>
      </w:divBdr>
    </w:div>
    <w:div w:id="213621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cc-csc.ca/case-dossier/info/sum-som-eng.aspx?cas=39801" TargetMode="External"/><Relationship Id="rId18" Type="http://schemas.openxmlformats.org/officeDocument/2006/relationships/hyperlink" Target="https://www.scc-csc.ca/case-dossier/info/sum-som-fra.aspx?cas=39585" TargetMode="External"/><Relationship Id="rId26" Type="http://schemas.openxmlformats.org/officeDocument/2006/relationships/hyperlink" Target="https://www.canlii.org/en/on/onsc/doc/2013/2013onsc1076/2013onsc1076.html?resultIndex=1" TargetMode="External"/><Relationship Id="rId39" Type="http://schemas.openxmlformats.org/officeDocument/2006/relationships/hyperlink" Target="https://canlii.ca/t/jfpjp" TargetMode="External"/><Relationship Id="rId21" Type="http://schemas.openxmlformats.org/officeDocument/2006/relationships/hyperlink" Target="https://www.canlii.org/en/on/onsc/doc/2013/2013onsc3100/2013onsc3100.html?resultIndex=1" TargetMode="External"/><Relationship Id="rId34" Type="http://schemas.openxmlformats.org/officeDocument/2006/relationships/hyperlink" Target="https://www.canlii.org/fr/qc/qccs/doc/2016/2016qccs4816/2016qccs4816.pdf" TargetMode="External"/><Relationship Id="rId42" Type="http://schemas.openxmlformats.org/officeDocument/2006/relationships/hyperlink" Target="https://canlii.ca/t/jfx8q" TargetMode="External"/><Relationship Id="rId47" Type="http://schemas.openxmlformats.org/officeDocument/2006/relationships/hyperlink" Target="https://canlii.ca/t/jfwm7" TargetMode="External"/><Relationship Id="rId50" Type="http://schemas.openxmlformats.org/officeDocument/2006/relationships/hyperlink" Target="https://www.canlii.org/en/ab/abqb/doc/2019/2019abqb692/2019abqb692.html" TargetMode="External"/><Relationship Id="rId55" Type="http://schemas.openxmlformats.org/officeDocument/2006/relationships/hyperlink" Target="https://www.canlii.org/en/ab/abca/doc/2021/2021abca31/2021abca31.html?autocompleteStr=2021%20ABCA%2031&amp;autocompletePos=1" TargetMode="External"/><Relationship Id="rId63" Type="http://schemas.openxmlformats.org/officeDocument/2006/relationships/hyperlink" Target="https://canlii.ca/t/j9bzx"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scc-csc.ca/case-dossier/info/sum-som-eng.aspx?cas=39752" TargetMode="External"/><Relationship Id="rId29" Type="http://schemas.openxmlformats.org/officeDocument/2006/relationships/hyperlink" Target="https://www.canlii.org/en/on/onca/doc/2019/2019onca940/2019onca940.html?resultIndex=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case-dossier/info/sum-som-fra.aspx?cas=39741" TargetMode="External"/><Relationship Id="rId24" Type="http://schemas.openxmlformats.org/officeDocument/2006/relationships/hyperlink" Target="https://www.canlii.org/en/on/onsc/doc/2013/2013onsc3100/2013onsc3100.html?resultIndex=1" TargetMode="External"/><Relationship Id="rId32" Type="http://schemas.openxmlformats.org/officeDocument/2006/relationships/hyperlink" Target="https://decisions.scc-csc.ca/scc-csc/scc-l-csc-a/fr/item/18087/index.do?q=38545" TargetMode="External"/><Relationship Id="rId37" Type="http://schemas.openxmlformats.org/officeDocument/2006/relationships/hyperlink" Target="https://www.canlii.org/fr/qc/qcca/doc/2021/2021qcca560/2021qcca560.pdf" TargetMode="External"/><Relationship Id="rId40" Type="http://schemas.openxmlformats.org/officeDocument/2006/relationships/hyperlink" Target="https://www.canlii.org/fr/nb/nbbr/doc/2020/2020nbbr132/2020nbbr132.html" TargetMode="External"/><Relationship Id="rId45" Type="http://schemas.openxmlformats.org/officeDocument/2006/relationships/hyperlink" Target="https://canlii.ca/t/jfwm7" TargetMode="External"/><Relationship Id="rId53" Type="http://schemas.openxmlformats.org/officeDocument/2006/relationships/hyperlink" Target="https://www.canlii.org/en/ab/abca/doc/2021/2021abca5/2021abca5.html?autocompleteStr=2001-0073-AC&amp;autocompletePos=1" TargetMode="External"/><Relationship Id="rId58" Type="http://schemas.openxmlformats.org/officeDocument/2006/relationships/hyperlink" Target="https://www.canlii.org/en/bc/bcsc/doc/2019/2019bcsc2028/2019bcsc2028.html?searchUrlHash=AAAAAQAdR2xlbiBIYW5zbWFuIHYuIEJhcnJ5IE5ldWZlbGQAAAAAAQ&amp;resultIndex=2"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scc-csc.ca/case-dossier/info/sum-som-eng.aspx?cas=39757" TargetMode="External"/><Relationship Id="rId23" Type="http://schemas.openxmlformats.org/officeDocument/2006/relationships/hyperlink" Target="https://www.canlii.org/en/on/onsc/doc/2013/2013onsc1076/2013onsc1076.html?resultIndex=1" TargetMode="External"/><Relationship Id="rId28" Type="http://schemas.openxmlformats.org/officeDocument/2006/relationships/hyperlink" Target="https://www.canlii.org/en/on/onsc/doc/2013/2013onsc1076/2013onsc1076.html?resultIndex=1" TargetMode="External"/><Relationship Id="rId36" Type="http://schemas.openxmlformats.org/officeDocument/2006/relationships/hyperlink" Target="https://decisions.scc-csc.ca/scc-csc/scc-l-csc-a/fr/item/18087/index.do?q=38545" TargetMode="External"/><Relationship Id="rId49" Type="http://schemas.openxmlformats.org/officeDocument/2006/relationships/hyperlink" Target="https://www.canlii.org/en/on/onca/doc/2021/2021onca261/2021onca261.html?autocompleteStr=2021%20ONCA%20261&amp;autocompletePos=1" TargetMode="External"/><Relationship Id="rId57" Type="http://schemas.openxmlformats.org/officeDocument/2006/relationships/hyperlink" Target="https://www.canlii.org/en/bc/bcca/doc/2021/2021bcca222/2021bcca222.html?searchUrlHash=AAAAAQAdR2xlbiBIYW5zbWFuIHYuIEJhcnJ5IE5ldWZlbGQAAAAAAQ&amp;resultIndex=1" TargetMode="External"/><Relationship Id="rId61" Type="http://schemas.openxmlformats.org/officeDocument/2006/relationships/hyperlink" Target="https://canlii.ca/t/jcd6k" TargetMode="External"/><Relationship Id="rId10" Type="http://schemas.openxmlformats.org/officeDocument/2006/relationships/hyperlink" Target="https://www.scc-csc.ca/case-dossier/info/sum-som-fra.aspx?cas=39702" TargetMode="External"/><Relationship Id="rId19" Type="http://schemas.openxmlformats.org/officeDocument/2006/relationships/hyperlink" Target="https://www.scc-csc.ca/case-dossier/info/sum-som-eng.aspx?cas=39767" TargetMode="External"/><Relationship Id="rId31" Type="http://schemas.openxmlformats.org/officeDocument/2006/relationships/hyperlink" Target="https://www.canlii.org/fr/qc/qcca/doc/2019/2019qcca38/2019qcca38.pdf" TargetMode="External"/><Relationship Id="rId44" Type="http://schemas.openxmlformats.org/officeDocument/2006/relationships/hyperlink" Target="https://canlii.ca/t/j31dd" TargetMode="External"/><Relationship Id="rId52" Type="http://schemas.openxmlformats.org/officeDocument/2006/relationships/hyperlink" Target="https://www.canlii.org/en/ab/abqb/doc/2019/2019abqb692/2019abqb692.html" TargetMode="External"/><Relationship Id="rId60" Type="http://schemas.openxmlformats.org/officeDocument/2006/relationships/hyperlink" Target="https://canlii.ca/t/jcd6k"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cc-csc.ca/case-dossier/info/sum-som-eng.aspx?cas=39787" TargetMode="External"/><Relationship Id="rId14" Type="http://schemas.openxmlformats.org/officeDocument/2006/relationships/hyperlink" Target="https://www.scc-csc.ca/case-dossier/info/sum-som-eng.aspx?cas=39734" TargetMode="External"/><Relationship Id="rId22" Type="http://schemas.openxmlformats.org/officeDocument/2006/relationships/hyperlink" Target="https://www.canlii.org/en/on/onca/doc/2019/2019onca940/2019onca940.html?resultIndex=1" TargetMode="External"/><Relationship Id="rId27" Type="http://schemas.openxmlformats.org/officeDocument/2006/relationships/hyperlink" Target="https://www.canlii.org/en/on/onca/doc/2019/2019onca940/2019onca940.html?resultIndex=1" TargetMode="External"/><Relationship Id="rId30" Type="http://schemas.openxmlformats.org/officeDocument/2006/relationships/hyperlink" Target="https://www.canlii.org/fr/qc/qccs/doc/2016/2016qccs4816/2016qccs4816.pdf" TargetMode="External"/><Relationship Id="rId35" Type="http://schemas.openxmlformats.org/officeDocument/2006/relationships/hyperlink" Target="https://www.canlii.org/fr/qc/qcca/doc/2019/2019qcca38/2019qcca38.pdf" TargetMode="External"/><Relationship Id="rId43" Type="http://schemas.openxmlformats.org/officeDocument/2006/relationships/hyperlink" Target="https://canlii.ca/t/jfx8q" TargetMode="External"/><Relationship Id="rId48" Type="http://schemas.openxmlformats.org/officeDocument/2006/relationships/hyperlink" Target="https://www.canlii.org/en/on/onca/doc/2021/2021onca261/2021onca261.html?autocompleteStr=2021%20ONCA%20261&amp;autocompletePos=1" TargetMode="External"/><Relationship Id="rId56" Type="http://schemas.openxmlformats.org/officeDocument/2006/relationships/hyperlink" Target="https://www.canlii.org/en/bc/bcsc/doc/2019/2019bcsc2028/2019bcsc2028.html?searchUrlHash=AAAAAQAdR2xlbiBIYW5zbWFuIHYuIEJhcnJ5IE5ldWZlbGQAAAAAAQ&amp;resultIndex=2" TargetMode="External"/><Relationship Id="rId64" Type="http://schemas.openxmlformats.org/officeDocument/2006/relationships/hyperlink" Target="mailto:comments-commentaires@scc-csc.ca" TargetMode="External"/><Relationship Id="rId69" Type="http://schemas.openxmlformats.org/officeDocument/2006/relationships/header" Target="header3.xml"/><Relationship Id="rId8" Type="http://schemas.openxmlformats.org/officeDocument/2006/relationships/hyperlink" Target="https://www.scc-csc.ca/case-dossier/info/sum-som-eng.aspx?cas=39779" TargetMode="External"/><Relationship Id="rId51" Type="http://schemas.openxmlformats.org/officeDocument/2006/relationships/hyperlink" Target="https://www.canlii.org/en/ab/abca/doc/2021/2021abca5/2021abca5.html?autocompleteStr=2001-0073-AC&amp;autocompletePos=1"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scc-csc.ca/case-dossier/info/sum-som-eng.aspx?cas=39871" TargetMode="External"/><Relationship Id="rId17" Type="http://schemas.openxmlformats.org/officeDocument/2006/relationships/hyperlink" Target="https://www.scc-csc.ca/case-dossier/info/sum-som-eng.aspx?cas=39796" TargetMode="External"/><Relationship Id="rId25" Type="http://schemas.openxmlformats.org/officeDocument/2006/relationships/hyperlink" Target="https://www.canlii.org/en/on/onca/doc/2019/2019onca940/2019onca940.html?resultIndex=1" TargetMode="External"/><Relationship Id="rId33" Type="http://schemas.openxmlformats.org/officeDocument/2006/relationships/hyperlink" Target="https://www.canlii.org/fr/qc/qcca/doc/2021/2021qcca560/2021qcca560.pdf" TargetMode="External"/><Relationship Id="rId38" Type="http://schemas.openxmlformats.org/officeDocument/2006/relationships/hyperlink" Target="https://canlii.ca/t/j9z6p" TargetMode="External"/><Relationship Id="rId46" Type="http://schemas.openxmlformats.org/officeDocument/2006/relationships/hyperlink" Target="https://canlii.ca/t/j31dd" TargetMode="External"/><Relationship Id="rId59" Type="http://schemas.openxmlformats.org/officeDocument/2006/relationships/hyperlink" Target="https://www.canlii.org/en/bc/bcca/doc/2021/2021bcca222/2021bcca222.html?searchUrlHash=AAAAAQAdR2xlbiBIYW5zbWFuIHYuIEJhcnJ5IE5ldWZlbGQAAAAAAQ&amp;resultIndex=1" TargetMode="External"/><Relationship Id="rId67" Type="http://schemas.openxmlformats.org/officeDocument/2006/relationships/footer" Target="footer1.xml"/><Relationship Id="rId20" Type="http://schemas.openxmlformats.org/officeDocument/2006/relationships/hyperlink" Target="https://www.canlii.org/en/on/onsc/doc/2013/2013onsc1076/2013onsc1076.html?resultIndex=1" TargetMode="External"/><Relationship Id="rId41" Type="http://schemas.openxmlformats.org/officeDocument/2006/relationships/hyperlink" Target="https://www.canlii.org/fr/nb/nbca/doc/2021/2021nbca20/2021nbca20.html" TargetMode="External"/><Relationship Id="rId54" Type="http://schemas.openxmlformats.org/officeDocument/2006/relationships/hyperlink" Target="https://www.canlii.org/en/ab/abca/doc/2021/2021abca31/2021abca31.html?autocompleteStr=2021%20ABCA%2031&amp;autocompletePos=1" TargetMode="External"/><Relationship Id="rId62" Type="http://schemas.openxmlformats.org/officeDocument/2006/relationships/hyperlink" Target="https://canlii.ca/t/j9bzx"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EB599-7498-4215-9594-2F70D5EEF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9350</Words>
  <Characters>53299</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62524</CharactersWithSpaces>
  <SharedDoc>false</SharedDoc>
  <HLinks>
    <vt:vector size="96" baseType="variant">
      <vt:variant>
        <vt:i4>524364</vt:i4>
      </vt:variant>
      <vt:variant>
        <vt:i4>47</vt:i4>
      </vt:variant>
      <vt:variant>
        <vt:i4>0</vt:i4>
      </vt:variant>
      <vt:variant>
        <vt:i4>5</vt:i4>
      </vt:variant>
      <vt:variant>
        <vt:lpwstr>http://www.scc-csc.gc.ca/news-nouv/rel-com/subs-abon-fra.aspx</vt:lpwstr>
      </vt:variant>
      <vt:variant>
        <vt:lpwstr/>
      </vt:variant>
      <vt:variant>
        <vt:i4>852048</vt:i4>
      </vt:variant>
      <vt:variant>
        <vt:i4>44</vt:i4>
      </vt:variant>
      <vt:variant>
        <vt:i4>0</vt:i4>
      </vt:variant>
      <vt:variant>
        <vt:i4>5</vt:i4>
      </vt:variant>
      <vt:variant>
        <vt:lpwstr>http://www.scc-csc.gc.ca/news-nouv/rel-com/subs-abon-eng.aspx</vt:lpwstr>
      </vt:variant>
      <vt:variant>
        <vt:lpwstr/>
      </vt:variant>
      <vt:variant>
        <vt:i4>3080213</vt:i4>
      </vt:variant>
      <vt:variant>
        <vt:i4>41</vt:i4>
      </vt:variant>
      <vt:variant>
        <vt:i4>0</vt:i4>
      </vt:variant>
      <vt:variant>
        <vt:i4>5</vt:i4>
      </vt:variant>
      <vt:variant>
        <vt:lpwstr>mailto:comments-commentaires@scc-csc.ca</vt:lpwstr>
      </vt:variant>
      <vt:variant>
        <vt:lpwstr/>
      </vt:variant>
      <vt:variant>
        <vt:i4>983045</vt:i4>
      </vt:variant>
      <vt:variant>
        <vt:i4>38</vt:i4>
      </vt:variant>
      <vt:variant>
        <vt:i4>0</vt:i4>
      </vt:variant>
      <vt:variant>
        <vt:i4>5</vt:i4>
      </vt:variant>
      <vt:variant>
        <vt:lpwstr>http://www.scc-csc.gc.ca/case-dossier/info/sum-som-eng.aspx?cas=36302</vt:lpwstr>
      </vt:variant>
      <vt:variant>
        <vt:lpwstr/>
      </vt:variant>
      <vt:variant>
        <vt:i4>917509</vt:i4>
      </vt:variant>
      <vt:variant>
        <vt:i4>35</vt:i4>
      </vt:variant>
      <vt:variant>
        <vt:i4>0</vt:i4>
      </vt:variant>
      <vt:variant>
        <vt:i4>5</vt:i4>
      </vt:variant>
      <vt:variant>
        <vt:lpwstr>http://www.scc-csc.gc.ca/case-dossier/info/sum-som-eng.aspx?cas=36316</vt:lpwstr>
      </vt:variant>
      <vt:variant>
        <vt:lpwstr/>
      </vt:variant>
      <vt:variant>
        <vt:i4>655364</vt:i4>
      </vt:variant>
      <vt:variant>
        <vt:i4>32</vt:i4>
      </vt:variant>
      <vt:variant>
        <vt:i4>0</vt:i4>
      </vt:variant>
      <vt:variant>
        <vt:i4>5</vt:i4>
      </vt:variant>
      <vt:variant>
        <vt:lpwstr>http://www.scc-csc.gc.ca/case-dossier/info/sum-som-eng.aspx?cas=36258</vt:lpwstr>
      </vt:variant>
      <vt:variant>
        <vt:lpwstr/>
      </vt:variant>
      <vt:variant>
        <vt:i4>851973</vt:i4>
      </vt:variant>
      <vt:variant>
        <vt:i4>29</vt:i4>
      </vt:variant>
      <vt:variant>
        <vt:i4>0</vt:i4>
      </vt:variant>
      <vt:variant>
        <vt:i4>5</vt:i4>
      </vt:variant>
      <vt:variant>
        <vt:lpwstr>http://www.scc-csc.gc.ca/case-dossier/info/sum-som-eng.aspx?cas=36324</vt:lpwstr>
      </vt:variant>
      <vt:variant>
        <vt:lpwstr/>
      </vt:variant>
      <vt:variant>
        <vt:i4>720901</vt:i4>
      </vt:variant>
      <vt:variant>
        <vt:i4>26</vt:i4>
      </vt:variant>
      <vt:variant>
        <vt:i4>0</vt:i4>
      </vt:variant>
      <vt:variant>
        <vt:i4>5</vt:i4>
      </vt:variant>
      <vt:variant>
        <vt:lpwstr>http://www.scc-csc.gc.ca/case-dossier/info/sum-som-eng.aspx?cas=36346</vt:lpwstr>
      </vt:variant>
      <vt:variant>
        <vt:lpwstr/>
      </vt:variant>
      <vt:variant>
        <vt:i4>524295</vt:i4>
      </vt:variant>
      <vt:variant>
        <vt:i4>23</vt:i4>
      </vt:variant>
      <vt:variant>
        <vt:i4>0</vt:i4>
      </vt:variant>
      <vt:variant>
        <vt:i4>5</vt:i4>
      </vt:variant>
      <vt:variant>
        <vt:lpwstr>http://www.scc-csc.gc.ca/case-dossier/info/sum-som-eng.aspx?cas=36174</vt:lpwstr>
      </vt:variant>
      <vt:variant>
        <vt:lpwstr/>
      </vt:variant>
      <vt:variant>
        <vt:i4>851992</vt:i4>
      </vt:variant>
      <vt:variant>
        <vt:i4>20</vt:i4>
      </vt:variant>
      <vt:variant>
        <vt:i4>0</vt:i4>
      </vt:variant>
      <vt:variant>
        <vt:i4>5</vt:i4>
      </vt:variant>
      <vt:variant>
        <vt:lpwstr>http://www.scc-csc.gc.ca/case-dossier/info/sum-som-fra.aspx?cas=36275</vt:lpwstr>
      </vt:variant>
      <vt:variant>
        <vt:lpwstr/>
      </vt:variant>
      <vt:variant>
        <vt:i4>786456</vt:i4>
      </vt:variant>
      <vt:variant>
        <vt:i4>17</vt:i4>
      </vt:variant>
      <vt:variant>
        <vt:i4>0</vt:i4>
      </vt:variant>
      <vt:variant>
        <vt:i4>5</vt:i4>
      </vt:variant>
      <vt:variant>
        <vt:lpwstr>http://www.scc-csc.gc.ca/case-dossier/info/sum-som-fra.aspx?cas=36261</vt:lpwstr>
      </vt:variant>
      <vt:variant>
        <vt:lpwstr/>
      </vt:variant>
      <vt:variant>
        <vt:i4>917509</vt:i4>
      </vt:variant>
      <vt:variant>
        <vt:i4>14</vt:i4>
      </vt:variant>
      <vt:variant>
        <vt:i4>0</vt:i4>
      </vt:variant>
      <vt:variant>
        <vt:i4>5</vt:i4>
      </vt:variant>
      <vt:variant>
        <vt:lpwstr>http://www.scc-csc.gc.ca/case-dossier/info/sum-som-eng.aspx?cas=36313</vt:lpwstr>
      </vt:variant>
      <vt:variant>
        <vt:lpwstr/>
      </vt:variant>
      <vt:variant>
        <vt:i4>720901</vt:i4>
      </vt:variant>
      <vt:variant>
        <vt:i4>11</vt:i4>
      </vt:variant>
      <vt:variant>
        <vt:i4>0</vt:i4>
      </vt:variant>
      <vt:variant>
        <vt:i4>5</vt:i4>
      </vt:variant>
      <vt:variant>
        <vt:lpwstr>http://www.scc-csc.gc.ca/case-dossier/info/sum-som-eng.aspx?cas=36349</vt:lpwstr>
      </vt:variant>
      <vt:variant>
        <vt:lpwstr/>
      </vt:variant>
      <vt:variant>
        <vt:i4>917528</vt:i4>
      </vt:variant>
      <vt:variant>
        <vt:i4>8</vt:i4>
      </vt:variant>
      <vt:variant>
        <vt:i4>0</vt:i4>
      </vt:variant>
      <vt:variant>
        <vt:i4>5</vt:i4>
      </vt:variant>
      <vt:variant>
        <vt:lpwstr>http://www.scc-csc.gc.ca/case-dossier/info/sum-som-fra.aspx?cas=36244</vt:lpwstr>
      </vt:variant>
      <vt:variant>
        <vt:lpwstr/>
      </vt:variant>
      <vt:variant>
        <vt:i4>2293820</vt:i4>
      </vt:variant>
      <vt:variant>
        <vt:i4>5</vt:i4>
      </vt:variant>
      <vt:variant>
        <vt:i4>0</vt:i4>
      </vt:variant>
      <vt:variant>
        <vt:i4>5</vt:i4>
      </vt:variant>
      <vt:variant>
        <vt:lpwstr>http://scc-csc.lexum.com/scc-csc/news/fr/item/4920/index.do</vt:lpwstr>
      </vt:variant>
      <vt:variant>
        <vt:lpwstr/>
      </vt:variant>
      <vt:variant>
        <vt:i4>4128831</vt:i4>
      </vt:variant>
      <vt:variant>
        <vt:i4>2</vt:i4>
      </vt:variant>
      <vt:variant>
        <vt:i4>0</vt:i4>
      </vt:variant>
      <vt:variant>
        <vt:i4>5</vt:i4>
      </vt:variant>
      <vt:variant>
        <vt:lpwstr>http://scc-csc.lexum.com/scc-csc/news/en/item/4920/index.do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2019-12-17T19:10:00Z</dcterms:created>
  <dcterms:modified xsi:type="dcterms:W3CDTF">2022-01-10T16:41:00Z</dcterms:modified>
</cp:coreProperties>
</file>