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91F" w:rsidRPr="00C63A3E" w:rsidRDefault="000E391F" w:rsidP="000E391F">
      <w:pPr>
        <w:pStyle w:val="Header"/>
        <w:jc w:val="center"/>
        <w:rPr>
          <w:b/>
          <w:sz w:val="32"/>
        </w:rPr>
      </w:pPr>
      <w:r w:rsidRPr="00C63A3E">
        <w:rPr>
          <w:b/>
          <w:sz w:val="32"/>
        </w:rPr>
        <w:t>Supreme Court of Canada / Cour suprême du Canada</w:t>
      </w:r>
    </w:p>
    <w:p w:rsidR="000E391F" w:rsidRPr="00C63A3E" w:rsidRDefault="000E391F" w:rsidP="000E391F">
      <w:pPr>
        <w:widowControl w:val="0"/>
      </w:pPr>
    </w:p>
    <w:p w:rsidR="000E391F" w:rsidRPr="00C63A3E" w:rsidRDefault="000E391F" w:rsidP="000E391F">
      <w:pPr>
        <w:widowControl w:val="0"/>
        <w:rPr>
          <w:i/>
        </w:rPr>
      </w:pPr>
    </w:p>
    <w:p w:rsidR="006F2579" w:rsidRPr="00C63A3E" w:rsidRDefault="006F2579" w:rsidP="006F2579">
      <w:pPr>
        <w:widowControl w:val="0"/>
        <w:rPr>
          <w:i/>
          <w:sz w:val="20"/>
        </w:rPr>
      </w:pPr>
      <w:r w:rsidRPr="00C63A3E">
        <w:rPr>
          <w:i/>
          <w:sz w:val="20"/>
        </w:rPr>
        <w:t>(</w:t>
      </w:r>
      <w:r w:rsidR="003240B6" w:rsidRPr="00C63A3E">
        <w:rPr>
          <w:i/>
          <w:sz w:val="20"/>
        </w:rPr>
        <w:t>L</w:t>
      </w:r>
      <w:r w:rsidRPr="00C63A3E">
        <w:rPr>
          <w:i/>
          <w:sz w:val="20"/>
        </w:rPr>
        <w:t>e français suit)</w:t>
      </w:r>
    </w:p>
    <w:p w:rsidR="006F2579" w:rsidRPr="00C63A3E" w:rsidRDefault="006F2579" w:rsidP="006F2579">
      <w:pPr>
        <w:widowControl w:val="0"/>
      </w:pPr>
    </w:p>
    <w:p w:rsidR="006F2579" w:rsidRPr="00C63A3E" w:rsidRDefault="00B07908" w:rsidP="006F2579">
      <w:pPr>
        <w:widowControl w:val="0"/>
        <w:jc w:val="center"/>
        <w:rPr>
          <w:b/>
        </w:rPr>
      </w:pPr>
      <w:r w:rsidRPr="00C63A3E">
        <w:fldChar w:fldCharType="begin"/>
      </w:r>
      <w:r w:rsidR="006F2579" w:rsidRPr="00C63A3E">
        <w:instrText xml:space="preserve"> SEQ CHAPTER \h \r 1</w:instrText>
      </w:r>
      <w:r w:rsidRPr="00C63A3E">
        <w:fldChar w:fldCharType="end"/>
      </w:r>
      <w:r w:rsidR="006F2579" w:rsidRPr="00C63A3E">
        <w:rPr>
          <w:b/>
        </w:rPr>
        <w:t>JUDGMENT</w:t>
      </w:r>
      <w:r w:rsidR="00B17AAC" w:rsidRPr="00C63A3E">
        <w:rPr>
          <w:b/>
        </w:rPr>
        <w:t>S</w:t>
      </w:r>
      <w:r w:rsidR="006F2579" w:rsidRPr="00C63A3E">
        <w:rPr>
          <w:b/>
        </w:rPr>
        <w:t xml:space="preserve"> TO B</w:t>
      </w:r>
      <w:r w:rsidR="00001846" w:rsidRPr="00C63A3E">
        <w:rPr>
          <w:b/>
        </w:rPr>
        <w:t>E RENDERED IN LE</w:t>
      </w:r>
      <w:r w:rsidR="00A0288A" w:rsidRPr="00C63A3E">
        <w:rPr>
          <w:b/>
        </w:rPr>
        <w:t>A</w:t>
      </w:r>
      <w:r w:rsidR="00001846" w:rsidRPr="00C63A3E">
        <w:rPr>
          <w:b/>
        </w:rPr>
        <w:t>VE APPLICATION</w:t>
      </w:r>
      <w:r w:rsidR="00511288" w:rsidRPr="00C63A3E">
        <w:rPr>
          <w:b/>
        </w:rPr>
        <w:t>S</w:t>
      </w:r>
    </w:p>
    <w:p w:rsidR="006F2579" w:rsidRPr="00C63A3E" w:rsidRDefault="006F2579" w:rsidP="006F2579">
      <w:pPr>
        <w:widowControl w:val="0"/>
      </w:pPr>
    </w:p>
    <w:p w:rsidR="006F2579" w:rsidRPr="00C63A3E" w:rsidRDefault="00644008" w:rsidP="006F2579">
      <w:pPr>
        <w:widowControl w:val="0"/>
      </w:pPr>
      <w:r w:rsidRPr="00C63A3E">
        <w:rPr>
          <w:b/>
        </w:rPr>
        <w:t>January</w:t>
      </w:r>
      <w:r w:rsidR="00A15B66" w:rsidRPr="00C63A3E">
        <w:rPr>
          <w:b/>
        </w:rPr>
        <w:t xml:space="preserve"> </w:t>
      </w:r>
      <w:r w:rsidR="009E4C19" w:rsidRPr="00C63A3E">
        <w:rPr>
          <w:b/>
        </w:rPr>
        <w:t>31</w:t>
      </w:r>
      <w:r w:rsidR="004441C7" w:rsidRPr="00C63A3E">
        <w:rPr>
          <w:b/>
        </w:rPr>
        <w:t>,</w:t>
      </w:r>
      <w:r w:rsidR="006F2579" w:rsidRPr="00C63A3E">
        <w:rPr>
          <w:b/>
        </w:rPr>
        <w:t xml:space="preserve"> </w:t>
      </w:r>
      <w:r w:rsidR="0054689F" w:rsidRPr="00C63A3E">
        <w:rPr>
          <w:b/>
        </w:rPr>
        <w:t>20</w:t>
      </w:r>
      <w:r w:rsidR="00526754" w:rsidRPr="00C63A3E">
        <w:rPr>
          <w:b/>
        </w:rPr>
        <w:t>2</w:t>
      </w:r>
      <w:r w:rsidRPr="00C63A3E">
        <w:rPr>
          <w:b/>
        </w:rPr>
        <w:t>2</w:t>
      </w:r>
    </w:p>
    <w:p w:rsidR="006F2579" w:rsidRPr="00C63A3E" w:rsidRDefault="00674F39" w:rsidP="006F2579">
      <w:pPr>
        <w:widowControl w:val="0"/>
        <w:rPr>
          <w:b/>
        </w:rPr>
      </w:pPr>
      <w:r w:rsidRPr="00C63A3E">
        <w:rPr>
          <w:b/>
        </w:rPr>
        <w:t>For immediate release</w:t>
      </w:r>
    </w:p>
    <w:p w:rsidR="006F2579" w:rsidRPr="00C63A3E" w:rsidRDefault="006F2579" w:rsidP="006F2579">
      <w:pPr>
        <w:widowControl w:val="0"/>
      </w:pPr>
    </w:p>
    <w:p w:rsidR="006F2579" w:rsidRPr="00C63A3E" w:rsidRDefault="006F2579" w:rsidP="006F2579">
      <w:pPr>
        <w:widowControl w:val="0"/>
        <w:rPr>
          <w:lang w:val="fr-CA"/>
        </w:rPr>
      </w:pPr>
      <w:r w:rsidRPr="00C63A3E">
        <w:rPr>
          <w:b/>
        </w:rPr>
        <w:t>OTTAWA</w:t>
      </w:r>
      <w:r w:rsidRPr="00C63A3E">
        <w:t xml:space="preserve"> – The Supreme Court of Canad</w:t>
      </w:r>
      <w:r w:rsidR="006246E4" w:rsidRPr="00C63A3E">
        <w:t>a</w:t>
      </w:r>
      <w:r w:rsidRPr="00C63A3E">
        <w:t xml:space="preserve"> announced today that judgment in the following </w:t>
      </w:r>
      <w:r w:rsidR="00DB6199" w:rsidRPr="00C63A3E">
        <w:t xml:space="preserve">leave applications </w:t>
      </w:r>
      <w:r w:rsidRPr="00C63A3E">
        <w:t>will be delivere</w:t>
      </w:r>
      <w:r w:rsidR="00CE2C5F" w:rsidRPr="00C63A3E">
        <w:t>d</w:t>
      </w:r>
      <w:r w:rsidRPr="00C63A3E">
        <w:t xml:space="preserve"> at 9:45 a.m. </w:t>
      </w:r>
      <w:r w:rsidR="00E05816" w:rsidRPr="00C63A3E">
        <w:t>E</w:t>
      </w:r>
      <w:r w:rsidR="006D4676" w:rsidRPr="00C63A3E">
        <w:t>S</w:t>
      </w:r>
      <w:r w:rsidR="00E05816" w:rsidRPr="00C63A3E">
        <w:t>T</w:t>
      </w:r>
      <w:r w:rsidRPr="00C63A3E">
        <w:t xml:space="preserve"> on </w:t>
      </w:r>
      <w:r w:rsidR="00322A9C" w:rsidRPr="00C63A3E">
        <w:t>Thurs</w:t>
      </w:r>
      <w:r w:rsidR="00680A85" w:rsidRPr="00C63A3E">
        <w:t>day</w:t>
      </w:r>
      <w:r w:rsidRPr="00C63A3E">
        <w:t xml:space="preserve">, </w:t>
      </w:r>
      <w:r w:rsidR="009E4C19" w:rsidRPr="00C63A3E">
        <w:t>February</w:t>
      </w:r>
      <w:r w:rsidR="00455912" w:rsidRPr="00C63A3E">
        <w:t xml:space="preserve"> </w:t>
      </w:r>
      <w:r w:rsidR="009E4C19" w:rsidRPr="00C63A3E">
        <w:t>3</w:t>
      </w:r>
      <w:r w:rsidR="007E112F" w:rsidRPr="00C63A3E">
        <w:t>,</w:t>
      </w:r>
      <w:r w:rsidR="002F38D7" w:rsidRPr="00C63A3E">
        <w:t xml:space="preserve"> </w:t>
      </w:r>
      <w:r w:rsidR="006648D1" w:rsidRPr="00C63A3E">
        <w:t>20</w:t>
      </w:r>
      <w:r w:rsidR="00526754" w:rsidRPr="00C63A3E">
        <w:t>2</w:t>
      </w:r>
      <w:r w:rsidR="00644008" w:rsidRPr="00C63A3E">
        <w:t>2</w:t>
      </w:r>
      <w:r w:rsidRPr="00C63A3E">
        <w:t xml:space="preserve">. </w:t>
      </w:r>
      <w:r w:rsidRPr="00C63A3E">
        <w:rPr>
          <w:lang w:val="fr-CA"/>
        </w:rPr>
        <w:t>This list is subject to chang</w:t>
      </w:r>
      <w:r w:rsidR="00192F7F" w:rsidRPr="00C63A3E">
        <w:rPr>
          <w:lang w:val="fr-CA"/>
        </w:rPr>
        <w:t>e</w:t>
      </w:r>
      <w:r w:rsidRPr="00C63A3E">
        <w:rPr>
          <w:lang w:val="fr-CA"/>
        </w:rPr>
        <w:t>.</w:t>
      </w:r>
    </w:p>
    <w:p w:rsidR="00FF5AA4" w:rsidRPr="00C63A3E" w:rsidRDefault="00FF5AA4" w:rsidP="006F2579">
      <w:pPr>
        <w:widowControl w:val="0"/>
        <w:rPr>
          <w:lang w:val="fr-CA"/>
        </w:rPr>
      </w:pPr>
    </w:p>
    <w:p w:rsidR="00B43418" w:rsidRPr="00C63A3E" w:rsidRDefault="00B43418" w:rsidP="006F2579">
      <w:pPr>
        <w:widowControl w:val="0"/>
        <w:rPr>
          <w:lang w:val="fr-CA"/>
        </w:rPr>
      </w:pPr>
    </w:p>
    <w:p w:rsidR="006F2579" w:rsidRPr="00C63A3E" w:rsidRDefault="006F2579" w:rsidP="006F2579">
      <w:pPr>
        <w:widowControl w:val="0"/>
        <w:jc w:val="center"/>
        <w:rPr>
          <w:lang w:val="fr-CA"/>
        </w:rPr>
      </w:pPr>
      <w:r w:rsidRPr="00C63A3E">
        <w:rPr>
          <w:b/>
          <w:lang w:val="fr-CA"/>
        </w:rPr>
        <w:t>PROCHAIN</w:t>
      </w:r>
      <w:r w:rsidR="00B17AAC" w:rsidRPr="00C63A3E">
        <w:rPr>
          <w:b/>
          <w:lang w:val="fr-CA"/>
        </w:rPr>
        <w:t>S</w:t>
      </w:r>
      <w:r w:rsidRPr="00C63A3E">
        <w:rPr>
          <w:b/>
          <w:lang w:val="fr-CA"/>
        </w:rPr>
        <w:t xml:space="preserve"> JUGEMENT</w:t>
      </w:r>
      <w:r w:rsidR="00B17AAC" w:rsidRPr="00C63A3E">
        <w:rPr>
          <w:b/>
          <w:lang w:val="fr-CA"/>
        </w:rPr>
        <w:t>S</w:t>
      </w:r>
      <w:r w:rsidR="00001846" w:rsidRPr="00C63A3E">
        <w:rPr>
          <w:b/>
          <w:lang w:val="fr-CA"/>
        </w:rPr>
        <w:t xml:space="preserve"> SUR DEMANDE</w:t>
      </w:r>
      <w:r w:rsidR="00B17AAC" w:rsidRPr="00C63A3E">
        <w:rPr>
          <w:b/>
          <w:lang w:val="fr-CA"/>
        </w:rPr>
        <w:t>S</w:t>
      </w:r>
      <w:r w:rsidRPr="00C63A3E">
        <w:rPr>
          <w:b/>
          <w:lang w:val="fr-CA"/>
        </w:rPr>
        <w:t xml:space="preserve"> D’AUTORISATION</w:t>
      </w:r>
    </w:p>
    <w:p w:rsidR="006F2579" w:rsidRPr="00C63A3E" w:rsidRDefault="006F2579" w:rsidP="006F2579">
      <w:pPr>
        <w:widowControl w:val="0"/>
        <w:rPr>
          <w:lang w:val="fr-CA"/>
        </w:rPr>
      </w:pPr>
    </w:p>
    <w:p w:rsidR="006F2579" w:rsidRPr="00C63A3E" w:rsidRDefault="006F2579" w:rsidP="006F2579">
      <w:pPr>
        <w:widowControl w:val="0"/>
        <w:rPr>
          <w:lang w:val="fr-CA"/>
        </w:rPr>
      </w:pPr>
      <w:r w:rsidRPr="00C63A3E">
        <w:rPr>
          <w:b/>
          <w:lang w:val="fr-CA"/>
        </w:rPr>
        <w:t>Le</w:t>
      </w:r>
      <w:r w:rsidR="00957A76" w:rsidRPr="00C63A3E">
        <w:rPr>
          <w:b/>
          <w:lang w:val="fr-CA"/>
        </w:rPr>
        <w:t xml:space="preserve"> </w:t>
      </w:r>
      <w:r w:rsidR="009E4C19" w:rsidRPr="00C63A3E">
        <w:rPr>
          <w:b/>
          <w:lang w:val="fr-CA"/>
        </w:rPr>
        <w:t>31</w:t>
      </w:r>
      <w:r w:rsidR="00075EC0" w:rsidRPr="00C63A3E">
        <w:rPr>
          <w:b/>
          <w:lang w:val="fr-CA"/>
        </w:rPr>
        <w:t xml:space="preserve"> </w:t>
      </w:r>
      <w:r w:rsidR="00644008" w:rsidRPr="00C63A3E">
        <w:rPr>
          <w:b/>
          <w:lang w:val="fr-CA"/>
        </w:rPr>
        <w:t>janvier</w:t>
      </w:r>
      <w:r w:rsidR="00A151D1" w:rsidRPr="00C63A3E">
        <w:rPr>
          <w:b/>
          <w:lang w:val="fr-CA"/>
        </w:rPr>
        <w:t xml:space="preserve"> 20</w:t>
      </w:r>
      <w:r w:rsidR="00526754" w:rsidRPr="00C63A3E">
        <w:rPr>
          <w:b/>
          <w:lang w:val="fr-CA"/>
        </w:rPr>
        <w:t>2</w:t>
      </w:r>
      <w:r w:rsidR="00644008" w:rsidRPr="00C63A3E">
        <w:rPr>
          <w:b/>
          <w:lang w:val="fr-CA"/>
        </w:rPr>
        <w:t>2</w:t>
      </w:r>
    </w:p>
    <w:p w:rsidR="006F2579" w:rsidRPr="00C63A3E" w:rsidRDefault="006F2579" w:rsidP="006F2579">
      <w:pPr>
        <w:widowControl w:val="0"/>
        <w:rPr>
          <w:b/>
          <w:lang w:val="fr-CA"/>
        </w:rPr>
      </w:pPr>
      <w:r w:rsidRPr="00C63A3E">
        <w:rPr>
          <w:b/>
          <w:lang w:val="fr-CA"/>
        </w:rPr>
        <w:t>Pour diffusion immédiate</w:t>
      </w:r>
    </w:p>
    <w:p w:rsidR="006F2579" w:rsidRPr="00C63A3E" w:rsidRDefault="006F2579" w:rsidP="006F2579">
      <w:pPr>
        <w:widowControl w:val="0"/>
        <w:rPr>
          <w:lang w:val="fr-CA"/>
        </w:rPr>
      </w:pPr>
    </w:p>
    <w:p w:rsidR="006F2579" w:rsidRPr="00C63A3E" w:rsidRDefault="006F2579" w:rsidP="006F2579">
      <w:pPr>
        <w:widowControl w:val="0"/>
        <w:rPr>
          <w:lang w:val="fr-CA"/>
        </w:rPr>
      </w:pPr>
      <w:r w:rsidRPr="00C63A3E">
        <w:rPr>
          <w:b/>
          <w:lang w:val="fr-CA"/>
        </w:rPr>
        <w:t>OTTAWA</w:t>
      </w:r>
      <w:r w:rsidRPr="00C63A3E">
        <w:rPr>
          <w:lang w:val="fr-CA"/>
        </w:rPr>
        <w:t xml:space="preserve"> – La Cour suprême du Canada annonce que jugement ser</w:t>
      </w:r>
      <w:r w:rsidR="004259F9" w:rsidRPr="00C63A3E">
        <w:rPr>
          <w:lang w:val="fr-CA"/>
        </w:rPr>
        <w:t>a</w:t>
      </w:r>
      <w:r w:rsidRPr="00C63A3E">
        <w:rPr>
          <w:lang w:val="fr-CA"/>
        </w:rPr>
        <w:t xml:space="preserve"> rendu dans l</w:t>
      </w:r>
      <w:r w:rsidR="008600ED" w:rsidRPr="00C63A3E">
        <w:rPr>
          <w:lang w:val="fr-CA"/>
        </w:rPr>
        <w:t>es</w:t>
      </w:r>
      <w:r w:rsidRPr="00C63A3E">
        <w:rPr>
          <w:lang w:val="fr-CA"/>
        </w:rPr>
        <w:t xml:space="preserve"> demande</w:t>
      </w:r>
      <w:r w:rsidR="008600ED" w:rsidRPr="00C63A3E">
        <w:rPr>
          <w:lang w:val="fr-CA"/>
        </w:rPr>
        <w:t>s</w:t>
      </w:r>
      <w:r w:rsidRPr="00C63A3E">
        <w:rPr>
          <w:lang w:val="fr-CA"/>
        </w:rPr>
        <w:t xml:space="preserve"> d</w:t>
      </w:r>
      <w:r w:rsidR="00001846" w:rsidRPr="00C63A3E">
        <w:rPr>
          <w:lang w:val="fr-CA"/>
        </w:rPr>
        <w:t>’autorisation suivante</w:t>
      </w:r>
      <w:r w:rsidR="008600ED" w:rsidRPr="00C63A3E">
        <w:rPr>
          <w:lang w:val="fr-CA"/>
        </w:rPr>
        <w:t>s</w:t>
      </w:r>
      <w:r w:rsidRPr="00C63A3E">
        <w:rPr>
          <w:lang w:val="fr-CA"/>
        </w:rPr>
        <w:t xml:space="preserve"> le </w:t>
      </w:r>
      <w:r w:rsidR="00322A9C" w:rsidRPr="00C63A3E">
        <w:rPr>
          <w:lang w:val="fr-CA"/>
        </w:rPr>
        <w:t>jeu</w:t>
      </w:r>
      <w:r w:rsidR="00680A85" w:rsidRPr="00C63A3E">
        <w:rPr>
          <w:lang w:val="fr-CA"/>
        </w:rPr>
        <w:t>di</w:t>
      </w:r>
      <w:r w:rsidRPr="00C63A3E">
        <w:rPr>
          <w:lang w:val="fr-CA"/>
        </w:rPr>
        <w:t xml:space="preserve"> </w:t>
      </w:r>
      <w:r w:rsidR="009E4C19" w:rsidRPr="00C63A3E">
        <w:rPr>
          <w:lang w:val="fr-CA"/>
        </w:rPr>
        <w:t>3</w:t>
      </w:r>
      <w:r w:rsidR="009E0BD3" w:rsidRPr="00C63A3E">
        <w:rPr>
          <w:lang w:val="fr-CA"/>
        </w:rPr>
        <w:t xml:space="preserve"> </w:t>
      </w:r>
      <w:r w:rsidR="009E4C19" w:rsidRPr="00C63A3E">
        <w:rPr>
          <w:lang w:val="fr-CA"/>
        </w:rPr>
        <w:t>fé</w:t>
      </w:r>
      <w:r w:rsidR="00644008" w:rsidRPr="00C63A3E">
        <w:rPr>
          <w:lang w:val="fr-CA"/>
        </w:rPr>
        <w:t>v</w:t>
      </w:r>
      <w:r w:rsidR="009E4C19" w:rsidRPr="00C63A3E">
        <w:rPr>
          <w:lang w:val="fr-CA"/>
        </w:rPr>
        <w:t>r</w:t>
      </w:r>
      <w:r w:rsidR="00644008" w:rsidRPr="00C63A3E">
        <w:rPr>
          <w:lang w:val="fr-CA"/>
        </w:rPr>
        <w:t>ier</w:t>
      </w:r>
      <w:r w:rsidR="00694391" w:rsidRPr="00C63A3E">
        <w:rPr>
          <w:lang w:val="fr-CA"/>
        </w:rPr>
        <w:t xml:space="preserve"> 2</w:t>
      </w:r>
      <w:r w:rsidR="006648D1" w:rsidRPr="00C63A3E">
        <w:rPr>
          <w:lang w:val="fr-CA"/>
        </w:rPr>
        <w:t>0</w:t>
      </w:r>
      <w:r w:rsidR="00526754" w:rsidRPr="00C63A3E">
        <w:rPr>
          <w:lang w:val="fr-CA"/>
        </w:rPr>
        <w:t>2</w:t>
      </w:r>
      <w:r w:rsidR="00644008" w:rsidRPr="00C63A3E">
        <w:rPr>
          <w:lang w:val="fr-CA"/>
        </w:rPr>
        <w:t>2</w:t>
      </w:r>
      <w:r w:rsidRPr="00C63A3E">
        <w:rPr>
          <w:lang w:val="fr-CA"/>
        </w:rPr>
        <w:t xml:space="preserve">, à 9 h 45 </w:t>
      </w:r>
      <w:r w:rsidR="000627A2" w:rsidRPr="00C63A3E">
        <w:rPr>
          <w:lang w:val="fr-CA"/>
        </w:rPr>
        <w:t>H</w:t>
      </w:r>
      <w:r w:rsidR="006D4676" w:rsidRPr="00C63A3E">
        <w:rPr>
          <w:lang w:val="fr-CA"/>
        </w:rPr>
        <w:t>N</w:t>
      </w:r>
      <w:r w:rsidRPr="00C63A3E">
        <w:rPr>
          <w:lang w:val="fr-CA"/>
        </w:rPr>
        <w:t>E. Cette liste est sujette à modification</w:t>
      </w:r>
      <w:r w:rsidR="00130ADB" w:rsidRPr="00C63A3E">
        <w:rPr>
          <w:lang w:val="fr-CA"/>
        </w:rPr>
        <w:t>s</w:t>
      </w:r>
      <w:r w:rsidRPr="00C63A3E">
        <w:rPr>
          <w:lang w:val="fr-CA"/>
        </w:rPr>
        <w:t>.</w:t>
      </w:r>
    </w:p>
    <w:p w:rsidR="0080556B" w:rsidRPr="00C63A3E" w:rsidRDefault="0080556B" w:rsidP="005F2A78">
      <w:pPr>
        <w:widowControl w:val="0"/>
        <w:tabs>
          <w:tab w:val="left" w:pos="3840"/>
        </w:tabs>
        <w:jc w:val="both"/>
        <w:rPr>
          <w:sz w:val="20"/>
          <w:lang w:val="fr-CA"/>
        </w:rPr>
      </w:pPr>
    </w:p>
    <w:p w:rsidR="00867C61" w:rsidRPr="00C63A3E" w:rsidRDefault="00DA6B23" w:rsidP="009B14F4">
      <w:pPr>
        <w:widowControl w:val="0"/>
        <w:jc w:val="both"/>
        <w:rPr>
          <w:sz w:val="20"/>
        </w:rPr>
      </w:pPr>
      <w:r>
        <w:rPr>
          <w:sz w:val="20"/>
        </w:rPr>
        <w:pict>
          <v:rect id="_x0000_i1025" style="width:2in;height:1pt" o:hrpct="0" o:hralign="center" o:hrstd="t" o:hrnoshade="t" o:hr="t" fillcolor="black [3213]" stroked="f"/>
        </w:pict>
      </w:r>
    </w:p>
    <w:p w:rsidR="004A6E51" w:rsidRPr="00C63A3E" w:rsidRDefault="004A6E51" w:rsidP="0053032E">
      <w:pPr>
        <w:rPr>
          <w:sz w:val="20"/>
          <w:lang w:val="fr-CA"/>
        </w:rPr>
      </w:pPr>
    </w:p>
    <w:p w:rsidR="000D1ABF" w:rsidRPr="00C63A3E" w:rsidRDefault="000D1ABF" w:rsidP="000D1ABF">
      <w:pPr>
        <w:pStyle w:val="ListParagraph"/>
        <w:numPr>
          <w:ilvl w:val="0"/>
          <w:numId w:val="38"/>
        </w:numPr>
        <w:tabs>
          <w:tab w:val="left" w:pos="360"/>
        </w:tabs>
        <w:ind w:left="357" w:hanging="357"/>
        <w:rPr>
          <w:sz w:val="20"/>
          <w:szCs w:val="20"/>
        </w:rPr>
      </w:pPr>
      <w:r w:rsidRPr="00C63A3E">
        <w:rPr>
          <w:i/>
          <w:sz w:val="20"/>
          <w:szCs w:val="20"/>
        </w:rPr>
        <w:t>Her Majesty the Queen v. Walker McColman</w:t>
      </w:r>
      <w:r w:rsidRPr="00C63A3E">
        <w:rPr>
          <w:sz w:val="20"/>
          <w:szCs w:val="20"/>
        </w:rPr>
        <w:t xml:space="preserve"> (Ont.) (Criminal) (By Leave)</w:t>
      </w:r>
      <w:r w:rsidRPr="00C63A3E">
        <w:rPr>
          <w:sz w:val="20"/>
        </w:rPr>
        <w:t xml:space="preserve"> </w:t>
      </w:r>
      <w:r w:rsidRPr="00C63A3E">
        <w:rPr>
          <w:rFonts w:eastAsia="Calibri"/>
          <w:sz w:val="20"/>
        </w:rPr>
        <w:t>(</w:t>
      </w:r>
      <w:hyperlink r:id="rId8" w:history="1">
        <w:r w:rsidRPr="00C63A3E">
          <w:rPr>
            <w:rStyle w:val="Hyperlink"/>
            <w:rFonts w:eastAsia="Calibri"/>
            <w:sz w:val="20"/>
            <w:szCs w:val="20"/>
          </w:rPr>
          <w:t>398</w:t>
        </w:r>
        <w:r w:rsidRPr="00C63A3E">
          <w:rPr>
            <w:rStyle w:val="Hyperlink"/>
            <w:rFonts w:eastAsia="Calibri"/>
            <w:sz w:val="20"/>
          </w:rPr>
          <w:t>26</w:t>
        </w:r>
      </w:hyperlink>
      <w:r w:rsidRPr="00C63A3E">
        <w:rPr>
          <w:rFonts w:eastAsia="Calibri"/>
          <w:sz w:val="20"/>
        </w:rPr>
        <w:t>)</w:t>
      </w:r>
    </w:p>
    <w:p w:rsidR="000D1ABF" w:rsidRPr="00C63A3E" w:rsidRDefault="000D1ABF" w:rsidP="000D1ABF">
      <w:pPr>
        <w:ind w:left="357" w:hanging="357"/>
        <w:rPr>
          <w:sz w:val="20"/>
        </w:rPr>
      </w:pPr>
    </w:p>
    <w:p w:rsidR="009E4C19" w:rsidRPr="00C63A3E" w:rsidRDefault="009E4C19" w:rsidP="000D1ABF">
      <w:pPr>
        <w:pStyle w:val="ListParagraph"/>
        <w:numPr>
          <w:ilvl w:val="0"/>
          <w:numId w:val="38"/>
        </w:numPr>
        <w:tabs>
          <w:tab w:val="left" w:pos="360"/>
        </w:tabs>
        <w:ind w:left="357" w:hanging="357"/>
        <w:rPr>
          <w:sz w:val="20"/>
        </w:rPr>
      </w:pPr>
      <w:r w:rsidRPr="00C63A3E">
        <w:rPr>
          <w:i/>
          <w:sz w:val="20"/>
        </w:rPr>
        <w:t xml:space="preserve">Jim Singh Kanda v. Her Majesty the Queen </w:t>
      </w:r>
      <w:r w:rsidRPr="00C63A3E">
        <w:rPr>
          <w:sz w:val="20"/>
        </w:rPr>
        <w:t xml:space="preserve">(B.C.) (Criminal) (By Leave) </w:t>
      </w:r>
      <w:r w:rsidRPr="00C63A3E">
        <w:rPr>
          <w:rFonts w:eastAsia="Calibri"/>
          <w:sz w:val="20"/>
        </w:rPr>
        <w:t>(</w:t>
      </w:r>
      <w:hyperlink r:id="rId9" w:history="1">
        <w:r w:rsidRPr="00C63A3E">
          <w:rPr>
            <w:rStyle w:val="Hyperlink"/>
            <w:rFonts w:eastAsia="Calibri"/>
            <w:sz w:val="20"/>
            <w:szCs w:val="20"/>
          </w:rPr>
          <w:t>39850</w:t>
        </w:r>
      </w:hyperlink>
      <w:r w:rsidRPr="00C63A3E">
        <w:rPr>
          <w:rFonts w:eastAsia="Calibri"/>
          <w:sz w:val="20"/>
        </w:rPr>
        <w:t>)</w:t>
      </w:r>
    </w:p>
    <w:p w:rsidR="009E4C19" w:rsidRPr="00C63A3E" w:rsidRDefault="009E4C19" w:rsidP="000D1ABF">
      <w:pPr>
        <w:ind w:left="357" w:hanging="357"/>
        <w:rPr>
          <w:sz w:val="20"/>
        </w:rPr>
      </w:pPr>
    </w:p>
    <w:p w:rsidR="0098666B" w:rsidRPr="00C63A3E" w:rsidRDefault="0098666B" w:rsidP="000D1ABF">
      <w:pPr>
        <w:pStyle w:val="ListParagraph"/>
        <w:numPr>
          <w:ilvl w:val="0"/>
          <w:numId w:val="38"/>
        </w:numPr>
        <w:tabs>
          <w:tab w:val="left" w:pos="360"/>
        </w:tabs>
        <w:ind w:left="357" w:hanging="357"/>
        <w:rPr>
          <w:sz w:val="20"/>
        </w:rPr>
      </w:pPr>
      <w:r w:rsidRPr="00C63A3E">
        <w:rPr>
          <w:i/>
          <w:sz w:val="20"/>
        </w:rPr>
        <w:t>Muhammad Abbas Jaffer v. Her Majesty the Queen</w:t>
      </w:r>
      <w:r w:rsidRPr="00C63A3E">
        <w:rPr>
          <w:sz w:val="20"/>
        </w:rPr>
        <w:t xml:space="preserve"> (Ont.) (Criminal) (By Leave) </w:t>
      </w:r>
      <w:r w:rsidRPr="00C63A3E">
        <w:rPr>
          <w:rFonts w:eastAsia="Calibri"/>
          <w:sz w:val="20"/>
        </w:rPr>
        <w:t>(</w:t>
      </w:r>
      <w:hyperlink r:id="rId10" w:history="1">
        <w:r w:rsidRPr="00C63A3E">
          <w:rPr>
            <w:rStyle w:val="Hyperlink"/>
            <w:rFonts w:eastAsia="Calibri"/>
            <w:sz w:val="20"/>
            <w:szCs w:val="20"/>
          </w:rPr>
          <w:t>39</w:t>
        </w:r>
        <w:r w:rsidRPr="00C63A3E">
          <w:rPr>
            <w:rStyle w:val="Hyperlink"/>
            <w:rFonts w:eastAsia="Calibri"/>
            <w:sz w:val="20"/>
          </w:rPr>
          <w:t>676</w:t>
        </w:r>
      </w:hyperlink>
      <w:r w:rsidRPr="00C63A3E">
        <w:rPr>
          <w:rFonts w:eastAsia="Calibri"/>
          <w:sz w:val="20"/>
        </w:rPr>
        <w:t>)</w:t>
      </w:r>
    </w:p>
    <w:p w:rsidR="009E4C19" w:rsidRPr="00C63A3E" w:rsidRDefault="009E4C19" w:rsidP="000D1ABF">
      <w:pPr>
        <w:ind w:left="357" w:hanging="357"/>
        <w:rPr>
          <w:sz w:val="20"/>
        </w:rPr>
      </w:pPr>
    </w:p>
    <w:p w:rsidR="009E4C19" w:rsidRPr="00C63A3E" w:rsidRDefault="009E4C19" w:rsidP="000D1ABF">
      <w:pPr>
        <w:pStyle w:val="ListParagraph"/>
        <w:numPr>
          <w:ilvl w:val="0"/>
          <w:numId w:val="38"/>
        </w:numPr>
        <w:ind w:left="357" w:hanging="357"/>
        <w:rPr>
          <w:sz w:val="20"/>
          <w:lang w:val="fr-CA"/>
        </w:rPr>
      </w:pPr>
      <w:r w:rsidRPr="00C63A3E">
        <w:rPr>
          <w:i/>
          <w:sz w:val="20"/>
          <w:lang w:val="fr-CA"/>
        </w:rPr>
        <w:t>Sa Majesté la Reine c. G.M.</w:t>
      </w:r>
      <w:r w:rsidRPr="00C63A3E">
        <w:rPr>
          <w:sz w:val="20"/>
          <w:lang w:val="fr-CA"/>
        </w:rPr>
        <w:t xml:space="preserve"> (Qc) (Criminelle) (Autorisation) </w:t>
      </w:r>
      <w:r w:rsidRPr="00C63A3E">
        <w:rPr>
          <w:rFonts w:eastAsia="Calibri"/>
          <w:sz w:val="20"/>
          <w:lang w:val="fr-CA"/>
        </w:rPr>
        <w:t>(</w:t>
      </w:r>
      <w:hyperlink r:id="rId11" w:history="1">
        <w:r w:rsidRPr="00C63A3E">
          <w:rPr>
            <w:rStyle w:val="Hyperlink"/>
            <w:rFonts w:eastAsia="Calibri"/>
            <w:sz w:val="20"/>
            <w:szCs w:val="20"/>
            <w:lang w:val="fr-CA"/>
          </w:rPr>
          <w:t>39642</w:t>
        </w:r>
      </w:hyperlink>
      <w:r w:rsidRPr="00C63A3E">
        <w:rPr>
          <w:rFonts w:eastAsia="Calibri"/>
          <w:sz w:val="20"/>
          <w:lang w:val="fr-CA"/>
        </w:rPr>
        <w:t>)</w:t>
      </w:r>
    </w:p>
    <w:p w:rsidR="009E4C19" w:rsidRPr="00C63A3E" w:rsidRDefault="009E4C19" w:rsidP="000D1ABF">
      <w:pPr>
        <w:ind w:left="357" w:hanging="357"/>
        <w:rPr>
          <w:sz w:val="20"/>
          <w:lang w:val="fr-CA"/>
        </w:rPr>
      </w:pPr>
    </w:p>
    <w:p w:rsidR="009E4C19" w:rsidRPr="00C63A3E" w:rsidRDefault="009E4C19" w:rsidP="000D1ABF">
      <w:pPr>
        <w:pStyle w:val="ListParagraph"/>
        <w:numPr>
          <w:ilvl w:val="0"/>
          <w:numId w:val="38"/>
        </w:numPr>
        <w:ind w:left="357" w:hanging="357"/>
        <w:rPr>
          <w:sz w:val="20"/>
        </w:rPr>
      </w:pPr>
      <w:r w:rsidRPr="00C63A3E">
        <w:rPr>
          <w:i/>
          <w:sz w:val="20"/>
        </w:rPr>
        <w:t>Janice Martha Carruthers v. Robert Brent Carruthers</w:t>
      </w:r>
      <w:r w:rsidRPr="00C63A3E">
        <w:rPr>
          <w:sz w:val="20"/>
        </w:rPr>
        <w:t xml:space="preserve"> (Sask.) (Civil) (By Leave) </w:t>
      </w:r>
      <w:r w:rsidRPr="00C63A3E">
        <w:rPr>
          <w:rFonts w:eastAsia="Calibri"/>
          <w:sz w:val="20"/>
        </w:rPr>
        <w:t>(</w:t>
      </w:r>
      <w:hyperlink r:id="rId12" w:history="1">
        <w:r w:rsidRPr="00C63A3E">
          <w:rPr>
            <w:rStyle w:val="Hyperlink"/>
            <w:rFonts w:eastAsia="Calibri"/>
            <w:sz w:val="20"/>
            <w:szCs w:val="20"/>
          </w:rPr>
          <w:t>39704</w:t>
        </w:r>
      </w:hyperlink>
      <w:r w:rsidRPr="00C63A3E">
        <w:rPr>
          <w:rFonts w:eastAsia="Calibri"/>
          <w:sz w:val="20"/>
        </w:rPr>
        <w:t>)</w:t>
      </w:r>
    </w:p>
    <w:p w:rsidR="009E4C19" w:rsidRPr="00C63A3E" w:rsidRDefault="009E4C19" w:rsidP="000D1ABF">
      <w:pPr>
        <w:ind w:left="357" w:hanging="357"/>
        <w:rPr>
          <w:sz w:val="20"/>
        </w:rPr>
      </w:pPr>
    </w:p>
    <w:p w:rsidR="009E4C19" w:rsidRPr="00C63A3E" w:rsidRDefault="009E4C19" w:rsidP="000D1ABF">
      <w:pPr>
        <w:pStyle w:val="ListParagraph"/>
        <w:numPr>
          <w:ilvl w:val="0"/>
          <w:numId w:val="38"/>
        </w:numPr>
        <w:ind w:left="357" w:hanging="357"/>
        <w:rPr>
          <w:sz w:val="20"/>
        </w:rPr>
      </w:pPr>
      <w:r w:rsidRPr="00C63A3E">
        <w:rPr>
          <w:i/>
          <w:sz w:val="20"/>
        </w:rPr>
        <w:t>BSAR (Eglinton) LP v. Harvey Kalles Realty Inc.</w:t>
      </w:r>
      <w:r w:rsidRPr="00C63A3E">
        <w:rPr>
          <w:sz w:val="20"/>
        </w:rPr>
        <w:t xml:space="preserve"> (Ont.) (Civil) (By Leave) </w:t>
      </w:r>
      <w:r w:rsidRPr="00C63A3E">
        <w:rPr>
          <w:rFonts w:eastAsia="Calibri"/>
          <w:sz w:val="20"/>
        </w:rPr>
        <w:t>(</w:t>
      </w:r>
      <w:hyperlink r:id="rId13" w:history="1">
        <w:r w:rsidRPr="00C63A3E">
          <w:rPr>
            <w:rStyle w:val="Hyperlink"/>
            <w:rFonts w:eastAsia="Calibri"/>
            <w:sz w:val="20"/>
            <w:szCs w:val="20"/>
          </w:rPr>
          <w:t>39831</w:t>
        </w:r>
      </w:hyperlink>
      <w:r w:rsidRPr="00C63A3E">
        <w:rPr>
          <w:rFonts w:eastAsia="Calibri"/>
          <w:sz w:val="20"/>
        </w:rPr>
        <w:t>)</w:t>
      </w:r>
    </w:p>
    <w:p w:rsidR="00387DAF" w:rsidRPr="00C63A3E" w:rsidRDefault="00387DAF" w:rsidP="0053032E">
      <w:pPr>
        <w:rPr>
          <w:sz w:val="20"/>
        </w:rPr>
      </w:pPr>
    </w:p>
    <w:p w:rsidR="0057402C" w:rsidRPr="00C63A3E" w:rsidRDefault="00DA6B23" w:rsidP="0053032E">
      <w:pPr>
        <w:widowControl w:val="0"/>
        <w:jc w:val="both"/>
        <w:rPr>
          <w:sz w:val="20"/>
        </w:rPr>
      </w:pPr>
      <w:r>
        <w:rPr>
          <w:sz w:val="20"/>
        </w:rPr>
        <w:pict>
          <v:rect id="_x0000_i1026" style="width:2in;height:1pt" o:hrpct="0" o:hralign="center" o:hrstd="t" o:hrnoshade="t" o:hr="t" fillcolor="black [3213]" stroked="f"/>
        </w:pict>
      </w:r>
    </w:p>
    <w:p w:rsidR="00387DAF" w:rsidRPr="00C63A3E" w:rsidRDefault="00387DAF" w:rsidP="005A487B">
      <w:pPr>
        <w:widowControl w:val="0"/>
        <w:tabs>
          <w:tab w:val="left" w:pos="3840"/>
        </w:tabs>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7"/>
        <w:gridCol w:w="8263"/>
      </w:tblGrid>
      <w:tr w:rsidR="000D1ABF" w:rsidRPr="00C63A3E" w:rsidTr="00E95A6A">
        <w:tc>
          <w:tcPr>
            <w:tcW w:w="543" w:type="pct"/>
          </w:tcPr>
          <w:p w:rsidR="000D1ABF" w:rsidRPr="00C63A3E" w:rsidRDefault="000D1ABF" w:rsidP="000D1ABF">
            <w:pPr>
              <w:jc w:val="both"/>
              <w:rPr>
                <w:sz w:val="20"/>
              </w:rPr>
            </w:pPr>
            <w:r w:rsidRPr="00C63A3E">
              <w:rPr>
                <w:rStyle w:val="SCCFileNumberChar"/>
                <w:sz w:val="20"/>
                <w:szCs w:val="20"/>
              </w:rPr>
              <w:t>39826</w:t>
            </w:r>
          </w:p>
        </w:tc>
        <w:tc>
          <w:tcPr>
            <w:tcW w:w="4457" w:type="pct"/>
          </w:tcPr>
          <w:p w:rsidR="000D1ABF" w:rsidRPr="00C63A3E" w:rsidRDefault="000D1ABF" w:rsidP="000D1ABF">
            <w:pPr>
              <w:pStyle w:val="SCCLsocParty"/>
              <w:jc w:val="both"/>
              <w:rPr>
                <w:b/>
                <w:sz w:val="20"/>
                <w:szCs w:val="20"/>
                <w:lang w:val="en-US"/>
              </w:rPr>
            </w:pPr>
            <w:r w:rsidRPr="00C63A3E">
              <w:rPr>
                <w:b/>
                <w:sz w:val="20"/>
                <w:szCs w:val="20"/>
                <w:lang w:val="en-US"/>
              </w:rPr>
              <w:t>Her Majesty the Queen v. Walker McColman</w:t>
            </w:r>
          </w:p>
          <w:p w:rsidR="000D1ABF" w:rsidRPr="00C63A3E" w:rsidRDefault="000D1ABF" w:rsidP="000D1ABF">
            <w:pPr>
              <w:jc w:val="both"/>
              <w:rPr>
                <w:sz w:val="20"/>
              </w:rPr>
            </w:pPr>
            <w:r w:rsidRPr="00C63A3E">
              <w:rPr>
                <w:sz w:val="20"/>
              </w:rPr>
              <w:t>(Ont.) (Criminal) (By Leave)</w:t>
            </w:r>
          </w:p>
        </w:tc>
      </w:tr>
      <w:tr w:rsidR="000D1ABF" w:rsidRPr="00C63A3E" w:rsidTr="00E95A6A">
        <w:tc>
          <w:tcPr>
            <w:tcW w:w="5000" w:type="pct"/>
            <w:gridSpan w:val="2"/>
          </w:tcPr>
          <w:p w:rsidR="000D1ABF" w:rsidRPr="00C63A3E" w:rsidRDefault="000D1ABF" w:rsidP="000D1ABF">
            <w:pPr>
              <w:jc w:val="both"/>
              <w:rPr>
                <w:sz w:val="20"/>
              </w:rPr>
            </w:pPr>
            <w:r w:rsidRPr="00C63A3E">
              <w:rPr>
                <w:i/>
                <w:sz w:val="20"/>
              </w:rPr>
              <w:t>Charter of Rights</w:t>
            </w:r>
            <w:r w:rsidRPr="00C63A3E">
              <w:rPr>
                <w:sz w:val="20"/>
              </w:rPr>
              <w:t xml:space="preserve"> — Arbitrary detention — Exclusion of evidence — </w:t>
            </w:r>
            <w:r w:rsidRPr="00C63A3E">
              <w:rPr>
                <w:sz w:val="20"/>
                <w:lang w:val="en"/>
              </w:rPr>
              <w:t xml:space="preserve">Whether there is statutory authority pursuant to the </w:t>
            </w:r>
            <w:r w:rsidRPr="00C63A3E">
              <w:rPr>
                <w:i/>
                <w:sz w:val="20"/>
                <w:lang w:val="en"/>
              </w:rPr>
              <w:t>Highway Traffic Act</w:t>
            </w:r>
            <w:r w:rsidRPr="00C63A3E">
              <w:rPr>
                <w:sz w:val="20"/>
                <w:lang w:val="en"/>
              </w:rPr>
              <w:t xml:space="preserve">, R.S.O. 1990, c. H.8, or common law authority, to </w:t>
            </w:r>
            <w:r w:rsidRPr="00C63A3E">
              <w:rPr>
                <w:color w:val="000000"/>
                <w:sz w:val="20"/>
              </w:rPr>
              <w:t xml:space="preserve">permit the police to conduct a random sobriety check after a person has exited the highway </w:t>
            </w:r>
            <w:r w:rsidRPr="00C63A3E">
              <w:rPr>
                <w:sz w:val="20"/>
              </w:rPr>
              <w:t xml:space="preserve">—What is the correct approach to the statutory interpretation of public welfare legislation designed to protect people on our roads? — What is the role of the common law to fill gaps in the legislation under the ancillary powers doctrine? — Did the majority of the Court of Appeal err in law by failing to conduct a contextual s. 24(2) </w:t>
            </w:r>
            <w:r w:rsidRPr="00C63A3E">
              <w:rPr>
                <w:i/>
                <w:sz w:val="20"/>
              </w:rPr>
              <w:t>Charter</w:t>
            </w:r>
            <w:r w:rsidRPr="00C63A3E">
              <w:rPr>
                <w:sz w:val="20"/>
              </w:rPr>
              <w:t xml:space="preserve"> analysis and by overlooking relevant factors? —What is the correct approach to good faith </w:t>
            </w:r>
            <w:r w:rsidRPr="00C63A3E">
              <w:rPr>
                <w:i/>
                <w:sz w:val="20"/>
              </w:rPr>
              <w:t xml:space="preserve">Charter </w:t>
            </w:r>
            <w:r w:rsidRPr="00C63A3E">
              <w:rPr>
                <w:sz w:val="20"/>
              </w:rPr>
              <w:t xml:space="preserve">breaches that occurred when police had mere seconds to decide what to do? — ss. 9, 24(2) of the </w:t>
            </w:r>
            <w:r w:rsidRPr="00C63A3E">
              <w:rPr>
                <w:i/>
                <w:sz w:val="20"/>
              </w:rPr>
              <w:t>Charter of Rights and Freedoms</w:t>
            </w:r>
            <w:r w:rsidRPr="00C63A3E">
              <w:rPr>
                <w:sz w:val="20"/>
              </w:rPr>
              <w:t>.</w:t>
            </w:r>
          </w:p>
        </w:tc>
      </w:tr>
      <w:tr w:rsidR="000D1ABF" w:rsidRPr="00C63A3E" w:rsidTr="00E95A6A">
        <w:tc>
          <w:tcPr>
            <w:tcW w:w="5000" w:type="pct"/>
            <w:gridSpan w:val="2"/>
          </w:tcPr>
          <w:p w:rsidR="000D1ABF" w:rsidRPr="00C63A3E" w:rsidRDefault="000D1ABF" w:rsidP="000D1ABF">
            <w:pPr>
              <w:jc w:val="both"/>
              <w:rPr>
                <w:sz w:val="20"/>
              </w:rPr>
            </w:pPr>
          </w:p>
          <w:p w:rsidR="000D1ABF" w:rsidRPr="00C63A3E" w:rsidRDefault="000D1ABF" w:rsidP="000D1ABF">
            <w:pPr>
              <w:jc w:val="both"/>
              <w:rPr>
                <w:sz w:val="20"/>
              </w:rPr>
            </w:pPr>
            <w:r w:rsidRPr="00C63A3E">
              <w:rPr>
                <w:color w:val="000000"/>
                <w:sz w:val="20"/>
              </w:rPr>
              <w:t>The respondent was convicted of impaired operation of a motor vehicle and operating a motor vehicle while</w:t>
            </w:r>
            <w:r w:rsidRPr="00C63A3E">
              <w:rPr>
                <w:sz w:val="20"/>
              </w:rPr>
              <w:t xml:space="preserve"> “over 80”. T</w:t>
            </w:r>
            <w:r w:rsidRPr="00C63A3E">
              <w:rPr>
                <w:sz w:val="20"/>
                <w:lang w:val="en"/>
              </w:rPr>
              <w:t xml:space="preserve">he respondent had exited the public highway and was on private property when the police officer approached him. </w:t>
            </w:r>
            <w:r w:rsidRPr="00C63A3E">
              <w:rPr>
                <w:color w:val="000000"/>
                <w:sz w:val="20"/>
              </w:rPr>
              <w:t xml:space="preserve">The officer testified that they did not see any signs of impairment prior to stopping the respondent and there </w:t>
            </w:r>
            <w:r w:rsidRPr="00C63A3E">
              <w:rPr>
                <w:color w:val="000000"/>
                <w:sz w:val="20"/>
              </w:rPr>
              <w:lastRenderedPageBreak/>
              <w:t xml:space="preserve">was nothing unusual about his driving. </w:t>
            </w:r>
            <w:r w:rsidRPr="00C63A3E">
              <w:rPr>
                <w:color w:val="000000"/>
                <w:sz w:val="20"/>
                <w:lang w:val="en"/>
              </w:rPr>
              <w:t xml:space="preserve">The officer </w:t>
            </w:r>
            <w:r w:rsidRPr="00C63A3E">
              <w:rPr>
                <w:color w:val="000000"/>
                <w:sz w:val="20"/>
              </w:rPr>
              <w:t xml:space="preserve">explained that they were exercising their authority to conduct random sobriety checks pursuant to s. 48(1) of the </w:t>
            </w:r>
            <w:r w:rsidRPr="00C63A3E">
              <w:rPr>
                <w:i/>
                <w:sz w:val="20"/>
                <w:lang w:val="en"/>
              </w:rPr>
              <w:t>Highway Traffic Act</w:t>
            </w:r>
            <w:r w:rsidRPr="00C63A3E">
              <w:rPr>
                <w:sz w:val="20"/>
                <w:lang w:val="en"/>
              </w:rPr>
              <w:t>, R.S.O. 1990, c. H.8. At the stop, the officer spoke to the respondent, observed obvious signs of impairment, and arrested him for impaired driving. The respondent was convicted. His summary conviction appeal was allowed; the conviction was set aside and an acquittal was entered. A majority of the Court of Appeal dismissed the Crown’s appeal.</w:t>
            </w:r>
          </w:p>
        </w:tc>
      </w:tr>
      <w:tr w:rsidR="000D1ABF" w:rsidRPr="00C63A3E" w:rsidTr="00E95A6A">
        <w:tc>
          <w:tcPr>
            <w:tcW w:w="5000" w:type="pct"/>
            <w:gridSpan w:val="2"/>
          </w:tcPr>
          <w:p w:rsidR="000D1ABF" w:rsidRPr="00C63A3E" w:rsidRDefault="000D1ABF" w:rsidP="000D1ABF">
            <w:pPr>
              <w:jc w:val="both"/>
              <w:rPr>
                <w:sz w:val="20"/>
              </w:rPr>
            </w:pPr>
          </w:p>
        </w:tc>
      </w:tr>
      <w:tr w:rsidR="000D1ABF" w:rsidRPr="00C63A3E" w:rsidTr="000D1ABF">
        <w:trPr>
          <w:trHeight w:val="3819"/>
        </w:trPr>
        <w:tc>
          <w:tcPr>
            <w:tcW w:w="5000" w:type="pct"/>
            <w:gridSpan w:val="2"/>
          </w:tcPr>
          <w:tbl>
            <w:tblPr>
              <w:tblW w:w="5000" w:type="pct"/>
              <w:tblLayout w:type="fixed"/>
              <w:tblCellMar>
                <w:left w:w="0" w:type="dxa"/>
                <w:right w:w="0" w:type="dxa"/>
              </w:tblCellMar>
              <w:tblLook w:val="04A0" w:firstRow="1" w:lastRow="0" w:firstColumn="1" w:lastColumn="0" w:noHBand="0" w:noVBand="1"/>
            </w:tblPr>
            <w:tblGrid>
              <w:gridCol w:w="4388"/>
              <w:gridCol w:w="575"/>
              <w:gridCol w:w="4307"/>
            </w:tblGrid>
            <w:tr w:rsidR="000D1ABF" w:rsidRPr="00C63A3E" w:rsidTr="00E8377C">
              <w:tc>
                <w:tcPr>
                  <w:tcW w:w="2367" w:type="pct"/>
                </w:tcPr>
                <w:p w:rsidR="000D1ABF" w:rsidRPr="00C63A3E" w:rsidRDefault="000D1ABF" w:rsidP="000D1ABF">
                  <w:pPr>
                    <w:jc w:val="both"/>
                    <w:rPr>
                      <w:sz w:val="20"/>
                    </w:rPr>
                  </w:pPr>
                  <w:r w:rsidRPr="00C63A3E">
                    <w:rPr>
                      <w:sz w:val="20"/>
                    </w:rPr>
                    <w:t>October 4, 2018</w:t>
                  </w:r>
                </w:p>
                <w:p w:rsidR="000D1ABF" w:rsidRPr="00C63A3E" w:rsidRDefault="000D1ABF" w:rsidP="000D1ABF">
                  <w:pPr>
                    <w:jc w:val="both"/>
                    <w:rPr>
                      <w:sz w:val="20"/>
                    </w:rPr>
                  </w:pPr>
                  <w:r w:rsidRPr="00C63A3E">
                    <w:rPr>
                      <w:sz w:val="20"/>
                    </w:rPr>
                    <w:t>Ontario Court of Justice</w:t>
                  </w:r>
                </w:p>
                <w:p w:rsidR="000D1ABF" w:rsidRPr="00C63A3E" w:rsidRDefault="000D1ABF" w:rsidP="000D1ABF">
                  <w:pPr>
                    <w:jc w:val="both"/>
                    <w:rPr>
                      <w:sz w:val="20"/>
                    </w:rPr>
                  </w:pPr>
                  <w:r w:rsidRPr="00C63A3E">
                    <w:rPr>
                      <w:sz w:val="20"/>
                    </w:rPr>
                    <w:t>(Villeneuve J.)</w:t>
                  </w:r>
                </w:p>
                <w:p w:rsidR="000D1ABF" w:rsidRPr="00C63A3E" w:rsidRDefault="000D1ABF" w:rsidP="000D1ABF">
                  <w:pPr>
                    <w:jc w:val="both"/>
                    <w:rPr>
                      <w:sz w:val="20"/>
                    </w:rPr>
                  </w:pPr>
                  <w:r w:rsidRPr="00C63A3E">
                    <w:rPr>
                      <w:sz w:val="20"/>
                    </w:rPr>
                    <w:t>(unreported)</w:t>
                  </w:r>
                </w:p>
                <w:p w:rsidR="000D1ABF" w:rsidRPr="00C63A3E" w:rsidRDefault="000D1ABF" w:rsidP="000D1ABF">
                  <w:pPr>
                    <w:jc w:val="both"/>
                    <w:rPr>
                      <w:sz w:val="20"/>
                    </w:rPr>
                  </w:pPr>
                </w:p>
              </w:tc>
              <w:tc>
                <w:tcPr>
                  <w:tcW w:w="310" w:type="pct"/>
                </w:tcPr>
                <w:p w:rsidR="000D1ABF" w:rsidRPr="00C63A3E" w:rsidRDefault="000D1ABF" w:rsidP="000D1ABF">
                  <w:pPr>
                    <w:jc w:val="both"/>
                    <w:rPr>
                      <w:sz w:val="20"/>
                    </w:rPr>
                  </w:pPr>
                </w:p>
              </w:tc>
              <w:tc>
                <w:tcPr>
                  <w:tcW w:w="2324" w:type="pct"/>
                </w:tcPr>
                <w:p w:rsidR="000D1ABF" w:rsidRPr="00C63A3E" w:rsidRDefault="000D1ABF" w:rsidP="000D1ABF">
                  <w:pPr>
                    <w:jc w:val="both"/>
                    <w:rPr>
                      <w:sz w:val="20"/>
                    </w:rPr>
                  </w:pPr>
                  <w:r w:rsidRPr="00C63A3E">
                    <w:rPr>
                      <w:sz w:val="20"/>
                    </w:rPr>
                    <w:t>Conviction entered:</w:t>
                  </w:r>
                  <w:r w:rsidRPr="00C63A3E">
                    <w:rPr>
                      <w:color w:val="000000"/>
                      <w:sz w:val="20"/>
                    </w:rPr>
                    <w:t xml:space="preserve"> operating a motor vehicle while impaired</w:t>
                  </w:r>
                </w:p>
              </w:tc>
            </w:tr>
            <w:tr w:rsidR="000D1ABF" w:rsidRPr="00C63A3E" w:rsidTr="00E8377C">
              <w:tc>
                <w:tcPr>
                  <w:tcW w:w="2367" w:type="pct"/>
                </w:tcPr>
                <w:p w:rsidR="000D1ABF" w:rsidRPr="00C63A3E" w:rsidRDefault="000D1ABF" w:rsidP="000D1ABF">
                  <w:pPr>
                    <w:jc w:val="both"/>
                    <w:rPr>
                      <w:sz w:val="20"/>
                    </w:rPr>
                  </w:pPr>
                  <w:r w:rsidRPr="00C63A3E">
                    <w:rPr>
                      <w:sz w:val="20"/>
                    </w:rPr>
                    <w:t>September 16, 2019</w:t>
                  </w:r>
                </w:p>
                <w:p w:rsidR="000D1ABF" w:rsidRPr="00C63A3E" w:rsidRDefault="000D1ABF" w:rsidP="000D1ABF">
                  <w:pPr>
                    <w:jc w:val="both"/>
                    <w:rPr>
                      <w:sz w:val="20"/>
                    </w:rPr>
                  </w:pPr>
                  <w:r w:rsidRPr="00C63A3E">
                    <w:rPr>
                      <w:sz w:val="20"/>
                    </w:rPr>
                    <w:t>Ontario Superior Court of Justice</w:t>
                  </w:r>
                </w:p>
                <w:p w:rsidR="000D1ABF" w:rsidRPr="00C63A3E" w:rsidRDefault="000D1ABF" w:rsidP="000D1ABF">
                  <w:pPr>
                    <w:tabs>
                      <w:tab w:val="left" w:pos="1536"/>
                    </w:tabs>
                    <w:jc w:val="both"/>
                    <w:rPr>
                      <w:sz w:val="20"/>
                    </w:rPr>
                  </w:pPr>
                  <w:r w:rsidRPr="00C63A3E">
                    <w:rPr>
                      <w:sz w:val="20"/>
                    </w:rPr>
                    <w:t>(Gareau J.)</w:t>
                  </w:r>
                </w:p>
                <w:p w:rsidR="000D1ABF" w:rsidRPr="00C63A3E" w:rsidRDefault="00DA6B23" w:rsidP="000D1ABF">
                  <w:pPr>
                    <w:tabs>
                      <w:tab w:val="left" w:pos="1536"/>
                    </w:tabs>
                    <w:jc w:val="both"/>
                    <w:rPr>
                      <w:sz w:val="20"/>
                    </w:rPr>
                  </w:pPr>
                  <w:hyperlink r:id="rId14" w:history="1">
                    <w:r w:rsidR="000D1ABF" w:rsidRPr="00C63A3E">
                      <w:rPr>
                        <w:rStyle w:val="Hyperlink"/>
                        <w:sz w:val="20"/>
                      </w:rPr>
                      <w:t>2019 ONSC 5359</w:t>
                    </w:r>
                  </w:hyperlink>
                </w:p>
                <w:p w:rsidR="000D1ABF" w:rsidRPr="00C63A3E" w:rsidRDefault="000D1ABF" w:rsidP="000D1ABF">
                  <w:pPr>
                    <w:jc w:val="both"/>
                    <w:rPr>
                      <w:sz w:val="20"/>
                    </w:rPr>
                  </w:pPr>
                </w:p>
              </w:tc>
              <w:tc>
                <w:tcPr>
                  <w:tcW w:w="310" w:type="pct"/>
                </w:tcPr>
                <w:p w:rsidR="000D1ABF" w:rsidRPr="00C63A3E" w:rsidRDefault="000D1ABF" w:rsidP="000D1ABF">
                  <w:pPr>
                    <w:jc w:val="both"/>
                    <w:rPr>
                      <w:sz w:val="20"/>
                    </w:rPr>
                  </w:pPr>
                </w:p>
              </w:tc>
              <w:tc>
                <w:tcPr>
                  <w:tcW w:w="2324" w:type="pct"/>
                </w:tcPr>
                <w:p w:rsidR="000D1ABF" w:rsidRPr="00C63A3E" w:rsidRDefault="000D1ABF" w:rsidP="000D1ABF">
                  <w:pPr>
                    <w:jc w:val="both"/>
                    <w:rPr>
                      <w:sz w:val="20"/>
                    </w:rPr>
                  </w:pPr>
                  <w:r w:rsidRPr="00C63A3E">
                    <w:rPr>
                      <w:sz w:val="20"/>
                    </w:rPr>
                    <w:t>Appeal allowed: conviction set aside; acquittal entered</w:t>
                  </w:r>
                </w:p>
                <w:p w:rsidR="000D1ABF" w:rsidRPr="00C63A3E" w:rsidRDefault="000D1ABF" w:rsidP="000D1ABF">
                  <w:pPr>
                    <w:jc w:val="both"/>
                    <w:rPr>
                      <w:sz w:val="20"/>
                    </w:rPr>
                  </w:pPr>
                </w:p>
              </w:tc>
            </w:tr>
            <w:tr w:rsidR="000D1ABF" w:rsidRPr="00C63A3E" w:rsidTr="00E8377C">
              <w:tc>
                <w:tcPr>
                  <w:tcW w:w="2367" w:type="pct"/>
                </w:tcPr>
                <w:p w:rsidR="000D1ABF" w:rsidRPr="00C63A3E" w:rsidRDefault="000D1ABF" w:rsidP="000D1ABF">
                  <w:pPr>
                    <w:jc w:val="both"/>
                    <w:rPr>
                      <w:sz w:val="20"/>
                    </w:rPr>
                  </w:pPr>
                  <w:r w:rsidRPr="00C63A3E">
                    <w:rPr>
                      <w:sz w:val="20"/>
                    </w:rPr>
                    <w:t>June 4, 2021</w:t>
                  </w:r>
                </w:p>
                <w:p w:rsidR="000D1ABF" w:rsidRPr="00C63A3E" w:rsidRDefault="000D1ABF" w:rsidP="000D1ABF">
                  <w:pPr>
                    <w:jc w:val="both"/>
                    <w:rPr>
                      <w:sz w:val="20"/>
                    </w:rPr>
                  </w:pPr>
                  <w:r w:rsidRPr="00C63A3E">
                    <w:rPr>
                      <w:sz w:val="20"/>
                    </w:rPr>
                    <w:t>Court of Appeal for Ontario</w:t>
                  </w:r>
                </w:p>
                <w:p w:rsidR="000D1ABF" w:rsidRPr="00C63A3E" w:rsidRDefault="000D1ABF" w:rsidP="000D1ABF">
                  <w:pPr>
                    <w:jc w:val="both"/>
                    <w:rPr>
                      <w:sz w:val="20"/>
                    </w:rPr>
                  </w:pPr>
                  <w:r w:rsidRPr="00C63A3E">
                    <w:rPr>
                      <w:sz w:val="20"/>
                    </w:rPr>
                    <w:t xml:space="preserve">(Feldman and Tulloch JJ.A., and Hourigan </w:t>
                  </w:r>
                </w:p>
                <w:p w:rsidR="000D1ABF" w:rsidRPr="00C63A3E" w:rsidRDefault="000D1ABF" w:rsidP="000D1ABF">
                  <w:pPr>
                    <w:jc w:val="both"/>
                    <w:rPr>
                      <w:sz w:val="20"/>
                    </w:rPr>
                  </w:pPr>
                  <w:r w:rsidRPr="00C63A3E">
                    <w:rPr>
                      <w:sz w:val="20"/>
                    </w:rPr>
                    <w:t>J.A.(dissenting))</w:t>
                  </w:r>
                </w:p>
                <w:p w:rsidR="000D1ABF" w:rsidRDefault="000D1ABF" w:rsidP="000D1ABF">
                  <w:pPr>
                    <w:jc w:val="both"/>
                    <w:rPr>
                      <w:rStyle w:val="Hyperlink"/>
                      <w:sz w:val="20"/>
                    </w:rPr>
                  </w:pPr>
                  <w:r w:rsidRPr="00C63A3E">
                    <w:rPr>
                      <w:sz w:val="20"/>
                    </w:rPr>
                    <w:t xml:space="preserve">C68630; </w:t>
                  </w:r>
                  <w:hyperlink r:id="rId15" w:history="1">
                    <w:r w:rsidRPr="00C63A3E">
                      <w:rPr>
                        <w:rStyle w:val="Hyperlink"/>
                        <w:sz w:val="20"/>
                      </w:rPr>
                      <w:t>2021 ONCA 382</w:t>
                    </w:r>
                  </w:hyperlink>
                </w:p>
                <w:p w:rsidR="00CA3FCD" w:rsidRPr="00CA3FCD" w:rsidRDefault="00CA3FCD" w:rsidP="000D1ABF">
                  <w:pPr>
                    <w:jc w:val="both"/>
                    <w:rPr>
                      <w:sz w:val="20"/>
                    </w:rPr>
                  </w:pPr>
                </w:p>
              </w:tc>
              <w:tc>
                <w:tcPr>
                  <w:tcW w:w="310" w:type="pct"/>
                </w:tcPr>
                <w:p w:rsidR="000D1ABF" w:rsidRPr="00C63A3E" w:rsidRDefault="000D1ABF" w:rsidP="000D1ABF">
                  <w:pPr>
                    <w:jc w:val="both"/>
                    <w:rPr>
                      <w:sz w:val="20"/>
                    </w:rPr>
                  </w:pPr>
                </w:p>
              </w:tc>
              <w:tc>
                <w:tcPr>
                  <w:tcW w:w="2324" w:type="pct"/>
                </w:tcPr>
                <w:p w:rsidR="000D1ABF" w:rsidRPr="00C63A3E" w:rsidRDefault="000D1ABF" w:rsidP="000D1ABF">
                  <w:pPr>
                    <w:jc w:val="both"/>
                    <w:rPr>
                      <w:sz w:val="20"/>
                    </w:rPr>
                  </w:pPr>
                  <w:r w:rsidRPr="00C63A3E">
                    <w:rPr>
                      <w:sz w:val="20"/>
                    </w:rPr>
                    <w:t>Appeal dismissed</w:t>
                  </w:r>
                </w:p>
                <w:p w:rsidR="000D1ABF" w:rsidRPr="00C63A3E" w:rsidRDefault="000D1ABF" w:rsidP="000D1ABF">
                  <w:pPr>
                    <w:jc w:val="both"/>
                    <w:rPr>
                      <w:sz w:val="20"/>
                    </w:rPr>
                  </w:pPr>
                </w:p>
              </w:tc>
            </w:tr>
            <w:tr w:rsidR="00CA3FCD" w:rsidRPr="00C63A3E" w:rsidTr="00E8377C">
              <w:tc>
                <w:tcPr>
                  <w:tcW w:w="2367" w:type="pct"/>
                </w:tcPr>
                <w:p w:rsidR="00CA3FCD" w:rsidRPr="00C63A3E" w:rsidRDefault="00CA3FCD" w:rsidP="00CA3FCD">
                  <w:pPr>
                    <w:jc w:val="both"/>
                    <w:rPr>
                      <w:sz w:val="20"/>
                    </w:rPr>
                  </w:pPr>
                  <w:r w:rsidRPr="00C63A3E">
                    <w:rPr>
                      <w:sz w:val="20"/>
                    </w:rPr>
                    <w:t>September 3, 2021</w:t>
                  </w:r>
                </w:p>
                <w:p w:rsidR="00CA3FCD" w:rsidRPr="00C63A3E" w:rsidRDefault="00CA3FCD" w:rsidP="00CA3FCD">
                  <w:pPr>
                    <w:jc w:val="both"/>
                    <w:rPr>
                      <w:sz w:val="20"/>
                    </w:rPr>
                  </w:pPr>
                  <w:r w:rsidRPr="00C63A3E">
                    <w:rPr>
                      <w:sz w:val="20"/>
                    </w:rPr>
                    <w:t>Supreme Court of Canada</w:t>
                  </w:r>
                </w:p>
              </w:tc>
              <w:tc>
                <w:tcPr>
                  <w:tcW w:w="310" w:type="pct"/>
                </w:tcPr>
                <w:p w:rsidR="00CA3FCD" w:rsidRPr="00C63A3E" w:rsidRDefault="00CA3FCD" w:rsidP="000D1ABF">
                  <w:pPr>
                    <w:jc w:val="both"/>
                    <w:rPr>
                      <w:sz w:val="20"/>
                    </w:rPr>
                  </w:pPr>
                </w:p>
              </w:tc>
              <w:tc>
                <w:tcPr>
                  <w:tcW w:w="2324" w:type="pct"/>
                </w:tcPr>
                <w:p w:rsidR="00CA3FCD" w:rsidRPr="00C63A3E" w:rsidRDefault="00CA3FCD" w:rsidP="00CA3FCD">
                  <w:pPr>
                    <w:jc w:val="both"/>
                    <w:rPr>
                      <w:sz w:val="20"/>
                    </w:rPr>
                  </w:pPr>
                  <w:r w:rsidRPr="00C63A3E">
                    <w:rPr>
                      <w:sz w:val="20"/>
                    </w:rPr>
                    <w:t>Application for leave to appeal filed</w:t>
                  </w:r>
                </w:p>
                <w:p w:rsidR="00CA3FCD" w:rsidRPr="00C63A3E" w:rsidRDefault="00CA3FCD" w:rsidP="000D1ABF">
                  <w:pPr>
                    <w:jc w:val="both"/>
                    <w:rPr>
                      <w:sz w:val="20"/>
                    </w:rPr>
                  </w:pPr>
                </w:p>
              </w:tc>
            </w:tr>
          </w:tbl>
          <w:p w:rsidR="000D1ABF" w:rsidRPr="00C63A3E" w:rsidRDefault="000D1ABF" w:rsidP="000D1ABF">
            <w:pPr>
              <w:jc w:val="both"/>
              <w:rPr>
                <w:color w:val="000000"/>
                <w:sz w:val="20"/>
              </w:rPr>
            </w:pPr>
          </w:p>
        </w:tc>
      </w:tr>
    </w:tbl>
    <w:p w:rsidR="000D1ABF" w:rsidRPr="00C63A3E" w:rsidRDefault="000D1ABF" w:rsidP="000D1ABF">
      <w:pPr>
        <w:jc w:val="both"/>
        <w:rPr>
          <w:sz w:val="20"/>
        </w:rPr>
      </w:pPr>
    </w:p>
    <w:p w:rsidR="000D1ABF" w:rsidRPr="00C63A3E" w:rsidRDefault="00DA6B23" w:rsidP="000D1ABF">
      <w:pPr>
        <w:jc w:val="both"/>
        <w:rPr>
          <w:sz w:val="20"/>
        </w:rPr>
      </w:pPr>
      <w:r>
        <w:rPr>
          <w:sz w:val="20"/>
        </w:rPr>
        <w:pict>
          <v:rect id="_x0000_i1027" style="width:2in;height:1pt" o:hrpct="0" o:hralign="center" o:hrstd="t" o:hrnoshade="t" o:hr="t" fillcolor="black [3213]" stroked="f"/>
        </w:pict>
      </w:r>
    </w:p>
    <w:p w:rsidR="000D1ABF" w:rsidRPr="00C63A3E" w:rsidRDefault="000D1ABF" w:rsidP="000D1AB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7"/>
        <w:gridCol w:w="8263"/>
      </w:tblGrid>
      <w:tr w:rsidR="000D1ABF" w:rsidRPr="00C63A3E" w:rsidTr="00E95A6A">
        <w:tc>
          <w:tcPr>
            <w:tcW w:w="543" w:type="pct"/>
          </w:tcPr>
          <w:p w:rsidR="000D1ABF" w:rsidRPr="00C63A3E" w:rsidRDefault="000D1ABF" w:rsidP="000D1ABF">
            <w:pPr>
              <w:jc w:val="both"/>
              <w:rPr>
                <w:sz w:val="20"/>
              </w:rPr>
            </w:pPr>
            <w:r w:rsidRPr="00C63A3E">
              <w:rPr>
                <w:rStyle w:val="SCCFileNumberChar"/>
                <w:sz w:val="20"/>
                <w:szCs w:val="20"/>
              </w:rPr>
              <w:t>39826</w:t>
            </w:r>
          </w:p>
        </w:tc>
        <w:tc>
          <w:tcPr>
            <w:tcW w:w="4457" w:type="pct"/>
          </w:tcPr>
          <w:p w:rsidR="000D1ABF" w:rsidRPr="00C63A3E" w:rsidRDefault="000D1ABF" w:rsidP="000D1ABF">
            <w:pPr>
              <w:pStyle w:val="SCCLsocParty"/>
              <w:jc w:val="both"/>
              <w:rPr>
                <w:b/>
                <w:sz w:val="20"/>
                <w:szCs w:val="20"/>
              </w:rPr>
            </w:pPr>
            <w:r w:rsidRPr="00C63A3E">
              <w:rPr>
                <w:b/>
                <w:sz w:val="20"/>
                <w:szCs w:val="20"/>
              </w:rPr>
              <w:t>Sa Majesté la Reine c. Walker McColman</w:t>
            </w:r>
          </w:p>
          <w:p w:rsidR="000D1ABF" w:rsidRPr="00C63A3E" w:rsidRDefault="000D1ABF" w:rsidP="000D1ABF">
            <w:pPr>
              <w:jc w:val="both"/>
              <w:rPr>
                <w:sz w:val="20"/>
              </w:rPr>
            </w:pPr>
            <w:r w:rsidRPr="00C63A3E">
              <w:rPr>
                <w:sz w:val="20"/>
              </w:rPr>
              <w:t>(Ont.) (Criminelle) (Autorisation)</w:t>
            </w:r>
          </w:p>
        </w:tc>
      </w:tr>
      <w:tr w:rsidR="000D1ABF" w:rsidRPr="00DA6B23" w:rsidTr="00E95A6A">
        <w:tc>
          <w:tcPr>
            <w:tcW w:w="5000" w:type="pct"/>
            <w:gridSpan w:val="2"/>
          </w:tcPr>
          <w:p w:rsidR="000D1ABF" w:rsidRPr="00C63A3E" w:rsidRDefault="000D1ABF" w:rsidP="000D1ABF">
            <w:pPr>
              <w:jc w:val="both"/>
              <w:rPr>
                <w:sz w:val="20"/>
                <w:lang w:val="fr-CA"/>
              </w:rPr>
            </w:pPr>
            <w:r w:rsidRPr="00C63A3E">
              <w:rPr>
                <w:i/>
                <w:sz w:val="20"/>
                <w:lang w:val="fr-CA"/>
              </w:rPr>
              <w:t xml:space="preserve">Charte des droits </w:t>
            </w:r>
            <w:r w:rsidRPr="00C63A3E">
              <w:rPr>
                <w:sz w:val="20"/>
                <w:lang w:val="fr-CA"/>
              </w:rPr>
              <w:t xml:space="preserve">— Détention arbitraire — Exclusion de la preuve — Les dispositions du </w:t>
            </w:r>
            <w:r w:rsidRPr="00C63A3E">
              <w:rPr>
                <w:i/>
                <w:sz w:val="20"/>
                <w:lang w:val="fr-CA"/>
              </w:rPr>
              <w:t>Code de la route</w:t>
            </w:r>
            <w:r w:rsidRPr="00C63A3E">
              <w:rPr>
                <w:sz w:val="20"/>
                <w:lang w:val="fr-CA"/>
              </w:rPr>
              <w:t>, L.R.O. 1990, c. H.8, ou la common law confère</w:t>
            </w:r>
            <w:r w:rsidRPr="00C63A3E">
              <w:rPr>
                <w:sz w:val="20"/>
                <w:lang w:val="fr-CA"/>
              </w:rPr>
              <w:noBreakHyphen/>
              <w:t>t-elle à la police le pouvoir de mener des contrôles de sobriété aléatoires après qu’une personne a quitté une autoroute? — Quelle est la bonne façon d’interpréter les mesures législatives de bien</w:t>
            </w:r>
            <w:r w:rsidRPr="00C63A3E">
              <w:rPr>
                <w:sz w:val="20"/>
                <w:lang w:val="fr-CA"/>
              </w:rPr>
              <w:noBreakHyphen/>
              <w:t>être public visant à protéger les usagers de nos routes? — Quel rôle joue la common law pour combler les lacunes de la loi en application de la doctrine des pouvoirs accessoires? — Les juges majoritaires de la Cour d’appel ont</w:t>
            </w:r>
            <w:r w:rsidRPr="00C63A3E">
              <w:rPr>
                <w:sz w:val="20"/>
                <w:lang w:val="fr-CA"/>
              </w:rPr>
              <w:noBreakHyphen/>
              <w:t xml:space="preserve">ils commis une erreur de droit en ne procédant pas de manière contextuelle à l’analyse fondée sur le par. 24(2) de la </w:t>
            </w:r>
            <w:r w:rsidRPr="00C63A3E">
              <w:rPr>
                <w:i/>
                <w:sz w:val="20"/>
                <w:lang w:val="fr-CA"/>
              </w:rPr>
              <w:t>Charte</w:t>
            </w:r>
            <w:r w:rsidRPr="00C63A3E">
              <w:rPr>
                <w:sz w:val="20"/>
                <w:lang w:val="fr-CA"/>
              </w:rPr>
              <w:t xml:space="preserve"> et en ne tenant pas compte de facteurs pertinents? — Quelle est la bonne approche à l’égard des violations de la </w:t>
            </w:r>
            <w:r w:rsidRPr="00C63A3E">
              <w:rPr>
                <w:i/>
                <w:sz w:val="20"/>
                <w:lang w:val="fr-CA"/>
              </w:rPr>
              <w:t>Charte</w:t>
            </w:r>
            <w:r w:rsidRPr="00C63A3E">
              <w:rPr>
                <w:sz w:val="20"/>
                <w:lang w:val="fr-CA"/>
              </w:rPr>
              <w:t xml:space="preserve"> commises de bonne foi lorsque la police a seulement quelques secondes pour décider comment intervenir? — Art. 9, par. 24(2) de la </w:t>
            </w:r>
            <w:r w:rsidRPr="00C63A3E">
              <w:rPr>
                <w:i/>
                <w:sz w:val="20"/>
                <w:lang w:val="fr-CA"/>
              </w:rPr>
              <w:t>Charte canadienne des droits et libertés</w:t>
            </w:r>
            <w:r w:rsidRPr="00C63A3E">
              <w:rPr>
                <w:sz w:val="20"/>
                <w:lang w:val="fr-CA"/>
              </w:rPr>
              <w:t>.</w:t>
            </w:r>
          </w:p>
        </w:tc>
      </w:tr>
      <w:tr w:rsidR="000D1ABF" w:rsidRPr="00DA6B23" w:rsidTr="00E95A6A">
        <w:tc>
          <w:tcPr>
            <w:tcW w:w="5000" w:type="pct"/>
            <w:gridSpan w:val="2"/>
          </w:tcPr>
          <w:p w:rsidR="000D1ABF" w:rsidRPr="00C63A3E" w:rsidRDefault="000D1ABF" w:rsidP="000D1ABF">
            <w:pPr>
              <w:jc w:val="both"/>
              <w:rPr>
                <w:sz w:val="20"/>
                <w:lang w:val="fr-CA"/>
              </w:rPr>
            </w:pPr>
          </w:p>
          <w:p w:rsidR="000D1ABF" w:rsidRPr="00C63A3E" w:rsidRDefault="000D1ABF" w:rsidP="000D1ABF">
            <w:pPr>
              <w:jc w:val="both"/>
              <w:rPr>
                <w:sz w:val="20"/>
                <w:lang w:val="fr-CA"/>
              </w:rPr>
            </w:pPr>
            <w:r w:rsidRPr="00C63A3E">
              <w:rPr>
                <w:sz w:val="20"/>
                <w:lang w:val="fr-CA"/>
              </w:rPr>
              <w:t>Le défendeur a été déclaré coupable d’avoir conduit un véhicule à moteur alors que sa capacité de conduire était affaiblie et d’avoir conduit un véhicule à moteur alors qu’il était en état d’ébriété. Le défendeur avait quitté l’autoroute publique et se trouvait sur une propriété privée lorsque l’agent de police l’a abordé. Selon le témoignage de l’agent, celui</w:t>
            </w:r>
            <w:r w:rsidRPr="00C63A3E">
              <w:rPr>
                <w:sz w:val="20"/>
                <w:lang w:val="fr-CA"/>
              </w:rPr>
              <w:noBreakHyphen/>
              <w:t xml:space="preserve">ci n’a constaté aucun signe d’affaiblissement de la capacité avant d’arrêter le défendeur, et il n’y avait rien d’inhabituel concernant sa conduite. L’agent a expliqué qu’il exerçait son pouvoir de procéder à des contrôles de sobriété aléatoires en vertu du par. 48(1) du </w:t>
            </w:r>
            <w:r w:rsidRPr="00C63A3E">
              <w:rPr>
                <w:i/>
                <w:sz w:val="20"/>
                <w:lang w:val="fr-CA"/>
              </w:rPr>
              <w:t>Code de la route</w:t>
            </w:r>
            <w:r w:rsidRPr="00C63A3E">
              <w:rPr>
                <w:sz w:val="20"/>
                <w:lang w:val="fr-CA"/>
              </w:rPr>
              <w:t>, L.R.O. 1990, c. H.8. Sur les lieux du contrôle, l’agent a parlé avec le défendeur, a observé des signes évidents d’affaiblissement de la capacité, et l’a arrêté pour conduite avec capacité affaiblie. Le défendeur a été déclaré coupable. L’appel qu’il a interjeté à l’encontre de sa déclaration de culpabilité par procédure sommaire a été accueilli; la déclaration de culpabilité a été annulée et un verdict d’acquittement a été inscrit. Les juges majoritaires de la Cour d’appel ont rejeté l’appel formé par la Couronne.</w:t>
            </w:r>
          </w:p>
        </w:tc>
      </w:tr>
      <w:tr w:rsidR="000D1ABF" w:rsidRPr="00DA6B23" w:rsidTr="00E95A6A">
        <w:tc>
          <w:tcPr>
            <w:tcW w:w="5000" w:type="pct"/>
            <w:gridSpan w:val="2"/>
          </w:tcPr>
          <w:p w:rsidR="000D1ABF" w:rsidRPr="00C63A3E" w:rsidRDefault="000D1ABF" w:rsidP="000D1ABF">
            <w:pPr>
              <w:jc w:val="both"/>
              <w:rPr>
                <w:sz w:val="20"/>
                <w:lang w:val="fr-CA"/>
              </w:rPr>
            </w:pPr>
          </w:p>
        </w:tc>
      </w:tr>
      <w:tr w:rsidR="000D1ABF" w:rsidRPr="00DA6B23" w:rsidTr="000D1ABF">
        <w:trPr>
          <w:trHeight w:val="3405"/>
        </w:trPr>
        <w:tc>
          <w:tcPr>
            <w:tcW w:w="5000" w:type="pct"/>
            <w:gridSpan w:val="2"/>
          </w:tcPr>
          <w:tbl>
            <w:tblPr>
              <w:tblW w:w="5000" w:type="pct"/>
              <w:tblLayout w:type="fixed"/>
              <w:tblCellMar>
                <w:left w:w="0" w:type="dxa"/>
                <w:right w:w="0" w:type="dxa"/>
              </w:tblCellMar>
              <w:tblLook w:val="04A0" w:firstRow="1" w:lastRow="0" w:firstColumn="1" w:lastColumn="0" w:noHBand="0" w:noVBand="1"/>
            </w:tblPr>
            <w:tblGrid>
              <w:gridCol w:w="4388"/>
              <w:gridCol w:w="575"/>
              <w:gridCol w:w="4307"/>
            </w:tblGrid>
            <w:tr w:rsidR="000D1ABF" w:rsidRPr="00DA6B23" w:rsidTr="00E8377C">
              <w:tc>
                <w:tcPr>
                  <w:tcW w:w="2367" w:type="pct"/>
                </w:tcPr>
                <w:p w:rsidR="000D1ABF" w:rsidRPr="00C63A3E" w:rsidRDefault="000D1ABF" w:rsidP="000D1ABF">
                  <w:pPr>
                    <w:jc w:val="both"/>
                    <w:rPr>
                      <w:sz w:val="20"/>
                      <w:lang w:val="fr-CA"/>
                    </w:rPr>
                  </w:pPr>
                  <w:r w:rsidRPr="00C63A3E">
                    <w:rPr>
                      <w:sz w:val="20"/>
                      <w:lang w:val="fr-CA"/>
                    </w:rPr>
                    <w:lastRenderedPageBreak/>
                    <w:t>4 octobre 2018</w:t>
                  </w:r>
                </w:p>
                <w:p w:rsidR="000D1ABF" w:rsidRPr="00C63A3E" w:rsidRDefault="000D1ABF" w:rsidP="000D1ABF">
                  <w:pPr>
                    <w:jc w:val="both"/>
                    <w:rPr>
                      <w:sz w:val="20"/>
                      <w:lang w:val="fr-CA"/>
                    </w:rPr>
                  </w:pPr>
                  <w:r w:rsidRPr="00C63A3E">
                    <w:rPr>
                      <w:sz w:val="20"/>
                      <w:lang w:val="fr-CA"/>
                    </w:rPr>
                    <w:t xml:space="preserve">Cour de justice de l’Ontario </w:t>
                  </w:r>
                </w:p>
                <w:p w:rsidR="000D1ABF" w:rsidRPr="00C63A3E" w:rsidRDefault="000D1ABF" w:rsidP="000D1ABF">
                  <w:pPr>
                    <w:jc w:val="both"/>
                    <w:rPr>
                      <w:sz w:val="20"/>
                    </w:rPr>
                  </w:pPr>
                  <w:r w:rsidRPr="00C63A3E">
                    <w:rPr>
                      <w:sz w:val="20"/>
                    </w:rPr>
                    <w:t>(Juge Villeneuve)</w:t>
                  </w:r>
                </w:p>
                <w:p w:rsidR="000D1ABF" w:rsidRPr="00C63A3E" w:rsidRDefault="000D1ABF" w:rsidP="000D1ABF">
                  <w:pPr>
                    <w:jc w:val="both"/>
                    <w:rPr>
                      <w:sz w:val="20"/>
                    </w:rPr>
                  </w:pPr>
                  <w:r w:rsidRPr="00C63A3E">
                    <w:rPr>
                      <w:sz w:val="20"/>
                    </w:rPr>
                    <w:t>(Non-publiée)</w:t>
                  </w:r>
                </w:p>
              </w:tc>
              <w:tc>
                <w:tcPr>
                  <w:tcW w:w="310" w:type="pct"/>
                </w:tcPr>
                <w:p w:rsidR="000D1ABF" w:rsidRPr="00C63A3E" w:rsidRDefault="000D1ABF" w:rsidP="000D1ABF">
                  <w:pPr>
                    <w:jc w:val="both"/>
                    <w:rPr>
                      <w:sz w:val="20"/>
                    </w:rPr>
                  </w:pPr>
                </w:p>
              </w:tc>
              <w:tc>
                <w:tcPr>
                  <w:tcW w:w="2324" w:type="pct"/>
                </w:tcPr>
                <w:p w:rsidR="000D1ABF" w:rsidRPr="00C63A3E" w:rsidRDefault="000D1ABF" w:rsidP="000D1ABF">
                  <w:pPr>
                    <w:jc w:val="both"/>
                    <w:rPr>
                      <w:sz w:val="20"/>
                      <w:lang w:val="fr-CA"/>
                    </w:rPr>
                  </w:pPr>
                  <w:r w:rsidRPr="00C63A3E">
                    <w:rPr>
                      <w:sz w:val="20"/>
                      <w:lang w:val="fr-CA"/>
                    </w:rPr>
                    <w:t>Déclaration de culpabilité inscrite :</w:t>
                  </w:r>
                  <w:r w:rsidRPr="00C63A3E">
                    <w:rPr>
                      <w:color w:val="000000"/>
                      <w:sz w:val="20"/>
                      <w:lang w:val="fr-CA"/>
                    </w:rPr>
                    <w:t xml:space="preserve"> conduite d’un véhicule à moteur avec les facultés affaiblies</w:t>
                  </w:r>
                </w:p>
              </w:tc>
            </w:tr>
            <w:tr w:rsidR="000D1ABF" w:rsidRPr="00DA6B23" w:rsidTr="00E8377C">
              <w:tc>
                <w:tcPr>
                  <w:tcW w:w="2367" w:type="pct"/>
                </w:tcPr>
                <w:p w:rsidR="000D1ABF" w:rsidRPr="00C63A3E" w:rsidRDefault="000D1ABF" w:rsidP="000D1ABF">
                  <w:pPr>
                    <w:jc w:val="both"/>
                    <w:rPr>
                      <w:sz w:val="20"/>
                      <w:lang w:val="fr-CA"/>
                    </w:rPr>
                  </w:pPr>
                </w:p>
                <w:p w:rsidR="000D1ABF" w:rsidRPr="00C63A3E" w:rsidRDefault="000D1ABF" w:rsidP="000D1ABF">
                  <w:pPr>
                    <w:jc w:val="both"/>
                    <w:rPr>
                      <w:sz w:val="20"/>
                      <w:lang w:val="fr-CA"/>
                    </w:rPr>
                  </w:pPr>
                  <w:r w:rsidRPr="00C63A3E">
                    <w:rPr>
                      <w:sz w:val="20"/>
                      <w:lang w:val="fr-CA"/>
                    </w:rPr>
                    <w:t>16 septembre 2019</w:t>
                  </w:r>
                </w:p>
                <w:p w:rsidR="000D1ABF" w:rsidRPr="00C63A3E" w:rsidRDefault="000D1ABF" w:rsidP="000D1ABF">
                  <w:pPr>
                    <w:jc w:val="both"/>
                    <w:rPr>
                      <w:sz w:val="20"/>
                      <w:lang w:val="fr-CA"/>
                    </w:rPr>
                  </w:pPr>
                  <w:r w:rsidRPr="00C63A3E">
                    <w:rPr>
                      <w:sz w:val="20"/>
                      <w:lang w:val="fr-CA"/>
                    </w:rPr>
                    <w:t xml:space="preserve">Cour supérieure de justice de l’Ontario </w:t>
                  </w:r>
                </w:p>
                <w:p w:rsidR="000D1ABF" w:rsidRPr="00C63A3E" w:rsidRDefault="000D1ABF" w:rsidP="000D1ABF">
                  <w:pPr>
                    <w:tabs>
                      <w:tab w:val="left" w:pos="1536"/>
                    </w:tabs>
                    <w:jc w:val="both"/>
                    <w:rPr>
                      <w:sz w:val="20"/>
                    </w:rPr>
                  </w:pPr>
                  <w:r w:rsidRPr="00C63A3E">
                    <w:rPr>
                      <w:sz w:val="20"/>
                    </w:rPr>
                    <w:t>(Juge Gareau)</w:t>
                  </w:r>
                </w:p>
                <w:p w:rsidR="000D1ABF" w:rsidRPr="00C63A3E" w:rsidRDefault="00DA6B23" w:rsidP="000D1ABF">
                  <w:pPr>
                    <w:tabs>
                      <w:tab w:val="left" w:pos="1536"/>
                    </w:tabs>
                    <w:jc w:val="both"/>
                    <w:rPr>
                      <w:sz w:val="20"/>
                    </w:rPr>
                  </w:pPr>
                  <w:hyperlink r:id="rId16" w:history="1">
                    <w:r w:rsidR="000D1ABF" w:rsidRPr="00C63A3E">
                      <w:rPr>
                        <w:rStyle w:val="Hyperlink"/>
                        <w:sz w:val="20"/>
                      </w:rPr>
                      <w:t>2019 ONSC 5359</w:t>
                    </w:r>
                  </w:hyperlink>
                </w:p>
                <w:p w:rsidR="000D1ABF" w:rsidRPr="00C63A3E" w:rsidRDefault="000D1ABF" w:rsidP="000D1ABF">
                  <w:pPr>
                    <w:jc w:val="both"/>
                    <w:rPr>
                      <w:sz w:val="20"/>
                    </w:rPr>
                  </w:pPr>
                </w:p>
              </w:tc>
              <w:tc>
                <w:tcPr>
                  <w:tcW w:w="310" w:type="pct"/>
                </w:tcPr>
                <w:p w:rsidR="000D1ABF" w:rsidRPr="00C63A3E" w:rsidRDefault="000D1ABF" w:rsidP="000D1ABF">
                  <w:pPr>
                    <w:jc w:val="both"/>
                    <w:rPr>
                      <w:sz w:val="20"/>
                    </w:rPr>
                  </w:pPr>
                </w:p>
              </w:tc>
              <w:tc>
                <w:tcPr>
                  <w:tcW w:w="2324" w:type="pct"/>
                </w:tcPr>
                <w:p w:rsidR="000D1ABF" w:rsidRPr="00C63A3E" w:rsidRDefault="000D1ABF" w:rsidP="000D1ABF">
                  <w:pPr>
                    <w:jc w:val="both"/>
                    <w:rPr>
                      <w:sz w:val="20"/>
                      <w:lang w:val="fr-CA"/>
                    </w:rPr>
                  </w:pPr>
                  <w:r w:rsidRPr="00C63A3E">
                    <w:rPr>
                      <w:sz w:val="20"/>
                      <w:lang w:val="fr-CA"/>
                    </w:rPr>
                    <w:t>Appel accueilli : déclaration de culpabilité annulée; verdict d’acquittement inscrit</w:t>
                  </w:r>
                </w:p>
                <w:p w:rsidR="000D1ABF" w:rsidRPr="00C63A3E" w:rsidRDefault="000D1ABF" w:rsidP="000D1ABF">
                  <w:pPr>
                    <w:jc w:val="both"/>
                    <w:rPr>
                      <w:sz w:val="20"/>
                      <w:lang w:val="fr-CA"/>
                    </w:rPr>
                  </w:pPr>
                </w:p>
              </w:tc>
            </w:tr>
            <w:tr w:rsidR="000D1ABF" w:rsidRPr="00C63A3E" w:rsidTr="00E8377C">
              <w:tc>
                <w:tcPr>
                  <w:tcW w:w="2367" w:type="pct"/>
                </w:tcPr>
                <w:p w:rsidR="000D1ABF" w:rsidRPr="00C63A3E" w:rsidRDefault="000D1ABF" w:rsidP="000D1ABF">
                  <w:pPr>
                    <w:jc w:val="both"/>
                    <w:rPr>
                      <w:sz w:val="20"/>
                      <w:lang w:val="fr-CA"/>
                    </w:rPr>
                  </w:pPr>
                  <w:r w:rsidRPr="00C63A3E">
                    <w:rPr>
                      <w:sz w:val="20"/>
                      <w:lang w:val="fr-CA"/>
                    </w:rPr>
                    <w:t>4 juin 2021</w:t>
                  </w:r>
                </w:p>
                <w:p w:rsidR="000D1ABF" w:rsidRPr="00C63A3E" w:rsidRDefault="000D1ABF" w:rsidP="000D1ABF">
                  <w:pPr>
                    <w:jc w:val="both"/>
                    <w:rPr>
                      <w:sz w:val="20"/>
                      <w:lang w:val="fr-CA"/>
                    </w:rPr>
                  </w:pPr>
                  <w:r w:rsidRPr="00C63A3E">
                    <w:rPr>
                      <w:sz w:val="20"/>
                      <w:lang w:val="fr-CA"/>
                    </w:rPr>
                    <w:t>Cour d’appel de l’Ontario</w:t>
                  </w:r>
                </w:p>
                <w:p w:rsidR="000D1ABF" w:rsidRPr="00C63A3E" w:rsidRDefault="000D1ABF" w:rsidP="000D1ABF">
                  <w:pPr>
                    <w:jc w:val="both"/>
                    <w:rPr>
                      <w:sz w:val="20"/>
                      <w:lang w:val="fr-CA"/>
                    </w:rPr>
                  </w:pPr>
                  <w:r w:rsidRPr="00C63A3E">
                    <w:rPr>
                      <w:sz w:val="20"/>
                      <w:lang w:val="fr-CA"/>
                    </w:rPr>
                    <w:t>(Juges Feldman et Tulloch, et Hourigan (dissident))</w:t>
                  </w:r>
                </w:p>
                <w:p w:rsidR="000D1ABF" w:rsidRPr="00CA3FCD" w:rsidRDefault="000D1ABF" w:rsidP="000D1ABF">
                  <w:pPr>
                    <w:jc w:val="both"/>
                    <w:rPr>
                      <w:rStyle w:val="Hyperlink"/>
                      <w:color w:val="auto"/>
                      <w:sz w:val="20"/>
                      <w:u w:val="none"/>
                    </w:rPr>
                  </w:pPr>
                  <w:r w:rsidRPr="00C63A3E">
                    <w:rPr>
                      <w:sz w:val="20"/>
                    </w:rPr>
                    <w:t xml:space="preserve">C68630; </w:t>
                  </w:r>
                  <w:hyperlink r:id="rId17" w:history="1">
                    <w:r w:rsidRPr="00C63A3E">
                      <w:rPr>
                        <w:rStyle w:val="Hyperlink"/>
                        <w:sz w:val="20"/>
                      </w:rPr>
                      <w:t>2021 ONCA 382</w:t>
                    </w:r>
                  </w:hyperlink>
                </w:p>
                <w:p w:rsidR="00CA3FCD" w:rsidRPr="00CA3FCD" w:rsidRDefault="00CA3FCD" w:rsidP="000D1ABF">
                  <w:pPr>
                    <w:jc w:val="both"/>
                    <w:rPr>
                      <w:sz w:val="20"/>
                    </w:rPr>
                  </w:pPr>
                </w:p>
              </w:tc>
              <w:tc>
                <w:tcPr>
                  <w:tcW w:w="310" w:type="pct"/>
                </w:tcPr>
                <w:p w:rsidR="000D1ABF" w:rsidRPr="00C63A3E" w:rsidRDefault="000D1ABF" w:rsidP="000D1ABF">
                  <w:pPr>
                    <w:tabs>
                      <w:tab w:val="left" w:pos="427"/>
                    </w:tabs>
                    <w:jc w:val="both"/>
                    <w:rPr>
                      <w:sz w:val="20"/>
                    </w:rPr>
                  </w:pPr>
                </w:p>
              </w:tc>
              <w:tc>
                <w:tcPr>
                  <w:tcW w:w="2324" w:type="pct"/>
                </w:tcPr>
                <w:p w:rsidR="000D1ABF" w:rsidRPr="00C63A3E" w:rsidRDefault="000D1ABF" w:rsidP="000D1ABF">
                  <w:pPr>
                    <w:jc w:val="both"/>
                    <w:rPr>
                      <w:sz w:val="20"/>
                    </w:rPr>
                  </w:pPr>
                  <w:r w:rsidRPr="00C63A3E">
                    <w:rPr>
                      <w:sz w:val="20"/>
                    </w:rPr>
                    <w:t>Appel rejeté</w:t>
                  </w:r>
                </w:p>
                <w:p w:rsidR="000D1ABF" w:rsidRPr="00C63A3E" w:rsidRDefault="000D1ABF" w:rsidP="000D1ABF">
                  <w:pPr>
                    <w:jc w:val="both"/>
                    <w:rPr>
                      <w:sz w:val="20"/>
                    </w:rPr>
                  </w:pPr>
                </w:p>
              </w:tc>
            </w:tr>
            <w:tr w:rsidR="00CA3FCD" w:rsidRPr="00DA6B23" w:rsidTr="00E8377C">
              <w:tc>
                <w:tcPr>
                  <w:tcW w:w="2367" w:type="pct"/>
                </w:tcPr>
                <w:p w:rsidR="00CA3FCD" w:rsidRPr="00C63A3E" w:rsidRDefault="00CA3FCD" w:rsidP="00CA3FCD">
                  <w:pPr>
                    <w:jc w:val="both"/>
                    <w:rPr>
                      <w:sz w:val="20"/>
                      <w:lang w:val="fr-CA"/>
                    </w:rPr>
                  </w:pPr>
                  <w:r w:rsidRPr="00C63A3E">
                    <w:rPr>
                      <w:sz w:val="20"/>
                      <w:lang w:val="fr-CA"/>
                    </w:rPr>
                    <w:t>3 septembre 2021</w:t>
                  </w:r>
                </w:p>
                <w:p w:rsidR="00CA3FCD" w:rsidRPr="00C63A3E" w:rsidRDefault="00CA3FCD" w:rsidP="00CA3FCD">
                  <w:pPr>
                    <w:jc w:val="both"/>
                    <w:rPr>
                      <w:sz w:val="20"/>
                      <w:lang w:val="fr-CA"/>
                    </w:rPr>
                  </w:pPr>
                  <w:r w:rsidRPr="00C63A3E">
                    <w:rPr>
                      <w:sz w:val="20"/>
                      <w:lang w:val="fr-CA"/>
                    </w:rPr>
                    <w:t>Cour suprême du Canada</w:t>
                  </w:r>
                </w:p>
              </w:tc>
              <w:tc>
                <w:tcPr>
                  <w:tcW w:w="310" w:type="pct"/>
                </w:tcPr>
                <w:p w:rsidR="00CA3FCD" w:rsidRPr="00DA6B23" w:rsidRDefault="00CA3FCD" w:rsidP="000D1ABF">
                  <w:pPr>
                    <w:tabs>
                      <w:tab w:val="left" w:pos="427"/>
                    </w:tabs>
                    <w:jc w:val="both"/>
                    <w:rPr>
                      <w:sz w:val="20"/>
                      <w:lang w:val="fr-CA"/>
                    </w:rPr>
                  </w:pPr>
                </w:p>
              </w:tc>
              <w:tc>
                <w:tcPr>
                  <w:tcW w:w="2324" w:type="pct"/>
                </w:tcPr>
                <w:p w:rsidR="00CA3FCD" w:rsidRPr="00C63A3E" w:rsidRDefault="00CA3FCD" w:rsidP="00CA3FCD">
                  <w:pPr>
                    <w:jc w:val="both"/>
                    <w:rPr>
                      <w:sz w:val="20"/>
                      <w:lang w:val="fr-CA"/>
                    </w:rPr>
                  </w:pPr>
                  <w:r w:rsidRPr="00C63A3E">
                    <w:rPr>
                      <w:sz w:val="20"/>
                      <w:lang w:val="fr-CA"/>
                    </w:rPr>
                    <w:t>Dépôt de la demande d’autorisation d’appel</w:t>
                  </w:r>
                </w:p>
                <w:p w:rsidR="00CA3FCD" w:rsidRPr="00CA3FCD" w:rsidRDefault="00CA3FCD" w:rsidP="000D1ABF">
                  <w:pPr>
                    <w:jc w:val="both"/>
                    <w:rPr>
                      <w:sz w:val="20"/>
                      <w:lang w:val="fr-CA"/>
                    </w:rPr>
                  </w:pPr>
                </w:p>
              </w:tc>
            </w:tr>
          </w:tbl>
          <w:p w:rsidR="000D1ABF" w:rsidRPr="00CA3FCD" w:rsidRDefault="000D1ABF" w:rsidP="000D1ABF">
            <w:pPr>
              <w:jc w:val="both"/>
              <w:rPr>
                <w:color w:val="000000"/>
                <w:sz w:val="20"/>
                <w:lang w:val="fr-CA"/>
              </w:rPr>
            </w:pPr>
          </w:p>
        </w:tc>
      </w:tr>
    </w:tbl>
    <w:p w:rsidR="000D1ABF" w:rsidRPr="00C63A3E" w:rsidRDefault="000D1ABF" w:rsidP="005A487B">
      <w:pPr>
        <w:widowControl w:val="0"/>
        <w:tabs>
          <w:tab w:val="left" w:pos="3840"/>
        </w:tabs>
        <w:jc w:val="both"/>
        <w:rPr>
          <w:sz w:val="20"/>
          <w:lang w:val="fr-CA"/>
        </w:rPr>
      </w:pPr>
    </w:p>
    <w:p w:rsidR="000D1ABF" w:rsidRPr="00C63A3E" w:rsidRDefault="00DA6B23" w:rsidP="005A487B">
      <w:pPr>
        <w:widowControl w:val="0"/>
        <w:tabs>
          <w:tab w:val="left" w:pos="3840"/>
        </w:tabs>
        <w:jc w:val="both"/>
        <w:rPr>
          <w:sz w:val="20"/>
        </w:rPr>
      </w:pPr>
      <w:r>
        <w:rPr>
          <w:sz w:val="20"/>
        </w:rPr>
        <w:pict>
          <v:rect id="_x0000_i1028" style="width:2in;height:1pt" o:hrpct="0" o:hralign="center" o:hrstd="t" o:hrnoshade="t" o:hr="t" fillcolor="black [3213]" stroked="f"/>
        </w:pict>
      </w:r>
    </w:p>
    <w:p w:rsidR="000D1ABF" w:rsidRPr="00C63A3E" w:rsidRDefault="000D1ABF" w:rsidP="005A487B">
      <w:pPr>
        <w:widowControl w:val="0"/>
        <w:tabs>
          <w:tab w:val="left" w:pos="3840"/>
        </w:tabs>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7152E" w:rsidRPr="00C63A3E" w:rsidTr="00E95A6A">
        <w:tc>
          <w:tcPr>
            <w:tcW w:w="543" w:type="pct"/>
          </w:tcPr>
          <w:p w:rsidR="00E7152E" w:rsidRPr="00C63A3E" w:rsidRDefault="00E7152E" w:rsidP="00E7152E">
            <w:pPr>
              <w:jc w:val="both"/>
              <w:rPr>
                <w:sz w:val="20"/>
              </w:rPr>
            </w:pPr>
            <w:r w:rsidRPr="00C63A3E">
              <w:rPr>
                <w:rStyle w:val="SCCFileNumberChar"/>
                <w:sz w:val="20"/>
                <w:szCs w:val="20"/>
              </w:rPr>
              <w:t>39850</w:t>
            </w:r>
          </w:p>
        </w:tc>
        <w:tc>
          <w:tcPr>
            <w:tcW w:w="4457" w:type="pct"/>
            <w:gridSpan w:val="3"/>
          </w:tcPr>
          <w:p w:rsidR="00E7152E" w:rsidRPr="00C63A3E" w:rsidRDefault="00E7152E" w:rsidP="00E7152E">
            <w:pPr>
              <w:pStyle w:val="SCCLsocParty"/>
              <w:jc w:val="both"/>
              <w:rPr>
                <w:b/>
                <w:sz w:val="20"/>
                <w:szCs w:val="20"/>
                <w:lang w:val="en-US"/>
              </w:rPr>
            </w:pPr>
            <w:r w:rsidRPr="00C63A3E">
              <w:rPr>
                <w:b/>
                <w:sz w:val="20"/>
                <w:szCs w:val="20"/>
                <w:lang w:val="en-US"/>
              </w:rPr>
              <w:t>Jim Singh Kanda v. Her Majesty the Queen</w:t>
            </w:r>
          </w:p>
          <w:p w:rsidR="00E7152E" w:rsidRPr="00C63A3E" w:rsidRDefault="00E7152E" w:rsidP="00E7152E">
            <w:pPr>
              <w:jc w:val="both"/>
              <w:rPr>
                <w:sz w:val="20"/>
              </w:rPr>
            </w:pPr>
            <w:r w:rsidRPr="00C63A3E">
              <w:rPr>
                <w:sz w:val="20"/>
              </w:rPr>
              <w:t>(B.C.) (Criminal) (By Leave)</w:t>
            </w:r>
          </w:p>
        </w:tc>
      </w:tr>
      <w:tr w:rsidR="00E7152E" w:rsidRPr="00C63A3E" w:rsidTr="00E95A6A">
        <w:tc>
          <w:tcPr>
            <w:tcW w:w="5000" w:type="pct"/>
            <w:gridSpan w:val="4"/>
          </w:tcPr>
          <w:p w:rsidR="00E7152E" w:rsidRPr="00C63A3E" w:rsidRDefault="00E7152E" w:rsidP="00E7152E">
            <w:pPr>
              <w:jc w:val="both"/>
              <w:rPr>
                <w:sz w:val="20"/>
              </w:rPr>
            </w:pPr>
            <w:r w:rsidRPr="00C63A3E">
              <w:rPr>
                <w:sz w:val="20"/>
              </w:rPr>
              <w:t xml:space="preserve">Constitutional law — </w:t>
            </w:r>
            <w:r w:rsidRPr="00C63A3E">
              <w:rPr>
                <w:i/>
                <w:sz w:val="20"/>
              </w:rPr>
              <w:t>Charter of Rights</w:t>
            </w:r>
            <w:r w:rsidRPr="00C63A3E">
              <w:rPr>
                <w:sz w:val="20"/>
              </w:rPr>
              <w:t xml:space="preserve"> — </w:t>
            </w:r>
            <w:r w:rsidRPr="00C63A3E">
              <w:rPr>
                <w:sz w:val="20"/>
                <w:lang w:val="en-GB"/>
              </w:rPr>
              <w:t xml:space="preserve">Right to be tried within a reasonable </w:t>
            </w:r>
            <w:r w:rsidRPr="00C63A3E">
              <w:rPr>
                <w:iCs/>
                <w:sz w:val="20"/>
                <w:lang w:val="en-GB"/>
              </w:rPr>
              <w:t xml:space="preserve">time </w:t>
            </w:r>
            <w:r w:rsidRPr="00C63A3E">
              <w:rPr>
                <w:sz w:val="20"/>
              </w:rPr>
              <w:t xml:space="preserve">— Fundamental justice — Whether time period between Crown staying an information and Crown recommencing or bringing new charges based on same facts is attributable to the Crown for purposes of determining whether right to be tried within a reasonable time was breached — If s. 11(b) of the </w:t>
            </w:r>
            <w:r w:rsidRPr="00C63A3E">
              <w:rPr>
                <w:i/>
                <w:sz w:val="20"/>
              </w:rPr>
              <w:t xml:space="preserve">Charter </w:t>
            </w:r>
            <w:r w:rsidRPr="00C63A3E">
              <w:rPr>
                <w:sz w:val="20"/>
              </w:rPr>
              <w:t xml:space="preserve">is not engaged, whether s. 7 of the </w:t>
            </w:r>
            <w:r w:rsidRPr="00C63A3E">
              <w:rPr>
                <w:i/>
                <w:sz w:val="20"/>
              </w:rPr>
              <w:t xml:space="preserve">Charter </w:t>
            </w:r>
            <w:r w:rsidRPr="00C63A3E">
              <w:rPr>
                <w:sz w:val="20"/>
              </w:rPr>
              <w:t>provides a remedy?</w:t>
            </w:r>
          </w:p>
        </w:tc>
      </w:tr>
      <w:tr w:rsidR="00E7152E" w:rsidRPr="00C63A3E" w:rsidTr="00E95A6A">
        <w:tc>
          <w:tcPr>
            <w:tcW w:w="5000" w:type="pct"/>
            <w:gridSpan w:val="4"/>
          </w:tcPr>
          <w:p w:rsidR="00E7152E" w:rsidRPr="00C63A3E" w:rsidRDefault="00E7152E" w:rsidP="00E7152E">
            <w:pPr>
              <w:jc w:val="both"/>
              <w:rPr>
                <w:sz w:val="20"/>
              </w:rPr>
            </w:pPr>
          </w:p>
        </w:tc>
      </w:tr>
      <w:tr w:rsidR="00E7152E" w:rsidRPr="00C63A3E" w:rsidTr="00E95A6A">
        <w:tc>
          <w:tcPr>
            <w:tcW w:w="5000" w:type="pct"/>
            <w:gridSpan w:val="4"/>
          </w:tcPr>
          <w:p w:rsidR="00E7152E" w:rsidRPr="00C63A3E" w:rsidRDefault="00E7152E" w:rsidP="00E7152E">
            <w:pPr>
              <w:widowControl w:val="0"/>
              <w:jc w:val="both"/>
              <w:rPr>
                <w:sz w:val="20"/>
              </w:rPr>
            </w:pPr>
            <w:r w:rsidRPr="00C63A3E">
              <w:rPr>
                <w:sz w:val="20"/>
              </w:rPr>
              <w:t xml:space="preserve">Mr. Kanda was charged by the police on October 2, 2016. On October 5, the Crown directed a stay of proceedings because the police were still investigating the matter. On February 26, 2019, Crown counsel laid a new information. A motions judge held that the period from October 2, 2016 to February 26, 2019 was attributable to the Crown as delay for purposes of determining whether Mr. Kanda’s right </w:t>
            </w:r>
            <w:r w:rsidRPr="00C63A3E">
              <w:rPr>
                <w:sz w:val="20"/>
                <w:lang w:val="en-GB"/>
              </w:rPr>
              <w:t xml:space="preserve">to be tried within a reasonable </w:t>
            </w:r>
            <w:r w:rsidRPr="00C63A3E">
              <w:rPr>
                <w:iCs/>
                <w:sz w:val="20"/>
                <w:lang w:val="en-GB"/>
              </w:rPr>
              <w:t>time was breached. The motions judge stayed proceedings. The Court of Appeal set aside the stay and remitted the matter for trial.</w:t>
            </w:r>
          </w:p>
          <w:p w:rsidR="00E7152E" w:rsidRPr="00C63A3E" w:rsidRDefault="00E7152E" w:rsidP="00E7152E">
            <w:pPr>
              <w:jc w:val="both"/>
              <w:rPr>
                <w:sz w:val="20"/>
              </w:rPr>
            </w:pPr>
          </w:p>
        </w:tc>
      </w:tr>
      <w:tr w:rsidR="00E7152E" w:rsidRPr="00C63A3E" w:rsidTr="00E95A6A">
        <w:tc>
          <w:tcPr>
            <w:tcW w:w="2427" w:type="pct"/>
            <w:gridSpan w:val="2"/>
          </w:tcPr>
          <w:p w:rsidR="00E7152E" w:rsidRPr="00C63A3E" w:rsidRDefault="00E7152E" w:rsidP="00E7152E">
            <w:pPr>
              <w:jc w:val="both"/>
              <w:rPr>
                <w:sz w:val="20"/>
              </w:rPr>
            </w:pPr>
            <w:r w:rsidRPr="00C63A3E">
              <w:rPr>
                <w:sz w:val="20"/>
              </w:rPr>
              <w:t>November 6, 2020</w:t>
            </w:r>
          </w:p>
          <w:p w:rsidR="00E7152E" w:rsidRPr="00C63A3E" w:rsidRDefault="00E7152E" w:rsidP="00E7152E">
            <w:pPr>
              <w:jc w:val="both"/>
              <w:rPr>
                <w:sz w:val="20"/>
              </w:rPr>
            </w:pPr>
            <w:r w:rsidRPr="00C63A3E">
              <w:rPr>
                <w:sz w:val="20"/>
              </w:rPr>
              <w:t>Provincial Court of British Columbia</w:t>
            </w:r>
          </w:p>
          <w:p w:rsidR="00E7152E" w:rsidRPr="00C63A3E" w:rsidRDefault="00E7152E" w:rsidP="00E7152E">
            <w:pPr>
              <w:jc w:val="both"/>
              <w:rPr>
                <w:sz w:val="20"/>
              </w:rPr>
            </w:pPr>
            <w:r w:rsidRPr="00C63A3E">
              <w:rPr>
                <w:sz w:val="20"/>
              </w:rPr>
              <w:t>(Lopes J.)(Unreported)</w:t>
            </w:r>
          </w:p>
          <w:p w:rsidR="00E7152E" w:rsidRPr="00C63A3E" w:rsidRDefault="00E7152E" w:rsidP="00E7152E">
            <w:pPr>
              <w:jc w:val="both"/>
              <w:rPr>
                <w:sz w:val="20"/>
              </w:rPr>
            </w:pPr>
          </w:p>
        </w:tc>
        <w:tc>
          <w:tcPr>
            <w:tcW w:w="243" w:type="pct"/>
          </w:tcPr>
          <w:p w:rsidR="00E7152E" w:rsidRPr="00C63A3E" w:rsidRDefault="00E7152E" w:rsidP="00E7152E">
            <w:pPr>
              <w:jc w:val="both"/>
              <w:rPr>
                <w:sz w:val="20"/>
              </w:rPr>
            </w:pPr>
          </w:p>
        </w:tc>
        <w:tc>
          <w:tcPr>
            <w:tcW w:w="2330" w:type="pct"/>
          </w:tcPr>
          <w:p w:rsidR="00E7152E" w:rsidRPr="00C63A3E" w:rsidRDefault="00E7152E" w:rsidP="00E7152E">
            <w:pPr>
              <w:jc w:val="both"/>
              <w:rPr>
                <w:sz w:val="20"/>
              </w:rPr>
            </w:pPr>
            <w:r w:rsidRPr="00C63A3E">
              <w:rPr>
                <w:sz w:val="20"/>
              </w:rPr>
              <w:t xml:space="preserve">Proceedings stayed </w:t>
            </w:r>
          </w:p>
          <w:p w:rsidR="00E7152E" w:rsidRPr="00C63A3E" w:rsidRDefault="00E7152E" w:rsidP="00E7152E">
            <w:pPr>
              <w:jc w:val="both"/>
              <w:rPr>
                <w:sz w:val="20"/>
              </w:rPr>
            </w:pPr>
          </w:p>
        </w:tc>
      </w:tr>
      <w:tr w:rsidR="00E7152E" w:rsidRPr="00C63A3E" w:rsidTr="00E95A6A">
        <w:tc>
          <w:tcPr>
            <w:tcW w:w="2427" w:type="pct"/>
            <w:gridSpan w:val="2"/>
          </w:tcPr>
          <w:p w:rsidR="00E7152E" w:rsidRPr="00C63A3E" w:rsidRDefault="00E7152E" w:rsidP="00E7152E">
            <w:pPr>
              <w:jc w:val="both"/>
              <w:rPr>
                <w:sz w:val="20"/>
              </w:rPr>
            </w:pPr>
            <w:r w:rsidRPr="00C63A3E">
              <w:rPr>
                <w:sz w:val="20"/>
              </w:rPr>
              <w:t>July 7, 2021</w:t>
            </w:r>
          </w:p>
          <w:p w:rsidR="00E7152E" w:rsidRPr="00C63A3E" w:rsidRDefault="00E7152E" w:rsidP="00E7152E">
            <w:pPr>
              <w:jc w:val="both"/>
              <w:rPr>
                <w:sz w:val="20"/>
              </w:rPr>
            </w:pPr>
            <w:r w:rsidRPr="00C63A3E">
              <w:rPr>
                <w:sz w:val="20"/>
              </w:rPr>
              <w:t xml:space="preserve">Court of Appeal for British Columbia </w:t>
            </w:r>
          </w:p>
          <w:p w:rsidR="00E7152E" w:rsidRPr="00C63A3E" w:rsidRDefault="00E7152E" w:rsidP="00E7152E">
            <w:pPr>
              <w:jc w:val="both"/>
              <w:rPr>
                <w:sz w:val="20"/>
              </w:rPr>
            </w:pPr>
            <w:r w:rsidRPr="00C63A3E">
              <w:rPr>
                <w:sz w:val="20"/>
              </w:rPr>
              <w:t>(Vancouver)</w:t>
            </w:r>
          </w:p>
          <w:p w:rsidR="00E7152E" w:rsidRPr="00C63A3E" w:rsidRDefault="00E7152E" w:rsidP="00E7152E">
            <w:pPr>
              <w:jc w:val="both"/>
              <w:rPr>
                <w:sz w:val="20"/>
              </w:rPr>
            </w:pPr>
            <w:r w:rsidRPr="00C63A3E">
              <w:rPr>
                <w:sz w:val="20"/>
              </w:rPr>
              <w:t>(Frankel, Griffin, Grauer JJ.A.)</w:t>
            </w:r>
          </w:p>
          <w:p w:rsidR="00E7152E" w:rsidRPr="00C63A3E" w:rsidRDefault="00DA6B23" w:rsidP="00E7152E">
            <w:pPr>
              <w:jc w:val="both"/>
              <w:rPr>
                <w:sz w:val="20"/>
              </w:rPr>
            </w:pPr>
            <w:hyperlink r:id="rId18" w:history="1">
              <w:r w:rsidR="00E7152E" w:rsidRPr="00C63A3E">
                <w:rPr>
                  <w:rStyle w:val="Hyperlink"/>
                  <w:sz w:val="20"/>
                </w:rPr>
                <w:t>2021 BCCA 267</w:t>
              </w:r>
            </w:hyperlink>
            <w:r w:rsidR="00E7152E" w:rsidRPr="00C63A3E">
              <w:rPr>
                <w:sz w:val="20"/>
              </w:rPr>
              <w:t>; CA47149</w:t>
            </w:r>
          </w:p>
          <w:p w:rsidR="00E7152E" w:rsidRPr="00C63A3E" w:rsidRDefault="00E7152E" w:rsidP="00E7152E">
            <w:pPr>
              <w:jc w:val="both"/>
              <w:rPr>
                <w:sz w:val="20"/>
              </w:rPr>
            </w:pPr>
          </w:p>
        </w:tc>
        <w:tc>
          <w:tcPr>
            <w:tcW w:w="243" w:type="pct"/>
          </w:tcPr>
          <w:p w:rsidR="00E7152E" w:rsidRPr="00C63A3E" w:rsidRDefault="00E7152E" w:rsidP="00E7152E">
            <w:pPr>
              <w:jc w:val="both"/>
              <w:rPr>
                <w:sz w:val="20"/>
              </w:rPr>
            </w:pPr>
          </w:p>
        </w:tc>
        <w:tc>
          <w:tcPr>
            <w:tcW w:w="2330" w:type="pct"/>
          </w:tcPr>
          <w:p w:rsidR="00E7152E" w:rsidRPr="00C63A3E" w:rsidRDefault="00E7152E" w:rsidP="00E7152E">
            <w:pPr>
              <w:jc w:val="both"/>
              <w:rPr>
                <w:sz w:val="20"/>
              </w:rPr>
            </w:pPr>
            <w:r w:rsidRPr="00C63A3E">
              <w:rPr>
                <w:sz w:val="20"/>
              </w:rPr>
              <w:t>Appeal allowed, stay set aside and matter remitted for a new trial</w:t>
            </w:r>
          </w:p>
          <w:p w:rsidR="00E7152E" w:rsidRPr="00C63A3E" w:rsidRDefault="00E7152E" w:rsidP="00E7152E">
            <w:pPr>
              <w:jc w:val="both"/>
              <w:rPr>
                <w:sz w:val="20"/>
              </w:rPr>
            </w:pPr>
          </w:p>
        </w:tc>
      </w:tr>
      <w:tr w:rsidR="00E7152E" w:rsidRPr="00C63A3E" w:rsidTr="00E95A6A">
        <w:tc>
          <w:tcPr>
            <w:tcW w:w="2427" w:type="pct"/>
            <w:gridSpan w:val="2"/>
          </w:tcPr>
          <w:p w:rsidR="00E7152E" w:rsidRPr="00C63A3E" w:rsidRDefault="00E7152E" w:rsidP="00E7152E">
            <w:pPr>
              <w:jc w:val="both"/>
              <w:rPr>
                <w:sz w:val="20"/>
              </w:rPr>
            </w:pPr>
            <w:r w:rsidRPr="00C63A3E">
              <w:rPr>
                <w:sz w:val="20"/>
              </w:rPr>
              <w:t>September 24, 2021</w:t>
            </w:r>
          </w:p>
          <w:p w:rsidR="00E7152E" w:rsidRPr="00C63A3E" w:rsidRDefault="00E7152E" w:rsidP="00E7152E">
            <w:pPr>
              <w:jc w:val="both"/>
              <w:rPr>
                <w:sz w:val="20"/>
              </w:rPr>
            </w:pPr>
            <w:r w:rsidRPr="00C63A3E">
              <w:rPr>
                <w:sz w:val="20"/>
              </w:rPr>
              <w:t>Supreme Court of Canada</w:t>
            </w:r>
          </w:p>
        </w:tc>
        <w:tc>
          <w:tcPr>
            <w:tcW w:w="243" w:type="pct"/>
          </w:tcPr>
          <w:p w:rsidR="00E7152E" w:rsidRPr="00C63A3E" w:rsidRDefault="00E7152E" w:rsidP="00E7152E">
            <w:pPr>
              <w:jc w:val="both"/>
              <w:rPr>
                <w:sz w:val="20"/>
              </w:rPr>
            </w:pPr>
          </w:p>
        </w:tc>
        <w:tc>
          <w:tcPr>
            <w:tcW w:w="2330" w:type="pct"/>
          </w:tcPr>
          <w:p w:rsidR="00E7152E" w:rsidRPr="00C63A3E" w:rsidRDefault="00E7152E" w:rsidP="00E7152E">
            <w:pPr>
              <w:jc w:val="both"/>
              <w:rPr>
                <w:sz w:val="20"/>
              </w:rPr>
            </w:pPr>
            <w:r w:rsidRPr="00C63A3E">
              <w:rPr>
                <w:sz w:val="20"/>
              </w:rPr>
              <w:t>Application for leave to appeal filed</w:t>
            </w:r>
          </w:p>
          <w:p w:rsidR="00E7152E" w:rsidRPr="00C63A3E" w:rsidRDefault="00E7152E" w:rsidP="00E7152E">
            <w:pPr>
              <w:jc w:val="both"/>
              <w:rPr>
                <w:sz w:val="20"/>
              </w:rPr>
            </w:pPr>
          </w:p>
        </w:tc>
      </w:tr>
    </w:tbl>
    <w:p w:rsidR="00E7152E" w:rsidRPr="00C63A3E" w:rsidRDefault="00E7152E" w:rsidP="00E7152E">
      <w:pPr>
        <w:jc w:val="both"/>
        <w:rPr>
          <w:sz w:val="20"/>
        </w:rPr>
      </w:pPr>
    </w:p>
    <w:p w:rsidR="00E7152E" w:rsidRPr="00C63A3E" w:rsidRDefault="00DA6B23" w:rsidP="00E7152E">
      <w:pPr>
        <w:jc w:val="both"/>
        <w:rPr>
          <w:sz w:val="20"/>
        </w:rPr>
      </w:pPr>
      <w:r>
        <w:rPr>
          <w:sz w:val="20"/>
        </w:rPr>
        <w:pict>
          <v:rect id="_x0000_i1029" style="width:2in;height:1pt" o:hrpct="0" o:hralign="center" o:hrstd="t" o:hrnoshade="t" o:hr="t" fillcolor="black [3213]" stroked="f"/>
        </w:pict>
      </w:r>
    </w:p>
    <w:p w:rsidR="00E7152E" w:rsidRPr="00C63A3E" w:rsidRDefault="00E7152E" w:rsidP="00E7152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7152E" w:rsidRPr="00DA6B23" w:rsidTr="00E95A6A">
        <w:tc>
          <w:tcPr>
            <w:tcW w:w="543" w:type="pct"/>
          </w:tcPr>
          <w:p w:rsidR="00E7152E" w:rsidRPr="00C63A3E" w:rsidRDefault="00E7152E" w:rsidP="00E7152E">
            <w:pPr>
              <w:jc w:val="both"/>
              <w:rPr>
                <w:sz w:val="20"/>
              </w:rPr>
            </w:pPr>
            <w:r w:rsidRPr="00C63A3E">
              <w:rPr>
                <w:rStyle w:val="SCCFileNumberChar"/>
                <w:sz w:val="20"/>
                <w:szCs w:val="20"/>
              </w:rPr>
              <w:t>39850</w:t>
            </w:r>
          </w:p>
        </w:tc>
        <w:tc>
          <w:tcPr>
            <w:tcW w:w="4457" w:type="pct"/>
            <w:gridSpan w:val="3"/>
          </w:tcPr>
          <w:p w:rsidR="00E7152E" w:rsidRPr="00C63A3E" w:rsidRDefault="00E7152E" w:rsidP="00E7152E">
            <w:pPr>
              <w:pStyle w:val="SCCLsocParty"/>
              <w:jc w:val="both"/>
              <w:rPr>
                <w:b/>
                <w:sz w:val="20"/>
                <w:szCs w:val="20"/>
              </w:rPr>
            </w:pPr>
            <w:r w:rsidRPr="00C63A3E">
              <w:rPr>
                <w:b/>
                <w:sz w:val="20"/>
                <w:szCs w:val="20"/>
              </w:rPr>
              <w:t>Jim Singh Kanda c. Sa Majesté la Reine</w:t>
            </w:r>
          </w:p>
          <w:p w:rsidR="00E7152E" w:rsidRPr="00C63A3E" w:rsidRDefault="00E7152E" w:rsidP="00E7152E">
            <w:pPr>
              <w:jc w:val="both"/>
              <w:rPr>
                <w:sz w:val="20"/>
                <w:lang w:val="fr-CA"/>
              </w:rPr>
            </w:pPr>
            <w:r w:rsidRPr="00C63A3E">
              <w:rPr>
                <w:sz w:val="20"/>
                <w:lang w:val="fr-CA"/>
              </w:rPr>
              <w:t>(C.-B.) (Criminelle) (Sur autorisation)</w:t>
            </w:r>
          </w:p>
        </w:tc>
      </w:tr>
      <w:tr w:rsidR="00E7152E" w:rsidRPr="00DA6B23" w:rsidTr="00E95A6A">
        <w:tc>
          <w:tcPr>
            <w:tcW w:w="5000" w:type="pct"/>
            <w:gridSpan w:val="4"/>
          </w:tcPr>
          <w:p w:rsidR="00E7152E" w:rsidRPr="00C63A3E" w:rsidRDefault="00E7152E" w:rsidP="00E7152E">
            <w:pPr>
              <w:jc w:val="both"/>
              <w:rPr>
                <w:sz w:val="20"/>
                <w:lang w:val="fr-CA"/>
              </w:rPr>
            </w:pPr>
            <w:r w:rsidRPr="00C63A3E">
              <w:rPr>
                <w:sz w:val="20"/>
                <w:lang w:val="fr-CA"/>
              </w:rPr>
              <w:t xml:space="preserve">Droit constitutionnel — </w:t>
            </w:r>
            <w:r w:rsidRPr="00C63A3E">
              <w:rPr>
                <w:i/>
                <w:sz w:val="20"/>
                <w:lang w:val="fr-CA"/>
              </w:rPr>
              <w:t>Charte des droits</w:t>
            </w:r>
            <w:r w:rsidRPr="00C63A3E">
              <w:rPr>
                <w:sz w:val="20"/>
                <w:lang w:val="fr-CA"/>
              </w:rPr>
              <w:t xml:space="preserve"> — Procès dans un délai raisonnable — Justice fondamentale — L’intervalle entre la suspension d’une dénonciation par la Couronne et son dépôt de nouvelles accusations sur la base des mêmes faits est</w:t>
            </w:r>
            <w:r w:rsidRPr="00C63A3E">
              <w:rPr>
                <w:sz w:val="20"/>
                <w:lang w:val="fr-CA"/>
              </w:rPr>
              <w:noBreakHyphen/>
              <w:t xml:space="preserve">il imputable à la Couronne pour ce qui est de décider s’il y a eu atteinte au droit d’être jugé dans un délai raisonnable? — Si l’al. 11b) de la </w:t>
            </w:r>
            <w:r w:rsidRPr="00C63A3E">
              <w:rPr>
                <w:i/>
                <w:sz w:val="20"/>
                <w:lang w:val="fr-CA"/>
              </w:rPr>
              <w:t xml:space="preserve">Charte </w:t>
            </w:r>
            <w:r w:rsidRPr="00C63A3E">
              <w:rPr>
                <w:sz w:val="20"/>
                <w:lang w:val="fr-CA"/>
              </w:rPr>
              <w:t xml:space="preserve">n’entre pas en jeu, l’art. 7 de la </w:t>
            </w:r>
            <w:r w:rsidRPr="00C63A3E">
              <w:rPr>
                <w:i/>
                <w:sz w:val="20"/>
                <w:lang w:val="fr-CA"/>
              </w:rPr>
              <w:t xml:space="preserve">Charte </w:t>
            </w:r>
            <w:r w:rsidRPr="00C63A3E">
              <w:rPr>
                <w:sz w:val="20"/>
                <w:lang w:val="fr-CA"/>
              </w:rPr>
              <w:t>offre</w:t>
            </w:r>
            <w:r w:rsidRPr="00C63A3E">
              <w:rPr>
                <w:sz w:val="20"/>
                <w:lang w:val="fr-CA"/>
              </w:rPr>
              <w:noBreakHyphen/>
              <w:t>t</w:t>
            </w:r>
            <w:r w:rsidRPr="00C63A3E">
              <w:rPr>
                <w:sz w:val="20"/>
                <w:lang w:val="fr-CA"/>
              </w:rPr>
              <w:noBreakHyphen/>
              <w:t>il un recours?</w:t>
            </w:r>
          </w:p>
        </w:tc>
      </w:tr>
      <w:tr w:rsidR="00E7152E" w:rsidRPr="00DA6B23" w:rsidTr="00E95A6A">
        <w:tc>
          <w:tcPr>
            <w:tcW w:w="5000" w:type="pct"/>
            <w:gridSpan w:val="4"/>
          </w:tcPr>
          <w:p w:rsidR="00E7152E" w:rsidRPr="00C63A3E" w:rsidRDefault="00E7152E" w:rsidP="00E7152E">
            <w:pPr>
              <w:jc w:val="both"/>
              <w:rPr>
                <w:sz w:val="20"/>
                <w:lang w:val="fr-CA"/>
              </w:rPr>
            </w:pPr>
          </w:p>
        </w:tc>
      </w:tr>
      <w:tr w:rsidR="00E7152E" w:rsidRPr="00DA6B23" w:rsidTr="00E95A6A">
        <w:tc>
          <w:tcPr>
            <w:tcW w:w="5000" w:type="pct"/>
            <w:gridSpan w:val="4"/>
          </w:tcPr>
          <w:p w:rsidR="00E7152E" w:rsidRPr="00C63A3E" w:rsidRDefault="00E7152E" w:rsidP="00E7152E">
            <w:pPr>
              <w:widowControl w:val="0"/>
              <w:jc w:val="both"/>
              <w:rPr>
                <w:sz w:val="20"/>
                <w:lang w:val="fr-CA"/>
              </w:rPr>
            </w:pPr>
            <w:r w:rsidRPr="00C63A3E">
              <w:rPr>
                <w:sz w:val="20"/>
                <w:lang w:val="fr-CA"/>
              </w:rPr>
              <w:t>Monsieur Kanda a été accusé par la police le 2 octobre 2016. Le 5 octobre, la Couronne a ordonné l’arrêt des procédures parce que les policiers enquêtaient toujours sur l’affaire. Le 26 février 2019, le procureur de la Couronne a déposé une nouvelle dénonciation. Une juge des requêtes a statué que la période du 2 octobre 2016 au 26 février 2019 était imputable à la Couronne en tant que délai en vue de décider s’il y avait eu atteinte au droit de M. Kanda d’être jugé dans un délai raisonnable. La juge des requêtes a arrêté les procédures</w:t>
            </w:r>
            <w:r w:rsidRPr="00C63A3E">
              <w:rPr>
                <w:iCs/>
                <w:sz w:val="20"/>
                <w:lang w:val="fr-CA"/>
              </w:rPr>
              <w:t>. La Cour d’appel a annulé l’arrêt des procédures et renvoyé l’affaire à procès.</w:t>
            </w:r>
          </w:p>
          <w:p w:rsidR="00E7152E" w:rsidRPr="00C63A3E" w:rsidRDefault="00E7152E" w:rsidP="00E7152E">
            <w:pPr>
              <w:jc w:val="both"/>
              <w:rPr>
                <w:sz w:val="20"/>
                <w:lang w:val="fr-CA"/>
              </w:rPr>
            </w:pPr>
          </w:p>
        </w:tc>
      </w:tr>
      <w:tr w:rsidR="00E7152E" w:rsidRPr="00C63A3E" w:rsidTr="00E95A6A">
        <w:tc>
          <w:tcPr>
            <w:tcW w:w="2427" w:type="pct"/>
            <w:gridSpan w:val="2"/>
          </w:tcPr>
          <w:p w:rsidR="00E7152E" w:rsidRPr="00C63A3E" w:rsidRDefault="00E7152E" w:rsidP="00E7152E">
            <w:pPr>
              <w:jc w:val="both"/>
              <w:rPr>
                <w:sz w:val="20"/>
                <w:lang w:val="fr-CA"/>
              </w:rPr>
            </w:pPr>
            <w:r w:rsidRPr="00C63A3E">
              <w:rPr>
                <w:sz w:val="20"/>
                <w:lang w:val="fr-CA"/>
              </w:rPr>
              <w:t>6 novembre 2020</w:t>
            </w:r>
          </w:p>
          <w:p w:rsidR="00E7152E" w:rsidRPr="00C63A3E" w:rsidRDefault="00E7152E" w:rsidP="00E7152E">
            <w:pPr>
              <w:jc w:val="both"/>
              <w:rPr>
                <w:sz w:val="20"/>
                <w:lang w:val="fr-CA"/>
              </w:rPr>
            </w:pPr>
            <w:r w:rsidRPr="00C63A3E">
              <w:rPr>
                <w:sz w:val="20"/>
                <w:lang w:val="fr-CA"/>
              </w:rPr>
              <w:t>Cour provinciale de la Colombie-Britannique</w:t>
            </w:r>
          </w:p>
          <w:p w:rsidR="00E7152E" w:rsidRPr="00C63A3E" w:rsidRDefault="00E7152E" w:rsidP="00E7152E">
            <w:pPr>
              <w:jc w:val="both"/>
              <w:rPr>
                <w:sz w:val="20"/>
              </w:rPr>
            </w:pPr>
            <w:r w:rsidRPr="00C63A3E">
              <w:rPr>
                <w:sz w:val="20"/>
              </w:rPr>
              <w:t>(juge Lopes) (non publiée)</w:t>
            </w:r>
          </w:p>
          <w:p w:rsidR="00E7152E" w:rsidRPr="00C63A3E" w:rsidRDefault="00E7152E" w:rsidP="00E7152E">
            <w:pPr>
              <w:jc w:val="both"/>
              <w:rPr>
                <w:sz w:val="20"/>
              </w:rPr>
            </w:pPr>
          </w:p>
        </w:tc>
        <w:tc>
          <w:tcPr>
            <w:tcW w:w="243" w:type="pct"/>
          </w:tcPr>
          <w:p w:rsidR="00E7152E" w:rsidRPr="00C63A3E" w:rsidRDefault="00E7152E" w:rsidP="00E7152E">
            <w:pPr>
              <w:jc w:val="both"/>
              <w:rPr>
                <w:sz w:val="20"/>
              </w:rPr>
            </w:pPr>
          </w:p>
        </w:tc>
        <w:tc>
          <w:tcPr>
            <w:tcW w:w="2330" w:type="pct"/>
          </w:tcPr>
          <w:p w:rsidR="00E7152E" w:rsidRPr="00C63A3E" w:rsidRDefault="00E7152E" w:rsidP="00E7152E">
            <w:pPr>
              <w:jc w:val="both"/>
              <w:rPr>
                <w:sz w:val="20"/>
              </w:rPr>
            </w:pPr>
            <w:r w:rsidRPr="00C63A3E">
              <w:rPr>
                <w:sz w:val="20"/>
              </w:rPr>
              <w:t xml:space="preserve">Arrêt des procédures </w:t>
            </w:r>
          </w:p>
          <w:p w:rsidR="00E7152E" w:rsidRPr="00C63A3E" w:rsidRDefault="00E7152E" w:rsidP="00E7152E">
            <w:pPr>
              <w:jc w:val="both"/>
              <w:rPr>
                <w:sz w:val="20"/>
              </w:rPr>
            </w:pPr>
          </w:p>
        </w:tc>
      </w:tr>
      <w:tr w:rsidR="00E7152E" w:rsidRPr="00DA6B23" w:rsidTr="00E95A6A">
        <w:tc>
          <w:tcPr>
            <w:tcW w:w="2427" w:type="pct"/>
            <w:gridSpan w:val="2"/>
          </w:tcPr>
          <w:p w:rsidR="00E7152E" w:rsidRPr="00C63A3E" w:rsidRDefault="00E7152E" w:rsidP="00E7152E">
            <w:pPr>
              <w:jc w:val="both"/>
              <w:rPr>
                <w:sz w:val="20"/>
                <w:lang w:val="fr-CA"/>
              </w:rPr>
            </w:pPr>
            <w:r w:rsidRPr="00C63A3E">
              <w:rPr>
                <w:sz w:val="20"/>
                <w:lang w:val="fr-CA"/>
              </w:rPr>
              <w:t>7 juillet 2021</w:t>
            </w:r>
          </w:p>
          <w:p w:rsidR="00E7152E" w:rsidRPr="00C63A3E" w:rsidRDefault="00E7152E" w:rsidP="00E7152E">
            <w:pPr>
              <w:jc w:val="both"/>
              <w:rPr>
                <w:sz w:val="20"/>
                <w:lang w:val="fr-CA"/>
              </w:rPr>
            </w:pPr>
            <w:r w:rsidRPr="00C63A3E">
              <w:rPr>
                <w:sz w:val="20"/>
                <w:lang w:val="fr-CA"/>
              </w:rPr>
              <w:t>Cour d’ap</w:t>
            </w:r>
            <w:r w:rsidR="000D1ABF" w:rsidRPr="00C63A3E">
              <w:rPr>
                <w:sz w:val="20"/>
                <w:lang w:val="fr-CA"/>
              </w:rPr>
              <w:t>pel de la Colombie-Britannique</w:t>
            </w:r>
          </w:p>
          <w:p w:rsidR="00E7152E" w:rsidRPr="00C63A3E" w:rsidRDefault="00E7152E" w:rsidP="00E7152E">
            <w:pPr>
              <w:jc w:val="both"/>
              <w:rPr>
                <w:sz w:val="20"/>
                <w:lang w:val="fr-CA"/>
              </w:rPr>
            </w:pPr>
            <w:r w:rsidRPr="00C63A3E">
              <w:rPr>
                <w:sz w:val="20"/>
                <w:lang w:val="fr-CA"/>
              </w:rPr>
              <w:t>(Vancouver)</w:t>
            </w:r>
          </w:p>
          <w:p w:rsidR="00E7152E" w:rsidRPr="00C63A3E" w:rsidRDefault="00E7152E" w:rsidP="00E7152E">
            <w:pPr>
              <w:jc w:val="both"/>
              <w:rPr>
                <w:sz w:val="20"/>
                <w:lang w:val="fr-CA"/>
              </w:rPr>
            </w:pPr>
            <w:r w:rsidRPr="00C63A3E">
              <w:rPr>
                <w:sz w:val="20"/>
                <w:lang w:val="fr-CA"/>
              </w:rPr>
              <w:t>(juges Frankel, Griffin et Grauer)</w:t>
            </w:r>
          </w:p>
          <w:p w:rsidR="00E7152E" w:rsidRPr="00C63A3E" w:rsidRDefault="00DA6B23" w:rsidP="00E7152E">
            <w:pPr>
              <w:jc w:val="both"/>
              <w:rPr>
                <w:sz w:val="20"/>
              </w:rPr>
            </w:pPr>
            <w:hyperlink r:id="rId19" w:history="1">
              <w:r w:rsidR="00E7152E" w:rsidRPr="00C63A3E">
                <w:rPr>
                  <w:rStyle w:val="Hyperlink"/>
                  <w:sz w:val="20"/>
                </w:rPr>
                <w:t>2021 BCCA 267</w:t>
              </w:r>
            </w:hyperlink>
            <w:r w:rsidR="00E7152E" w:rsidRPr="00C63A3E">
              <w:rPr>
                <w:sz w:val="20"/>
              </w:rPr>
              <w:t>; CA47149</w:t>
            </w:r>
          </w:p>
          <w:p w:rsidR="00E7152E" w:rsidRPr="00C63A3E" w:rsidRDefault="00E7152E" w:rsidP="00E7152E">
            <w:pPr>
              <w:jc w:val="both"/>
              <w:rPr>
                <w:sz w:val="20"/>
              </w:rPr>
            </w:pPr>
          </w:p>
        </w:tc>
        <w:tc>
          <w:tcPr>
            <w:tcW w:w="243" w:type="pct"/>
          </w:tcPr>
          <w:p w:rsidR="00E7152E" w:rsidRPr="00C63A3E" w:rsidRDefault="00E7152E" w:rsidP="00E7152E">
            <w:pPr>
              <w:jc w:val="both"/>
              <w:rPr>
                <w:sz w:val="20"/>
              </w:rPr>
            </w:pPr>
          </w:p>
        </w:tc>
        <w:tc>
          <w:tcPr>
            <w:tcW w:w="2330" w:type="pct"/>
          </w:tcPr>
          <w:p w:rsidR="00E7152E" w:rsidRPr="00C63A3E" w:rsidRDefault="00E7152E" w:rsidP="00E7152E">
            <w:pPr>
              <w:jc w:val="both"/>
              <w:rPr>
                <w:sz w:val="20"/>
                <w:lang w:val="fr-CA"/>
              </w:rPr>
            </w:pPr>
            <w:r w:rsidRPr="00C63A3E">
              <w:rPr>
                <w:sz w:val="20"/>
                <w:lang w:val="fr-CA"/>
              </w:rPr>
              <w:t xml:space="preserve">Appel accueilli, arrêt des procédures annulé et affaire renvoyée pour nouveau procès </w:t>
            </w:r>
          </w:p>
          <w:p w:rsidR="00E7152E" w:rsidRPr="00C63A3E" w:rsidRDefault="00E7152E" w:rsidP="00E7152E">
            <w:pPr>
              <w:jc w:val="both"/>
              <w:rPr>
                <w:sz w:val="20"/>
                <w:lang w:val="fr-CA"/>
              </w:rPr>
            </w:pPr>
          </w:p>
        </w:tc>
      </w:tr>
      <w:tr w:rsidR="00E7152E" w:rsidRPr="00DA6B23" w:rsidTr="00E95A6A">
        <w:tc>
          <w:tcPr>
            <w:tcW w:w="2427" w:type="pct"/>
            <w:gridSpan w:val="2"/>
          </w:tcPr>
          <w:p w:rsidR="00E7152E" w:rsidRPr="00C63A3E" w:rsidRDefault="00E7152E" w:rsidP="00E7152E">
            <w:pPr>
              <w:jc w:val="both"/>
              <w:rPr>
                <w:sz w:val="20"/>
                <w:lang w:val="fr-CA"/>
              </w:rPr>
            </w:pPr>
            <w:r w:rsidRPr="00C63A3E">
              <w:rPr>
                <w:sz w:val="20"/>
                <w:lang w:val="fr-CA"/>
              </w:rPr>
              <w:t>24 septembre 2021</w:t>
            </w:r>
          </w:p>
          <w:p w:rsidR="00E7152E" w:rsidRPr="00C63A3E" w:rsidRDefault="00E7152E" w:rsidP="00E7152E">
            <w:pPr>
              <w:jc w:val="both"/>
              <w:rPr>
                <w:sz w:val="20"/>
                <w:lang w:val="fr-CA"/>
              </w:rPr>
            </w:pPr>
            <w:r w:rsidRPr="00C63A3E">
              <w:rPr>
                <w:sz w:val="20"/>
                <w:lang w:val="fr-CA"/>
              </w:rPr>
              <w:t>Cour suprême du Canada</w:t>
            </w:r>
          </w:p>
        </w:tc>
        <w:tc>
          <w:tcPr>
            <w:tcW w:w="243" w:type="pct"/>
          </w:tcPr>
          <w:p w:rsidR="00E7152E" w:rsidRPr="00C63A3E" w:rsidRDefault="00E7152E" w:rsidP="00E7152E">
            <w:pPr>
              <w:jc w:val="both"/>
              <w:rPr>
                <w:sz w:val="20"/>
                <w:lang w:val="fr-CA"/>
              </w:rPr>
            </w:pPr>
          </w:p>
        </w:tc>
        <w:tc>
          <w:tcPr>
            <w:tcW w:w="2330" w:type="pct"/>
          </w:tcPr>
          <w:p w:rsidR="00E7152E" w:rsidRPr="00C63A3E" w:rsidRDefault="00E7152E" w:rsidP="00E7152E">
            <w:pPr>
              <w:jc w:val="both"/>
              <w:rPr>
                <w:sz w:val="20"/>
                <w:lang w:val="fr-CA"/>
              </w:rPr>
            </w:pPr>
            <w:r w:rsidRPr="00C63A3E">
              <w:rPr>
                <w:sz w:val="20"/>
                <w:lang w:val="fr-CA"/>
              </w:rPr>
              <w:t xml:space="preserve">Dépôt de la demande d’autorisation d’appel </w:t>
            </w:r>
          </w:p>
          <w:p w:rsidR="00E7152E" w:rsidRPr="00C63A3E" w:rsidRDefault="00E7152E" w:rsidP="00E7152E">
            <w:pPr>
              <w:jc w:val="both"/>
              <w:rPr>
                <w:sz w:val="20"/>
                <w:lang w:val="fr-CA"/>
              </w:rPr>
            </w:pPr>
          </w:p>
        </w:tc>
      </w:tr>
    </w:tbl>
    <w:p w:rsidR="00E7152E" w:rsidRPr="00C63A3E" w:rsidRDefault="00E7152E" w:rsidP="00E7152E">
      <w:pPr>
        <w:jc w:val="both"/>
        <w:rPr>
          <w:sz w:val="20"/>
          <w:lang w:val="fr-CA"/>
        </w:rPr>
      </w:pPr>
    </w:p>
    <w:p w:rsidR="00E7152E" w:rsidRPr="00C63A3E" w:rsidRDefault="00DA6B23" w:rsidP="00E7152E">
      <w:pPr>
        <w:jc w:val="both"/>
        <w:rPr>
          <w:sz w:val="20"/>
          <w:lang w:val="fr-CA"/>
        </w:rPr>
      </w:pPr>
      <w:r>
        <w:rPr>
          <w:sz w:val="20"/>
        </w:rPr>
        <w:pict>
          <v:rect id="_x0000_i1030" style="width:2in;height:1pt" o:hrpct="0" o:hralign="center" o:hrstd="t" o:hrnoshade="t" o:hr="t" fillcolor="black [3213]" stroked="f"/>
        </w:pict>
      </w:r>
    </w:p>
    <w:p w:rsidR="0098666B" w:rsidRPr="00C63A3E" w:rsidRDefault="0098666B" w:rsidP="00C91563">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91563" w:rsidRPr="00C63A3E" w:rsidTr="00E95A6A">
        <w:tc>
          <w:tcPr>
            <w:tcW w:w="543" w:type="pct"/>
          </w:tcPr>
          <w:p w:rsidR="00C91563" w:rsidRPr="00C63A3E" w:rsidRDefault="00C91563" w:rsidP="00C91563">
            <w:pPr>
              <w:jc w:val="both"/>
              <w:rPr>
                <w:sz w:val="20"/>
              </w:rPr>
            </w:pPr>
            <w:r w:rsidRPr="00C63A3E">
              <w:rPr>
                <w:rStyle w:val="SCCFileNumberChar"/>
                <w:sz w:val="20"/>
                <w:szCs w:val="20"/>
              </w:rPr>
              <w:t>39676</w:t>
            </w:r>
          </w:p>
        </w:tc>
        <w:tc>
          <w:tcPr>
            <w:tcW w:w="4457" w:type="pct"/>
            <w:gridSpan w:val="3"/>
          </w:tcPr>
          <w:p w:rsidR="00C91563" w:rsidRPr="00C63A3E" w:rsidRDefault="00C91563" w:rsidP="00C91563">
            <w:pPr>
              <w:pStyle w:val="SCCLsocParty"/>
              <w:jc w:val="both"/>
              <w:rPr>
                <w:b/>
                <w:sz w:val="20"/>
                <w:szCs w:val="20"/>
                <w:lang w:val="en-US"/>
              </w:rPr>
            </w:pPr>
            <w:r w:rsidRPr="00C63A3E">
              <w:rPr>
                <w:b/>
                <w:sz w:val="20"/>
                <w:szCs w:val="20"/>
                <w:lang w:val="en-US"/>
              </w:rPr>
              <w:t>Muhammad Abbas Jaffer v. Her Majesty the Queen</w:t>
            </w:r>
          </w:p>
          <w:p w:rsidR="00C91563" w:rsidRPr="00C63A3E" w:rsidRDefault="00C91563" w:rsidP="00C91563">
            <w:pPr>
              <w:jc w:val="both"/>
              <w:rPr>
                <w:sz w:val="20"/>
              </w:rPr>
            </w:pPr>
            <w:r w:rsidRPr="00C63A3E">
              <w:rPr>
                <w:sz w:val="20"/>
              </w:rPr>
              <w:t>(Ont.) (Criminal) (By Leave)</w:t>
            </w:r>
          </w:p>
        </w:tc>
      </w:tr>
      <w:tr w:rsidR="00C91563" w:rsidRPr="00C63A3E" w:rsidTr="00E95A6A">
        <w:tc>
          <w:tcPr>
            <w:tcW w:w="5000" w:type="pct"/>
            <w:gridSpan w:val="4"/>
          </w:tcPr>
          <w:p w:rsidR="00C91563" w:rsidRPr="00C63A3E" w:rsidRDefault="00C91563" w:rsidP="00C91563">
            <w:pPr>
              <w:jc w:val="both"/>
              <w:rPr>
                <w:sz w:val="20"/>
              </w:rPr>
            </w:pPr>
            <w:r w:rsidRPr="00C63A3E">
              <w:rPr>
                <w:sz w:val="20"/>
              </w:rPr>
              <w:t>Criminal law — Abuse of process — Entrapment — Opportunity</w:t>
            </w:r>
            <w:r w:rsidRPr="00C63A3E">
              <w:rPr>
                <w:sz w:val="20"/>
              </w:rPr>
              <w:noBreakHyphen/>
              <w:t>based entrapment — Inducement</w:t>
            </w:r>
            <w:r w:rsidRPr="00C63A3E">
              <w:rPr>
                <w:sz w:val="20"/>
              </w:rPr>
              <w:noBreakHyphen/>
              <w:t xml:space="preserve">based entrapment — Luring — Whether the Court of Appeal erred in declining a stay of proceedings on the basis of entrapment — Whether the Court of Appeal erred in failing to find that the police investigation had induced the applicant to commit the offence — Whether the Court of Appeal erred in finding that the police had a reasonable suspicion that persons were using the Backpage site to purchase sexual services from a minor pursuant to s. 286.1(2) of the </w:t>
            </w:r>
            <w:r w:rsidRPr="00C63A3E">
              <w:rPr>
                <w:i/>
                <w:sz w:val="20"/>
              </w:rPr>
              <w:t>Criminal Code</w:t>
            </w:r>
            <w:r w:rsidRPr="00C63A3E">
              <w:rPr>
                <w:sz w:val="20"/>
              </w:rPr>
              <w:t>, R.S.C. 1985, c. C</w:t>
            </w:r>
            <w:r w:rsidRPr="00C63A3E">
              <w:rPr>
                <w:sz w:val="20"/>
              </w:rPr>
              <w:noBreakHyphen/>
              <w:t xml:space="preserve">46 — Whether the Court of Appeal erred in finding that the police had reasonable suspicion that persons were using the Backpage site to lure children pursuant to s. 172.1(1)(b) — Whether the Court of Appeal erred in relying on anecdotal evidence as the basis of reasonable suspicion — Whether the Court of Appeal erred in its interpretation of </w:t>
            </w:r>
            <w:r w:rsidRPr="00C63A3E">
              <w:rPr>
                <w:i/>
                <w:color w:val="000000"/>
                <w:sz w:val="20"/>
              </w:rPr>
              <w:t xml:space="preserve">R. </w:t>
            </w:r>
            <w:r w:rsidRPr="00C63A3E">
              <w:rPr>
                <w:i/>
                <w:iCs/>
                <w:color w:val="000000"/>
                <w:sz w:val="20"/>
              </w:rPr>
              <w:t>v.</w:t>
            </w:r>
            <w:r w:rsidRPr="00C63A3E">
              <w:rPr>
                <w:i/>
                <w:color w:val="000000"/>
                <w:sz w:val="20"/>
              </w:rPr>
              <w:t xml:space="preserve"> Ahmad</w:t>
            </w:r>
            <w:r w:rsidRPr="00C63A3E">
              <w:rPr>
                <w:color w:val="000000"/>
                <w:sz w:val="20"/>
              </w:rPr>
              <w:t xml:space="preserve">, </w:t>
            </w:r>
            <w:r w:rsidRPr="00C63A3E">
              <w:rPr>
                <w:rStyle w:val="sccrespondentforindexchar"/>
                <w:color w:val="000000"/>
                <w:sz w:val="20"/>
              </w:rPr>
              <w:t xml:space="preserve">2020 SCC 11, </w:t>
            </w:r>
            <w:r w:rsidRPr="00C63A3E">
              <w:rPr>
                <w:sz w:val="20"/>
              </w:rPr>
              <w:t xml:space="preserve">as it relates to the assessment of reasonable suspicion on virtual spaces. </w:t>
            </w:r>
          </w:p>
        </w:tc>
      </w:tr>
      <w:tr w:rsidR="00C91563" w:rsidRPr="00C63A3E" w:rsidTr="00E95A6A">
        <w:tc>
          <w:tcPr>
            <w:tcW w:w="5000" w:type="pct"/>
            <w:gridSpan w:val="4"/>
          </w:tcPr>
          <w:p w:rsidR="00C91563" w:rsidRPr="00C63A3E" w:rsidRDefault="00C91563" w:rsidP="00C91563">
            <w:pPr>
              <w:jc w:val="both"/>
              <w:rPr>
                <w:sz w:val="20"/>
              </w:rPr>
            </w:pPr>
          </w:p>
        </w:tc>
      </w:tr>
      <w:tr w:rsidR="00C91563" w:rsidRPr="00C63A3E" w:rsidTr="00E95A6A">
        <w:tc>
          <w:tcPr>
            <w:tcW w:w="5000" w:type="pct"/>
            <w:gridSpan w:val="4"/>
          </w:tcPr>
          <w:p w:rsidR="00C91563" w:rsidRPr="00C63A3E" w:rsidRDefault="00C91563" w:rsidP="00C91563">
            <w:pPr>
              <w:jc w:val="both"/>
              <w:rPr>
                <w:sz w:val="20"/>
              </w:rPr>
            </w:pPr>
            <w:r w:rsidRPr="00C63A3E">
              <w:rPr>
                <w:sz w:val="20"/>
              </w:rPr>
              <w:t>A jury found the applicant, Muhammad Abbas Jaffer, guilty of the two counts he was charged with that went to trial: (1) child luring under 18 (s. 172.1(2) of the</w:t>
            </w:r>
            <w:r w:rsidRPr="00C63A3E">
              <w:rPr>
                <w:i/>
                <w:sz w:val="20"/>
              </w:rPr>
              <w:t xml:space="preserve"> Criminal Code</w:t>
            </w:r>
            <w:r w:rsidRPr="00C63A3E">
              <w:rPr>
                <w:sz w:val="20"/>
              </w:rPr>
              <w:t>, R.S.C. 1985, c. C</w:t>
            </w:r>
            <w:r w:rsidRPr="00C63A3E">
              <w:rPr>
                <w:sz w:val="20"/>
              </w:rPr>
              <w:noBreakHyphen/>
              <w:t xml:space="preserve">46), and communicating to obtain for consideration the sexual services of a person under 18 (s. 212(4) (now s. 286.1(2))). The charges arose out of Project Raphael designed by the York Regional Police — an undercover investigation that began in 2014 with the objective of reducing the demand for sexual services from juveniles in the region by targeting the “buyer side”. As part of the investigation, the police posted fake advertisements in the “escorts” section of the online classified advertising website Backpage.com. When individuals responded to the ads, an undercover officer posing as an escort would disclose in the ensuing text chat that “she” was underage. Individuals who continued the chat and arranged sexual services and a price were directed to a hotel room to complete the transaction and were arrested and charged on their arrival. </w:t>
            </w:r>
          </w:p>
          <w:p w:rsidR="00C91563" w:rsidRPr="00C63A3E" w:rsidRDefault="00C91563" w:rsidP="00C91563">
            <w:pPr>
              <w:jc w:val="both"/>
              <w:rPr>
                <w:sz w:val="20"/>
              </w:rPr>
            </w:pPr>
          </w:p>
          <w:p w:rsidR="00C91563" w:rsidRPr="00C63A3E" w:rsidRDefault="00C91563" w:rsidP="00C91563">
            <w:pPr>
              <w:jc w:val="both"/>
              <w:rPr>
                <w:sz w:val="20"/>
              </w:rPr>
            </w:pPr>
            <w:r w:rsidRPr="00C63A3E">
              <w:rPr>
                <w:sz w:val="20"/>
              </w:rPr>
              <w:t xml:space="preserve">After the applicant was found guilty, the sentencing judge stayed the conviction on what is now s. 286.1(2) pursuant to </w:t>
            </w:r>
            <w:r w:rsidRPr="00C63A3E">
              <w:rPr>
                <w:i/>
                <w:sz w:val="20"/>
              </w:rPr>
              <w:t>Kienapple v. The Queen</w:t>
            </w:r>
            <w:r w:rsidRPr="00C63A3E">
              <w:rPr>
                <w:sz w:val="20"/>
              </w:rPr>
              <w:t>, [1975] 1 S.C.R. 729. The applicant’s application for a stay of proceedings based on entrapment was dismissed. The applicant’s appeal from the dismissal of the entrapment application and the sentence appeal were also unanimously dismissed.</w:t>
            </w:r>
          </w:p>
          <w:p w:rsidR="00C91563" w:rsidRPr="00C63A3E" w:rsidRDefault="00C91563" w:rsidP="00C91563">
            <w:pPr>
              <w:jc w:val="both"/>
              <w:rPr>
                <w:sz w:val="20"/>
              </w:rPr>
            </w:pPr>
          </w:p>
        </w:tc>
      </w:tr>
      <w:tr w:rsidR="00C91563" w:rsidRPr="00C63A3E" w:rsidTr="00E95A6A">
        <w:tc>
          <w:tcPr>
            <w:tcW w:w="2427" w:type="pct"/>
            <w:gridSpan w:val="2"/>
          </w:tcPr>
          <w:p w:rsidR="00C91563" w:rsidRPr="00C63A3E" w:rsidRDefault="00C91563" w:rsidP="00C91563">
            <w:pPr>
              <w:jc w:val="both"/>
              <w:rPr>
                <w:sz w:val="20"/>
              </w:rPr>
            </w:pPr>
            <w:r w:rsidRPr="00C63A3E">
              <w:rPr>
                <w:sz w:val="20"/>
              </w:rPr>
              <w:t>October 25, 2016</w:t>
            </w:r>
          </w:p>
          <w:p w:rsidR="00C91563" w:rsidRPr="00C63A3E" w:rsidRDefault="00C91563" w:rsidP="00C91563">
            <w:pPr>
              <w:jc w:val="both"/>
              <w:rPr>
                <w:sz w:val="20"/>
              </w:rPr>
            </w:pPr>
            <w:r w:rsidRPr="00C63A3E">
              <w:rPr>
                <w:sz w:val="20"/>
              </w:rPr>
              <w:t>Ontario Superior Court of Justice</w:t>
            </w:r>
          </w:p>
          <w:p w:rsidR="00C91563" w:rsidRPr="00C63A3E" w:rsidRDefault="00C91563" w:rsidP="00C91563">
            <w:pPr>
              <w:jc w:val="both"/>
              <w:rPr>
                <w:sz w:val="20"/>
              </w:rPr>
            </w:pPr>
            <w:r w:rsidRPr="00C63A3E">
              <w:rPr>
                <w:sz w:val="20"/>
              </w:rPr>
              <w:t>(Mullins J.)</w:t>
            </w:r>
          </w:p>
          <w:p w:rsidR="00C91563" w:rsidRPr="00C63A3E" w:rsidRDefault="00C91563" w:rsidP="00C91563">
            <w:pPr>
              <w:jc w:val="both"/>
              <w:rPr>
                <w:sz w:val="20"/>
              </w:rPr>
            </w:pPr>
          </w:p>
        </w:tc>
        <w:tc>
          <w:tcPr>
            <w:tcW w:w="243" w:type="pct"/>
          </w:tcPr>
          <w:p w:rsidR="00C91563" w:rsidRPr="00C63A3E" w:rsidRDefault="00C91563" w:rsidP="00C91563">
            <w:pPr>
              <w:jc w:val="both"/>
              <w:rPr>
                <w:sz w:val="20"/>
              </w:rPr>
            </w:pPr>
          </w:p>
        </w:tc>
        <w:tc>
          <w:tcPr>
            <w:tcW w:w="2330" w:type="pct"/>
          </w:tcPr>
          <w:p w:rsidR="00C91563" w:rsidRPr="00C63A3E" w:rsidRDefault="00C91563" w:rsidP="00C91563">
            <w:pPr>
              <w:jc w:val="both"/>
              <w:rPr>
                <w:sz w:val="20"/>
              </w:rPr>
            </w:pPr>
            <w:r w:rsidRPr="00C63A3E">
              <w:rPr>
                <w:sz w:val="20"/>
              </w:rPr>
              <w:t xml:space="preserve">Convictions for offences committed contrary to ss. 172.1 and 212(4) (now 286.1(2)) of the </w:t>
            </w:r>
            <w:r w:rsidRPr="00C63A3E">
              <w:rPr>
                <w:i/>
                <w:sz w:val="20"/>
              </w:rPr>
              <w:t>Criminal Code</w:t>
            </w:r>
            <w:r w:rsidRPr="00C63A3E">
              <w:rPr>
                <w:sz w:val="20"/>
              </w:rPr>
              <w:t>, R.S.C. 1985, c. C</w:t>
            </w:r>
            <w:r w:rsidRPr="00C63A3E">
              <w:rPr>
                <w:sz w:val="20"/>
              </w:rPr>
              <w:noBreakHyphen/>
              <w:t xml:space="preserve">46 </w:t>
            </w:r>
          </w:p>
          <w:p w:rsidR="00C91563" w:rsidRPr="00C63A3E" w:rsidRDefault="00C91563" w:rsidP="00C91563">
            <w:pPr>
              <w:jc w:val="both"/>
              <w:rPr>
                <w:sz w:val="20"/>
              </w:rPr>
            </w:pPr>
          </w:p>
        </w:tc>
      </w:tr>
      <w:tr w:rsidR="00C91563" w:rsidRPr="00C63A3E" w:rsidTr="00E95A6A">
        <w:tc>
          <w:tcPr>
            <w:tcW w:w="2427" w:type="pct"/>
            <w:gridSpan w:val="2"/>
          </w:tcPr>
          <w:p w:rsidR="00C91563" w:rsidRPr="00C63A3E" w:rsidRDefault="00C91563" w:rsidP="00C91563">
            <w:pPr>
              <w:jc w:val="both"/>
              <w:rPr>
                <w:sz w:val="20"/>
              </w:rPr>
            </w:pPr>
            <w:r w:rsidRPr="00C63A3E">
              <w:rPr>
                <w:sz w:val="20"/>
              </w:rPr>
              <w:lastRenderedPageBreak/>
              <w:t>October 16, 2017</w:t>
            </w:r>
          </w:p>
          <w:p w:rsidR="00C91563" w:rsidRPr="00C63A3E" w:rsidRDefault="00C91563" w:rsidP="00C91563">
            <w:pPr>
              <w:jc w:val="both"/>
              <w:rPr>
                <w:sz w:val="20"/>
              </w:rPr>
            </w:pPr>
            <w:r w:rsidRPr="00C63A3E">
              <w:rPr>
                <w:sz w:val="20"/>
              </w:rPr>
              <w:t>Ontario Superior Court of Justice</w:t>
            </w:r>
          </w:p>
          <w:p w:rsidR="00C91563" w:rsidRPr="00C63A3E" w:rsidRDefault="00C91563" w:rsidP="00C91563">
            <w:pPr>
              <w:jc w:val="both"/>
              <w:rPr>
                <w:sz w:val="20"/>
              </w:rPr>
            </w:pPr>
            <w:r w:rsidRPr="00C63A3E">
              <w:rPr>
                <w:sz w:val="20"/>
              </w:rPr>
              <w:t>(Mullins J.)</w:t>
            </w:r>
          </w:p>
          <w:p w:rsidR="00C91563" w:rsidRPr="00C63A3E" w:rsidRDefault="00C91563" w:rsidP="00C91563">
            <w:pPr>
              <w:jc w:val="both"/>
              <w:rPr>
                <w:sz w:val="20"/>
              </w:rPr>
            </w:pPr>
          </w:p>
        </w:tc>
        <w:tc>
          <w:tcPr>
            <w:tcW w:w="243" w:type="pct"/>
          </w:tcPr>
          <w:p w:rsidR="00C91563" w:rsidRPr="00C63A3E" w:rsidRDefault="00C91563" w:rsidP="00C91563">
            <w:pPr>
              <w:jc w:val="both"/>
              <w:rPr>
                <w:sz w:val="20"/>
              </w:rPr>
            </w:pPr>
          </w:p>
        </w:tc>
        <w:tc>
          <w:tcPr>
            <w:tcW w:w="2330" w:type="pct"/>
          </w:tcPr>
          <w:p w:rsidR="00C91563" w:rsidRPr="00C63A3E" w:rsidRDefault="00C91563" w:rsidP="00C91563">
            <w:pPr>
              <w:jc w:val="both"/>
              <w:rPr>
                <w:sz w:val="20"/>
              </w:rPr>
            </w:pPr>
            <w:r w:rsidRPr="00C63A3E">
              <w:rPr>
                <w:sz w:val="20"/>
              </w:rPr>
              <w:t>Application for stay of proceedings based on entrapment dismissed</w:t>
            </w:r>
          </w:p>
        </w:tc>
      </w:tr>
      <w:tr w:rsidR="00C91563" w:rsidRPr="00C63A3E" w:rsidTr="00E95A6A">
        <w:tc>
          <w:tcPr>
            <w:tcW w:w="2427" w:type="pct"/>
            <w:gridSpan w:val="2"/>
          </w:tcPr>
          <w:p w:rsidR="00C91563" w:rsidRPr="00C63A3E" w:rsidRDefault="00C91563" w:rsidP="00C91563">
            <w:pPr>
              <w:jc w:val="both"/>
              <w:rPr>
                <w:sz w:val="20"/>
              </w:rPr>
            </w:pPr>
            <w:r w:rsidRPr="00C63A3E">
              <w:rPr>
                <w:sz w:val="20"/>
              </w:rPr>
              <w:t>May 17, 2021</w:t>
            </w:r>
          </w:p>
          <w:p w:rsidR="00C91563" w:rsidRPr="00C63A3E" w:rsidRDefault="00C91563" w:rsidP="00C91563">
            <w:pPr>
              <w:jc w:val="both"/>
              <w:rPr>
                <w:sz w:val="20"/>
              </w:rPr>
            </w:pPr>
            <w:r w:rsidRPr="00C63A3E">
              <w:rPr>
                <w:sz w:val="20"/>
              </w:rPr>
              <w:t>Court of Appeal for Ontario</w:t>
            </w:r>
          </w:p>
          <w:p w:rsidR="00C91563" w:rsidRPr="00C63A3E" w:rsidRDefault="00C91563" w:rsidP="00C91563">
            <w:pPr>
              <w:jc w:val="both"/>
              <w:rPr>
                <w:sz w:val="20"/>
              </w:rPr>
            </w:pPr>
            <w:r w:rsidRPr="00C63A3E">
              <w:rPr>
                <w:sz w:val="20"/>
              </w:rPr>
              <w:t>(Juriansz, Tulloch and Paciocco JJ.A.)</w:t>
            </w:r>
          </w:p>
          <w:p w:rsidR="00C91563" w:rsidRDefault="00DA6B23" w:rsidP="00C91563">
            <w:pPr>
              <w:jc w:val="both"/>
              <w:rPr>
                <w:rStyle w:val="Hyperlink"/>
                <w:sz w:val="20"/>
              </w:rPr>
            </w:pPr>
            <w:hyperlink r:id="rId20" w:history="1">
              <w:r w:rsidR="00C91563" w:rsidRPr="00C63A3E">
                <w:rPr>
                  <w:rStyle w:val="Hyperlink"/>
                  <w:sz w:val="20"/>
                </w:rPr>
                <w:t>2021 ONCA 325</w:t>
              </w:r>
            </w:hyperlink>
          </w:p>
          <w:p w:rsidR="00DA6B23" w:rsidRPr="00DA6B23" w:rsidRDefault="00DA6B23" w:rsidP="00C91563">
            <w:pPr>
              <w:jc w:val="both"/>
              <w:rPr>
                <w:sz w:val="20"/>
              </w:rPr>
            </w:pPr>
          </w:p>
        </w:tc>
        <w:tc>
          <w:tcPr>
            <w:tcW w:w="243" w:type="pct"/>
          </w:tcPr>
          <w:p w:rsidR="00C91563" w:rsidRPr="00C63A3E" w:rsidRDefault="00C91563" w:rsidP="00C91563">
            <w:pPr>
              <w:jc w:val="both"/>
              <w:rPr>
                <w:sz w:val="20"/>
              </w:rPr>
            </w:pPr>
          </w:p>
        </w:tc>
        <w:tc>
          <w:tcPr>
            <w:tcW w:w="2330" w:type="pct"/>
          </w:tcPr>
          <w:p w:rsidR="00C91563" w:rsidRPr="00C63A3E" w:rsidRDefault="00C91563" w:rsidP="00C91563">
            <w:pPr>
              <w:jc w:val="both"/>
              <w:rPr>
                <w:sz w:val="20"/>
              </w:rPr>
            </w:pPr>
            <w:r w:rsidRPr="00C63A3E">
              <w:rPr>
                <w:sz w:val="20"/>
              </w:rPr>
              <w:t>Appeal dismissed</w:t>
            </w:r>
          </w:p>
        </w:tc>
      </w:tr>
      <w:tr w:rsidR="00C91563" w:rsidRPr="00C63A3E" w:rsidTr="00E95A6A">
        <w:tc>
          <w:tcPr>
            <w:tcW w:w="2427" w:type="pct"/>
            <w:gridSpan w:val="2"/>
          </w:tcPr>
          <w:p w:rsidR="00C91563" w:rsidRPr="00C63A3E" w:rsidRDefault="00C91563" w:rsidP="00C91563">
            <w:pPr>
              <w:jc w:val="both"/>
              <w:rPr>
                <w:sz w:val="20"/>
              </w:rPr>
            </w:pPr>
            <w:r w:rsidRPr="00C63A3E">
              <w:rPr>
                <w:sz w:val="20"/>
              </w:rPr>
              <w:t>December 22, 2021</w:t>
            </w:r>
          </w:p>
          <w:p w:rsidR="00C91563" w:rsidRPr="00C63A3E" w:rsidRDefault="00C91563" w:rsidP="00C91563">
            <w:pPr>
              <w:jc w:val="both"/>
              <w:rPr>
                <w:sz w:val="20"/>
              </w:rPr>
            </w:pPr>
            <w:r w:rsidRPr="00C63A3E">
              <w:rPr>
                <w:sz w:val="20"/>
              </w:rPr>
              <w:t>Supreme Court of Canada</w:t>
            </w:r>
          </w:p>
        </w:tc>
        <w:tc>
          <w:tcPr>
            <w:tcW w:w="243" w:type="pct"/>
          </w:tcPr>
          <w:p w:rsidR="00C91563" w:rsidRPr="00C63A3E" w:rsidRDefault="00C91563" w:rsidP="00C91563">
            <w:pPr>
              <w:jc w:val="both"/>
              <w:rPr>
                <w:sz w:val="20"/>
              </w:rPr>
            </w:pPr>
          </w:p>
        </w:tc>
        <w:tc>
          <w:tcPr>
            <w:tcW w:w="2330" w:type="pct"/>
          </w:tcPr>
          <w:p w:rsidR="00C91563" w:rsidRPr="00C63A3E" w:rsidRDefault="00C91563" w:rsidP="00C91563">
            <w:pPr>
              <w:jc w:val="both"/>
              <w:rPr>
                <w:sz w:val="20"/>
              </w:rPr>
            </w:pPr>
            <w:r w:rsidRPr="00C63A3E">
              <w:rPr>
                <w:sz w:val="20"/>
              </w:rPr>
              <w:t>Application for leave to appeal filed together with motion for an extension of time to serve and file it</w:t>
            </w:r>
          </w:p>
        </w:tc>
      </w:tr>
    </w:tbl>
    <w:p w:rsidR="00C91563" w:rsidRPr="00C63A3E" w:rsidRDefault="00C91563" w:rsidP="00C91563">
      <w:pPr>
        <w:jc w:val="both"/>
        <w:rPr>
          <w:sz w:val="20"/>
        </w:rPr>
      </w:pPr>
    </w:p>
    <w:p w:rsidR="00C91563" w:rsidRPr="00C63A3E" w:rsidRDefault="00DA6B23" w:rsidP="00C91563">
      <w:pPr>
        <w:jc w:val="both"/>
        <w:rPr>
          <w:sz w:val="20"/>
        </w:rPr>
      </w:pPr>
      <w:r>
        <w:rPr>
          <w:sz w:val="20"/>
        </w:rPr>
        <w:pict>
          <v:rect id="_x0000_i1031" style="width:2in;height:1pt" o:hrpct="0" o:hralign="center" o:hrstd="t" o:hrnoshade="t" o:hr="t" fillcolor="black [3213]" stroked="f"/>
        </w:pict>
      </w:r>
    </w:p>
    <w:p w:rsidR="00C91563" w:rsidRPr="00C63A3E" w:rsidRDefault="00C91563" w:rsidP="00C9156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91563" w:rsidRPr="00C63A3E" w:rsidTr="00C03400">
        <w:tc>
          <w:tcPr>
            <w:tcW w:w="543" w:type="pct"/>
          </w:tcPr>
          <w:p w:rsidR="00C91563" w:rsidRPr="00C63A3E" w:rsidRDefault="00C91563" w:rsidP="00C91563">
            <w:pPr>
              <w:jc w:val="both"/>
              <w:rPr>
                <w:sz w:val="20"/>
              </w:rPr>
            </w:pPr>
            <w:r w:rsidRPr="00C63A3E">
              <w:rPr>
                <w:rStyle w:val="SCCFileNumberChar"/>
                <w:sz w:val="20"/>
                <w:szCs w:val="20"/>
              </w:rPr>
              <w:t>39676</w:t>
            </w:r>
          </w:p>
        </w:tc>
        <w:tc>
          <w:tcPr>
            <w:tcW w:w="4457" w:type="pct"/>
            <w:gridSpan w:val="3"/>
          </w:tcPr>
          <w:p w:rsidR="00C91563" w:rsidRPr="00C63A3E" w:rsidRDefault="00C91563" w:rsidP="00C91563">
            <w:pPr>
              <w:pStyle w:val="SCCLsocParty"/>
              <w:jc w:val="both"/>
              <w:rPr>
                <w:b/>
                <w:sz w:val="20"/>
                <w:szCs w:val="20"/>
              </w:rPr>
            </w:pPr>
            <w:r w:rsidRPr="00C63A3E">
              <w:rPr>
                <w:b/>
                <w:sz w:val="20"/>
                <w:szCs w:val="20"/>
              </w:rPr>
              <w:t>Muhammad Abbas Jaffer c. Sa Majesté la Reine</w:t>
            </w:r>
          </w:p>
          <w:p w:rsidR="00C91563" w:rsidRPr="00C63A3E" w:rsidRDefault="00C91563" w:rsidP="00C91563">
            <w:pPr>
              <w:jc w:val="both"/>
              <w:rPr>
                <w:sz w:val="20"/>
              </w:rPr>
            </w:pPr>
            <w:r w:rsidRPr="00C63A3E">
              <w:rPr>
                <w:sz w:val="20"/>
              </w:rPr>
              <w:t>(Ont.) (Criminelle) (Sur autorisation)</w:t>
            </w:r>
          </w:p>
        </w:tc>
      </w:tr>
      <w:tr w:rsidR="00C91563" w:rsidRPr="00DA6B23" w:rsidTr="00B444EB">
        <w:tc>
          <w:tcPr>
            <w:tcW w:w="5000" w:type="pct"/>
            <w:gridSpan w:val="4"/>
          </w:tcPr>
          <w:p w:rsidR="00C91563" w:rsidRPr="00C63A3E" w:rsidRDefault="00C91563" w:rsidP="00C91563">
            <w:pPr>
              <w:jc w:val="both"/>
              <w:rPr>
                <w:sz w:val="20"/>
                <w:lang w:val="fr-CA"/>
              </w:rPr>
            </w:pPr>
            <w:r w:rsidRPr="00C63A3E">
              <w:rPr>
                <w:sz w:val="20"/>
                <w:lang w:val="fr-CA"/>
              </w:rPr>
              <w:t>Droit criminel — Abus de procédure — Provocation policière — Provocation policière fondée sur l’occasion — Provocation policière fondée sur l’incitation — Leurre — La Cour d’appel a</w:t>
            </w:r>
            <w:r w:rsidRPr="00C63A3E">
              <w:rPr>
                <w:sz w:val="20"/>
                <w:lang w:val="fr-CA"/>
              </w:rPr>
              <w:noBreakHyphen/>
              <w:t>t</w:t>
            </w:r>
            <w:r w:rsidRPr="00C63A3E">
              <w:rPr>
                <w:sz w:val="20"/>
                <w:lang w:val="fr-CA"/>
              </w:rPr>
              <w:noBreakHyphen/>
              <w:t>elle commis une erreur en refusant de prononcer un arrêt des procédures sur le fondement de la provocation policière? — La Cour d’appel a</w:t>
            </w:r>
            <w:r w:rsidRPr="00C63A3E">
              <w:rPr>
                <w:sz w:val="20"/>
                <w:lang w:val="fr-CA"/>
              </w:rPr>
              <w:noBreakHyphen/>
              <w:t>t</w:t>
            </w:r>
            <w:r w:rsidRPr="00C63A3E">
              <w:rPr>
                <w:sz w:val="20"/>
                <w:lang w:val="fr-CA"/>
              </w:rPr>
              <w:noBreakHyphen/>
              <w:t>elle commis une erreur en ne concluant pas que l’enquête policière avait incité le demandeur à commettre une infraction? — La Cour d’appel a</w:t>
            </w:r>
            <w:r w:rsidRPr="00C63A3E">
              <w:rPr>
                <w:sz w:val="20"/>
                <w:lang w:val="fr-CA"/>
              </w:rPr>
              <w:noBreakHyphen/>
              <w:t>t</w:t>
            </w:r>
            <w:r w:rsidRPr="00C63A3E">
              <w:rPr>
                <w:sz w:val="20"/>
                <w:lang w:val="fr-CA"/>
              </w:rPr>
              <w:noBreakHyphen/>
              <w:t xml:space="preserve">elle commis une erreur en concluant que la police avait des soupçons raisonnables que des individus se servaient du site Backpage pour acheter des services sexuels de mineurs, l’infraction décrite au </w:t>
            </w:r>
            <w:proofErr w:type="spellStart"/>
            <w:r w:rsidRPr="00C63A3E">
              <w:rPr>
                <w:sz w:val="20"/>
                <w:lang w:val="fr-CA"/>
              </w:rPr>
              <w:t>par</w:t>
            </w:r>
            <w:proofErr w:type="spellEnd"/>
            <w:r w:rsidRPr="00C63A3E">
              <w:rPr>
                <w:sz w:val="20"/>
                <w:lang w:val="fr-CA"/>
              </w:rPr>
              <w:t xml:space="preserve">. 286.1(2) du </w:t>
            </w:r>
            <w:r w:rsidRPr="00C63A3E">
              <w:rPr>
                <w:i/>
                <w:sz w:val="20"/>
                <w:lang w:val="fr-CA"/>
              </w:rPr>
              <w:t>Code criminel</w:t>
            </w:r>
            <w:r w:rsidRPr="00C63A3E">
              <w:rPr>
                <w:sz w:val="20"/>
                <w:lang w:val="fr-CA"/>
              </w:rPr>
              <w:t>, L.R.C. 1985, c. C</w:t>
            </w:r>
            <w:r w:rsidRPr="00C63A3E">
              <w:rPr>
                <w:sz w:val="20"/>
                <w:lang w:val="fr-CA"/>
              </w:rPr>
              <w:noBreakHyphen/>
              <w:t>46? — La Cour d’appel a</w:t>
            </w:r>
            <w:r w:rsidRPr="00C63A3E">
              <w:rPr>
                <w:sz w:val="20"/>
                <w:lang w:val="fr-CA"/>
              </w:rPr>
              <w:noBreakHyphen/>
              <w:t>t</w:t>
            </w:r>
            <w:r w:rsidRPr="00C63A3E">
              <w:rPr>
                <w:sz w:val="20"/>
                <w:lang w:val="fr-CA"/>
              </w:rPr>
              <w:noBreakHyphen/>
              <w:t>elle commis une erreur en concluant que la police avait des soupçons raisonnables que des individus se servaient du site Backpage pour leurrer des enfants, l’infraction décrite à l’al. 172.1(1)b)? — La Cour d’appel a</w:t>
            </w:r>
            <w:r w:rsidRPr="00C63A3E">
              <w:rPr>
                <w:sz w:val="20"/>
                <w:lang w:val="fr-CA"/>
              </w:rPr>
              <w:noBreakHyphen/>
              <w:t>t</w:t>
            </w:r>
            <w:r w:rsidRPr="00C63A3E">
              <w:rPr>
                <w:sz w:val="20"/>
                <w:lang w:val="fr-CA"/>
              </w:rPr>
              <w:noBreakHyphen/>
              <w:t>elle commis une erreur en s’appuyant sur des éléments de preuve anecdotiques comme fondement de soupçons raisonnables? — La Cour d’appel a</w:t>
            </w:r>
            <w:r w:rsidRPr="00C63A3E">
              <w:rPr>
                <w:sz w:val="20"/>
                <w:lang w:val="fr-CA"/>
              </w:rPr>
              <w:noBreakHyphen/>
              <w:t>t</w:t>
            </w:r>
            <w:r w:rsidRPr="00C63A3E">
              <w:rPr>
                <w:sz w:val="20"/>
                <w:lang w:val="fr-CA"/>
              </w:rPr>
              <w:noBreakHyphen/>
              <w:t xml:space="preserve">elle mal interprété l’arrêt </w:t>
            </w:r>
            <w:r w:rsidRPr="00C63A3E">
              <w:rPr>
                <w:i/>
                <w:sz w:val="20"/>
                <w:lang w:val="fr-CA"/>
              </w:rPr>
              <w:t>R. c. Ahmad</w:t>
            </w:r>
            <w:r w:rsidRPr="00C63A3E">
              <w:rPr>
                <w:sz w:val="20"/>
                <w:lang w:val="fr-CA"/>
              </w:rPr>
              <w:t xml:space="preserve">, 2020 CSC 11, en ce qui a trait à l’évaluation des soupçons raisonnables dans les espaces virtuels? </w:t>
            </w:r>
          </w:p>
          <w:p w:rsidR="00C91563" w:rsidRPr="00C63A3E" w:rsidRDefault="00C91563" w:rsidP="00B444EB">
            <w:pPr>
              <w:jc w:val="both"/>
              <w:rPr>
                <w:sz w:val="20"/>
                <w:lang w:val="fr-CA"/>
              </w:rPr>
            </w:pPr>
          </w:p>
        </w:tc>
      </w:tr>
      <w:tr w:rsidR="00C91563" w:rsidRPr="00DA6B23" w:rsidTr="00B444EB">
        <w:tc>
          <w:tcPr>
            <w:tcW w:w="5000" w:type="pct"/>
            <w:gridSpan w:val="4"/>
          </w:tcPr>
          <w:p w:rsidR="00C91563" w:rsidRPr="00C63A3E" w:rsidRDefault="00C91563" w:rsidP="00C91563">
            <w:pPr>
              <w:jc w:val="both"/>
              <w:rPr>
                <w:sz w:val="20"/>
                <w:lang w:val="fr-CA"/>
              </w:rPr>
            </w:pPr>
            <w:r w:rsidRPr="00C63A3E">
              <w:rPr>
                <w:sz w:val="20"/>
                <w:lang w:val="fr-CA"/>
              </w:rPr>
              <w:t xml:space="preserve">Un jury a déclaré le demandeur, Muhammad Abbas Jaffer, coupable des deux chefs d’accusation portés contre lui qui ont fait l’objet d’un procès : (1) leurrer une personne âgée de moins de 18 ans (par. 172.1(2) du </w:t>
            </w:r>
            <w:r w:rsidRPr="00C63A3E">
              <w:rPr>
                <w:i/>
                <w:sz w:val="20"/>
                <w:lang w:val="fr-CA"/>
              </w:rPr>
              <w:t>Code criminel</w:t>
            </w:r>
            <w:r w:rsidRPr="00C63A3E">
              <w:rPr>
                <w:sz w:val="20"/>
                <w:lang w:val="fr-CA"/>
              </w:rPr>
              <w:t>, L.R.C. 1985, c. C</w:t>
            </w:r>
            <w:r w:rsidRPr="00C63A3E">
              <w:rPr>
                <w:sz w:val="20"/>
                <w:lang w:val="fr-CA"/>
              </w:rPr>
              <w:noBreakHyphen/>
              <w:t>46), et communiquer en vue d’obtenir, moyennant rétribution, les services sexuels d’une personne âgée de moins de 18 ans (par. 212(4) (maintenant le par. 286.1(2))). Les accusations ont découlé du Projet Raphaël conçu par la police régionale de York — une enquête secrète lancée en 2014 pour réduire la demande de services sexuels auprès de mineurs dans la région en ciblant le « côté acheteur ». Dans le cadre de l’enquête, la police a publié en ligne de fausses publicités dans la section « escortes » du site Internet de petites annonces Backpage.com. Lorsque des individus ont répondu aux annonces, une agente d’infiltration qui se faisait passer pour une escorte révélait durant une séance de clavardage subséquente qu’ « elle » était mineure. Les individus qui ont continué à clavarder et ont organisé des services sexuels en plus de convenir d’un prix ont été dirigés vers une chambre d’hôtel pour conclure la transaction et ont été mis en état d’arrestation et accusés au moment à leur arrivée.</w:t>
            </w:r>
          </w:p>
          <w:p w:rsidR="00C91563" w:rsidRPr="00C63A3E" w:rsidRDefault="00C91563" w:rsidP="00C91563">
            <w:pPr>
              <w:jc w:val="both"/>
              <w:rPr>
                <w:sz w:val="20"/>
                <w:lang w:val="fr-CA"/>
              </w:rPr>
            </w:pPr>
          </w:p>
          <w:p w:rsidR="00C91563" w:rsidRPr="00C63A3E" w:rsidRDefault="00C91563" w:rsidP="00C91563">
            <w:pPr>
              <w:jc w:val="both"/>
              <w:rPr>
                <w:sz w:val="20"/>
                <w:lang w:val="fr-CA"/>
              </w:rPr>
            </w:pPr>
            <w:r w:rsidRPr="00C63A3E">
              <w:rPr>
                <w:sz w:val="20"/>
                <w:lang w:val="fr-CA"/>
              </w:rPr>
              <w:t xml:space="preserve">Après que le demandeur a été déclaré coupable, la juge chargée de la détermination de la peine a suspendu la déclaration de culpabilité quant à l’infraction décrite dans la disposition qui est maintenant le par. 286.1(2), en application de l’arrêt </w:t>
            </w:r>
            <w:r w:rsidRPr="00C63A3E">
              <w:rPr>
                <w:i/>
                <w:sz w:val="20"/>
                <w:lang w:val="fr-CA"/>
              </w:rPr>
              <w:t>Kienapple c. La Reine</w:t>
            </w:r>
            <w:r w:rsidRPr="00C63A3E">
              <w:rPr>
                <w:sz w:val="20"/>
                <w:lang w:val="fr-CA"/>
              </w:rPr>
              <w:t>, [1975] 1 R.C.S. 729. La demande du demandeur en arrêt des procédures fondée sur la provocation policière a été rejetée. L’appel du demandeur du rejet de cette demande ainsi que son appel de la sentence ont aussi été rejetés à l’unanimité.</w:t>
            </w:r>
          </w:p>
          <w:p w:rsidR="00C91563" w:rsidRPr="00C63A3E" w:rsidRDefault="00C91563" w:rsidP="00B444EB">
            <w:pPr>
              <w:jc w:val="both"/>
              <w:rPr>
                <w:sz w:val="20"/>
                <w:lang w:val="fr-CA"/>
              </w:rPr>
            </w:pPr>
          </w:p>
        </w:tc>
      </w:tr>
      <w:tr w:rsidR="00C91563" w:rsidRPr="00DA6B23" w:rsidTr="00C03400">
        <w:tc>
          <w:tcPr>
            <w:tcW w:w="2427" w:type="pct"/>
            <w:gridSpan w:val="2"/>
          </w:tcPr>
          <w:p w:rsidR="00C91563" w:rsidRPr="00C63A3E" w:rsidRDefault="00C91563" w:rsidP="00C91563">
            <w:pPr>
              <w:jc w:val="both"/>
              <w:rPr>
                <w:sz w:val="20"/>
                <w:lang w:val="fr-CA"/>
              </w:rPr>
            </w:pPr>
            <w:r w:rsidRPr="00C63A3E">
              <w:rPr>
                <w:sz w:val="20"/>
                <w:lang w:val="fr-CA"/>
              </w:rPr>
              <w:t>25 octobre 2016</w:t>
            </w:r>
          </w:p>
          <w:p w:rsidR="00C91563" w:rsidRPr="00C63A3E" w:rsidRDefault="00C91563" w:rsidP="00C91563">
            <w:pPr>
              <w:jc w:val="both"/>
              <w:rPr>
                <w:sz w:val="20"/>
                <w:lang w:val="fr-CA"/>
              </w:rPr>
            </w:pPr>
            <w:r w:rsidRPr="00C63A3E">
              <w:rPr>
                <w:sz w:val="20"/>
                <w:lang w:val="fr-CA"/>
              </w:rPr>
              <w:t>Cour supérieure de justice de l’Ontario</w:t>
            </w:r>
          </w:p>
          <w:p w:rsidR="00C91563" w:rsidRPr="00C63A3E" w:rsidRDefault="00C91563" w:rsidP="00C91563">
            <w:pPr>
              <w:jc w:val="both"/>
              <w:rPr>
                <w:sz w:val="20"/>
              </w:rPr>
            </w:pPr>
            <w:r w:rsidRPr="00C63A3E">
              <w:rPr>
                <w:sz w:val="20"/>
              </w:rPr>
              <w:t>(Juge Mullins)</w:t>
            </w:r>
          </w:p>
          <w:p w:rsidR="00C91563" w:rsidRPr="00C63A3E" w:rsidRDefault="00C91563" w:rsidP="00C91563">
            <w:pPr>
              <w:jc w:val="both"/>
              <w:rPr>
                <w:sz w:val="20"/>
              </w:rPr>
            </w:pPr>
          </w:p>
        </w:tc>
        <w:tc>
          <w:tcPr>
            <w:tcW w:w="243" w:type="pct"/>
          </w:tcPr>
          <w:p w:rsidR="00C91563" w:rsidRPr="00C63A3E" w:rsidRDefault="00C91563" w:rsidP="00C91563">
            <w:pPr>
              <w:jc w:val="both"/>
              <w:rPr>
                <w:sz w:val="20"/>
              </w:rPr>
            </w:pPr>
          </w:p>
        </w:tc>
        <w:tc>
          <w:tcPr>
            <w:tcW w:w="2330" w:type="pct"/>
          </w:tcPr>
          <w:p w:rsidR="00C91563" w:rsidRPr="00C63A3E" w:rsidRDefault="00C91563" w:rsidP="00C91563">
            <w:pPr>
              <w:jc w:val="both"/>
              <w:rPr>
                <w:sz w:val="20"/>
                <w:lang w:val="fr-CA"/>
              </w:rPr>
            </w:pPr>
            <w:r w:rsidRPr="00C63A3E">
              <w:rPr>
                <w:sz w:val="20"/>
                <w:lang w:val="fr-CA"/>
              </w:rPr>
              <w:t xml:space="preserve">Déclarations de culpabilité quant aux infractions décrites à l’art. 172.1 et au par.  212(4) (maintenant le par. 286.1(2)) du </w:t>
            </w:r>
            <w:r w:rsidRPr="00C63A3E">
              <w:rPr>
                <w:i/>
                <w:sz w:val="20"/>
                <w:lang w:val="fr-CA"/>
              </w:rPr>
              <w:t>Code criminel</w:t>
            </w:r>
            <w:r w:rsidRPr="00C63A3E">
              <w:rPr>
                <w:sz w:val="20"/>
                <w:lang w:val="fr-CA"/>
              </w:rPr>
              <w:t>, L.R.C. 1985, c. C</w:t>
            </w:r>
            <w:r w:rsidRPr="00C63A3E">
              <w:rPr>
                <w:sz w:val="20"/>
                <w:lang w:val="fr-CA"/>
              </w:rPr>
              <w:noBreakHyphen/>
              <w:t xml:space="preserve">46 prononcées </w:t>
            </w:r>
          </w:p>
          <w:p w:rsidR="00C91563" w:rsidRPr="00C63A3E" w:rsidRDefault="00C91563" w:rsidP="00C91563">
            <w:pPr>
              <w:jc w:val="both"/>
              <w:rPr>
                <w:sz w:val="20"/>
                <w:lang w:val="fr-CA"/>
              </w:rPr>
            </w:pPr>
          </w:p>
        </w:tc>
      </w:tr>
      <w:tr w:rsidR="00C91563" w:rsidRPr="00DA6B23" w:rsidTr="00C03400">
        <w:tc>
          <w:tcPr>
            <w:tcW w:w="2427" w:type="pct"/>
            <w:gridSpan w:val="2"/>
          </w:tcPr>
          <w:p w:rsidR="00C91563" w:rsidRPr="00C63A3E" w:rsidRDefault="00C91563" w:rsidP="00C91563">
            <w:pPr>
              <w:jc w:val="both"/>
              <w:rPr>
                <w:sz w:val="20"/>
                <w:lang w:val="fr-CA"/>
              </w:rPr>
            </w:pPr>
            <w:r w:rsidRPr="00C63A3E">
              <w:rPr>
                <w:sz w:val="20"/>
                <w:lang w:val="fr-CA"/>
              </w:rPr>
              <w:t>16 octobre 2017</w:t>
            </w:r>
          </w:p>
          <w:p w:rsidR="00C91563" w:rsidRPr="00C63A3E" w:rsidRDefault="00C91563" w:rsidP="00C91563">
            <w:pPr>
              <w:jc w:val="both"/>
              <w:rPr>
                <w:sz w:val="20"/>
                <w:lang w:val="fr-CA"/>
              </w:rPr>
            </w:pPr>
            <w:r w:rsidRPr="00C63A3E">
              <w:rPr>
                <w:sz w:val="20"/>
                <w:lang w:val="fr-CA"/>
              </w:rPr>
              <w:t>Cour supérieure de justice de l’Ontario</w:t>
            </w:r>
          </w:p>
          <w:p w:rsidR="00C91563" w:rsidRPr="00C63A3E" w:rsidRDefault="00C91563" w:rsidP="00C91563">
            <w:pPr>
              <w:jc w:val="both"/>
              <w:rPr>
                <w:sz w:val="20"/>
                <w:lang w:val="fr-CA"/>
              </w:rPr>
            </w:pPr>
            <w:r w:rsidRPr="00C63A3E">
              <w:rPr>
                <w:sz w:val="20"/>
                <w:lang w:val="fr-CA"/>
              </w:rPr>
              <w:t>(Juge Mullins)</w:t>
            </w:r>
          </w:p>
          <w:p w:rsidR="00C91563" w:rsidRPr="00C63A3E" w:rsidRDefault="00C91563" w:rsidP="00C91563">
            <w:pPr>
              <w:jc w:val="both"/>
              <w:rPr>
                <w:sz w:val="20"/>
                <w:lang w:val="fr-CA"/>
              </w:rPr>
            </w:pPr>
          </w:p>
        </w:tc>
        <w:tc>
          <w:tcPr>
            <w:tcW w:w="243" w:type="pct"/>
          </w:tcPr>
          <w:p w:rsidR="00C91563" w:rsidRPr="00C63A3E" w:rsidRDefault="00C91563" w:rsidP="00C91563">
            <w:pPr>
              <w:jc w:val="both"/>
              <w:rPr>
                <w:sz w:val="20"/>
                <w:lang w:val="fr-CA"/>
              </w:rPr>
            </w:pPr>
          </w:p>
        </w:tc>
        <w:tc>
          <w:tcPr>
            <w:tcW w:w="2330" w:type="pct"/>
          </w:tcPr>
          <w:p w:rsidR="00C91563" w:rsidRPr="00C63A3E" w:rsidRDefault="00C91563" w:rsidP="00C91563">
            <w:pPr>
              <w:jc w:val="both"/>
              <w:rPr>
                <w:sz w:val="20"/>
                <w:lang w:val="fr-CA"/>
              </w:rPr>
            </w:pPr>
            <w:r w:rsidRPr="00C63A3E">
              <w:rPr>
                <w:sz w:val="20"/>
                <w:lang w:val="fr-CA"/>
              </w:rPr>
              <w:t xml:space="preserve">Demande d’arrêt des procédures fondée sur la provocation policière rejetée </w:t>
            </w:r>
          </w:p>
        </w:tc>
      </w:tr>
      <w:tr w:rsidR="00C91563" w:rsidRPr="00C63A3E" w:rsidTr="00C03400">
        <w:tc>
          <w:tcPr>
            <w:tcW w:w="2427" w:type="pct"/>
            <w:gridSpan w:val="2"/>
          </w:tcPr>
          <w:p w:rsidR="00C91563" w:rsidRPr="00C63A3E" w:rsidRDefault="00C91563" w:rsidP="00C91563">
            <w:pPr>
              <w:jc w:val="both"/>
              <w:rPr>
                <w:sz w:val="20"/>
                <w:lang w:val="fr-CA"/>
              </w:rPr>
            </w:pPr>
            <w:r w:rsidRPr="00C63A3E">
              <w:rPr>
                <w:sz w:val="20"/>
                <w:lang w:val="fr-CA"/>
              </w:rPr>
              <w:lastRenderedPageBreak/>
              <w:t>17 mai 2021</w:t>
            </w:r>
          </w:p>
          <w:p w:rsidR="00C91563" w:rsidRPr="00C63A3E" w:rsidRDefault="00C91563" w:rsidP="00C91563">
            <w:pPr>
              <w:jc w:val="both"/>
              <w:rPr>
                <w:sz w:val="20"/>
                <w:lang w:val="fr-CA"/>
              </w:rPr>
            </w:pPr>
            <w:r w:rsidRPr="00C63A3E">
              <w:rPr>
                <w:sz w:val="20"/>
                <w:lang w:val="fr-CA"/>
              </w:rPr>
              <w:t>Cour d’appel de l’Ontario</w:t>
            </w:r>
          </w:p>
          <w:p w:rsidR="00C91563" w:rsidRPr="00C63A3E" w:rsidRDefault="00C91563" w:rsidP="00C91563">
            <w:pPr>
              <w:jc w:val="both"/>
              <w:rPr>
                <w:sz w:val="20"/>
                <w:lang w:val="fr-CA"/>
              </w:rPr>
            </w:pPr>
            <w:r w:rsidRPr="00C63A3E">
              <w:rPr>
                <w:sz w:val="20"/>
                <w:lang w:val="fr-CA"/>
              </w:rPr>
              <w:t>(Juges Juriansz, Tulloch et Paciocco)</w:t>
            </w:r>
          </w:p>
          <w:p w:rsidR="00C91563" w:rsidRDefault="00DA6B23" w:rsidP="00C91563">
            <w:pPr>
              <w:jc w:val="both"/>
              <w:rPr>
                <w:rStyle w:val="Hyperlink"/>
                <w:sz w:val="20"/>
              </w:rPr>
            </w:pPr>
            <w:hyperlink r:id="rId21" w:history="1">
              <w:r w:rsidR="00C91563" w:rsidRPr="00C63A3E">
                <w:rPr>
                  <w:rStyle w:val="Hyperlink"/>
                  <w:sz w:val="20"/>
                </w:rPr>
                <w:t>2021 ONCA 325</w:t>
              </w:r>
            </w:hyperlink>
          </w:p>
          <w:p w:rsidR="00DA6B23" w:rsidRPr="00DA6B23" w:rsidRDefault="00DA6B23" w:rsidP="00C91563">
            <w:pPr>
              <w:jc w:val="both"/>
              <w:rPr>
                <w:sz w:val="20"/>
              </w:rPr>
            </w:pPr>
          </w:p>
        </w:tc>
        <w:tc>
          <w:tcPr>
            <w:tcW w:w="243" w:type="pct"/>
          </w:tcPr>
          <w:p w:rsidR="00C91563" w:rsidRPr="00C63A3E" w:rsidRDefault="00C91563" w:rsidP="00C91563">
            <w:pPr>
              <w:jc w:val="both"/>
              <w:rPr>
                <w:sz w:val="20"/>
              </w:rPr>
            </w:pPr>
          </w:p>
        </w:tc>
        <w:tc>
          <w:tcPr>
            <w:tcW w:w="2330" w:type="pct"/>
          </w:tcPr>
          <w:p w:rsidR="00C91563" w:rsidRPr="00C63A3E" w:rsidRDefault="00C91563" w:rsidP="00C91563">
            <w:pPr>
              <w:jc w:val="both"/>
              <w:rPr>
                <w:sz w:val="20"/>
              </w:rPr>
            </w:pPr>
            <w:r w:rsidRPr="00C63A3E">
              <w:rPr>
                <w:sz w:val="20"/>
              </w:rPr>
              <w:t>Appel rejeté</w:t>
            </w:r>
          </w:p>
        </w:tc>
      </w:tr>
      <w:tr w:rsidR="00C91563" w:rsidRPr="00DA6B23" w:rsidTr="00C03400">
        <w:tc>
          <w:tcPr>
            <w:tcW w:w="2427" w:type="pct"/>
            <w:gridSpan w:val="2"/>
          </w:tcPr>
          <w:p w:rsidR="00C91563" w:rsidRPr="00C63A3E" w:rsidRDefault="00C91563" w:rsidP="00C91563">
            <w:pPr>
              <w:jc w:val="both"/>
              <w:rPr>
                <w:sz w:val="20"/>
              </w:rPr>
            </w:pPr>
            <w:r w:rsidRPr="00C63A3E">
              <w:rPr>
                <w:sz w:val="20"/>
              </w:rPr>
              <w:t>22 décembre 2021</w:t>
            </w:r>
          </w:p>
          <w:p w:rsidR="00C91563" w:rsidRPr="00C63A3E" w:rsidRDefault="00C91563" w:rsidP="00C91563">
            <w:pPr>
              <w:jc w:val="both"/>
              <w:rPr>
                <w:sz w:val="20"/>
              </w:rPr>
            </w:pPr>
            <w:r w:rsidRPr="00C63A3E">
              <w:rPr>
                <w:sz w:val="20"/>
              </w:rPr>
              <w:t>Cour suprême du Canada</w:t>
            </w:r>
          </w:p>
          <w:p w:rsidR="00C91563" w:rsidRPr="00C63A3E" w:rsidRDefault="00C91563" w:rsidP="00C91563">
            <w:pPr>
              <w:jc w:val="both"/>
              <w:rPr>
                <w:sz w:val="20"/>
              </w:rPr>
            </w:pPr>
          </w:p>
        </w:tc>
        <w:tc>
          <w:tcPr>
            <w:tcW w:w="243" w:type="pct"/>
          </w:tcPr>
          <w:p w:rsidR="00C91563" w:rsidRPr="00C63A3E" w:rsidRDefault="00C91563" w:rsidP="00C91563">
            <w:pPr>
              <w:jc w:val="both"/>
              <w:rPr>
                <w:sz w:val="20"/>
              </w:rPr>
            </w:pPr>
          </w:p>
        </w:tc>
        <w:tc>
          <w:tcPr>
            <w:tcW w:w="2330" w:type="pct"/>
          </w:tcPr>
          <w:p w:rsidR="00C91563" w:rsidRPr="00C63A3E" w:rsidRDefault="00C91563" w:rsidP="00C91563">
            <w:pPr>
              <w:jc w:val="both"/>
              <w:rPr>
                <w:sz w:val="20"/>
                <w:lang w:val="fr-CA"/>
              </w:rPr>
            </w:pPr>
            <w:r w:rsidRPr="00C63A3E">
              <w:rPr>
                <w:sz w:val="20"/>
                <w:lang w:val="fr-CA"/>
              </w:rPr>
              <w:t xml:space="preserve">Demande d’autorisation d’appel et requête en prorogation du délai pour la signifier et la déposer déposées </w:t>
            </w:r>
          </w:p>
        </w:tc>
      </w:tr>
    </w:tbl>
    <w:p w:rsidR="0098666B" w:rsidRPr="00C63A3E" w:rsidRDefault="0098666B" w:rsidP="00E7152E">
      <w:pPr>
        <w:jc w:val="both"/>
        <w:rPr>
          <w:sz w:val="20"/>
          <w:lang w:val="fr-CA"/>
        </w:rPr>
      </w:pPr>
    </w:p>
    <w:p w:rsidR="0098666B" w:rsidRPr="00C63A3E" w:rsidRDefault="00DA6B23" w:rsidP="00E7152E">
      <w:pPr>
        <w:jc w:val="both"/>
        <w:rPr>
          <w:sz w:val="20"/>
          <w:lang w:val="fr-CA"/>
        </w:rPr>
      </w:pPr>
      <w:r>
        <w:rPr>
          <w:sz w:val="20"/>
        </w:rPr>
        <w:pict>
          <v:rect id="_x0000_i1032" style="width:2in;height:1pt" o:hrpct="0" o:hralign="center" o:hrstd="t" o:hrnoshade="t" o:hr="t" fillcolor="black [3213]" stroked="f"/>
        </w:pict>
      </w:r>
    </w:p>
    <w:p w:rsidR="0098666B" w:rsidRPr="00C63A3E" w:rsidRDefault="0098666B" w:rsidP="00E7152E">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7152E" w:rsidRPr="00C63A3E" w:rsidTr="00E95A6A">
        <w:tc>
          <w:tcPr>
            <w:tcW w:w="543" w:type="pct"/>
          </w:tcPr>
          <w:p w:rsidR="00E7152E" w:rsidRPr="00C63A3E" w:rsidRDefault="00E7152E" w:rsidP="00E7152E">
            <w:pPr>
              <w:jc w:val="both"/>
              <w:rPr>
                <w:sz w:val="20"/>
                <w:lang w:val="en-CA"/>
              </w:rPr>
            </w:pPr>
            <w:r w:rsidRPr="00C63A3E">
              <w:rPr>
                <w:rStyle w:val="SCCFileNumberChar"/>
                <w:sz w:val="20"/>
                <w:szCs w:val="20"/>
              </w:rPr>
              <w:t>39642</w:t>
            </w:r>
          </w:p>
        </w:tc>
        <w:tc>
          <w:tcPr>
            <w:tcW w:w="4457" w:type="pct"/>
            <w:gridSpan w:val="3"/>
          </w:tcPr>
          <w:p w:rsidR="00E7152E" w:rsidRPr="00C63A3E" w:rsidRDefault="00E7152E" w:rsidP="00E7152E">
            <w:pPr>
              <w:pStyle w:val="SCCLsocParty"/>
              <w:jc w:val="both"/>
              <w:rPr>
                <w:b/>
                <w:sz w:val="20"/>
                <w:szCs w:val="20"/>
                <w:lang w:val="en-CA"/>
              </w:rPr>
            </w:pPr>
            <w:r w:rsidRPr="00C63A3E">
              <w:rPr>
                <w:b/>
                <w:sz w:val="20"/>
                <w:szCs w:val="20"/>
                <w:lang w:val="en-CA"/>
              </w:rPr>
              <w:t>Her Majesty the Queen v. G.M.</w:t>
            </w:r>
          </w:p>
          <w:p w:rsidR="00E7152E" w:rsidRPr="00C63A3E" w:rsidRDefault="00E7152E" w:rsidP="00E7152E">
            <w:pPr>
              <w:jc w:val="both"/>
              <w:rPr>
                <w:sz w:val="20"/>
                <w:lang w:val="en-CA"/>
              </w:rPr>
            </w:pPr>
            <w:r w:rsidRPr="00C63A3E">
              <w:rPr>
                <w:sz w:val="20"/>
                <w:lang w:val="en-CA"/>
              </w:rPr>
              <w:t>(Que.) (Criminal) (By Leave)</w:t>
            </w:r>
          </w:p>
        </w:tc>
      </w:tr>
      <w:tr w:rsidR="00E7152E" w:rsidRPr="00C63A3E" w:rsidTr="00E95A6A">
        <w:tc>
          <w:tcPr>
            <w:tcW w:w="5000" w:type="pct"/>
            <w:gridSpan w:val="4"/>
          </w:tcPr>
          <w:p w:rsidR="00E7152E" w:rsidRPr="00C63A3E" w:rsidRDefault="00E7152E" w:rsidP="00E7152E">
            <w:pPr>
              <w:jc w:val="both"/>
              <w:rPr>
                <w:sz w:val="20"/>
                <w:lang w:val="en-CA"/>
              </w:rPr>
            </w:pPr>
            <w:r w:rsidRPr="00C63A3E">
              <w:rPr>
                <w:sz w:val="20"/>
                <w:lang w:val="en-CA"/>
              </w:rPr>
              <w:t>Criminal law — Fraud — Sentencing — Considerations — Restitution order — Possibility of civil proceedings — Fine in lieu  — Given that respondent expressed wish to repay $59,500 taken from her incapable mother, whether majority of Court of Appeal erred in law in refusing to order payment of restitution in that amount on ground that civil proceedings might be brought — Whether Quebec Court of Appeal erred in law in failing to address trial judge’s refusal to impose fine in lieu of forfeiture of proceeds of crime even though this question was properly before it and even though judge’s reasons were inconsistent with applicable law.</w:t>
            </w:r>
          </w:p>
        </w:tc>
      </w:tr>
      <w:tr w:rsidR="00E7152E" w:rsidRPr="00C63A3E" w:rsidTr="00E95A6A">
        <w:tc>
          <w:tcPr>
            <w:tcW w:w="5000" w:type="pct"/>
            <w:gridSpan w:val="4"/>
          </w:tcPr>
          <w:p w:rsidR="00E7152E" w:rsidRPr="00C63A3E" w:rsidRDefault="00E7152E" w:rsidP="00E7152E">
            <w:pPr>
              <w:jc w:val="both"/>
              <w:rPr>
                <w:sz w:val="20"/>
                <w:lang w:val="en-CA"/>
              </w:rPr>
            </w:pPr>
          </w:p>
          <w:p w:rsidR="00E7152E" w:rsidRPr="00C63A3E" w:rsidRDefault="00E7152E" w:rsidP="00E7152E">
            <w:pPr>
              <w:jc w:val="both"/>
              <w:rPr>
                <w:sz w:val="20"/>
                <w:lang w:val="en-CA"/>
              </w:rPr>
            </w:pPr>
            <w:r w:rsidRPr="00C63A3E">
              <w:rPr>
                <w:sz w:val="20"/>
                <w:lang w:val="en-CA"/>
              </w:rPr>
              <w:t xml:space="preserve">G.M. </w:t>
            </w:r>
            <w:proofErr w:type="gramStart"/>
            <w:r w:rsidRPr="00C63A3E">
              <w:rPr>
                <w:sz w:val="20"/>
                <w:lang w:val="en-CA"/>
              </w:rPr>
              <w:t>was convicted</w:t>
            </w:r>
            <w:proofErr w:type="gramEnd"/>
            <w:r w:rsidRPr="00C63A3E">
              <w:rPr>
                <w:sz w:val="20"/>
                <w:lang w:val="en-CA"/>
              </w:rPr>
              <w:t xml:space="preserve"> of theft and fraud committed against her elderly, vulnerable mother. A conditional stay </w:t>
            </w:r>
            <w:proofErr w:type="gramStart"/>
            <w:r w:rsidRPr="00C63A3E">
              <w:rPr>
                <w:sz w:val="20"/>
                <w:lang w:val="en-CA"/>
              </w:rPr>
              <w:t>was entered</w:t>
            </w:r>
            <w:proofErr w:type="gramEnd"/>
            <w:r w:rsidRPr="00C63A3E">
              <w:rPr>
                <w:sz w:val="20"/>
                <w:lang w:val="en-CA"/>
              </w:rPr>
              <w:t xml:space="preserve"> on the count of theft. At the sentencing hearing, G.M. expressed a wish to make restitution for the amounts directly in issue, which totalled $59,500. The case </w:t>
            </w:r>
            <w:proofErr w:type="gramStart"/>
            <w:r w:rsidRPr="00C63A3E">
              <w:rPr>
                <w:sz w:val="20"/>
                <w:lang w:val="en-CA"/>
              </w:rPr>
              <w:t>was taken</w:t>
            </w:r>
            <w:proofErr w:type="gramEnd"/>
            <w:r w:rsidRPr="00C63A3E">
              <w:rPr>
                <w:sz w:val="20"/>
                <w:lang w:val="en-CA"/>
              </w:rPr>
              <w:t xml:space="preserve"> under advisement, but G.M.’s mother died before judgment was rendered. G.M. and her brother were heirs and liquidators. The Court of Québec sentenced G.M. to a 90</w:t>
            </w:r>
            <w:r w:rsidRPr="00C63A3E">
              <w:rPr>
                <w:sz w:val="20"/>
                <w:lang w:val="en-CA"/>
              </w:rPr>
              <w:noBreakHyphen/>
              <w:t xml:space="preserve">day term of imprisonment that </w:t>
            </w:r>
            <w:proofErr w:type="gramStart"/>
            <w:r w:rsidRPr="00C63A3E">
              <w:rPr>
                <w:sz w:val="20"/>
                <w:lang w:val="en-CA"/>
              </w:rPr>
              <w:t>could be served intermittently and made a 2</w:t>
            </w:r>
            <w:r w:rsidRPr="00C63A3E">
              <w:rPr>
                <w:sz w:val="20"/>
                <w:lang w:val="en-CA"/>
              </w:rPr>
              <w:noBreakHyphen/>
              <w:t>year probation order</w:t>
            </w:r>
            <w:proofErr w:type="gramEnd"/>
            <w:r w:rsidRPr="00C63A3E">
              <w:rPr>
                <w:sz w:val="20"/>
                <w:lang w:val="en-CA"/>
              </w:rPr>
              <w:t>. It refused to order restitution and a fine in lieu because of the specific nature of the case, particularly the fact that there might be interference between the operation of criminal restitution and that of the succession in the civil context, and because of the risk of multiple sanctions in view of potential civil proceedings. The prosecution appealed that refusal. The majority of the Court of Appeal dismissed the appeal.</w:t>
            </w:r>
          </w:p>
        </w:tc>
      </w:tr>
      <w:tr w:rsidR="00E7152E" w:rsidRPr="00C63A3E" w:rsidTr="00E95A6A">
        <w:tc>
          <w:tcPr>
            <w:tcW w:w="5000" w:type="pct"/>
            <w:gridSpan w:val="4"/>
          </w:tcPr>
          <w:p w:rsidR="00E7152E" w:rsidRPr="00C63A3E" w:rsidRDefault="00E7152E" w:rsidP="00E7152E">
            <w:pPr>
              <w:jc w:val="both"/>
              <w:rPr>
                <w:sz w:val="20"/>
                <w:lang w:val="en-CA"/>
              </w:rPr>
            </w:pPr>
          </w:p>
        </w:tc>
      </w:tr>
      <w:tr w:rsidR="00E7152E" w:rsidRPr="00C63A3E" w:rsidTr="00E95A6A">
        <w:tc>
          <w:tcPr>
            <w:tcW w:w="2427" w:type="pct"/>
            <w:gridSpan w:val="2"/>
          </w:tcPr>
          <w:p w:rsidR="00E7152E" w:rsidRPr="00C63A3E" w:rsidRDefault="00E7152E" w:rsidP="00E7152E">
            <w:pPr>
              <w:jc w:val="both"/>
              <w:rPr>
                <w:sz w:val="20"/>
                <w:lang w:val="en-CA"/>
              </w:rPr>
            </w:pPr>
            <w:r w:rsidRPr="00C63A3E">
              <w:rPr>
                <w:sz w:val="20"/>
                <w:lang w:val="en-CA"/>
              </w:rPr>
              <w:t>June 18, 2020</w:t>
            </w:r>
          </w:p>
          <w:p w:rsidR="00E7152E" w:rsidRPr="00C63A3E" w:rsidRDefault="00E7152E" w:rsidP="00E7152E">
            <w:pPr>
              <w:jc w:val="both"/>
              <w:rPr>
                <w:sz w:val="20"/>
                <w:lang w:val="en-CA"/>
              </w:rPr>
            </w:pPr>
            <w:r w:rsidRPr="00C63A3E">
              <w:rPr>
                <w:sz w:val="20"/>
                <w:lang w:val="en-CA"/>
              </w:rPr>
              <w:t>Court of Québec</w:t>
            </w:r>
          </w:p>
          <w:p w:rsidR="00E7152E" w:rsidRPr="00C63A3E" w:rsidRDefault="00E7152E" w:rsidP="00E7152E">
            <w:pPr>
              <w:jc w:val="both"/>
              <w:rPr>
                <w:sz w:val="20"/>
                <w:lang w:val="en-CA"/>
              </w:rPr>
            </w:pPr>
            <w:r w:rsidRPr="00C63A3E">
              <w:rPr>
                <w:sz w:val="20"/>
                <w:lang w:val="en-CA"/>
              </w:rPr>
              <w:t>(Judge Lortie)</w:t>
            </w:r>
          </w:p>
          <w:p w:rsidR="00E7152E" w:rsidRPr="00C63A3E" w:rsidRDefault="00DA6B23" w:rsidP="00E7152E">
            <w:pPr>
              <w:jc w:val="both"/>
              <w:rPr>
                <w:sz w:val="20"/>
                <w:lang w:val="en-CA"/>
              </w:rPr>
            </w:pPr>
            <w:hyperlink r:id="rId22" w:history="1">
              <w:r w:rsidR="00E7152E" w:rsidRPr="00C63A3E">
                <w:rPr>
                  <w:rStyle w:val="Hyperlink"/>
                  <w:sz w:val="20"/>
                  <w:lang w:val="en-CA"/>
                </w:rPr>
                <w:t>2020 QCCQ 2209</w:t>
              </w:r>
            </w:hyperlink>
            <w:r w:rsidR="00E7152E" w:rsidRPr="00C63A3E">
              <w:rPr>
                <w:sz w:val="20"/>
                <w:lang w:val="en-CA"/>
              </w:rPr>
              <w:t>; 400</w:t>
            </w:r>
            <w:r w:rsidR="00E7152E" w:rsidRPr="00C63A3E">
              <w:rPr>
                <w:sz w:val="20"/>
                <w:lang w:val="en-CA"/>
              </w:rPr>
              <w:noBreakHyphen/>
              <w:t>01</w:t>
            </w:r>
            <w:r w:rsidR="00E7152E" w:rsidRPr="00C63A3E">
              <w:rPr>
                <w:sz w:val="20"/>
                <w:lang w:val="en-CA"/>
              </w:rPr>
              <w:noBreakHyphen/>
              <w:t>088975</w:t>
            </w:r>
            <w:r w:rsidR="00E7152E" w:rsidRPr="00C63A3E">
              <w:rPr>
                <w:sz w:val="20"/>
                <w:lang w:val="en-CA"/>
              </w:rPr>
              <w:noBreakHyphen/>
              <w:t>180</w:t>
            </w:r>
          </w:p>
          <w:p w:rsidR="00E7152E" w:rsidRPr="00C63A3E" w:rsidRDefault="00E7152E" w:rsidP="00E7152E">
            <w:pPr>
              <w:jc w:val="both"/>
              <w:rPr>
                <w:sz w:val="20"/>
                <w:lang w:val="en-CA"/>
              </w:rPr>
            </w:pPr>
          </w:p>
        </w:tc>
        <w:tc>
          <w:tcPr>
            <w:tcW w:w="243" w:type="pct"/>
          </w:tcPr>
          <w:p w:rsidR="00E7152E" w:rsidRPr="00C63A3E" w:rsidRDefault="00E7152E" w:rsidP="00E7152E">
            <w:pPr>
              <w:jc w:val="both"/>
              <w:rPr>
                <w:sz w:val="20"/>
                <w:lang w:val="en-CA"/>
              </w:rPr>
            </w:pPr>
          </w:p>
        </w:tc>
        <w:tc>
          <w:tcPr>
            <w:tcW w:w="2330" w:type="pct"/>
          </w:tcPr>
          <w:p w:rsidR="00E7152E" w:rsidRPr="00C63A3E" w:rsidRDefault="00E7152E" w:rsidP="00E7152E">
            <w:pPr>
              <w:jc w:val="both"/>
              <w:rPr>
                <w:sz w:val="20"/>
                <w:lang w:val="en-CA"/>
              </w:rPr>
            </w:pPr>
            <w:r w:rsidRPr="00C63A3E">
              <w:rPr>
                <w:sz w:val="20"/>
                <w:lang w:val="en-CA"/>
              </w:rPr>
              <w:t>G.M. convicted of counts 1 (theft) and 2 (fraud); conditional stay entered on count 1</w:t>
            </w:r>
          </w:p>
          <w:p w:rsidR="00E7152E" w:rsidRPr="00C63A3E" w:rsidRDefault="00E7152E" w:rsidP="00E7152E">
            <w:pPr>
              <w:jc w:val="both"/>
              <w:rPr>
                <w:sz w:val="20"/>
                <w:lang w:val="en-CA"/>
              </w:rPr>
            </w:pPr>
          </w:p>
        </w:tc>
      </w:tr>
      <w:tr w:rsidR="00E7152E" w:rsidRPr="00C63A3E" w:rsidTr="00E95A6A">
        <w:tc>
          <w:tcPr>
            <w:tcW w:w="2427" w:type="pct"/>
            <w:gridSpan w:val="2"/>
          </w:tcPr>
          <w:p w:rsidR="00E7152E" w:rsidRPr="00C63A3E" w:rsidRDefault="00E7152E" w:rsidP="00E7152E">
            <w:pPr>
              <w:jc w:val="both"/>
              <w:rPr>
                <w:sz w:val="20"/>
                <w:lang w:val="en-CA"/>
              </w:rPr>
            </w:pPr>
            <w:r w:rsidRPr="00C63A3E">
              <w:rPr>
                <w:sz w:val="20"/>
                <w:lang w:val="en-CA"/>
              </w:rPr>
              <w:t>September 10, 2020</w:t>
            </w:r>
          </w:p>
          <w:p w:rsidR="00E7152E" w:rsidRPr="00C63A3E" w:rsidRDefault="00E7152E" w:rsidP="00E7152E">
            <w:pPr>
              <w:jc w:val="both"/>
              <w:rPr>
                <w:sz w:val="20"/>
                <w:lang w:val="en-CA"/>
              </w:rPr>
            </w:pPr>
            <w:r w:rsidRPr="00C63A3E">
              <w:rPr>
                <w:sz w:val="20"/>
                <w:lang w:val="en-CA"/>
              </w:rPr>
              <w:t>Court of Québec</w:t>
            </w:r>
          </w:p>
          <w:p w:rsidR="00E7152E" w:rsidRPr="00C63A3E" w:rsidRDefault="00E7152E" w:rsidP="00E7152E">
            <w:pPr>
              <w:jc w:val="both"/>
              <w:rPr>
                <w:sz w:val="20"/>
                <w:lang w:val="en-CA"/>
              </w:rPr>
            </w:pPr>
            <w:r w:rsidRPr="00C63A3E">
              <w:rPr>
                <w:sz w:val="20"/>
                <w:lang w:val="en-CA"/>
              </w:rPr>
              <w:t>(Judge Lortie)</w:t>
            </w:r>
          </w:p>
          <w:p w:rsidR="00E7152E" w:rsidRPr="00C63A3E" w:rsidRDefault="00DA6B23" w:rsidP="00E7152E">
            <w:pPr>
              <w:jc w:val="both"/>
              <w:rPr>
                <w:sz w:val="20"/>
                <w:lang w:val="en-CA"/>
              </w:rPr>
            </w:pPr>
            <w:hyperlink r:id="rId23" w:history="1">
              <w:r w:rsidR="00E7152E" w:rsidRPr="00C63A3E">
                <w:rPr>
                  <w:rStyle w:val="Hyperlink"/>
                  <w:sz w:val="20"/>
                  <w:lang w:val="en-CA"/>
                </w:rPr>
                <w:t>2020 QCCQ 3252</w:t>
              </w:r>
            </w:hyperlink>
            <w:r w:rsidR="00E7152E" w:rsidRPr="00C63A3E">
              <w:rPr>
                <w:sz w:val="20"/>
                <w:lang w:val="en-CA"/>
              </w:rPr>
              <w:t>; 400</w:t>
            </w:r>
            <w:r w:rsidR="00E7152E" w:rsidRPr="00C63A3E">
              <w:rPr>
                <w:sz w:val="20"/>
                <w:lang w:val="en-CA"/>
              </w:rPr>
              <w:noBreakHyphen/>
              <w:t>01</w:t>
            </w:r>
            <w:r w:rsidR="00E7152E" w:rsidRPr="00C63A3E">
              <w:rPr>
                <w:sz w:val="20"/>
                <w:lang w:val="en-CA"/>
              </w:rPr>
              <w:noBreakHyphen/>
              <w:t>088975</w:t>
            </w:r>
            <w:r w:rsidR="00E7152E" w:rsidRPr="00C63A3E">
              <w:rPr>
                <w:sz w:val="20"/>
                <w:lang w:val="en-CA"/>
              </w:rPr>
              <w:noBreakHyphen/>
              <w:t>180</w:t>
            </w:r>
          </w:p>
          <w:p w:rsidR="00E7152E" w:rsidRPr="00C63A3E" w:rsidRDefault="00E7152E" w:rsidP="00E7152E">
            <w:pPr>
              <w:jc w:val="both"/>
              <w:rPr>
                <w:sz w:val="20"/>
                <w:lang w:val="en-CA"/>
              </w:rPr>
            </w:pPr>
          </w:p>
        </w:tc>
        <w:tc>
          <w:tcPr>
            <w:tcW w:w="243" w:type="pct"/>
          </w:tcPr>
          <w:p w:rsidR="00E7152E" w:rsidRPr="00C63A3E" w:rsidRDefault="00E7152E" w:rsidP="00E7152E">
            <w:pPr>
              <w:jc w:val="both"/>
              <w:rPr>
                <w:sz w:val="20"/>
                <w:lang w:val="en-CA"/>
              </w:rPr>
            </w:pPr>
          </w:p>
        </w:tc>
        <w:tc>
          <w:tcPr>
            <w:tcW w:w="2330" w:type="pct"/>
          </w:tcPr>
          <w:p w:rsidR="00E7152E" w:rsidRPr="00C63A3E" w:rsidRDefault="00E7152E" w:rsidP="00E7152E">
            <w:pPr>
              <w:jc w:val="both"/>
              <w:rPr>
                <w:sz w:val="20"/>
                <w:lang w:val="en-CA"/>
              </w:rPr>
            </w:pPr>
            <w:r w:rsidRPr="00C63A3E">
              <w:rPr>
                <w:sz w:val="20"/>
                <w:lang w:val="en-CA"/>
              </w:rPr>
              <w:t>G.M. sentenced on count 2 to 90</w:t>
            </w:r>
            <w:r w:rsidRPr="00C63A3E">
              <w:rPr>
                <w:sz w:val="20"/>
                <w:lang w:val="en-CA"/>
              </w:rPr>
              <w:noBreakHyphen/>
              <w:t>day term of imprisonment that could be served intermittently; 2</w:t>
            </w:r>
            <w:r w:rsidRPr="00C63A3E">
              <w:rPr>
                <w:sz w:val="20"/>
                <w:lang w:val="en-CA"/>
              </w:rPr>
              <w:noBreakHyphen/>
              <w:t xml:space="preserve">year probation order made, with supervision for 1 year; payment of victim surcharge under s. 737 </w:t>
            </w:r>
            <w:r w:rsidRPr="00C63A3E">
              <w:rPr>
                <w:i/>
                <w:sz w:val="20"/>
                <w:lang w:val="en-CA"/>
              </w:rPr>
              <w:t>Cr. C.</w:t>
            </w:r>
            <w:r w:rsidRPr="00C63A3E">
              <w:rPr>
                <w:sz w:val="20"/>
                <w:lang w:val="en-CA"/>
              </w:rPr>
              <w:t xml:space="preserve"> waived in view of dates of offence</w:t>
            </w:r>
          </w:p>
          <w:p w:rsidR="00E7152E" w:rsidRPr="00C63A3E" w:rsidRDefault="00E7152E" w:rsidP="00E7152E">
            <w:pPr>
              <w:jc w:val="both"/>
              <w:rPr>
                <w:sz w:val="20"/>
                <w:lang w:val="en-CA"/>
              </w:rPr>
            </w:pPr>
          </w:p>
        </w:tc>
      </w:tr>
      <w:tr w:rsidR="00E7152E" w:rsidRPr="00C63A3E" w:rsidTr="00E95A6A">
        <w:tc>
          <w:tcPr>
            <w:tcW w:w="2427" w:type="pct"/>
            <w:gridSpan w:val="2"/>
          </w:tcPr>
          <w:p w:rsidR="00E7152E" w:rsidRPr="00C63A3E" w:rsidRDefault="00E7152E" w:rsidP="00E7152E">
            <w:pPr>
              <w:jc w:val="both"/>
              <w:rPr>
                <w:sz w:val="20"/>
                <w:lang w:val="en-CA"/>
              </w:rPr>
            </w:pPr>
            <w:r w:rsidRPr="00C63A3E">
              <w:rPr>
                <w:sz w:val="20"/>
                <w:lang w:val="en-CA"/>
              </w:rPr>
              <w:t>February 26, 2021</w:t>
            </w:r>
          </w:p>
          <w:p w:rsidR="00E7152E" w:rsidRPr="00C63A3E" w:rsidRDefault="00E7152E" w:rsidP="00E7152E">
            <w:pPr>
              <w:jc w:val="both"/>
              <w:rPr>
                <w:sz w:val="20"/>
                <w:lang w:val="en-CA"/>
              </w:rPr>
            </w:pPr>
            <w:r w:rsidRPr="00C63A3E">
              <w:rPr>
                <w:sz w:val="20"/>
                <w:lang w:val="en-CA"/>
              </w:rPr>
              <w:t>Quebec Court of Appeal (Québec)</w:t>
            </w:r>
          </w:p>
          <w:p w:rsidR="00E7152E" w:rsidRPr="00C63A3E" w:rsidRDefault="00E7152E" w:rsidP="00E7152E">
            <w:pPr>
              <w:jc w:val="both"/>
              <w:rPr>
                <w:sz w:val="20"/>
                <w:lang w:val="fr-CA"/>
              </w:rPr>
            </w:pPr>
            <w:r w:rsidRPr="00C63A3E">
              <w:rPr>
                <w:sz w:val="20"/>
                <w:lang w:val="fr-CA"/>
              </w:rPr>
              <w:t>(Gagnon, Mainville and Rancourt JJ.A.)</w:t>
            </w:r>
          </w:p>
          <w:p w:rsidR="00E7152E" w:rsidRPr="00C63A3E" w:rsidRDefault="00DA6B23" w:rsidP="00E7152E">
            <w:pPr>
              <w:jc w:val="both"/>
              <w:rPr>
                <w:sz w:val="20"/>
                <w:lang w:val="en-CA"/>
              </w:rPr>
            </w:pPr>
            <w:hyperlink r:id="rId24" w:history="1">
              <w:r w:rsidR="00E7152E" w:rsidRPr="00C63A3E">
                <w:rPr>
                  <w:rStyle w:val="Hyperlink"/>
                  <w:sz w:val="20"/>
                  <w:lang w:val="en-CA"/>
                </w:rPr>
                <w:t>2021 QCCA 328</w:t>
              </w:r>
            </w:hyperlink>
            <w:r w:rsidR="00E7152E" w:rsidRPr="00C63A3E">
              <w:rPr>
                <w:sz w:val="20"/>
                <w:lang w:val="en-CA"/>
              </w:rPr>
              <w:t>; 200</w:t>
            </w:r>
            <w:r w:rsidR="00E7152E" w:rsidRPr="00C63A3E">
              <w:rPr>
                <w:sz w:val="20"/>
                <w:lang w:val="en-CA"/>
              </w:rPr>
              <w:noBreakHyphen/>
              <w:t>10</w:t>
            </w:r>
            <w:r w:rsidR="00E7152E" w:rsidRPr="00C63A3E">
              <w:rPr>
                <w:sz w:val="20"/>
                <w:lang w:val="en-CA"/>
              </w:rPr>
              <w:noBreakHyphen/>
              <w:t>003790</w:t>
            </w:r>
            <w:r w:rsidR="00E7152E" w:rsidRPr="00C63A3E">
              <w:rPr>
                <w:sz w:val="20"/>
                <w:lang w:val="en-CA"/>
              </w:rPr>
              <w:noBreakHyphen/>
              <w:t>206</w:t>
            </w:r>
          </w:p>
          <w:p w:rsidR="00E7152E" w:rsidRPr="00C63A3E" w:rsidRDefault="00E7152E" w:rsidP="00E7152E">
            <w:pPr>
              <w:jc w:val="both"/>
              <w:rPr>
                <w:sz w:val="20"/>
                <w:lang w:val="en-CA"/>
              </w:rPr>
            </w:pPr>
          </w:p>
        </w:tc>
        <w:tc>
          <w:tcPr>
            <w:tcW w:w="243" w:type="pct"/>
          </w:tcPr>
          <w:p w:rsidR="00E7152E" w:rsidRPr="00C63A3E" w:rsidRDefault="00E7152E" w:rsidP="00E7152E">
            <w:pPr>
              <w:jc w:val="both"/>
              <w:rPr>
                <w:sz w:val="20"/>
                <w:lang w:val="en-CA"/>
              </w:rPr>
            </w:pPr>
          </w:p>
        </w:tc>
        <w:tc>
          <w:tcPr>
            <w:tcW w:w="2330" w:type="pct"/>
          </w:tcPr>
          <w:p w:rsidR="00E7152E" w:rsidRPr="00C63A3E" w:rsidRDefault="00E7152E" w:rsidP="00E7152E">
            <w:pPr>
              <w:jc w:val="both"/>
              <w:rPr>
                <w:sz w:val="20"/>
                <w:lang w:val="en-CA"/>
              </w:rPr>
            </w:pPr>
            <w:r w:rsidRPr="00C63A3E">
              <w:rPr>
                <w:sz w:val="20"/>
                <w:lang w:val="en-CA"/>
              </w:rPr>
              <w:t>Appeal dismissed</w:t>
            </w:r>
          </w:p>
          <w:p w:rsidR="00E7152E" w:rsidRPr="00C63A3E" w:rsidRDefault="00E7152E" w:rsidP="00E7152E">
            <w:pPr>
              <w:jc w:val="both"/>
              <w:rPr>
                <w:sz w:val="20"/>
                <w:lang w:val="en-CA"/>
              </w:rPr>
            </w:pPr>
          </w:p>
        </w:tc>
      </w:tr>
      <w:tr w:rsidR="00E7152E" w:rsidRPr="00C63A3E" w:rsidTr="00E95A6A">
        <w:tc>
          <w:tcPr>
            <w:tcW w:w="2427" w:type="pct"/>
            <w:gridSpan w:val="2"/>
          </w:tcPr>
          <w:p w:rsidR="00E7152E" w:rsidRPr="00C63A3E" w:rsidRDefault="00E7152E" w:rsidP="00E7152E">
            <w:pPr>
              <w:jc w:val="both"/>
              <w:rPr>
                <w:sz w:val="20"/>
                <w:lang w:val="en-CA"/>
              </w:rPr>
            </w:pPr>
            <w:r w:rsidRPr="00C63A3E">
              <w:rPr>
                <w:sz w:val="20"/>
                <w:lang w:val="en-CA"/>
              </w:rPr>
              <w:t>April 22, 2021</w:t>
            </w:r>
          </w:p>
          <w:p w:rsidR="00E7152E" w:rsidRPr="00C63A3E" w:rsidRDefault="00E7152E" w:rsidP="00E7152E">
            <w:pPr>
              <w:jc w:val="both"/>
              <w:rPr>
                <w:sz w:val="20"/>
                <w:lang w:val="en-CA"/>
              </w:rPr>
            </w:pPr>
            <w:r w:rsidRPr="00C63A3E">
              <w:rPr>
                <w:sz w:val="20"/>
                <w:lang w:val="en-CA"/>
              </w:rPr>
              <w:t>Supreme Court of Canada</w:t>
            </w:r>
          </w:p>
        </w:tc>
        <w:tc>
          <w:tcPr>
            <w:tcW w:w="243" w:type="pct"/>
          </w:tcPr>
          <w:p w:rsidR="00E7152E" w:rsidRPr="00C63A3E" w:rsidRDefault="00E7152E" w:rsidP="00E7152E">
            <w:pPr>
              <w:jc w:val="both"/>
              <w:rPr>
                <w:sz w:val="20"/>
                <w:lang w:val="en-CA"/>
              </w:rPr>
            </w:pPr>
          </w:p>
        </w:tc>
        <w:tc>
          <w:tcPr>
            <w:tcW w:w="2330" w:type="pct"/>
          </w:tcPr>
          <w:p w:rsidR="00E7152E" w:rsidRPr="00C63A3E" w:rsidRDefault="00E7152E" w:rsidP="00E7152E">
            <w:pPr>
              <w:jc w:val="both"/>
              <w:rPr>
                <w:sz w:val="20"/>
                <w:lang w:val="en-CA"/>
              </w:rPr>
            </w:pPr>
            <w:r w:rsidRPr="00C63A3E">
              <w:rPr>
                <w:sz w:val="20"/>
                <w:lang w:val="en-CA"/>
              </w:rPr>
              <w:t>Application for leave to appeal filed</w:t>
            </w:r>
          </w:p>
          <w:p w:rsidR="00E7152E" w:rsidRPr="00C63A3E" w:rsidRDefault="00E7152E" w:rsidP="00E7152E">
            <w:pPr>
              <w:jc w:val="both"/>
              <w:rPr>
                <w:sz w:val="20"/>
                <w:lang w:val="en-CA"/>
              </w:rPr>
            </w:pPr>
          </w:p>
        </w:tc>
      </w:tr>
    </w:tbl>
    <w:p w:rsidR="00E7152E" w:rsidRPr="00C63A3E" w:rsidRDefault="00E7152E" w:rsidP="00E7152E">
      <w:pPr>
        <w:jc w:val="both"/>
        <w:rPr>
          <w:sz w:val="20"/>
          <w:lang w:val="en-CA"/>
        </w:rPr>
      </w:pPr>
    </w:p>
    <w:p w:rsidR="00E7152E" w:rsidRPr="00C63A3E" w:rsidRDefault="00DA6B23" w:rsidP="00E7152E">
      <w:pPr>
        <w:jc w:val="both"/>
        <w:rPr>
          <w:sz w:val="20"/>
          <w:lang w:val="en-CA"/>
        </w:rPr>
      </w:pPr>
      <w:r>
        <w:rPr>
          <w:sz w:val="20"/>
        </w:rPr>
        <w:pict>
          <v:rect id="_x0000_i1033" style="width:2in;height:1pt" o:hrpct="0" o:hralign="center" o:hrstd="t" o:hrnoshade="t" o:hr="t" fillcolor="black [3213]" stroked="f"/>
        </w:pict>
      </w:r>
    </w:p>
    <w:p w:rsidR="00E7152E" w:rsidRPr="00C63A3E" w:rsidRDefault="00E7152E" w:rsidP="00E7152E">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7152E" w:rsidRPr="00C63A3E" w:rsidTr="00E95A6A">
        <w:tc>
          <w:tcPr>
            <w:tcW w:w="543" w:type="pct"/>
          </w:tcPr>
          <w:p w:rsidR="00E7152E" w:rsidRPr="00C63A3E" w:rsidRDefault="00E7152E" w:rsidP="00E7152E">
            <w:pPr>
              <w:jc w:val="both"/>
              <w:rPr>
                <w:sz w:val="20"/>
              </w:rPr>
            </w:pPr>
            <w:r w:rsidRPr="00C63A3E">
              <w:rPr>
                <w:rStyle w:val="SCCFileNumberChar"/>
                <w:sz w:val="20"/>
                <w:szCs w:val="20"/>
              </w:rPr>
              <w:t>39642</w:t>
            </w:r>
          </w:p>
        </w:tc>
        <w:tc>
          <w:tcPr>
            <w:tcW w:w="4457" w:type="pct"/>
            <w:gridSpan w:val="3"/>
          </w:tcPr>
          <w:p w:rsidR="00E7152E" w:rsidRPr="00C63A3E" w:rsidRDefault="00E7152E" w:rsidP="00E7152E">
            <w:pPr>
              <w:pStyle w:val="SCCLsocParty"/>
              <w:jc w:val="both"/>
              <w:rPr>
                <w:b/>
                <w:sz w:val="20"/>
                <w:szCs w:val="20"/>
              </w:rPr>
            </w:pPr>
            <w:r w:rsidRPr="00C63A3E">
              <w:rPr>
                <w:b/>
                <w:sz w:val="20"/>
                <w:szCs w:val="20"/>
              </w:rPr>
              <w:t>Sa Majesté la Reine c. G.M.</w:t>
            </w:r>
          </w:p>
          <w:p w:rsidR="00E7152E" w:rsidRPr="00C63A3E" w:rsidRDefault="00E7152E" w:rsidP="00E7152E">
            <w:pPr>
              <w:jc w:val="both"/>
              <w:rPr>
                <w:sz w:val="20"/>
              </w:rPr>
            </w:pPr>
            <w:r w:rsidRPr="00C63A3E">
              <w:rPr>
                <w:sz w:val="20"/>
              </w:rPr>
              <w:t>(Qc) (Criminelle) (Autorisation)</w:t>
            </w:r>
          </w:p>
        </w:tc>
      </w:tr>
      <w:tr w:rsidR="00E7152E" w:rsidRPr="00DA6B23" w:rsidTr="00E95A6A">
        <w:tc>
          <w:tcPr>
            <w:tcW w:w="5000" w:type="pct"/>
            <w:gridSpan w:val="4"/>
          </w:tcPr>
          <w:p w:rsidR="00E7152E" w:rsidRPr="00C63A3E" w:rsidRDefault="00E7152E" w:rsidP="00E7152E">
            <w:pPr>
              <w:jc w:val="both"/>
              <w:rPr>
                <w:sz w:val="20"/>
                <w:lang w:val="fr-CA"/>
              </w:rPr>
            </w:pPr>
            <w:r w:rsidRPr="00C63A3E">
              <w:rPr>
                <w:sz w:val="20"/>
                <w:lang w:val="fr-CA"/>
              </w:rPr>
              <w:t xml:space="preserve">Droit criminel — Fraude — Détermination de la peine — Facteurs devant être pris en considération — Ordonnance de dédommagement — Possibilité de recours civils — Amende compensatoire —L’intimée ayant exprimé le désir </w:t>
            </w:r>
            <w:r w:rsidRPr="00C63A3E">
              <w:rPr>
                <w:sz w:val="20"/>
                <w:lang w:val="fr-CA"/>
              </w:rPr>
              <w:lastRenderedPageBreak/>
              <w:t>de rembourser les 59 500$ usurpés à sa mère inapte, la majorité de la Cour d’appel a</w:t>
            </w:r>
            <w:r w:rsidRPr="00C63A3E">
              <w:rPr>
                <w:sz w:val="20"/>
                <w:lang w:val="fr-CA"/>
              </w:rPr>
              <w:noBreakHyphen/>
              <w:t>t</w:t>
            </w:r>
            <w:r w:rsidRPr="00C63A3E">
              <w:rPr>
                <w:sz w:val="20"/>
                <w:lang w:val="fr-CA"/>
              </w:rPr>
              <w:noBreakHyphen/>
              <w:t>elle erré en droit en refusant d’ordonner le paiement d’un dédommagement de ce montant au motif que des recours civils pourraient être entrepris? — La Cour d’appel du Québec a</w:t>
            </w:r>
            <w:r w:rsidRPr="00C63A3E">
              <w:rPr>
                <w:sz w:val="20"/>
                <w:lang w:val="fr-CA"/>
              </w:rPr>
              <w:noBreakHyphen/>
              <w:t>t</w:t>
            </w:r>
            <w:r w:rsidRPr="00C63A3E">
              <w:rPr>
                <w:sz w:val="20"/>
                <w:lang w:val="fr-CA"/>
              </w:rPr>
              <w:noBreakHyphen/>
              <w:t>elle erré en droit en omettant de traiter du refus du juge d’instance d’imposer une amende compensatoire à la confiscation des produits de la criminalité alors que cette question lui était dûment soumise et que les motifs du juge étaient incompatibles avec le droit applicable?</w:t>
            </w:r>
          </w:p>
        </w:tc>
      </w:tr>
      <w:tr w:rsidR="00E7152E" w:rsidRPr="00DA6B23" w:rsidTr="00E95A6A">
        <w:tc>
          <w:tcPr>
            <w:tcW w:w="5000" w:type="pct"/>
            <w:gridSpan w:val="4"/>
          </w:tcPr>
          <w:p w:rsidR="00E7152E" w:rsidRPr="00C63A3E" w:rsidRDefault="00E7152E" w:rsidP="00E7152E">
            <w:pPr>
              <w:jc w:val="both"/>
              <w:rPr>
                <w:sz w:val="20"/>
                <w:lang w:val="fr-CA"/>
              </w:rPr>
            </w:pPr>
          </w:p>
          <w:p w:rsidR="00E7152E" w:rsidRPr="00C63A3E" w:rsidRDefault="00E7152E" w:rsidP="00E7152E">
            <w:pPr>
              <w:jc w:val="both"/>
              <w:rPr>
                <w:sz w:val="20"/>
                <w:lang w:val="fr-CA"/>
              </w:rPr>
            </w:pPr>
            <w:r w:rsidRPr="00C63A3E">
              <w:rPr>
                <w:sz w:val="20"/>
                <w:lang w:val="fr-CA"/>
              </w:rPr>
              <w:t>G.M. est déclarée coupable de vol et de fraude à l’encontre de sa mère âgée et vulnérable, et un arrêt conditionnel est prononcé à l’égard du chef de vol. À l’audience sur la détermination de la peine, G.M. exprime la volonté de dédommager les montants directement en cause qui s’élèvent à 59 500 $. L’affaire est prise en délibéré, mais la mère de G.M. décède avant le prononcé du jugement. G.M. et son frère sont héritiers et liquidateurs. La Cour du Québec impose une peine d’emprisonnement de 90 jours pouvant être purgée de façon discontinue et prévoit une ordonnance de probation d’une durée de deux ans. Elle refuse d’ordonner un dédommagement et une amende compensatoire en raison du caractère particulier de l’affaire, notamment du fait qu’il risquerait d’y avoir interférence entre les modalités du dédommagement criminel et celles de la succession au civil, et du risque de sanctions multiples en raison de potentiels recours civils. La poursuite se pourvoit contre ces refus. La majorité de la Cour d’appel rejette l’appel.</w:t>
            </w:r>
          </w:p>
        </w:tc>
      </w:tr>
      <w:tr w:rsidR="00E7152E" w:rsidRPr="00DA6B23" w:rsidTr="00E95A6A">
        <w:tc>
          <w:tcPr>
            <w:tcW w:w="5000" w:type="pct"/>
            <w:gridSpan w:val="4"/>
          </w:tcPr>
          <w:p w:rsidR="00E7152E" w:rsidRPr="00C63A3E" w:rsidRDefault="00E7152E" w:rsidP="00E7152E">
            <w:pPr>
              <w:jc w:val="both"/>
              <w:rPr>
                <w:sz w:val="20"/>
                <w:lang w:val="fr-CA"/>
              </w:rPr>
            </w:pPr>
          </w:p>
        </w:tc>
      </w:tr>
      <w:tr w:rsidR="00E7152E" w:rsidRPr="00DA6B23" w:rsidTr="00E95A6A">
        <w:tc>
          <w:tcPr>
            <w:tcW w:w="2427" w:type="pct"/>
            <w:gridSpan w:val="2"/>
          </w:tcPr>
          <w:p w:rsidR="00E7152E" w:rsidRPr="00C63A3E" w:rsidRDefault="00E7152E" w:rsidP="00E7152E">
            <w:pPr>
              <w:jc w:val="both"/>
              <w:rPr>
                <w:sz w:val="20"/>
                <w:lang w:val="fr-CA"/>
              </w:rPr>
            </w:pPr>
            <w:r w:rsidRPr="00C63A3E">
              <w:rPr>
                <w:sz w:val="20"/>
                <w:lang w:val="fr-CA"/>
              </w:rPr>
              <w:t>Le 18 juin 2020</w:t>
            </w:r>
          </w:p>
          <w:p w:rsidR="00E7152E" w:rsidRPr="00C63A3E" w:rsidRDefault="00E7152E" w:rsidP="00E7152E">
            <w:pPr>
              <w:jc w:val="both"/>
              <w:rPr>
                <w:sz w:val="20"/>
                <w:lang w:val="fr-CA"/>
              </w:rPr>
            </w:pPr>
            <w:r w:rsidRPr="00C63A3E">
              <w:rPr>
                <w:sz w:val="20"/>
                <w:lang w:val="fr-CA"/>
              </w:rPr>
              <w:t>Cour du Québec</w:t>
            </w:r>
          </w:p>
          <w:p w:rsidR="00E7152E" w:rsidRPr="00C63A3E" w:rsidRDefault="00E7152E" w:rsidP="00E7152E">
            <w:pPr>
              <w:jc w:val="both"/>
              <w:rPr>
                <w:sz w:val="20"/>
                <w:lang w:val="fr-CA"/>
              </w:rPr>
            </w:pPr>
            <w:r w:rsidRPr="00C63A3E">
              <w:rPr>
                <w:sz w:val="20"/>
                <w:lang w:val="fr-CA"/>
              </w:rPr>
              <w:t>(Le juge Lortie)</w:t>
            </w:r>
          </w:p>
          <w:p w:rsidR="00E7152E" w:rsidRPr="00C63A3E" w:rsidRDefault="00DA6B23" w:rsidP="00E7152E">
            <w:pPr>
              <w:jc w:val="both"/>
              <w:rPr>
                <w:sz w:val="20"/>
              </w:rPr>
            </w:pPr>
            <w:hyperlink r:id="rId25" w:history="1">
              <w:r w:rsidR="00E7152E" w:rsidRPr="00C63A3E">
                <w:rPr>
                  <w:rStyle w:val="Hyperlink"/>
                  <w:sz w:val="20"/>
                </w:rPr>
                <w:t>2020 QCCQ 2209</w:t>
              </w:r>
            </w:hyperlink>
            <w:r w:rsidR="00E7152E" w:rsidRPr="00C63A3E">
              <w:rPr>
                <w:sz w:val="20"/>
              </w:rPr>
              <w:t>; 400</w:t>
            </w:r>
            <w:r w:rsidR="00E7152E" w:rsidRPr="00C63A3E">
              <w:rPr>
                <w:sz w:val="20"/>
              </w:rPr>
              <w:noBreakHyphen/>
              <w:t>01</w:t>
            </w:r>
            <w:r w:rsidR="00E7152E" w:rsidRPr="00C63A3E">
              <w:rPr>
                <w:sz w:val="20"/>
              </w:rPr>
              <w:noBreakHyphen/>
              <w:t>088975</w:t>
            </w:r>
            <w:r w:rsidR="00E7152E" w:rsidRPr="00C63A3E">
              <w:rPr>
                <w:sz w:val="20"/>
              </w:rPr>
              <w:noBreakHyphen/>
              <w:t>180</w:t>
            </w:r>
          </w:p>
          <w:p w:rsidR="00E7152E" w:rsidRPr="00C63A3E" w:rsidRDefault="00E7152E" w:rsidP="00E7152E">
            <w:pPr>
              <w:jc w:val="both"/>
              <w:rPr>
                <w:sz w:val="20"/>
              </w:rPr>
            </w:pPr>
          </w:p>
        </w:tc>
        <w:tc>
          <w:tcPr>
            <w:tcW w:w="243" w:type="pct"/>
          </w:tcPr>
          <w:p w:rsidR="00E7152E" w:rsidRPr="00C63A3E" w:rsidRDefault="00E7152E" w:rsidP="00E7152E">
            <w:pPr>
              <w:jc w:val="both"/>
              <w:rPr>
                <w:sz w:val="20"/>
              </w:rPr>
            </w:pPr>
          </w:p>
        </w:tc>
        <w:tc>
          <w:tcPr>
            <w:tcW w:w="2330" w:type="pct"/>
          </w:tcPr>
          <w:p w:rsidR="00E7152E" w:rsidRPr="00C63A3E" w:rsidRDefault="00E7152E" w:rsidP="00E7152E">
            <w:pPr>
              <w:jc w:val="both"/>
              <w:rPr>
                <w:sz w:val="20"/>
                <w:lang w:val="fr-CA"/>
              </w:rPr>
            </w:pPr>
            <w:r w:rsidRPr="00C63A3E">
              <w:rPr>
                <w:sz w:val="20"/>
                <w:lang w:val="fr-CA"/>
              </w:rPr>
              <w:t>Déclaration de culpabilité de G.M. à l’égard des chefs 1 (vol) et 2 (fraude); prononciation d’un arrêt conditionnel concernant le chef 1</w:t>
            </w:r>
          </w:p>
          <w:p w:rsidR="00E7152E" w:rsidRPr="00C63A3E" w:rsidRDefault="00E7152E" w:rsidP="00E7152E">
            <w:pPr>
              <w:jc w:val="both"/>
              <w:rPr>
                <w:sz w:val="20"/>
                <w:lang w:val="fr-CA"/>
              </w:rPr>
            </w:pPr>
          </w:p>
        </w:tc>
      </w:tr>
      <w:tr w:rsidR="00E7152E" w:rsidRPr="00C63A3E" w:rsidTr="00E95A6A">
        <w:tc>
          <w:tcPr>
            <w:tcW w:w="2427" w:type="pct"/>
            <w:gridSpan w:val="2"/>
          </w:tcPr>
          <w:p w:rsidR="00E7152E" w:rsidRPr="00C63A3E" w:rsidRDefault="00E7152E" w:rsidP="00E7152E">
            <w:pPr>
              <w:jc w:val="both"/>
              <w:rPr>
                <w:sz w:val="20"/>
                <w:lang w:val="fr-CA"/>
              </w:rPr>
            </w:pPr>
            <w:r w:rsidRPr="00C63A3E">
              <w:rPr>
                <w:sz w:val="20"/>
                <w:lang w:val="fr-CA"/>
              </w:rPr>
              <w:t>Le 10 septembre 2020</w:t>
            </w:r>
          </w:p>
          <w:p w:rsidR="00E7152E" w:rsidRPr="00C63A3E" w:rsidRDefault="00E7152E" w:rsidP="00E7152E">
            <w:pPr>
              <w:jc w:val="both"/>
              <w:rPr>
                <w:sz w:val="20"/>
                <w:lang w:val="fr-CA"/>
              </w:rPr>
            </w:pPr>
            <w:r w:rsidRPr="00C63A3E">
              <w:rPr>
                <w:sz w:val="20"/>
                <w:lang w:val="fr-CA"/>
              </w:rPr>
              <w:t>Cour du Québec</w:t>
            </w:r>
          </w:p>
          <w:p w:rsidR="00E7152E" w:rsidRPr="00C63A3E" w:rsidRDefault="00E7152E" w:rsidP="00E7152E">
            <w:pPr>
              <w:jc w:val="both"/>
              <w:rPr>
                <w:sz w:val="20"/>
                <w:lang w:val="fr-CA"/>
              </w:rPr>
            </w:pPr>
            <w:r w:rsidRPr="00C63A3E">
              <w:rPr>
                <w:sz w:val="20"/>
                <w:lang w:val="fr-CA"/>
              </w:rPr>
              <w:t>(Le juge Lortie)</w:t>
            </w:r>
          </w:p>
          <w:p w:rsidR="00E7152E" w:rsidRPr="00C63A3E" w:rsidRDefault="00DA6B23" w:rsidP="00E7152E">
            <w:pPr>
              <w:jc w:val="both"/>
              <w:rPr>
                <w:sz w:val="20"/>
              </w:rPr>
            </w:pPr>
            <w:hyperlink r:id="rId26" w:history="1">
              <w:r w:rsidR="00E7152E" w:rsidRPr="00C63A3E">
                <w:rPr>
                  <w:rStyle w:val="Hyperlink"/>
                  <w:sz w:val="20"/>
                </w:rPr>
                <w:t>2020 QCCQ 3252</w:t>
              </w:r>
            </w:hyperlink>
            <w:r w:rsidR="00E7152E" w:rsidRPr="00C63A3E">
              <w:rPr>
                <w:sz w:val="20"/>
              </w:rPr>
              <w:t>; 400</w:t>
            </w:r>
            <w:r w:rsidR="00E7152E" w:rsidRPr="00C63A3E">
              <w:rPr>
                <w:sz w:val="20"/>
              </w:rPr>
              <w:noBreakHyphen/>
              <w:t>01</w:t>
            </w:r>
            <w:r w:rsidR="00E7152E" w:rsidRPr="00C63A3E">
              <w:rPr>
                <w:sz w:val="20"/>
              </w:rPr>
              <w:noBreakHyphen/>
              <w:t>088975</w:t>
            </w:r>
            <w:r w:rsidR="00E7152E" w:rsidRPr="00C63A3E">
              <w:rPr>
                <w:sz w:val="20"/>
              </w:rPr>
              <w:noBreakHyphen/>
              <w:t>180</w:t>
            </w:r>
          </w:p>
          <w:p w:rsidR="00E7152E" w:rsidRPr="00C63A3E" w:rsidRDefault="00E7152E" w:rsidP="00E7152E">
            <w:pPr>
              <w:jc w:val="both"/>
              <w:rPr>
                <w:sz w:val="20"/>
              </w:rPr>
            </w:pPr>
          </w:p>
        </w:tc>
        <w:tc>
          <w:tcPr>
            <w:tcW w:w="243" w:type="pct"/>
          </w:tcPr>
          <w:p w:rsidR="00E7152E" w:rsidRPr="00C63A3E" w:rsidRDefault="00E7152E" w:rsidP="00E7152E">
            <w:pPr>
              <w:jc w:val="both"/>
              <w:rPr>
                <w:sz w:val="20"/>
              </w:rPr>
            </w:pPr>
          </w:p>
        </w:tc>
        <w:tc>
          <w:tcPr>
            <w:tcW w:w="2330" w:type="pct"/>
          </w:tcPr>
          <w:p w:rsidR="00E7152E" w:rsidRPr="00C63A3E" w:rsidRDefault="00E7152E" w:rsidP="00E7152E">
            <w:pPr>
              <w:jc w:val="both"/>
              <w:rPr>
                <w:sz w:val="20"/>
              </w:rPr>
            </w:pPr>
            <w:r w:rsidRPr="00C63A3E">
              <w:rPr>
                <w:sz w:val="20"/>
                <w:lang w:val="fr-CA"/>
              </w:rPr>
              <w:t>Imposition sur le chef 2 d’une peine d’emprisonnement de 90 jours pouvant être purgée de façon discontinue; prévision d’une ordonnance de probation d’une durée de deux ans avec suivi d’un an; et prononciation d’une dispense de paiement de la suramende compensatoire prévue à l'art. </w:t>
            </w:r>
            <w:r w:rsidRPr="00C63A3E">
              <w:rPr>
                <w:sz w:val="20"/>
              </w:rPr>
              <w:t xml:space="preserve">737 </w:t>
            </w:r>
            <w:r w:rsidRPr="00C63A3E">
              <w:rPr>
                <w:i/>
                <w:sz w:val="20"/>
              </w:rPr>
              <w:t>C.cr.</w:t>
            </w:r>
            <w:r w:rsidRPr="00C63A3E">
              <w:rPr>
                <w:sz w:val="20"/>
              </w:rPr>
              <w:t>, vu les dates de l’infraction</w:t>
            </w:r>
          </w:p>
          <w:p w:rsidR="00E7152E" w:rsidRPr="00C63A3E" w:rsidRDefault="00E7152E" w:rsidP="00E7152E">
            <w:pPr>
              <w:jc w:val="both"/>
              <w:rPr>
                <w:sz w:val="20"/>
              </w:rPr>
            </w:pPr>
          </w:p>
        </w:tc>
      </w:tr>
      <w:tr w:rsidR="00E7152E" w:rsidRPr="00C63A3E" w:rsidTr="00E95A6A">
        <w:tc>
          <w:tcPr>
            <w:tcW w:w="2427" w:type="pct"/>
            <w:gridSpan w:val="2"/>
          </w:tcPr>
          <w:p w:rsidR="00E7152E" w:rsidRPr="00C63A3E" w:rsidRDefault="00E7152E" w:rsidP="00E7152E">
            <w:pPr>
              <w:jc w:val="both"/>
              <w:rPr>
                <w:sz w:val="20"/>
                <w:lang w:val="fr-CA"/>
              </w:rPr>
            </w:pPr>
            <w:r w:rsidRPr="00C63A3E">
              <w:rPr>
                <w:sz w:val="20"/>
                <w:lang w:val="fr-CA"/>
              </w:rPr>
              <w:t>Le 26 février 2021</w:t>
            </w:r>
          </w:p>
          <w:p w:rsidR="00E7152E" w:rsidRPr="00C63A3E" w:rsidRDefault="00E7152E" w:rsidP="00E7152E">
            <w:pPr>
              <w:jc w:val="both"/>
              <w:rPr>
                <w:sz w:val="20"/>
                <w:lang w:val="fr-CA"/>
              </w:rPr>
            </w:pPr>
            <w:r w:rsidRPr="00C63A3E">
              <w:rPr>
                <w:sz w:val="20"/>
                <w:lang w:val="fr-CA"/>
              </w:rPr>
              <w:t>Cour d’appel du Québec (Québec)</w:t>
            </w:r>
          </w:p>
          <w:p w:rsidR="00E7152E" w:rsidRPr="00C63A3E" w:rsidRDefault="00E7152E" w:rsidP="00E7152E">
            <w:pPr>
              <w:jc w:val="both"/>
              <w:rPr>
                <w:sz w:val="20"/>
                <w:lang w:val="fr-CA"/>
              </w:rPr>
            </w:pPr>
            <w:r w:rsidRPr="00C63A3E">
              <w:rPr>
                <w:sz w:val="20"/>
                <w:lang w:val="fr-CA"/>
              </w:rPr>
              <w:t>(Les juges Gagnon, Mainville et Rancourt)</w:t>
            </w:r>
          </w:p>
          <w:p w:rsidR="00E7152E" w:rsidRPr="00C63A3E" w:rsidRDefault="00DA6B23" w:rsidP="00E7152E">
            <w:pPr>
              <w:jc w:val="both"/>
              <w:rPr>
                <w:sz w:val="20"/>
              </w:rPr>
            </w:pPr>
            <w:hyperlink r:id="rId27" w:history="1">
              <w:r w:rsidR="00E7152E" w:rsidRPr="00C63A3E">
                <w:rPr>
                  <w:rStyle w:val="Hyperlink"/>
                  <w:sz w:val="20"/>
                </w:rPr>
                <w:t>2021 QCCA 328</w:t>
              </w:r>
            </w:hyperlink>
            <w:r w:rsidR="00E7152E" w:rsidRPr="00C63A3E">
              <w:rPr>
                <w:sz w:val="20"/>
              </w:rPr>
              <w:t>; 200</w:t>
            </w:r>
            <w:r w:rsidR="00E7152E" w:rsidRPr="00C63A3E">
              <w:rPr>
                <w:sz w:val="20"/>
              </w:rPr>
              <w:noBreakHyphen/>
              <w:t>10</w:t>
            </w:r>
            <w:r w:rsidR="00E7152E" w:rsidRPr="00C63A3E">
              <w:rPr>
                <w:sz w:val="20"/>
              </w:rPr>
              <w:noBreakHyphen/>
              <w:t>003790</w:t>
            </w:r>
            <w:r w:rsidR="00E7152E" w:rsidRPr="00C63A3E">
              <w:rPr>
                <w:sz w:val="20"/>
              </w:rPr>
              <w:noBreakHyphen/>
              <w:t>206</w:t>
            </w:r>
          </w:p>
          <w:p w:rsidR="00E7152E" w:rsidRPr="00C63A3E" w:rsidRDefault="00E7152E" w:rsidP="00E7152E">
            <w:pPr>
              <w:jc w:val="both"/>
              <w:rPr>
                <w:sz w:val="20"/>
              </w:rPr>
            </w:pPr>
          </w:p>
        </w:tc>
        <w:tc>
          <w:tcPr>
            <w:tcW w:w="243" w:type="pct"/>
          </w:tcPr>
          <w:p w:rsidR="00E7152E" w:rsidRPr="00C63A3E" w:rsidRDefault="00E7152E" w:rsidP="00E7152E">
            <w:pPr>
              <w:jc w:val="both"/>
              <w:rPr>
                <w:sz w:val="20"/>
              </w:rPr>
            </w:pPr>
          </w:p>
        </w:tc>
        <w:tc>
          <w:tcPr>
            <w:tcW w:w="2330" w:type="pct"/>
          </w:tcPr>
          <w:p w:rsidR="00E7152E" w:rsidRPr="00C63A3E" w:rsidRDefault="00E7152E" w:rsidP="00E7152E">
            <w:pPr>
              <w:jc w:val="both"/>
              <w:rPr>
                <w:sz w:val="20"/>
              </w:rPr>
            </w:pPr>
            <w:r w:rsidRPr="00C63A3E">
              <w:rPr>
                <w:sz w:val="20"/>
              </w:rPr>
              <w:t>Appel rejeté</w:t>
            </w:r>
          </w:p>
          <w:p w:rsidR="00E7152E" w:rsidRPr="00C63A3E" w:rsidRDefault="00E7152E" w:rsidP="00E7152E">
            <w:pPr>
              <w:jc w:val="both"/>
              <w:rPr>
                <w:sz w:val="20"/>
              </w:rPr>
            </w:pPr>
          </w:p>
        </w:tc>
      </w:tr>
      <w:tr w:rsidR="00E7152E" w:rsidRPr="00C63A3E" w:rsidTr="00E95A6A">
        <w:tc>
          <w:tcPr>
            <w:tcW w:w="2427" w:type="pct"/>
            <w:gridSpan w:val="2"/>
          </w:tcPr>
          <w:p w:rsidR="00E7152E" w:rsidRPr="00C63A3E" w:rsidRDefault="00E7152E" w:rsidP="00E7152E">
            <w:pPr>
              <w:jc w:val="both"/>
              <w:rPr>
                <w:sz w:val="20"/>
                <w:lang w:val="fr-CA"/>
              </w:rPr>
            </w:pPr>
            <w:r w:rsidRPr="00C63A3E">
              <w:rPr>
                <w:sz w:val="20"/>
                <w:lang w:val="fr-CA"/>
              </w:rPr>
              <w:t>Le 22 avril 2021</w:t>
            </w:r>
          </w:p>
          <w:p w:rsidR="00E7152E" w:rsidRPr="00C63A3E" w:rsidRDefault="00E7152E" w:rsidP="00E7152E">
            <w:pPr>
              <w:jc w:val="both"/>
              <w:rPr>
                <w:sz w:val="20"/>
                <w:lang w:val="fr-CA"/>
              </w:rPr>
            </w:pPr>
            <w:r w:rsidRPr="00C63A3E">
              <w:rPr>
                <w:sz w:val="20"/>
                <w:lang w:val="fr-CA"/>
              </w:rPr>
              <w:t>Cour suprême du Canada</w:t>
            </w:r>
          </w:p>
        </w:tc>
        <w:tc>
          <w:tcPr>
            <w:tcW w:w="243" w:type="pct"/>
          </w:tcPr>
          <w:p w:rsidR="00E7152E" w:rsidRPr="00C63A3E" w:rsidRDefault="00E7152E" w:rsidP="00E7152E">
            <w:pPr>
              <w:jc w:val="both"/>
              <w:rPr>
                <w:sz w:val="20"/>
                <w:lang w:val="fr-CA"/>
              </w:rPr>
            </w:pPr>
          </w:p>
        </w:tc>
        <w:tc>
          <w:tcPr>
            <w:tcW w:w="2330" w:type="pct"/>
          </w:tcPr>
          <w:p w:rsidR="00E7152E" w:rsidRPr="00C63A3E" w:rsidRDefault="00E7152E" w:rsidP="00E7152E">
            <w:pPr>
              <w:jc w:val="both"/>
              <w:rPr>
                <w:sz w:val="20"/>
              </w:rPr>
            </w:pPr>
            <w:r w:rsidRPr="00C63A3E">
              <w:rPr>
                <w:sz w:val="20"/>
              </w:rPr>
              <w:t>Demande d'autorisation d’appel déposée</w:t>
            </w:r>
          </w:p>
          <w:p w:rsidR="00E7152E" w:rsidRPr="00C63A3E" w:rsidRDefault="00E7152E" w:rsidP="00E7152E">
            <w:pPr>
              <w:jc w:val="both"/>
              <w:rPr>
                <w:sz w:val="20"/>
              </w:rPr>
            </w:pPr>
          </w:p>
        </w:tc>
      </w:tr>
    </w:tbl>
    <w:p w:rsidR="00E7152E" w:rsidRPr="00C63A3E" w:rsidRDefault="00E7152E" w:rsidP="00E7152E">
      <w:pPr>
        <w:jc w:val="both"/>
        <w:rPr>
          <w:sz w:val="20"/>
        </w:rPr>
      </w:pPr>
    </w:p>
    <w:p w:rsidR="00E7152E" w:rsidRPr="00C63A3E" w:rsidRDefault="00DA6B23" w:rsidP="00E7152E">
      <w:pPr>
        <w:jc w:val="both"/>
        <w:rPr>
          <w:sz w:val="20"/>
        </w:rPr>
      </w:pPr>
      <w:r>
        <w:rPr>
          <w:sz w:val="20"/>
        </w:rPr>
        <w:pict>
          <v:rect id="_x0000_i1034" style="width:2in;height:1pt" o:hrpct="0" o:hralign="center" o:hrstd="t" o:hrnoshade="t" o:hr="t" fillcolor="black [3213]" stroked="f"/>
        </w:pict>
      </w:r>
    </w:p>
    <w:p w:rsidR="00387DAF" w:rsidRPr="00C63A3E" w:rsidRDefault="00387DAF" w:rsidP="00E7152E">
      <w:pPr>
        <w:widowControl w:val="0"/>
        <w:tabs>
          <w:tab w:val="left" w:pos="3840"/>
        </w:tabs>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7152E" w:rsidRPr="00C63A3E" w:rsidTr="00E95A6A">
        <w:tc>
          <w:tcPr>
            <w:tcW w:w="543" w:type="pct"/>
          </w:tcPr>
          <w:p w:rsidR="00E7152E" w:rsidRPr="00C63A3E" w:rsidRDefault="00E7152E" w:rsidP="00E7152E">
            <w:pPr>
              <w:jc w:val="both"/>
              <w:rPr>
                <w:sz w:val="20"/>
              </w:rPr>
            </w:pPr>
            <w:r w:rsidRPr="00C63A3E">
              <w:rPr>
                <w:rStyle w:val="SCCFileNumberChar"/>
                <w:sz w:val="20"/>
                <w:szCs w:val="20"/>
              </w:rPr>
              <w:t>39704</w:t>
            </w:r>
          </w:p>
        </w:tc>
        <w:tc>
          <w:tcPr>
            <w:tcW w:w="4457" w:type="pct"/>
            <w:gridSpan w:val="3"/>
          </w:tcPr>
          <w:p w:rsidR="00E7152E" w:rsidRPr="00C63A3E" w:rsidRDefault="00E7152E" w:rsidP="00E7152E">
            <w:pPr>
              <w:pStyle w:val="SCCLsocParty"/>
              <w:jc w:val="both"/>
              <w:rPr>
                <w:b/>
                <w:sz w:val="20"/>
                <w:szCs w:val="20"/>
                <w:lang w:val="en-US"/>
              </w:rPr>
            </w:pPr>
            <w:r w:rsidRPr="00C63A3E">
              <w:rPr>
                <w:b/>
                <w:sz w:val="20"/>
                <w:szCs w:val="20"/>
                <w:lang w:val="en-US"/>
              </w:rPr>
              <w:t>Janice Martha Carruthers v. Robert Brent Carruthers</w:t>
            </w:r>
          </w:p>
          <w:p w:rsidR="00E7152E" w:rsidRPr="00C63A3E" w:rsidRDefault="00E7152E" w:rsidP="00E7152E">
            <w:pPr>
              <w:jc w:val="both"/>
              <w:rPr>
                <w:sz w:val="20"/>
              </w:rPr>
            </w:pPr>
            <w:r w:rsidRPr="00C63A3E">
              <w:rPr>
                <w:sz w:val="20"/>
              </w:rPr>
              <w:t>(Sask.) (Civil) (By Leave)</w:t>
            </w:r>
          </w:p>
        </w:tc>
      </w:tr>
      <w:tr w:rsidR="00E7152E" w:rsidRPr="00C63A3E" w:rsidTr="00E95A6A">
        <w:tc>
          <w:tcPr>
            <w:tcW w:w="5000" w:type="pct"/>
            <w:gridSpan w:val="4"/>
          </w:tcPr>
          <w:p w:rsidR="00E7152E" w:rsidRPr="00C63A3E" w:rsidRDefault="00E7152E" w:rsidP="00E7152E">
            <w:pPr>
              <w:ind w:right="90"/>
              <w:jc w:val="both"/>
              <w:rPr>
                <w:sz w:val="20"/>
              </w:rPr>
            </w:pPr>
            <w:r w:rsidRPr="00C63A3E">
              <w:rPr>
                <w:sz w:val="20"/>
              </w:rPr>
              <w:t xml:space="preserve">Family law — Family assets — Farm corporation — Both parties seeking unequal division of family property consisting mainly of shares in farm corporation — Does the doctrine of proprietary estoppel apply to personal property in Canada? — If the doctrine of proprietary estoppel applies to personal property within Canada, what are the appropriate considerations for such claim? — Should appellate courts utilize the narrow approach of appellate arguments as noted in </w:t>
            </w:r>
            <w:r w:rsidRPr="00C63A3E">
              <w:rPr>
                <w:i/>
                <w:sz w:val="20"/>
              </w:rPr>
              <w:t xml:space="preserve">Perka </w:t>
            </w:r>
            <w:r w:rsidRPr="00C63A3E">
              <w:rPr>
                <w:sz w:val="20"/>
              </w:rPr>
              <w:t>or the more liberal interpretation of</w:t>
            </w:r>
            <w:r w:rsidRPr="00C63A3E">
              <w:rPr>
                <w:i/>
                <w:sz w:val="20"/>
              </w:rPr>
              <w:t xml:space="preserve"> Guindon v. Canada?</w:t>
            </w:r>
          </w:p>
        </w:tc>
      </w:tr>
      <w:tr w:rsidR="00E7152E" w:rsidRPr="00C63A3E" w:rsidTr="00E95A6A">
        <w:tc>
          <w:tcPr>
            <w:tcW w:w="5000" w:type="pct"/>
            <w:gridSpan w:val="4"/>
          </w:tcPr>
          <w:p w:rsidR="00E7152E" w:rsidRPr="00C63A3E" w:rsidRDefault="00E7152E" w:rsidP="00E7152E">
            <w:pPr>
              <w:jc w:val="both"/>
              <w:rPr>
                <w:sz w:val="20"/>
              </w:rPr>
            </w:pPr>
          </w:p>
        </w:tc>
      </w:tr>
      <w:tr w:rsidR="00E7152E" w:rsidRPr="00C63A3E" w:rsidTr="00E95A6A">
        <w:tc>
          <w:tcPr>
            <w:tcW w:w="5000" w:type="pct"/>
            <w:gridSpan w:val="4"/>
          </w:tcPr>
          <w:p w:rsidR="00E7152E" w:rsidRPr="00C63A3E" w:rsidRDefault="00E7152E" w:rsidP="00E7152E">
            <w:pPr>
              <w:jc w:val="both"/>
              <w:rPr>
                <w:sz w:val="20"/>
              </w:rPr>
            </w:pPr>
            <w:r w:rsidRPr="00C63A3E">
              <w:rPr>
                <w:sz w:val="20"/>
              </w:rPr>
              <w:t>The parties were married in 1983 after a long relationship and for most of their marriage, they lived on the respondent’s parents’ farm. The farm’s assets had all been transferred into a farm corporation to facilitate a future intergenerational transfer of property. All shares at the time were owned by the respondent’s father. Both parties worked long hours on the farm for the parents, with little remuneration, on the understanding that the parties would one day own the farm together. The parties raised their three children on the farm but struggled financially, forcing both to find work off the farm to make ends meet. The farm itself also was in financial difficulty for most of the marriage and at one point was forced to enter into a farm lease-back arrangement. At the end of the lease</w:t>
            </w:r>
            <w:r w:rsidRPr="00C63A3E">
              <w:rPr>
                <w:sz w:val="20"/>
              </w:rPr>
              <w:noBreakHyphen/>
              <w:t xml:space="preserve">back, the assets of the farm were rolled into a farming corporation in which the parties had 55 per cent of the shares and the </w:t>
            </w:r>
            <w:r w:rsidRPr="00C63A3E">
              <w:rPr>
                <w:sz w:val="20"/>
              </w:rPr>
              <w:lastRenderedPageBreak/>
              <w:t>parents had the remaining 45 per cent. In or about 2002, the parents wished to transfer their remaining shares to the parties for an amount that would allow them to retire comfortably.</w:t>
            </w:r>
          </w:p>
          <w:p w:rsidR="00E7152E" w:rsidRPr="00C63A3E" w:rsidRDefault="00E7152E" w:rsidP="00E7152E">
            <w:pPr>
              <w:jc w:val="both"/>
              <w:rPr>
                <w:sz w:val="20"/>
              </w:rPr>
            </w:pPr>
          </w:p>
          <w:p w:rsidR="00E7152E" w:rsidRPr="00C63A3E" w:rsidRDefault="00E7152E" w:rsidP="00E7152E">
            <w:pPr>
              <w:jc w:val="both"/>
              <w:rPr>
                <w:sz w:val="20"/>
              </w:rPr>
            </w:pPr>
            <w:r w:rsidRPr="00C63A3E">
              <w:rPr>
                <w:sz w:val="20"/>
              </w:rPr>
              <w:t>Negotiations were conducted over the course of many years. The parties separated in 2011 but continued to operate the farm together, while still maintaining outside employment. Eventually, it was the applicant who both resided on the farm and kept it running. She struck a deal with the respondent’s parents to purchase their shares in the farm corporation at less than fair market value and brought an action for a division of family property and spousal support. Both parties sought an unequal division of family property. The trial judge held that all of the shares in the farm corporation were family property, subject to an equal division, with an amount deducted from the respondent’s share for dissipation of property. The applicant was awarded lump sum spousal support. This decision was upheld on appeal.</w:t>
            </w:r>
          </w:p>
          <w:p w:rsidR="00E7152E" w:rsidRPr="00C63A3E" w:rsidRDefault="00E7152E" w:rsidP="00E7152E">
            <w:pPr>
              <w:jc w:val="both"/>
              <w:rPr>
                <w:sz w:val="20"/>
              </w:rPr>
            </w:pPr>
          </w:p>
        </w:tc>
      </w:tr>
      <w:tr w:rsidR="00E7152E" w:rsidRPr="00C63A3E" w:rsidTr="00E95A6A">
        <w:tc>
          <w:tcPr>
            <w:tcW w:w="2427" w:type="pct"/>
            <w:gridSpan w:val="2"/>
          </w:tcPr>
          <w:p w:rsidR="00E7152E" w:rsidRPr="00C63A3E" w:rsidRDefault="00E7152E" w:rsidP="00E7152E">
            <w:pPr>
              <w:jc w:val="both"/>
              <w:rPr>
                <w:sz w:val="20"/>
              </w:rPr>
            </w:pPr>
            <w:r w:rsidRPr="00C63A3E">
              <w:rPr>
                <w:sz w:val="20"/>
              </w:rPr>
              <w:lastRenderedPageBreak/>
              <w:t>January 9, 2019</w:t>
            </w:r>
          </w:p>
          <w:p w:rsidR="00E7152E" w:rsidRPr="00C63A3E" w:rsidRDefault="00E7152E" w:rsidP="00E7152E">
            <w:pPr>
              <w:jc w:val="both"/>
              <w:rPr>
                <w:sz w:val="20"/>
              </w:rPr>
            </w:pPr>
            <w:r w:rsidRPr="00C63A3E">
              <w:rPr>
                <w:sz w:val="20"/>
              </w:rPr>
              <w:t>Court of Queen’s Bench of Saskatchewan</w:t>
            </w:r>
          </w:p>
          <w:p w:rsidR="00E7152E" w:rsidRPr="00C63A3E" w:rsidRDefault="00E7152E" w:rsidP="00E7152E">
            <w:pPr>
              <w:jc w:val="both"/>
              <w:rPr>
                <w:sz w:val="20"/>
              </w:rPr>
            </w:pPr>
            <w:r w:rsidRPr="00C63A3E">
              <w:rPr>
                <w:sz w:val="20"/>
              </w:rPr>
              <w:t>(Goebel J.)</w:t>
            </w:r>
          </w:p>
          <w:p w:rsidR="00E7152E" w:rsidRPr="00C63A3E" w:rsidRDefault="00DA6B23" w:rsidP="00E7152E">
            <w:pPr>
              <w:jc w:val="both"/>
              <w:rPr>
                <w:sz w:val="20"/>
              </w:rPr>
            </w:pPr>
            <w:hyperlink r:id="rId28" w:history="1">
              <w:r w:rsidR="00E7152E" w:rsidRPr="00C63A3E">
                <w:rPr>
                  <w:rStyle w:val="Hyperlink"/>
                  <w:sz w:val="20"/>
                </w:rPr>
                <w:t>2019 SKQB 7</w:t>
              </w:r>
            </w:hyperlink>
          </w:p>
          <w:p w:rsidR="00E7152E" w:rsidRPr="00C63A3E" w:rsidRDefault="00E7152E" w:rsidP="00E7152E">
            <w:pPr>
              <w:jc w:val="both"/>
              <w:rPr>
                <w:sz w:val="20"/>
              </w:rPr>
            </w:pPr>
          </w:p>
        </w:tc>
        <w:tc>
          <w:tcPr>
            <w:tcW w:w="243" w:type="pct"/>
          </w:tcPr>
          <w:p w:rsidR="00E7152E" w:rsidRPr="00C63A3E" w:rsidRDefault="00E7152E" w:rsidP="00E7152E">
            <w:pPr>
              <w:jc w:val="both"/>
              <w:rPr>
                <w:sz w:val="20"/>
              </w:rPr>
            </w:pPr>
          </w:p>
        </w:tc>
        <w:tc>
          <w:tcPr>
            <w:tcW w:w="2330" w:type="pct"/>
          </w:tcPr>
          <w:p w:rsidR="00E7152E" w:rsidRPr="00C63A3E" w:rsidRDefault="00E7152E" w:rsidP="00E7152E">
            <w:pPr>
              <w:jc w:val="both"/>
              <w:rPr>
                <w:sz w:val="20"/>
              </w:rPr>
            </w:pPr>
            <w:r w:rsidRPr="00C63A3E">
              <w:rPr>
                <w:sz w:val="20"/>
              </w:rPr>
              <w:t>Order for equal division of family property including shares in farm corporation. Lump sum spousal support awarded to applicant</w:t>
            </w:r>
          </w:p>
          <w:p w:rsidR="00E7152E" w:rsidRPr="00C63A3E" w:rsidRDefault="00E7152E" w:rsidP="00E7152E">
            <w:pPr>
              <w:jc w:val="both"/>
              <w:rPr>
                <w:sz w:val="20"/>
              </w:rPr>
            </w:pPr>
          </w:p>
          <w:p w:rsidR="00E7152E" w:rsidRPr="00C63A3E" w:rsidRDefault="00E7152E" w:rsidP="00E7152E">
            <w:pPr>
              <w:jc w:val="both"/>
              <w:rPr>
                <w:sz w:val="20"/>
              </w:rPr>
            </w:pPr>
          </w:p>
        </w:tc>
      </w:tr>
      <w:tr w:rsidR="00E7152E" w:rsidRPr="00C63A3E" w:rsidTr="00E95A6A">
        <w:tc>
          <w:tcPr>
            <w:tcW w:w="2427" w:type="pct"/>
            <w:gridSpan w:val="2"/>
          </w:tcPr>
          <w:p w:rsidR="00E7152E" w:rsidRPr="00C63A3E" w:rsidRDefault="00E7152E" w:rsidP="00E7152E">
            <w:pPr>
              <w:jc w:val="both"/>
              <w:rPr>
                <w:sz w:val="20"/>
              </w:rPr>
            </w:pPr>
            <w:r w:rsidRPr="00C63A3E">
              <w:rPr>
                <w:sz w:val="20"/>
              </w:rPr>
              <w:t>April 6, 2021</w:t>
            </w:r>
          </w:p>
          <w:p w:rsidR="00E7152E" w:rsidRPr="00C63A3E" w:rsidRDefault="00E7152E" w:rsidP="00E7152E">
            <w:pPr>
              <w:jc w:val="both"/>
              <w:rPr>
                <w:sz w:val="20"/>
              </w:rPr>
            </w:pPr>
            <w:r w:rsidRPr="00C63A3E">
              <w:rPr>
                <w:sz w:val="20"/>
              </w:rPr>
              <w:t>Court of Appeal for Saskatchewan</w:t>
            </w:r>
          </w:p>
          <w:p w:rsidR="00E7152E" w:rsidRPr="00C63A3E" w:rsidRDefault="00E7152E" w:rsidP="00E7152E">
            <w:pPr>
              <w:jc w:val="both"/>
              <w:rPr>
                <w:sz w:val="20"/>
              </w:rPr>
            </w:pPr>
            <w:r w:rsidRPr="00C63A3E">
              <w:rPr>
                <w:sz w:val="20"/>
              </w:rPr>
              <w:t>(Ryan-Froslie, Schwann and Leurer JJ.A.)</w:t>
            </w:r>
          </w:p>
          <w:p w:rsidR="00E7152E" w:rsidRPr="00C63A3E" w:rsidRDefault="00DA6B23" w:rsidP="00E7152E">
            <w:pPr>
              <w:jc w:val="both"/>
              <w:rPr>
                <w:sz w:val="20"/>
              </w:rPr>
            </w:pPr>
            <w:hyperlink r:id="rId29" w:history="1">
              <w:r w:rsidR="00E7152E" w:rsidRPr="00C63A3E">
                <w:rPr>
                  <w:rStyle w:val="Hyperlink"/>
                  <w:sz w:val="20"/>
                </w:rPr>
                <w:t>2021 SKCA 52</w:t>
              </w:r>
            </w:hyperlink>
          </w:p>
          <w:p w:rsidR="00E7152E" w:rsidRPr="00C63A3E" w:rsidRDefault="00E7152E" w:rsidP="00E7152E">
            <w:pPr>
              <w:jc w:val="both"/>
              <w:rPr>
                <w:sz w:val="20"/>
              </w:rPr>
            </w:pPr>
          </w:p>
        </w:tc>
        <w:tc>
          <w:tcPr>
            <w:tcW w:w="243" w:type="pct"/>
          </w:tcPr>
          <w:p w:rsidR="00E7152E" w:rsidRPr="00C63A3E" w:rsidRDefault="00E7152E" w:rsidP="00E7152E">
            <w:pPr>
              <w:jc w:val="both"/>
              <w:rPr>
                <w:sz w:val="20"/>
              </w:rPr>
            </w:pPr>
          </w:p>
        </w:tc>
        <w:tc>
          <w:tcPr>
            <w:tcW w:w="2330" w:type="pct"/>
          </w:tcPr>
          <w:p w:rsidR="00E7152E" w:rsidRPr="00C63A3E" w:rsidRDefault="00E7152E" w:rsidP="00E7152E">
            <w:pPr>
              <w:jc w:val="both"/>
              <w:rPr>
                <w:sz w:val="20"/>
              </w:rPr>
            </w:pPr>
            <w:r w:rsidRPr="00C63A3E">
              <w:rPr>
                <w:sz w:val="20"/>
              </w:rPr>
              <w:t>Applicant’s appeal dismissed</w:t>
            </w:r>
          </w:p>
          <w:p w:rsidR="00E7152E" w:rsidRPr="00C63A3E" w:rsidRDefault="00E7152E" w:rsidP="00E7152E">
            <w:pPr>
              <w:jc w:val="both"/>
              <w:rPr>
                <w:sz w:val="20"/>
              </w:rPr>
            </w:pPr>
          </w:p>
        </w:tc>
      </w:tr>
      <w:tr w:rsidR="00E7152E" w:rsidRPr="00C63A3E" w:rsidTr="00E95A6A">
        <w:tc>
          <w:tcPr>
            <w:tcW w:w="2427" w:type="pct"/>
            <w:gridSpan w:val="2"/>
          </w:tcPr>
          <w:p w:rsidR="00E7152E" w:rsidRPr="00C63A3E" w:rsidRDefault="00E7152E" w:rsidP="00E7152E">
            <w:pPr>
              <w:jc w:val="both"/>
              <w:rPr>
                <w:sz w:val="20"/>
              </w:rPr>
            </w:pPr>
            <w:r w:rsidRPr="00C63A3E">
              <w:rPr>
                <w:sz w:val="20"/>
              </w:rPr>
              <w:t>June 4, 2021</w:t>
            </w:r>
          </w:p>
          <w:p w:rsidR="00E7152E" w:rsidRPr="00C63A3E" w:rsidRDefault="00E7152E" w:rsidP="00E7152E">
            <w:pPr>
              <w:jc w:val="both"/>
              <w:rPr>
                <w:sz w:val="20"/>
              </w:rPr>
            </w:pPr>
            <w:r w:rsidRPr="00C63A3E">
              <w:rPr>
                <w:sz w:val="20"/>
              </w:rPr>
              <w:t>Supreme Court of Canada</w:t>
            </w:r>
          </w:p>
        </w:tc>
        <w:tc>
          <w:tcPr>
            <w:tcW w:w="243" w:type="pct"/>
          </w:tcPr>
          <w:p w:rsidR="00E7152E" w:rsidRPr="00C63A3E" w:rsidRDefault="00E7152E" w:rsidP="00E7152E">
            <w:pPr>
              <w:jc w:val="both"/>
              <w:rPr>
                <w:sz w:val="20"/>
              </w:rPr>
            </w:pPr>
          </w:p>
        </w:tc>
        <w:tc>
          <w:tcPr>
            <w:tcW w:w="2330" w:type="pct"/>
          </w:tcPr>
          <w:p w:rsidR="00E7152E" w:rsidRPr="00C63A3E" w:rsidRDefault="00E7152E" w:rsidP="00E7152E">
            <w:pPr>
              <w:jc w:val="both"/>
              <w:rPr>
                <w:sz w:val="20"/>
              </w:rPr>
            </w:pPr>
            <w:r w:rsidRPr="00C63A3E">
              <w:rPr>
                <w:sz w:val="20"/>
              </w:rPr>
              <w:t>Application for leave to appeal filed</w:t>
            </w:r>
          </w:p>
          <w:p w:rsidR="00E7152E" w:rsidRPr="00C63A3E" w:rsidRDefault="00E7152E" w:rsidP="00E7152E">
            <w:pPr>
              <w:jc w:val="both"/>
              <w:rPr>
                <w:sz w:val="20"/>
              </w:rPr>
            </w:pPr>
          </w:p>
        </w:tc>
      </w:tr>
    </w:tbl>
    <w:p w:rsidR="00E7152E" w:rsidRPr="00C63A3E" w:rsidRDefault="00E7152E" w:rsidP="00E7152E">
      <w:pPr>
        <w:jc w:val="both"/>
        <w:rPr>
          <w:sz w:val="20"/>
        </w:rPr>
      </w:pPr>
    </w:p>
    <w:p w:rsidR="00E7152E" w:rsidRPr="00C63A3E" w:rsidRDefault="00DA6B23" w:rsidP="00E7152E">
      <w:pPr>
        <w:jc w:val="both"/>
        <w:rPr>
          <w:sz w:val="20"/>
        </w:rPr>
      </w:pPr>
      <w:r>
        <w:rPr>
          <w:sz w:val="20"/>
        </w:rPr>
        <w:pict>
          <v:rect id="_x0000_i1035" style="width:2in;height:1pt" o:hrpct="0" o:hralign="center" o:hrstd="t" o:hrnoshade="t" o:hr="t" fillcolor="black [3213]" stroked="f"/>
        </w:pict>
      </w:r>
    </w:p>
    <w:p w:rsidR="00E7152E" w:rsidRPr="00C63A3E" w:rsidRDefault="00E7152E" w:rsidP="00E7152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7152E" w:rsidRPr="00C63A3E" w:rsidTr="00E95A6A">
        <w:tc>
          <w:tcPr>
            <w:tcW w:w="543" w:type="pct"/>
          </w:tcPr>
          <w:p w:rsidR="00E7152E" w:rsidRPr="00C63A3E" w:rsidRDefault="00E7152E" w:rsidP="00E7152E">
            <w:pPr>
              <w:jc w:val="both"/>
              <w:rPr>
                <w:sz w:val="20"/>
              </w:rPr>
            </w:pPr>
            <w:r w:rsidRPr="00C63A3E">
              <w:rPr>
                <w:rStyle w:val="SCCFileNumberChar"/>
                <w:sz w:val="20"/>
                <w:szCs w:val="20"/>
              </w:rPr>
              <w:t>39704</w:t>
            </w:r>
          </w:p>
        </w:tc>
        <w:tc>
          <w:tcPr>
            <w:tcW w:w="4457" w:type="pct"/>
            <w:gridSpan w:val="3"/>
          </w:tcPr>
          <w:p w:rsidR="00E7152E" w:rsidRPr="00C63A3E" w:rsidRDefault="00E7152E" w:rsidP="00E7152E">
            <w:pPr>
              <w:pStyle w:val="SCCLsocParty"/>
              <w:jc w:val="both"/>
              <w:rPr>
                <w:b/>
                <w:sz w:val="20"/>
                <w:szCs w:val="20"/>
                <w:lang w:val="en-US"/>
              </w:rPr>
            </w:pPr>
            <w:r w:rsidRPr="00C63A3E">
              <w:rPr>
                <w:b/>
                <w:sz w:val="20"/>
                <w:szCs w:val="20"/>
                <w:lang w:val="en-US"/>
              </w:rPr>
              <w:t>Janice Martha Carruthers c. Robert Brent Carruthers</w:t>
            </w:r>
          </w:p>
          <w:p w:rsidR="00E7152E" w:rsidRPr="00C63A3E" w:rsidRDefault="00E7152E" w:rsidP="00E7152E">
            <w:pPr>
              <w:jc w:val="both"/>
              <w:rPr>
                <w:sz w:val="20"/>
              </w:rPr>
            </w:pPr>
            <w:r w:rsidRPr="00C63A3E">
              <w:rPr>
                <w:sz w:val="20"/>
              </w:rPr>
              <w:t>(Sask.) (Civile) (Autorisation)</w:t>
            </w:r>
          </w:p>
        </w:tc>
      </w:tr>
      <w:tr w:rsidR="00E7152E" w:rsidRPr="00DA6B23" w:rsidTr="00E95A6A">
        <w:tc>
          <w:tcPr>
            <w:tcW w:w="5000" w:type="pct"/>
            <w:gridSpan w:val="4"/>
          </w:tcPr>
          <w:p w:rsidR="00E7152E" w:rsidRPr="00C63A3E" w:rsidRDefault="00E7152E" w:rsidP="00E7152E">
            <w:pPr>
              <w:ind w:right="90"/>
              <w:jc w:val="both"/>
              <w:rPr>
                <w:sz w:val="20"/>
                <w:lang w:val="fr-CA"/>
              </w:rPr>
            </w:pPr>
            <w:r w:rsidRPr="00C63A3E">
              <w:rPr>
                <w:sz w:val="20"/>
                <w:lang w:val="fr-CA"/>
              </w:rPr>
              <w:t>Droit de la famille — Biens familiaux — Corporation agricole — Les deux parties sollicitent un partage inégal des biens familiaux composés principalement des actions de la corporation agricole — La doctrine de la préclusion propriétale s’applique</w:t>
            </w:r>
            <w:r w:rsidRPr="00C63A3E">
              <w:rPr>
                <w:sz w:val="20"/>
                <w:lang w:val="fr-CA"/>
              </w:rPr>
              <w:noBreakHyphen/>
              <w:t>t</w:t>
            </w:r>
            <w:r w:rsidRPr="00C63A3E">
              <w:rPr>
                <w:sz w:val="20"/>
                <w:lang w:val="fr-CA"/>
              </w:rPr>
              <w:noBreakHyphen/>
              <w:t>elle aux biens personnels au Canada? — Si la doctrine de la préclusion propriétale s’applique aux biens personnels au Canada, quels sont les éléments à prendre en considération dans une réclamation les concernant? — Les cours d’appel devraient</w:t>
            </w:r>
            <w:r w:rsidRPr="00C63A3E">
              <w:rPr>
                <w:sz w:val="20"/>
                <w:lang w:val="fr-CA"/>
              </w:rPr>
              <w:noBreakHyphen/>
              <w:t xml:space="preserve">elles adopter l’approche restrictive des arguments en appel, comme cela est énoncé dans </w:t>
            </w:r>
            <w:r w:rsidRPr="00C63A3E">
              <w:rPr>
                <w:i/>
                <w:sz w:val="20"/>
                <w:lang w:val="fr-CA"/>
              </w:rPr>
              <w:t>Perka</w:t>
            </w:r>
            <w:r w:rsidRPr="00C63A3E">
              <w:rPr>
                <w:sz w:val="20"/>
                <w:lang w:val="fr-CA"/>
              </w:rPr>
              <w:t xml:space="preserve"> ou plutôt l’interprétation plus libérale de </w:t>
            </w:r>
            <w:r w:rsidRPr="00C63A3E">
              <w:rPr>
                <w:i/>
                <w:sz w:val="20"/>
                <w:lang w:val="fr-CA"/>
              </w:rPr>
              <w:t>Guindon c. Canada?</w:t>
            </w:r>
          </w:p>
        </w:tc>
      </w:tr>
      <w:tr w:rsidR="00E7152E" w:rsidRPr="00DA6B23" w:rsidTr="00E95A6A">
        <w:tc>
          <w:tcPr>
            <w:tcW w:w="5000" w:type="pct"/>
            <w:gridSpan w:val="4"/>
          </w:tcPr>
          <w:p w:rsidR="00E7152E" w:rsidRPr="00C63A3E" w:rsidRDefault="00E7152E" w:rsidP="00E7152E">
            <w:pPr>
              <w:jc w:val="both"/>
              <w:rPr>
                <w:sz w:val="20"/>
                <w:lang w:val="fr-CA"/>
              </w:rPr>
            </w:pPr>
          </w:p>
        </w:tc>
      </w:tr>
      <w:tr w:rsidR="00E7152E" w:rsidRPr="00C63A3E" w:rsidTr="00E95A6A">
        <w:tc>
          <w:tcPr>
            <w:tcW w:w="5000" w:type="pct"/>
            <w:gridSpan w:val="4"/>
          </w:tcPr>
          <w:p w:rsidR="00E7152E" w:rsidRPr="00C63A3E" w:rsidRDefault="00E7152E" w:rsidP="00E7152E">
            <w:pPr>
              <w:jc w:val="both"/>
              <w:rPr>
                <w:sz w:val="20"/>
                <w:lang w:val="fr-CA"/>
              </w:rPr>
            </w:pPr>
            <w:r w:rsidRPr="00C63A3E">
              <w:rPr>
                <w:sz w:val="20"/>
                <w:lang w:val="fr-CA"/>
              </w:rPr>
              <w:t>Les parties se sont mariées en 1983, après une longue relation conjugale et pour la plupart de la durée de leur mariage, elles ont vécu à la ferme des parents du défendeur. Les biens agricoles avaient tous été transférés à une corporation agricole afin de faciliter un futur transfert des biens entre générations. À l’époque, le père du défendeur possédait toutes les actions. Les deux parties travaillaient de longues heures à la ferme pour le compte des parents, en contrepartie d’une maigre rémunération, étant entendu qu’un jour les parties posséderaient conjointement la ferme. Les parties ont élevé leurs trois enfants à la ferme, mais avaient des difficultés financières qui les ont obligés toutes les deux à trouver du travail à l’extérieur de la ferme afin de joindre les deux bouts. La ferme en elle</w:t>
            </w:r>
            <w:r w:rsidRPr="00C63A3E">
              <w:rPr>
                <w:sz w:val="20"/>
                <w:lang w:val="fr-CA"/>
              </w:rPr>
              <w:noBreakHyphen/>
              <w:t>même éprouvait aussi des difficultés financières pendant la plupart de la durée du mariage, et, à un moment donné, il a fallu conclure un contrat de cession</w:t>
            </w:r>
            <w:r w:rsidRPr="00C63A3E">
              <w:rPr>
                <w:sz w:val="20"/>
                <w:lang w:val="fr-CA"/>
              </w:rPr>
              <w:noBreakHyphen/>
              <w:t>bail. À la fin de la cession</w:t>
            </w:r>
            <w:r w:rsidRPr="00C63A3E">
              <w:rPr>
                <w:sz w:val="20"/>
                <w:lang w:val="fr-CA"/>
              </w:rPr>
              <w:noBreakHyphen/>
              <w:t>bail, les biens de la ferme ont été incorporés dans une corporation agricole dans laquelle les parties possédaient 55 p. cent des actions et les parents possédaient les 45 p. cent d’actions restantes. En 2002 ou vers cette date, les parents ont voulu transférer leurs actions restantes aux parties en contrepartie d’un montant qui leur permettrait de vivre confortablement durant leur retraite.</w:t>
            </w:r>
          </w:p>
          <w:p w:rsidR="00E7152E" w:rsidRPr="00C63A3E" w:rsidRDefault="00E7152E" w:rsidP="00E7152E">
            <w:pPr>
              <w:jc w:val="both"/>
              <w:rPr>
                <w:sz w:val="20"/>
                <w:lang w:val="fr-CA"/>
              </w:rPr>
            </w:pPr>
          </w:p>
          <w:p w:rsidR="00E7152E" w:rsidRPr="00C63A3E" w:rsidRDefault="00E7152E" w:rsidP="00E7152E">
            <w:pPr>
              <w:jc w:val="both"/>
              <w:rPr>
                <w:sz w:val="20"/>
                <w:lang w:val="fr-CA"/>
              </w:rPr>
            </w:pPr>
            <w:r w:rsidRPr="00C63A3E">
              <w:rPr>
                <w:sz w:val="20"/>
                <w:lang w:val="fr-CA"/>
              </w:rPr>
              <w:t xml:space="preserve">Des négociations ont été menées au cours de nombreuses années. Les parties se sont séparées en 2011, mais ont continué ensemble à exploiter la ferme, tout en occupant des emplois à l’extérieur de la ferme. En définitive, c’est la demanderesse qui, à la fois résidait à la ferme, et en continuait exploitation. Elle a conclu un accord avec les parents du défendeur afin d’acheter leurs actions de la corporation agricole à un prix inférieur à leur juste valeur marchande, et a présenté une action en vue du partage des biens familiaux et de l’obtention d’une pension alimentaire. Les deux parties ont demandé un partage inégal des biens familiaux. Le juge de première instance a décidé que toutes les actions de la corporation agricole étaient des biens familiaux assujettis à un partage égalitaire, et qu’un montant serait </w:t>
            </w:r>
            <w:r w:rsidRPr="00C63A3E">
              <w:rPr>
                <w:sz w:val="20"/>
                <w:lang w:val="fr-CA"/>
              </w:rPr>
              <w:lastRenderedPageBreak/>
              <w:t>déduit de la part du défendeur pour dilapidation des biens. Une somme forfaitaire a été accordée à la demanderesse en guise de pension alimentaire. La décision a été confirmée en appel.</w:t>
            </w:r>
          </w:p>
          <w:p w:rsidR="00E7152E" w:rsidRPr="00C63A3E" w:rsidRDefault="00E7152E" w:rsidP="00E7152E">
            <w:pPr>
              <w:jc w:val="both"/>
              <w:rPr>
                <w:sz w:val="20"/>
                <w:lang w:val="fr-CA"/>
              </w:rPr>
            </w:pPr>
          </w:p>
        </w:tc>
      </w:tr>
      <w:tr w:rsidR="00E7152E" w:rsidRPr="00DA6B23" w:rsidTr="00E95A6A">
        <w:tc>
          <w:tcPr>
            <w:tcW w:w="2427" w:type="pct"/>
            <w:gridSpan w:val="2"/>
          </w:tcPr>
          <w:p w:rsidR="00E7152E" w:rsidRPr="00C63A3E" w:rsidRDefault="00E7152E" w:rsidP="00E7152E">
            <w:pPr>
              <w:jc w:val="both"/>
              <w:rPr>
                <w:sz w:val="20"/>
                <w:lang w:val="fr-CA"/>
              </w:rPr>
            </w:pPr>
            <w:r w:rsidRPr="00C63A3E">
              <w:rPr>
                <w:sz w:val="20"/>
                <w:lang w:val="fr-CA"/>
              </w:rPr>
              <w:lastRenderedPageBreak/>
              <w:t>9 janvier 2019</w:t>
            </w:r>
          </w:p>
          <w:p w:rsidR="00E7152E" w:rsidRPr="00C63A3E" w:rsidRDefault="00E7152E" w:rsidP="00E7152E">
            <w:pPr>
              <w:jc w:val="both"/>
              <w:rPr>
                <w:sz w:val="20"/>
                <w:lang w:val="fr-CA"/>
              </w:rPr>
            </w:pPr>
            <w:r w:rsidRPr="00C63A3E">
              <w:rPr>
                <w:sz w:val="20"/>
                <w:lang w:val="fr-CA"/>
              </w:rPr>
              <w:t>Cour du banc de la Reine de la Saskatchewan</w:t>
            </w:r>
          </w:p>
          <w:p w:rsidR="00E7152E" w:rsidRPr="00C63A3E" w:rsidRDefault="00E7152E" w:rsidP="00E7152E">
            <w:pPr>
              <w:jc w:val="both"/>
              <w:rPr>
                <w:sz w:val="20"/>
              </w:rPr>
            </w:pPr>
            <w:r w:rsidRPr="00C63A3E">
              <w:rPr>
                <w:sz w:val="20"/>
              </w:rPr>
              <w:t>(juge Goebel)</w:t>
            </w:r>
          </w:p>
          <w:p w:rsidR="00E7152E" w:rsidRPr="00C63A3E" w:rsidRDefault="00DA6B23" w:rsidP="00E7152E">
            <w:pPr>
              <w:jc w:val="both"/>
              <w:rPr>
                <w:sz w:val="20"/>
              </w:rPr>
            </w:pPr>
            <w:hyperlink r:id="rId30" w:history="1">
              <w:r w:rsidR="00E7152E" w:rsidRPr="00C63A3E">
                <w:rPr>
                  <w:rStyle w:val="Hyperlink"/>
                  <w:sz w:val="20"/>
                </w:rPr>
                <w:t>2019 SKQB 7</w:t>
              </w:r>
            </w:hyperlink>
          </w:p>
          <w:p w:rsidR="00E7152E" w:rsidRPr="00C63A3E" w:rsidRDefault="00E7152E" w:rsidP="00E7152E">
            <w:pPr>
              <w:jc w:val="both"/>
              <w:rPr>
                <w:sz w:val="20"/>
              </w:rPr>
            </w:pPr>
          </w:p>
        </w:tc>
        <w:tc>
          <w:tcPr>
            <w:tcW w:w="243" w:type="pct"/>
          </w:tcPr>
          <w:p w:rsidR="00E7152E" w:rsidRPr="00C63A3E" w:rsidRDefault="00E7152E" w:rsidP="00E7152E">
            <w:pPr>
              <w:jc w:val="both"/>
              <w:rPr>
                <w:sz w:val="20"/>
              </w:rPr>
            </w:pPr>
          </w:p>
        </w:tc>
        <w:tc>
          <w:tcPr>
            <w:tcW w:w="2330" w:type="pct"/>
          </w:tcPr>
          <w:p w:rsidR="00E7152E" w:rsidRPr="00C63A3E" w:rsidRDefault="00E7152E" w:rsidP="00E7152E">
            <w:pPr>
              <w:jc w:val="both"/>
              <w:rPr>
                <w:sz w:val="20"/>
                <w:lang w:val="fr-CA"/>
              </w:rPr>
            </w:pPr>
            <w:r w:rsidRPr="00C63A3E">
              <w:rPr>
                <w:sz w:val="20"/>
                <w:lang w:val="fr-CA"/>
              </w:rPr>
              <w:t xml:space="preserve">Ordonnance de partage égalitaire des biens familiaux, y compris les actions dans la corporation agricole. Somme forfaitaire accordée à la demanderesse en guise de pension alimentaire </w:t>
            </w:r>
          </w:p>
          <w:p w:rsidR="00E7152E" w:rsidRPr="00C63A3E" w:rsidRDefault="00E7152E" w:rsidP="00E7152E">
            <w:pPr>
              <w:jc w:val="both"/>
              <w:rPr>
                <w:sz w:val="20"/>
                <w:lang w:val="fr-CA"/>
              </w:rPr>
            </w:pPr>
          </w:p>
        </w:tc>
      </w:tr>
      <w:tr w:rsidR="00E7152E" w:rsidRPr="00C63A3E" w:rsidTr="00E95A6A">
        <w:tc>
          <w:tcPr>
            <w:tcW w:w="2427" w:type="pct"/>
            <w:gridSpan w:val="2"/>
          </w:tcPr>
          <w:p w:rsidR="00E7152E" w:rsidRPr="00C63A3E" w:rsidRDefault="00E7152E" w:rsidP="00E7152E">
            <w:pPr>
              <w:jc w:val="both"/>
              <w:rPr>
                <w:sz w:val="20"/>
                <w:lang w:val="fr-CA"/>
              </w:rPr>
            </w:pPr>
            <w:r w:rsidRPr="00C63A3E">
              <w:rPr>
                <w:sz w:val="20"/>
                <w:lang w:val="fr-CA"/>
              </w:rPr>
              <w:t>6 avril 2021</w:t>
            </w:r>
          </w:p>
          <w:p w:rsidR="00E7152E" w:rsidRPr="00C63A3E" w:rsidRDefault="00E7152E" w:rsidP="00E7152E">
            <w:pPr>
              <w:jc w:val="both"/>
              <w:rPr>
                <w:sz w:val="20"/>
                <w:lang w:val="fr-CA"/>
              </w:rPr>
            </w:pPr>
            <w:r w:rsidRPr="00C63A3E">
              <w:rPr>
                <w:sz w:val="20"/>
                <w:lang w:val="fr-CA"/>
              </w:rPr>
              <w:t>Cour d’appel de la Saskatchewan</w:t>
            </w:r>
          </w:p>
          <w:p w:rsidR="00E7152E" w:rsidRPr="00C63A3E" w:rsidRDefault="00E7152E" w:rsidP="00E7152E">
            <w:pPr>
              <w:jc w:val="both"/>
              <w:rPr>
                <w:sz w:val="20"/>
                <w:lang w:val="fr-CA"/>
              </w:rPr>
            </w:pPr>
            <w:r w:rsidRPr="00C63A3E">
              <w:rPr>
                <w:sz w:val="20"/>
                <w:lang w:val="fr-CA"/>
              </w:rPr>
              <w:t>(juges Ryan</w:t>
            </w:r>
            <w:r w:rsidRPr="00C63A3E">
              <w:rPr>
                <w:sz w:val="20"/>
                <w:lang w:val="fr-CA"/>
              </w:rPr>
              <w:noBreakHyphen/>
              <w:t>Froslie, Schwann et Leurer)</w:t>
            </w:r>
          </w:p>
          <w:p w:rsidR="00E7152E" w:rsidRPr="00C63A3E" w:rsidRDefault="00DA6B23" w:rsidP="00E7152E">
            <w:pPr>
              <w:jc w:val="both"/>
              <w:rPr>
                <w:sz w:val="20"/>
              </w:rPr>
            </w:pPr>
            <w:hyperlink r:id="rId31" w:history="1">
              <w:r w:rsidR="00E7152E" w:rsidRPr="00C63A3E">
                <w:rPr>
                  <w:rStyle w:val="Hyperlink"/>
                  <w:sz w:val="20"/>
                </w:rPr>
                <w:t>2021 SKCA 52</w:t>
              </w:r>
            </w:hyperlink>
          </w:p>
          <w:p w:rsidR="00E7152E" w:rsidRPr="00C63A3E" w:rsidRDefault="00E7152E" w:rsidP="00E7152E">
            <w:pPr>
              <w:jc w:val="both"/>
              <w:rPr>
                <w:sz w:val="20"/>
              </w:rPr>
            </w:pPr>
          </w:p>
        </w:tc>
        <w:tc>
          <w:tcPr>
            <w:tcW w:w="243" w:type="pct"/>
          </w:tcPr>
          <w:p w:rsidR="00E7152E" w:rsidRPr="00C63A3E" w:rsidRDefault="00E7152E" w:rsidP="00E7152E">
            <w:pPr>
              <w:jc w:val="both"/>
              <w:rPr>
                <w:sz w:val="20"/>
              </w:rPr>
            </w:pPr>
          </w:p>
        </w:tc>
        <w:tc>
          <w:tcPr>
            <w:tcW w:w="2330" w:type="pct"/>
          </w:tcPr>
          <w:p w:rsidR="00E7152E" w:rsidRPr="00C63A3E" w:rsidRDefault="00E7152E" w:rsidP="00E7152E">
            <w:pPr>
              <w:jc w:val="both"/>
              <w:rPr>
                <w:sz w:val="20"/>
                <w:lang w:val="fr-CA"/>
              </w:rPr>
            </w:pPr>
            <w:r w:rsidRPr="00C63A3E">
              <w:rPr>
                <w:sz w:val="20"/>
                <w:lang w:val="fr-CA"/>
              </w:rPr>
              <w:t xml:space="preserve">Appel de la demanderesse rejeté </w:t>
            </w:r>
          </w:p>
          <w:p w:rsidR="00E7152E" w:rsidRPr="00C63A3E" w:rsidRDefault="00E7152E" w:rsidP="00E7152E">
            <w:pPr>
              <w:jc w:val="both"/>
              <w:rPr>
                <w:sz w:val="20"/>
                <w:lang w:val="fr-CA"/>
              </w:rPr>
            </w:pPr>
          </w:p>
        </w:tc>
      </w:tr>
      <w:tr w:rsidR="00E7152E" w:rsidRPr="00C63A3E" w:rsidTr="00E95A6A">
        <w:tc>
          <w:tcPr>
            <w:tcW w:w="2427" w:type="pct"/>
            <w:gridSpan w:val="2"/>
          </w:tcPr>
          <w:p w:rsidR="00E7152E" w:rsidRPr="00C63A3E" w:rsidRDefault="00E7152E" w:rsidP="00E7152E">
            <w:pPr>
              <w:jc w:val="both"/>
              <w:rPr>
                <w:sz w:val="20"/>
                <w:lang w:val="fr-CA"/>
              </w:rPr>
            </w:pPr>
            <w:r w:rsidRPr="00C63A3E">
              <w:rPr>
                <w:sz w:val="20"/>
                <w:lang w:val="fr-CA"/>
              </w:rPr>
              <w:t>4 juin 2021</w:t>
            </w:r>
          </w:p>
          <w:p w:rsidR="00E7152E" w:rsidRPr="00C63A3E" w:rsidRDefault="00E7152E" w:rsidP="00E7152E">
            <w:pPr>
              <w:jc w:val="both"/>
              <w:rPr>
                <w:sz w:val="20"/>
                <w:lang w:val="fr-CA"/>
              </w:rPr>
            </w:pPr>
            <w:r w:rsidRPr="00C63A3E">
              <w:rPr>
                <w:sz w:val="20"/>
                <w:lang w:val="fr-CA"/>
              </w:rPr>
              <w:t>Cour suprême du Canada</w:t>
            </w:r>
          </w:p>
        </w:tc>
        <w:tc>
          <w:tcPr>
            <w:tcW w:w="243" w:type="pct"/>
          </w:tcPr>
          <w:p w:rsidR="00E7152E" w:rsidRPr="00C63A3E" w:rsidRDefault="00E7152E" w:rsidP="00E7152E">
            <w:pPr>
              <w:jc w:val="both"/>
              <w:rPr>
                <w:sz w:val="20"/>
                <w:lang w:val="fr-CA"/>
              </w:rPr>
            </w:pPr>
          </w:p>
        </w:tc>
        <w:tc>
          <w:tcPr>
            <w:tcW w:w="2330" w:type="pct"/>
          </w:tcPr>
          <w:p w:rsidR="00E7152E" w:rsidRPr="00C63A3E" w:rsidRDefault="00E7152E" w:rsidP="00E7152E">
            <w:pPr>
              <w:jc w:val="both"/>
              <w:rPr>
                <w:sz w:val="20"/>
              </w:rPr>
            </w:pPr>
            <w:r w:rsidRPr="00C63A3E">
              <w:rPr>
                <w:sz w:val="20"/>
              </w:rPr>
              <w:t xml:space="preserve">Demande d’autorisation d’appel déposée </w:t>
            </w:r>
          </w:p>
          <w:p w:rsidR="00E7152E" w:rsidRPr="00C63A3E" w:rsidRDefault="00E7152E" w:rsidP="00E7152E">
            <w:pPr>
              <w:jc w:val="both"/>
              <w:rPr>
                <w:sz w:val="20"/>
              </w:rPr>
            </w:pPr>
          </w:p>
        </w:tc>
      </w:tr>
    </w:tbl>
    <w:p w:rsidR="00E7152E" w:rsidRPr="00C63A3E" w:rsidRDefault="00E7152E" w:rsidP="00E7152E">
      <w:pPr>
        <w:jc w:val="both"/>
        <w:rPr>
          <w:sz w:val="20"/>
        </w:rPr>
      </w:pPr>
    </w:p>
    <w:p w:rsidR="00E7152E" w:rsidRPr="00C63A3E" w:rsidRDefault="00DA6B23" w:rsidP="00E7152E">
      <w:pPr>
        <w:jc w:val="both"/>
        <w:rPr>
          <w:sz w:val="20"/>
        </w:rPr>
      </w:pPr>
      <w:r>
        <w:rPr>
          <w:sz w:val="20"/>
        </w:rPr>
        <w:pict>
          <v:rect id="_x0000_i1036" style="width:2in;height:1pt" o:hrpct="0" o:hralign="center" o:hrstd="t" o:hrnoshade="t" o:hr="t" fillcolor="black [3213]" stroked="f"/>
        </w:pict>
      </w:r>
    </w:p>
    <w:p w:rsidR="00387DAF" w:rsidRPr="00C63A3E" w:rsidRDefault="00387DAF" w:rsidP="00E7152E">
      <w:pPr>
        <w:widowControl w:val="0"/>
        <w:tabs>
          <w:tab w:val="left" w:pos="3840"/>
        </w:tabs>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7152E" w:rsidRPr="00C63A3E" w:rsidTr="00E95A6A">
        <w:tc>
          <w:tcPr>
            <w:tcW w:w="543" w:type="pct"/>
          </w:tcPr>
          <w:p w:rsidR="00E7152E" w:rsidRPr="00C63A3E" w:rsidRDefault="00E7152E" w:rsidP="00E7152E">
            <w:pPr>
              <w:jc w:val="both"/>
              <w:rPr>
                <w:sz w:val="20"/>
              </w:rPr>
            </w:pPr>
            <w:r w:rsidRPr="00C63A3E">
              <w:rPr>
                <w:rStyle w:val="SCCFileNumberChar"/>
                <w:sz w:val="20"/>
                <w:szCs w:val="20"/>
              </w:rPr>
              <w:t>39831</w:t>
            </w:r>
          </w:p>
        </w:tc>
        <w:tc>
          <w:tcPr>
            <w:tcW w:w="4457" w:type="pct"/>
            <w:gridSpan w:val="3"/>
          </w:tcPr>
          <w:p w:rsidR="00E7152E" w:rsidRPr="00C63A3E" w:rsidRDefault="00E7152E" w:rsidP="00E7152E">
            <w:pPr>
              <w:pStyle w:val="SCCLsocParty"/>
              <w:jc w:val="both"/>
              <w:rPr>
                <w:b/>
                <w:sz w:val="20"/>
                <w:szCs w:val="20"/>
                <w:lang w:val="en-US"/>
              </w:rPr>
            </w:pPr>
            <w:r w:rsidRPr="00C63A3E">
              <w:rPr>
                <w:b/>
                <w:sz w:val="20"/>
                <w:szCs w:val="20"/>
                <w:lang w:val="en-US"/>
              </w:rPr>
              <w:t>BSAR (Eglinton) LP v. Harvey Kalles Realty Inc.</w:t>
            </w:r>
          </w:p>
          <w:p w:rsidR="00E7152E" w:rsidRPr="00C63A3E" w:rsidRDefault="00E7152E" w:rsidP="00E7152E">
            <w:pPr>
              <w:jc w:val="both"/>
              <w:rPr>
                <w:sz w:val="20"/>
              </w:rPr>
            </w:pPr>
            <w:r w:rsidRPr="00C63A3E">
              <w:rPr>
                <w:sz w:val="20"/>
              </w:rPr>
              <w:t>(Ont.) (Civil) (By Leave)</w:t>
            </w:r>
          </w:p>
        </w:tc>
      </w:tr>
      <w:tr w:rsidR="00E7152E" w:rsidRPr="00C63A3E" w:rsidTr="00E95A6A">
        <w:tc>
          <w:tcPr>
            <w:tcW w:w="5000" w:type="pct"/>
            <w:gridSpan w:val="4"/>
          </w:tcPr>
          <w:p w:rsidR="00E7152E" w:rsidRPr="00C63A3E" w:rsidRDefault="00E7152E" w:rsidP="00E7152E">
            <w:pPr>
              <w:jc w:val="both"/>
              <w:rPr>
                <w:sz w:val="20"/>
              </w:rPr>
            </w:pPr>
            <w:r w:rsidRPr="00C63A3E">
              <w:rPr>
                <w:sz w:val="20"/>
              </w:rPr>
              <w:t xml:space="preserve">Contracts — Commercial contracts — Breach — Conditional clause — Interpretation — Owner of property entering into commission agreement with real estate brokerage — Commission to be paid if two conditions met including that owner enter into lease with a tenant, as defined in the agreement — Owner claiming lessee not falling into definition of tenant because lessee not affiliated to relevant company at time of commission agreement — Courts below holding condition met — Whether the approach to contract interpretation set by this Court in </w:t>
            </w:r>
            <w:r w:rsidRPr="00C63A3E">
              <w:rPr>
                <w:i/>
                <w:sz w:val="20"/>
              </w:rPr>
              <w:t>Sattva Capital Corp. v. Creston Moly Corp.</w:t>
            </w:r>
            <w:r w:rsidRPr="00C63A3E">
              <w:rPr>
                <w:sz w:val="20"/>
              </w:rPr>
              <w:t xml:space="preserve">, 2014 SCC 53, [2014] 2 S.C.R. 633, and </w:t>
            </w:r>
            <w:r w:rsidRPr="00C63A3E">
              <w:rPr>
                <w:i/>
                <w:sz w:val="20"/>
              </w:rPr>
              <w:t>Ledcor Construction Ltd. v. Northbridge Indemnity Insurance Co.</w:t>
            </w:r>
            <w:r w:rsidRPr="00C63A3E">
              <w:rPr>
                <w:sz w:val="20"/>
              </w:rPr>
              <w:t xml:space="preserve">, 2016 SCC 37, [2016] 2 S.C.R. 23, should be updated according to the dissent in </w:t>
            </w:r>
            <w:r w:rsidRPr="00C63A3E">
              <w:rPr>
                <w:i/>
                <w:sz w:val="20"/>
              </w:rPr>
              <w:t>Resolute FP Canada Inc. v. Ontario (Attorney General)</w:t>
            </w:r>
            <w:r w:rsidRPr="00C63A3E">
              <w:rPr>
                <w:sz w:val="20"/>
              </w:rPr>
              <w:t>, 2019 SCC 60, such that courts interpret standard, boilerplate terms consistently —Whether the standard of review for boilerplate contract terms should be correctness, given their precedential value— Whether the Canadian approach to contract interpretation should more closely align with the American approach to facilitate cross-border trade and recognize the globalized nature of contract interpretation.</w:t>
            </w:r>
          </w:p>
        </w:tc>
      </w:tr>
      <w:tr w:rsidR="00E7152E" w:rsidRPr="00C63A3E" w:rsidTr="00E95A6A">
        <w:tc>
          <w:tcPr>
            <w:tcW w:w="5000" w:type="pct"/>
            <w:gridSpan w:val="4"/>
          </w:tcPr>
          <w:p w:rsidR="00E7152E" w:rsidRPr="00C63A3E" w:rsidRDefault="00E7152E" w:rsidP="00E7152E">
            <w:pPr>
              <w:jc w:val="both"/>
              <w:rPr>
                <w:sz w:val="20"/>
              </w:rPr>
            </w:pPr>
          </w:p>
        </w:tc>
      </w:tr>
      <w:tr w:rsidR="00E7152E" w:rsidRPr="00C63A3E" w:rsidTr="00E95A6A">
        <w:tc>
          <w:tcPr>
            <w:tcW w:w="5000" w:type="pct"/>
            <w:gridSpan w:val="4"/>
          </w:tcPr>
          <w:p w:rsidR="00E7152E" w:rsidRPr="00C63A3E" w:rsidRDefault="00E7152E" w:rsidP="00E7152E">
            <w:pPr>
              <w:jc w:val="both"/>
              <w:rPr>
                <w:sz w:val="20"/>
              </w:rPr>
            </w:pPr>
            <w:r w:rsidRPr="00C63A3E">
              <w:rPr>
                <w:sz w:val="20"/>
              </w:rPr>
              <w:t xml:space="preserve">The respondent, Harvey Kalles Realty Inc. (“brokerage”), brought an action for payment of a leasing commission on a commercial lease in respect of a property in Toronto owned by the applicant, BSAR (Eglinton) LP (“owner”). In October 2012, the owner and the brokerage entered into a commission agreement pursuant to which the owner would pay a commission if two conditions in the agreement were met. The first condition required that an offer to lease be entered into between the owner and a tenant — a defined term — within 24 months of the commission agreement. The second condition required that the tenant subsequently sign a lease with all conditions met or waived. The first condition was met when the owner and Loblaw Properties Limited (“Loblaws”) signed an offer to lease in July 2013. The owner ultimately entered into a lease with a tenant who became affiliated with Loblaws after the commission agreement was executed. The owner refused to pay the commission, arguing that the second condition was not met. The courts below concluded that the objective intention of the parties was that that the leasing commission would be paid if the owner concluded a lease with any Loblaws entity. They rejected the owner’s submission that the condition of the commission agreement limited its application to leases signed with Loblaws entities in existence at the time the commission agreement was signed. </w:t>
            </w:r>
          </w:p>
          <w:p w:rsidR="00E7152E" w:rsidRPr="00C63A3E" w:rsidRDefault="00E7152E" w:rsidP="00E7152E">
            <w:pPr>
              <w:jc w:val="both"/>
              <w:rPr>
                <w:sz w:val="20"/>
              </w:rPr>
            </w:pPr>
          </w:p>
        </w:tc>
      </w:tr>
      <w:tr w:rsidR="00E7152E" w:rsidRPr="00C63A3E" w:rsidTr="00E95A6A">
        <w:tc>
          <w:tcPr>
            <w:tcW w:w="2427" w:type="pct"/>
            <w:gridSpan w:val="2"/>
          </w:tcPr>
          <w:p w:rsidR="00E7152E" w:rsidRPr="00C63A3E" w:rsidRDefault="00E7152E" w:rsidP="00E7152E">
            <w:pPr>
              <w:jc w:val="both"/>
              <w:rPr>
                <w:sz w:val="20"/>
              </w:rPr>
            </w:pPr>
            <w:r w:rsidRPr="00C63A3E">
              <w:rPr>
                <w:sz w:val="20"/>
              </w:rPr>
              <w:t>August 19, 2019</w:t>
            </w:r>
          </w:p>
          <w:p w:rsidR="00E7152E" w:rsidRPr="00C63A3E" w:rsidRDefault="00E7152E" w:rsidP="00E7152E">
            <w:pPr>
              <w:jc w:val="both"/>
              <w:rPr>
                <w:sz w:val="20"/>
              </w:rPr>
            </w:pPr>
            <w:r w:rsidRPr="00C63A3E">
              <w:rPr>
                <w:sz w:val="20"/>
              </w:rPr>
              <w:t>Ontario Superior Court of Justice</w:t>
            </w:r>
          </w:p>
          <w:p w:rsidR="00E7152E" w:rsidRPr="00C63A3E" w:rsidRDefault="00E7152E" w:rsidP="00E7152E">
            <w:pPr>
              <w:jc w:val="both"/>
              <w:rPr>
                <w:sz w:val="20"/>
              </w:rPr>
            </w:pPr>
            <w:r w:rsidRPr="00C63A3E">
              <w:rPr>
                <w:sz w:val="20"/>
              </w:rPr>
              <w:t>(Sanderson J.)</w:t>
            </w:r>
          </w:p>
          <w:p w:rsidR="00E7152E" w:rsidRPr="00C63A3E" w:rsidRDefault="00DA6B23" w:rsidP="00E7152E">
            <w:pPr>
              <w:jc w:val="both"/>
              <w:rPr>
                <w:sz w:val="20"/>
              </w:rPr>
            </w:pPr>
            <w:hyperlink r:id="rId32" w:history="1">
              <w:r w:rsidR="00E7152E" w:rsidRPr="00C63A3E">
                <w:rPr>
                  <w:rStyle w:val="Hyperlink"/>
                  <w:sz w:val="20"/>
                </w:rPr>
                <w:t>2019 ONSC 4434</w:t>
              </w:r>
            </w:hyperlink>
            <w:r w:rsidR="00E7152E" w:rsidRPr="00C63A3E">
              <w:rPr>
                <w:sz w:val="20"/>
              </w:rPr>
              <w:t xml:space="preserve"> </w:t>
            </w:r>
          </w:p>
          <w:p w:rsidR="00E7152E" w:rsidRPr="00C63A3E" w:rsidRDefault="00E7152E" w:rsidP="00E7152E">
            <w:pPr>
              <w:jc w:val="both"/>
              <w:rPr>
                <w:sz w:val="20"/>
              </w:rPr>
            </w:pPr>
          </w:p>
        </w:tc>
        <w:tc>
          <w:tcPr>
            <w:tcW w:w="243" w:type="pct"/>
          </w:tcPr>
          <w:p w:rsidR="00E7152E" w:rsidRPr="00C63A3E" w:rsidRDefault="00E7152E" w:rsidP="00E7152E">
            <w:pPr>
              <w:jc w:val="both"/>
              <w:rPr>
                <w:sz w:val="20"/>
              </w:rPr>
            </w:pPr>
          </w:p>
        </w:tc>
        <w:tc>
          <w:tcPr>
            <w:tcW w:w="2330" w:type="pct"/>
          </w:tcPr>
          <w:p w:rsidR="00E7152E" w:rsidRPr="00C63A3E" w:rsidRDefault="00E7152E" w:rsidP="00E7152E">
            <w:pPr>
              <w:jc w:val="both"/>
              <w:rPr>
                <w:sz w:val="20"/>
              </w:rPr>
            </w:pPr>
            <w:r w:rsidRPr="00C63A3E">
              <w:rPr>
                <w:sz w:val="20"/>
              </w:rPr>
              <w:t>Respondent’s action for breach of contract based on applicant’s failure to pay a leasing commission allowed</w:t>
            </w:r>
          </w:p>
        </w:tc>
      </w:tr>
      <w:tr w:rsidR="00E7152E" w:rsidRPr="00C63A3E" w:rsidTr="00E95A6A">
        <w:tc>
          <w:tcPr>
            <w:tcW w:w="2427" w:type="pct"/>
            <w:gridSpan w:val="2"/>
          </w:tcPr>
          <w:p w:rsidR="00E7152E" w:rsidRPr="00C63A3E" w:rsidRDefault="00E7152E" w:rsidP="00E7152E">
            <w:pPr>
              <w:jc w:val="both"/>
              <w:rPr>
                <w:sz w:val="20"/>
              </w:rPr>
            </w:pPr>
            <w:r w:rsidRPr="00C63A3E">
              <w:rPr>
                <w:sz w:val="20"/>
              </w:rPr>
              <w:t>June 16, 2021</w:t>
            </w:r>
          </w:p>
          <w:p w:rsidR="00E7152E" w:rsidRPr="00C63A3E" w:rsidRDefault="00E7152E" w:rsidP="00E7152E">
            <w:pPr>
              <w:jc w:val="both"/>
              <w:rPr>
                <w:sz w:val="20"/>
              </w:rPr>
            </w:pPr>
            <w:r w:rsidRPr="00C63A3E">
              <w:rPr>
                <w:sz w:val="20"/>
              </w:rPr>
              <w:t>Court of Appeal for Ontario</w:t>
            </w:r>
          </w:p>
          <w:p w:rsidR="00E7152E" w:rsidRPr="00C63A3E" w:rsidRDefault="00E7152E" w:rsidP="00E7152E">
            <w:pPr>
              <w:jc w:val="both"/>
              <w:rPr>
                <w:sz w:val="20"/>
              </w:rPr>
            </w:pPr>
            <w:r w:rsidRPr="00C63A3E">
              <w:rPr>
                <w:sz w:val="20"/>
              </w:rPr>
              <w:t>(Rouleau, Hoy and van Rensburg JJ.A.)</w:t>
            </w:r>
          </w:p>
          <w:p w:rsidR="00E7152E" w:rsidRPr="00C63A3E" w:rsidRDefault="00DA6B23" w:rsidP="00E7152E">
            <w:pPr>
              <w:jc w:val="both"/>
              <w:rPr>
                <w:sz w:val="20"/>
              </w:rPr>
            </w:pPr>
            <w:hyperlink r:id="rId33" w:history="1">
              <w:r w:rsidR="00E7152E" w:rsidRPr="00C63A3E">
                <w:rPr>
                  <w:rStyle w:val="Hyperlink"/>
                  <w:sz w:val="20"/>
                </w:rPr>
                <w:t>2021 ONCA 426</w:t>
              </w:r>
            </w:hyperlink>
            <w:r w:rsidR="00E7152E" w:rsidRPr="00C63A3E">
              <w:rPr>
                <w:sz w:val="20"/>
              </w:rPr>
              <w:t xml:space="preserve"> </w:t>
            </w:r>
          </w:p>
          <w:p w:rsidR="00E7152E" w:rsidRPr="00C63A3E" w:rsidRDefault="00E7152E" w:rsidP="00E7152E">
            <w:pPr>
              <w:jc w:val="both"/>
              <w:rPr>
                <w:sz w:val="20"/>
              </w:rPr>
            </w:pPr>
          </w:p>
        </w:tc>
        <w:tc>
          <w:tcPr>
            <w:tcW w:w="243" w:type="pct"/>
          </w:tcPr>
          <w:p w:rsidR="00E7152E" w:rsidRPr="00C63A3E" w:rsidRDefault="00E7152E" w:rsidP="00E7152E">
            <w:pPr>
              <w:jc w:val="both"/>
              <w:rPr>
                <w:sz w:val="20"/>
              </w:rPr>
            </w:pPr>
          </w:p>
        </w:tc>
        <w:tc>
          <w:tcPr>
            <w:tcW w:w="2330" w:type="pct"/>
          </w:tcPr>
          <w:p w:rsidR="00E7152E" w:rsidRPr="00C63A3E" w:rsidRDefault="00E7152E" w:rsidP="00E7152E">
            <w:pPr>
              <w:jc w:val="both"/>
              <w:rPr>
                <w:sz w:val="20"/>
              </w:rPr>
            </w:pPr>
            <w:r w:rsidRPr="00C63A3E">
              <w:rPr>
                <w:sz w:val="20"/>
              </w:rPr>
              <w:t>Appeal dismissed</w:t>
            </w:r>
          </w:p>
          <w:p w:rsidR="00E7152E" w:rsidRPr="00C63A3E" w:rsidRDefault="00E7152E" w:rsidP="00E7152E">
            <w:pPr>
              <w:jc w:val="both"/>
              <w:rPr>
                <w:sz w:val="20"/>
              </w:rPr>
            </w:pPr>
          </w:p>
        </w:tc>
      </w:tr>
      <w:tr w:rsidR="00E7152E" w:rsidRPr="00C63A3E" w:rsidTr="00E95A6A">
        <w:tc>
          <w:tcPr>
            <w:tcW w:w="2427" w:type="pct"/>
            <w:gridSpan w:val="2"/>
          </w:tcPr>
          <w:p w:rsidR="00E7152E" w:rsidRPr="00C63A3E" w:rsidRDefault="00E7152E" w:rsidP="00E7152E">
            <w:pPr>
              <w:jc w:val="both"/>
              <w:rPr>
                <w:sz w:val="20"/>
              </w:rPr>
            </w:pPr>
            <w:r w:rsidRPr="00C63A3E">
              <w:rPr>
                <w:sz w:val="20"/>
              </w:rPr>
              <w:t>September 14, 2021</w:t>
            </w:r>
          </w:p>
          <w:p w:rsidR="00E7152E" w:rsidRPr="00C63A3E" w:rsidRDefault="00E7152E" w:rsidP="00E7152E">
            <w:pPr>
              <w:jc w:val="both"/>
              <w:rPr>
                <w:sz w:val="20"/>
              </w:rPr>
            </w:pPr>
            <w:r w:rsidRPr="00C63A3E">
              <w:rPr>
                <w:sz w:val="20"/>
              </w:rPr>
              <w:t>Supreme Court of Canada</w:t>
            </w:r>
          </w:p>
        </w:tc>
        <w:tc>
          <w:tcPr>
            <w:tcW w:w="243" w:type="pct"/>
          </w:tcPr>
          <w:p w:rsidR="00E7152E" w:rsidRPr="00C63A3E" w:rsidRDefault="00E7152E" w:rsidP="00E7152E">
            <w:pPr>
              <w:jc w:val="both"/>
              <w:rPr>
                <w:sz w:val="20"/>
              </w:rPr>
            </w:pPr>
          </w:p>
        </w:tc>
        <w:tc>
          <w:tcPr>
            <w:tcW w:w="2330" w:type="pct"/>
          </w:tcPr>
          <w:p w:rsidR="00E7152E" w:rsidRPr="00C63A3E" w:rsidRDefault="00E7152E" w:rsidP="00E7152E">
            <w:pPr>
              <w:jc w:val="both"/>
              <w:rPr>
                <w:sz w:val="20"/>
              </w:rPr>
            </w:pPr>
            <w:r w:rsidRPr="00C63A3E">
              <w:rPr>
                <w:sz w:val="20"/>
              </w:rPr>
              <w:t>Application for leave to appeal filed</w:t>
            </w:r>
          </w:p>
          <w:p w:rsidR="00E7152E" w:rsidRPr="00C63A3E" w:rsidRDefault="00E7152E" w:rsidP="00E7152E">
            <w:pPr>
              <w:jc w:val="both"/>
              <w:rPr>
                <w:sz w:val="20"/>
              </w:rPr>
            </w:pPr>
          </w:p>
        </w:tc>
      </w:tr>
    </w:tbl>
    <w:p w:rsidR="00E7152E" w:rsidRPr="00C63A3E" w:rsidRDefault="00E7152E" w:rsidP="00E7152E">
      <w:pPr>
        <w:jc w:val="both"/>
        <w:rPr>
          <w:sz w:val="20"/>
        </w:rPr>
      </w:pPr>
    </w:p>
    <w:p w:rsidR="00E7152E" w:rsidRPr="00C63A3E" w:rsidRDefault="00DA6B23" w:rsidP="00E7152E">
      <w:pPr>
        <w:jc w:val="both"/>
        <w:rPr>
          <w:sz w:val="20"/>
        </w:rPr>
      </w:pPr>
      <w:r>
        <w:rPr>
          <w:sz w:val="20"/>
        </w:rPr>
        <w:pict>
          <v:rect id="_x0000_i1037" style="width:2in;height:1pt" o:hrpct="0" o:hralign="center" o:hrstd="t" o:hrnoshade="t" o:hr="t" fillcolor="black [3213]" stroked="f"/>
        </w:pict>
      </w:r>
    </w:p>
    <w:p w:rsidR="00E7152E" w:rsidRPr="00C63A3E" w:rsidRDefault="00E7152E" w:rsidP="00E7152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7152E" w:rsidRPr="00C63A3E" w:rsidTr="00E95A6A">
        <w:tc>
          <w:tcPr>
            <w:tcW w:w="543" w:type="pct"/>
          </w:tcPr>
          <w:p w:rsidR="00E7152E" w:rsidRPr="00C63A3E" w:rsidRDefault="00E7152E" w:rsidP="00E7152E">
            <w:pPr>
              <w:jc w:val="both"/>
              <w:rPr>
                <w:sz w:val="20"/>
                <w:lang w:val="fr-CA"/>
              </w:rPr>
            </w:pPr>
            <w:r w:rsidRPr="00C63A3E">
              <w:rPr>
                <w:rStyle w:val="SCCFileNumberChar"/>
                <w:sz w:val="20"/>
                <w:szCs w:val="20"/>
                <w:lang w:val="fr-CA"/>
              </w:rPr>
              <w:t>39831</w:t>
            </w:r>
          </w:p>
        </w:tc>
        <w:tc>
          <w:tcPr>
            <w:tcW w:w="4457" w:type="pct"/>
            <w:gridSpan w:val="3"/>
          </w:tcPr>
          <w:p w:rsidR="00E7152E" w:rsidRPr="00C63A3E" w:rsidRDefault="00E7152E" w:rsidP="00E7152E">
            <w:pPr>
              <w:pStyle w:val="SCCLsocParty"/>
              <w:jc w:val="both"/>
              <w:rPr>
                <w:b/>
                <w:sz w:val="20"/>
                <w:szCs w:val="20"/>
                <w:lang w:val="en-US"/>
              </w:rPr>
            </w:pPr>
            <w:r w:rsidRPr="00C63A3E">
              <w:rPr>
                <w:b/>
                <w:sz w:val="20"/>
                <w:szCs w:val="20"/>
                <w:lang w:val="en-US"/>
              </w:rPr>
              <w:t>BSAR (Eglinton) LP c. Harvey Kalles Realty Inc.</w:t>
            </w:r>
          </w:p>
          <w:p w:rsidR="00E7152E" w:rsidRPr="00C63A3E" w:rsidRDefault="00E7152E" w:rsidP="00E7152E">
            <w:pPr>
              <w:jc w:val="both"/>
              <w:rPr>
                <w:sz w:val="20"/>
                <w:lang w:val="fr-CA"/>
              </w:rPr>
            </w:pPr>
            <w:r w:rsidRPr="00C63A3E">
              <w:rPr>
                <w:sz w:val="20"/>
                <w:lang w:val="fr-CA"/>
              </w:rPr>
              <w:t>(Ont.) (Civile) (Sur autorisation)</w:t>
            </w:r>
          </w:p>
        </w:tc>
      </w:tr>
      <w:tr w:rsidR="00E7152E" w:rsidRPr="00DA6B23" w:rsidTr="00E95A6A">
        <w:tc>
          <w:tcPr>
            <w:tcW w:w="5000" w:type="pct"/>
            <w:gridSpan w:val="4"/>
          </w:tcPr>
          <w:p w:rsidR="00E7152E" w:rsidRPr="00C63A3E" w:rsidRDefault="00E7152E" w:rsidP="00E7152E">
            <w:pPr>
              <w:jc w:val="both"/>
              <w:rPr>
                <w:sz w:val="20"/>
                <w:lang w:val="fr-CA"/>
              </w:rPr>
            </w:pPr>
            <w:r w:rsidRPr="00C63A3E">
              <w:rPr>
                <w:sz w:val="20"/>
                <w:lang w:val="fr-CA"/>
              </w:rPr>
              <w:t>Contrats — Contrats commerciaux — Violation — Clause conditionnelle — Interprétation — La société propriétaire d’un bien</w:t>
            </w:r>
            <w:r w:rsidRPr="00C63A3E">
              <w:rPr>
                <w:sz w:val="20"/>
                <w:lang w:val="fr-CA"/>
              </w:rPr>
              <w:noBreakHyphen/>
              <w:t xml:space="preserve">fonds a conclu une convention de commission avec une société de courtage immobilier — Une commission devait être versée si deux conditions étaient respectées, notamment la conclusion d'un bail entre la société propriétaire et un locataire, selon la définition de ce terme dans la convention — La société propriétaire a fait valoir que le preneur à bail n’était pas visé par la définition de locataire parce qu’il n’était pas affilié à la société pertinente au moment de la conclusion de la convention de commission — Les juridictions inférieures ont conclu que la condition avait été respectée — L’approche adoptée par la Cour quant à l’interprétation des contrats dans les arrêts </w:t>
            </w:r>
            <w:r w:rsidRPr="00C63A3E">
              <w:rPr>
                <w:i/>
                <w:sz w:val="20"/>
                <w:lang w:val="fr-CA"/>
              </w:rPr>
              <w:t>Sattva Capital Corp. c. Creston Moly Corp.</w:t>
            </w:r>
            <w:r w:rsidRPr="00C63A3E">
              <w:rPr>
                <w:sz w:val="20"/>
                <w:lang w:val="fr-CA"/>
              </w:rPr>
              <w:t xml:space="preserve">, 2014 CSC 53, [2014] 2 R.C.S. 633, et </w:t>
            </w:r>
            <w:r w:rsidRPr="00C63A3E">
              <w:rPr>
                <w:i/>
                <w:sz w:val="20"/>
                <w:lang w:val="fr-CA"/>
              </w:rPr>
              <w:t>Ledcor Construction Ltd. c. Société d’assurance d’indemnisation Northbridge</w:t>
            </w:r>
            <w:r w:rsidRPr="00C63A3E">
              <w:rPr>
                <w:sz w:val="20"/>
                <w:lang w:val="fr-CA"/>
              </w:rPr>
              <w:t xml:space="preserve">, 2016 SCC 37, [2016] 2 S.C.R. 23, devrait-elle être modernisée suivant la dissidence dans l’arrêt </w:t>
            </w:r>
            <w:r w:rsidRPr="00C63A3E">
              <w:rPr>
                <w:i/>
                <w:sz w:val="20"/>
                <w:lang w:val="fr-CA"/>
              </w:rPr>
              <w:t>Produits forestiers Résolu </w:t>
            </w:r>
            <w:r w:rsidRPr="00C63A3E">
              <w:rPr>
                <w:i/>
                <w:iCs/>
                <w:sz w:val="20"/>
                <w:lang w:val="fr-CA"/>
              </w:rPr>
              <w:t>c</w:t>
            </w:r>
            <w:r w:rsidRPr="00C63A3E">
              <w:rPr>
                <w:i/>
                <w:sz w:val="20"/>
                <w:lang w:val="fr-CA"/>
              </w:rPr>
              <w:t>. Ontario (Procureur général)</w:t>
            </w:r>
            <w:r w:rsidRPr="00C63A3E">
              <w:rPr>
                <w:sz w:val="20"/>
                <w:lang w:val="fr-CA"/>
              </w:rPr>
              <w:t>, 2019 CSC 60, de sorte que les modalités types habituelles soient interprétées de façon uniforme par les tribunaux? — La norme de contrôle applicable aux modalités types d’un contrat devrait</w:t>
            </w:r>
            <w:r w:rsidRPr="00C63A3E">
              <w:rPr>
                <w:sz w:val="20"/>
                <w:lang w:val="fr-CA"/>
              </w:rPr>
              <w:noBreakHyphen/>
              <w:t>elle être celle fondée sur la décision correcte, étant donné leur valeur de précédent? — L’approche canadienne relative à l’interprétation des contrats devrait</w:t>
            </w:r>
            <w:r w:rsidRPr="00C63A3E">
              <w:rPr>
                <w:sz w:val="20"/>
                <w:lang w:val="fr-CA"/>
              </w:rPr>
              <w:noBreakHyphen/>
              <w:t>elle concorder davantage avec l’approche américaine afin de faciliter le commerce transfrontalier et de reconnaître le caractère mondialisé de l’interprétation des contrats?</w:t>
            </w:r>
          </w:p>
        </w:tc>
      </w:tr>
      <w:tr w:rsidR="00E7152E" w:rsidRPr="00DA6B23" w:rsidTr="00E95A6A">
        <w:tc>
          <w:tcPr>
            <w:tcW w:w="5000" w:type="pct"/>
            <w:gridSpan w:val="4"/>
          </w:tcPr>
          <w:p w:rsidR="00E7152E" w:rsidRPr="00C63A3E" w:rsidRDefault="00E7152E" w:rsidP="00E7152E">
            <w:pPr>
              <w:jc w:val="both"/>
              <w:rPr>
                <w:sz w:val="20"/>
                <w:lang w:val="fr-CA"/>
              </w:rPr>
            </w:pPr>
          </w:p>
        </w:tc>
      </w:tr>
      <w:tr w:rsidR="00E7152E" w:rsidRPr="00DA6B23" w:rsidTr="00E95A6A">
        <w:tc>
          <w:tcPr>
            <w:tcW w:w="5000" w:type="pct"/>
            <w:gridSpan w:val="4"/>
          </w:tcPr>
          <w:p w:rsidR="00E7152E" w:rsidRPr="00C63A3E" w:rsidRDefault="00E7152E" w:rsidP="00E7152E">
            <w:pPr>
              <w:jc w:val="both"/>
              <w:rPr>
                <w:sz w:val="20"/>
                <w:lang w:val="fr-CA"/>
              </w:rPr>
            </w:pPr>
            <w:r w:rsidRPr="00C63A3E">
              <w:rPr>
                <w:sz w:val="20"/>
              </w:rPr>
              <w:t xml:space="preserve">L’intimée, Harvey Kalles Realty Inc. </w:t>
            </w:r>
            <w:r w:rsidRPr="00C63A3E">
              <w:rPr>
                <w:sz w:val="20"/>
                <w:lang w:val="fr-CA"/>
              </w:rPr>
              <w:t>(« la société de courtage immobilier »), a intenté une action en paiement d’une commission pour la location à bail commercial à l’égard d’un bien</w:t>
            </w:r>
            <w:r w:rsidRPr="00C63A3E">
              <w:rPr>
                <w:sz w:val="20"/>
                <w:lang w:val="fr-CA"/>
              </w:rPr>
              <w:noBreakHyphen/>
              <w:t xml:space="preserve">fonds situé à Toronto appartenant à la demanderesse, BSAR (Eglinton) LP (« la société propriétaire »). En octobre 2012, la société propriétaire et la société de courtage immobilier ont conclu une convention de commission aux termes de laquelle la société propriétaire verserait une commission si deux conditions étaient respectées. Selon la première condition, une offre de bail devait être conclue entre la société propriétaire et le locataire — un terme défini — dans un délai de 24 mois à compter de la conclusion de la convention de commission. Selon la deuxième condition, le locataire devait subséquemment signer un bail en respectant toutes les conditions ou en y renonçant. La première condition a été respectée lorsque la société propriétaire et Loblaw Properties Limited (« Loblaws ») ont signé une offre de bail en juillet 2013. La société propriétaire a éventuellement conclu un bail avec un locataire qui s’est affilié à Loblaws après la conclusion de la convention de commission. La société propriétaire a refusé de verser la commission, faisant valoir que la deuxième condition n’avait pas été respectée. Les juridictions inférieures ont conclu que l’intention objective des parties était que la commission pour la location à bail serait versée si un bail était conclu entre la société propriétaire et toute entité de Loblaws. Ils n’ont pas retenu l’argument de la société propriétaire voulant que l’application de la condition dans la convention de commission soit limitée aux baux conclus avec des entités de Loblaws qui existaient au moment de la conclusion de la convention de commission. </w:t>
            </w:r>
          </w:p>
          <w:p w:rsidR="00E7152E" w:rsidRPr="00C63A3E" w:rsidRDefault="00E7152E" w:rsidP="00E7152E">
            <w:pPr>
              <w:jc w:val="both"/>
              <w:rPr>
                <w:sz w:val="20"/>
                <w:lang w:val="fr-CA"/>
              </w:rPr>
            </w:pPr>
          </w:p>
        </w:tc>
      </w:tr>
      <w:tr w:rsidR="00E7152E" w:rsidRPr="00DA6B23" w:rsidTr="00E95A6A">
        <w:tc>
          <w:tcPr>
            <w:tcW w:w="2427" w:type="pct"/>
            <w:gridSpan w:val="2"/>
          </w:tcPr>
          <w:p w:rsidR="00E7152E" w:rsidRPr="00C63A3E" w:rsidRDefault="00E7152E" w:rsidP="00E7152E">
            <w:pPr>
              <w:jc w:val="both"/>
              <w:rPr>
                <w:sz w:val="20"/>
                <w:lang w:val="fr-CA"/>
              </w:rPr>
            </w:pPr>
            <w:r w:rsidRPr="00C63A3E">
              <w:rPr>
                <w:sz w:val="20"/>
                <w:lang w:val="fr-CA"/>
              </w:rPr>
              <w:t>19 août 2019</w:t>
            </w:r>
          </w:p>
          <w:p w:rsidR="00E7152E" w:rsidRPr="00C63A3E" w:rsidRDefault="00E7152E" w:rsidP="00E7152E">
            <w:pPr>
              <w:jc w:val="both"/>
              <w:rPr>
                <w:sz w:val="20"/>
                <w:lang w:val="fr-CA"/>
              </w:rPr>
            </w:pPr>
            <w:r w:rsidRPr="00C63A3E">
              <w:rPr>
                <w:sz w:val="20"/>
                <w:lang w:val="fr-CA"/>
              </w:rPr>
              <w:t>Cour supérieure de justice de l’Ontario</w:t>
            </w:r>
          </w:p>
          <w:p w:rsidR="00E7152E" w:rsidRPr="00C63A3E" w:rsidRDefault="00E7152E" w:rsidP="00E7152E">
            <w:pPr>
              <w:jc w:val="both"/>
              <w:rPr>
                <w:sz w:val="20"/>
                <w:lang w:val="fr-CA"/>
              </w:rPr>
            </w:pPr>
            <w:r w:rsidRPr="00C63A3E">
              <w:rPr>
                <w:sz w:val="20"/>
                <w:lang w:val="fr-CA"/>
              </w:rPr>
              <w:t>(juge Sanderson)</w:t>
            </w:r>
          </w:p>
          <w:p w:rsidR="00E7152E" w:rsidRPr="00C63A3E" w:rsidRDefault="00DA6B23" w:rsidP="00E7152E">
            <w:pPr>
              <w:jc w:val="both"/>
              <w:rPr>
                <w:sz w:val="20"/>
                <w:lang w:val="fr-CA"/>
              </w:rPr>
            </w:pPr>
            <w:hyperlink r:id="rId34" w:history="1">
              <w:r w:rsidR="00E7152E" w:rsidRPr="00C63A3E">
                <w:rPr>
                  <w:rStyle w:val="Hyperlink"/>
                  <w:sz w:val="20"/>
                  <w:lang w:val="fr-CA"/>
                </w:rPr>
                <w:t>2019 ONSC 4434</w:t>
              </w:r>
            </w:hyperlink>
            <w:r w:rsidR="00E7152E" w:rsidRPr="00C63A3E">
              <w:rPr>
                <w:sz w:val="20"/>
                <w:lang w:val="fr-CA"/>
              </w:rPr>
              <w:t xml:space="preserve"> </w:t>
            </w:r>
          </w:p>
          <w:p w:rsidR="00E7152E" w:rsidRPr="00C63A3E" w:rsidRDefault="00E7152E" w:rsidP="00E7152E">
            <w:pPr>
              <w:jc w:val="both"/>
              <w:rPr>
                <w:sz w:val="20"/>
                <w:lang w:val="fr-CA"/>
              </w:rPr>
            </w:pPr>
          </w:p>
        </w:tc>
        <w:tc>
          <w:tcPr>
            <w:tcW w:w="243" w:type="pct"/>
          </w:tcPr>
          <w:p w:rsidR="00E7152E" w:rsidRPr="00C63A3E" w:rsidRDefault="00E7152E" w:rsidP="00E7152E">
            <w:pPr>
              <w:jc w:val="both"/>
              <w:rPr>
                <w:sz w:val="20"/>
                <w:lang w:val="fr-CA"/>
              </w:rPr>
            </w:pPr>
          </w:p>
        </w:tc>
        <w:tc>
          <w:tcPr>
            <w:tcW w:w="2330" w:type="pct"/>
          </w:tcPr>
          <w:p w:rsidR="00E7152E" w:rsidRPr="00C63A3E" w:rsidRDefault="00E7152E" w:rsidP="00E7152E">
            <w:pPr>
              <w:jc w:val="both"/>
              <w:rPr>
                <w:sz w:val="20"/>
                <w:lang w:val="fr-CA"/>
              </w:rPr>
            </w:pPr>
            <w:r w:rsidRPr="00C63A3E">
              <w:rPr>
                <w:sz w:val="20"/>
                <w:lang w:val="fr-CA"/>
              </w:rPr>
              <w:t>L’action intentée par l’intimée pour violation de contrat découlant du défaut de paiement par la demanderesse d’une commission pour location à bail est accueillie.</w:t>
            </w:r>
          </w:p>
        </w:tc>
      </w:tr>
      <w:tr w:rsidR="00E7152E" w:rsidRPr="00C63A3E" w:rsidTr="00E95A6A">
        <w:tc>
          <w:tcPr>
            <w:tcW w:w="2427" w:type="pct"/>
            <w:gridSpan w:val="2"/>
          </w:tcPr>
          <w:p w:rsidR="00E7152E" w:rsidRPr="00C63A3E" w:rsidRDefault="00E7152E" w:rsidP="00E7152E">
            <w:pPr>
              <w:jc w:val="both"/>
              <w:rPr>
                <w:sz w:val="20"/>
                <w:lang w:val="fr-CA"/>
              </w:rPr>
            </w:pPr>
            <w:r w:rsidRPr="00C63A3E">
              <w:rPr>
                <w:sz w:val="20"/>
                <w:lang w:val="fr-CA"/>
              </w:rPr>
              <w:t>16 juin 2021</w:t>
            </w:r>
          </w:p>
          <w:p w:rsidR="00E7152E" w:rsidRPr="00C63A3E" w:rsidRDefault="00E7152E" w:rsidP="00E7152E">
            <w:pPr>
              <w:jc w:val="both"/>
              <w:rPr>
                <w:sz w:val="20"/>
                <w:lang w:val="fr-CA"/>
              </w:rPr>
            </w:pPr>
            <w:r w:rsidRPr="00C63A3E">
              <w:rPr>
                <w:sz w:val="20"/>
                <w:lang w:val="fr-CA"/>
              </w:rPr>
              <w:t>Cour d’appel de l’Ontario</w:t>
            </w:r>
          </w:p>
          <w:p w:rsidR="00E7152E" w:rsidRPr="00C63A3E" w:rsidRDefault="00E7152E" w:rsidP="00E7152E">
            <w:pPr>
              <w:jc w:val="both"/>
              <w:rPr>
                <w:sz w:val="20"/>
                <w:lang w:val="fr-CA"/>
              </w:rPr>
            </w:pPr>
            <w:r w:rsidRPr="00C63A3E">
              <w:rPr>
                <w:sz w:val="20"/>
                <w:lang w:val="fr-CA"/>
              </w:rPr>
              <w:t>(juges Rouleau, Hoy et van Rensburg)</w:t>
            </w:r>
          </w:p>
          <w:p w:rsidR="00E7152E" w:rsidRPr="00C63A3E" w:rsidRDefault="00DA6B23" w:rsidP="00E7152E">
            <w:pPr>
              <w:jc w:val="both"/>
              <w:rPr>
                <w:sz w:val="20"/>
                <w:lang w:val="fr-CA"/>
              </w:rPr>
            </w:pPr>
            <w:hyperlink r:id="rId35" w:history="1">
              <w:r w:rsidR="00E7152E" w:rsidRPr="00C63A3E">
                <w:rPr>
                  <w:rStyle w:val="Hyperlink"/>
                  <w:sz w:val="20"/>
                  <w:lang w:val="fr-CA"/>
                </w:rPr>
                <w:t>2021 ONCA 426</w:t>
              </w:r>
            </w:hyperlink>
            <w:r w:rsidR="00E7152E" w:rsidRPr="00C63A3E">
              <w:rPr>
                <w:sz w:val="20"/>
                <w:lang w:val="fr-CA"/>
              </w:rPr>
              <w:t xml:space="preserve"> </w:t>
            </w:r>
          </w:p>
          <w:p w:rsidR="00E7152E" w:rsidRPr="00C63A3E" w:rsidRDefault="00E7152E" w:rsidP="00E7152E">
            <w:pPr>
              <w:jc w:val="both"/>
              <w:rPr>
                <w:sz w:val="20"/>
                <w:lang w:val="fr-CA"/>
              </w:rPr>
            </w:pPr>
          </w:p>
        </w:tc>
        <w:tc>
          <w:tcPr>
            <w:tcW w:w="243" w:type="pct"/>
          </w:tcPr>
          <w:p w:rsidR="00E7152E" w:rsidRPr="00C63A3E" w:rsidRDefault="00E7152E" w:rsidP="00E7152E">
            <w:pPr>
              <w:jc w:val="both"/>
              <w:rPr>
                <w:sz w:val="20"/>
                <w:lang w:val="fr-CA"/>
              </w:rPr>
            </w:pPr>
          </w:p>
        </w:tc>
        <w:tc>
          <w:tcPr>
            <w:tcW w:w="2330" w:type="pct"/>
          </w:tcPr>
          <w:p w:rsidR="00E7152E" w:rsidRPr="00C63A3E" w:rsidRDefault="00E7152E" w:rsidP="00E7152E">
            <w:pPr>
              <w:jc w:val="both"/>
              <w:rPr>
                <w:sz w:val="20"/>
                <w:lang w:val="fr-CA"/>
              </w:rPr>
            </w:pPr>
            <w:r w:rsidRPr="00C63A3E">
              <w:rPr>
                <w:sz w:val="20"/>
                <w:lang w:val="fr-CA"/>
              </w:rPr>
              <w:t>L’appel est rejeté.</w:t>
            </w:r>
          </w:p>
          <w:p w:rsidR="00E7152E" w:rsidRPr="00C63A3E" w:rsidRDefault="00E7152E" w:rsidP="00E7152E">
            <w:pPr>
              <w:jc w:val="both"/>
              <w:rPr>
                <w:sz w:val="20"/>
                <w:lang w:val="fr-CA"/>
              </w:rPr>
            </w:pPr>
          </w:p>
        </w:tc>
      </w:tr>
      <w:tr w:rsidR="00E7152E" w:rsidRPr="00DA6B23" w:rsidTr="00E95A6A">
        <w:tc>
          <w:tcPr>
            <w:tcW w:w="2427" w:type="pct"/>
            <w:gridSpan w:val="2"/>
          </w:tcPr>
          <w:p w:rsidR="00E7152E" w:rsidRPr="00C63A3E" w:rsidRDefault="00E7152E" w:rsidP="00E7152E">
            <w:pPr>
              <w:jc w:val="both"/>
              <w:rPr>
                <w:sz w:val="20"/>
                <w:lang w:val="fr-CA"/>
              </w:rPr>
            </w:pPr>
            <w:r w:rsidRPr="00C63A3E">
              <w:rPr>
                <w:sz w:val="20"/>
                <w:lang w:val="fr-CA"/>
              </w:rPr>
              <w:t>14 septembre 2021</w:t>
            </w:r>
          </w:p>
          <w:p w:rsidR="00E7152E" w:rsidRPr="00C63A3E" w:rsidRDefault="00E7152E" w:rsidP="00E7152E">
            <w:pPr>
              <w:jc w:val="both"/>
              <w:rPr>
                <w:sz w:val="20"/>
                <w:lang w:val="fr-CA"/>
              </w:rPr>
            </w:pPr>
            <w:r w:rsidRPr="00C63A3E">
              <w:rPr>
                <w:sz w:val="20"/>
                <w:lang w:val="fr-CA"/>
              </w:rPr>
              <w:t>Cour suprême du Canada</w:t>
            </w:r>
          </w:p>
        </w:tc>
        <w:tc>
          <w:tcPr>
            <w:tcW w:w="243" w:type="pct"/>
          </w:tcPr>
          <w:p w:rsidR="00E7152E" w:rsidRPr="00C63A3E" w:rsidRDefault="00E7152E" w:rsidP="00E7152E">
            <w:pPr>
              <w:jc w:val="both"/>
              <w:rPr>
                <w:sz w:val="20"/>
                <w:lang w:val="fr-CA"/>
              </w:rPr>
            </w:pPr>
          </w:p>
        </w:tc>
        <w:tc>
          <w:tcPr>
            <w:tcW w:w="2330" w:type="pct"/>
          </w:tcPr>
          <w:p w:rsidR="00E7152E" w:rsidRPr="00C63A3E" w:rsidRDefault="00E7152E" w:rsidP="00E7152E">
            <w:pPr>
              <w:jc w:val="both"/>
              <w:rPr>
                <w:sz w:val="20"/>
                <w:lang w:val="fr-CA"/>
              </w:rPr>
            </w:pPr>
            <w:r w:rsidRPr="00C63A3E">
              <w:rPr>
                <w:sz w:val="20"/>
                <w:lang w:val="fr-CA"/>
              </w:rPr>
              <w:t>La demande d’autorisation d’appel est présentée.</w:t>
            </w:r>
          </w:p>
          <w:p w:rsidR="00E7152E" w:rsidRPr="00C63A3E" w:rsidRDefault="00E7152E" w:rsidP="00E7152E">
            <w:pPr>
              <w:jc w:val="both"/>
              <w:rPr>
                <w:sz w:val="20"/>
                <w:lang w:val="fr-CA"/>
              </w:rPr>
            </w:pPr>
          </w:p>
        </w:tc>
      </w:tr>
    </w:tbl>
    <w:p w:rsidR="005A7B6B" w:rsidRPr="00C63A3E" w:rsidRDefault="005A7B6B" w:rsidP="00350651">
      <w:pPr>
        <w:widowControl w:val="0"/>
        <w:jc w:val="both"/>
        <w:rPr>
          <w:sz w:val="20"/>
          <w:lang w:val="fr-CA"/>
        </w:rPr>
      </w:pPr>
    </w:p>
    <w:p w:rsidR="0028541A" w:rsidRPr="00C63A3E" w:rsidRDefault="00DA6B23" w:rsidP="00350651">
      <w:pPr>
        <w:widowControl w:val="0"/>
        <w:jc w:val="both"/>
        <w:rPr>
          <w:sz w:val="20"/>
        </w:rPr>
      </w:pPr>
      <w:r>
        <w:rPr>
          <w:sz w:val="20"/>
        </w:rPr>
        <w:pict>
          <v:rect id="_x0000_i1038" style="width:2in;height:1pt" o:hrpct="0" o:hralign="center" o:hrstd="t" o:hrnoshade="t" o:hr="t" fillcolor="black [3213]" stroked="f"/>
        </w:pict>
      </w:r>
    </w:p>
    <w:p w:rsidR="00FD3FA0" w:rsidRPr="00C63A3E" w:rsidRDefault="00FD3FA0" w:rsidP="00350651">
      <w:pPr>
        <w:ind w:left="142" w:hanging="142"/>
        <w:jc w:val="both"/>
        <w:rPr>
          <w:sz w:val="20"/>
        </w:rPr>
      </w:pPr>
      <w:bookmarkStart w:id="0" w:name="_GoBack"/>
      <w:bookmarkEnd w:id="0"/>
    </w:p>
    <w:p w:rsidR="008F2F11" w:rsidRPr="00C63A3E" w:rsidRDefault="008F2F11" w:rsidP="00350651">
      <w:pPr>
        <w:ind w:left="142" w:hanging="142"/>
        <w:jc w:val="both"/>
        <w:rPr>
          <w:sz w:val="20"/>
        </w:rPr>
      </w:pPr>
    </w:p>
    <w:p w:rsidR="008F2F11" w:rsidRPr="00C63A3E" w:rsidRDefault="008F2F11" w:rsidP="00350651">
      <w:pPr>
        <w:ind w:left="142" w:hanging="142"/>
        <w:jc w:val="both"/>
        <w:rPr>
          <w:sz w:val="20"/>
        </w:rPr>
      </w:pPr>
    </w:p>
    <w:p w:rsidR="00D3344A" w:rsidRPr="00C63A3E" w:rsidRDefault="00D3344A" w:rsidP="00D3344A">
      <w:pPr>
        <w:widowControl w:val="0"/>
        <w:outlineLvl w:val="0"/>
      </w:pPr>
      <w:r w:rsidRPr="00C63A3E">
        <w:t xml:space="preserve">Supreme Court of Canada / Cour suprême du </w:t>
      </w:r>
      <w:proofErr w:type="gramStart"/>
      <w:r w:rsidRPr="00C63A3E">
        <w:t>Canad</w:t>
      </w:r>
      <w:r w:rsidR="00EE289F" w:rsidRPr="00C63A3E">
        <w:t>a</w:t>
      </w:r>
      <w:r w:rsidRPr="00C63A3E">
        <w:t xml:space="preserve"> :</w:t>
      </w:r>
      <w:proofErr w:type="gramEnd"/>
    </w:p>
    <w:p w:rsidR="00D3344A" w:rsidRPr="00C63A3E" w:rsidRDefault="00DA6B23" w:rsidP="00D3344A">
      <w:pPr>
        <w:widowControl w:val="0"/>
        <w:outlineLvl w:val="0"/>
        <w:rPr>
          <w:u w:val="single"/>
        </w:rPr>
      </w:pPr>
      <w:hyperlink r:id="rId36" w:history="1">
        <w:r w:rsidR="009B7391" w:rsidRPr="00C63A3E">
          <w:rPr>
            <w:rStyle w:val="Hyperlink"/>
          </w:rPr>
          <w:t>comments-commentaires@scc-csc.ca</w:t>
        </w:r>
      </w:hyperlink>
    </w:p>
    <w:p w:rsidR="00D3344A" w:rsidRPr="00C63A3E" w:rsidRDefault="0065588C" w:rsidP="00D3344A">
      <w:pPr>
        <w:widowControl w:val="0"/>
        <w:outlineLvl w:val="0"/>
      </w:pPr>
      <w:r w:rsidRPr="00C63A3E">
        <w:t>613-</w:t>
      </w:r>
      <w:r w:rsidR="00D3344A" w:rsidRPr="00C63A3E">
        <w:t>995-4330</w:t>
      </w:r>
    </w:p>
    <w:p w:rsidR="00497B5E" w:rsidRPr="00C63A3E" w:rsidRDefault="00497B5E" w:rsidP="00497B5E">
      <w:pPr>
        <w:widowControl w:val="0"/>
        <w:rPr>
          <w:sz w:val="20"/>
        </w:rPr>
      </w:pPr>
    </w:p>
    <w:p w:rsidR="00F6251B" w:rsidRPr="006E558B" w:rsidRDefault="003F43E6" w:rsidP="00F6251B">
      <w:pPr>
        <w:pStyle w:val="Footer"/>
        <w:jc w:val="center"/>
      </w:pPr>
      <w:r w:rsidRPr="00C63A3E">
        <w:t>- 30 -</w:t>
      </w:r>
    </w:p>
    <w:sectPr w:rsidR="00F6251B" w:rsidRPr="006E558B" w:rsidSect="00E62F93">
      <w:headerReference w:type="even" r:id="rId37"/>
      <w:headerReference w:type="default" r:id="rId38"/>
      <w:footerReference w:type="even" r:id="rId39"/>
      <w:footerReference w:type="default" r:id="rId40"/>
      <w:headerReference w:type="first" r:id="rId41"/>
      <w:footerReference w:type="first" r:id="rId42"/>
      <w:pgSz w:w="12240" w:h="15840"/>
      <w:pgMar w:top="851" w:right="1440" w:bottom="1134" w:left="1440" w:header="578" w:footer="71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40ED" w:rsidRDefault="003140ED" w:rsidP="0034178A">
      <w:r>
        <w:separator/>
      </w:r>
    </w:p>
  </w:endnote>
  <w:endnote w:type="continuationSeparator" w:id="0">
    <w:p w:rsidR="003140ED" w:rsidRDefault="003140ED"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0ED" w:rsidRDefault="003140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0ED" w:rsidRPr="009F77F0" w:rsidRDefault="003140ED"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0ED" w:rsidRDefault="003140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40ED" w:rsidRDefault="003140ED" w:rsidP="0034178A">
      <w:r>
        <w:separator/>
      </w:r>
    </w:p>
  </w:footnote>
  <w:footnote w:type="continuationSeparator" w:id="0">
    <w:p w:rsidR="003140ED" w:rsidRDefault="003140ED"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0ED" w:rsidRDefault="003140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0ED" w:rsidRDefault="003140E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0ED" w:rsidRDefault="003140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321F3"/>
    <w:multiLevelType w:val="hybridMultilevel"/>
    <w:tmpl w:val="4E2AF526"/>
    <w:lvl w:ilvl="0" w:tplc="6A94272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902300"/>
    <w:multiLevelType w:val="hybridMultilevel"/>
    <w:tmpl w:val="4BC08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0854D9"/>
    <w:multiLevelType w:val="hybridMultilevel"/>
    <w:tmpl w:val="BB460794"/>
    <w:lvl w:ilvl="0" w:tplc="266A270A">
      <w:start w:val="1"/>
      <w:numFmt w:val="decimal"/>
      <w:lvlText w:val="%1."/>
      <w:lvlJc w:val="left"/>
      <w:pPr>
        <w:ind w:left="720" w:hanging="360"/>
      </w:pPr>
      <w:rPr>
        <w:b w:val="0"/>
        <w:i w:val="0"/>
        <w:sz w:val="20"/>
        <w:szCs w:val="20"/>
        <w:lang w:val="en-C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520CB1"/>
    <w:multiLevelType w:val="hybridMultilevel"/>
    <w:tmpl w:val="54FCB592"/>
    <w:lvl w:ilvl="0" w:tplc="434E95DC">
      <w:start w:val="1"/>
      <w:numFmt w:val="decimal"/>
      <w:lvlText w:val="%1."/>
      <w:lvlJc w:val="left"/>
      <w:pPr>
        <w:ind w:left="450" w:hanging="360"/>
      </w:pPr>
      <w:rPr>
        <w:rFonts w:hint="default"/>
        <w:b w:val="0"/>
        <w:i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0F030B35"/>
    <w:multiLevelType w:val="hybridMultilevel"/>
    <w:tmpl w:val="21148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805B28"/>
    <w:multiLevelType w:val="hybridMultilevel"/>
    <w:tmpl w:val="33EC3438"/>
    <w:lvl w:ilvl="0" w:tplc="A4DC3DE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1573D0"/>
    <w:multiLevelType w:val="hybridMultilevel"/>
    <w:tmpl w:val="55B8D7EC"/>
    <w:lvl w:ilvl="0" w:tplc="3B56B5F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20121C"/>
    <w:multiLevelType w:val="hybridMultilevel"/>
    <w:tmpl w:val="BE4C0C3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01637B"/>
    <w:multiLevelType w:val="hybridMultilevel"/>
    <w:tmpl w:val="5966F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2B6EF4"/>
    <w:multiLevelType w:val="hybridMultilevel"/>
    <w:tmpl w:val="92703B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A82F7F"/>
    <w:multiLevelType w:val="hybridMultilevel"/>
    <w:tmpl w:val="1F22AB28"/>
    <w:lvl w:ilvl="0" w:tplc="EADED970">
      <w:start w:val="4"/>
      <w:numFmt w:val="decimal"/>
      <w:lvlText w:val="%1."/>
      <w:lvlJc w:val="left"/>
      <w:pPr>
        <w:tabs>
          <w:tab w:val="num" w:pos="378"/>
        </w:tabs>
        <w:ind w:left="162" w:hanging="72"/>
      </w:pPr>
      <w:rPr>
        <w:rFonts w:hint="default"/>
        <w:b w:val="0"/>
        <w:i w:val="0"/>
        <w:lang w:val="en-CA"/>
      </w:rPr>
    </w:lvl>
    <w:lvl w:ilvl="1" w:tplc="0C0C0019" w:tentative="1">
      <w:start w:val="1"/>
      <w:numFmt w:val="lowerLetter"/>
      <w:lvlText w:val="%2."/>
      <w:lvlJc w:val="left"/>
      <w:pPr>
        <w:ind w:left="1368" w:hanging="360"/>
      </w:pPr>
    </w:lvl>
    <w:lvl w:ilvl="2" w:tplc="0C0C001B" w:tentative="1">
      <w:start w:val="1"/>
      <w:numFmt w:val="lowerRoman"/>
      <w:lvlText w:val="%3."/>
      <w:lvlJc w:val="right"/>
      <w:pPr>
        <w:ind w:left="2088" w:hanging="180"/>
      </w:pPr>
    </w:lvl>
    <w:lvl w:ilvl="3" w:tplc="0C0C000F" w:tentative="1">
      <w:start w:val="1"/>
      <w:numFmt w:val="decimal"/>
      <w:lvlText w:val="%4."/>
      <w:lvlJc w:val="left"/>
      <w:pPr>
        <w:ind w:left="2808" w:hanging="360"/>
      </w:pPr>
    </w:lvl>
    <w:lvl w:ilvl="4" w:tplc="0C0C0019" w:tentative="1">
      <w:start w:val="1"/>
      <w:numFmt w:val="lowerLetter"/>
      <w:lvlText w:val="%5."/>
      <w:lvlJc w:val="left"/>
      <w:pPr>
        <w:ind w:left="3528" w:hanging="360"/>
      </w:pPr>
    </w:lvl>
    <w:lvl w:ilvl="5" w:tplc="0C0C001B" w:tentative="1">
      <w:start w:val="1"/>
      <w:numFmt w:val="lowerRoman"/>
      <w:lvlText w:val="%6."/>
      <w:lvlJc w:val="right"/>
      <w:pPr>
        <w:ind w:left="4248" w:hanging="180"/>
      </w:pPr>
    </w:lvl>
    <w:lvl w:ilvl="6" w:tplc="0C0C000F" w:tentative="1">
      <w:start w:val="1"/>
      <w:numFmt w:val="decimal"/>
      <w:lvlText w:val="%7."/>
      <w:lvlJc w:val="left"/>
      <w:pPr>
        <w:ind w:left="4968" w:hanging="360"/>
      </w:pPr>
    </w:lvl>
    <w:lvl w:ilvl="7" w:tplc="0C0C0019" w:tentative="1">
      <w:start w:val="1"/>
      <w:numFmt w:val="lowerLetter"/>
      <w:lvlText w:val="%8."/>
      <w:lvlJc w:val="left"/>
      <w:pPr>
        <w:ind w:left="5688" w:hanging="360"/>
      </w:pPr>
    </w:lvl>
    <w:lvl w:ilvl="8" w:tplc="0C0C001B" w:tentative="1">
      <w:start w:val="1"/>
      <w:numFmt w:val="lowerRoman"/>
      <w:lvlText w:val="%9."/>
      <w:lvlJc w:val="right"/>
      <w:pPr>
        <w:ind w:left="6408" w:hanging="180"/>
      </w:pPr>
    </w:lvl>
  </w:abstractNum>
  <w:abstractNum w:abstractNumId="11" w15:restartNumberingAfterBreak="0">
    <w:nsid w:val="1E5C796B"/>
    <w:multiLevelType w:val="hybridMultilevel"/>
    <w:tmpl w:val="0574A07E"/>
    <w:lvl w:ilvl="0" w:tplc="68389EC6">
      <w:start w:val="3"/>
      <w:numFmt w:val="decimal"/>
      <w:lvlText w:val="%1."/>
      <w:lvlJc w:val="left"/>
      <w:pPr>
        <w:ind w:left="720" w:hanging="360"/>
      </w:pPr>
      <w:rPr>
        <w:rFonts w:eastAsiaTheme="minorEastAsia"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8F7A6D"/>
    <w:multiLevelType w:val="hybridMultilevel"/>
    <w:tmpl w:val="78BC6382"/>
    <w:lvl w:ilvl="0" w:tplc="0F36FAD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277D4E"/>
    <w:multiLevelType w:val="hybridMultilevel"/>
    <w:tmpl w:val="1896A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1B30CC"/>
    <w:multiLevelType w:val="hybridMultilevel"/>
    <w:tmpl w:val="1FAEA3DA"/>
    <w:lvl w:ilvl="0" w:tplc="653ABB5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AC7A8E"/>
    <w:multiLevelType w:val="hybridMultilevel"/>
    <w:tmpl w:val="CC0C653E"/>
    <w:lvl w:ilvl="0" w:tplc="61A45E24">
      <w:start w:val="2"/>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85579B"/>
    <w:multiLevelType w:val="hybridMultilevel"/>
    <w:tmpl w:val="1F22AB28"/>
    <w:lvl w:ilvl="0" w:tplc="EADED970">
      <w:start w:val="4"/>
      <w:numFmt w:val="decimal"/>
      <w:lvlText w:val="%1."/>
      <w:lvlJc w:val="left"/>
      <w:pPr>
        <w:tabs>
          <w:tab w:val="num" w:pos="558"/>
        </w:tabs>
        <w:ind w:left="342" w:hanging="72"/>
      </w:pPr>
      <w:rPr>
        <w:rFonts w:hint="default"/>
        <w:b w:val="0"/>
        <w:i w:val="0"/>
        <w:lang w:val="en-CA"/>
      </w:rPr>
    </w:lvl>
    <w:lvl w:ilvl="1" w:tplc="0C0C0019" w:tentative="1">
      <w:start w:val="1"/>
      <w:numFmt w:val="lowerLetter"/>
      <w:lvlText w:val="%2."/>
      <w:lvlJc w:val="left"/>
      <w:pPr>
        <w:ind w:left="1368" w:hanging="360"/>
      </w:pPr>
    </w:lvl>
    <w:lvl w:ilvl="2" w:tplc="0C0C001B" w:tentative="1">
      <w:start w:val="1"/>
      <w:numFmt w:val="lowerRoman"/>
      <w:lvlText w:val="%3."/>
      <w:lvlJc w:val="right"/>
      <w:pPr>
        <w:ind w:left="2088" w:hanging="180"/>
      </w:pPr>
    </w:lvl>
    <w:lvl w:ilvl="3" w:tplc="0C0C000F" w:tentative="1">
      <w:start w:val="1"/>
      <w:numFmt w:val="decimal"/>
      <w:lvlText w:val="%4."/>
      <w:lvlJc w:val="left"/>
      <w:pPr>
        <w:ind w:left="2808" w:hanging="360"/>
      </w:pPr>
    </w:lvl>
    <w:lvl w:ilvl="4" w:tplc="0C0C0019" w:tentative="1">
      <w:start w:val="1"/>
      <w:numFmt w:val="lowerLetter"/>
      <w:lvlText w:val="%5."/>
      <w:lvlJc w:val="left"/>
      <w:pPr>
        <w:ind w:left="3528" w:hanging="360"/>
      </w:pPr>
    </w:lvl>
    <w:lvl w:ilvl="5" w:tplc="0C0C001B" w:tentative="1">
      <w:start w:val="1"/>
      <w:numFmt w:val="lowerRoman"/>
      <w:lvlText w:val="%6."/>
      <w:lvlJc w:val="right"/>
      <w:pPr>
        <w:ind w:left="4248" w:hanging="180"/>
      </w:pPr>
    </w:lvl>
    <w:lvl w:ilvl="6" w:tplc="0C0C000F" w:tentative="1">
      <w:start w:val="1"/>
      <w:numFmt w:val="decimal"/>
      <w:lvlText w:val="%7."/>
      <w:lvlJc w:val="left"/>
      <w:pPr>
        <w:ind w:left="4968" w:hanging="360"/>
      </w:pPr>
    </w:lvl>
    <w:lvl w:ilvl="7" w:tplc="0C0C0019" w:tentative="1">
      <w:start w:val="1"/>
      <w:numFmt w:val="lowerLetter"/>
      <w:lvlText w:val="%8."/>
      <w:lvlJc w:val="left"/>
      <w:pPr>
        <w:ind w:left="5688" w:hanging="360"/>
      </w:pPr>
    </w:lvl>
    <w:lvl w:ilvl="8" w:tplc="0C0C001B" w:tentative="1">
      <w:start w:val="1"/>
      <w:numFmt w:val="lowerRoman"/>
      <w:lvlText w:val="%9."/>
      <w:lvlJc w:val="right"/>
      <w:pPr>
        <w:ind w:left="6408" w:hanging="180"/>
      </w:pPr>
    </w:lvl>
  </w:abstractNum>
  <w:abstractNum w:abstractNumId="17" w15:restartNumberingAfterBreak="0">
    <w:nsid w:val="38DC07DA"/>
    <w:multiLevelType w:val="hybridMultilevel"/>
    <w:tmpl w:val="505682C2"/>
    <w:lvl w:ilvl="0" w:tplc="E1DEA73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8F286B"/>
    <w:multiLevelType w:val="hybridMultilevel"/>
    <w:tmpl w:val="CCBA9058"/>
    <w:lvl w:ilvl="0" w:tplc="2BFA96A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EA548E"/>
    <w:multiLevelType w:val="hybridMultilevel"/>
    <w:tmpl w:val="3C784298"/>
    <w:lvl w:ilvl="0" w:tplc="24A4F3F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8F11FD"/>
    <w:multiLevelType w:val="hybridMultilevel"/>
    <w:tmpl w:val="933C0FE4"/>
    <w:lvl w:ilvl="0" w:tplc="E3DABFD6">
      <w:start w:val="1"/>
      <w:numFmt w:val="decimal"/>
      <w:lvlText w:val="%1."/>
      <w:lvlJc w:val="left"/>
      <w:pPr>
        <w:ind w:left="810" w:hanging="360"/>
      </w:pPr>
      <w:rPr>
        <w:rFonts w:hint="default"/>
        <w:b w:val="0"/>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15:restartNumberingAfterBreak="0">
    <w:nsid w:val="4AEF6E26"/>
    <w:multiLevelType w:val="hybridMultilevel"/>
    <w:tmpl w:val="D2BAA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F837B5"/>
    <w:multiLevelType w:val="hybridMultilevel"/>
    <w:tmpl w:val="BDB44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096430"/>
    <w:multiLevelType w:val="hybridMultilevel"/>
    <w:tmpl w:val="BE6813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7A7987"/>
    <w:multiLevelType w:val="hybridMultilevel"/>
    <w:tmpl w:val="0666D9CC"/>
    <w:lvl w:ilvl="0" w:tplc="286C285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C72DEC"/>
    <w:multiLevelType w:val="hybridMultilevel"/>
    <w:tmpl w:val="D0F85A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3C4068"/>
    <w:multiLevelType w:val="hybridMultilevel"/>
    <w:tmpl w:val="E9CE0CF0"/>
    <w:lvl w:ilvl="0" w:tplc="93327E4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B96A31"/>
    <w:multiLevelType w:val="hybridMultilevel"/>
    <w:tmpl w:val="8EA00CA0"/>
    <w:lvl w:ilvl="0" w:tplc="9D0AFB6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0760F4"/>
    <w:multiLevelType w:val="hybridMultilevel"/>
    <w:tmpl w:val="918A04C8"/>
    <w:lvl w:ilvl="0" w:tplc="FE0A6F2E">
      <w:start w:val="4"/>
      <w:numFmt w:val="decimal"/>
      <w:lvlText w:val="%1."/>
      <w:lvlJc w:val="left"/>
      <w:pPr>
        <w:ind w:left="720" w:hanging="360"/>
      </w:pPr>
      <w:rPr>
        <w:rFonts w:hint="default"/>
        <w:b w:val="0"/>
        <w:i w:val="0"/>
        <w:lang w:val="en-C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5A6D96"/>
    <w:multiLevelType w:val="hybridMultilevel"/>
    <w:tmpl w:val="35683D3C"/>
    <w:lvl w:ilvl="0" w:tplc="929CF4B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3926A0"/>
    <w:multiLevelType w:val="hybridMultilevel"/>
    <w:tmpl w:val="B9AA479C"/>
    <w:lvl w:ilvl="0" w:tplc="81868CD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EF1066"/>
    <w:multiLevelType w:val="hybridMultilevel"/>
    <w:tmpl w:val="A000B1FE"/>
    <w:lvl w:ilvl="0" w:tplc="EF285F2E">
      <w:start w:val="2"/>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7D7072"/>
    <w:multiLevelType w:val="hybridMultilevel"/>
    <w:tmpl w:val="0EAE9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396319"/>
    <w:multiLevelType w:val="hybridMultilevel"/>
    <w:tmpl w:val="EA3C8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4359B0"/>
    <w:multiLevelType w:val="hybridMultilevel"/>
    <w:tmpl w:val="7018B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447A21"/>
    <w:multiLevelType w:val="hybridMultilevel"/>
    <w:tmpl w:val="4E660A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391EE3"/>
    <w:multiLevelType w:val="hybridMultilevel"/>
    <w:tmpl w:val="9AAEA436"/>
    <w:lvl w:ilvl="0" w:tplc="22405EB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20"/>
  </w:num>
  <w:num w:numId="3">
    <w:abstractNumId w:val="5"/>
  </w:num>
  <w:num w:numId="4">
    <w:abstractNumId w:val="16"/>
  </w:num>
  <w:num w:numId="5">
    <w:abstractNumId w:val="29"/>
  </w:num>
  <w:num w:numId="6">
    <w:abstractNumId w:val="14"/>
  </w:num>
  <w:num w:numId="7">
    <w:abstractNumId w:val="12"/>
  </w:num>
  <w:num w:numId="8">
    <w:abstractNumId w:val="10"/>
  </w:num>
  <w:num w:numId="9">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21"/>
  </w:num>
  <w:num w:numId="12">
    <w:abstractNumId w:val="0"/>
  </w:num>
  <w:num w:numId="13">
    <w:abstractNumId w:val="30"/>
  </w:num>
  <w:num w:numId="14">
    <w:abstractNumId w:val="27"/>
  </w:num>
  <w:num w:numId="15">
    <w:abstractNumId w:val="19"/>
  </w:num>
  <w:num w:numId="16">
    <w:abstractNumId w:val="32"/>
  </w:num>
  <w:num w:numId="17">
    <w:abstractNumId w:val="15"/>
  </w:num>
  <w:num w:numId="18">
    <w:abstractNumId w:val="23"/>
  </w:num>
  <w:num w:numId="19">
    <w:abstractNumId w:val="35"/>
  </w:num>
  <w:num w:numId="20">
    <w:abstractNumId w:val="17"/>
  </w:num>
  <w:num w:numId="21">
    <w:abstractNumId w:val="4"/>
  </w:num>
  <w:num w:numId="22">
    <w:abstractNumId w:val="3"/>
  </w:num>
  <w:num w:numId="23">
    <w:abstractNumId w:val="25"/>
  </w:num>
  <w:num w:numId="24">
    <w:abstractNumId w:val="24"/>
  </w:num>
  <w:num w:numId="25">
    <w:abstractNumId w:val="36"/>
  </w:num>
  <w:num w:numId="26">
    <w:abstractNumId w:val="11"/>
  </w:num>
  <w:num w:numId="27">
    <w:abstractNumId w:val="13"/>
  </w:num>
  <w:num w:numId="28">
    <w:abstractNumId w:val="28"/>
  </w:num>
  <w:num w:numId="29">
    <w:abstractNumId w:val="26"/>
  </w:num>
  <w:num w:numId="30">
    <w:abstractNumId w:val="7"/>
  </w:num>
  <w:num w:numId="31">
    <w:abstractNumId w:val="31"/>
  </w:num>
  <w:num w:numId="32">
    <w:abstractNumId w:val="18"/>
  </w:num>
  <w:num w:numId="33">
    <w:abstractNumId w:val="6"/>
  </w:num>
  <w:num w:numId="34">
    <w:abstractNumId w:val="1"/>
  </w:num>
  <w:num w:numId="35">
    <w:abstractNumId w:val="8"/>
  </w:num>
  <w:num w:numId="36">
    <w:abstractNumId w:val="34"/>
  </w:num>
  <w:num w:numId="37">
    <w:abstractNumId w:val="9"/>
  </w:num>
  <w:num w:numId="38">
    <w:abstractNumId w:val="2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1599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733"/>
    <w:rsid w:val="00000F97"/>
    <w:rsid w:val="00001309"/>
    <w:rsid w:val="00001846"/>
    <w:rsid w:val="000018E3"/>
    <w:rsid w:val="00001F09"/>
    <w:rsid w:val="000023A0"/>
    <w:rsid w:val="000026D6"/>
    <w:rsid w:val="00003072"/>
    <w:rsid w:val="00003A2D"/>
    <w:rsid w:val="00003D1C"/>
    <w:rsid w:val="00003FFB"/>
    <w:rsid w:val="00004333"/>
    <w:rsid w:val="000043C3"/>
    <w:rsid w:val="00006057"/>
    <w:rsid w:val="00006648"/>
    <w:rsid w:val="00006868"/>
    <w:rsid w:val="0000743E"/>
    <w:rsid w:val="000076E7"/>
    <w:rsid w:val="00010A38"/>
    <w:rsid w:val="000128A2"/>
    <w:rsid w:val="00012FFC"/>
    <w:rsid w:val="00013258"/>
    <w:rsid w:val="000136CC"/>
    <w:rsid w:val="0001374A"/>
    <w:rsid w:val="000147B1"/>
    <w:rsid w:val="00014C19"/>
    <w:rsid w:val="00014CA5"/>
    <w:rsid w:val="00014E32"/>
    <w:rsid w:val="00015958"/>
    <w:rsid w:val="000164DB"/>
    <w:rsid w:val="00016932"/>
    <w:rsid w:val="00016D65"/>
    <w:rsid w:val="00016D95"/>
    <w:rsid w:val="000170AD"/>
    <w:rsid w:val="0001736B"/>
    <w:rsid w:val="0001750E"/>
    <w:rsid w:val="000176FB"/>
    <w:rsid w:val="00017D08"/>
    <w:rsid w:val="000204A5"/>
    <w:rsid w:val="00020797"/>
    <w:rsid w:val="00020816"/>
    <w:rsid w:val="00020A11"/>
    <w:rsid w:val="00020DAE"/>
    <w:rsid w:val="00021515"/>
    <w:rsid w:val="0002267C"/>
    <w:rsid w:val="00022EFE"/>
    <w:rsid w:val="000238E0"/>
    <w:rsid w:val="00024962"/>
    <w:rsid w:val="00024D1A"/>
    <w:rsid w:val="000250B7"/>
    <w:rsid w:val="00025F42"/>
    <w:rsid w:val="00026D5C"/>
    <w:rsid w:val="00027443"/>
    <w:rsid w:val="000276EE"/>
    <w:rsid w:val="00027781"/>
    <w:rsid w:val="000277E1"/>
    <w:rsid w:val="00030233"/>
    <w:rsid w:val="00030382"/>
    <w:rsid w:val="00030D15"/>
    <w:rsid w:val="00032189"/>
    <w:rsid w:val="00032732"/>
    <w:rsid w:val="00032BD3"/>
    <w:rsid w:val="00032CDB"/>
    <w:rsid w:val="00032E02"/>
    <w:rsid w:val="00033071"/>
    <w:rsid w:val="00033257"/>
    <w:rsid w:val="00033935"/>
    <w:rsid w:val="00033D1E"/>
    <w:rsid w:val="00033D28"/>
    <w:rsid w:val="00034387"/>
    <w:rsid w:val="000343B3"/>
    <w:rsid w:val="0003496D"/>
    <w:rsid w:val="00034A7F"/>
    <w:rsid w:val="000352F8"/>
    <w:rsid w:val="00035790"/>
    <w:rsid w:val="000368C3"/>
    <w:rsid w:val="00036DC6"/>
    <w:rsid w:val="0003725B"/>
    <w:rsid w:val="000374DA"/>
    <w:rsid w:val="00040247"/>
    <w:rsid w:val="00040C48"/>
    <w:rsid w:val="00040DBB"/>
    <w:rsid w:val="00040E91"/>
    <w:rsid w:val="00041302"/>
    <w:rsid w:val="000414EB"/>
    <w:rsid w:val="0004159F"/>
    <w:rsid w:val="00041650"/>
    <w:rsid w:val="00041B58"/>
    <w:rsid w:val="00042069"/>
    <w:rsid w:val="00042390"/>
    <w:rsid w:val="00042618"/>
    <w:rsid w:val="0004298B"/>
    <w:rsid w:val="00042E94"/>
    <w:rsid w:val="000437B4"/>
    <w:rsid w:val="00043A5E"/>
    <w:rsid w:val="00043D20"/>
    <w:rsid w:val="00043FDE"/>
    <w:rsid w:val="000457AD"/>
    <w:rsid w:val="000464AC"/>
    <w:rsid w:val="000467DE"/>
    <w:rsid w:val="00046CB2"/>
    <w:rsid w:val="00046DF1"/>
    <w:rsid w:val="00047188"/>
    <w:rsid w:val="0004769C"/>
    <w:rsid w:val="00047941"/>
    <w:rsid w:val="00047CD6"/>
    <w:rsid w:val="00051DE6"/>
    <w:rsid w:val="00052C3A"/>
    <w:rsid w:val="00053B2B"/>
    <w:rsid w:val="00053BAF"/>
    <w:rsid w:val="00054353"/>
    <w:rsid w:val="0005486A"/>
    <w:rsid w:val="00054A01"/>
    <w:rsid w:val="00054F8E"/>
    <w:rsid w:val="00055DB2"/>
    <w:rsid w:val="0005719F"/>
    <w:rsid w:val="000577D9"/>
    <w:rsid w:val="000579A0"/>
    <w:rsid w:val="00060753"/>
    <w:rsid w:val="0006092E"/>
    <w:rsid w:val="00060981"/>
    <w:rsid w:val="00060B08"/>
    <w:rsid w:val="00060B62"/>
    <w:rsid w:val="00061283"/>
    <w:rsid w:val="00062012"/>
    <w:rsid w:val="0006231F"/>
    <w:rsid w:val="0006241B"/>
    <w:rsid w:val="000627A2"/>
    <w:rsid w:val="000629D7"/>
    <w:rsid w:val="0006325B"/>
    <w:rsid w:val="00063516"/>
    <w:rsid w:val="00063A81"/>
    <w:rsid w:val="0006417A"/>
    <w:rsid w:val="000645F4"/>
    <w:rsid w:val="00064D3D"/>
    <w:rsid w:val="000657E8"/>
    <w:rsid w:val="00065F8F"/>
    <w:rsid w:val="00066404"/>
    <w:rsid w:val="0006649C"/>
    <w:rsid w:val="0006663B"/>
    <w:rsid w:val="00066B80"/>
    <w:rsid w:val="00067D24"/>
    <w:rsid w:val="00067F50"/>
    <w:rsid w:val="00070830"/>
    <w:rsid w:val="00070B2E"/>
    <w:rsid w:val="00073B1F"/>
    <w:rsid w:val="0007424A"/>
    <w:rsid w:val="00074E6D"/>
    <w:rsid w:val="00074EB7"/>
    <w:rsid w:val="000757E6"/>
    <w:rsid w:val="00075EC0"/>
    <w:rsid w:val="000770D5"/>
    <w:rsid w:val="00077475"/>
    <w:rsid w:val="00077C71"/>
    <w:rsid w:val="00077CCC"/>
    <w:rsid w:val="00077CF7"/>
    <w:rsid w:val="00077E16"/>
    <w:rsid w:val="00080523"/>
    <w:rsid w:val="00080675"/>
    <w:rsid w:val="000809B3"/>
    <w:rsid w:val="000809F1"/>
    <w:rsid w:val="00080EAB"/>
    <w:rsid w:val="00081348"/>
    <w:rsid w:val="00081C6A"/>
    <w:rsid w:val="00082444"/>
    <w:rsid w:val="000825A5"/>
    <w:rsid w:val="00082885"/>
    <w:rsid w:val="00082D8D"/>
    <w:rsid w:val="00082E05"/>
    <w:rsid w:val="00083162"/>
    <w:rsid w:val="000831D6"/>
    <w:rsid w:val="0008327A"/>
    <w:rsid w:val="00083C1B"/>
    <w:rsid w:val="000841F9"/>
    <w:rsid w:val="000843DB"/>
    <w:rsid w:val="000845AF"/>
    <w:rsid w:val="00084C8D"/>
    <w:rsid w:val="00085BE8"/>
    <w:rsid w:val="00085D13"/>
    <w:rsid w:val="00085E26"/>
    <w:rsid w:val="00086629"/>
    <w:rsid w:val="00087808"/>
    <w:rsid w:val="000879BA"/>
    <w:rsid w:val="00087CEF"/>
    <w:rsid w:val="00090151"/>
    <w:rsid w:val="0009046F"/>
    <w:rsid w:val="00090851"/>
    <w:rsid w:val="00090A95"/>
    <w:rsid w:val="00090D30"/>
    <w:rsid w:val="00091FFC"/>
    <w:rsid w:val="00093575"/>
    <w:rsid w:val="00093693"/>
    <w:rsid w:val="00093B7C"/>
    <w:rsid w:val="00093DFA"/>
    <w:rsid w:val="00093FF5"/>
    <w:rsid w:val="000949BD"/>
    <w:rsid w:val="00094C56"/>
    <w:rsid w:val="00095627"/>
    <w:rsid w:val="00095945"/>
    <w:rsid w:val="00095A2E"/>
    <w:rsid w:val="0009622C"/>
    <w:rsid w:val="0009681E"/>
    <w:rsid w:val="00096BDC"/>
    <w:rsid w:val="00096F2F"/>
    <w:rsid w:val="000970A7"/>
    <w:rsid w:val="000975EC"/>
    <w:rsid w:val="00097C55"/>
    <w:rsid w:val="000A0444"/>
    <w:rsid w:val="000A0472"/>
    <w:rsid w:val="000A0F64"/>
    <w:rsid w:val="000A152E"/>
    <w:rsid w:val="000A1691"/>
    <w:rsid w:val="000A1891"/>
    <w:rsid w:val="000A1E61"/>
    <w:rsid w:val="000A20B0"/>
    <w:rsid w:val="000A245A"/>
    <w:rsid w:val="000A2C8D"/>
    <w:rsid w:val="000A397A"/>
    <w:rsid w:val="000A4311"/>
    <w:rsid w:val="000A43F5"/>
    <w:rsid w:val="000A4752"/>
    <w:rsid w:val="000A4D7E"/>
    <w:rsid w:val="000A50F9"/>
    <w:rsid w:val="000A53E5"/>
    <w:rsid w:val="000A6C60"/>
    <w:rsid w:val="000A6F64"/>
    <w:rsid w:val="000A7017"/>
    <w:rsid w:val="000A76D7"/>
    <w:rsid w:val="000A7798"/>
    <w:rsid w:val="000A78FC"/>
    <w:rsid w:val="000A7978"/>
    <w:rsid w:val="000A7C00"/>
    <w:rsid w:val="000A7E1F"/>
    <w:rsid w:val="000B02A2"/>
    <w:rsid w:val="000B07FB"/>
    <w:rsid w:val="000B10DF"/>
    <w:rsid w:val="000B1297"/>
    <w:rsid w:val="000B163F"/>
    <w:rsid w:val="000B29B7"/>
    <w:rsid w:val="000B2CB2"/>
    <w:rsid w:val="000B38C9"/>
    <w:rsid w:val="000B46A2"/>
    <w:rsid w:val="000B47C0"/>
    <w:rsid w:val="000B503B"/>
    <w:rsid w:val="000B5E52"/>
    <w:rsid w:val="000B6193"/>
    <w:rsid w:val="000B6AB3"/>
    <w:rsid w:val="000B7258"/>
    <w:rsid w:val="000B754A"/>
    <w:rsid w:val="000B7552"/>
    <w:rsid w:val="000B76DB"/>
    <w:rsid w:val="000B7CBE"/>
    <w:rsid w:val="000B7E41"/>
    <w:rsid w:val="000B7EF2"/>
    <w:rsid w:val="000C0262"/>
    <w:rsid w:val="000C02C5"/>
    <w:rsid w:val="000C0E20"/>
    <w:rsid w:val="000C10EA"/>
    <w:rsid w:val="000C164B"/>
    <w:rsid w:val="000C182C"/>
    <w:rsid w:val="000C18B8"/>
    <w:rsid w:val="000C236F"/>
    <w:rsid w:val="000C2ADE"/>
    <w:rsid w:val="000C2CA7"/>
    <w:rsid w:val="000C321D"/>
    <w:rsid w:val="000C3667"/>
    <w:rsid w:val="000C3E83"/>
    <w:rsid w:val="000C41A6"/>
    <w:rsid w:val="000C41C9"/>
    <w:rsid w:val="000C467B"/>
    <w:rsid w:val="000C4781"/>
    <w:rsid w:val="000C4D58"/>
    <w:rsid w:val="000C53A3"/>
    <w:rsid w:val="000C572E"/>
    <w:rsid w:val="000C61C7"/>
    <w:rsid w:val="000C6AA2"/>
    <w:rsid w:val="000C6C97"/>
    <w:rsid w:val="000C7179"/>
    <w:rsid w:val="000C7BD5"/>
    <w:rsid w:val="000D002C"/>
    <w:rsid w:val="000D031D"/>
    <w:rsid w:val="000D070B"/>
    <w:rsid w:val="000D1ABF"/>
    <w:rsid w:val="000D1DDF"/>
    <w:rsid w:val="000D2200"/>
    <w:rsid w:val="000D262B"/>
    <w:rsid w:val="000D2F5C"/>
    <w:rsid w:val="000D2F8A"/>
    <w:rsid w:val="000D3129"/>
    <w:rsid w:val="000D3C7E"/>
    <w:rsid w:val="000D4BBF"/>
    <w:rsid w:val="000D556A"/>
    <w:rsid w:val="000D6416"/>
    <w:rsid w:val="000D66BD"/>
    <w:rsid w:val="000D6FB8"/>
    <w:rsid w:val="000D793B"/>
    <w:rsid w:val="000E0D38"/>
    <w:rsid w:val="000E1AEC"/>
    <w:rsid w:val="000E1B37"/>
    <w:rsid w:val="000E1FB7"/>
    <w:rsid w:val="000E2C70"/>
    <w:rsid w:val="000E2E04"/>
    <w:rsid w:val="000E3195"/>
    <w:rsid w:val="000E35CD"/>
    <w:rsid w:val="000E391F"/>
    <w:rsid w:val="000E3CC1"/>
    <w:rsid w:val="000E4801"/>
    <w:rsid w:val="000E4F1E"/>
    <w:rsid w:val="000E50F2"/>
    <w:rsid w:val="000E514D"/>
    <w:rsid w:val="000E51E9"/>
    <w:rsid w:val="000E5407"/>
    <w:rsid w:val="000E5979"/>
    <w:rsid w:val="000E5CCD"/>
    <w:rsid w:val="000E62FB"/>
    <w:rsid w:val="000E6310"/>
    <w:rsid w:val="000E68D3"/>
    <w:rsid w:val="000E6D46"/>
    <w:rsid w:val="000E6E56"/>
    <w:rsid w:val="000F03FB"/>
    <w:rsid w:val="000F04BF"/>
    <w:rsid w:val="000F0595"/>
    <w:rsid w:val="000F12B8"/>
    <w:rsid w:val="000F12C9"/>
    <w:rsid w:val="000F1BDC"/>
    <w:rsid w:val="000F233F"/>
    <w:rsid w:val="000F2CAD"/>
    <w:rsid w:val="000F3118"/>
    <w:rsid w:val="000F3522"/>
    <w:rsid w:val="000F3662"/>
    <w:rsid w:val="000F4B29"/>
    <w:rsid w:val="000F4C35"/>
    <w:rsid w:val="000F525E"/>
    <w:rsid w:val="000F5511"/>
    <w:rsid w:val="000F62C7"/>
    <w:rsid w:val="000F6CBD"/>
    <w:rsid w:val="0010013D"/>
    <w:rsid w:val="00100C1C"/>
    <w:rsid w:val="00100CEE"/>
    <w:rsid w:val="001017D1"/>
    <w:rsid w:val="00101E4B"/>
    <w:rsid w:val="00102395"/>
    <w:rsid w:val="001029D6"/>
    <w:rsid w:val="00102F8F"/>
    <w:rsid w:val="001033B2"/>
    <w:rsid w:val="001043C6"/>
    <w:rsid w:val="00105612"/>
    <w:rsid w:val="00105EA6"/>
    <w:rsid w:val="0010618E"/>
    <w:rsid w:val="001068F5"/>
    <w:rsid w:val="00106D48"/>
    <w:rsid w:val="00107219"/>
    <w:rsid w:val="00107693"/>
    <w:rsid w:val="00107A49"/>
    <w:rsid w:val="00107DAF"/>
    <w:rsid w:val="001101BB"/>
    <w:rsid w:val="00110FE1"/>
    <w:rsid w:val="001120A0"/>
    <w:rsid w:val="0011219D"/>
    <w:rsid w:val="00113F0C"/>
    <w:rsid w:val="0011442D"/>
    <w:rsid w:val="001147A4"/>
    <w:rsid w:val="00114929"/>
    <w:rsid w:val="00115653"/>
    <w:rsid w:val="00115CF1"/>
    <w:rsid w:val="001170C6"/>
    <w:rsid w:val="00117137"/>
    <w:rsid w:val="00117AF3"/>
    <w:rsid w:val="00117C0F"/>
    <w:rsid w:val="00117C68"/>
    <w:rsid w:val="0012000C"/>
    <w:rsid w:val="001200D6"/>
    <w:rsid w:val="00120360"/>
    <w:rsid w:val="0012068C"/>
    <w:rsid w:val="001207F9"/>
    <w:rsid w:val="00120BC7"/>
    <w:rsid w:val="00120C2F"/>
    <w:rsid w:val="00120CA0"/>
    <w:rsid w:val="00121008"/>
    <w:rsid w:val="0012101A"/>
    <w:rsid w:val="001215D6"/>
    <w:rsid w:val="0012202C"/>
    <w:rsid w:val="00122CE1"/>
    <w:rsid w:val="00122E2B"/>
    <w:rsid w:val="00123976"/>
    <w:rsid w:val="00124629"/>
    <w:rsid w:val="00124DEC"/>
    <w:rsid w:val="00124EFD"/>
    <w:rsid w:val="0012577E"/>
    <w:rsid w:val="0012596E"/>
    <w:rsid w:val="00125F7D"/>
    <w:rsid w:val="001260C8"/>
    <w:rsid w:val="001262EF"/>
    <w:rsid w:val="0012655D"/>
    <w:rsid w:val="00126583"/>
    <w:rsid w:val="00126B65"/>
    <w:rsid w:val="0012732F"/>
    <w:rsid w:val="00130339"/>
    <w:rsid w:val="001307C5"/>
    <w:rsid w:val="00130ADB"/>
    <w:rsid w:val="001311F8"/>
    <w:rsid w:val="00131433"/>
    <w:rsid w:val="0013159F"/>
    <w:rsid w:val="001319D2"/>
    <w:rsid w:val="00131EB1"/>
    <w:rsid w:val="00132635"/>
    <w:rsid w:val="0013283A"/>
    <w:rsid w:val="00134190"/>
    <w:rsid w:val="00134A11"/>
    <w:rsid w:val="00134F05"/>
    <w:rsid w:val="001354E7"/>
    <w:rsid w:val="00135A54"/>
    <w:rsid w:val="00136710"/>
    <w:rsid w:val="0013672B"/>
    <w:rsid w:val="00136FEB"/>
    <w:rsid w:val="001375B7"/>
    <w:rsid w:val="00137CFA"/>
    <w:rsid w:val="00137F05"/>
    <w:rsid w:val="001400A0"/>
    <w:rsid w:val="00140982"/>
    <w:rsid w:val="00140CFB"/>
    <w:rsid w:val="00140F37"/>
    <w:rsid w:val="00141200"/>
    <w:rsid w:val="00141591"/>
    <w:rsid w:val="0014172A"/>
    <w:rsid w:val="0014187A"/>
    <w:rsid w:val="00141FBC"/>
    <w:rsid w:val="001422C9"/>
    <w:rsid w:val="0014243F"/>
    <w:rsid w:val="0014294E"/>
    <w:rsid w:val="00142C72"/>
    <w:rsid w:val="001432CD"/>
    <w:rsid w:val="001432DF"/>
    <w:rsid w:val="00143447"/>
    <w:rsid w:val="00143519"/>
    <w:rsid w:val="001437C9"/>
    <w:rsid w:val="00143B74"/>
    <w:rsid w:val="00143E7A"/>
    <w:rsid w:val="00144111"/>
    <w:rsid w:val="00144A29"/>
    <w:rsid w:val="00147BE4"/>
    <w:rsid w:val="00147CDB"/>
    <w:rsid w:val="00147DDC"/>
    <w:rsid w:val="00147DE3"/>
    <w:rsid w:val="00147E04"/>
    <w:rsid w:val="00150453"/>
    <w:rsid w:val="00150A0F"/>
    <w:rsid w:val="00150C10"/>
    <w:rsid w:val="00150D1B"/>
    <w:rsid w:val="00151336"/>
    <w:rsid w:val="00152366"/>
    <w:rsid w:val="00152EC0"/>
    <w:rsid w:val="00153B2D"/>
    <w:rsid w:val="00153B85"/>
    <w:rsid w:val="001553A8"/>
    <w:rsid w:val="001554CE"/>
    <w:rsid w:val="00155FD8"/>
    <w:rsid w:val="0015605D"/>
    <w:rsid w:val="001560EC"/>
    <w:rsid w:val="001561DC"/>
    <w:rsid w:val="00156508"/>
    <w:rsid w:val="0015754D"/>
    <w:rsid w:val="00157B04"/>
    <w:rsid w:val="00157BD4"/>
    <w:rsid w:val="00160284"/>
    <w:rsid w:val="0016057A"/>
    <w:rsid w:val="00160866"/>
    <w:rsid w:val="0016091C"/>
    <w:rsid w:val="00160E97"/>
    <w:rsid w:val="00161774"/>
    <w:rsid w:val="00161E40"/>
    <w:rsid w:val="00161F83"/>
    <w:rsid w:val="0016346F"/>
    <w:rsid w:val="00163837"/>
    <w:rsid w:val="00163A54"/>
    <w:rsid w:val="00164559"/>
    <w:rsid w:val="00164791"/>
    <w:rsid w:val="00165EAA"/>
    <w:rsid w:val="00165EDD"/>
    <w:rsid w:val="001665EA"/>
    <w:rsid w:val="00166949"/>
    <w:rsid w:val="00167721"/>
    <w:rsid w:val="00170788"/>
    <w:rsid w:val="001708BE"/>
    <w:rsid w:val="0017098A"/>
    <w:rsid w:val="00170A70"/>
    <w:rsid w:val="00170C21"/>
    <w:rsid w:val="001716F7"/>
    <w:rsid w:val="00171A6F"/>
    <w:rsid w:val="00172993"/>
    <w:rsid w:val="00173064"/>
    <w:rsid w:val="001732B2"/>
    <w:rsid w:val="00173621"/>
    <w:rsid w:val="001739C2"/>
    <w:rsid w:val="00173B3A"/>
    <w:rsid w:val="00173FCF"/>
    <w:rsid w:val="00174655"/>
    <w:rsid w:val="00174D90"/>
    <w:rsid w:val="00175977"/>
    <w:rsid w:val="0017605B"/>
    <w:rsid w:val="001761EF"/>
    <w:rsid w:val="0017656E"/>
    <w:rsid w:val="00176784"/>
    <w:rsid w:val="00176790"/>
    <w:rsid w:val="00176D8B"/>
    <w:rsid w:val="0017751F"/>
    <w:rsid w:val="00180435"/>
    <w:rsid w:val="001809E0"/>
    <w:rsid w:val="00181375"/>
    <w:rsid w:val="001813C3"/>
    <w:rsid w:val="00181855"/>
    <w:rsid w:val="001819DA"/>
    <w:rsid w:val="00181FCF"/>
    <w:rsid w:val="00182693"/>
    <w:rsid w:val="001826A0"/>
    <w:rsid w:val="00182705"/>
    <w:rsid w:val="00182DFB"/>
    <w:rsid w:val="00182E38"/>
    <w:rsid w:val="001838E0"/>
    <w:rsid w:val="00183A15"/>
    <w:rsid w:val="00183F61"/>
    <w:rsid w:val="001845F7"/>
    <w:rsid w:val="001852AE"/>
    <w:rsid w:val="00185355"/>
    <w:rsid w:val="00185483"/>
    <w:rsid w:val="00185D52"/>
    <w:rsid w:val="0018601D"/>
    <w:rsid w:val="0018628A"/>
    <w:rsid w:val="001866BF"/>
    <w:rsid w:val="00186884"/>
    <w:rsid w:val="00187102"/>
    <w:rsid w:val="00187119"/>
    <w:rsid w:val="001878EB"/>
    <w:rsid w:val="0019000C"/>
    <w:rsid w:val="0019030D"/>
    <w:rsid w:val="0019076F"/>
    <w:rsid w:val="0019092C"/>
    <w:rsid w:val="00190C7A"/>
    <w:rsid w:val="00190E9E"/>
    <w:rsid w:val="00190F7F"/>
    <w:rsid w:val="0019269B"/>
    <w:rsid w:val="001929EF"/>
    <w:rsid w:val="00192AB3"/>
    <w:rsid w:val="00192F7F"/>
    <w:rsid w:val="001939CB"/>
    <w:rsid w:val="00193F5B"/>
    <w:rsid w:val="00194559"/>
    <w:rsid w:val="001947C1"/>
    <w:rsid w:val="001948EC"/>
    <w:rsid w:val="00194F2A"/>
    <w:rsid w:val="0019508F"/>
    <w:rsid w:val="001953F2"/>
    <w:rsid w:val="0019547E"/>
    <w:rsid w:val="00195688"/>
    <w:rsid w:val="00196BE4"/>
    <w:rsid w:val="0019734C"/>
    <w:rsid w:val="0019776A"/>
    <w:rsid w:val="001A0137"/>
    <w:rsid w:val="001A06DE"/>
    <w:rsid w:val="001A08FF"/>
    <w:rsid w:val="001A17B1"/>
    <w:rsid w:val="001A1AE7"/>
    <w:rsid w:val="001A2314"/>
    <w:rsid w:val="001A3100"/>
    <w:rsid w:val="001A3A22"/>
    <w:rsid w:val="001A3AA1"/>
    <w:rsid w:val="001A3CBF"/>
    <w:rsid w:val="001A3F98"/>
    <w:rsid w:val="001A4109"/>
    <w:rsid w:val="001A4547"/>
    <w:rsid w:val="001A48FB"/>
    <w:rsid w:val="001A4C89"/>
    <w:rsid w:val="001A562F"/>
    <w:rsid w:val="001A646C"/>
    <w:rsid w:val="001A66AF"/>
    <w:rsid w:val="001B0800"/>
    <w:rsid w:val="001B09DF"/>
    <w:rsid w:val="001B100D"/>
    <w:rsid w:val="001B1019"/>
    <w:rsid w:val="001B1B0D"/>
    <w:rsid w:val="001B2087"/>
    <w:rsid w:val="001B2704"/>
    <w:rsid w:val="001B2C82"/>
    <w:rsid w:val="001B2F6B"/>
    <w:rsid w:val="001B354E"/>
    <w:rsid w:val="001B3657"/>
    <w:rsid w:val="001B3EDD"/>
    <w:rsid w:val="001B3EE2"/>
    <w:rsid w:val="001B43FF"/>
    <w:rsid w:val="001B4478"/>
    <w:rsid w:val="001B4569"/>
    <w:rsid w:val="001B484F"/>
    <w:rsid w:val="001B4B99"/>
    <w:rsid w:val="001B5B2D"/>
    <w:rsid w:val="001B5EB4"/>
    <w:rsid w:val="001B6030"/>
    <w:rsid w:val="001B68D3"/>
    <w:rsid w:val="001B6F65"/>
    <w:rsid w:val="001B72AE"/>
    <w:rsid w:val="001B76EB"/>
    <w:rsid w:val="001B776A"/>
    <w:rsid w:val="001B77A1"/>
    <w:rsid w:val="001B7B29"/>
    <w:rsid w:val="001C0B1F"/>
    <w:rsid w:val="001C0C39"/>
    <w:rsid w:val="001C0E0C"/>
    <w:rsid w:val="001C1A1F"/>
    <w:rsid w:val="001C1B4B"/>
    <w:rsid w:val="001C2BA0"/>
    <w:rsid w:val="001C2F21"/>
    <w:rsid w:val="001C321B"/>
    <w:rsid w:val="001C3C19"/>
    <w:rsid w:val="001C3E96"/>
    <w:rsid w:val="001C3ED4"/>
    <w:rsid w:val="001C4E12"/>
    <w:rsid w:val="001C567B"/>
    <w:rsid w:val="001C5E6C"/>
    <w:rsid w:val="001C6066"/>
    <w:rsid w:val="001C6815"/>
    <w:rsid w:val="001C6B3A"/>
    <w:rsid w:val="001C7591"/>
    <w:rsid w:val="001D006E"/>
    <w:rsid w:val="001D0423"/>
    <w:rsid w:val="001D073F"/>
    <w:rsid w:val="001D0DE3"/>
    <w:rsid w:val="001D1020"/>
    <w:rsid w:val="001D15CF"/>
    <w:rsid w:val="001D1E16"/>
    <w:rsid w:val="001D235D"/>
    <w:rsid w:val="001D2555"/>
    <w:rsid w:val="001D2DE5"/>
    <w:rsid w:val="001D337C"/>
    <w:rsid w:val="001D380D"/>
    <w:rsid w:val="001D3DE8"/>
    <w:rsid w:val="001D41F0"/>
    <w:rsid w:val="001D65C6"/>
    <w:rsid w:val="001D6CED"/>
    <w:rsid w:val="001D6DDC"/>
    <w:rsid w:val="001E04E8"/>
    <w:rsid w:val="001E184B"/>
    <w:rsid w:val="001E1EE3"/>
    <w:rsid w:val="001E1F20"/>
    <w:rsid w:val="001E26B5"/>
    <w:rsid w:val="001E2AA6"/>
    <w:rsid w:val="001E386F"/>
    <w:rsid w:val="001E394B"/>
    <w:rsid w:val="001E3BCD"/>
    <w:rsid w:val="001E3D7B"/>
    <w:rsid w:val="001E4522"/>
    <w:rsid w:val="001E4E84"/>
    <w:rsid w:val="001E4EBC"/>
    <w:rsid w:val="001E4F0D"/>
    <w:rsid w:val="001E5107"/>
    <w:rsid w:val="001E55D4"/>
    <w:rsid w:val="001E6376"/>
    <w:rsid w:val="001E71B5"/>
    <w:rsid w:val="001E7B18"/>
    <w:rsid w:val="001F0D95"/>
    <w:rsid w:val="001F15CD"/>
    <w:rsid w:val="001F1A6D"/>
    <w:rsid w:val="001F1F3F"/>
    <w:rsid w:val="001F27B1"/>
    <w:rsid w:val="001F2F00"/>
    <w:rsid w:val="001F348D"/>
    <w:rsid w:val="001F3AE7"/>
    <w:rsid w:val="001F413E"/>
    <w:rsid w:val="001F47D0"/>
    <w:rsid w:val="001F5B11"/>
    <w:rsid w:val="001F5D0F"/>
    <w:rsid w:val="001F6550"/>
    <w:rsid w:val="001F69E8"/>
    <w:rsid w:val="001F7038"/>
    <w:rsid w:val="001F7320"/>
    <w:rsid w:val="001F77B6"/>
    <w:rsid w:val="00200F31"/>
    <w:rsid w:val="002012D7"/>
    <w:rsid w:val="00201B26"/>
    <w:rsid w:val="0020221F"/>
    <w:rsid w:val="00202E67"/>
    <w:rsid w:val="00203AEA"/>
    <w:rsid w:val="00203D33"/>
    <w:rsid w:val="00204D0F"/>
    <w:rsid w:val="00205051"/>
    <w:rsid w:val="0020794A"/>
    <w:rsid w:val="00207A23"/>
    <w:rsid w:val="00207C7F"/>
    <w:rsid w:val="00210B48"/>
    <w:rsid w:val="00211174"/>
    <w:rsid w:val="0021175A"/>
    <w:rsid w:val="00211B9D"/>
    <w:rsid w:val="00211BCE"/>
    <w:rsid w:val="002120BD"/>
    <w:rsid w:val="00212962"/>
    <w:rsid w:val="00213196"/>
    <w:rsid w:val="00214731"/>
    <w:rsid w:val="00214F01"/>
    <w:rsid w:val="0021540E"/>
    <w:rsid w:val="00215C9A"/>
    <w:rsid w:val="0021615A"/>
    <w:rsid w:val="002169FE"/>
    <w:rsid w:val="00216F58"/>
    <w:rsid w:val="00217135"/>
    <w:rsid w:val="00220296"/>
    <w:rsid w:val="0022132D"/>
    <w:rsid w:val="00221D16"/>
    <w:rsid w:val="00221D27"/>
    <w:rsid w:val="00222064"/>
    <w:rsid w:val="00222CAE"/>
    <w:rsid w:val="00223622"/>
    <w:rsid w:val="002237D8"/>
    <w:rsid w:val="0022382C"/>
    <w:rsid w:val="00223B83"/>
    <w:rsid w:val="00223DAB"/>
    <w:rsid w:val="00224D56"/>
    <w:rsid w:val="0022536E"/>
    <w:rsid w:val="002258F4"/>
    <w:rsid w:val="00225A53"/>
    <w:rsid w:val="00225C88"/>
    <w:rsid w:val="002262C4"/>
    <w:rsid w:val="002264F4"/>
    <w:rsid w:val="002277F0"/>
    <w:rsid w:val="00227A81"/>
    <w:rsid w:val="00230A52"/>
    <w:rsid w:val="00230B9E"/>
    <w:rsid w:val="00231427"/>
    <w:rsid w:val="00231B27"/>
    <w:rsid w:val="00231FE3"/>
    <w:rsid w:val="002326CA"/>
    <w:rsid w:val="00232934"/>
    <w:rsid w:val="00232BAB"/>
    <w:rsid w:val="00233057"/>
    <w:rsid w:val="002331EC"/>
    <w:rsid w:val="00233ABC"/>
    <w:rsid w:val="00233FCC"/>
    <w:rsid w:val="00234906"/>
    <w:rsid w:val="00234A3D"/>
    <w:rsid w:val="00235ACB"/>
    <w:rsid w:val="00235DEC"/>
    <w:rsid w:val="00235E6A"/>
    <w:rsid w:val="00236B10"/>
    <w:rsid w:val="00236EEA"/>
    <w:rsid w:val="002372B2"/>
    <w:rsid w:val="0023785A"/>
    <w:rsid w:val="00237DD0"/>
    <w:rsid w:val="002401C8"/>
    <w:rsid w:val="002407C6"/>
    <w:rsid w:val="00240AF3"/>
    <w:rsid w:val="00240DEB"/>
    <w:rsid w:val="0024142D"/>
    <w:rsid w:val="00241714"/>
    <w:rsid w:val="00241F1E"/>
    <w:rsid w:val="0024354E"/>
    <w:rsid w:val="00243D06"/>
    <w:rsid w:val="002442D3"/>
    <w:rsid w:val="00244391"/>
    <w:rsid w:val="002449C0"/>
    <w:rsid w:val="00244CDD"/>
    <w:rsid w:val="00245302"/>
    <w:rsid w:val="0024568B"/>
    <w:rsid w:val="00245D73"/>
    <w:rsid w:val="002460F2"/>
    <w:rsid w:val="00246374"/>
    <w:rsid w:val="002472FE"/>
    <w:rsid w:val="002477B4"/>
    <w:rsid w:val="0025030E"/>
    <w:rsid w:val="002503B8"/>
    <w:rsid w:val="00250F72"/>
    <w:rsid w:val="002514CA"/>
    <w:rsid w:val="00252675"/>
    <w:rsid w:val="00252803"/>
    <w:rsid w:val="00252FDB"/>
    <w:rsid w:val="0025369C"/>
    <w:rsid w:val="00254AAA"/>
    <w:rsid w:val="0025559A"/>
    <w:rsid w:val="00255E07"/>
    <w:rsid w:val="002567CD"/>
    <w:rsid w:val="00257287"/>
    <w:rsid w:val="00257322"/>
    <w:rsid w:val="002574ED"/>
    <w:rsid w:val="002576B5"/>
    <w:rsid w:val="0025785E"/>
    <w:rsid w:val="00260B9A"/>
    <w:rsid w:val="002612BE"/>
    <w:rsid w:val="002613AC"/>
    <w:rsid w:val="0026148A"/>
    <w:rsid w:val="002614AF"/>
    <w:rsid w:val="00261D3C"/>
    <w:rsid w:val="00262C42"/>
    <w:rsid w:val="0026349D"/>
    <w:rsid w:val="00263AF2"/>
    <w:rsid w:val="00264405"/>
    <w:rsid w:val="00265174"/>
    <w:rsid w:val="00266503"/>
    <w:rsid w:val="00266E0E"/>
    <w:rsid w:val="00266FD4"/>
    <w:rsid w:val="002671CC"/>
    <w:rsid w:val="00267241"/>
    <w:rsid w:val="002676FA"/>
    <w:rsid w:val="002677C2"/>
    <w:rsid w:val="002678E2"/>
    <w:rsid w:val="00267CA4"/>
    <w:rsid w:val="00267F57"/>
    <w:rsid w:val="00270135"/>
    <w:rsid w:val="0027099E"/>
    <w:rsid w:val="002709E7"/>
    <w:rsid w:val="00271222"/>
    <w:rsid w:val="00271B2A"/>
    <w:rsid w:val="00272101"/>
    <w:rsid w:val="002728FA"/>
    <w:rsid w:val="0027369C"/>
    <w:rsid w:val="00273706"/>
    <w:rsid w:val="00273FF3"/>
    <w:rsid w:val="00274A18"/>
    <w:rsid w:val="00274B8F"/>
    <w:rsid w:val="00274D9D"/>
    <w:rsid w:val="002769B7"/>
    <w:rsid w:val="00276C42"/>
    <w:rsid w:val="002775A0"/>
    <w:rsid w:val="0027764C"/>
    <w:rsid w:val="00280C4C"/>
    <w:rsid w:val="00280E55"/>
    <w:rsid w:val="0028141B"/>
    <w:rsid w:val="00281E59"/>
    <w:rsid w:val="00282861"/>
    <w:rsid w:val="00282FEC"/>
    <w:rsid w:val="00282FF3"/>
    <w:rsid w:val="0028364E"/>
    <w:rsid w:val="00284655"/>
    <w:rsid w:val="002848CB"/>
    <w:rsid w:val="00284D72"/>
    <w:rsid w:val="0028541A"/>
    <w:rsid w:val="00285776"/>
    <w:rsid w:val="002858BA"/>
    <w:rsid w:val="0028661B"/>
    <w:rsid w:val="002866B6"/>
    <w:rsid w:val="002866D9"/>
    <w:rsid w:val="0028686B"/>
    <w:rsid w:val="002912A0"/>
    <w:rsid w:val="0029184C"/>
    <w:rsid w:val="0029235D"/>
    <w:rsid w:val="00292574"/>
    <w:rsid w:val="002926A4"/>
    <w:rsid w:val="0029283C"/>
    <w:rsid w:val="00292EA2"/>
    <w:rsid w:val="00292F35"/>
    <w:rsid w:val="00292F9A"/>
    <w:rsid w:val="0029396A"/>
    <w:rsid w:val="00293DE2"/>
    <w:rsid w:val="00294D80"/>
    <w:rsid w:val="00295E8C"/>
    <w:rsid w:val="00296148"/>
    <w:rsid w:val="0029649C"/>
    <w:rsid w:val="0029655E"/>
    <w:rsid w:val="00296FB8"/>
    <w:rsid w:val="0029771E"/>
    <w:rsid w:val="002A01ED"/>
    <w:rsid w:val="002A04CF"/>
    <w:rsid w:val="002A0621"/>
    <w:rsid w:val="002A07B1"/>
    <w:rsid w:val="002A0B1A"/>
    <w:rsid w:val="002A17E0"/>
    <w:rsid w:val="002A21C3"/>
    <w:rsid w:val="002A4053"/>
    <w:rsid w:val="002A44EF"/>
    <w:rsid w:val="002A4823"/>
    <w:rsid w:val="002A50D2"/>
    <w:rsid w:val="002A5245"/>
    <w:rsid w:val="002A55D1"/>
    <w:rsid w:val="002A5C41"/>
    <w:rsid w:val="002A5CF5"/>
    <w:rsid w:val="002A60FB"/>
    <w:rsid w:val="002A63B1"/>
    <w:rsid w:val="002A6D5F"/>
    <w:rsid w:val="002A6EA4"/>
    <w:rsid w:val="002A7839"/>
    <w:rsid w:val="002A7B04"/>
    <w:rsid w:val="002A7E9D"/>
    <w:rsid w:val="002B0D7E"/>
    <w:rsid w:val="002B0E75"/>
    <w:rsid w:val="002B0F51"/>
    <w:rsid w:val="002B15AC"/>
    <w:rsid w:val="002B193B"/>
    <w:rsid w:val="002B19FB"/>
    <w:rsid w:val="002B33EC"/>
    <w:rsid w:val="002B36C3"/>
    <w:rsid w:val="002B3812"/>
    <w:rsid w:val="002B383A"/>
    <w:rsid w:val="002B4BA7"/>
    <w:rsid w:val="002B532E"/>
    <w:rsid w:val="002B543A"/>
    <w:rsid w:val="002B5525"/>
    <w:rsid w:val="002B5A2E"/>
    <w:rsid w:val="002B5A4B"/>
    <w:rsid w:val="002B5AA3"/>
    <w:rsid w:val="002B61A8"/>
    <w:rsid w:val="002B678E"/>
    <w:rsid w:val="002B68FE"/>
    <w:rsid w:val="002B7AFC"/>
    <w:rsid w:val="002C0717"/>
    <w:rsid w:val="002C0BC3"/>
    <w:rsid w:val="002C0D00"/>
    <w:rsid w:val="002C10D1"/>
    <w:rsid w:val="002C1CFA"/>
    <w:rsid w:val="002C239C"/>
    <w:rsid w:val="002C2F4E"/>
    <w:rsid w:val="002C30B8"/>
    <w:rsid w:val="002C30BF"/>
    <w:rsid w:val="002C356F"/>
    <w:rsid w:val="002C3A5F"/>
    <w:rsid w:val="002C3CEB"/>
    <w:rsid w:val="002C433A"/>
    <w:rsid w:val="002C43CD"/>
    <w:rsid w:val="002C4406"/>
    <w:rsid w:val="002C4DD7"/>
    <w:rsid w:val="002C4E55"/>
    <w:rsid w:val="002C5754"/>
    <w:rsid w:val="002C5E29"/>
    <w:rsid w:val="002C6BF5"/>
    <w:rsid w:val="002C6D79"/>
    <w:rsid w:val="002C765A"/>
    <w:rsid w:val="002C7B4C"/>
    <w:rsid w:val="002C7F3E"/>
    <w:rsid w:val="002D0C49"/>
    <w:rsid w:val="002D0F70"/>
    <w:rsid w:val="002D1469"/>
    <w:rsid w:val="002D212F"/>
    <w:rsid w:val="002D2333"/>
    <w:rsid w:val="002D2553"/>
    <w:rsid w:val="002D2624"/>
    <w:rsid w:val="002D43A1"/>
    <w:rsid w:val="002D48D1"/>
    <w:rsid w:val="002D54D8"/>
    <w:rsid w:val="002D6310"/>
    <w:rsid w:val="002D63D6"/>
    <w:rsid w:val="002D667F"/>
    <w:rsid w:val="002D6680"/>
    <w:rsid w:val="002D6EFA"/>
    <w:rsid w:val="002D79DB"/>
    <w:rsid w:val="002D7F1A"/>
    <w:rsid w:val="002E00CC"/>
    <w:rsid w:val="002E0473"/>
    <w:rsid w:val="002E0BB8"/>
    <w:rsid w:val="002E1197"/>
    <w:rsid w:val="002E1312"/>
    <w:rsid w:val="002E1AB7"/>
    <w:rsid w:val="002E1AF1"/>
    <w:rsid w:val="002E1F29"/>
    <w:rsid w:val="002E24D4"/>
    <w:rsid w:val="002E293D"/>
    <w:rsid w:val="002E2A27"/>
    <w:rsid w:val="002E3911"/>
    <w:rsid w:val="002E3E8A"/>
    <w:rsid w:val="002E527B"/>
    <w:rsid w:val="002E56B2"/>
    <w:rsid w:val="002E5ACF"/>
    <w:rsid w:val="002E604B"/>
    <w:rsid w:val="002E6084"/>
    <w:rsid w:val="002E710B"/>
    <w:rsid w:val="002E7C69"/>
    <w:rsid w:val="002F06D0"/>
    <w:rsid w:val="002F15AD"/>
    <w:rsid w:val="002F2385"/>
    <w:rsid w:val="002F2CF2"/>
    <w:rsid w:val="002F369F"/>
    <w:rsid w:val="002F3830"/>
    <w:rsid w:val="002F38D7"/>
    <w:rsid w:val="002F3EFA"/>
    <w:rsid w:val="002F40EA"/>
    <w:rsid w:val="002F42D9"/>
    <w:rsid w:val="002F4929"/>
    <w:rsid w:val="002F58A9"/>
    <w:rsid w:val="002F5989"/>
    <w:rsid w:val="002F694D"/>
    <w:rsid w:val="002F73F4"/>
    <w:rsid w:val="002F7DD0"/>
    <w:rsid w:val="002F7DDE"/>
    <w:rsid w:val="002F7E97"/>
    <w:rsid w:val="003000FF"/>
    <w:rsid w:val="003006A1"/>
    <w:rsid w:val="00300CBB"/>
    <w:rsid w:val="003012A2"/>
    <w:rsid w:val="00301499"/>
    <w:rsid w:val="003018B7"/>
    <w:rsid w:val="0030204B"/>
    <w:rsid w:val="003020C6"/>
    <w:rsid w:val="0030280A"/>
    <w:rsid w:val="00302C8C"/>
    <w:rsid w:val="00303EF4"/>
    <w:rsid w:val="00304ACA"/>
    <w:rsid w:val="00304F2A"/>
    <w:rsid w:val="00305A1B"/>
    <w:rsid w:val="003062D8"/>
    <w:rsid w:val="003063EA"/>
    <w:rsid w:val="0030704A"/>
    <w:rsid w:val="003070B7"/>
    <w:rsid w:val="00307309"/>
    <w:rsid w:val="003075BC"/>
    <w:rsid w:val="00307E7E"/>
    <w:rsid w:val="003100F2"/>
    <w:rsid w:val="003101EC"/>
    <w:rsid w:val="003104EE"/>
    <w:rsid w:val="003106DE"/>
    <w:rsid w:val="00311663"/>
    <w:rsid w:val="00311B59"/>
    <w:rsid w:val="00311E4C"/>
    <w:rsid w:val="00311F52"/>
    <w:rsid w:val="0031227B"/>
    <w:rsid w:val="003127F4"/>
    <w:rsid w:val="00312A20"/>
    <w:rsid w:val="00312A92"/>
    <w:rsid w:val="003133C7"/>
    <w:rsid w:val="00313652"/>
    <w:rsid w:val="0031376D"/>
    <w:rsid w:val="00313D36"/>
    <w:rsid w:val="003140ED"/>
    <w:rsid w:val="00314899"/>
    <w:rsid w:val="003151B5"/>
    <w:rsid w:val="00315AF8"/>
    <w:rsid w:val="00315C91"/>
    <w:rsid w:val="003168A7"/>
    <w:rsid w:val="00316D90"/>
    <w:rsid w:val="003175F3"/>
    <w:rsid w:val="00317835"/>
    <w:rsid w:val="00317A71"/>
    <w:rsid w:val="00317C72"/>
    <w:rsid w:val="00320ED9"/>
    <w:rsid w:val="00321DAA"/>
    <w:rsid w:val="003225D9"/>
    <w:rsid w:val="00322A9C"/>
    <w:rsid w:val="00322AF3"/>
    <w:rsid w:val="0032306C"/>
    <w:rsid w:val="00323146"/>
    <w:rsid w:val="003235CC"/>
    <w:rsid w:val="003236E3"/>
    <w:rsid w:val="003240B6"/>
    <w:rsid w:val="00324EC4"/>
    <w:rsid w:val="00324FE0"/>
    <w:rsid w:val="00325427"/>
    <w:rsid w:val="00325668"/>
    <w:rsid w:val="00325823"/>
    <w:rsid w:val="00325E60"/>
    <w:rsid w:val="0032752E"/>
    <w:rsid w:val="00327705"/>
    <w:rsid w:val="00330014"/>
    <w:rsid w:val="0033097A"/>
    <w:rsid w:val="00330C51"/>
    <w:rsid w:val="00330DCC"/>
    <w:rsid w:val="003310D4"/>
    <w:rsid w:val="0033199D"/>
    <w:rsid w:val="00331CFC"/>
    <w:rsid w:val="0033241A"/>
    <w:rsid w:val="00332627"/>
    <w:rsid w:val="00332A87"/>
    <w:rsid w:val="00332E97"/>
    <w:rsid w:val="00332F1F"/>
    <w:rsid w:val="00333196"/>
    <w:rsid w:val="0033432E"/>
    <w:rsid w:val="00334EB2"/>
    <w:rsid w:val="003351CE"/>
    <w:rsid w:val="0033535C"/>
    <w:rsid w:val="00335589"/>
    <w:rsid w:val="0033559C"/>
    <w:rsid w:val="0033602B"/>
    <w:rsid w:val="0033625F"/>
    <w:rsid w:val="003362C9"/>
    <w:rsid w:val="003379DC"/>
    <w:rsid w:val="00337C8D"/>
    <w:rsid w:val="00340D7B"/>
    <w:rsid w:val="00341556"/>
    <w:rsid w:val="0034178A"/>
    <w:rsid w:val="003429E0"/>
    <w:rsid w:val="003436C7"/>
    <w:rsid w:val="00343A3B"/>
    <w:rsid w:val="00343B7B"/>
    <w:rsid w:val="00343C1E"/>
    <w:rsid w:val="003441F0"/>
    <w:rsid w:val="00346021"/>
    <w:rsid w:val="00346127"/>
    <w:rsid w:val="00346B36"/>
    <w:rsid w:val="0034796D"/>
    <w:rsid w:val="00347CC0"/>
    <w:rsid w:val="00350651"/>
    <w:rsid w:val="0035093A"/>
    <w:rsid w:val="003509E6"/>
    <w:rsid w:val="00350F1B"/>
    <w:rsid w:val="00351016"/>
    <w:rsid w:val="00351237"/>
    <w:rsid w:val="00351946"/>
    <w:rsid w:val="00351B53"/>
    <w:rsid w:val="00351FF0"/>
    <w:rsid w:val="0035210E"/>
    <w:rsid w:val="003521FD"/>
    <w:rsid w:val="00352802"/>
    <w:rsid w:val="00352C0E"/>
    <w:rsid w:val="00353085"/>
    <w:rsid w:val="003535EF"/>
    <w:rsid w:val="003538EF"/>
    <w:rsid w:val="00354D5C"/>
    <w:rsid w:val="0035515E"/>
    <w:rsid w:val="0035543B"/>
    <w:rsid w:val="00355868"/>
    <w:rsid w:val="00355E2C"/>
    <w:rsid w:val="00355EAC"/>
    <w:rsid w:val="00357596"/>
    <w:rsid w:val="003575B9"/>
    <w:rsid w:val="00357828"/>
    <w:rsid w:val="00357895"/>
    <w:rsid w:val="00357916"/>
    <w:rsid w:val="00357B15"/>
    <w:rsid w:val="0036025D"/>
    <w:rsid w:val="0036035B"/>
    <w:rsid w:val="00360937"/>
    <w:rsid w:val="00360957"/>
    <w:rsid w:val="00360B19"/>
    <w:rsid w:val="00360FCE"/>
    <w:rsid w:val="0036193E"/>
    <w:rsid w:val="003626D8"/>
    <w:rsid w:val="00362D25"/>
    <w:rsid w:val="00362DF3"/>
    <w:rsid w:val="00362E82"/>
    <w:rsid w:val="00363384"/>
    <w:rsid w:val="00364001"/>
    <w:rsid w:val="00364819"/>
    <w:rsid w:val="003658BD"/>
    <w:rsid w:val="00365B5F"/>
    <w:rsid w:val="00365DC3"/>
    <w:rsid w:val="0036633C"/>
    <w:rsid w:val="00366CA4"/>
    <w:rsid w:val="00366CC9"/>
    <w:rsid w:val="0036763E"/>
    <w:rsid w:val="00367773"/>
    <w:rsid w:val="00367C14"/>
    <w:rsid w:val="00367E02"/>
    <w:rsid w:val="0037013D"/>
    <w:rsid w:val="0037078A"/>
    <w:rsid w:val="0037085D"/>
    <w:rsid w:val="00370DA4"/>
    <w:rsid w:val="003710CD"/>
    <w:rsid w:val="00371CE1"/>
    <w:rsid w:val="00372673"/>
    <w:rsid w:val="00372E91"/>
    <w:rsid w:val="00372FAD"/>
    <w:rsid w:val="00372FD5"/>
    <w:rsid w:val="003731FD"/>
    <w:rsid w:val="00373321"/>
    <w:rsid w:val="003739D8"/>
    <w:rsid w:val="00375433"/>
    <w:rsid w:val="0037552F"/>
    <w:rsid w:val="0037573C"/>
    <w:rsid w:val="003758C3"/>
    <w:rsid w:val="0037633B"/>
    <w:rsid w:val="00376958"/>
    <w:rsid w:val="00376B25"/>
    <w:rsid w:val="00376C1A"/>
    <w:rsid w:val="00376DE7"/>
    <w:rsid w:val="0037769F"/>
    <w:rsid w:val="0037792A"/>
    <w:rsid w:val="00377C17"/>
    <w:rsid w:val="00377C46"/>
    <w:rsid w:val="003817A9"/>
    <w:rsid w:val="00382BFE"/>
    <w:rsid w:val="00383057"/>
    <w:rsid w:val="00383AFB"/>
    <w:rsid w:val="00383B9B"/>
    <w:rsid w:val="0038431A"/>
    <w:rsid w:val="00385319"/>
    <w:rsid w:val="0038547C"/>
    <w:rsid w:val="003857D3"/>
    <w:rsid w:val="00385A88"/>
    <w:rsid w:val="00385BA5"/>
    <w:rsid w:val="00386E93"/>
    <w:rsid w:val="00387900"/>
    <w:rsid w:val="00387AF8"/>
    <w:rsid w:val="00387BE8"/>
    <w:rsid w:val="00387DAF"/>
    <w:rsid w:val="00390065"/>
    <w:rsid w:val="00390A1E"/>
    <w:rsid w:val="0039120F"/>
    <w:rsid w:val="00393383"/>
    <w:rsid w:val="00393660"/>
    <w:rsid w:val="00393F9F"/>
    <w:rsid w:val="003940A4"/>
    <w:rsid w:val="00394A88"/>
    <w:rsid w:val="003957B6"/>
    <w:rsid w:val="003958AE"/>
    <w:rsid w:val="00395D43"/>
    <w:rsid w:val="00396076"/>
    <w:rsid w:val="0039618A"/>
    <w:rsid w:val="0039624A"/>
    <w:rsid w:val="0039709D"/>
    <w:rsid w:val="00397213"/>
    <w:rsid w:val="003A00C9"/>
    <w:rsid w:val="003A0258"/>
    <w:rsid w:val="003A08CE"/>
    <w:rsid w:val="003A11C4"/>
    <w:rsid w:val="003A1F69"/>
    <w:rsid w:val="003A47E8"/>
    <w:rsid w:val="003A4AB7"/>
    <w:rsid w:val="003A5083"/>
    <w:rsid w:val="003A58BA"/>
    <w:rsid w:val="003A67C6"/>
    <w:rsid w:val="003A7124"/>
    <w:rsid w:val="003B00B8"/>
    <w:rsid w:val="003B02EC"/>
    <w:rsid w:val="003B0718"/>
    <w:rsid w:val="003B1455"/>
    <w:rsid w:val="003B1639"/>
    <w:rsid w:val="003B196D"/>
    <w:rsid w:val="003B216A"/>
    <w:rsid w:val="003B23AF"/>
    <w:rsid w:val="003B2AC6"/>
    <w:rsid w:val="003B2F30"/>
    <w:rsid w:val="003B3019"/>
    <w:rsid w:val="003B34C2"/>
    <w:rsid w:val="003B39D7"/>
    <w:rsid w:val="003B3BF0"/>
    <w:rsid w:val="003B4B2E"/>
    <w:rsid w:val="003B4B41"/>
    <w:rsid w:val="003B51EE"/>
    <w:rsid w:val="003B5C08"/>
    <w:rsid w:val="003B61F0"/>
    <w:rsid w:val="003B62DF"/>
    <w:rsid w:val="003B6357"/>
    <w:rsid w:val="003B64B3"/>
    <w:rsid w:val="003B693A"/>
    <w:rsid w:val="003B6AB8"/>
    <w:rsid w:val="003B6DBC"/>
    <w:rsid w:val="003B6E18"/>
    <w:rsid w:val="003B7053"/>
    <w:rsid w:val="003B7102"/>
    <w:rsid w:val="003B774F"/>
    <w:rsid w:val="003B7778"/>
    <w:rsid w:val="003B7D49"/>
    <w:rsid w:val="003B7E00"/>
    <w:rsid w:val="003B7EA2"/>
    <w:rsid w:val="003C02CC"/>
    <w:rsid w:val="003C0862"/>
    <w:rsid w:val="003C0C25"/>
    <w:rsid w:val="003C160A"/>
    <w:rsid w:val="003C19D0"/>
    <w:rsid w:val="003C2377"/>
    <w:rsid w:val="003C2BBD"/>
    <w:rsid w:val="003C2CE7"/>
    <w:rsid w:val="003C2D62"/>
    <w:rsid w:val="003C3097"/>
    <w:rsid w:val="003C3816"/>
    <w:rsid w:val="003C4234"/>
    <w:rsid w:val="003C4C8B"/>
    <w:rsid w:val="003C54B4"/>
    <w:rsid w:val="003C5F5E"/>
    <w:rsid w:val="003C5FC2"/>
    <w:rsid w:val="003C656D"/>
    <w:rsid w:val="003C6612"/>
    <w:rsid w:val="003C6A1E"/>
    <w:rsid w:val="003C6BB7"/>
    <w:rsid w:val="003C7603"/>
    <w:rsid w:val="003D0A88"/>
    <w:rsid w:val="003D0DC8"/>
    <w:rsid w:val="003D12C2"/>
    <w:rsid w:val="003D19A0"/>
    <w:rsid w:val="003D265F"/>
    <w:rsid w:val="003D27BD"/>
    <w:rsid w:val="003D3202"/>
    <w:rsid w:val="003D353C"/>
    <w:rsid w:val="003D63C8"/>
    <w:rsid w:val="003D6472"/>
    <w:rsid w:val="003D6A4E"/>
    <w:rsid w:val="003D7756"/>
    <w:rsid w:val="003E059A"/>
    <w:rsid w:val="003E08FA"/>
    <w:rsid w:val="003E0A78"/>
    <w:rsid w:val="003E19E7"/>
    <w:rsid w:val="003E29B3"/>
    <w:rsid w:val="003E36C0"/>
    <w:rsid w:val="003E3724"/>
    <w:rsid w:val="003E3957"/>
    <w:rsid w:val="003E398D"/>
    <w:rsid w:val="003E4289"/>
    <w:rsid w:val="003E4800"/>
    <w:rsid w:val="003E487B"/>
    <w:rsid w:val="003E4957"/>
    <w:rsid w:val="003E4981"/>
    <w:rsid w:val="003E55E5"/>
    <w:rsid w:val="003E57F9"/>
    <w:rsid w:val="003E5DFE"/>
    <w:rsid w:val="003E5F4F"/>
    <w:rsid w:val="003E6144"/>
    <w:rsid w:val="003E6395"/>
    <w:rsid w:val="003E6A80"/>
    <w:rsid w:val="003E6EF7"/>
    <w:rsid w:val="003E7F59"/>
    <w:rsid w:val="003F0D8B"/>
    <w:rsid w:val="003F1BF6"/>
    <w:rsid w:val="003F1E6F"/>
    <w:rsid w:val="003F1F9E"/>
    <w:rsid w:val="003F27BF"/>
    <w:rsid w:val="003F2A93"/>
    <w:rsid w:val="003F3604"/>
    <w:rsid w:val="003F3BC1"/>
    <w:rsid w:val="003F3D76"/>
    <w:rsid w:val="003F43E6"/>
    <w:rsid w:val="003F4894"/>
    <w:rsid w:val="003F490D"/>
    <w:rsid w:val="003F4DDB"/>
    <w:rsid w:val="003F5542"/>
    <w:rsid w:val="003F5842"/>
    <w:rsid w:val="003F6190"/>
    <w:rsid w:val="003F61E1"/>
    <w:rsid w:val="003F704D"/>
    <w:rsid w:val="003F755C"/>
    <w:rsid w:val="003F77FC"/>
    <w:rsid w:val="003F7C1B"/>
    <w:rsid w:val="003F7E56"/>
    <w:rsid w:val="004000BE"/>
    <w:rsid w:val="00400122"/>
    <w:rsid w:val="004015C7"/>
    <w:rsid w:val="00401A49"/>
    <w:rsid w:val="00401D3D"/>
    <w:rsid w:val="004020AB"/>
    <w:rsid w:val="004024ED"/>
    <w:rsid w:val="004026BA"/>
    <w:rsid w:val="00403038"/>
    <w:rsid w:val="004030D5"/>
    <w:rsid w:val="0040388F"/>
    <w:rsid w:val="00404249"/>
    <w:rsid w:val="004042BA"/>
    <w:rsid w:val="004050B4"/>
    <w:rsid w:val="0040522A"/>
    <w:rsid w:val="00405746"/>
    <w:rsid w:val="004062EC"/>
    <w:rsid w:val="00406755"/>
    <w:rsid w:val="004067DB"/>
    <w:rsid w:val="004069C5"/>
    <w:rsid w:val="00406D6A"/>
    <w:rsid w:val="0040709C"/>
    <w:rsid w:val="00407F30"/>
    <w:rsid w:val="00410ECC"/>
    <w:rsid w:val="004116DA"/>
    <w:rsid w:val="004117D6"/>
    <w:rsid w:val="00411834"/>
    <w:rsid w:val="00411963"/>
    <w:rsid w:val="00411B1C"/>
    <w:rsid w:val="00411C7A"/>
    <w:rsid w:val="00412A23"/>
    <w:rsid w:val="004149DA"/>
    <w:rsid w:val="00414A2E"/>
    <w:rsid w:val="00415755"/>
    <w:rsid w:val="00415B3D"/>
    <w:rsid w:val="004161DE"/>
    <w:rsid w:val="00416211"/>
    <w:rsid w:val="004162D1"/>
    <w:rsid w:val="004167B1"/>
    <w:rsid w:val="00416DC5"/>
    <w:rsid w:val="0042035D"/>
    <w:rsid w:val="00420604"/>
    <w:rsid w:val="00420841"/>
    <w:rsid w:val="00421E00"/>
    <w:rsid w:val="0042220B"/>
    <w:rsid w:val="004226AA"/>
    <w:rsid w:val="00422793"/>
    <w:rsid w:val="00423732"/>
    <w:rsid w:val="0042396F"/>
    <w:rsid w:val="00423FCE"/>
    <w:rsid w:val="004249C4"/>
    <w:rsid w:val="00424F24"/>
    <w:rsid w:val="004259F9"/>
    <w:rsid w:val="00425B31"/>
    <w:rsid w:val="00425BAA"/>
    <w:rsid w:val="0042648D"/>
    <w:rsid w:val="00426957"/>
    <w:rsid w:val="00426976"/>
    <w:rsid w:val="00426BBE"/>
    <w:rsid w:val="00426D02"/>
    <w:rsid w:val="00427722"/>
    <w:rsid w:val="00427A13"/>
    <w:rsid w:val="00427C25"/>
    <w:rsid w:val="00427F4F"/>
    <w:rsid w:val="00430027"/>
    <w:rsid w:val="00430E76"/>
    <w:rsid w:val="00430ED0"/>
    <w:rsid w:val="00431731"/>
    <w:rsid w:val="00431779"/>
    <w:rsid w:val="00431A2A"/>
    <w:rsid w:val="00431CE6"/>
    <w:rsid w:val="00431F2E"/>
    <w:rsid w:val="0043240F"/>
    <w:rsid w:val="00433C39"/>
    <w:rsid w:val="00433C3E"/>
    <w:rsid w:val="00433DA2"/>
    <w:rsid w:val="004343BC"/>
    <w:rsid w:val="00434AC5"/>
    <w:rsid w:val="00435A31"/>
    <w:rsid w:val="0043648F"/>
    <w:rsid w:val="004365F0"/>
    <w:rsid w:val="00436DA8"/>
    <w:rsid w:val="00437108"/>
    <w:rsid w:val="00437D2F"/>
    <w:rsid w:val="00440246"/>
    <w:rsid w:val="00440912"/>
    <w:rsid w:val="00441468"/>
    <w:rsid w:val="00441588"/>
    <w:rsid w:val="00441CF2"/>
    <w:rsid w:val="00441EE6"/>
    <w:rsid w:val="00442540"/>
    <w:rsid w:val="0044307B"/>
    <w:rsid w:val="004431F9"/>
    <w:rsid w:val="00443484"/>
    <w:rsid w:val="00443B1B"/>
    <w:rsid w:val="00444072"/>
    <w:rsid w:val="004440D4"/>
    <w:rsid w:val="004441C7"/>
    <w:rsid w:val="00444204"/>
    <w:rsid w:val="004446E5"/>
    <w:rsid w:val="00444933"/>
    <w:rsid w:val="00446A46"/>
    <w:rsid w:val="00446BAE"/>
    <w:rsid w:val="004473E9"/>
    <w:rsid w:val="0045044A"/>
    <w:rsid w:val="004504BB"/>
    <w:rsid w:val="00450B23"/>
    <w:rsid w:val="004511AB"/>
    <w:rsid w:val="004511FA"/>
    <w:rsid w:val="004514DB"/>
    <w:rsid w:val="0045234D"/>
    <w:rsid w:val="0045235F"/>
    <w:rsid w:val="004533F1"/>
    <w:rsid w:val="00453797"/>
    <w:rsid w:val="00453ABE"/>
    <w:rsid w:val="004542A8"/>
    <w:rsid w:val="004546CE"/>
    <w:rsid w:val="004558EC"/>
    <w:rsid w:val="00455912"/>
    <w:rsid w:val="004560D2"/>
    <w:rsid w:val="004576E8"/>
    <w:rsid w:val="00457CEE"/>
    <w:rsid w:val="00460794"/>
    <w:rsid w:val="00461DF1"/>
    <w:rsid w:val="00462B10"/>
    <w:rsid w:val="00462BA8"/>
    <w:rsid w:val="00462C0D"/>
    <w:rsid w:val="00462E57"/>
    <w:rsid w:val="00463731"/>
    <w:rsid w:val="00463A9F"/>
    <w:rsid w:val="00463CEF"/>
    <w:rsid w:val="00463DEF"/>
    <w:rsid w:val="004648AA"/>
    <w:rsid w:val="00464FEE"/>
    <w:rsid w:val="00465391"/>
    <w:rsid w:val="004656CE"/>
    <w:rsid w:val="00466302"/>
    <w:rsid w:val="004672B7"/>
    <w:rsid w:val="00467391"/>
    <w:rsid w:val="0047018E"/>
    <w:rsid w:val="004706A0"/>
    <w:rsid w:val="0047103A"/>
    <w:rsid w:val="004712ED"/>
    <w:rsid w:val="00471318"/>
    <w:rsid w:val="004715A8"/>
    <w:rsid w:val="00471789"/>
    <w:rsid w:val="00471907"/>
    <w:rsid w:val="00472190"/>
    <w:rsid w:val="004724BF"/>
    <w:rsid w:val="00472695"/>
    <w:rsid w:val="004729E0"/>
    <w:rsid w:val="00473164"/>
    <w:rsid w:val="00473E9C"/>
    <w:rsid w:val="004744D7"/>
    <w:rsid w:val="00474823"/>
    <w:rsid w:val="00474AAA"/>
    <w:rsid w:val="00474BF7"/>
    <w:rsid w:val="00474D9B"/>
    <w:rsid w:val="00474E5C"/>
    <w:rsid w:val="00474F62"/>
    <w:rsid w:val="00475824"/>
    <w:rsid w:val="00475E1A"/>
    <w:rsid w:val="00476230"/>
    <w:rsid w:val="004762ED"/>
    <w:rsid w:val="004763E6"/>
    <w:rsid w:val="00476F6F"/>
    <w:rsid w:val="00477469"/>
    <w:rsid w:val="004774B6"/>
    <w:rsid w:val="004775E8"/>
    <w:rsid w:val="00477A87"/>
    <w:rsid w:val="00477C56"/>
    <w:rsid w:val="00477EAF"/>
    <w:rsid w:val="00480487"/>
    <w:rsid w:val="0048052E"/>
    <w:rsid w:val="00481888"/>
    <w:rsid w:val="004827FE"/>
    <w:rsid w:val="00482BE4"/>
    <w:rsid w:val="004831E5"/>
    <w:rsid w:val="0048370B"/>
    <w:rsid w:val="00483C2E"/>
    <w:rsid w:val="00483E9A"/>
    <w:rsid w:val="004848D1"/>
    <w:rsid w:val="0048491E"/>
    <w:rsid w:val="00486750"/>
    <w:rsid w:val="00487EBC"/>
    <w:rsid w:val="00490DDC"/>
    <w:rsid w:val="00490E33"/>
    <w:rsid w:val="00491D56"/>
    <w:rsid w:val="00491D60"/>
    <w:rsid w:val="004930DF"/>
    <w:rsid w:val="004947D5"/>
    <w:rsid w:val="0049492A"/>
    <w:rsid w:val="0049493B"/>
    <w:rsid w:val="00494CD1"/>
    <w:rsid w:val="00494CDA"/>
    <w:rsid w:val="00494F25"/>
    <w:rsid w:val="00495713"/>
    <w:rsid w:val="004957BA"/>
    <w:rsid w:val="0049590A"/>
    <w:rsid w:val="004959FF"/>
    <w:rsid w:val="00495CE9"/>
    <w:rsid w:val="004962C7"/>
    <w:rsid w:val="004963CC"/>
    <w:rsid w:val="004970C9"/>
    <w:rsid w:val="00497428"/>
    <w:rsid w:val="00497574"/>
    <w:rsid w:val="004977CF"/>
    <w:rsid w:val="004978DC"/>
    <w:rsid w:val="00497B5E"/>
    <w:rsid w:val="004A0C7E"/>
    <w:rsid w:val="004A1416"/>
    <w:rsid w:val="004A224A"/>
    <w:rsid w:val="004A275E"/>
    <w:rsid w:val="004A28DD"/>
    <w:rsid w:val="004A2F02"/>
    <w:rsid w:val="004A3074"/>
    <w:rsid w:val="004A32DD"/>
    <w:rsid w:val="004A41C2"/>
    <w:rsid w:val="004A570E"/>
    <w:rsid w:val="004A59B2"/>
    <w:rsid w:val="004A60ED"/>
    <w:rsid w:val="004A6E51"/>
    <w:rsid w:val="004A74F3"/>
    <w:rsid w:val="004A79D9"/>
    <w:rsid w:val="004A7CEC"/>
    <w:rsid w:val="004B00A4"/>
    <w:rsid w:val="004B06E1"/>
    <w:rsid w:val="004B129A"/>
    <w:rsid w:val="004B24A3"/>
    <w:rsid w:val="004B24F7"/>
    <w:rsid w:val="004B26C7"/>
    <w:rsid w:val="004B28AF"/>
    <w:rsid w:val="004B2A91"/>
    <w:rsid w:val="004B2F98"/>
    <w:rsid w:val="004B31C7"/>
    <w:rsid w:val="004B4BDC"/>
    <w:rsid w:val="004B4D42"/>
    <w:rsid w:val="004B4E10"/>
    <w:rsid w:val="004B60AB"/>
    <w:rsid w:val="004B612C"/>
    <w:rsid w:val="004B618B"/>
    <w:rsid w:val="004B62A5"/>
    <w:rsid w:val="004B6816"/>
    <w:rsid w:val="004B6BC5"/>
    <w:rsid w:val="004B702E"/>
    <w:rsid w:val="004B7E3E"/>
    <w:rsid w:val="004C0165"/>
    <w:rsid w:val="004C0544"/>
    <w:rsid w:val="004C07ED"/>
    <w:rsid w:val="004C1AF9"/>
    <w:rsid w:val="004C1C4F"/>
    <w:rsid w:val="004C1C62"/>
    <w:rsid w:val="004C228F"/>
    <w:rsid w:val="004C2469"/>
    <w:rsid w:val="004C2585"/>
    <w:rsid w:val="004C279B"/>
    <w:rsid w:val="004C281D"/>
    <w:rsid w:val="004C2E9D"/>
    <w:rsid w:val="004C3128"/>
    <w:rsid w:val="004C3294"/>
    <w:rsid w:val="004C40D2"/>
    <w:rsid w:val="004C4513"/>
    <w:rsid w:val="004C4BEC"/>
    <w:rsid w:val="004C5A9B"/>
    <w:rsid w:val="004C60DC"/>
    <w:rsid w:val="004C631D"/>
    <w:rsid w:val="004C7022"/>
    <w:rsid w:val="004C7663"/>
    <w:rsid w:val="004C7FC6"/>
    <w:rsid w:val="004D055D"/>
    <w:rsid w:val="004D08E0"/>
    <w:rsid w:val="004D129E"/>
    <w:rsid w:val="004D25B5"/>
    <w:rsid w:val="004D31BD"/>
    <w:rsid w:val="004D31CA"/>
    <w:rsid w:val="004D44D7"/>
    <w:rsid w:val="004D47B9"/>
    <w:rsid w:val="004D489C"/>
    <w:rsid w:val="004D49C8"/>
    <w:rsid w:val="004D4B5F"/>
    <w:rsid w:val="004D5428"/>
    <w:rsid w:val="004D5D5C"/>
    <w:rsid w:val="004D5FBA"/>
    <w:rsid w:val="004D6E67"/>
    <w:rsid w:val="004D752E"/>
    <w:rsid w:val="004E00B4"/>
    <w:rsid w:val="004E02BD"/>
    <w:rsid w:val="004E0745"/>
    <w:rsid w:val="004E0963"/>
    <w:rsid w:val="004E0B2F"/>
    <w:rsid w:val="004E0CCF"/>
    <w:rsid w:val="004E1B3F"/>
    <w:rsid w:val="004E21ED"/>
    <w:rsid w:val="004E2A8E"/>
    <w:rsid w:val="004E4559"/>
    <w:rsid w:val="004E458C"/>
    <w:rsid w:val="004E65D9"/>
    <w:rsid w:val="004E70F1"/>
    <w:rsid w:val="004E714B"/>
    <w:rsid w:val="004E723C"/>
    <w:rsid w:val="004E7825"/>
    <w:rsid w:val="004E7930"/>
    <w:rsid w:val="004F000D"/>
    <w:rsid w:val="004F0497"/>
    <w:rsid w:val="004F06CC"/>
    <w:rsid w:val="004F0EC9"/>
    <w:rsid w:val="004F0F77"/>
    <w:rsid w:val="004F224B"/>
    <w:rsid w:val="004F27DD"/>
    <w:rsid w:val="004F40AB"/>
    <w:rsid w:val="004F47F7"/>
    <w:rsid w:val="004F4C76"/>
    <w:rsid w:val="004F5AD4"/>
    <w:rsid w:val="004F5E74"/>
    <w:rsid w:val="004F5ED2"/>
    <w:rsid w:val="004F7CCB"/>
    <w:rsid w:val="0050050B"/>
    <w:rsid w:val="00500DC6"/>
    <w:rsid w:val="0050132A"/>
    <w:rsid w:val="00502F3E"/>
    <w:rsid w:val="00503196"/>
    <w:rsid w:val="005035E4"/>
    <w:rsid w:val="00503672"/>
    <w:rsid w:val="00503967"/>
    <w:rsid w:val="00503ADE"/>
    <w:rsid w:val="00503FC8"/>
    <w:rsid w:val="00504302"/>
    <w:rsid w:val="005044E0"/>
    <w:rsid w:val="0050467F"/>
    <w:rsid w:val="00504706"/>
    <w:rsid w:val="00504E60"/>
    <w:rsid w:val="0050553B"/>
    <w:rsid w:val="00505D13"/>
    <w:rsid w:val="005066F9"/>
    <w:rsid w:val="0050674F"/>
    <w:rsid w:val="00506767"/>
    <w:rsid w:val="00506A2E"/>
    <w:rsid w:val="00510478"/>
    <w:rsid w:val="00510BE0"/>
    <w:rsid w:val="00510C49"/>
    <w:rsid w:val="00510C5C"/>
    <w:rsid w:val="00511288"/>
    <w:rsid w:val="00511A73"/>
    <w:rsid w:val="00511E62"/>
    <w:rsid w:val="00513492"/>
    <w:rsid w:val="00513696"/>
    <w:rsid w:val="005139F7"/>
    <w:rsid w:val="005148F6"/>
    <w:rsid w:val="00515EAB"/>
    <w:rsid w:val="00517065"/>
    <w:rsid w:val="005178CD"/>
    <w:rsid w:val="005207B3"/>
    <w:rsid w:val="005208AC"/>
    <w:rsid w:val="00520B14"/>
    <w:rsid w:val="00520BF3"/>
    <w:rsid w:val="005219BF"/>
    <w:rsid w:val="00521DC2"/>
    <w:rsid w:val="00521EFA"/>
    <w:rsid w:val="005221C4"/>
    <w:rsid w:val="0052230A"/>
    <w:rsid w:val="0052266F"/>
    <w:rsid w:val="00522B6D"/>
    <w:rsid w:val="00522BED"/>
    <w:rsid w:val="00522CEC"/>
    <w:rsid w:val="00522D01"/>
    <w:rsid w:val="00523237"/>
    <w:rsid w:val="00523A16"/>
    <w:rsid w:val="00523D2D"/>
    <w:rsid w:val="00524432"/>
    <w:rsid w:val="00524822"/>
    <w:rsid w:val="005256BB"/>
    <w:rsid w:val="005256DB"/>
    <w:rsid w:val="00525AC4"/>
    <w:rsid w:val="00525B79"/>
    <w:rsid w:val="005264A5"/>
    <w:rsid w:val="00526754"/>
    <w:rsid w:val="00526A8A"/>
    <w:rsid w:val="00526D01"/>
    <w:rsid w:val="00526D9F"/>
    <w:rsid w:val="00527A69"/>
    <w:rsid w:val="0053032E"/>
    <w:rsid w:val="00530860"/>
    <w:rsid w:val="00531932"/>
    <w:rsid w:val="00531C3D"/>
    <w:rsid w:val="005325E8"/>
    <w:rsid w:val="005326BA"/>
    <w:rsid w:val="0053277C"/>
    <w:rsid w:val="00532EB0"/>
    <w:rsid w:val="005335BC"/>
    <w:rsid w:val="005336CE"/>
    <w:rsid w:val="00533CD5"/>
    <w:rsid w:val="00533FD5"/>
    <w:rsid w:val="00534621"/>
    <w:rsid w:val="00534871"/>
    <w:rsid w:val="00534F33"/>
    <w:rsid w:val="00535069"/>
    <w:rsid w:val="00535A60"/>
    <w:rsid w:val="005368AB"/>
    <w:rsid w:val="005372AF"/>
    <w:rsid w:val="00537F74"/>
    <w:rsid w:val="00540D5C"/>
    <w:rsid w:val="00540EBB"/>
    <w:rsid w:val="005414C4"/>
    <w:rsid w:val="005417CB"/>
    <w:rsid w:val="00541971"/>
    <w:rsid w:val="00541FF9"/>
    <w:rsid w:val="005432F7"/>
    <w:rsid w:val="00544481"/>
    <w:rsid w:val="005444FD"/>
    <w:rsid w:val="00544A27"/>
    <w:rsid w:val="00544C2E"/>
    <w:rsid w:val="0054689F"/>
    <w:rsid w:val="00546DAD"/>
    <w:rsid w:val="0054701C"/>
    <w:rsid w:val="0055024A"/>
    <w:rsid w:val="0055040D"/>
    <w:rsid w:val="00550CE9"/>
    <w:rsid w:val="00550D90"/>
    <w:rsid w:val="0055248D"/>
    <w:rsid w:val="00552EC6"/>
    <w:rsid w:val="00553590"/>
    <w:rsid w:val="005538CF"/>
    <w:rsid w:val="005542A1"/>
    <w:rsid w:val="005549AB"/>
    <w:rsid w:val="005553C6"/>
    <w:rsid w:val="005557FE"/>
    <w:rsid w:val="00555A0C"/>
    <w:rsid w:val="00555A17"/>
    <w:rsid w:val="00555EC7"/>
    <w:rsid w:val="005570AD"/>
    <w:rsid w:val="00557DCC"/>
    <w:rsid w:val="0056092A"/>
    <w:rsid w:val="00560C7F"/>
    <w:rsid w:val="00561169"/>
    <w:rsid w:val="005615B9"/>
    <w:rsid w:val="005617DA"/>
    <w:rsid w:val="00561AAC"/>
    <w:rsid w:val="00561B18"/>
    <w:rsid w:val="00561C21"/>
    <w:rsid w:val="00561F0C"/>
    <w:rsid w:val="005623E3"/>
    <w:rsid w:val="005624E0"/>
    <w:rsid w:val="005629EE"/>
    <w:rsid w:val="0056329F"/>
    <w:rsid w:val="0056339B"/>
    <w:rsid w:val="00563DF3"/>
    <w:rsid w:val="00564EBB"/>
    <w:rsid w:val="00565022"/>
    <w:rsid w:val="0056580C"/>
    <w:rsid w:val="00565B20"/>
    <w:rsid w:val="00566C79"/>
    <w:rsid w:val="00567966"/>
    <w:rsid w:val="00570169"/>
    <w:rsid w:val="00571DC3"/>
    <w:rsid w:val="00571DD3"/>
    <w:rsid w:val="00571FF4"/>
    <w:rsid w:val="005720B2"/>
    <w:rsid w:val="005721C8"/>
    <w:rsid w:val="00572D19"/>
    <w:rsid w:val="00573C76"/>
    <w:rsid w:val="0057402C"/>
    <w:rsid w:val="005748A1"/>
    <w:rsid w:val="00575001"/>
    <w:rsid w:val="005757C3"/>
    <w:rsid w:val="00575C32"/>
    <w:rsid w:val="0057720B"/>
    <w:rsid w:val="00577800"/>
    <w:rsid w:val="00577D2F"/>
    <w:rsid w:val="00580185"/>
    <w:rsid w:val="005809B5"/>
    <w:rsid w:val="005812EF"/>
    <w:rsid w:val="00582010"/>
    <w:rsid w:val="0058226F"/>
    <w:rsid w:val="0058254B"/>
    <w:rsid w:val="0058351E"/>
    <w:rsid w:val="00584064"/>
    <w:rsid w:val="00584584"/>
    <w:rsid w:val="00584922"/>
    <w:rsid w:val="005854E3"/>
    <w:rsid w:val="005858C5"/>
    <w:rsid w:val="00585EF3"/>
    <w:rsid w:val="00587914"/>
    <w:rsid w:val="005900F4"/>
    <w:rsid w:val="0059181C"/>
    <w:rsid w:val="005921B3"/>
    <w:rsid w:val="005925EC"/>
    <w:rsid w:val="00592ACB"/>
    <w:rsid w:val="00593ADA"/>
    <w:rsid w:val="00593E4F"/>
    <w:rsid w:val="00594F57"/>
    <w:rsid w:val="00595265"/>
    <w:rsid w:val="005958A0"/>
    <w:rsid w:val="0059611F"/>
    <w:rsid w:val="005964F5"/>
    <w:rsid w:val="00597224"/>
    <w:rsid w:val="005A0727"/>
    <w:rsid w:val="005A0F0D"/>
    <w:rsid w:val="005A1B7D"/>
    <w:rsid w:val="005A1FB5"/>
    <w:rsid w:val="005A21F0"/>
    <w:rsid w:val="005A2B32"/>
    <w:rsid w:val="005A3592"/>
    <w:rsid w:val="005A3696"/>
    <w:rsid w:val="005A4082"/>
    <w:rsid w:val="005A46DD"/>
    <w:rsid w:val="005A487B"/>
    <w:rsid w:val="005A5176"/>
    <w:rsid w:val="005A64FE"/>
    <w:rsid w:val="005A6943"/>
    <w:rsid w:val="005A6C46"/>
    <w:rsid w:val="005A71E5"/>
    <w:rsid w:val="005A7B6B"/>
    <w:rsid w:val="005B0AAB"/>
    <w:rsid w:val="005B2FBF"/>
    <w:rsid w:val="005B3AF7"/>
    <w:rsid w:val="005B3F91"/>
    <w:rsid w:val="005B409A"/>
    <w:rsid w:val="005B40F1"/>
    <w:rsid w:val="005B4285"/>
    <w:rsid w:val="005B48B5"/>
    <w:rsid w:val="005B4EB8"/>
    <w:rsid w:val="005B5497"/>
    <w:rsid w:val="005B5790"/>
    <w:rsid w:val="005B5E9D"/>
    <w:rsid w:val="005B5FA3"/>
    <w:rsid w:val="005B5FD3"/>
    <w:rsid w:val="005B633B"/>
    <w:rsid w:val="005B66C5"/>
    <w:rsid w:val="005B6C43"/>
    <w:rsid w:val="005B6F1B"/>
    <w:rsid w:val="005B711B"/>
    <w:rsid w:val="005B72C0"/>
    <w:rsid w:val="005C0DB2"/>
    <w:rsid w:val="005C1453"/>
    <w:rsid w:val="005C17AF"/>
    <w:rsid w:val="005C196C"/>
    <w:rsid w:val="005C1C71"/>
    <w:rsid w:val="005C205B"/>
    <w:rsid w:val="005C2CA2"/>
    <w:rsid w:val="005C3064"/>
    <w:rsid w:val="005C3121"/>
    <w:rsid w:val="005C3191"/>
    <w:rsid w:val="005C3464"/>
    <w:rsid w:val="005C3C86"/>
    <w:rsid w:val="005C42DE"/>
    <w:rsid w:val="005C4651"/>
    <w:rsid w:val="005C57A0"/>
    <w:rsid w:val="005C5C1C"/>
    <w:rsid w:val="005C7161"/>
    <w:rsid w:val="005C725E"/>
    <w:rsid w:val="005C7653"/>
    <w:rsid w:val="005C7BBF"/>
    <w:rsid w:val="005D0057"/>
    <w:rsid w:val="005D019B"/>
    <w:rsid w:val="005D15AC"/>
    <w:rsid w:val="005D22E9"/>
    <w:rsid w:val="005D3069"/>
    <w:rsid w:val="005D31CB"/>
    <w:rsid w:val="005D370F"/>
    <w:rsid w:val="005D3730"/>
    <w:rsid w:val="005D3BD1"/>
    <w:rsid w:val="005D40A5"/>
    <w:rsid w:val="005D4675"/>
    <w:rsid w:val="005D5344"/>
    <w:rsid w:val="005D57F3"/>
    <w:rsid w:val="005D5940"/>
    <w:rsid w:val="005D5A15"/>
    <w:rsid w:val="005D5D26"/>
    <w:rsid w:val="005D5EBA"/>
    <w:rsid w:val="005D60AE"/>
    <w:rsid w:val="005D7907"/>
    <w:rsid w:val="005E00F5"/>
    <w:rsid w:val="005E0B86"/>
    <w:rsid w:val="005E0FA3"/>
    <w:rsid w:val="005E1E45"/>
    <w:rsid w:val="005E248F"/>
    <w:rsid w:val="005E2F89"/>
    <w:rsid w:val="005E362C"/>
    <w:rsid w:val="005E374E"/>
    <w:rsid w:val="005E41CC"/>
    <w:rsid w:val="005E42AA"/>
    <w:rsid w:val="005E4545"/>
    <w:rsid w:val="005E4A75"/>
    <w:rsid w:val="005E4E13"/>
    <w:rsid w:val="005E5020"/>
    <w:rsid w:val="005E5138"/>
    <w:rsid w:val="005E5616"/>
    <w:rsid w:val="005E5730"/>
    <w:rsid w:val="005E5F5C"/>
    <w:rsid w:val="005E62CE"/>
    <w:rsid w:val="005E73A1"/>
    <w:rsid w:val="005E7458"/>
    <w:rsid w:val="005E76FD"/>
    <w:rsid w:val="005F013F"/>
    <w:rsid w:val="005F0547"/>
    <w:rsid w:val="005F06EC"/>
    <w:rsid w:val="005F19C6"/>
    <w:rsid w:val="005F1C17"/>
    <w:rsid w:val="005F2A78"/>
    <w:rsid w:val="005F3C6D"/>
    <w:rsid w:val="005F3F86"/>
    <w:rsid w:val="005F4197"/>
    <w:rsid w:val="005F45D3"/>
    <w:rsid w:val="005F4B38"/>
    <w:rsid w:val="005F4C67"/>
    <w:rsid w:val="005F4F12"/>
    <w:rsid w:val="005F5163"/>
    <w:rsid w:val="005F52C6"/>
    <w:rsid w:val="005F541C"/>
    <w:rsid w:val="005F5A77"/>
    <w:rsid w:val="005F6596"/>
    <w:rsid w:val="005F6751"/>
    <w:rsid w:val="005F73CC"/>
    <w:rsid w:val="005F7601"/>
    <w:rsid w:val="005F7D76"/>
    <w:rsid w:val="00600709"/>
    <w:rsid w:val="006010C0"/>
    <w:rsid w:val="00601491"/>
    <w:rsid w:val="00601639"/>
    <w:rsid w:val="006024F3"/>
    <w:rsid w:val="006028B7"/>
    <w:rsid w:val="00602D46"/>
    <w:rsid w:val="00603543"/>
    <w:rsid w:val="00603572"/>
    <w:rsid w:val="00603665"/>
    <w:rsid w:val="00604ACB"/>
    <w:rsid w:val="006055FE"/>
    <w:rsid w:val="00605FE7"/>
    <w:rsid w:val="006067DB"/>
    <w:rsid w:val="006073F9"/>
    <w:rsid w:val="00607C34"/>
    <w:rsid w:val="00607F86"/>
    <w:rsid w:val="0061009A"/>
    <w:rsid w:val="006104F9"/>
    <w:rsid w:val="00610669"/>
    <w:rsid w:val="00610BC0"/>
    <w:rsid w:val="00610FEC"/>
    <w:rsid w:val="00611335"/>
    <w:rsid w:val="006114ED"/>
    <w:rsid w:val="0061157C"/>
    <w:rsid w:val="006126BC"/>
    <w:rsid w:val="0061278F"/>
    <w:rsid w:val="0061282A"/>
    <w:rsid w:val="00612ACE"/>
    <w:rsid w:val="00612C9E"/>
    <w:rsid w:val="006131E5"/>
    <w:rsid w:val="006132AE"/>
    <w:rsid w:val="00615427"/>
    <w:rsid w:val="00615E96"/>
    <w:rsid w:val="006167B8"/>
    <w:rsid w:val="00617C22"/>
    <w:rsid w:val="00620A9C"/>
    <w:rsid w:val="00620D7C"/>
    <w:rsid w:val="00621047"/>
    <w:rsid w:val="00621A6D"/>
    <w:rsid w:val="00621DB3"/>
    <w:rsid w:val="00621F03"/>
    <w:rsid w:val="00621FED"/>
    <w:rsid w:val="006224E5"/>
    <w:rsid w:val="0062265E"/>
    <w:rsid w:val="00622F11"/>
    <w:rsid w:val="00623213"/>
    <w:rsid w:val="006246E4"/>
    <w:rsid w:val="00624BC2"/>
    <w:rsid w:val="006251DE"/>
    <w:rsid w:val="006254EE"/>
    <w:rsid w:val="00625B63"/>
    <w:rsid w:val="00626190"/>
    <w:rsid w:val="00626DB8"/>
    <w:rsid w:val="00627149"/>
    <w:rsid w:val="00627517"/>
    <w:rsid w:val="00630B1A"/>
    <w:rsid w:val="006311F7"/>
    <w:rsid w:val="006313B9"/>
    <w:rsid w:val="00632281"/>
    <w:rsid w:val="00632364"/>
    <w:rsid w:val="006324C1"/>
    <w:rsid w:val="006327BE"/>
    <w:rsid w:val="00632A4A"/>
    <w:rsid w:val="0063416F"/>
    <w:rsid w:val="00634573"/>
    <w:rsid w:val="006348CC"/>
    <w:rsid w:val="00635A24"/>
    <w:rsid w:val="00635DDF"/>
    <w:rsid w:val="006366BE"/>
    <w:rsid w:val="00636818"/>
    <w:rsid w:val="00636ADD"/>
    <w:rsid w:val="00636C79"/>
    <w:rsid w:val="006370A1"/>
    <w:rsid w:val="006373D4"/>
    <w:rsid w:val="00637E5C"/>
    <w:rsid w:val="00640221"/>
    <w:rsid w:val="006406E5"/>
    <w:rsid w:val="00640B24"/>
    <w:rsid w:val="0064110A"/>
    <w:rsid w:val="006416FE"/>
    <w:rsid w:val="006417BC"/>
    <w:rsid w:val="00641805"/>
    <w:rsid w:val="0064185B"/>
    <w:rsid w:val="00641C9C"/>
    <w:rsid w:val="00641EE6"/>
    <w:rsid w:val="00641F0C"/>
    <w:rsid w:val="006422EA"/>
    <w:rsid w:val="00642EB3"/>
    <w:rsid w:val="00644008"/>
    <w:rsid w:val="006441AD"/>
    <w:rsid w:val="006442C8"/>
    <w:rsid w:val="0064464F"/>
    <w:rsid w:val="006446B7"/>
    <w:rsid w:val="0064476C"/>
    <w:rsid w:val="00644B90"/>
    <w:rsid w:val="00646C62"/>
    <w:rsid w:val="00646E32"/>
    <w:rsid w:val="00646E56"/>
    <w:rsid w:val="00647687"/>
    <w:rsid w:val="00647768"/>
    <w:rsid w:val="006500D2"/>
    <w:rsid w:val="006505E5"/>
    <w:rsid w:val="006509AD"/>
    <w:rsid w:val="00651AD8"/>
    <w:rsid w:val="0065230F"/>
    <w:rsid w:val="00652A0D"/>
    <w:rsid w:val="0065353F"/>
    <w:rsid w:val="00653BE2"/>
    <w:rsid w:val="00653CF8"/>
    <w:rsid w:val="00653F72"/>
    <w:rsid w:val="006546B9"/>
    <w:rsid w:val="00654B60"/>
    <w:rsid w:val="00655090"/>
    <w:rsid w:val="0065588C"/>
    <w:rsid w:val="00655E6B"/>
    <w:rsid w:val="00656911"/>
    <w:rsid w:val="00656F58"/>
    <w:rsid w:val="00657719"/>
    <w:rsid w:val="00657727"/>
    <w:rsid w:val="00660969"/>
    <w:rsid w:val="00660B48"/>
    <w:rsid w:val="00662650"/>
    <w:rsid w:val="00662ADB"/>
    <w:rsid w:val="006634BC"/>
    <w:rsid w:val="0066366C"/>
    <w:rsid w:val="006648D1"/>
    <w:rsid w:val="00664D37"/>
    <w:rsid w:val="00664E1D"/>
    <w:rsid w:val="00666BA1"/>
    <w:rsid w:val="0066772B"/>
    <w:rsid w:val="00667D20"/>
    <w:rsid w:val="006700CB"/>
    <w:rsid w:val="0067011A"/>
    <w:rsid w:val="00670428"/>
    <w:rsid w:val="00670786"/>
    <w:rsid w:val="006708BC"/>
    <w:rsid w:val="00670BF6"/>
    <w:rsid w:val="00671FD0"/>
    <w:rsid w:val="006721DF"/>
    <w:rsid w:val="006727A0"/>
    <w:rsid w:val="00672956"/>
    <w:rsid w:val="00672A20"/>
    <w:rsid w:val="0067345B"/>
    <w:rsid w:val="006734ED"/>
    <w:rsid w:val="006738C1"/>
    <w:rsid w:val="00673D00"/>
    <w:rsid w:val="00674329"/>
    <w:rsid w:val="00674808"/>
    <w:rsid w:val="00674CE6"/>
    <w:rsid w:val="00674F39"/>
    <w:rsid w:val="00674FC2"/>
    <w:rsid w:val="006758EF"/>
    <w:rsid w:val="00675D53"/>
    <w:rsid w:val="006767DB"/>
    <w:rsid w:val="00676BB6"/>
    <w:rsid w:val="00676FCA"/>
    <w:rsid w:val="00677279"/>
    <w:rsid w:val="006773D9"/>
    <w:rsid w:val="00677979"/>
    <w:rsid w:val="0067798B"/>
    <w:rsid w:val="00680232"/>
    <w:rsid w:val="00680316"/>
    <w:rsid w:val="006803A0"/>
    <w:rsid w:val="00680A85"/>
    <w:rsid w:val="00680AC2"/>
    <w:rsid w:val="0068141A"/>
    <w:rsid w:val="0068146E"/>
    <w:rsid w:val="00681809"/>
    <w:rsid w:val="00681B55"/>
    <w:rsid w:val="00682088"/>
    <w:rsid w:val="0068273E"/>
    <w:rsid w:val="0068303F"/>
    <w:rsid w:val="006830FC"/>
    <w:rsid w:val="00683770"/>
    <w:rsid w:val="00683926"/>
    <w:rsid w:val="00683B58"/>
    <w:rsid w:val="0068416C"/>
    <w:rsid w:val="006849B0"/>
    <w:rsid w:val="006849D2"/>
    <w:rsid w:val="00685035"/>
    <w:rsid w:val="00685F7C"/>
    <w:rsid w:val="00686775"/>
    <w:rsid w:val="00686A7E"/>
    <w:rsid w:val="00686C41"/>
    <w:rsid w:val="00686CAE"/>
    <w:rsid w:val="006903A2"/>
    <w:rsid w:val="00690509"/>
    <w:rsid w:val="00690963"/>
    <w:rsid w:val="00690B95"/>
    <w:rsid w:val="00690EA6"/>
    <w:rsid w:val="00691156"/>
    <w:rsid w:val="00691601"/>
    <w:rsid w:val="00691998"/>
    <w:rsid w:val="00691CDA"/>
    <w:rsid w:val="00691E0A"/>
    <w:rsid w:val="00691FAB"/>
    <w:rsid w:val="0069205B"/>
    <w:rsid w:val="0069283C"/>
    <w:rsid w:val="00693751"/>
    <w:rsid w:val="00693795"/>
    <w:rsid w:val="006937ED"/>
    <w:rsid w:val="00693CE6"/>
    <w:rsid w:val="006940D6"/>
    <w:rsid w:val="0069414F"/>
    <w:rsid w:val="00694391"/>
    <w:rsid w:val="00695005"/>
    <w:rsid w:val="0069571C"/>
    <w:rsid w:val="00695E3A"/>
    <w:rsid w:val="00695E56"/>
    <w:rsid w:val="00695FA3"/>
    <w:rsid w:val="00696375"/>
    <w:rsid w:val="006965DF"/>
    <w:rsid w:val="00696CA3"/>
    <w:rsid w:val="00697BFC"/>
    <w:rsid w:val="006A0169"/>
    <w:rsid w:val="006A0433"/>
    <w:rsid w:val="006A09A4"/>
    <w:rsid w:val="006A134B"/>
    <w:rsid w:val="006A1957"/>
    <w:rsid w:val="006A21CC"/>
    <w:rsid w:val="006A22CA"/>
    <w:rsid w:val="006A291A"/>
    <w:rsid w:val="006A3856"/>
    <w:rsid w:val="006A3ED9"/>
    <w:rsid w:val="006A438F"/>
    <w:rsid w:val="006A503A"/>
    <w:rsid w:val="006A65A6"/>
    <w:rsid w:val="006A66BF"/>
    <w:rsid w:val="006A6750"/>
    <w:rsid w:val="006A7601"/>
    <w:rsid w:val="006A7A17"/>
    <w:rsid w:val="006A7D6E"/>
    <w:rsid w:val="006A7FA7"/>
    <w:rsid w:val="006B0417"/>
    <w:rsid w:val="006B0634"/>
    <w:rsid w:val="006B097E"/>
    <w:rsid w:val="006B0F9B"/>
    <w:rsid w:val="006B1837"/>
    <w:rsid w:val="006B1C34"/>
    <w:rsid w:val="006B1FDC"/>
    <w:rsid w:val="006B1FF1"/>
    <w:rsid w:val="006B2896"/>
    <w:rsid w:val="006B293F"/>
    <w:rsid w:val="006B34DE"/>
    <w:rsid w:val="006B35F3"/>
    <w:rsid w:val="006B40C1"/>
    <w:rsid w:val="006B5F49"/>
    <w:rsid w:val="006B60A2"/>
    <w:rsid w:val="006B6490"/>
    <w:rsid w:val="006B6572"/>
    <w:rsid w:val="006B6A20"/>
    <w:rsid w:val="006B6B37"/>
    <w:rsid w:val="006C078D"/>
    <w:rsid w:val="006C086F"/>
    <w:rsid w:val="006C0D6F"/>
    <w:rsid w:val="006C0F49"/>
    <w:rsid w:val="006C164E"/>
    <w:rsid w:val="006C1EDD"/>
    <w:rsid w:val="006C2188"/>
    <w:rsid w:val="006C22E4"/>
    <w:rsid w:val="006C25AD"/>
    <w:rsid w:val="006C2C69"/>
    <w:rsid w:val="006C2F5C"/>
    <w:rsid w:val="006C319D"/>
    <w:rsid w:val="006C3573"/>
    <w:rsid w:val="006C3593"/>
    <w:rsid w:val="006C4010"/>
    <w:rsid w:val="006C41FC"/>
    <w:rsid w:val="006C477E"/>
    <w:rsid w:val="006C4EC2"/>
    <w:rsid w:val="006C50D1"/>
    <w:rsid w:val="006C5AD3"/>
    <w:rsid w:val="006C6599"/>
    <w:rsid w:val="006C6D7A"/>
    <w:rsid w:val="006C7F0A"/>
    <w:rsid w:val="006D0350"/>
    <w:rsid w:val="006D037E"/>
    <w:rsid w:val="006D0C02"/>
    <w:rsid w:val="006D0F19"/>
    <w:rsid w:val="006D1BE0"/>
    <w:rsid w:val="006D24F7"/>
    <w:rsid w:val="006D2B2B"/>
    <w:rsid w:val="006D2DE9"/>
    <w:rsid w:val="006D35F8"/>
    <w:rsid w:val="006D36C1"/>
    <w:rsid w:val="006D3949"/>
    <w:rsid w:val="006D39A5"/>
    <w:rsid w:val="006D3E8B"/>
    <w:rsid w:val="006D3FB0"/>
    <w:rsid w:val="006D443D"/>
    <w:rsid w:val="006D4512"/>
    <w:rsid w:val="006D4676"/>
    <w:rsid w:val="006D46C7"/>
    <w:rsid w:val="006D4C04"/>
    <w:rsid w:val="006D4E80"/>
    <w:rsid w:val="006D5A07"/>
    <w:rsid w:val="006D5DCC"/>
    <w:rsid w:val="006D5E38"/>
    <w:rsid w:val="006D614A"/>
    <w:rsid w:val="006D61AF"/>
    <w:rsid w:val="006D65EC"/>
    <w:rsid w:val="006D6B5E"/>
    <w:rsid w:val="006D6CA1"/>
    <w:rsid w:val="006D712E"/>
    <w:rsid w:val="006D7DA7"/>
    <w:rsid w:val="006E08F5"/>
    <w:rsid w:val="006E09B5"/>
    <w:rsid w:val="006E0EE2"/>
    <w:rsid w:val="006E0FAD"/>
    <w:rsid w:val="006E1E87"/>
    <w:rsid w:val="006E2057"/>
    <w:rsid w:val="006E2715"/>
    <w:rsid w:val="006E27D1"/>
    <w:rsid w:val="006E2953"/>
    <w:rsid w:val="006E2ADA"/>
    <w:rsid w:val="006E2CD8"/>
    <w:rsid w:val="006E3E4E"/>
    <w:rsid w:val="006E4019"/>
    <w:rsid w:val="006E43D2"/>
    <w:rsid w:val="006E4462"/>
    <w:rsid w:val="006E465C"/>
    <w:rsid w:val="006E48B7"/>
    <w:rsid w:val="006E4B08"/>
    <w:rsid w:val="006E4EB7"/>
    <w:rsid w:val="006E558B"/>
    <w:rsid w:val="006E753A"/>
    <w:rsid w:val="006E7A5E"/>
    <w:rsid w:val="006E7C6D"/>
    <w:rsid w:val="006E7D59"/>
    <w:rsid w:val="006E7F4D"/>
    <w:rsid w:val="006E7F81"/>
    <w:rsid w:val="006F12A6"/>
    <w:rsid w:val="006F1443"/>
    <w:rsid w:val="006F17D6"/>
    <w:rsid w:val="006F17DA"/>
    <w:rsid w:val="006F1C69"/>
    <w:rsid w:val="006F22F8"/>
    <w:rsid w:val="006F2579"/>
    <w:rsid w:val="006F2855"/>
    <w:rsid w:val="006F2887"/>
    <w:rsid w:val="006F2958"/>
    <w:rsid w:val="006F2DD6"/>
    <w:rsid w:val="006F5439"/>
    <w:rsid w:val="006F5EA6"/>
    <w:rsid w:val="006F69AA"/>
    <w:rsid w:val="006F713E"/>
    <w:rsid w:val="006F7400"/>
    <w:rsid w:val="006F750C"/>
    <w:rsid w:val="006F7BB3"/>
    <w:rsid w:val="006F7EB1"/>
    <w:rsid w:val="00700A36"/>
    <w:rsid w:val="00700AD5"/>
    <w:rsid w:val="00701834"/>
    <w:rsid w:val="0070199E"/>
    <w:rsid w:val="007019C6"/>
    <w:rsid w:val="00701B71"/>
    <w:rsid w:val="00701BDD"/>
    <w:rsid w:val="00701E8E"/>
    <w:rsid w:val="00701EA6"/>
    <w:rsid w:val="00702171"/>
    <w:rsid w:val="00702B93"/>
    <w:rsid w:val="00702D4F"/>
    <w:rsid w:val="00703943"/>
    <w:rsid w:val="00703D5F"/>
    <w:rsid w:val="007045FC"/>
    <w:rsid w:val="0070488F"/>
    <w:rsid w:val="00704CDE"/>
    <w:rsid w:val="00704CF9"/>
    <w:rsid w:val="00704ECD"/>
    <w:rsid w:val="00705075"/>
    <w:rsid w:val="00705199"/>
    <w:rsid w:val="00705711"/>
    <w:rsid w:val="0070582E"/>
    <w:rsid w:val="0070596D"/>
    <w:rsid w:val="00705D7F"/>
    <w:rsid w:val="00706AAB"/>
    <w:rsid w:val="00707178"/>
    <w:rsid w:val="007073E2"/>
    <w:rsid w:val="0070772C"/>
    <w:rsid w:val="00707EED"/>
    <w:rsid w:val="00710713"/>
    <w:rsid w:val="00710A96"/>
    <w:rsid w:val="00711B38"/>
    <w:rsid w:val="00711F83"/>
    <w:rsid w:val="007122C3"/>
    <w:rsid w:val="007123C3"/>
    <w:rsid w:val="0071266E"/>
    <w:rsid w:val="00712C38"/>
    <w:rsid w:val="00712E25"/>
    <w:rsid w:val="00712E70"/>
    <w:rsid w:val="007130F7"/>
    <w:rsid w:val="00714183"/>
    <w:rsid w:val="007142A9"/>
    <w:rsid w:val="00714B95"/>
    <w:rsid w:val="00715CA4"/>
    <w:rsid w:val="00715E75"/>
    <w:rsid w:val="0071643E"/>
    <w:rsid w:val="0071691D"/>
    <w:rsid w:val="0071695A"/>
    <w:rsid w:val="007172B6"/>
    <w:rsid w:val="0071779F"/>
    <w:rsid w:val="00717CD9"/>
    <w:rsid w:val="00720C6C"/>
    <w:rsid w:val="00720D93"/>
    <w:rsid w:val="007218A2"/>
    <w:rsid w:val="00721EC2"/>
    <w:rsid w:val="007225C9"/>
    <w:rsid w:val="00722634"/>
    <w:rsid w:val="007226F3"/>
    <w:rsid w:val="00722D51"/>
    <w:rsid w:val="0072328D"/>
    <w:rsid w:val="0072344E"/>
    <w:rsid w:val="007237EE"/>
    <w:rsid w:val="007240C3"/>
    <w:rsid w:val="007243CC"/>
    <w:rsid w:val="00724B40"/>
    <w:rsid w:val="0072530B"/>
    <w:rsid w:val="007263B7"/>
    <w:rsid w:val="0072662D"/>
    <w:rsid w:val="0072677C"/>
    <w:rsid w:val="00727471"/>
    <w:rsid w:val="00727632"/>
    <w:rsid w:val="007301CB"/>
    <w:rsid w:val="0073087D"/>
    <w:rsid w:val="00731957"/>
    <w:rsid w:val="007323E0"/>
    <w:rsid w:val="00732744"/>
    <w:rsid w:val="0073288D"/>
    <w:rsid w:val="00732974"/>
    <w:rsid w:val="00732BB6"/>
    <w:rsid w:val="00733697"/>
    <w:rsid w:val="00733A31"/>
    <w:rsid w:val="00733C12"/>
    <w:rsid w:val="00733C2F"/>
    <w:rsid w:val="00733EF3"/>
    <w:rsid w:val="007344A7"/>
    <w:rsid w:val="007356BB"/>
    <w:rsid w:val="00735B0B"/>
    <w:rsid w:val="00735BED"/>
    <w:rsid w:val="0073666D"/>
    <w:rsid w:val="0073669E"/>
    <w:rsid w:val="00736799"/>
    <w:rsid w:val="00736EAD"/>
    <w:rsid w:val="0073707B"/>
    <w:rsid w:val="00737C67"/>
    <w:rsid w:val="00737D1D"/>
    <w:rsid w:val="00737F76"/>
    <w:rsid w:val="007404A0"/>
    <w:rsid w:val="007406D2"/>
    <w:rsid w:val="00740FC0"/>
    <w:rsid w:val="00741002"/>
    <w:rsid w:val="00741637"/>
    <w:rsid w:val="007418D4"/>
    <w:rsid w:val="00741E81"/>
    <w:rsid w:val="00742121"/>
    <w:rsid w:val="00742CE6"/>
    <w:rsid w:val="00743353"/>
    <w:rsid w:val="00743655"/>
    <w:rsid w:val="00743FDA"/>
    <w:rsid w:val="0074467F"/>
    <w:rsid w:val="00744F24"/>
    <w:rsid w:val="0074501E"/>
    <w:rsid w:val="00745868"/>
    <w:rsid w:val="007459F0"/>
    <w:rsid w:val="00746472"/>
    <w:rsid w:val="00746CD0"/>
    <w:rsid w:val="00746F76"/>
    <w:rsid w:val="007471B6"/>
    <w:rsid w:val="00747C5A"/>
    <w:rsid w:val="00747CD0"/>
    <w:rsid w:val="00747E2A"/>
    <w:rsid w:val="007500B9"/>
    <w:rsid w:val="007502B5"/>
    <w:rsid w:val="00750846"/>
    <w:rsid w:val="007516D1"/>
    <w:rsid w:val="00751ADF"/>
    <w:rsid w:val="00751DE7"/>
    <w:rsid w:val="00752CE8"/>
    <w:rsid w:val="00753790"/>
    <w:rsid w:val="0075428A"/>
    <w:rsid w:val="0075561B"/>
    <w:rsid w:val="00755E24"/>
    <w:rsid w:val="00756E8B"/>
    <w:rsid w:val="007575BC"/>
    <w:rsid w:val="007603BD"/>
    <w:rsid w:val="00760A78"/>
    <w:rsid w:val="007618B2"/>
    <w:rsid w:val="007620C8"/>
    <w:rsid w:val="00763C94"/>
    <w:rsid w:val="0076468E"/>
    <w:rsid w:val="00764725"/>
    <w:rsid w:val="0076472C"/>
    <w:rsid w:val="007649D6"/>
    <w:rsid w:val="00764B6B"/>
    <w:rsid w:val="00764F0C"/>
    <w:rsid w:val="007655BB"/>
    <w:rsid w:val="007659EF"/>
    <w:rsid w:val="00765B31"/>
    <w:rsid w:val="00766029"/>
    <w:rsid w:val="00766432"/>
    <w:rsid w:val="00766983"/>
    <w:rsid w:val="00767A28"/>
    <w:rsid w:val="00767D99"/>
    <w:rsid w:val="00770893"/>
    <w:rsid w:val="007712C3"/>
    <w:rsid w:val="00771D33"/>
    <w:rsid w:val="00771F1C"/>
    <w:rsid w:val="00771F3F"/>
    <w:rsid w:val="007724C4"/>
    <w:rsid w:val="007725DF"/>
    <w:rsid w:val="00772E14"/>
    <w:rsid w:val="00772E1A"/>
    <w:rsid w:val="007736D0"/>
    <w:rsid w:val="00773A11"/>
    <w:rsid w:val="00773D01"/>
    <w:rsid w:val="0077411F"/>
    <w:rsid w:val="00774C10"/>
    <w:rsid w:val="007754D1"/>
    <w:rsid w:val="007758B8"/>
    <w:rsid w:val="007758CF"/>
    <w:rsid w:val="00775FEC"/>
    <w:rsid w:val="00776317"/>
    <w:rsid w:val="00776B10"/>
    <w:rsid w:val="00776D06"/>
    <w:rsid w:val="00777ECC"/>
    <w:rsid w:val="00780317"/>
    <w:rsid w:val="00780E1B"/>
    <w:rsid w:val="007810BC"/>
    <w:rsid w:val="00781EB4"/>
    <w:rsid w:val="007823D7"/>
    <w:rsid w:val="00782941"/>
    <w:rsid w:val="00782E96"/>
    <w:rsid w:val="007844DE"/>
    <w:rsid w:val="007848DA"/>
    <w:rsid w:val="00784A3D"/>
    <w:rsid w:val="00785A39"/>
    <w:rsid w:val="00785E47"/>
    <w:rsid w:val="007861AA"/>
    <w:rsid w:val="0078659F"/>
    <w:rsid w:val="00787447"/>
    <w:rsid w:val="0078776F"/>
    <w:rsid w:val="00787775"/>
    <w:rsid w:val="007900EA"/>
    <w:rsid w:val="00790BDA"/>
    <w:rsid w:val="00790CD2"/>
    <w:rsid w:val="0079103F"/>
    <w:rsid w:val="007918A1"/>
    <w:rsid w:val="0079200A"/>
    <w:rsid w:val="00792169"/>
    <w:rsid w:val="00793091"/>
    <w:rsid w:val="00793F12"/>
    <w:rsid w:val="00794320"/>
    <w:rsid w:val="007943A8"/>
    <w:rsid w:val="007947F4"/>
    <w:rsid w:val="00795DC8"/>
    <w:rsid w:val="00795FC0"/>
    <w:rsid w:val="007963D7"/>
    <w:rsid w:val="00796527"/>
    <w:rsid w:val="007966D8"/>
    <w:rsid w:val="007975AC"/>
    <w:rsid w:val="00797CF6"/>
    <w:rsid w:val="007A0F7C"/>
    <w:rsid w:val="007A10D6"/>
    <w:rsid w:val="007A1167"/>
    <w:rsid w:val="007A12A7"/>
    <w:rsid w:val="007A14FC"/>
    <w:rsid w:val="007A1803"/>
    <w:rsid w:val="007A20A0"/>
    <w:rsid w:val="007A289D"/>
    <w:rsid w:val="007A2AD1"/>
    <w:rsid w:val="007A2B71"/>
    <w:rsid w:val="007A2BE6"/>
    <w:rsid w:val="007A2C5D"/>
    <w:rsid w:val="007A340C"/>
    <w:rsid w:val="007A367F"/>
    <w:rsid w:val="007A36E5"/>
    <w:rsid w:val="007A38B8"/>
    <w:rsid w:val="007A4A3D"/>
    <w:rsid w:val="007A4E3F"/>
    <w:rsid w:val="007A5090"/>
    <w:rsid w:val="007A5A11"/>
    <w:rsid w:val="007A5AB8"/>
    <w:rsid w:val="007A6BA7"/>
    <w:rsid w:val="007A6F16"/>
    <w:rsid w:val="007A72CA"/>
    <w:rsid w:val="007A7512"/>
    <w:rsid w:val="007A752A"/>
    <w:rsid w:val="007A7B6E"/>
    <w:rsid w:val="007A7E3D"/>
    <w:rsid w:val="007A7F7F"/>
    <w:rsid w:val="007A7FAB"/>
    <w:rsid w:val="007A7FD6"/>
    <w:rsid w:val="007B028F"/>
    <w:rsid w:val="007B09DF"/>
    <w:rsid w:val="007B0CC3"/>
    <w:rsid w:val="007B16A1"/>
    <w:rsid w:val="007B217C"/>
    <w:rsid w:val="007B2DB6"/>
    <w:rsid w:val="007B300E"/>
    <w:rsid w:val="007B30CA"/>
    <w:rsid w:val="007B3A11"/>
    <w:rsid w:val="007B3AFD"/>
    <w:rsid w:val="007B4DDD"/>
    <w:rsid w:val="007B530F"/>
    <w:rsid w:val="007B567F"/>
    <w:rsid w:val="007B57E8"/>
    <w:rsid w:val="007B58BF"/>
    <w:rsid w:val="007B5D4F"/>
    <w:rsid w:val="007B65D4"/>
    <w:rsid w:val="007B67FE"/>
    <w:rsid w:val="007B7101"/>
    <w:rsid w:val="007B7B2B"/>
    <w:rsid w:val="007B7B34"/>
    <w:rsid w:val="007B7DA1"/>
    <w:rsid w:val="007B7F68"/>
    <w:rsid w:val="007C0BE9"/>
    <w:rsid w:val="007C10C6"/>
    <w:rsid w:val="007C138D"/>
    <w:rsid w:val="007C17BF"/>
    <w:rsid w:val="007C1B02"/>
    <w:rsid w:val="007C1D91"/>
    <w:rsid w:val="007C200D"/>
    <w:rsid w:val="007C204B"/>
    <w:rsid w:val="007C2519"/>
    <w:rsid w:val="007C398B"/>
    <w:rsid w:val="007C4C4F"/>
    <w:rsid w:val="007C5323"/>
    <w:rsid w:val="007C6187"/>
    <w:rsid w:val="007C63B8"/>
    <w:rsid w:val="007C67EE"/>
    <w:rsid w:val="007C7A8C"/>
    <w:rsid w:val="007D05C7"/>
    <w:rsid w:val="007D07F8"/>
    <w:rsid w:val="007D0EE9"/>
    <w:rsid w:val="007D1707"/>
    <w:rsid w:val="007D1B89"/>
    <w:rsid w:val="007D1BEA"/>
    <w:rsid w:val="007D24AB"/>
    <w:rsid w:val="007D2C5E"/>
    <w:rsid w:val="007D3405"/>
    <w:rsid w:val="007D3D41"/>
    <w:rsid w:val="007D41C2"/>
    <w:rsid w:val="007D42D5"/>
    <w:rsid w:val="007D467D"/>
    <w:rsid w:val="007D4BFC"/>
    <w:rsid w:val="007D5080"/>
    <w:rsid w:val="007D6193"/>
    <w:rsid w:val="007D6B1C"/>
    <w:rsid w:val="007D78EE"/>
    <w:rsid w:val="007D7A92"/>
    <w:rsid w:val="007D7BFE"/>
    <w:rsid w:val="007E01C5"/>
    <w:rsid w:val="007E0750"/>
    <w:rsid w:val="007E0A49"/>
    <w:rsid w:val="007E0B1E"/>
    <w:rsid w:val="007E0F2C"/>
    <w:rsid w:val="007E0FAF"/>
    <w:rsid w:val="007E112F"/>
    <w:rsid w:val="007E1356"/>
    <w:rsid w:val="007E1C60"/>
    <w:rsid w:val="007E3301"/>
    <w:rsid w:val="007E3373"/>
    <w:rsid w:val="007E3CC5"/>
    <w:rsid w:val="007E441D"/>
    <w:rsid w:val="007E450C"/>
    <w:rsid w:val="007E4A09"/>
    <w:rsid w:val="007E4C9C"/>
    <w:rsid w:val="007E5486"/>
    <w:rsid w:val="007E54AD"/>
    <w:rsid w:val="007E5B1C"/>
    <w:rsid w:val="007E5F2E"/>
    <w:rsid w:val="007E5FB5"/>
    <w:rsid w:val="007E6196"/>
    <w:rsid w:val="007E6656"/>
    <w:rsid w:val="007E6E12"/>
    <w:rsid w:val="007E70BF"/>
    <w:rsid w:val="007E717D"/>
    <w:rsid w:val="007E724E"/>
    <w:rsid w:val="007E735A"/>
    <w:rsid w:val="007E7432"/>
    <w:rsid w:val="007E7F06"/>
    <w:rsid w:val="007F0085"/>
    <w:rsid w:val="007F080F"/>
    <w:rsid w:val="007F0F01"/>
    <w:rsid w:val="007F155F"/>
    <w:rsid w:val="007F1A99"/>
    <w:rsid w:val="007F1C4A"/>
    <w:rsid w:val="007F22A7"/>
    <w:rsid w:val="007F22ED"/>
    <w:rsid w:val="007F24DA"/>
    <w:rsid w:val="007F2ED8"/>
    <w:rsid w:val="007F3253"/>
    <w:rsid w:val="007F3811"/>
    <w:rsid w:val="007F4457"/>
    <w:rsid w:val="007F4DE5"/>
    <w:rsid w:val="007F4F42"/>
    <w:rsid w:val="007F536B"/>
    <w:rsid w:val="007F59CD"/>
    <w:rsid w:val="007F5E48"/>
    <w:rsid w:val="007F67DD"/>
    <w:rsid w:val="007F67F0"/>
    <w:rsid w:val="007F6BC7"/>
    <w:rsid w:val="007F7F32"/>
    <w:rsid w:val="00800A70"/>
    <w:rsid w:val="00800DF8"/>
    <w:rsid w:val="008017C2"/>
    <w:rsid w:val="00801DBA"/>
    <w:rsid w:val="00801E32"/>
    <w:rsid w:val="00801FB7"/>
    <w:rsid w:val="008021FD"/>
    <w:rsid w:val="00802554"/>
    <w:rsid w:val="008026FA"/>
    <w:rsid w:val="00802B21"/>
    <w:rsid w:val="00802DB4"/>
    <w:rsid w:val="008036BE"/>
    <w:rsid w:val="00803B18"/>
    <w:rsid w:val="00803B2E"/>
    <w:rsid w:val="00804501"/>
    <w:rsid w:val="0080493A"/>
    <w:rsid w:val="00804957"/>
    <w:rsid w:val="00804BA2"/>
    <w:rsid w:val="00804FE6"/>
    <w:rsid w:val="008050F8"/>
    <w:rsid w:val="00805224"/>
    <w:rsid w:val="0080556B"/>
    <w:rsid w:val="00805FD6"/>
    <w:rsid w:val="008065A3"/>
    <w:rsid w:val="00806809"/>
    <w:rsid w:val="00806ABD"/>
    <w:rsid w:val="00806DCA"/>
    <w:rsid w:val="00807D00"/>
    <w:rsid w:val="00807EA4"/>
    <w:rsid w:val="00807EB6"/>
    <w:rsid w:val="008106E3"/>
    <w:rsid w:val="00810F07"/>
    <w:rsid w:val="008115B8"/>
    <w:rsid w:val="008115CF"/>
    <w:rsid w:val="00811E77"/>
    <w:rsid w:val="00812315"/>
    <w:rsid w:val="00813018"/>
    <w:rsid w:val="008143C7"/>
    <w:rsid w:val="00814DCA"/>
    <w:rsid w:val="008150BE"/>
    <w:rsid w:val="0081539C"/>
    <w:rsid w:val="008154EA"/>
    <w:rsid w:val="008157B3"/>
    <w:rsid w:val="00815822"/>
    <w:rsid w:val="00815936"/>
    <w:rsid w:val="00815D1B"/>
    <w:rsid w:val="008163BE"/>
    <w:rsid w:val="008164A8"/>
    <w:rsid w:val="00816C1F"/>
    <w:rsid w:val="008174AD"/>
    <w:rsid w:val="00820876"/>
    <w:rsid w:val="0082143F"/>
    <w:rsid w:val="0082159A"/>
    <w:rsid w:val="00821718"/>
    <w:rsid w:val="00821A8F"/>
    <w:rsid w:val="00822064"/>
    <w:rsid w:val="008220AD"/>
    <w:rsid w:val="00822738"/>
    <w:rsid w:val="00822969"/>
    <w:rsid w:val="00822D89"/>
    <w:rsid w:val="00823196"/>
    <w:rsid w:val="00823610"/>
    <w:rsid w:val="008237DE"/>
    <w:rsid w:val="00824ABF"/>
    <w:rsid w:val="00824E32"/>
    <w:rsid w:val="00825246"/>
    <w:rsid w:val="00825B9C"/>
    <w:rsid w:val="00827EFF"/>
    <w:rsid w:val="008301C6"/>
    <w:rsid w:val="0083049A"/>
    <w:rsid w:val="00830846"/>
    <w:rsid w:val="008319DA"/>
    <w:rsid w:val="00831D1D"/>
    <w:rsid w:val="008321A6"/>
    <w:rsid w:val="00832A5F"/>
    <w:rsid w:val="00832C7E"/>
    <w:rsid w:val="00833393"/>
    <w:rsid w:val="0083380F"/>
    <w:rsid w:val="00833A60"/>
    <w:rsid w:val="00833C3B"/>
    <w:rsid w:val="00833D2C"/>
    <w:rsid w:val="00834B4D"/>
    <w:rsid w:val="00835CF4"/>
    <w:rsid w:val="00835FCE"/>
    <w:rsid w:val="008368DE"/>
    <w:rsid w:val="0083696A"/>
    <w:rsid w:val="00840BCC"/>
    <w:rsid w:val="00840E25"/>
    <w:rsid w:val="0084161A"/>
    <w:rsid w:val="00841962"/>
    <w:rsid w:val="008424BB"/>
    <w:rsid w:val="00842B3A"/>
    <w:rsid w:val="00843613"/>
    <w:rsid w:val="0084383C"/>
    <w:rsid w:val="0084456D"/>
    <w:rsid w:val="00844729"/>
    <w:rsid w:val="008461B4"/>
    <w:rsid w:val="008465CB"/>
    <w:rsid w:val="00846695"/>
    <w:rsid w:val="00846A62"/>
    <w:rsid w:val="00846B1B"/>
    <w:rsid w:val="0085127E"/>
    <w:rsid w:val="008515CC"/>
    <w:rsid w:val="008517C6"/>
    <w:rsid w:val="00852898"/>
    <w:rsid w:val="00852F4F"/>
    <w:rsid w:val="00853308"/>
    <w:rsid w:val="008534CC"/>
    <w:rsid w:val="00853646"/>
    <w:rsid w:val="00853C98"/>
    <w:rsid w:val="00854103"/>
    <w:rsid w:val="00854773"/>
    <w:rsid w:val="008549B1"/>
    <w:rsid w:val="00854B47"/>
    <w:rsid w:val="008550BA"/>
    <w:rsid w:val="0085543E"/>
    <w:rsid w:val="00855820"/>
    <w:rsid w:val="008568B0"/>
    <w:rsid w:val="0085710E"/>
    <w:rsid w:val="008578F2"/>
    <w:rsid w:val="00857A16"/>
    <w:rsid w:val="00857DB6"/>
    <w:rsid w:val="008600ED"/>
    <w:rsid w:val="00860366"/>
    <w:rsid w:val="008614BF"/>
    <w:rsid w:val="008615DC"/>
    <w:rsid w:val="008619B4"/>
    <w:rsid w:val="00861CAB"/>
    <w:rsid w:val="00861F5B"/>
    <w:rsid w:val="008623CA"/>
    <w:rsid w:val="008627A8"/>
    <w:rsid w:val="00862B21"/>
    <w:rsid w:val="008632FC"/>
    <w:rsid w:val="00863523"/>
    <w:rsid w:val="008636D6"/>
    <w:rsid w:val="00863E02"/>
    <w:rsid w:val="0086489A"/>
    <w:rsid w:val="00865274"/>
    <w:rsid w:val="00865301"/>
    <w:rsid w:val="00865940"/>
    <w:rsid w:val="00865A0D"/>
    <w:rsid w:val="00865EEC"/>
    <w:rsid w:val="00866416"/>
    <w:rsid w:val="00866A27"/>
    <w:rsid w:val="00866C88"/>
    <w:rsid w:val="0086726E"/>
    <w:rsid w:val="00867C61"/>
    <w:rsid w:val="008701DC"/>
    <w:rsid w:val="00870234"/>
    <w:rsid w:val="00870335"/>
    <w:rsid w:val="0087051A"/>
    <w:rsid w:val="0087081B"/>
    <w:rsid w:val="008714CD"/>
    <w:rsid w:val="00872A6E"/>
    <w:rsid w:val="008739F1"/>
    <w:rsid w:val="00873F33"/>
    <w:rsid w:val="00874197"/>
    <w:rsid w:val="00874308"/>
    <w:rsid w:val="00874882"/>
    <w:rsid w:val="00875375"/>
    <w:rsid w:val="008753E4"/>
    <w:rsid w:val="00875827"/>
    <w:rsid w:val="008764DF"/>
    <w:rsid w:val="00876C7F"/>
    <w:rsid w:val="00876DA9"/>
    <w:rsid w:val="00877B13"/>
    <w:rsid w:val="0088067E"/>
    <w:rsid w:val="00880AB5"/>
    <w:rsid w:val="00880AD5"/>
    <w:rsid w:val="00880C01"/>
    <w:rsid w:val="00881095"/>
    <w:rsid w:val="00881457"/>
    <w:rsid w:val="00881918"/>
    <w:rsid w:val="00881E91"/>
    <w:rsid w:val="00882802"/>
    <w:rsid w:val="00882B0F"/>
    <w:rsid w:val="008836A7"/>
    <w:rsid w:val="00883749"/>
    <w:rsid w:val="008837DA"/>
    <w:rsid w:val="00884467"/>
    <w:rsid w:val="0088452E"/>
    <w:rsid w:val="00884AB6"/>
    <w:rsid w:val="0088559A"/>
    <w:rsid w:val="00885D99"/>
    <w:rsid w:val="00886448"/>
    <w:rsid w:val="0088656B"/>
    <w:rsid w:val="00887031"/>
    <w:rsid w:val="008872D7"/>
    <w:rsid w:val="00887E8C"/>
    <w:rsid w:val="00887F03"/>
    <w:rsid w:val="0089031C"/>
    <w:rsid w:val="0089055E"/>
    <w:rsid w:val="00891448"/>
    <w:rsid w:val="008914A2"/>
    <w:rsid w:val="00891D38"/>
    <w:rsid w:val="00891D7B"/>
    <w:rsid w:val="008923EA"/>
    <w:rsid w:val="00892878"/>
    <w:rsid w:val="00893B95"/>
    <w:rsid w:val="008941B2"/>
    <w:rsid w:val="0089486E"/>
    <w:rsid w:val="00894DEA"/>
    <w:rsid w:val="00895941"/>
    <w:rsid w:val="00896875"/>
    <w:rsid w:val="008A04B2"/>
    <w:rsid w:val="008A0D44"/>
    <w:rsid w:val="008A1084"/>
    <w:rsid w:val="008A1C2F"/>
    <w:rsid w:val="008A1DA7"/>
    <w:rsid w:val="008A29BC"/>
    <w:rsid w:val="008A3884"/>
    <w:rsid w:val="008A3A4B"/>
    <w:rsid w:val="008A41DE"/>
    <w:rsid w:val="008A49EA"/>
    <w:rsid w:val="008A4ABF"/>
    <w:rsid w:val="008A5519"/>
    <w:rsid w:val="008A6614"/>
    <w:rsid w:val="008A739F"/>
    <w:rsid w:val="008A7517"/>
    <w:rsid w:val="008A790C"/>
    <w:rsid w:val="008B0108"/>
    <w:rsid w:val="008B0CD7"/>
    <w:rsid w:val="008B1123"/>
    <w:rsid w:val="008B18E3"/>
    <w:rsid w:val="008B2BE6"/>
    <w:rsid w:val="008B3670"/>
    <w:rsid w:val="008B392A"/>
    <w:rsid w:val="008B3E82"/>
    <w:rsid w:val="008B4157"/>
    <w:rsid w:val="008B4A24"/>
    <w:rsid w:val="008B51DE"/>
    <w:rsid w:val="008B5AFF"/>
    <w:rsid w:val="008B5E0B"/>
    <w:rsid w:val="008B758A"/>
    <w:rsid w:val="008B7817"/>
    <w:rsid w:val="008B7C72"/>
    <w:rsid w:val="008B7CD2"/>
    <w:rsid w:val="008C00EF"/>
    <w:rsid w:val="008C053C"/>
    <w:rsid w:val="008C0C4F"/>
    <w:rsid w:val="008C0F75"/>
    <w:rsid w:val="008C12F3"/>
    <w:rsid w:val="008C1433"/>
    <w:rsid w:val="008C17EE"/>
    <w:rsid w:val="008C1D8B"/>
    <w:rsid w:val="008C1F03"/>
    <w:rsid w:val="008C21EC"/>
    <w:rsid w:val="008C277A"/>
    <w:rsid w:val="008C2F47"/>
    <w:rsid w:val="008C3373"/>
    <w:rsid w:val="008C3C00"/>
    <w:rsid w:val="008C49A9"/>
    <w:rsid w:val="008C561D"/>
    <w:rsid w:val="008C62EC"/>
    <w:rsid w:val="008C6316"/>
    <w:rsid w:val="008C7911"/>
    <w:rsid w:val="008C7FAF"/>
    <w:rsid w:val="008D0A96"/>
    <w:rsid w:val="008D0BE4"/>
    <w:rsid w:val="008D0F42"/>
    <w:rsid w:val="008D1475"/>
    <w:rsid w:val="008D151E"/>
    <w:rsid w:val="008D19DB"/>
    <w:rsid w:val="008D35E2"/>
    <w:rsid w:val="008D3981"/>
    <w:rsid w:val="008D41B5"/>
    <w:rsid w:val="008D48AA"/>
    <w:rsid w:val="008D52D5"/>
    <w:rsid w:val="008D5BE0"/>
    <w:rsid w:val="008D72C3"/>
    <w:rsid w:val="008D7537"/>
    <w:rsid w:val="008D7689"/>
    <w:rsid w:val="008D7B10"/>
    <w:rsid w:val="008E041A"/>
    <w:rsid w:val="008E04F6"/>
    <w:rsid w:val="008E0FD3"/>
    <w:rsid w:val="008E154C"/>
    <w:rsid w:val="008E1B76"/>
    <w:rsid w:val="008E1DCB"/>
    <w:rsid w:val="008E2248"/>
    <w:rsid w:val="008E237A"/>
    <w:rsid w:val="008E24CD"/>
    <w:rsid w:val="008E2CD5"/>
    <w:rsid w:val="008E2DF1"/>
    <w:rsid w:val="008E3BD0"/>
    <w:rsid w:val="008E53E7"/>
    <w:rsid w:val="008E5B3B"/>
    <w:rsid w:val="008E5D69"/>
    <w:rsid w:val="008E5EE3"/>
    <w:rsid w:val="008E63EA"/>
    <w:rsid w:val="008E7537"/>
    <w:rsid w:val="008E7558"/>
    <w:rsid w:val="008E7C23"/>
    <w:rsid w:val="008E7F8D"/>
    <w:rsid w:val="008F06E9"/>
    <w:rsid w:val="008F11C4"/>
    <w:rsid w:val="008F19BB"/>
    <w:rsid w:val="008F2850"/>
    <w:rsid w:val="008F2F11"/>
    <w:rsid w:val="008F2FC2"/>
    <w:rsid w:val="008F302C"/>
    <w:rsid w:val="008F327F"/>
    <w:rsid w:val="008F3305"/>
    <w:rsid w:val="008F3A1B"/>
    <w:rsid w:val="008F3C46"/>
    <w:rsid w:val="008F3E18"/>
    <w:rsid w:val="008F4783"/>
    <w:rsid w:val="008F4C45"/>
    <w:rsid w:val="008F5481"/>
    <w:rsid w:val="008F5D1E"/>
    <w:rsid w:val="008F6FE8"/>
    <w:rsid w:val="008F7242"/>
    <w:rsid w:val="008F75F1"/>
    <w:rsid w:val="008F7D34"/>
    <w:rsid w:val="008F7FBB"/>
    <w:rsid w:val="009011A5"/>
    <w:rsid w:val="00901457"/>
    <w:rsid w:val="00901C77"/>
    <w:rsid w:val="0090233F"/>
    <w:rsid w:val="00902698"/>
    <w:rsid w:val="009026E8"/>
    <w:rsid w:val="009030B0"/>
    <w:rsid w:val="009031E3"/>
    <w:rsid w:val="009035A2"/>
    <w:rsid w:val="0090368C"/>
    <w:rsid w:val="00903C20"/>
    <w:rsid w:val="00903E1E"/>
    <w:rsid w:val="00903EBB"/>
    <w:rsid w:val="00904067"/>
    <w:rsid w:val="00904237"/>
    <w:rsid w:val="00904674"/>
    <w:rsid w:val="00904BC9"/>
    <w:rsid w:val="009056C1"/>
    <w:rsid w:val="009056CA"/>
    <w:rsid w:val="009057C5"/>
    <w:rsid w:val="00905F4A"/>
    <w:rsid w:val="009062BB"/>
    <w:rsid w:val="0090688C"/>
    <w:rsid w:val="0090766E"/>
    <w:rsid w:val="0091038B"/>
    <w:rsid w:val="009119D3"/>
    <w:rsid w:val="00911F66"/>
    <w:rsid w:val="00913377"/>
    <w:rsid w:val="0091344B"/>
    <w:rsid w:val="00913491"/>
    <w:rsid w:val="009136AF"/>
    <w:rsid w:val="00913C85"/>
    <w:rsid w:val="00913DCC"/>
    <w:rsid w:val="0091409A"/>
    <w:rsid w:val="00914378"/>
    <w:rsid w:val="00914F27"/>
    <w:rsid w:val="00916333"/>
    <w:rsid w:val="00916B50"/>
    <w:rsid w:val="00917B21"/>
    <w:rsid w:val="00921839"/>
    <w:rsid w:val="00921E03"/>
    <w:rsid w:val="00922101"/>
    <w:rsid w:val="00922A4B"/>
    <w:rsid w:val="00923492"/>
    <w:rsid w:val="009236F3"/>
    <w:rsid w:val="009241BB"/>
    <w:rsid w:val="009244F7"/>
    <w:rsid w:val="00924C0D"/>
    <w:rsid w:val="00924D94"/>
    <w:rsid w:val="0092501B"/>
    <w:rsid w:val="0092587F"/>
    <w:rsid w:val="00925AA4"/>
    <w:rsid w:val="00926BE1"/>
    <w:rsid w:val="0092714F"/>
    <w:rsid w:val="009272CD"/>
    <w:rsid w:val="00927F6D"/>
    <w:rsid w:val="00930FA6"/>
    <w:rsid w:val="00931158"/>
    <w:rsid w:val="009313BE"/>
    <w:rsid w:val="009318B0"/>
    <w:rsid w:val="00932FE2"/>
    <w:rsid w:val="00933907"/>
    <w:rsid w:val="00933DCB"/>
    <w:rsid w:val="0093405E"/>
    <w:rsid w:val="009340AB"/>
    <w:rsid w:val="0093426D"/>
    <w:rsid w:val="00934498"/>
    <w:rsid w:val="00936192"/>
    <w:rsid w:val="00937516"/>
    <w:rsid w:val="0094066E"/>
    <w:rsid w:val="0094182D"/>
    <w:rsid w:val="00942004"/>
    <w:rsid w:val="0094245B"/>
    <w:rsid w:val="00942913"/>
    <w:rsid w:val="00942A08"/>
    <w:rsid w:val="00942CAD"/>
    <w:rsid w:val="009432E4"/>
    <w:rsid w:val="00943363"/>
    <w:rsid w:val="009434CF"/>
    <w:rsid w:val="009434EA"/>
    <w:rsid w:val="009442EB"/>
    <w:rsid w:val="00944491"/>
    <w:rsid w:val="009447D8"/>
    <w:rsid w:val="00945752"/>
    <w:rsid w:val="009461AA"/>
    <w:rsid w:val="0094624F"/>
    <w:rsid w:val="009463C5"/>
    <w:rsid w:val="009468E9"/>
    <w:rsid w:val="00946910"/>
    <w:rsid w:val="00946D18"/>
    <w:rsid w:val="00947C38"/>
    <w:rsid w:val="00947E63"/>
    <w:rsid w:val="009514F0"/>
    <w:rsid w:val="00951718"/>
    <w:rsid w:val="00951817"/>
    <w:rsid w:val="00952BA2"/>
    <w:rsid w:val="00952CCB"/>
    <w:rsid w:val="009531E7"/>
    <w:rsid w:val="00953322"/>
    <w:rsid w:val="0095345A"/>
    <w:rsid w:val="00953BFE"/>
    <w:rsid w:val="009550BB"/>
    <w:rsid w:val="0095545C"/>
    <w:rsid w:val="00955935"/>
    <w:rsid w:val="00955992"/>
    <w:rsid w:val="00955AB7"/>
    <w:rsid w:val="00955B26"/>
    <w:rsid w:val="00955B99"/>
    <w:rsid w:val="00956067"/>
    <w:rsid w:val="00956115"/>
    <w:rsid w:val="00956244"/>
    <w:rsid w:val="00956304"/>
    <w:rsid w:val="009566DC"/>
    <w:rsid w:val="00957342"/>
    <w:rsid w:val="009574F2"/>
    <w:rsid w:val="00957921"/>
    <w:rsid w:val="009579D9"/>
    <w:rsid w:val="00957A1E"/>
    <w:rsid w:val="00957A76"/>
    <w:rsid w:val="00957C00"/>
    <w:rsid w:val="00960719"/>
    <w:rsid w:val="00960E56"/>
    <w:rsid w:val="00960F89"/>
    <w:rsid w:val="009616B6"/>
    <w:rsid w:val="009619CF"/>
    <w:rsid w:val="00962255"/>
    <w:rsid w:val="00962B2A"/>
    <w:rsid w:val="00963502"/>
    <w:rsid w:val="00963C96"/>
    <w:rsid w:val="009648EF"/>
    <w:rsid w:val="009649FF"/>
    <w:rsid w:val="00965DC9"/>
    <w:rsid w:val="00966B53"/>
    <w:rsid w:val="00967433"/>
    <w:rsid w:val="00967539"/>
    <w:rsid w:val="009700F8"/>
    <w:rsid w:val="00970584"/>
    <w:rsid w:val="00970F04"/>
    <w:rsid w:val="009710FB"/>
    <w:rsid w:val="0097114B"/>
    <w:rsid w:val="00971224"/>
    <w:rsid w:val="00971F36"/>
    <w:rsid w:val="009720C3"/>
    <w:rsid w:val="009729B4"/>
    <w:rsid w:val="0097319E"/>
    <w:rsid w:val="0097358B"/>
    <w:rsid w:val="00973730"/>
    <w:rsid w:val="00973A12"/>
    <w:rsid w:val="00973AFE"/>
    <w:rsid w:val="00974614"/>
    <w:rsid w:val="009748FF"/>
    <w:rsid w:val="00975084"/>
    <w:rsid w:val="00975243"/>
    <w:rsid w:val="009754BC"/>
    <w:rsid w:val="0097588C"/>
    <w:rsid w:val="00975C3B"/>
    <w:rsid w:val="0097620F"/>
    <w:rsid w:val="00976397"/>
    <w:rsid w:val="00976588"/>
    <w:rsid w:val="00976FE8"/>
    <w:rsid w:val="009771A0"/>
    <w:rsid w:val="0097799A"/>
    <w:rsid w:val="00977C25"/>
    <w:rsid w:val="009807C9"/>
    <w:rsid w:val="0098082E"/>
    <w:rsid w:val="00980CAF"/>
    <w:rsid w:val="00980DB8"/>
    <w:rsid w:val="00980E4D"/>
    <w:rsid w:val="0098122A"/>
    <w:rsid w:val="0098137E"/>
    <w:rsid w:val="009816C8"/>
    <w:rsid w:val="0098173F"/>
    <w:rsid w:val="00981DC5"/>
    <w:rsid w:val="00981FC9"/>
    <w:rsid w:val="00982327"/>
    <w:rsid w:val="009833CB"/>
    <w:rsid w:val="0098345D"/>
    <w:rsid w:val="009836FB"/>
    <w:rsid w:val="009837A3"/>
    <w:rsid w:val="00983F27"/>
    <w:rsid w:val="009843E2"/>
    <w:rsid w:val="0098582B"/>
    <w:rsid w:val="009858DA"/>
    <w:rsid w:val="009861EE"/>
    <w:rsid w:val="00986262"/>
    <w:rsid w:val="0098666B"/>
    <w:rsid w:val="00987566"/>
    <w:rsid w:val="0098760C"/>
    <w:rsid w:val="0098795A"/>
    <w:rsid w:val="00987F32"/>
    <w:rsid w:val="0099011B"/>
    <w:rsid w:val="00990487"/>
    <w:rsid w:val="009912E2"/>
    <w:rsid w:val="00991536"/>
    <w:rsid w:val="009915AA"/>
    <w:rsid w:val="00991648"/>
    <w:rsid w:val="009918AC"/>
    <w:rsid w:val="0099255B"/>
    <w:rsid w:val="00992A8B"/>
    <w:rsid w:val="00993DAC"/>
    <w:rsid w:val="00995D5C"/>
    <w:rsid w:val="00996373"/>
    <w:rsid w:val="00996A23"/>
    <w:rsid w:val="00997046"/>
    <w:rsid w:val="009973B6"/>
    <w:rsid w:val="00997493"/>
    <w:rsid w:val="00997585"/>
    <w:rsid w:val="00997705"/>
    <w:rsid w:val="00997BEC"/>
    <w:rsid w:val="00997C26"/>
    <w:rsid w:val="009A06D0"/>
    <w:rsid w:val="009A0B7F"/>
    <w:rsid w:val="009A0E19"/>
    <w:rsid w:val="009A1215"/>
    <w:rsid w:val="009A1416"/>
    <w:rsid w:val="009A20E4"/>
    <w:rsid w:val="009A2440"/>
    <w:rsid w:val="009A2448"/>
    <w:rsid w:val="009A28F6"/>
    <w:rsid w:val="009A3437"/>
    <w:rsid w:val="009A3D15"/>
    <w:rsid w:val="009A3E6F"/>
    <w:rsid w:val="009A3FD3"/>
    <w:rsid w:val="009A4588"/>
    <w:rsid w:val="009A4ECB"/>
    <w:rsid w:val="009A5C9E"/>
    <w:rsid w:val="009A5F3F"/>
    <w:rsid w:val="009A6007"/>
    <w:rsid w:val="009A6A00"/>
    <w:rsid w:val="009A6E33"/>
    <w:rsid w:val="009A6F9E"/>
    <w:rsid w:val="009A714A"/>
    <w:rsid w:val="009A718B"/>
    <w:rsid w:val="009A7318"/>
    <w:rsid w:val="009A7B51"/>
    <w:rsid w:val="009A7E2A"/>
    <w:rsid w:val="009B0602"/>
    <w:rsid w:val="009B0987"/>
    <w:rsid w:val="009B0CAB"/>
    <w:rsid w:val="009B121B"/>
    <w:rsid w:val="009B144A"/>
    <w:rsid w:val="009B14F4"/>
    <w:rsid w:val="009B177F"/>
    <w:rsid w:val="009B17DB"/>
    <w:rsid w:val="009B26EE"/>
    <w:rsid w:val="009B3199"/>
    <w:rsid w:val="009B38BC"/>
    <w:rsid w:val="009B4EC5"/>
    <w:rsid w:val="009B50CC"/>
    <w:rsid w:val="009B51A4"/>
    <w:rsid w:val="009B5A4A"/>
    <w:rsid w:val="009B5ACD"/>
    <w:rsid w:val="009B5E21"/>
    <w:rsid w:val="009B67B3"/>
    <w:rsid w:val="009B7146"/>
    <w:rsid w:val="009B7391"/>
    <w:rsid w:val="009B739B"/>
    <w:rsid w:val="009B7407"/>
    <w:rsid w:val="009B7BAA"/>
    <w:rsid w:val="009C067B"/>
    <w:rsid w:val="009C08E6"/>
    <w:rsid w:val="009C09D7"/>
    <w:rsid w:val="009C0D27"/>
    <w:rsid w:val="009C1B38"/>
    <w:rsid w:val="009C205F"/>
    <w:rsid w:val="009C2E0C"/>
    <w:rsid w:val="009C307F"/>
    <w:rsid w:val="009C3B2A"/>
    <w:rsid w:val="009C4249"/>
    <w:rsid w:val="009C44E4"/>
    <w:rsid w:val="009C4614"/>
    <w:rsid w:val="009C477B"/>
    <w:rsid w:val="009C4918"/>
    <w:rsid w:val="009C4C78"/>
    <w:rsid w:val="009C5124"/>
    <w:rsid w:val="009C515D"/>
    <w:rsid w:val="009C51F7"/>
    <w:rsid w:val="009C5C5F"/>
    <w:rsid w:val="009C5F2B"/>
    <w:rsid w:val="009C5F5B"/>
    <w:rsid w:val="009C61C6"/>
    <w:rsid w:val="009C61EE"/>
    <w:rsid w:val="009C6454"/>
    <w:rsid w:val="009C6CF4"/>
    <w:rsid w:val="009C74B8"/>
    <w:rsid w:val="009C78E3"/>
    <w:rsid w:val="009C7FFB"/>
    <w:rsid w:val="009D04DD"/>
    <w:rsid w:val="009D1946"/>
    <w:rsid w:val="009D1DCA"/>
    <w:rsid w:val="009D2018"/>
    <w:rsid w:val="009D2D62"/>
    <w:rsid w:val="009D31CD"/>
    <w:rsid w:val="009D4E10"/>
    <w:rsid w:val="009D4F53"/>
    <w:rsid w:val="009D5454"/>
    <w:rsid w:val="009D69CD"/>
    <w:rsid w:val="009D7121"/>
    <w:rsid w:val="009D7892"/>
    <w:rsid w:val="009E01B8"/>
    <w:rsid w:val="009E0843"/>
    <w:rsid w:val="009E0B3D"/>
    <w:rsid w:val="009E0BD3"/>
    <w:rsid w:val="009E18D5"/>
    <w:rsid w:val="009E1B79"/>
    <w:rsid w:val="009E1BC8"/>
    <w:rsid w:val="009E1E84"/>
    <w:rsid w:val="009E3111"/>
    <w:rsid w:val="009E38AF"/>
    <w:rsid w:val="009E40B7"/>
    <w:rsid w:val="009E4205"/>
    <w:rsid w:val="009E4C19"/>
    <w:rsid w:val="009E52A8"/>
    <w:rsid w:val="009E673E"/>
    <w:rsid w:val="009E68BE"/>
    <w:rsid w:val="009E68ED"/>
    <w:rsid w:val="009E6A49"/>
    <w:rsid w:val="009E74CA"/>
    <w:rsid w:val="009E759E"/>
    <w:rsid w:val="009E7AD8"/>
    <w:rsid w:val="009F096D"/>
    <w:rsid w:val="009F0C01"/>
    <w:rsid w:val="009F0D41"/>
    <w:rsid w:val="009F161C"/>
    <w:rsid w:val="009F1BC2"/>
    <w:rsid w:val="009F1D57"/>
    <w:rsid w:val="009F2351"/>
    <w:rsid w:val="009F28F7"/>
    <w:rsid w:val="009F29A4"/>
    <w:rsid w:val="009F2B8A"/>
    <w:rsid w:val="009F2BAF"/>
    <w:rsid w:val="009F2F18"/>
    <w:rsid w:val="009F3041"/>
    <w:rsid w:val="009F3655"/>
    <w:rsid w:val="009F38E8"/>
    <w:rsid w:val="009F39AD"/>
    <w:rsid w:val="009F4EF8"/>
    <w:rsid w:val="009F4F1B"/>
    <w:rsid w:val="009F5872"/>
    <w:rsid w:val="009F5FF4"/>
    <w:rsid w:val="009F6DB9"/>
    <w:rsid w:val="009F70AA"/>
    <w:rsid w:val="009F740D"/>
    <w:rsid w:val="009F77F0"/>
    <w:rsid w:val="009F7E73"/>
    <w:rsid w:val="00A0020E"/>
    <w:rsid w:val="00A00370"/>
    <w:rsid w:val="00A0073E"/>
    <w:rsid w:val="00A00F88"/>
    <w:rsid w:val="00A0117F"/>
    <w:rsid w:val="00A016A7"/>
    <w:rsid w:val="00A01A02"/>
    <w:rsid w:val="00A01AAA"/>
    <w:rsid w:val="00A01AED"/>
    <w:rsid w:val="00A02007"/>
    <w:rsid w:val="00A024F6"/>
    <w:rsid w:val="00A0288A"/>
    <w:rsid w:val="00A02A8B"/>
    <w:rsid w:val="00A02B6A"/>
    <w:rsid w:val="00A02F74"/>
    <w:rsid w:val="00A030F3"/>
    <w:rsid w:val="00A03652"/>
    <w:rsid w:val="00A041C7"/>
    <w:rsid w:val="00A04E7C"/>
    <w:rsid w:val="00A04F4B"/>
    <w:rsid w:val="00A06B3C"/>
    <w:rsid w:val="00A06DB6"/>
    <w:rsid w:val="00A10003"/>
    <w:rsid w:val="00A1084E"/>
    <w:rsid w:val="00A10A09"/>
    <w:rsid w:val="00A113B3"/>
    <w:rsid w:val="00A114CC"/>
    <w:rsid w:val="00A11A74"/>
    <w:rsid w:val="00A11CB9"/>
    <w:rsid w:val="00A12CC9"/>
    <w:rsid w:val="00A134B1"/>
    <w:rsid w:val="00A13648"/>
    <w:rsid w:val="00A13C17"/>
    <w:rsid w:val="00A1449A"/>
    <w:rsid w:val="00A1467F"/>
    <w:rsid w:val="00A14921"/>
    <w:rsid w:val="00A151D1"/>
    <w:rsid w:val="00A15B66"/>
    <w:rsid w:val="00A15B7F"/>
    <w:rsid w:val="00A16462"/>
    <w:rsid w:val="00A168C8"/>
    <w:rsid w:val="00A169B5"/>
    <w:rsid w:val="00A17386"/>
    <w:rsid w:val="00A20173"/>
    <w:rsid w:val="00A2060D"/>
    <w:rsid w:val="00A20B21"/>
    <w:rsid w:val="00A216B7"/>
    <w:rsid w:val="00A21708"/>
    <w:rsid w:val="00A217B1"/>
    <w:rsid w:val="00A2186A"/>
    <w:rsid w:val="00A23EF0"/>
    <w:rsid w:val="00A242AE"/>
    <w:rsid w:val="00A242EA"/>
    <w:rsid w:val="00A2504D"/>
    <w:rsid w:val="00A26BB3"/>
    <w:rsid w:val="00A271B3"/>
    <w:rsid w:val="00A272BE"/>
    <w:rsid w:val="00A273BD"/>
    <w:rsid w:val="00A27757"/>
    <w:rsid w:val="00A2797C"/>
    <w:rsid w:val="00A27C35"/>
    <w:rsid w:val="00A30231"/>
    <w:rsid w:val="00A30317"/>
    <w:rsid w:val="00A30545"/>
    <w:rsid w:val="00A3071A"/>
    <w:rsid w:val="00A309B7"/>
    <w:rsid w:val="00A30B94"/>
    <w:rsid w:val="00A31850"/>
    <w:rsid w:val="00A318DD"/>
    <w:rsid w:val="00A31D0C"/>
    <w:rsid w:val="00A320FB"/>
    <w:rsid w:val="00A322BE"/>
    <w:rsid w:val="00A33274"/>
    <w:rsid w:val="00A33342"/>
    <w:rsid w:val="00A3344C"/>
    <w:rsid w:val="00A33719"/>
    <w:rsid w:val="00A33DF9"/>
    <w:rsid w:val="00A34383"/>
    <w:rsid w:val="00A3529A"/>
    <w:rsid w:val="00A376F0"/>
    <w:rsid w:val="00A40262"/>
    <w:rsid w:val="00A40858"/>
    <w:rsid w:val="00A40A77"/>
    <w:rsid w:val="00A4137E"/>
    <w:rsid w:val="00A41515"/>
    <w:rsid w:val="00A41B5E"/>
    <w:rsid w:val="00A41E03"/>
    <w:rsid w:val="00A41FEE"/>
    <w:rsid w:val="00A42042"/>
    <w:rsid w:val="00A422C2"/>
    <w:rsid w:val="00A42659"/>
    <w:rsid w:val="00A426D4"/>
    <w:rsid w:val="00A4281A"/>
    <w:rsid w:val="00A42CF9"/>
    <w:rsid w:val="00A42F88"/>
    <w:rsid w:val="00A43F0E"/>
    <w:rsid w:val="00A44228"/>
    <w:rsid w:val="00A44C41"/>
    <w:rsid w:val="00A44E81"/>
    <w:rsid w:val="00A45529"/>
    <w:rsid w:val="00A461E4"/>
    <w:rsid w:val="00A466AC"/>
    <w:rsid w:val="00A47031"/>
    <w:rsid w:val="00A4765E"/>
    <w:rsid w:val="00A50604"/>
    <w:rsid w:val="00A50E26"/>
    <w:rsid w:val="00A51518"/>
    <w:rsid w:val="00A51A8B"/>
    <w:rsid w:val="00A522C3"/>
    <w:rsid w:val="00A52331"/>
    <w:rsid w:val="00A524A6"/>
    <w:rsid w:val="00A543D2"/>
    <w:rsid w:val="00A54818"/>
    <w:rsid w:val="00A54C21"/>
    <w:rsid w:val="00A550AB"/>
    <w:rsid w:val="00A55DC6"/>
    <w:rsid w:val="00A55DD4"/>
    <w:rsid w:val="00A56070"/>
    <w:rsid w:val="00A56859"/>
    <w:rsid w:val="00A569E0"/>
    <w:rsid w:val="00A56D42"/>
    <w:rsid w:val="00A56D83"/>
    <w:rsid w:val="00A56FDE"/>
    <w:rsid w:val="00A5707D"/>
    <w:rsid w:val="00A6008D"/>
    <w:rsid w:val="00A60997"/>
    <w:rsid w:val="00A60CA4"/>
    <w:rsid w:val="00A61446"/>
    <w:rsid w:val="00A615E0"/>
    <w:rsid w:val="00A61D87"/>
    <w:rsid w:val="00A62285"/>
    <w:rsid w:val="00A62821"/>
    <w:rsid w:val="00A6338B"/>
    <w:rsid w:val="00A6390A"/>
    <w:rsid w:val="00A64524"/>
    <w:rsid w:val="00A64A9B"/>
    <w:rsid w:val="00A65A66"/>
    <w:rsid w:val="00A65C73"/>
    <w:rsid w:val="00A66BBF"/>
    <w:rsid w:val="00A66EE4"/>
    <w:rsid w:val="00A6710E"/>
    <w:rsid w:val="00A67235"/>
    <w:rsid w:val="00A67460"/>
    <w:rsid w:val="00A675DD"/>
    <w:rsid w:val="00A70197"/>
    <w:rsid w:val="00A7047F"/>
    <w:rsid w:val="00A70571"/>
    <w:rsid w:val="00A70585"/>
    <w:rsid w:val="00A70728"/>
    <w:rsid w:val="00A70C52"/>
    <w:rsid w:val="00A715EF"/>
    <w:rsid w:val="00A71A8E"/>
    <w:rsid w:val="00A71BDB"/>
    <w:rsid w:val="00A720B7"/>
    <w:rsid w:val="00A72719"/>
    <w:rsid w:val="00A72BCC"/>
    <w:rsid w:val="00A731D2"/>
    <w:rsid w:val="00A73387"/>
    <w:rsid w:val="00A73405"/>
    <w:rsid w:val="00A74310"/>
    <w:rsid w:val="00A745D3"/>
    <w:rsid w:val="00A7462D"/>
    <w:rsid w:val="00A748DB"/>
    <w:rsid w:val="00A7498A"/>
    <w:rsid w:val="00A750A1"/>
    <w:rsid w:val="00A7549A"/>
    <w:rsid w:val="00A77966"/>
    <w:rsid w:val="00A77A0F"/>
    <w:rsid w:val="00A77E09"/>
    <w:rsid w:val="00A77F4A"/>
    <w:rsid w:val="00A8029C"/>
    <w:rsid w:val="00A8033D"/>
    <w:rsid w:val="00A80449"/>
    <w:rsid w:val="00A826A0"/>
    <w:rsid w:val="00A826B4"/>
    <w:rsid w:val="00A82E1A"/>
    <w:rsid w:val="00A8395A"/>
    <w:rsid w:val="00A83B75"/>
    <w:rsid w:val="00A83C7E"/>
    <w:rsid w:val="00A8418C"/>
    <w:rsid w:val="00A84DA1"/>
    <w:rsid w:val="00A85505"/>
    <w:rsid w:val="00A85676"/>
    <w:rsid w:val="00A856DD"/>
    <w:rsid w:val="00A85812"/>
    <w:rsid w:val="00A85DC4"/>
    <w:rsid w:val="00A864D8"/>
    <w:rsid w:val="00A866C4"/>
    <w:rsid w:val="00A869C4"/>
    <w:rsid w:val="00A8700B"/>
    <w:rsid w:val="00A871C9"/>
    <w:rsid w:val="00A87FE2"/>
    <w:rsid w:val="00A91271"/>
    <w:rsid w:val="00A9140C"/>
    <w:rsid w:val="00A915C6"/>
    <w:rsid w:val="00A917FF"/>
    <w:rsid w:val="00A91E31"/>
    <w:rsid w:val="00A9205F"/>
    <w:rsid w:val="00A92202"/>
    <w:rsid w:val="00A92AC2"/>
    <w:rsid w:val="00A93498"/>
    <w:rsid w:val="00A93C3D"/>
    <w:rsid w:val="00A93D3C"/>
    <w:rsid w:val="00A940A9"/>
    <w:rsid w:val="00A9456E"/>
    <w:rsid w:val="00A948B2"/>
    <w:rsid w:val="00A95355"/>
    <w:rsid w:val="00A95EE6"/>
    <w:rsid w:val="00A95F70"/>
    <w:rsid w:val="00A960E9"/>
    <w:rsid w:val="00A964C7"/>
    <w:rsid w:val="00A96F3E"/>
    <w:rsid w:val="00A97B41"/>
    <w:rsid w:val="00A97DC4"/>
    <w:rsid w:val="00A97F0C"/>
    <w:rsid w:val="00A97F93"/>
    <w:rsid w:val="00AA0147"/>
    <w:rsid w:val="00AA0E4D"/>
    <w:rsid w:val="00AA219A"/>
    <w:rsid w:val="00AA25C5"/>
    <w:rsid w:val="00AA2964"/>
    <w:rsid w:val="00AA2B8B"/>
    <w:rsid w:val="00AA2C6E"/>
    <w:rsid w:val="00AA3E2B"/>
    <w:rsid w:val="00AA3F84"/>
    <w:rsid w:val="00AA46DD"/>
    <w:rsid w:val="00AA4886"/>
    <w:rsid w:val="00AA509E"/>
    <w:rsid w:val="00AA53A0"/>
    <w:rsid w:val="00AA53AC"/>
    <w:rsid w:val="00AA626F"/>
    <w:rsid w:val="00AA6484"/>
    <w:rsid w:val="00AA66A3"/>
    <w:rsid w:val="00AA7874"/>
    <w:rsid w:val="00AA7D0F"/>
    <w:rsid w:val="00AB0396"/>
    <w:rsid w:val="00AB0440"/>
    <w:rsid w:val="00AB0479"/>
    <w:rsid w:val="00AB05C9"/>
    <w:rsid w:val="00AB0A0C"/>
    <w:rsid w:val="00AB0BC7"/>
    <w:rsid w:val="00AB0FDF"/>
    <w:rsid w:val="00AB1831"/>
    <w:rsid w:val="00AB20AB"/>
    <w:rsid w:val="00AB27B9"/>
    <w:rsid w:val="00AB282E"/>
    <w:rsid w:val="00AB2831"/>
    <w:rsid w:val="00AB2AAE"/>
    <w:rsid w:val="00AB2C0F"/>
    <w:rsid w:val="00AB2D52"/>
    <w:rsid w:val="00AB3DD2"/>
    <w:rsid w:val="00AB40A0"/>
    <w:rsid w:val="00AB5528"/>
    <w:rsid w:val="00AB5538"/>
    <w:rsid w:val="00AB5825"/>
    <w:rsid w:val="00AB58D9"/>
    <w:rsid w:val="00AB5983"/>
    <w:rsid w:val="00AB6656"/>
    <w:rsid w:val="00AB7178"/>
    <w:rsid w:val="00AB74C3"/>
    <w:rsid w:val="00AC0BA7"/>
    <w:rsid w:val="00AC0E72"/>
    <w:rsid w:val="00AC1250"/>
    <w:rsid w:val="00AC21C6"/>
    <w:rsid w:val="00AC3779"/>
    <w:rsid w:val="00AC422A"/>
    <w:rsid w:val="00AC4739"/>
    <w:rsid w:val="00AC4979"/>
    <w:rsid w:val="00AC640E"/>
    <w:rsid w:val="00AC673B"/>
    <w:rsid w:val="00AC79A8"/>
    <w:rsid w:val="00AC7B7D"/>
    <w:rsid w:val="00AD0097"/>
    <w:rsid w:val="00AD020B"/>
    <w:rsid w:val="00AD07EF"/>
    <w:rsid w:val="00AD08E5"/>
    <w:rsid w:val="00AD0D5C"/>
    <w:rsid w:val="00AD0E15"/>
    <w:rsid w:val="00AD129B"/>
    <w:rsid w:val="00AD12B6"/>
    <w:rsid w:val="00AD1A96"/>
    <w:rsid w:val="00AD1E0A"/>
    <w:rsid w:val="00AD1E79"/>
    <w:rsid w:val="00AD2385"/>
    <w:rsid w:val="00AD23F3"/>
    <w:rsid w:val="00AD2A29"/>
    <w:rsid w:val="00AD2FCF"/>
    <w:rsid w:val="00AD36A2"/>
    <w:rsid w:val="00AD420D"/>
    <w:rsid w:val="00AD4728"/>
    <w:rsid w:val="00AD4CC2"/>
    <w:rsid w:val="00AD4F89"/>
    <w:rsid w:val="00AD52A6"/>
    <w:rsid w:val="00AD5AEC"/>
    <w:rsid w:val="00AD620C"/>
    <w:rsid w:val="00AD669D"/>
    <w:rsid w:val="00AD6AD0"/>
    <w:rsid w:val="00AD6D0B"/>
    <w:rsid w:val="00AD7537"/>
    <w:rsid w:val="00AD7D99"/>
    <w:rsid w:val="00AD7DC1"/>
    <w:rsid w:val="00AE07B8"/>
    <w:rsid w:val="00AE11D6"/>
    <w:rsid w:val="00AE2C85"/>
    <w:rsid w:val="00AE2D53"/>
    <w:rsid w:val="00AE328A"/>
    <w:rsid w:val="00AE42F5"/>
    <w:rsid w:val="00AE4721"/>
    <w:rsid w:val="00AE4736"/>
    <w:rsid w:val="00AE4C09"/>
    <w:rsid w:val="00AE541B"/>
    <w:rsid w:val="00AE56D5"/>
    <w:rsid w:val="00AE6180"/>
    <w:rsid w:val="00AE7160"/>
    <w:rsid w:val="00AE747B"/>
    <w:rsid w:val="00AE7B1F"/>
    <w:rsid w:val="00AE7D07"/>
    <w:rsid w:val="00AE7DE5"/>
    <w:rsid w:val="00AF03C7"/>
    <w:rsid w:val="00AF03E3"/>
    <w:rsid w:val="00AF12DE"/>
    <w:rsid w:val="00AF1653"/>
    <w:rsid w:val="00AF209A"/>
    <w:rsid w:val="00AF22E3"/>
    <w:rsid w:val="00AF3BF4"/>
    <w:rsid w:val="00AF3F93"/>
    <w:rsid w:val="00AF46CB"/>
    <w:rsid w:val="00AF48C9"/>
    <w:rsid w:val="00AF4BB9"/>
    <w:rsid w:val="00AF50BF"/>
    <w:rsid w:val="00AF5369"/>
    <w:rsid w:val="00AF5612"/>
    <w:rsid w:val="00AF5C96"/>
    <w:rsid w:val="00AF63E5"/>
    <w:rsid w:val="00AF67F3"/>
    <w:rsid w:val="00AF7083"/>
    <w:rsid w:val="00AF71D2"/>
    <w:rsid w:val="00B000F2"/>
    <w:rsid w:val="00B00325"/>
    <w:rsid w:val="00B00478"/>
    <w:rsid w:val="00B01410"/>
    <w:rsid w:val="00B01BCB"/>
    <w:rsid w:val="00B01DF0"/>
    <w:rsid w:val="00B026D2"/>
    <w:rsid w:val="00B02B12"/>
    <w:rsid w:val="00B02B2E"/>
    <w:rsid w:val="00B02C5B"/>
    <w:rsid w:val="00B02DE3"/>
    <w:rsid w:val="00B037AA"/>
    <w:rsid w:val="00B03A9D"/>
    <w:rsid w:val="00B053DD"/>
    <w:rsid w:val="00B054BA"/>
    <w:rsid w:val="00B06804"/>
    <w:rsid w:val="00B0782C"/>
    <w:rsid w:val="00B07908"/>
    <w:rsid w:val="00B07ADC"/>
    <w:rsid w:val="00B1005C"/>
    <w:rsid w:val="00B11D8C"/>
    <w:rsid w:val="00B11F8A"/>
    <w:rsid w:val="00B122A0"/>
    <w:rsid w:val="00B1256E"/>
    <w:rsid w:val="00B13430"/>
    <w:rsid w:val="00B13787"/>
    <w:rsid w:val="00B14007"/>
    <w:rsid w:val="00B1445B"/>
    <w:rsid w:val="00B15801"/>
    <w:rsid w:val="00B1644E"/>
    <w:rsid w:val="00B16CE0"/>
    <w:rsid w:val="00B177F3"/>
    <w:rsid w:val="00B17AAC"/>
    <w:rsid w:val="00B20571"/>
    <w:rsid w:val="00B215D0"/>
    <w:rsid w:val="00B21F73"/>
    <w:rsid w:val="00B22176"/>
    <w:rsid w:val="00B2235C"/>
    <w:rsid w:val="00B226F3"/>
    <w:rsid w:val="00B226FA"/>
    <w:rsid w:val="00B22741"/>
    <w:rsid w:val="00B22B7D"/>
    <w:rsid w:val="00B22D7B"/>
    <w:rsid w:val="00B2329D"/>
    <w:rsid w:val="00B2343E"/>
    <w:rsid w:val="00B2355A"/>
    <w:rsid w:val="00B23822"/>
    <w:rsid w:val="00B23A32"/>
    <w:rsid w:val="00B23A60"/>
    <w:rsid w:val="00B23B72"/>
    <w:rsid w:val="00B23D80"/>
    <w:rsid w:val="00B240C7"/>
    <w:rsid w:val="00B243A4"/>
    <w:rsid w:val="00B245B8"/>
    <w:rsid w:val="00B24ABA"/>
    <w:rsid w:val="00B255C5"/>
    <w:rsid w:val="00B25E98"/>
    <w:rsid w:val="00B25FB2"/>
    <w:rsid w:val="00B26A92"/>
    <w:rsid w:val="00B26D21"/>
    <w:rsid w:val="00B26DCD"/>
    <w:rsid w:val="00B274C7"/>
    <w:rsid w:val="00B27A36"/>
    <w:rsid w:val="00B27DB4"/>
    <w:rsid w:val="00B30276"/>
    <w:rsid w:val="00B30861"/>
    <w:rsid w:val="00B32642"/>
    <w:rsid w:val="00B328CA"/>
    <w:rsid w:val="00B33676"/>
    <w:rsid w:val="00B33FC9"/>
    <w:rsid w:val="00B343CF"/>
    <w:rsid w:val="00B34A70"/>
    <w:rsid w:val="00B34D05"/>
    <w:rsid w:val="00B34E1F"/>
    <w:rsid w:val="00B35194"/>
    <w:rsid w:val="00B352DD"/>
    <w:rsid w:val="00B3606F"/>
    <w:rsid w:val="00B36C97"/>
    <w:rsid w:val="00B37179"/>
    <w:rsid w:val="00B37AAA"/>
    <w:rsid w:val="00B37AE6"/>
    <w:rsid w:val="00B37C41"/>
    <w:rsid w:val="00B4078C"/>
    <w:rsid w:val="00B40A92"/>
    <w:rsid w:val="00B40D0C"/>
    <w:rsid w:val="00B41227"/>
    <w:rsid w:val="00B4191E"/>
    <w:rsid w:val="00B42C6D"/>
    <w:rsid w:val="00B43418"/>
    <w:rsid w:val="00B437D7"/>
    <w:rsid w:val="00B43B49"/>
    <w:rsid w:val="00B4461F"/>
    <w:rsid w:val="00B4481E"/>
    <w:rsid w:val="00B4516E"/>
    <w:rsid w:val="00B455D4"/>
    <w:rsid w:val="00B45B27"/>
    <w:rsid w:val="00B45D33"/>
    <w:rsid w:val="00B46233"/>
    <w:rsid w:val="00B467ED"/>
    <w:rsid w:val="00B46CB0"/>
    <w:rsid w:val="00B47A4F"/>
    <w:rsid w:val="00B50983"/>
    <w:rsid w:val="00B50BD3"/>
    <w:rsid w:val="00B5139A"/>
    <w:rsid w:val="00B51669"/>
    <w:rsid w:val="00B52315"/>
    <w:rsid w:val="00B5294D"/>
    <w:rsid w:val="00B52D8A"/>
    <w:rsid w:val="00B52DAB"/>
    <w:rsid w:val="00B539BE"/>
    <w:rsid w:val="00B53BAE"/>
    <w:rsid w:val="00B53CF9"/>
    <w:rsid w:val="00B54336"/>
    <w:rsid w:val="00B54F44"/>
    <w:rsid w:val="00B5549D"/>
    <w:rsid w:val="00B56011"/>
    <w:rsid w:val="00B56152"/>
    <w:rsid w:val="00B565D0"/>
    <w:rsid w:val="00B56C51"/>
    <w:rsid w:val="00B56EF5"/>
    <w:rsid w:val="00B575F4"/>
    <w:rsid w:val="00B57C19"/>
    <w:rsid w:val="00B60423"/>
    <w:rsid w:val="00B6058A"/>
    <w:rsid w:val="00B6070A"/>
    <w:rsid w:val="00B60A02"/>
    <w:rsid w:val="00B6183E"/>
    <w:rsid w:val="00B61D05"/>
    <w:rsid w:val="00B61DAB"/>
    <w:rsid w:val="00B62043"/>
    <w:rsid w:val="00B622BD"/>
    <w:rsid w:val="00B626BA"/>
    <w:rsid w:val="00B62901"/>
    <w:rsid w:val="00B633AD"/>
    <w:rsid w:val="00B63682"/>
    <w:rsid w:val="00B63C66"/>
    <w:rsid w:val="00B64183"/>
    <w:rsid w:val="00B65076"/>
    <w:rsid w:val="00B65787"/>
    <w:rsid w:val="00B6581A"/>
    <w:rsid w:val="00B6639E"/>
    <w:rsid w:val="00B6643D"/>
    <w:rsid w:val="00B670E5"/>
    <w:rsid w:val="00B70775"/>
    <w:rsid w:val="00B70807"/>
    <w:rsid w:val="00B70890"/>
    <w:rsid w:val="00B71CAF"/>
    <w:rsid w:val="00B71DB8"/>
    <w:rsid w:val="00B72ED7"/>
    <w:rsid w:val="00B7320C"/>
    <w:rsid w:val="00B73271"/>
    <w:rsid w:val="00B73752"/>
    <w:rsid w:val="00B73779"/>
    <w:rsid w:val="00B749EC"/>
    <w:rsid w:val="00B74DA0"/>
    <w:rsid w:val="00B74DFD"/>
    <w:rsid w:val="00B7733B"/>
    <w:rsid w:val="00B778F3"/>
    <w:rsid w:val="00B77E7C"/>
    <w:rsid w:val="00B80538"/>
    <w:rsid w:val="00B809A7"/>
    <w:rsid w:val="00B80A20"/>
    <w:rsid w:val="00B80BD8"/>
    <w:rsid w:val="00B80F85"/>
    <w:rsid w:val="00B81892"/>
    <w:rsid w:val="00B81B52"/>
    <w:rsid w:val="00B81CDF"/>
    <w:rsid w:val="00B824E7"/>
    <w:rsid w:val="00B827FD"/>
    <w:rsid w:val="00B829D3"/>
    <w:rsid w:val="00B82AA3"/>
    <w:rsid w:val="00B82D29"/>
    <w:rsid w:val="00B83703"/>
    <w:rsid w:val="00B83B7C"/>
    <w:rsid w:val="00B83E7E"/>
    <w:rsid w:val="00B83EBF"/>
    <w:rsid w:val="00B84F90"/>
    <w:rsid w:val="00B85A66"/>
    <w:rsid w:val="00B86396"/>
    <w:rsid w:val="00B86CFF"/>
    <w:rsid w:val="00B86E92"/>
    <w:rsid w:val="00B879A2"/>
    <w:rsid w:val="00B87DBB"/>
    <w:rsid w:val="00B90370"/>
    <w:rsid w:val="00B907B5"/>
    <w:rsid w:val="00B90F3B"/>
    <w:rsid w:val="00B91053"/>
    <w:rsid w:val="00B91270"/>
    <w:rsid w:val="00B916F3"/>
    <w:rsid w:val="00B91DE9"/>
    <w:rsid w:val="00B92397"/>
    <w:rsid w:val="00B92EB5"/>
    <w:rsid w:val="00B92EEB"/>
    <w:rsid w:val="00B9309E"/>
    <w:rsid w:val="00B93544"/>
    <w:rsid w:val="00B946DE"/>
    <w:rsid w:val="00B94A45"/>
    <w:rsid w:val="00B955E4"/>
    <w:rsid w:val="00B957C1"/>
    <w:rsid w:val="00B95994"/>
    <w:rsid w:val="00B95A58"/>
    <w:rsid w:val="00B95A9E"/>
    <w:rsid w:val="00B9625A"/>
    <w:rsid w:val="00B96795"/>
    <w:rsid w:val="00B96958"/>
    <w:rsid w:val="00B972EB"/>
    <w:rsid w:val="00B9730B"/>
    <w:rsid w:val="00B974A4"/>
    <w:rsid w:val="00B9752D"/>
    <w:rsid w:val="00B976DB"/>
    <w:rsid w:val="00B979F7"/>
    <w:rsid w:val="00BA00D5"/>
    <w:rsid w:val="00BA01C1"/>
    <w:rsid w:val="00BA0438"/>
    <w:rsid w:val="00BA05AA"/>
    <w:rsid w:val="00BA06FA"/>
    <w:rsid w:val="00BA0A23"/>
    <w:rsid w:val="00BA0E6A"/>
    <w:rsid w:val="00BA33A9"/>
    <w:rsid w:val="00BA3460"/>
    <w:rsid w:val="00BA39C2"/>
    <w:rsid w:val="00BA441A"/>
    <w:rsid w:val="00BA49AF"/>
    <w:rsid w:val="00BA4B61"/>
    <w:rsid w:val="00BA5BDA"/>
    <w:rsid w:val="00BA5EB3"/>
    <w:rsid w:val="00BA5F1E"/>
    <w:rsid w:val="00BA5F89"/>
    <w:rsid w:val="00BA60D2"/>
    <w:rsid w:val="00BA6D44"/>
    <w:rsid w:val="00BA6F31"/>
    <w:rsid w:val="00BA7240"/>
    <w:rsid w:val="00BA7782"/>
    <w:rsid w:val="00BB0472"/>
    <w:rsid w:val="00BB0D77"/>
    <w:rsid w:val="00BB134D"/>
    <w:rsid w:val="00BB2A4D"/>
    <w:rsid w:val="00BB2F5F"/>
    <w:rsid w:val="00BB3A0C"/>
    <w:rsid w:val="00BB3D35"/>
    <w:rsid w:val="00BB3D7A"/>
    <w:rsid w:val="00BB3DB6"/>
    <w:rsid w:val="00BB4A3A"/>
    <w:rsid w:val="00BB4B53"/>
    <w:rsid w:val="00BB4D5A"/>
    <w:rsid w:val="00BB5077"/>
    <w:rsid w:val="00BB5337"/>
    <w:rsid w:val="00BB6658"/>
    <w:rsid w:val="00BB686D"/>
    <w:rsid w:val="00BC0A42"/>
    <w:rsid w:val="00BC286A"/>
    <w:rsid w:val="00BC35D9"/>
    <w:rsid w:val="00BC3C65"/>
    <w:rsid w:val="00BC45E1"/>
    <w:rsid w:val="00BC471A"/>
    <w:rsid w:val="00BC52D2"/>
    <w:rsid w:val="00BC5FEE"/>
    <w:rsid w:val="00BC6152"/>
    <w:rsid w:val="00BC62C7"/>
    <w:rsid w:val="00BC6C9D"/>
    <w:rsid w:val="00BC6F58"/>
    <w:rsid w:val="00BD00C4"/>
    <w:rsid w:val="00BD07C7"/>
    <w:rsid w:val="00BD0E15"/>
    <w:rsid w:val="00BD1371"/>
    <w:rsid w:val="00BD14CE"/>
    <w:rsid w:val="00BD194D"/>
    <w:rsid w:val="00BD2421"/>
    <w:rsid w:val="00BD2506"/>
    <w:rsid w:val="00BD28F9"/>
    <w:rsid w:val="00BD2EF0"/>
    <w:rsid w:val="00BD3541"/>
    <w:rsid w:val="00BD4652"/>
    <w:rsid w:val="00BD4A2D"/>
    <w:rsid w:val="00BD4A8F"/>
    <w:rsid w:val="00BD4DE9"/>
    <w:rsid w:val="00BD513D"/>
    <w:rsid w:val="00BD525F"/>
    <w:rsid w:val="00BD5EDD"/>
    <w:rsid w:val="00BD62A2"/>
    <w:rsid w:val="00BD6A96"/>
    <w:rsid w:val="00BD6BF0"/>
    <w:rsid w:val="00BD74B1"/>
    <w:rsid w:val="00BD76C9"/>
    <w:rsid w:val="00BE0172"/>
    <w:rsid w:val="00BE037A"/>
    <w:rsid w:val="00BE0AF2"/>
    <w:rsid w:val="00BE0F38"/>
    <w:rsid w:val="00BE112A"/>
    <w:rsid w:val="00BE1561"/>
    <w:rsid w:val="00BE17E6"/>
    <w:rsid w:val="00BE17EB"/>
    <w:rsid w:val="00BE187B"/>
    <w:rsid w:val="00BE1D6C"/>
    <w:rsid w:val="00BE27CF"/>
    <w:rsid w:val="00BE2C4B"/>
    <w:rsid w:val="00BE2D7E"/>
    <w:rsid w:val="00BE32B4"/>
    <w:rsid w:val="00BE3A56"/>
    <w:rsid w:val="00BE3EAD"/>
    <w:rsid w:val="00BE4084"/>
    <w:rsid w:val="00BE40C9"/>
    <w:rsid w:val="00BE4426"/>
    <w:rsid w:val="00BE4966"/>
    <w:rsid w:val="00BE5178"/>
    <w:rsid w:val="00BE540B"/>
    <w:rsid w:val="00BE6364"/>
    <w:rsid w:val="00BE6576"/>
    <w:rsid w:val="00BE6C1C"/>
    <w:rsid w:val="00BE7433"/>
    <w:rsid w:val="00BE7CB6"/>
    <w:rsid w:val="00BF048F"/>
    <w:rsid w:val="00BF062D"/>
    <w:rsid w:val="00BF0B8A"/>
    <w:rsid w:val="00BF0BF1"/>
    <w:rsid w:val="00BF0ED1"/>
    <w:rsid w:val="00BF0F92"/>
    <w:rsid w:val="00BF159A"/>
    <w:rsid w:val="00BF1A2A"/>
    <w:rsid w:val="00BF1A6B"/>
    <w:rsid w:val="00BF1EEF"/>
    <w:rsid w:val="00BF1FCA"/>
    <w:rsid w:val="00BF282B"/>
    <w:rsid w:val="00BF3924"/>
    <w:rsid w:val="00BF44FB"/>
    <w:rsid w:val="00BF5160"/>
    <w:rsid w:val="00BF6E43"/>
    <w:rsid w:val="00BF72CB"/>
    <w:rsid w:val="00BF7494"/>
    <w:rsid w:val="00BF7FF6"/>
    <w:rsid w:val="00C00270"/>
    <w:rsid w:val="00C00650"/>
    <w:rsid w:val="00C00E23"/>
    <w:rsid w:val="00C012C4"/>
    <w:rsid w:val="00C014C3"/>
    <w:rsid w:val="00C01507"/>
    <w:rsid w:val="00C021BB"/>
    <w:rsid w:val="00C026F9"/>
    <w:rsid w:val="00C028E5"/>
    <w:rsid w:val="00C02BBE"/>
    <w:rsid w:val="00C0331F"/>
    <w:rsid w:val="00C037A3"/>
    <w:rsid w:val="00C03932"/>
    <w:rsid w:val="00C03D86"/>
    <w:rsid w:val="00C04812"/>
    <w:rsid w:val="00C04D79"/>
    <w:rsid w:val="00C0626D"/>
    <w:rsid w:val="00C06879"/>
    <w:rsid w:val="00C06B98"/>
    <w:rsid w:val="00C06DE4"/>
    <w:rsid w:val="00C06E22"/>
    <w:rsid w:val="00C0702A"/>
    <w:rsid w:val="00C076B5"/>
    <w:rsid w:val="00C110FB"/>
    <w:rsid w:val="00C1171A"/>
    <w:rsid w:val="00C1312A"/>
    <w:rsid w:val="00C1340F"/>
    <w:rsid w:val="00C138FD"/>
    <w:rsid w:val="00C13AB4"/>
    <w:rsid w:val="00C13EFE"/>
    <w:rsid w:val="00C143CD"/>
    <w:rsid w:val="00C14B68"/>
    <w:rsid w:val="00C14FA2"/>
    <w:rsid w:val="00C15480"/>
    <w:rsid w:val="00C166E5"/>
    <w:rsid w:val="00C16980"/>
    <w:rsid w:val="00C16A27"/>
    <w:rsid w:val="00C17F02"/>
    <w:rsid w:val="00C204EF"/>
    <w:rsid w:val="00C20EE2"/>
    <w:rsid w:val="00C21013"/>
    <w:rsid w:val="00C21459"/>
    <w:rsid w:val="00C214B9"/>
    <w:rsid w:val="00C22749"/>
    <w:rsid w:val="00C234F7"/>
    <w:rsid w:val="00C2365B"/>
    <w:rsid w:val="00C23824"/>
    <w:rsid w:val="00C23B84"/>
    <w:rsid w:val="00C24599"/>
    <w:rsid w:val="00C25FA6"/>
    <w:rsid w:val="00C264D9"/>
    <w:rsid w:val="00C2655A"/>
    <w:rsid w:val="00C266E4"/>
    <w:rsid w:val="00C269D6"/>
    <w:rsid w:val="00C26F6A"/>
    <w:rsid w:val="00C27E4A"/>
    <w:rsid w:val="00C30F83"/>
    <w:rsid w:val="00C31069"/>
    <w:rsid w:val="00C3126C"/>
    <w:rsid w:val="00C312F5"/>
    <w:rsid w:val="00C31354"/>
    <w:rsid w:val="00C3135E"/>
    <w:rsid w:val="00C319FB"/>
    <w:rsid w:val="00C31C5A"/>
    <w:rsid w:val="00C31EAC"/>
    <w:rsid w:val="00C325F4"/>
    <w:rsid w:val="00C3269C"/>
    <w:rsid w:val="00C335C6"/>
    <w:rsid w:val="00C342CA"/>
    <w:rsid w:val="00C34515"/>
    <w:rsid w:val="00C34A03"/>
    <w:rsid w:val="00C34D9A"/>
    <w:rsid w:val="00C34ECA"/>
    <w:rsid w:val="00C350DE"/>
    <w:rsid w:val="00C35396"/>
    <w:rsid w:val="00C3552E"/>
    <w:rsid w:val="00C35A85"/>
    <w:rsid w:val="00C35B4B"/>
    <w:rsid w:val="00C360A1"/>
    <w:rsid w:val="00C36498"/>
    <w:rsid w:val="00C36C08"/>
    <w:rsid w:val="00C36CF8"/>
    <w:rsid w:val="00C36FF2"/>
    <w:rsid w:val="00C37183"/>
    <w:rsid w:val="00C373FF"/>
    <w:rsid w:val="00C40B69"/>
    <w:rsid w:val="00C40C2A"/>
    <w:rsid w:val="00C40E5E"/>
    <w:rsid w:val="00C412AD"/>
    <w:rsid w:val="00C413B0"/>
    <w:rsid w:val="00C418F0"/>
    <w:rsid w:val="00C419F7"/>
    <w:rsid w:val="00C42040"/>
    <w:rsid w:val="00C42448"/>
    <w:rsid w:val="00C42A51"/>
    <w:rsid w:val="00C4313B"/>
    <w:rsid w:val="00C4316A"/>
    <w:rsid w:val="00C435AB"/>
    <w:rsid w:val="00C44016"/>
    <w:rsid w:val="00C4528C"/>
    <w:rsid w:val="00C45F01"/>
    <w:rsid w:val="00C4698C"/>
    <w:rsid w:val="00C46B5F"/>
    <w:rsid w:val="00C472FB"/>
    <w:rsid w:val="00C508AD"/>
    <w:rsid w:val="00C51434"/>
    <w:rsid w:val="00C516F1"/>
    <w:rsid w:val="00C51AE8"/>
    <w:rsid w:val="00C5207F"/>
    <w:rsid w:val="00C5231F"/>
    <w:rsid w:val="00C52604"/>
    <w:rsid w:val="00C52AC9"/>
    <w:rsid w:val="00C52D21"/>
    <w:rsid w:val="00C5317E"/>
    <w:rsid w:val="00C53FC7"/>
    <w:rsid w:val="00C540A5"/>
    <w:rsid w:val="00C548A9"/>
    <w:rsid w:val="00C54C93"/>
    <w:rsid w:val="00C5509F"/>
    <w:rsid w:val="00C5543B"/>
    <w:rsid w:val="00C55F27"/>
    <w:rsid w:val="00C56B88"/>
    <w:rsid w:val="00C573B1"/>
    <w:rsid w:val="00C57B64"/>
    <w:rsid w:val="00C600EE"/>
    <w:rsid w:val="00C60567"/>
    <w:rsid w:val="00C6069D"/>
    <w:rsid w:val="00C611F9"/>
    <w:rsid w:val="00C61C88"/>
    <w:rsid w:val="00C6294C"/>
    <w:rsid w:val="00C62B06"/>
    <w:rsid w:val="00C62DF8"/>
    <w:rsid w:val="00C62E03"/>
    <w:rsid w:val="00C6321D"/>
    <w:rsid w:val="00C63A3E"/>
    <w:rsid w:val="00C64192"/>
    <w:rsid w:val="00C647CB"/>
    <w:rsid w:val="00C64B47"/>
    <w:rsid w:val="00C651FF"/>
    <w:rsid w:val="00C65B99"/>
    <w:rsid w:val="00C66A35"/>
    <w:rsid w:val="00C66BB7"/>
    <w:rsid w:val="00C67D33"/>
    <w:rsid w:val="00C70135"/>
    <w:rsid w:val="00C71A35"/>
    <w:rsid w:val="00C7235F"/>
    <w:rsid w:val="00C72D39"/>
    <w:rsid w:val="00C72EB7"/>
    <w:rsid w:val="00C7333C"/>
    <w:rsid w:val="00C7346F"/>
    <w:rsid w:val="00C7351D"/>
    <w:rsid w:val="00C73A25"/>
    <w:rsid w:val="00C73D60"/>
    <w:rsid w:val="00C73E33"/>
    <w:rsid w:val="00C747F2"/>
    <w:rsid w:val="00C74C56"/>
    <w:rsid w:val="00C752A5"/>
    <w:rsid w:val="00C752EB"/>
    <w:rsid w:val="00C75878"/>
    <w:rsid w:val="00C75BD1"/>
    <w:rsid w:val="00C76BBB"/>
    <w:rsid w:val="00C7713E"/>
    <w:rsid w:val="00C77212"/>
    <w:rsid w:val="00C776FE"/>
    <w:rsid w:val="00C779D4"/>
    <w:rsid w:val="00C77B57"/>
    <w:rsid w:val="00C77C0E"/>
    <w:rsid w:val="00C77F67"/>
    <w:rsid w:val="00C80094"/>
    <w:rsid w:val="00C80125"/>
    <w:rsid w:val="00C809C6"/>
    <w:rsid w:val="00C81430"/>
    <w:rsid w:val="00C823B7"/>
    <w:rsid w:val="00C833AB"/>
    <w:rsid w:val="00C83677"/>
    <w:rsid w:val="00C83899"/>
    <w:rsid w:val="00C85536"/>
    <w:rsid w:val="00C8569F"/>
    <w:rsid w:val="00C861EB"/>
    <w:rsid w:val="00C86377"/>
    <w:rsid w:val="00C86829"/>
    <w:rsid w:val="00C86A4F"/>
    <w:rsid w:val="00C86DA3"/>
    <w:rsid w:val="00C871F5"/>
    <w:rsid w:val="00C8735E"/>
    <w:rsid w:val="00C878EC"/>
    <w:rsid w:val="00C879EA"/>
    <w:rsid w:val="00C87C1A"/>
    <w:rsid w:val="00C87EBA"/>
    <w:rsid w:val="00C90FB0"/>
    <w:rsid w:val="00C911A9"/>
    <w:rsid w:val="00C9135D"/>
    <w:rsid w:val="00C914F8"/>
    <w:rsid w:val="00C9154B"/>
    <w:rsid w:val="00C91563"/>
    <w:rsid w:val="00C9209C"/>
    <w:rsid w:val="00C92A01"/>
    <w:rsid w:val="00C9319C"/>
    <w:rsid w:val="00C935F6"/>
    <w:rsid w:val="00C93DD4"/>
    <w:rsid w:val="00C93ED0"/>
    <w:rsid w:val="00C9420E"/>
    <w:rsid w:val="00C95234"/>
    <w:rsid w:val="00C971B3"/>
    <w:rsid w:val="00C97715"/>
    <w:rsid w:val="00C9788C"/>
    <w:rsid w:val="00C97C59"/>
    <w:rsid w:val="00C97FC7"/>
    <w:rsid w:val="00CA047B"/>
    <w:rsid w:val="00CA06A9"/>
    <w:rsid w:val="00CA08E3"/>
    <w:rsid w:val="00CA0C2B"/>
    <w:rsid w:val="00CA1087"/>
    <w:rsid w:val="00CA12D5"/>
    <w:rsid w:val="00CA2734"/>
    <w:rsid w:val="00CA2E4E"/>
    <w:rsid w:val="00CA32B5"/>
    <w:rsid w:val="00CA3794"/>
    <w:rsid w:val="00CA37CC"/>
    <w:rsid w:val="00CA3FCD"/>
    <w:rsid w:val="00CA418B"/>
    <w:rsid w:val="00CA42DE"/>
    <w:rsid w:val="00CA52C0"/>
    <w:rsid w:val="00CA5922"/>
    <w:rsid w:val="00CA5C69"/>
    <w:rsid w:val="00CA6C2E"/>
    <w:rsid w:val="00CA7A1E"/>
    <w:rsid w:val="00CB0884"/>
    <w:rsid w:val="00CB12E9"/>
    <w:rsid w:val="00CB16E0"/>
    <w:rsid w:val="00CB1766"/>
    <w:rsid w:val="00CB1BC5"/>
    <w:rsid w:val="00CB1E90"/>
    <w:rsid w:val="00CB1EB4"/>
    <w:rsid w:val="00CB328F"/>
    <w:rsid w:val="00CB3573"/>
    <w:rsid w:val="00CB364D"/>
    <w:rsid w:val="00CB3A38"/>
    <w:rsid w:val="00CB3B10"/>
    <w:rsid w:val="00CB3FD0"/>
    <w:rsid w:val="00CB425D"/>
    <w:rsid w:val="00CB46B1"/>
    <w:rsid w:val="00CB4831"/>
    <w:rsid w:val="00CB5609"/>
    <w:rsid w:val="00CB5C51"/>
    <w:rsid w:val="00CB5DBA"/>
    <w:rsid w:val="00CB5FBD"/>
    <w:rsid w:val="00CB65DC"/>
    <w:rsid w:val="00CB6DC9"/>
    <w:rsid w:val="00CB7F2D"/>
    <w:rsid w:val="00CC10A8"/>
    <w:rsid w:val="00CC16EE"/>
    <w:rsid w:val="00CC1763"/>
    <w:rsid w:val="00CC21F6"/>
    <w:rsid w:val="00CC2600"/>
    <w:rsid w:val="00CC3F69"/>
    <w:rsid w:val="00CC4526"/>
    <w:rsid w:val="00CC4B0F"/>
    <w:rsid w:val="00CC4B86"/>
    <w:rsid w:val="00CC5A1A"/>
    <w:rsid w:val="00CC5EA6"/>
    <w:rsid w:val="00CC6B67"/>
    <w:rsid w:val="00CC6CE2"/>
    <w:rsid w:val="00CC6D02"/>
    <w:rsid w:val="00CC70C2"/>
    <w:rsid w:val="00CC71C7"/>
    <w:rsid w:val="00CC759C"/>
    <w:rsid w:val="00CD0363"/>
    <w:rsid w:val="00CD11A6"/>
    <w:rsid w:val="00CD171A"/>
    <w:rsid w:val="00CD18B3"/>
    <w:rsid w:val="00CD1CCA"/>
    <w:rsid w:val="00CD2B43"/>
    <w:rsid w:val="00CD2C7C"/>
    <w:rsid w:val="00CD33A6"/>
    <w:rsid w:val="00CD3886"/>
    <w:rsid w:val="00CD3D9B"/>
    <w:rsid w:val="00CD4E01"/>
    <w:rsid w:val="00CD4F9A"/>
    <w:rsid w:val="00CD5608"/>
    <w:rsid w:val="00CD679B"/>
    <w:rsid w:val="00CD6935"/>
    <w:rsid w:val="00CD6C34"/>
    <w:rsid w:val="00CD6C36"/>
    <w:rsid w:val="00CD7204"/>
    <w:rsid w:val="00CD7CC3"/>
    <w:rsid w:val="00CE0A6E"/>
    <w:rsid w:val="00CE113C"/>
    <w:rsid w:val="00CE1E9C"/>
    <w:rsid w:val="00CE1F89"/>
    <w:rsid w:val="00CE1F94"/>
    <w:rsid w:val="00CE2C20"/>
    <w:rsid w:val="00CE2C5F"/>
    <w:rsid w:val="00CE2CC9"/>
    <w:rsid w:val="00CE3FC9"/>
    <w:rsid w:val="00CE42F4"/>
    <w:rsid w:val="00CE47E8"/>
    <w:rsid w:val="00CE4877"/>
    <w:rsid w:val="00CE4C9B"/>
    <w:rsid w:val="00CE6109"/>
    <w:rsid w:val="00CE6260"/>
    <w:rsid w:val="00CE62A5"/>
    <w:rsid w:val="00CE633C"/>
    <w:rsid w:val="00CE6BD0"/>
    <w:rsid w:val="00CE6C1C"/>
    <w:rsid w:val="00CE7150"/>
    <w:rsid w:val="00CE7B3F"/>
    <w:rsid w:val="00CE7C81"/>
    <w:rsid w:val="00CF0386"/>
    <w:rsid w:val="00CF08B2"/>
    <w:rsid w:val="00CF0A1E"/>
    <w:rsid w:val="00CF0D83"/>
    <w:rsid w:val="00CF0EF2"/>
    <w:rsid w:val="00CF234B"/>
    <w:rsid w:val="00CF3400"/>
    <w:rsid w:val="00CF34B6"/>
    <w:rsid w:val="00CF3BB6"/>
    <w:rsid w:val="00CF40C5"/>
    <w:rsid w:val="00CF4357"/>
    <w:rsid w:val="00CF47E5"/>
    <w:rsid w:val="00CF5B2D"/>
    <w:rsid w:val="00CF5BB5"/>
    <w:rsid w:val="00CF6964"/>
    <w:rsid w:val="00CF69A6"/>
    <w:rsid w:val="00CF6AA3"/>
    <w:rsid w:val="00CF732A"/>
    <w:rsid w:val="00D00533"/>
    <w:rsid w:val="00D00540"/>
    <w:rsid w:val="00D0083A"/>
    <w:rsid w:val="00D0094E"/>
    <w:rsid w:val="00D009A8"/>
    <w:rsid w:val="00D00AA4"/>
    <w:rsid w:val="00D00E4F"/>
    <w:rsid w:val="00D00F77"/>
    <w:rsid w:val="00D01406"/>
    <w:rsid w:val="00D015A7"/>
    <w:rsid w:val="00D015CB"/>
    <w:rsid w:val="00D01ABC"/>
    <w:rsid w:val="00D01D87"/>
    <w:rsid w:val="00D0250E"/>
    <w:rsid w:val="00D041BB"/>
    <w:rsid w:val="00D0423A"/>
    <w:rsid w:val="00D048C7"/>
    <w:rsid w:val="00D04A90"/>
    <w:rsid w:val="00D05C02"/>
    <w:rsid w:val="00D05D7C"/>
    <w:rsid w:val="00D06573"/>
    <w:rsid w:val="00D06989"/>
    <w:rsid w:val="00D06EF2"/>
    <w:rsid w:val="00D07131"/>
    <w:rsid w:val="00D07526"/>
    <w:rsid w:val="00D07E3B"/>
    <w:rsid w:val="00D10705"/>
    <w:rsid w:val="00D11276"/>
    <w:rsid w:val="00D1233D"/>
    <w:rsid w:val="00D123CF"/>
    <w:rsid w:val="00D127DF"/>
    <w:rsid w:val="00D1308F"/>
    <w:rsid w:val="00D130E2"/>
    <w:rsid w:val="00D13678"/>
    <w:rsid w:val="00D1460D"/>
    <w:rsid w:val="00D148E4"/>
    <w:rsid w:val="00D14B1E"/>
    <w:rsid w:val="00D14DCC"/>
    <w:rsid w:val="00D150F9"/>
    <w:rsid w:val="00D152F0"/>
    <w:rsid w:val="00D1550B"/>
    <w:rsid w:val="00D15858"/>
    <w:rsid w:val="00D165A5"/>
    <w:rsid w:val="00D166CC"/>
    <w:rsid w:val="00D17E05"/>
    <w:rsid w:val="00D17F23"/>
    <w:rsid w:val="00D2058A"/>
    <w:rsid w:val="00D207B2"/>
    <w:rsid w:val="00D2106D"/>
    <w:rsid w:val="00D216CF"/>
    <w:rsid w:val="00D220F4"/>
    <w:rsid w:val="00D22B49"/>
    <w:rsid w:val="00D22C80"/>
    <w:rsid w:val="00D23867"/>
    <w:rsid w:val="00D23F60"/>
    <w:rsid w:val="00D240C0"/>
    <w:rsid w:val="00D24A6C"/>
    <w:rsid w:val="00D24AC2"/>
    <w:rsid w:val="00D250F6"/>
    <w:rsid w:val="00D2514B"/>
    <w:rsid w:val="00D25A76"/>
    <w:rsid w:val="00D2692A"/>
    <w:rsid w:val="00D278F4"/>
    <w:rsid w:val="00D27C28"/>
    <w:rsid w:val="00D27E31"/>
    <w:rsid w:val="00D308D8"/>
    <w:rsid w:val="00D31186"/>
    <w:rsid w:val="00D311F7"/>
    <w:rsid w:val="00D318AF"/>
    <w:rsid w:val="00D322C3"/>
    <w:rsid w:val="00D32350"/>
    <w:rsid w:val="00D32B0E"/>
    <w:rsid w:val="00D3344A"/>
    <w:rsid w:val="00D3355A"/>
    <w:rsid w:val="00D33AB7"/>
    <w:rsid w:val="00D34CA3"/>
    <w:rsid w:val="00D35AA2"/>
    <w:rsid w:val="00D35BC0"/>
    <w:rsid w:val="00D36218"/>
    <w:rsid w:val="00D362BE"/>
    <w:rsid w:val="00D36BE9"/>
    <w:rsid w:val="00D3722A"/>
    <w:rsid w:val="00D37579"/>
    <w:rsid w:val="00D379CE"/>
    <w:rsid w:val="00D4006F"/>
    <w:rsid w:val="00D4068D"/>
    <w:rsid w:val="00D40B0A"/>
    <w:rsid w:val="00D42ACE"/>
    <w:rsid w:val="00D43569"/>
    <w:rsid w:val="00D43F58"/>
    <w:rsid w:val="00D43FC2"/>
    <w:rsid w:val="00D4457A"/>
    <w:rsid w:val="00D44932"/>
    <w:rsid w:val="00D44AF1"/>
    <w:rsid w:val="00D45734"/>
    <w:rsid w:val="00D45F69"/>
    <w:rsid w:val="00D46162"/>
    <w:rsid w:val="00D46172"/>
    <w:rsid w:val="00D46610"/>
    <w:rsid w:val="00D46632"/>
    <w:rsid w:val="00D46D5A"/>
    <w:rsid w:val="00D46E9D"/>
    <w:rsid w:val="00D47282"/>
    <w:rsid w:val="00D4779F"/>
    <w:rsid w:val="00D47829"/>
    <w:rsid w:val="00D47B29"/>
    <w:rsid w:val="00D47E7C"/>
    <w:rsid w:val="00D47EF5"/>
    <w:rsid w:val="00D50AD1"/>
    <w:rsid w:val="00D517BD"/>
    <w:rsid w:val="00D542A9"/>
    <w:rsid w:val="00D54305"/>
    <w:rsid w:val="00D5443B"/>
    <w:rsid w:val="00D54789"/>
    <w:rsid w:val="00D54F6A"/>
    <w:rsid w:val="00D54FAC"/>
    <w:rsid w:val="00D5501F"/>
    <w:rsid w:val="00D55807"/>
    <w:rsid w:val="00D56540"/>
    <w:rsid w:val="00D56BA3"/>
    <w:rsid w:val="00D56D40"/>
    <w:rsid w:val="00D56D87"/>
    <w:rsid w:val="00D57104"/>
    <w:rsid w:val="00D57242"/>
    <w:rsid w:val="00D57F64"/>
    <w:rsid w:val="00D57FAB"/>
    <w:rsid w:val="00D57FD7"/>
    <w:rsid w:val="00D604C4"/>
    <w:rsid w:val="00D605E1"/>
    <w:rsid w:val="00D60C3B"/>
    <w:rsid w:val="00D624DF"/>
    <w:rsid w:val="00D62550"/>
    <w:rsid w:val="00D62693"/>
    <w:rsid w:val="00D635F6"/>
    <w:rsid w:val="00D63645"/>
    <w:rsid w:val="00D63929"/>
    <w:rsid w:val="00D63C1C"/>
    <w:rsid w:val="00D63DC1"/>
    <w:rsid w:val="00D63E1C"/>
    <w:rsid w:val="00D6421D"/>
    <w:rsid w:val="00D645E0"/>
    <w:rsid w:val="00D65124"/>
    <w:rsid w:val="00D65231"/>
    <w:rsid w:val="00D65507"/>
    <w:rsid w:val="00D656B6"/>
    <w:rsid w:val="00D6599A"/>
    <w:rsid w:val="00D65B73"/>
    <w:rsid w:val="00D65E7D"/>
    <w:rsid w:val="00D660C7"/>
    <w:rsid w:val="00D66534"/>
    <w:rsid w:val="00D66977"/>
    <w:rsid w:val="00D669A4"/>
    <w:rsid w:val="00D66E91"/>
    <w:rsid w:val="00D66EFA"/>
    <w:rsid w:val="00D675FE"/>
    <w:rsid w:val="00D679B1"/>
    <w:rsid w:val="00D67C8A"/>
    <w:rsid w:val="00D704A2"/>
    <w:rsid w:val="00D709B7"/>
    <w:rsid w:val="00D71211"/>
    <w:rsid w:val="00D7143F"/>
    <w:rsid w:val="00D72409"/>
    <w:rsid w:val="00D72A0C"/>
    <w:rsid w:val="00D72AD0"/>
    <w:rsid w:val="00D72F4D"/>
    <w:rsid w:val="00D73033"/>
    <w:rsid w:val="00D73621"/>
    <w:rsid w:val="00D73785"/>
    <w:rsid w:val="00D74162"/>
    <w:rsid w:val="00D74745"/>
    <w:rsid w:val="00D74857"/>
    <w:rsid w:val="00D74B58"/>
    <w:rsid w:val="00D7507B"/>
    <w:rsid w:val="00D7557F"/>
    <w:rsid w:val="00D75794"/>
    <w:rsid w:val="00D75BC9"/>
    <w:rsid w:val="00D75CC0"/>
    <w:rsid w:val="00D77016"/>
    <w:rsid w:val="00D77153"/>
    <w:rsid w:val="00D77953"/>
    <w:rsid w:val="00D77B31"/>
    <w:rsid w:val="00D77D62"/>
    <w:rsid w:val="00D8028D"/>
    <w:rsid w:val="00D80B5C"/>
    <w:rsid w:val="00D81BB1"/>
    <w:rsid w:val="00D83554"/>
    <w:rsid w:val="00D84D29"/>
    <w:rsid w:val="00D84F6A"/>
    <w:rsid w:val="00D8506B"/>
    <w:rsid w:val="00D855D0"/>
    <w:rsid w:val="00D85A8B"/>
    <w:rsid w:val="00D86ADC"/>
    <w:rsid w:val="00D876CD"/>
    <w:rsid w:val="00D90124"/>
    <w:rsid w:val="00D90791"/>
    <w:rsid w:val="00D90A08"/>
    <w:rsid w:val="00D90F27"/>
    <w:rsid w:val="00D90F8B"/>
    <w:rsid w:val="00D9114E"/>
    <w:rsid w:val="00D91524"/>
    <w:rsid w:val="00D9171F"/>
    <w:rsid w:val="00D91C1A"/>
    <w:rsid w:val="00D928A3"/>
    <w:rsid w:val="00D9350D"/>
    <w:rsid w:val="00D93A74"/>
    <w:rsid w:val="00D9440E"/>
    <w:rsid w:val="00D94DD6"/>
    <w:rsid w:val="00D9526D"/>
    <w:rsid w:val="00D95433"/>
    <w:rsid w:val="00D95689"/>
    <w:rsid w:val="00D956B6"/>
    <w:rsid w:val="00D95EF6"/>
    <w:rsid w:val="00D95F43"/>
    <w:rsid w:val="00D961DA"/>
    <w:rsid w:val="00D9772E"/>
    <w:rsid w:val="00DA07B1"/>
    <w:rsid w:val="00DA0DC8"/>
    <w:rsid w:val="00DA1481"/>
    <w:rsid w:val="00DA17B0"/>
    <w:rsid w:val="00DA2689"/>
    <w:rsid w:val="00DA27C6"/>
    <w:rsid w:val="00DA2C00"/>
    <w:rsid w:val="00DA33EC"/>
    <w:rsid w:val="00DA3B79"/>
    <w:rsid w:val="00DA3F09"/>
    <w:rsid w:val="00DA48B0"/>
    <w:rsid w:val="00DA4E90"/>
    <w:rsid w:val="00DA5BA5"/>
    <w:rsid w:val="00DA5E1F"/>
    <w:rsid w:val="00DA65BB"/>
    <w:rsid w:val="00DA6756"/>
    <w:rsid w:val="00DA6B23"/>
    <w:rsid w:val="00DA6D82"/>
    <w:rsid w:val="00DA70A5"/>
    <w:rsid w:val="00DA71AF"/>
    <w:rsid w:val="00DA74AE"/>
    <w:rsid w:val="00DA77D0"/>
    <w:rsid w:val="00DA7E29"/>
    <w:rsid w:val="00DB06D2"/>
    <w:rsid w:val="00DB1330"/>
    <w:rsid w:val="00DB169C"/>
    <w:rsid w:val="00DB180E"/>
    <w:rsid w:val="00DB19FA"/>
    <w:rsid w:val="00DB21E9"/>
    <w:rsid w:val="00DB25CD"/>
    <w:rsid w:val="00DB27AF"/>
    <w:rsid w:val="00DB292F"/>
    <w:rsid w:val="00DB3608"/>
    <w:rsid w:val="00DB3966"/>
    <w:rsid w:val="00DB3F0F"/>
    <w:rsid w:val="00DB4D5B"/>
    <w:rsid w:val="00DB597B"/>
    <w:rsid w:val="00DB5A3F"/>
    <w:rsid w:val="00DB6199"/>
    <w:rsid w:val="00DB6496"/>
    <w:rsid w:val="00DB78EC"/>
    <w:rsid w:val="00DB7EAE"/>
    <w:rsid w:val="00DC0112"/>
    <w:rsid w:val="00DC01B2"/>
    <w:rsid w:val="00DC124A"/>
    <w:rsid w:val="00DC1B8E"/>
    <w:rsid w:val="00DC1BD9"/>
    <w:rsid w:val="00DC1FC3"/>
    <w:rsid w:val="00DC2393"/>
    <w:rsid w:val="00DC23B0"/>
    <w:rsid w:val="00DC2400"/>
    <w:rsid w:val="00DC246B"/>
    <w:rsid w:val="00DC2998"/>
    <w:rsid w:val="00DC2AD7"/>
    <w:rsid w:val="00DC2CDA"/>
    <w:rsid w:val="00DC3655"/>
    <w:rsid w:val="00DC49A0"/>
    <w:rsid w:val="00DC54DF"/>
    <w:rsid w:val="00DC5A4C"/>
    <w:rsid w:val="00DC6443"/>
    <w:rsid w:val="00DC68D3"/>
    <w:rsid w:val="00DC6EBF"/>
    <w:rsid w:val="00DD0581"/>
    <w:rsid w:val="00DD085F"/>
    <w:rsid w:val="00DD1761"/>
    <w:rsid w:val="00DD19C3"/>
    <w:rsid w:val="00DD273A"/>
    <w:rsid w:val="00DD2EE7"/>
    <w:rsid w:val="00DD3483"/>
    <w:rsid w:val="00DD40A3"/>
    <w:rsid w:val="00DD4C6C"/>
    <w:rsid w:val="00DD4D17"/>
    <w:rsid w:val="00DD5846"/>
    <w:rsid w:val="00DD620A"/>
    <w:rsid w:val="00DD65CF"/>
    <w:rsid w:val="00DD6AAC"/>
    <w:rsid w:val="00DD6F71"/>
    <w:rsid w:val="00DD7392"/>
    <w:rsid w:val="00DD7C97"/>
    <w:rsid w:val="00DE0462"/>
    <w:rsid w:val="00DE0888"/>
    <w:rsid w:val="00DE10A6"/>
    <w:rsid w:val="00DE11D6"/>
    <w:rsid w:val="00DE1AEE"/>
    <w:rsid w:val="00DE2212"/>
    <w:rsid w:val="00DE2457"/>
    <w:rsid w:val="00DE2796"/>
    <w:rsid w:val="00DE2C8D"/>
    <w:rsid w:val="00DE36B6"/>
    <w:rsid w:val="00DE4021"/>
    <w:rsid w:val="00DE4278"/>
    <w:rsid w:val="00DE5E69"/>
    <w:rsid w:val="00DE6107"/>
    <w:rsid w:val="00DE610C"/>
    <w:rsid w:val="00DE6776"/>
    <w:rsid w:val="00DE6C81"/>
    <w:rsid w:val="00DE7B73"/>
    <w:rsid w:val="00DE7CEB"/>
    <w:rsid w:val="00DE7F13"/>
    <w:rsid w:val="00DF0396"/>
    <w:rsid w:val="00DF06C4"/>
    <w:rsid w:val="00DF090E"/>
    <w:rsid w:val="00DF0C8E"/>
    <w:rsid w:val="00DF0E4D"/>
    <w:rsid w:val="00DF1212"/>
    <w:rsid w:val="00DF12DD"/>
    <w:rsid w:val="00DF16E3"/>
    <w:rsid w:val="00DF1A38"/>
    <w:rsid w:val="00DF1CAA"/>
    <w:rsid w:val="00DF234C"/>
    <w:rsid w:val="00DF2530"/>
    <w:rsid w:val="00DF2C09"/>
    <w:rsid w:val="00DF2FFE"/>
    <w:rsid w:val="00DF3A31"/>
    <w:rsid w:val="00DF3DDB"/>
    <w:rsid w:val="00DF563C"/>
    <w:rsid w:val="00DF5D6C"/>
    <w:rsid w:val="00DF631D"/>
    <w:rsid w:val="00DF6C1A"/>
    <w:rsid w:val="00DF6C2D"/>
    <w:rsid w:val="00DF6D88"/>
    <w:rsid w:val="00DF74F4"/>
    <w:rsid w:val="00DF752A"/>
    <w:rsid w:val="00E00415"/>
    <w:rsid w:val="00E010DC"/>
    <w:rsid w:val="00E0165D"/>
    <w:rsid w:val="00E01D4D"/>
    <w:rsid w:val="00E02894"/>
    <w:rsid w:val="00E028C1"/>
    <w:rsid w:val="00E02941"/>
    <w:rsid w:val="00E03081"/>
    <w:rsid w:val="00E03094"/>
    <w:rsid w:val="00E03B96"/>
    <w:rsid w:val="00E03BA2"/>
    <w:rsid w:val="00E03FAB"/>
    <w:rsid w:val="00E04119"/>
    <w:rsid w:val="00E04231"/>
    <w:rsid w:val="00E04A8B"/>
    <w:rsid w:val="00E04B64"/>
    <w:rsid w:val="00E05816"/>
    <w:rsid w:val="00E0592D"/>
    <w:rsid w:val="00E059E0"/>
    <w:rsid w:val="00E05B90"/>
    <w:rsid w:val="00E05BF7"/>
    <w:rsid w:val="00E06224"/>
    <w:rsid w:val="00E06316"/>
    <w:rsid w:val="00E06B80"/>
    <w:rsid w:val="00E06E46"/>
    <w:rsid w:val="00E0787E"/>
    <w:rsid w:val="00E10E16"/>
    <w:rsid w:val="00E10EA2"/>
    <w:rsid w:val="00E10F8D"/>
    <w:rsid w:val="00E11171"/>
    <w:rsid w:val="00E112C9"/>
    <w:rsid w:val="00E114D9"/>
    <w:rsid w:val="00E11EF2"/>
    <w:rsid w:val="00E11FDF"/>
    <w:rsid w:val="00E12004"/>
    <w:rsid w:val="00E126BB"/>
    <w:rsid w:val="00E126F6"/>
    <w:rsid w:val="00E1305B"/>
    <w:rsid w:val="00E13069"/>
    <w:rsid w:val="00E13402"/>
    <w:rsid w:val="00E134A9"/>
    <w:rsid w:val="00E135F9"/>
    <w:rsid w:val="00E13649"/>
    <w:rsid w:val="00E136F7"/>
    <w:rsid w:val="00E13771"/>
    <w:rsid w:val="00E13D6B"/>
    <w:rsid w:val="00E140FF"/>
    <w:rsid w:val="00E14AED"/>
    <w:rsid w:val="00E14D31"/>
    <w:rsid w:val="00E150E0"/>
    <w:rsid w:val="00E155F6"/>
    <w:rsid w:val="00E167A2"/>
    <w:rsid w:val="00E16B4A"/>
    <w:rsid w:val="00E17534"/>
    <w:rsid w:val="00E17AB3"/>
    <w:rsid w:val="00E20C2E"/>
    <w:rsid w:val="00E2108D"/>
    <w:rsid w:val="00E214F0"/>
    <w:rsid w:val="00E218A3"/>
    <w:rsid w:val="00E21F9F"/>
    <w:rsid w:val="00E220EA"/>
    <w:rsid w:val="00E2262C"/>
    <w:rsid w:val="00E2294C"/>
    <w:rsid w:val="00E22E16"/>
    <w:rsid w:val="00E23054"/>
    <w:rsid w:val="00E2320D"/>
    <w:rsid w:val="00E236F6"/>
    <w:rsid w:val="00E237A8"/>
    <w:rsid w:val="00E23C15"/>
    <w:rsid w:val="00E23C73"/>
    <w:rsid w:val="00E24A7C"/>
    <w:rsid w:val="00E24D59"/>
    <w:rsid w:val="00E24F7C"/>
    <w:rsid w:val="00E25852"/>
    <w:rsid w:val="00E259D4"/>
    <w:rsid w:val="00E25B67"/>
    <w:rsid w:val="00E25F3E"/>
    <w:rsid w:val="00E25FDB"/>
    <w:rsid w:val="00E26152"/>
    <w:rsid w:val="00E267CF"/>
    <w:rsid w:val="00E26DDA"/>
    <w:rsid w:val="00E27379"/>
    <w:rsid w:val="00E30009"/>
    <w:rsid w:val="00E30A6C"/>
    <w:rsid w:val="00E30B9B"/>
    <w:rsid w:val="00E30FF3"/>
    <w:rsid w:val="00E3151F"/>
    <w:rsid w:val="00E31BA9"/>
    <w:rsid w:val="00E31C80"/>
    <w:rsid w:val="00E31DD1"/>
    <w:rsid w:val="00E31E1C"/>
    <w:rsid w:val="00E31E48"/>
    <w:rsid w:val="00E32CB6"/>
    <w:rsid w:val="00E3334E"/>
    <w:rsid w:val="00E337C4"/>
    <w:rsid w:val="00E337E8"/>
    <w:rsid w:val="00E33990"/>
    <w:rsid w:val="00E339C0"/>
    <w:rsid w:val="00E33A8F"/>
    <w:rsid w:val="00E33AE6"/>
    <w:rsid w:val="00E33EC0"/>
    <w:rsid w:val="00E34274"/>
    <w:rsid w:val="00E34814"/>
    <w:rsid w:val="00E3485E"/>
    <w:rsid w:val="00E34AA2"/>
    <w:rsid w:val="00E34E43"/>
    <w:rsid w:val="00E353B2"/>
    <w:rsid w:val="00E35486"/>
    <w:rsid w:val="00E35A3A"/>
    <w:rsid w:val="00E36AD6"/>
    <w:rsid w:val="00E3737C"/>
    <w:rsid w:val="00E379DE"/>
    <w:rsid w:val="00E37FAF"/>
    <w:rsid w:val="00E4090B"/>
    <w:rsid w:val="00E4098C"/>
    <w:rsid w:val="00E40ABB"/>
    <w:rsid w:val="00E412A9"/>
    <w:rsid w:val="00E4166F"/>
    <w:rsid w:val="00E416FB"/>
    <w:rsid w:val="00E419BD"/>
    <w:rsid w:val="00E41F06"/>
    <w:rsid w:val="00E422DC"/>
    <w:rsid w:val="00E42314"/>
    <w:rsid w:val="00E42827"/>
    <w:rsid w:val="00E42B30"/>
    <w:rsid w:val="00E42DA2"/>
    <w:rsid w:val="00E444F3"/>
    <w:rsid w:val="00E447FE"/>
    <w:rsid w:val="00E44CAD"/>
    <w:rsid w:val="00E457DA"/>
    <w:rsid w:val="00E4596A"/>
    <w:rsid w:val="00E45E6B"/>
    <w:rsid w:val="00E465FE"/>
    <w:rsid w:val="00E46B19"/>
    <w:rsid w:val="00E476B7"/>
    <w:rsid w:val="00E47A35"/>
    <w:rsid w:val="00E47A7A"/>
    <w:rsid w:val="00E47BA8"/>
    <w:rsid w:val="00E50167"/>
    <w:rsid w:val="00E5087A"/>
    <w:rsid w:val="00E5097C"/>
    <w:rsid w:val="00E50EAA"/>
    <w:rsid w:val="00E513DE"/>
    <w:rsid w:val="00E51879"/>
    <w:rsid w:val="00E51DDA"/>
    <w:rsid w:val="00E52602"/>
    <w:rsid w:val="00E52A08"/>
    <w:rsid w:val="00E5361B"/>
    <w:rsid w:val="00E5366E"/>
    <w:rsid w:val="00E537AB"/>
    <w:rsid w:val="00E544E3"/>
    <w:rsid w:val="00E54925"/>
    <w:rsid w:val="00E5566F"/>
    <w:rsid w:val="00E5699C"/>
    <w:rsid w:val="00E57188"/>
    <w:rsid w:val="00E603F0"/>
    <w:rsid w:val="00E604A4"/>
    <w:rsid w:val="00E609FD"/>
    <w:rsid w:val="00E61C4E"/>
    <w:rsid w:val="00E62147"/>
    <w:rsid w:val="00E629E6"/>
    <w:rsid w:val="00E62C75"/>
    <w:rsid w:val="00E62F93"/>
    <w:rsid w:val="00E631DE"/>
    <w:rsid w:val="00E633BE"/>
    <w:rsid w:val="00E635C2"/>
    <w:rsid w:val="00E6371C"/>
    <w:rsid w:val="00E63872"/>
    <w:rsid w:val="00E63C6C"/>
    <w:rsid w:val="00E63F87"/>
    <w:rsid w:val="00E6527E"/>
    <w:rsid w:val="00E65A41"/>
    <w:rsid w:val="00E665CB"/>
    <w:rsid w:val="00E70259"/>
    <w:rsid w:val="00E70C65"/>
    <w:rsid w:val="00E710C9"/>
    <w:rsid w:val="00E7152E"/>
    <w:rsid w:val="00E71666"/>
    <w:rsid w:val="00E71676"/>
    <w:rsid w:val="00E71AD4"/>
    <w:rsid w:val="00E71BFF"/>
    <w:rsid w:val="00E71C69"/>
    <w:rsid w:val="00E724E4"/>
    <w:rsid w:val="00E72EEB"/>
    <w:rsid w:val="00E73155"/>
    <w:rsid w:val="00E73312"/>
    <w:rsid w:val="00E735D4"/>
    <w:rsid w:val="00E73AFD"/>
    <w:rsid w:val="00E7411D"/>
    <w:rsid w:val="00E7483A"/>
    <w:rsid w:val="00E7525A"/>
    <w:rsid w:val="00E76205"/>
    <w:rsid w:val="00E7637E"/>
    <w:rsid w:val="00E76439"/>
    <w:rsid w:val="00E76936"/>
    <w:rsid w:val="00E76CBC"/>
    <w:rsid w:val="00E77415"/>
    <w:rsid w:val="00E778EC"/>
    <w:rsid w:val="00E77D98"/>
    <w:rsid w:val="00E77EE6"/>
    <w:rsid w:val="00E80317"/>
    <w:rsid w:val="00E80877"/>
    <w:rsid w:val="00E810DA"/>
    <w:rsid w:val="00E81377"/>
    <w:rsid w:val="00E81E0D"/>
    <w:rsid w:val="00E829B0"/>
    <w:rsid w:val="00E829FE"/>
    <w:rsid w:val="00E82ABB"/>
    <w:rsid w:val="00E82B29"/>
    <w:rsid w:val="00E82B62"/>
    <w:rsid w:val="00E83021"/>
    <w:rsid w:val="00E83148"/>
    <w:rsid w:val="00E8377C"/>
    <w:rsid w:val="00E841D8"/>
    <w:rsid w:val="00E84E02"/>
    <w:rsid w:val="00E84E5C"/>
    <w:rsid w:val="00E850A8"/>
    <w:rsid w:val="00E85588"/>
    <w:rsid w:val="00E858D9"/>
    <w:rsid w:val="00E85DC1"/>
    <w:rsid w:val="00E862F4"/>
    <w:rsid w:val="00E864F0"/>
    <w:rsid w:val="00E8666E"/>
    <w:rsid w:val="00E86D33"/>
    <w:rsid w:val="00E9032B"/>
    <w:rsid w:val="00E90393"/>
    <w:rsid w:val="00E90B5E"/>
    <w:rsid w:val="00E91579"/>
    <w:rsid w:val="00E91640"/>
    <w:rsid w:val="00E92BD9"/>
    <w:rsid w:val="00E92DE1"/>
    <w:rsid w:val="00E936A7"/>
    <w:rsid w:val="00E93717"/>
    <w:rsid w:val="00E94339"/>
    <w:rsid w:val="00E944FD"/>
    <w:rsid w:val="00E945F8"/>
    <w:rsid w:val="00E94CF9"/>
    <w:rsid w:val="00E94FA2"/>
    <w:rsid w:val="00E94FDF"/>
    <w:rsid w:val="00E9546A"/>
    <w:rsid w:val="00E95546"/>
    <w:rsid w:val="00E95563"/>
    <w:rsid w:val="00E96188"/>
    <w:rsid w:val="00E97CCA"/>
    <w:rsid w:val="00E97E2B"/>
    <w:rsid w:val="00EA015C"/>
    <w:rsid w:val="00EA0177"/>
    <w:rsid w:val="00EA07F0"/>
    <w:rsid w:val="00EA0D5B"/>
    <w:rsid w:val="00EA0D76"/>
    <w:rsid w:val="00EA1578"/>
    <w:rsid w:val="00EA224E"/>
    <w:rsid w:val="00EA3FF6"/>
    <w:rsid w:val="00EA5683"/>
    <w:rsid w:val="00EA6DC0"/>
    <w:rsid w:val="00EA7FBE"/>
    <w:rsid w:val="00EB0C5B"/>
    <w:rsid w:val="00EB1185"/>
    <w:rsid w:val="00EB159B"/>
    <w:rsid w:val="00EB2033"/>
    <w:rsid w:val="00EB2481"/>
    <w:rsid w:val="00EB257B"/>
    <w:rsid w:val="00EB2A1F"/>
    <w:rsid w:val="00EB2D88"/>
    <w:rsid w:val="00EB370F"/>
    <w:rsid w:val="00EB404A"/>
    <w:rsid w:val="00EB44D2"/>
    <w:rsid w:val="00EB4BE5"/>
    <w:rsid w:val="00EB5234"/>
    <w:rsid w:val="00EB52CC"/>
    <w:rsid w:val="00EB610E"/>
    <w:rsid w:val="00EB6335"/>
    <w:rsid w:val="00EB722E"/>
    <w:rsid w:val="00EB733C"/>
    <w:rsid w:val="00EB7C4F"/>
    <w:rsid w:val="00EC091F"/>
    <w:rsid w:val="00EC0E72"/>
    <w:rsid w:val="00EC12AF"/>
    <w:rsid w:val="00EC1BE7"/>
    <w:rsid w:val="00EC2028"/>
    <w:rsid w:val="00EC2317"/>
    <w:rsid w:val="00EC25BA"/>
    <w:rsid w:val="00EC2990"/>
    <w:rsid w:val="00EC2A4D"/>
    <w:rsid w:val="00EC3301"/>
    <w:rsid w:val="00EC340D"/>
    <w:rsid w:val="00EC348F"/>
    <w:rsid w:val="00EC376C"/>
    <w:rsid w:val="00EC3CE7"/>
    <w:rsid w:val="00EC43F0"/>
    <w:rsid w:val="00EC4BBD"/>
    <w:rsid w:val="00EC4E0E"/>
    <w:rsid w:val="00EC4EC1"/>
    <w:rsid w:val="00EC4FBB"/>
    <w:rsid w:val="00EC55F9"/>
    <w:rsid w:val="00EC6001"/>
    <w:rsid w:val="00EC61E5"/>
    <w:rsid w:val="00EC63BD"/>
    <w:rsid w:val="00EC6533"/>
    <w:rsid w:val="00EC6654"/>
    <w:rsid w:val="00EC67A3"/>
    <w:rsid w:val="00EC6FC0"/>
    <w:rsid w:val="00EC7EEF"/>
    <w:rsid w:val="00ED0D0F"/>
    <w:rsid w:val="00ED0E87"/>
    <w:rsid w:val="00ED1037"/>
    <w:rsid w:val="00ED11BA"/>
    <w:rsid w:val="00ED1575"/>
    <w:rsid w:val="00ED1764"/>
    <w:rsid w:val="00ED19B7"/>
    <w:rsid w:val="00ED200B"/>
    <w:rsid w:val="00ED2520"/>
    <w:rsid w:val="00ED2E03"/>
    <w:rsid w:val="00ED2E12"/>
    <w:rsid w:val="00ED3C62"/>
    <w:rsid w:val="00ED3EDC"/>
    <w:rsid w:val="00ED4F03"/>
    <w:rsid w:val="00ED52B2"/>
    <w:rsid w:val="00ED54B4"/>
    <w:rsid w:val="00ED552A"/>
    <w:rsid w:val="00ED56DC"/>
    <w:rsid w:val="00ED6F74"/>
    <w:rsid w:val="00ED7038"/>
    <w:rsid w:val="00ED76DC"/>
    <w:rsid w:val="00ED7D19"/>
    <w:rsid w:val="00ED7F87"/>
    <w:rsid w:val="00EE094E"/>
    <w:rsid w:val="00EE0ADC"/>
    <w:rsid w:val="00EE173D"/>
    <w:rsid w:val="00EE1BE8"/>
    <w:rsid w:val="00EE231A"/>
    <w:rsid w:val="00EE24D6"/>
    <w:rsid w:val="00EE289F"/>
    <w:rsid w:val="00EE2B04"/>
    <w:rsid w:val="00EE3626"/>
    <w:rsid w:val="00EE3B13"/>
    <w:rsid w:val="00EE424C"/>
    <w:rsid w:val="00EE59C6"/>
    <w:rsid w:val="00EE69B9"/>
    <w:rsid w:val="00EE75E5"/>
    <w:rsid w:val="00EE76C8"/>
    <w:rsid w:val="00EF0066"/>
    <w:rsid w:val="00EF14B9"/>
    <w:rsid w:val="00EF1864"/>
    <w:rsid w:val="00EF26B4"/>
    <w:rsid w:val="00EF2732"/>
    <w:rsid w:val="00EF2A9D"/>
    <w:rsid w:val="00EF2BB9"/>
    <w:rsid w:val="00EF3131"/>
    <w:rsid w:val="00EF33BF"/>
    <w:rsid w:val="00EF41F1"/>
    <w:rsid w:val="00EF491E"/>
    <w:rsid w:val="00EF50F3"/>
    <w:rsid w:val="00EF5D14"/>
    <w:rsid w:val="00EF6828"/>
    <w:rsid w:val="00EF6E6D"/>
    <w:rsid w:val="00EF6EAC"/>
    <w:rsid w:val="00EF775A"/>
    <w:rsid w:val="00EF7A66"/>
    <w:rsid w:val="00EF7D2B"/>
    <w:rsid w:val="00F00020"/>
    <w:rsid w:val="00F00B05"/>
    <w:rsid w:val="00F00DA4"/>
    <w:rsid w:val="00F01A7F"/>
    <w:rsid w:val="00F0227A"/>
    <w:rsid w:val="00F02E36"/>
    <w:rsid w:val="00F03426"/>
    <w:rsid w:val="00F036BA"/>
    <w:rsid w:val="00F036E9"/>
    <w:rsid w:val="00F03C4D"/>
    <w:rsid w:val="00F03CE3"/>
    <w:rsid w:val="00F04655"/>
    <w:rsid w:val="00F04707"/>
    <w:rsid w:val="00F04ACD"/>
    <w:rsid w:val="00F04D5B"/>
    <w:rsid w:val="00F04E23"/>
    <w:rsid w:val="00F0536F"/>
    <w:rsid w:val="00F0539D"/>
    <w:rsid w:val="00F0571B"/>
    <w:rsid w:val="00F062AE"/>
    <w:rsid w:val="00F0635E"/>
    <w:rsid w:val="00F071CC"/>
    <w:rsid w:val="00F07867"/>
    <w:rsid w:val="00F10181"/>
    <w:rsid w:val="00F107A8"/>
    <w:rsid w:val="00F10F01"/>
    <w:rsid w:val="00F110F6"/>
    <w:rsid w:val="00F111F9"/>
    <w:rsid w:val="00F115DB"/>
    <w:rsid w:val="00F11D6E"/>
    <w:rsid w:val="00F122E7"/>
    <w:rsid w:val="00F135FA"/>
    <w:rsid w:val="00F13671"/>
    <w:rsid w:val="00F13D28"/>
    <w:rsid w:val="00F1428B"/>
    <w:rsid w:val="00F14BA7"/>
    <w:rsid w:val="00F152B2"/>
    <w:rsid w:val="00F15343"/>
    <w:rsid w:val="00F1567A"/>
    <w:rsid w:val="00F15DE4"/>
    <w:rsid w:val="00F16949"/>
    <w:rsid w:val="00F16D8C"/>
    <w:rsid w:val="00F177AD"/>
    <w:rsid w:val="00F17C72"/>
    <w:rsid w:val="00F17D2D"/>
    <w:rsid w:val="00F201D4"/>
    <w:rsid w:val="00F20894"/>
    <w:rsid w:val="00F20D29"/>
    <w:rsid w:val="00F20D34"/>
    <w:rsid w:val="00F2115A"/>
    <w:rsid w:val="00F22383"/>
    <w:rsid w:val="00F2241D"/>
    <w:rsid w:val="00F22AEB"/>
    <w:rsid w:val="00F22AFE"/>
    <w:rsid w:val="00F22BCA"/>
    <w:rsid w:val="00F23754"/>
    <w:rsid w:val="00F237A4"/>
    <w:rsid w:val="00F23E6B"/>
    <w:rsid w:val="00F23F6D"/>
    <w:rsid w:val="00F24087"/>
    <w:rsid w:val="00F24334"/>
    <w:rsid w:val="00F243A3"/>
    <w:rsid w:val="00F243AE"/>
    <w:rsid w:val="00F24A5E"/>
    <w:rsid w:val="00F250A9"/>
    <w:rsid w:val="00F25B4F"/>
    <w:rsid w:val="00F265F6"/>
    <w:rsid w:val="00F26653"/>
    <w:rsid w:val="00F27291"/>
    <w:rsid w:val="00F2770C"/>
    <w:rsid w:val="00F3016B"/>
    <w:rsid w:val="00F30CB6"/>
    <w:rsid w:val="00F31113"/>
    <w:rsid w:val="00F311A3"/>
    <w:rsid w:val="00F314C0"/>
    <w:rsid w:val="00F314D3"/>
    <w:rsid w:val="00F31ABF"/>
    <w:rsid w:val="00F31D20"/>
    <w:rsid w:val="00F31E5C"/>
    <w:rsid w:val="00F31EE7"/>
    <w:rsid w:val="00F32084"/>
    <w:rsid w:val="00F32457"/>
    <w:rsid w:val="00F32541"/>
    <w:rsid w:val="00F3254D"/>
    <w:rsid w:val="00F32569"/>
    <w:rsid w:val="00F32D1C"/>
    <w:rsid w:val="00F33889"/>
    <w:rsid w:val="00F33B34"/>
    <w:rsid w:val="00F347C0"/>
    <w:rsid w:val="00F34B11"/>
    <w:rsid w:val="00F351D3"/>
    <w:rsid w:val="00F357FA"/>
    <w:rsid w:val="00F35C22"/>
    <w:rsid w:val="00F364B2"/>
    <w:rsid w:val="00F377FB"/>
    <w:rsid w:val="00F37FE3"/>
    <w:rsid w:val="00F40306"/>
    <w:rsid w:val="00F40663"/>
    <w:rsid w:val="00F41337"/>
    <w:rsid w:val="00F4140B"/>
    <w:rsid w:val="00F41940"/>
    <w:rsid w:val="00F433FB"/>
    <w:rsid w:val="00F43AF6"/>
    <w:rsid w:val="00F43E13"/>
    <w:rsid w:val="00F44405"/>
    <w:rsid w:val="00F44796"/>
    <w:rsid w:val="00F44C14"/>
    <w:rsid w:val="00F44D8E"/>
    <w:rsid w:val="00F45DCD"/>
    <w:rsid w:val="00F461AD"/>
    <w:rsid w:val="00F46255"/>
    <w:rsid w:val="00F478ED"/>
    <w:rsid w:val="00F47DC5"/>
    <w:rsid w:val="00F505DA"/>
    <w:rsid w:val="00F50665"/>
    <w:rsid w:val="00F50A23"/>
    <w:rsid w:val="00F50E9F"/>
    <w:rsid w:val="00F51174"/>
    <w:rsid w:val="00F51883"/>
    <w:rsid w:val="00F518F3"/>
    <w:rsid w:val="00F5367B"/>
    <w:rsid w:val="00F539D9"/>
    <w:rsid w:val="00F53B3B"/>
    <w:rsid w:val="00F542AC"/>
    <w:rsid w:val="00F54B12"/>
    <w:rsid w:val="00F55403"/>
    <w:rsid w:val="00F55934"/>
    <w:rsid w:val="00F559BB"/>
    <w:rsid w:val="00F5608F"/>
    <w:rsid w:val="00F560B9"/>
    <w:rsid w:val="00F579FF"/>
    <w:rsid w:val="00F6027C"/>
    <w:rsid w:val="00F60415"/>
    <w:rsid w:val="00F60DAD"/>
    <w:rsid w:val="00F60DE0"/>
    <w:rsid w:val="00F61271"/>
    <w:rsid w:val="00F617DE"/>
    <w:rsid w:val="00F61846"/>
    <w:rsid w:val="00F6194D"/>
    <w:rsid w:val="00F61F8E"/>
    <w:rsid w:val="00F61FFA"/>
    <w:rsid w:val="00F620EC"/>
    <w:rsid w:val="00F62233"/>
    <w:rsid w:val="00F6251B"/>
    <w:rsid w:val="00F626C6"/>
    <w:rsid w:val="00F62CF6"/>
    <w:rsid w:val="00F63405"/>
    <w:rsid w:val="00F63C7A"/>
    <w:rsid w:val="00F64156"/>
    <w:rsid w:val="00F65706"/>
    <w:rsid w:val="00F6576A"/>
    <w:rsid w:val="00F65925"/>
    <w:rsid w:val="00F6658A"/>
    <w:rsid w:val="00F66924"/>
    <w:rsid w:val="00F66F13"/>
    <w:rsid w:val="00F66FA6"/>
    <w:rsid w:val="00F67BD1"/>
    <w:rsid w:val="00F67C59"/>
    <w:rsid w:val="00F70293"/>
    <w:rsid w:val="00F708A1"/>
    <w:rsid w:val="00F70C8A"/>
    <w:rsid w:val="00F71087"/>
    <w:rsid w:val="00F71242"/>
    <w:rsid w:val="00F717FF"/>
    <w:rsid w:val="00F71A3F"/>
    <w:rsid w:val="00F71C01"/>
    <w:rsid w:val="00F721AC"/>
    <w:rsid w:val="00F7246A"/>
    <w:rsid w:val="00F731E5"/>
    <w:rsid w:val="00F73A04"/>
    <w:rsid w:val="00F73ECA"/>
    <w:rsid w:val="00F743A3"/>
    <w:rsid w:val="00F74A72"/>
    <w:rsid w:val="00F74DE7"/>
    <w:rsid w:val="00F74E5A"/>
    <w:rsid w:val="00F751B6"/>
    <w:rsid w:val="00F76A83"/>
    <w:rsid w:val="00F774C8"/>
    <w:rsid w:val="00F802C8"/>
    <w:rsid w:val="00F813B4"/>
    <w:rsid w:val="00F81D96"/>
    <w:rsid w:val="00F81F18"/>
    <w:rsid w:val="00F826E7"/>
    <w:rsid w:val="00F827AA"/>
    <w:rsid w:val="00F82C6C"/>
    <w:rsid w:val="00F83978"/>
    <w:rsid w:val="00F83ED3"/>
    <w:rsid w:val="00F83F3F"/>
    <w:rsid w:val="00F83FE2"/>
    <w:rsid w:val="00F840B9"/>
    <w:rsid w:val="00F857B4"/>
    <w:rsid w:val="00F85C14"/>
    <w:rsid w:val="00F85C44"/>
    <w:rsid w:val="00F85F4D"/>
    <w:rsid w:val="00F86002"/>
    <w:rsid w:val="00F86371"/>
    <w:rsid w:val="00F86648"/>
    <w:rsid w:val="00F86C88"/>
    <w:rsid w:val="00F86D13"/>
    <w:rsid w:val="00F86DBB"/>
    <w:rsid w:val="00F87027"/>
    <w:rsid w:val="00F874B8"/>
    <w:rsid w:val="00F87535"/>
    <w:rsid w:val="00F877A0"/>
    <w:rsid w:val="00F90859"/>
    <w:rsid w:val="00F916C9"/>
    <w:rsid w:val="00F91915"/>
    <w:rsid w:val="00F91D8C"/>
    <w:rsid w:val="00F921C0"/>
    <w:rsid w:val="00F92282"/>
    <w:rsid w:val="00F931F5"/>
    <w:rsid w:val="00F932FB"/>
    <w:rsid w:val="00F9337A"/>
    <w:rsid w:val="00F9347F"/>
    <w:rsid w:val="00F944B3"/>
    <w:rsid w:val="00F94D65"/>
    <w:rsid w:val="00F9549D"/>
    <w:rsid w:val="00F95724"/>
    <w:rsid w:val="00F960B1"/>
    <w:rsid w:val="00F962B4"/>
    <w:rsid w:val="00F96358"/>
    <w:rsid w:val="00F96CF3"/>
    <w:rsid w:val="00F972B0"/>
    <w:rsid w:val="00F976BA"/>
    <w:rsid w:val="00FA0210"/>
    <w:rsid w:val="00FA08D8"/>
    <w:rsid w:val="00FA2500"/>
    <w:rsid w:val="00FA2BF8"/>
    <w:rsid w:val="00FA32FF"/>
    <w:rsid w:val="00FA381D"/>
    <w:rsid w:val="00FA3AA3"/>
    <w:rsid w:val="00FA3D00"/>
    <w:rsid w:val="00FA4324"/>
    <w:rsid w:val="00FA4C1F"/>
    <w:rsid w:val="00FA538C"/>
    <w:rsid w:val="00FA5C2C"/>
    <w:rsid w:val="00FA5D62"/>
    <w:rsid w:val="00FA5FDE"/>
    <w:rsid w:val="00FA6040"/>
    <w:rsid w:val="00FA6293"/>
    <w:rsid w:val="00FA6373"/>
    <w:rsid w:val="00FA66EA"/>
    <w:rsid w:val="00FA686A"/>
    <w:rsid w:val="00FA6C96"/>
    <w:rsid w:val="00FA7214"/>
    <w:rsid w:val="00FA7547"/>
    <w:rsid w:val="00FB00F7"/>
    <w:rsid w:val="00FB08CC"/>
    <w:rsid w:val="00FB1304"/>
    <w:rsid w:val="00FB1514"/>
    <w:rsid w:val="00FB1AF1"/>
    <w:rsid w:val="00FB333E"/>
    <w:rsid w:val="00FB3686"/>
    <w:rsid w:val="00FB3958"/>
    <w:rsid w:val="00FB3CD7"/>
    <w:rsid w:val="00FB3FD6"/>
    <w:rsid w:val="00FB4545"/>
    <w:rsid w:val="00FB478F"/>
    <w:rsid w:val="00FB4AA0"/>
    <w:rsid w:val="00FB4B89"/>
    <w:rsid w:val="00FB5045"/>
    <w:rsid w:val="00FB56BD"/>
    <w:rsid w:val="00FB578C"/>
    <w:rsid w:val="00FB58BB"/>
    <w:rsid w:val="00FB597D"/>
    <w:rsid w:val="00FB5AF9"/>
    <w:rsid w:val="00FB634D"/>
    <w:rsid w:val="00FB642B"/>
    <w:rsid w:val="00FB6695"/>
    <w:rsid w:val="00FB66D9"/>
    <w:rsid w:val="00FB74E5"/>
    <w:rsid w:val="00FC05C1"/>
    <w:rsid w:val="00FC0A0F"/>
    <w:rsid w:val="00FC0D59"/>
    <w:rsid w:val="00FC13B1"/>
    <w:rsid w:val="00FC1673"/>
    <w:rsid w:val="00FC1A3D"/>
    <w:rsid w:val="00FC1A5C"/>
    <w:rsid w:val="00FC1C53"/>
    <w:rsid w:val="00FC1D2A"/>
    <w:rsid w:val="00FC2B88"/>
    <w:rsid w:val="00FC2D03"/>
    <w:rsid w:val="00FC2D4C"/>
    <w:rsid w:val="00FC39EA"/>
    <w:rsid w:val="00FC469C"/>
    <w:rsid w:val="00FC473D"/>
    <w:rsid w:val="00FC4943"/>
    <w:rsid w:val="00FC49E0"/>
    <w:rsid w:val="00FC4AA6"/>
    <w:rsid w:val="00FC559A"/>
    <w:rsid w:val="00FC56B8"/>
    <w:rsid w:val="00FC5CFE"/>
    <w:rsid w:val="00FC60B8"/>
    <w:rsid w:val="00FC6DE6"/>
    <w:rsid w:val="00FC6E48"/>
    <w:rsid w:val="00FD0A9D"/>
    <w:rsid w:val="00FD0A9E"/>
    <w:rsid w:val="00FD0F14"/>
    <w:rsid w:val="00FD15AF"/>
    <w:rsid w:val="00FD17DE"/>
    <w:rsid w:val="00FD2F1A"/>
    <w:rsid w:val="00FD3053"/>
    <w:rsid w:val="00FD3715"/>
    <w:rsid w:val="00FD37D0"/>
    <w:rsid w:val="00FD3DE0"/>
    <w:rsid w:val="00FD3FA0"/>
    <w:rsid w:val="00FD440C"/>
    <w:rsid w:val="00FD4EC8"/>
    <w:rsid w:val="00FD556D"/>
    <w:rsid w:val="00FD5684"/>
    <w:rsid w:val="00FD5E81"/>
    <w:rsid w:val="00FD5FF0"/>
    <w:rsid w:val="00FD60B6"/>
    <w:rsid w:val="00FD6616"/>
    <w:rsid w:val="00FD7F01"/>
    <w:rsid w:val="00FD7F02"/>
    <w:rsid w:val="00FE0775"/>
    <w:rsid w:val="00FE0F88"/>
    <w:rsid w:val="00FE1470"/>
    <w:rsid w:val="00FE1A47"/>
    <w:rsid w:val="00FE1D5C"/>
    <w:rsid w:val="00FE1F10"/>
    <w:rsid w:val="00FE2400"/>
    <w:rsid w:val="00FE2C02"/>
    <w:rsid w:val="00FE3782"/>
    <w:rsid w:val="00FE3A6A"/>
    <w:rsid w:val="00FE3AC5"/>
    <w:rsid w:val="00FE413B"/>
    <w:rsid w:val="00FE44CF"/>
    <w:rsid w:val="00FE4721"/>
    <w:rsid w:val="00FE4D2A"/>
    <w:rsid w:val="00FE4FA0"/>
    <w:rsid w:val="00FE4FD0"/>
    <w:rsid w:val="00FE5051"/>
    <w:rsid w:val="00FE53DC"/>
    <w:rsid w:val="00FE566B"/>
    <w:rsid w:val="00FE5839"/>
    <w:rsid w:val="00FE5B58"/>
    <w:rsid w:val="00FE6DE2"/>
    <w:rsid w:val="00FE6E80"/>
    <w:rsid w:val="00FF02E4"/>
    <w:rsid w:val="00FF0677"/>
    <w:rsid w:val="00FF0DA9"/>
    <w:rsid w:val="00FF10F1"/>
    <w:rsid w:val="00FF2986"/>
    <w:rsid w:val="00FF2F3F"/>
    <w:rsid w:val="00FF3209"/>
    <w:rsid w:val="00FF3A63"/>
    <w:rsid w:val="00FF4902"/>
    <w:rsid w:val="00FF524A"/>
    <w:rsid w:val="00FF524F"/>
    <w:rsid w:val="00FF58A5"/>
    <w:rsid w:val="00FF58F3"/>
    <w:rsid w:val="00FF5AA4"/>
    <w:rsid w:val="00FF6251"/>
    <w:rsid w:val="00FF6A5E"/>
    <w:rsid w:val="00FF7151"/>
    <w:rsid w:val="00FF7523"/>
    <w:rsid w:val="00FF7B13"/>
    <w:rsid w:val="00FF7C29"/>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99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paragraph" w:styleId="Heading2">
    <w:name w:val="heading 2"/>
    <w:basedOn w:val="Normal"/>
    <w:next w:val="Normal"/>
    <w:link w:val="Heading2Char"/>
    <w:uiPriority w:val="9"/>
    <w:semiHidden/>
    <w:unhideWhenUsed/>
    <w:rsid w:val="005E248F"/>
    <w:pPr>
      <w:keepNext/>
      <w:keepLines/>
      <w:spacing w:before="200"/>
      <w:jc w:val="both"/>
      <w:outlineLvl w:val="1"/>
    </w:pPr>
    <w:rPr>
      <w:rFonts w:asciiTheme="majorHAnsi" w:eastAsiaTheme="majorEastAsia" w:hAnsiTheme="majorHAnsi" w:cstheme="majorBidi"/>
      <w:b/>
      <w:bCs/>
      <w:color w:val="4F81BD" w:themeColor="accent1"/>
      <w:sz w:val="26"/>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table" w:styleId="TableGrid">
    <w:name w:val="Table Grid"/>
    <w:basedOn w:val="TableNormal"/>
    <w:uiPriority w:val="59"/>
    <w:rsid w:val="003240B6"/>
    <w:rPr>
      <w:rFonts w:ascii="Times New Roman" w:hAnsi="Times New Roman"/>
      <w:sz w:val="24"/>
      <w:szCs w:val="24"/>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CCLsocOtherPartySeparator">
    <w:name w:val="SCC.Lsoc.OtherPartySeparator"/>
    <w:basedOn w:val="Normal"/>
    <w:next w:val="Normal"/>
    <w:link w:val="SCCLsocOtherPartySeparatorChar"/>
    <w:rsid w:val="00537F74"/>
    <w:pPr>
      <w:jc w:val="both"/>
    </w:pPr>
    <w:rPr>
      <w:rFonts w:eastAsiaTheme="minorHAnsi" w:cstheme="minorBidi"/>
      <w:b/>
      <w:szCs w:val="22"/>
      <w:lang w:val="fr-CA"/>
    </w:rPr>
  </w:style>
  <w:style w:type="character" w:customStyle="1" w:styleId="SCCLsocOtherPartySeparatorChar">
    <w:name w:val="SCC.Lsoc.OtherPartySeparator Char"/>
    <w:basedOn w:val="DefaultParagraphFont"/>
    <w:link w:val="SCCLsocOtherPartySeparator"/>
    <w:rsid w:val="00537F74"/>
    <w:rPr>
      <w:rFonts w:ascii="Times New Roman" w:eastAsiaTheme="minorHAnsi" w:hAnsi="Times New Roman" w:cstheme="minorBidi"/>
      <w:b/>
      <w:sz w:val="24"/>
      <w:szCs w:val="22"/>
      <w:lang w:val="fr-CA"/>
    </w:rPr>
  </w:style>
  <w:style w:type="paragraph" w:customStyle="1" w:styleId="mainparagraph1">
    <w:name w:val="mainparagraph1"/>
    <w:basedOn w:val="Normal"/>
    <w:rsid w:val="00537F74"/>
    <w:pPr>
      <w:spacing w:after="240"/>
      <w:ind w:left="720" w:hanging="720"/>
      <w:jc w:val="both"/>
    </w:pPr>
    <w:rPr>
      <w:szCs w:val="24"/>
    </w:rPr>
  </w:style>
  <w:style w:type="paragraph" w:customStyle="1" w:styleId="aparanumbering1">
    <w:name w:val="aparanumbering1"/>
    <w:basedOn w:val="Normal"/>
    <w:rsid w:val="00537F74"/>
    <w:pPr>
      <w:spacing w:before="120" w:after="120"/>
      <w:jc w:val="both"/>
    </w:pPr>
    <w:rPr>
      <w:rFonts w:ascii="Arial" w:hAnsi="Arial" w:cs="Arial"/>
      <w:sz w:val="26"/>
      <w:szCs w:val="26"/>
    </w:rPr>
  </w:style>
  <w:style w:type="paragraph" w:customStyle="1" w:styleId="number1">
    <w:name w:val="number1"/>
    <w:basedOn w:val="Normal"/>
    <w:rsid w:val="00FE413B"/>
    <w:pPr>
      <w:jc w:val="both"/>
    </w:pPr>
    <w:rPr>
      <w:rFonts w:ascii="Tahoma" w:hAnsi="Tahoma" w:cs="Tahoma"/>
      <w:szCs w:val="24"/>
    </w:rPr>
  </w:style>
  <w:style w:type="character" w:customStyle="1" w:styleId="reflex3-block">
    <w:name w:val="reflex3-block"/>
    <w:basedOn w:val="DefaultParagraphFont"/>
    <w:rsid w:val="00FE413B"/>
  </w:style>
  <w:style w:type="character" w:customStyle="1" w:styleId="reflex3-alt">
    <w:name w:val="reflex3-alt"/>
    <w:basedOn w:val="DefaultParagraphFont"/>
    <w:rsid w:val="00FE413B"/>
  </w:style>
  <w:style w:type="paragraph" w:customStyle="1" w:styleId="scjnumber1">
    <w:name w:val="scjnumber1"/>
    <w:basedOn w:val="Normal"/>
    <w:rsid w:val="00CA32B5"/>
    <w:pPr>
      <w:spacing w:after="240"/>
    </w:pPr>
    <w:rPr>
      <w:rFonts w:ascii="Arial" w:hAnsi="Arial" w:cs="Arial"/>
      <w:szCs w:val="24"/>
    </w:rPr>
  </w:style>
  <w:style w:type="character" w:customStyle="1" w:styleId="reflex">
    <w:name w:val="reflex"/>
    <w:basedOn w:val="DefaultParagraphFont"/>
    <w:rsid w:val="00E85588"/>
  </w:style>
  <w:style w:type="paragraph" w:customStyle="1" w:styleId="paragraphe">
    <w:name w:val="paragraphe"/>
    <w:basedOn w:val="Normal"/>
    <w:rsid w:val="007A38B8"/>
    <w:pPr>
      <w:spacing w:before="100" w:beforeAutospacing="1" w:after="100" w:afterAutospacing="1"/>
    </w:pPr>
    <w:rPr>
      <w:szCs w:val="24"/>
    </w:rPr>
  </w:style>
  <w:style w:type="character" w:customStyle="1" w:styleId="nowrap">
    <w:name w:val="nowrap"/>
    <w:basedOn w:val="DefaultParagraphFont"/>
    <w:rsid w:val="007A38B8"/>
  </w:style>
  <w:style w:type="paragraph" w:customStyle="1" w:styleId="SCCLsocSubfileSeparator">
    <w:name w:val="SCC.Lsoc.SubfileSeparator"/>
    <w:basedOn w:val="Normal"/>
    <w:next w:val="Normal"/>
    <w:link w:val="SCCLsocSubfileSeparatorChar"/>
    <w:rsid w:val="003F6190"/>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3F6190"/>
    <w:rPr>
      <w:rFonts w:ascii="Times New Roman" w:eastAsiaTheme="minorHAnsi" w:hAnsi="Times New Roman"/>
      <w:b/>
      <w:sz w:val="24"/>
      <w:szCs w:val="24"/>
      <w:lang w:val="en-CA"/>
    </w:rPr>
  </w:style>
  <w:style w:type="paragraph" w:customStyle="1" w:styleId="s3">
    <w:name w:val="s3"/>
    <w:basedOn w:val="Normal"/>
    <w:rsid w:val="00B328CA"/>
    <w:pPr>
      <w:spacing w:before="100" w:beforeAutospacing="1" w:after="100" w:afterAutospacing="1"/>
    </w:pPr>
    <w:rPr>
      <w:rFonts w:eastAsiaTheme="minorHAnsi"/>
      <w:szCs w:val="24"/>
    </w:rPr>
  </w:style>
  <w:style w:type="character" w:customStyle="1" w:styleId="s4">
    <w:name w:val="s4"/>
    <w:basedOn w:val="DefaultParagraphFont"/>
    <w:rsid w:val="00B328CA"/>
  </w:style>
  <w:style w:type="character" w:customStyle="1" w:styleId="s5">
    <w:name w:val="s5"/>
    <w:basedOn w:val="DefaultParagraphFont"/>
    <w:rsid w:val="00B328CA"/>
  </w:style>
  <w:style w:type="paragraph" w:customStyle="1" w:styleId="paragraphenumrot">
    <w:name w:val="paragraphenumrot"/>
    <w:basedOn w:val="Normal"/>
    <w:rsid w:val="001E2AA6"/>
    <w:pPr>
      <w:spacing w:before="100" w:beforeAutospacing="1" w:after="100" w:afterAutospacing="1"/>
    </w:pPr>
    <w:rPr>
      <w:szCs w:val="24"/>
    </w:rPr>
  </w:style>
  <w:style w:type="paragraph" w:customStyle="1" w:styleId="paragnum">
    <w:name w:val="paragnum"/>
    <w:basedOn w:val="Normal"/>
    <w:rsid w:val="0098760C"/>
    <w:pPr>
      <w:spacing w:before="100" w:beforeAutospacing="1" w:after="100" w:afterAutospacing="1"/>
    </w:pPr>
    <w:rPr>
      <w:szCs w:val="24"/>
    </w:rPr>
  </w:style>
  <w:style w:type="character" w:customStyle="1" w:styleId="sh3135415119">
    <w:name w:val="sh_3135415119"/>
    <w:basedOn w:val="DefaultParagraphFont"/>
    <w:rsid w:val="00843613"/>
  </w:style>
  <w:style w:type="character" w:styleId="Emphasis">
    <w:name w:val="Emphasis"/>
    <w:basedOn w:val="DefaultParagraphFont"/>
    <w:uiPriority w:val="20"/>
    <w:qFormat/>
    <w:rsid w:val="0039120F"/>
    <w:rPr>
      <w:i/>
      <w:iCs/>
    </w:rPr>
  </w:style>
  <w:style w:type="paragraph" w:customStyle="1" w:styleId="aparanumbering">
    <w:name w:val="aparanumbering"/>
    <w:basedOn w:val="Normal"/>
    <w:rsid w:val="002E6084"/>
    <w:pPr>
      <w:spacing w:before="100" w:beforeAutospacing="1" w:after="100" w:afterAutospacing="1"/>
    </w:pPr>
    <w:rPr>
      <w:szCs w:val="24"/>
    </w:rPr>
  </w:style>
  <w:style w:type="character" w:customStyle="1" w:styleId="citationcar">
    <w:name w:val="citationcar"/>
    <w:basedOn w:val="DefaultParagraphFont"/>
    <w:rsid w:val="00314899"/>
  </w:style>
  <w:style w:type="paragraph" w:customStyle="1" w:styleId="scjnumber">
    <w:name w:val="scjnumber"/>
    <w:basedOn w:val="Normal"/>
    <w:rsid w:val="006509AD"/>
    <w:pPr>
      <w:spacing w:before="100" w:beforeAutospacing="1" w:after="100" w:afterAutospacing="1"/>
    </w:pPr>
    <w:rPr>
      <w:szCs w:val="24"/>
    </w:rPr>
  </w:style>
  <w:style w:type="paragraph" w:customStyle="1" w:styleId="body">
    <w:name w:val="body"/>
    <w:basedOn w:val="Normal"/>
    <w:rsid w:val="002A4053"/>
    <w:pPr>
      <w:spacing w:before="100" w:beforeAutospacing="1" w:after="100" w:afterAutospacing="1"/>
    </w:pPr>
    <w:rPr>
      <w:szCs w:val="24"/>
    </w:rPr>
  </w:style>
  <w:style w:type="paragraph" w:customStyle="1" w:styleId="lib15result">
    <w:name w:val="lib15result"/>
    <w:basedOn w:val="Normal"/>
    <w:rsid w:val="002A4053"/>
    <w:pPr>
      <w:spacing w:before="100" w:beforeAutospacing="1" w:after="100" w:afterAutospacing="1"/>
    </w:pPr>
    <w:rPr>
      <w:szCs w:val="24"/>
    </w:rPr>
  </w:style>
  <w:style w:type="character" w:customStyle="1" w:styleId="reflex2-link">
    <w:name w:val="reflex2-link"/>
    <w:basedOn w:val="DefaultParagraphFont"/>
    <w:rsid w:val="00E864F0"/>
  </w:style>
  <w:style w:type="paragraph" w:customStyle="1" w:styleId="mainparagraph">
    <w:name w:val="mainparagraph"/>
    <w:basedOn w:val="Normal"/>
    <w:rsid w:val="00E864F0"/>
    <w:pPr>
      <w:spacing w:before="100" w:beforeAutospacing="1" w:after="100" w:afterAutospacing="1"/>
    </w:pPr>
    <w:rPr>
      <w:szCs w:val="24"/>
    </w:rPr>
  </w:style>
  <w:style w:type="character" w:customStyle="1" w:styleId="Heading2Char">
    <w:name w:val="Heading 2 Char"/>
    <w:basedOn w:val="DefaultParagraphFont"/>
    <w:link w:val="Heading2"/>
    <w:uiPriority w:val="9"/>
    <w:semiHidden/>
    <w:rsid w:val="005E248F"/>
    <w:rPr>
      <w:rFonts w:asciiTheme="majorHAnsi" w:eastAsiaTheme="majorEastAsia" w:hAnsiTheme="majorHAnsi" w:cstheme="majorBidi"/>
      <w:b/>
      <w:bCs/>
      <w:color w:val="4F81BD" w:themeColor="accent1"/>
      <w:sz w:val="26"/>
      <w:szCs w:val="26"/>
      <w:lang w:val="en-CA"/>
    </w:rPr>
  </w:style>
  <w:style w:type="character" w:customStyle="1" w:styleId="definedtermlink">
    <w:name w:val="definedtermlink"/>
    <w:basedOn w:val="DefaultParagraphFont"/>
    <w:rsid w:val="005E248F"/>
    <w:rPr>
      <w:i/>
      <w:iCs/>
    </w:rPr>
  </w:style>
  <w:style w:type="paragraph" w:customStyle="1" w:styleId="stylecause-citation">
    <w:name w:val="stylecause-citation"/>
    <w:basedOn w:val="Normal"/>
    <w:rsid w:val="00E62C75"/>
    <w:pPr>
      <w:spacing w:before="100" w:beforeAutospacing="1" w:after="100" w:afterAutospacing="1"/>
    </w:pPr>
    <w:rPr>
      <w:szCs w:val="24"/>
    </w:rPr>
  </w:style>
  <w:style w:type="character" w:styleId="IntenseEmphasis">
    <w:name w:val="Intense Emphasis"/>
    <w:basedOn w:val="DefaultParagraphFont"/>
    <w:uiPriority w:val="21"/>
    <w:qFormat/>
    <w:rsid w:val="003140ED"/>
    <w:rPr>
      <w:i/>
      <w:iCs/>
      <w:color w:val="4F81BD" w:themeColor="accent1"/>
    </w:rPr>
  </w:style>
  <w:style w:type="character" w:customStyle="1" w:styleId="sccrespondentforindexchar">
    <w:name w:val="sccrespondentforindexchar"/>
    <w:basedOn w:val="DefaultParagraphFont"/>
    <w:rsid w:val="00C915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66611507">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7543389">
      <w:bodyDiv w:val="1"/>
      <w:marLeft w:val="0"/>
      <w:marRight w:val="0"/>
      <w:marTop w:val="0"/>
      <w:marBottom w:val="0"/>
      <w:divBdr>
        <w:top w:val="none" w:sz="0" w:space="0" w:color="auto"/>
        <w:left w:val="none" w:sz="0" w:space="0" w:color="auto"/>
        <w:bottom w:val="none" w:sz="0" w:space="0" w:color="auto"/>
        <w:right w:val="none" w:sz="0" w:space="0" w:color="auto"/>
      </w:divBdr>
      <w:divsChild>
        <w:div w:id="1837987795">
          <w:marLeft w:val="0"/>
          <w:marRight w:val="0"/>
          <w:marTop w:val="0"/>
          <w:marBottom w:val="0"/>
          <w:divBdr>
            <w:top w:val="none" w:sz="0" w:space="0" w:color="auto"/>
            <w:left w:val="none" w:sz="0" w:space="0" w:color="auto"/>
            <w:bottom w:val="none" w:sz="0" w:space="0" w:color="auto"/>
            <w:right w:val="none" w:sz="0" w:space="0" w:color="auto"/>
          </w:divBdr>
          <w:divsChild>
            <w:div w:id="1328560028">
              <w:marLeft w:val="-225"/>
              <w:marRight w:val="-225"/>
              <w:marTop w:val="0"/>
              <w:marBottom w:val="0"/>
              <w:divBdr>
                <w:top w:val="none" w:sz="0" w:space="0" w:color="auto"/>
                <w:left w:val="none" w:sz="0" w:space="0" w:color="auto"/>
                <w:bottom w:val="none" w:sz="0" w:space="0" w:color="auto"/>
                <w:right w:val="none" w:sz="0" w:space="0" w:color="auto"/>
              </w:divBdr>
              <w:divsChild>
                <w:div w:id="981228292">
                  <w:marLeft w:val="0"/>
                  <w:marRight w:val="0"/>
                  <w:marTop w:val="0"/>
                  <w:marBottom w:val="0"/>
                  <w:divBdr>
                    <w:top w:val="none" w:sz="0" w:space="0" w:color="auto"/>
                    <w:left w:val="none" w:sz="0" w:space="0" w:color="auto"/>
                    <w:bottom w:val="none" w:sz="0" w:space="0" w:color="auto"/>
                    <w:right w:val="none" w:sz="0" w:space="0" w:color="auto"/>
                  </w:divBdr>
                  <w:divsChild>
                    <w:div w:id="2108845742">
                      <w:marLeft w:val="0"/>
                      <w:marRight w:val="0"/>
                      <w:marTop w:val="0"/>
                      <w:marBottom w:val="0"/>
                      <w:divBdr>
                        <w:top w:val="none" w:sz="0" w:space="0" w:color="auto"/>
                        <w:left w:val="none" w:sz="0" w:space="0" w:color="auto"/>
                        <w:bottom w:val="none" w:sz="0" w:space="0" w:color="auto"/>
                        <w:right w:val="none" w:sz="0" w:space="0" w:color="auto"/>
                      </w:divBdr>
                      <w:divsChild>
                        <w:div w:id="658730996">
                          <w:marLeft w:val="0"/>
                          <w:marRight w:val="0"/>
                          <w:marTop w:val="225"/>
                          <w:marBottom w:val="0"/>
                          <w:divBdr>
                            <w:top w:val="none" w:sz="0" w:space="0" w:color="auto"/>
                            <w:left w:val="none" w:sz="0" w:space="0" w:color="auto"/>
                            <w:bottom w:val="none" w:sz="0" w:space="0" w:color="auto"/>
                            <w:right w:val="none" w:sz="0" w:space="0" w:color="auto"/>
                          </w:divBdr>
                          <w:divsChild>
                            <w:div w:id="692267055">
                              <w:marLeft w:val="0"/>
                              <w:marRight w:val="0"/>
                              <w:marTop w:val="0"/>
                              <w:marBottom w:val="0"/>
                              <w:divBdr>
                                <w:top w:val="none" w:sz="0" w:space="0" w:color="auto"/>
                                <w:left w:val="none" w:sz="0" w:space="0" w:color="auto"/>
                                <w:bottom w:val="none" w:sz="0" w:space="0" w:color="auto"/>
                                <w:right w:val="none" w:sz="0" w:space="0" w:color="auto"/>
                              </w:divBdr>
                            </w:div>
                            <w:div w:id="77000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27494801">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27291651">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498548245">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5501231">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4494205">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04565714">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34837469">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eng.aspx?cas=39826" TargetMode="External"/><Relationship Id="rId13" Type="http://schemas.openxmlformats.org/officeDocument/2006/relationships/hyperlink" Target="https://www.scc-csc.ca/case-dossier/info/sum-som-eng.aspx?cas=39831" TargetMode="External"/><Relationship Id="rId18" Type="http://schemas.openxmlformats.org/officeDocument/2006/relationships/hyperlink" Target="https://www.canlii.org/en/bc/bcca/doc/2021/2021bcca267/2021bcca267.html?resultIndex=1" TargetMode="External"/><Relationship Id="rId26" Type="http://schemas.openxmlformats.org/officeDocument/2006/relationships/hyperlink" Target="https://www.canlii.org/fr/qc/qccq/doc/2020/2020qccq3252/2020qccq3252.html?resultIndex=1"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canlii.ca/t/jfx8p" TargetMode="External"/><Relationship Id="rId34" Type="http://schemas.openxmlformats.org/officeDocument/2006/relationships/hyperlink" Target="https://www.canlii.org/en/on/onsc/doc/2019/2019onsc4434/2019onsc4434.html" TargetMode="External"/><Relationship Id="rId42"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scc-csc.ca/case-dossier/info/sum-som-eng.aspx?cas=39704" TargetMode="External"/><Relationship Id="rId17" Type="http://schemas.openxmlformats.org/officeDocument/2006/relationships/hyperlink" Target="https://canlii.ca/t/jg923" TargetMode="External"/><Relationship Id="rId25" Type="http://schemas.openxmlformats.org/officeDocument/2006/relationships/hyperlink" Target="https://www.canlii.org/fr/qc/qccq/doc/2020/2020qccq2209/2020qccq2209.html" TargetMode="External"/><Relationship Id="rId33" Type="http://schemas.openxmlformats.org/officeDocument/2006/relationships/hyperlink" Target="https://www.canlii.org/en/on/onca/doc/2021/2021onca426/2021onca426.html"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canlii.ca/t/j2dsx" TargetMode="External"/><Relationship Id="rId20" Type="http://schemas.openxmlformats.org/officeDocument/2006/relationships/hyperlink" Target="https://canlii.ca/t/jfx8p" TargetMode="External"/><Relationship Id="rId29" Type="http://schemas.openxmlformats.org/officeDocument/2006/relationships/hyperlink" Target="https://canlii.ca/t/jf72h"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fra.aspx?cas=39642" TargetMode="External"/><Relationship Id="rId24" Type="http://schemas.openxmlformats.org/officeDocument/2006/relationships/hyperlink" Target="https://www.canlii.org/fr/qc/qcca/doc/2021/2021qcca328/2021qcca328.html?resultIndex=1" TargetMode="External"/><Relationship Id="rId32" Type="http://schemas.openxmlformats.org/officeDocument/2006/relationships/hyperlink" Target="https://www.canlii.org/en/on/onsc/doc/2019/2019onsc4434/2019onsc4434.html"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canlii.ca/t/jg923" TargetMode="External"/><Relationship Id="rId23" Type="http://schemas.openxmlformats.org/officeDocument/2006/relationships/hyperlink" Target="https://www.canlii.org/fr/qc/qccq/doc/2020/2020qccq3252/2020qccq3252.html?resultIndex=1" TargetMode="External"/><Relationship Id="rId28" Type="http://schemas.openxmlformats.org/officeDocument/2006/relationships/hyperlink" Target="https://canlii.ca/t/hx740" TargetMode="External"/><Relationship Id="rId36" Type="http://schemas.openxmlformats.org/officeDocument/2006/relationships/hyperlink" Target="mailto:comments-commentaires@scc-csc.ca" TargetMode="External"/><Relationship Id="rId10" Type="http://schemas.openxmlformats.org/officeDocument/2006/relationships/hyperlink" Target="https://www.scc-csc.ca/case-dossier/info/sum-som-eng.aspx?cas=39676" TargetMode="External"/><Relationship Id="rId19" Type="http://schemas.openxmlformats.org/officeDocument/2006/relationships/hyperlink" Target="https://www.canlii.org/en/bc/bcca/doc/2021/2021bcca267/2021bcca267.html?resultIndex=1" TargetMode="External"/><Relationship Id="rId31" Type="http://schemas.openxmlformats.org/officeDocument/2006/relationships/hyperlink" Target="https://canlii.ca/t/jf72h"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cc-csc.ca/case-dossier/info/sum-som-eng.aspx?cas=39850" TargetMode="External"/><Relationship Id="rId14" Type="http://schemas.openxmlformats.org/officeDocument/2006/relationships/hyperlink" Target="https://canlii.ca/t/j2dsx" TargetMode="External"/><Relationship Id="rId22" Type="http://schemas.openxmlformats.org/officeDocument/2006/relationships/hyperlink" Target="https://www.canlii.org/fr/qc/qccq/doc/2020/2020qccq2209/2020qccq2209.html" TargetMode="External"/><Relationship Id="rId27" Type="http://schemas.openxmlformats.org/officeDocument/2006/relationships/hyperlink" Target="https://www.canlii.org/fr/qc/qcca/doc/2021/2021qcca328/2021qcca328.html?resultIndex=1" TargetMode="External"/><Relationship Id="rId30" Type="http://schemas.openxmlformats.org/officeDocument/2006/relationships/hyperlink" Target="https://canlii.ca/t/hx740" TargetMode="External"/><Relationship Id="rId35" Type="http://schemas.openxmlformats.org/officeDocument/2006/relationships/hyperlink" Target="https://www.canlii.org/en/on/onca/doc/2021/2021onca426/2021onca426.html"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CE0343-C4B1-42C0-AE79-E8D871F31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5575</Words>
  <Characters>31779</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37280</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2019-12-17T19:10:00Z</dcterms:created>
  <dcterms:modified xsi:type="dcterms:W3CDTF">2022-01-31T13:47:00Z</dcterms:modified>
</cp:coreProperties>
</file>