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A006D" w:rsidRDefault="000E391F" w:rsidP="000E391F">
      <w:pPr>
        <w:pStyle w:val="Header"/>
        <w:jc w:val="center"/>
        <w:rPr>
          <w:b/>
          <w:sz w:val="32"/>
        </w:rPr>
      </w:pPr>
      <w:r w:rsidRPr="008A006D">
        <w:rPr>
          <w:b/>
          <w:sz w:val="32"/>
        </w:rPr>
        <w:t>Supreme Court of Canada / Cour suprême du Canada</w:t>
      </w:r>
    </w:p>
    <w:p w:rsidR="000E391F" w:rsidRPr="008A006D" w:rsidRDefault="000E391F" w:rsidP="000E391F">
      <w:pPr>
        <w:widowControl w:val="0"/>
      </w:pPr>
    </w:p>
    <w:p w:rsidR="000E391F" w:rsidRPr="008A006D" w:rsidRDefault="000E391F" w:rsidP="000E391F">
      <w:pPr>
        <w:widowControl w:val="0"/>
        <w:rPr>
          <w:i/>
        </w:rPr>
      </w:pPr>
    </w:p>
    <w:p w:rsidR="006F2579" w:rsidRPr="008A006D" w:rsidRDefault="006F2579" w:rsidP="006F2579">
      <w:pPr>
        <w:widowControl w:val="0"/>
        <w:rPr>
          <w:i/>
          <w:sz w:val="20"/>
        </w:rPr>
      </w:pPr>
      <w:r w:rsidRPr="008A006D">
        <w:rPr>
          <w:i/>
          <w:sz w:val="20"/>
        </w:rPr>
        <w:t>(</w:t>
      </w:r>
      <w:r w:rsidR="003240B6" w:rsidRPr="008A006D">
        <w:rPr>
          <w:i/>
          <w:sz w:val="20"/>
        </w:rPr>
        <w:t>L</w:t>
      </w:r>
      <w:r w:rsidRPr="008A006D">
        <w:rPr>
          <w:i/>
          <w:sz w:val="20"/>
        </w:rPr>
        <w:t>e français suit)</w:t>
      </w:r>
    </w:p>
    <w:p w:rsidR="006F2579" w:rsidRPr="008A006D" w:rsidRDefault="006F2579" w:rsidP="006F2579">
      <w:pPr>
        <w:widowControl w:val="0"/>
      </w:pPr>
    </w:p>
    <w:p w:rsidR="006F2579" w:rsidRPr="008A006D" w:rsidRDefault="00B07908" w:rsidP="006F2579">
      <w:pPr>
        <w:widowControl w:val="0"/>
        <w:jc w:val="center"/>
        <w:rPr>
          <w:b/>
        </w:rPr>
      </w:pPr>
      <w:r w:rsidRPr="008A006D">
        <w:fldChar w:fldCharType="begin"/>
      </w:r>
      <w:r w:rsidR="006F2579" w:rsidRPr="008A006D">
        <w:instrText xml:space="preserve"> SEQ CHAPTER \h \r 1</w:instrText>
      </w:r>
      <w:r w:rsidRPr="008A006D">
        <w:fldChar w:fldCharType="end"/>
      </w:r>
      <w:r w:rsidR="006F2579" w:rsidRPr="008A006D">
        <w:rPr>
          <w:b/>
        </w:rPr>
        <w:t>JUDGMENT</w:t>
      </w:r>
      <w:r w:rsidR="00B17AAC" w:rsidRPr="008A006D">
        <w:rPr>
          <w:b/>
        </w:rPr>
        <w:t>S</w:t>
      </w:r>
      <w:r w:rsidR="006F2579" w:rsidRPr="008A006D">
        <w:rPr>
          <w:b/>
        </w:rPr>
        <w:t xml:space="preserve"> TO B</w:t>
      </w:r>
      <w:r w:rsidR="00001846" w:rsidRPr="008A006D">
        <w:rPr>
          <w:b/>
        </w:rPr>
        <w:t>E RENDERED IN LE</w:t>
      </w:r>
      <w:r w:rsidR="00A0288A" w:rsidRPr="008A006D">
        <w:rPr>
          <w:b/>
        </w:rPr>
        <w:t>A</w:t>
      </w:r>
      <w:r w:rsidR="00001846" w:rsidRPr="008A006D">
        <w:rPr>
          <w:b/>
        </w:rPr>
        <w:t>VE APPLICATION</w:t>
      </w:r>
      <w:r w:rsidR="00511288" w:rsidRPr="008A006D">
        <w:rPr>
          <w:b/>
        </w:rPr>
        <w:t>S</w:t>
      </w:r>
    </w:p>
    <w:p w:rsidR="006F2579" w:rsidRPr="008A006D" w:rsidRDefault="006F2579" w:rsidP="006F2579">
      <w:pPr>
        <w:widowControl w:val="0"/>
      </w:pPr>
    </w:p>
    <w:p w:rsidR="006F2579" w:rsidRPr="008A006D" w:rsidRDefault="00873756" w:rsidP="006F2579">
      <w:pPr>
        <w:widowControl w:val="0"/>
      </w:pPr>
      <w:r w:rsidRPr="008A006D">
        <w:rPr>
          <w:b/>
        </w:rPr>
        <w:t>February</w:t>
      </w:r>
      <w:r w:rsidR="00A15B66" w:rsidRPr="008A006D">
        <w:rPr>
          <w:b/>
        </w:rPr>
        <w:t xml:space="preserve"> </w:t>
      </w:r>
      <w:r w:rsidRPr="008A006D">
        <w:rPr>
          <w:b/>
        </w:rPr>
        <w:t>7</w:t>
      </w:r>
      <w:r w:rsidR="004441C7" w:rsidRPr="008A006D">
        <w:rPr>
          <w:b/>
        </w:rPr>
        <w:t>,</w:t>
      </w:r>
      <w:r w:rsidR="006F2579" w:rsidRPr="008A006D">
        <w:rPr>
          <w:b/>
        </w:rPr>
        <w:t xml:space="preserve"> </w:t>
      </w:r>
      <w:r w:rsidR="0054689F" w:rsidRPr="008A006D">
        <w:rPr>
          <w:b/>
        </w:rPr>
        <w:t>20</w:t>
      </w:r>
      <w:r w:rsidR="00526754" w:rsidRPr="008A006D">
        <w:rPr>
          <w:b/>
        </w:rPr>
        <w:t>2</w:t>
      </w:r>
      <w:r w:rsidR="00644008" w:rsidRPr="008A006D">
        <w:rPr>
          <w:b/>
        </w:rPr>
        <w:t>2</w:t>
      </w:r>
    </w:p>
    <w:p w:rsidR="006F2579" w:rsidRPr="008A006D" w:rsidRDefault="00674F39" w:rsidP="006F2579">
      <w:pPr>
        <w:widowControl w:val="0"/>
        <w:rPr>
          <w:b/>
        </w:rPr>
      </w:pPr>
      <w:r w:rsidRPr="008A006D">
        <w:rPr>
          <w:b/>
        </w:rPr>
        <w:t>For immediate release</w:t>
      </w:r>
    </w:p>
    <w:p w:rsidR="006F2579" w:rsidRPr="008A006D" w:rsidRDefault="006F2579" w:rsidP="006F2579">
      <w:pPr>
        <w:widowControl w:val="0"/>
      </w:pPr>
    </w:p>
    <w:p w:rsidR="006F2579" w:rsidRPr="008A006D" w:rsidRDefault="006F2579" w:rsidP="006F2579">
      <w:pPr>
        <w:widowControl w:val="0"/>
        <w:rPr>
          <w:lang w:val="fr-CA"/>
        </w:rPr>
      </w:pPr>
      <w:r w:rsidRPr="008A006D">
        <w:rPr>
          <w:b/>
        </w:rPr>
        <w:t>OTTAWA</w:t>
      </w:r>
      <w:r w:rsidRPr="008A006D">
        <w:t xml:space="preserve"> – The Supreme Court of Canad</w:t>
      </w:r>
      <w:r w:rsidR="006246E4" w:rsidRPr="008A006D">
        <w:t>a</w:t>
      </w:r>
      <w:r w:rsidRPr="008A006D">
        <w:t xml:space="preserve"> announced today that judgment in the following </w:t>
      </w:r>
      <w:r w:rsidR="00DB6199" w:rsidRPr="008A006D">
        <w:t xml:space="preserve">leave applications </w:t>
      </w:r>
      <w:r w:rsidRPr="008A006D">
        <w:t>will be delivere</w:t>
      </w:r>
      <w:r w:rsidR="00CE2C5F" w:rsidRPr="008A006D">
        <w:t>d</w:t>
      </w:r>
      <w:r w:rsidRPr="008A006D">
        <w:t xml:space="preserve"> at 9:45 a.m. </w:t>
      </w:r>
      <w:r w:rsidR="00E05816" w:rsidRPr="008A006D">
        <w:t>E</w:t>
      </w:r>
      <w:r w:rsidR="006D4676" w:rsidRPr="008A006D">
        <w:t>S</w:t>
      </w:r>
      <w:r w:rsidR="00E05816" w:rsidRPr="008A006D">
        <w:t>T</w:t>
      </w:r>
      <w:r w:rsidRPr="008A006D">
        <w:t xml:space="preserve"> on </w:t>
      </w:r>
      <w:r w:rsidR="00322A9C" w:rsidRPr="008A006D">
        <w:t>Thurs</w:t>
      </w:r>
      <w:r w:rsidR="00680A85" w:rsidRPr="008A006D">
        <w:t>day</w:t>
      </w:r>
      <w:r w:rsidRPr="008A006D">
        <w:t xml:space="preserve">, </w:t>
      </w:r>
      <w:r w:rsidR="009E4C19" w:rsidRPr="008A006D">
        <w:t>February</w:t>
      </w:r>
      <w:r w:rsidR="00455912" w:rsidRPr="008A006D">
        <w:t xml:space="preserve"> </w:t>
      </w:r>
      <w:r w:rsidR="00873756" w:rsidRPr="008A006D">
        <w:t>10</w:t>
      </w:r>
      <w:r w:rsidR="007E112F" w:rsidRPr="008A006D">
        <w:t>,</w:t>
      </w:r>
      <w:r w:rsidR="002F38D7" w:rsidRPr="008A006D">
        <w:t xml:space="preserve"> </w:t>
      </w:r>
      <w:r w:rsidR="006648D1" w:rsidRPr="008A006D">
        <w:t>20</w:t>
      </w:r>
      <w:r w:rsidR="00526754" w:rsidRPr="008A006D">
        <w:t>2</w:t>
      </w:r>
      <w:r w:rsidR="00644008" w:rsidRPr="008A006D">
        <w:t>2</w:t>
      </w:r>
      <w:r w:rsidRPr="008A006D">
        <w:t xml:space="preserve">. </w:t>
      </w:r>
      <w:r w:rsidRPr="008A006D">
        <w:rPr>
          <w:lang w:val="fr-CA"/>
        </w:rPr>
        <w:t>This list is subject to chang</w:t>
      </w:r>
      <w:r w:rsidR="00192F7F" w:rsidRPr="008A006D">
        <w:rPr>
          <w:lang w:val="fr-CA"/>
        </w:rPr>
        <w:t>e</w:t>
      </w:r>
      <w:r w:rsidRPr="008A006D">
        <w:rPr>
          <w:lang w:val="fr-CA"/>
        </w:rPr>
        <w:t>.</w:t>
      </w:r>
    </w:p>
    <w:p w:rsidR="00FF5AA4" w:rsidRPr="008A006D" w:rsidRDefault="00FF5AA4" w:rsidP="006F2579">
      <w:pPr>
        <w:widowControl w:val="0"/>
        <w:rPr>
          <w:lang w:val="fr-CA"/>
        </w:rPr>
      </w:pPr>
    </w:p>
    <w:p w:rsidR="00B43418" w:rsidRPr="008A006D" w:rsidRDefault="00B43418" w:rsidP="006F2579">
      <w:pPr>
        <w:widowControl w:val="0"/>
        <w:rPr>
          <w:lang w:val="fr-CA"/>
        </w:rPr>
      </w:pPr>
    </w:p>
    <w:p w:rsidR="006F2579" w:rsidRPr="008A006D" w:rsidRDefault="006F2579" w:rsidP="006F2579">
      <w:pPr>
        <w:widowControl w:val="0"/>
        <w:jc w:val="center"/>
        <w:rPr>
          <w:lang w:val="fr-CA"/>
        </w:rPr>
      </w:pPr>
      <w:r w:rsidRPr="008A006D">
        <w:rPr>
          <w:b/>
          <w:lang w:val="fr-CA"/>
        </w:rPr>
        <w:t>PROCHAIN</w:t>
      </w:r>
      <w:r w:rsidR="00B17AAC" w:rsidRPr="008A006D">
        <w:rPr>
          <w:b/>
          <w:lang w:val="fr-CA"/>
        </w:rPr>
        <w:t>S</w:t>
      </w:r>
      <w:r w:rsidRPr="008A006D">
        <w:rPr>
          <w:b/>
          <w:lang w:val="fr-CA"/>
        </w:rPr>
        <w:t xml:space="preserve"> JUGEMENT</w:t>
      </w:r>
      <w:r w:rsidR="00B17AAC" w:rsidRPr="008A006D">
        <w:rPr>
          <w:b/>
          <w:lang w:val="fr-CA"/>
        </w:rPr>
        <w:t>S</w:t>
      </w:r>
      <w:r w:rsidR="00001846" w:rsidRPr="008A006D">
        <w:rPr>
          <w:b/>
          <w:lang w:val="fr-CA"/>
        </w:rPr>
        <w:t xml:space="preserve"> SUR DEMANDE</w:t>
      </w:r>
      <w:r w:rsidR="00B17AAC" w:rsidRPr="008A006D">
        <w:rPr>
          <w:b/>
          <w:lang w:val="fr-CA"/>
        </w:rPr>
        <w:t>S</w:t>
      </w:r>
      <w:r w:rsidRPr="008A006D">
        <w:rPr>
          <w:b/>
          <w:lang w:val="fr-CA"/>
        </w:rPr>
        <w:t xml:space="preserve"> D’AUTORISATION</w:t>
      </w:r>
    </w:p>
    <w:p w:rsidR="006F2579" w:rsidRPr="008A006D" w:rsidRDefault="006F2579" w:rsidP="006F2579">
      <w:pPr>
        <w:widowControl w:val="0"/>
        <w:rPr>
          <w:lang w:val="fr-CA"/>
        </w:rPr>
      </w:pPr>
    </w:p>
    <w:p w:rsidR="006F2579" w:rsidRPr="008A006D" w:rsidRDefault="006F2579" w:rsidP="006F2579">
      <w:pPr>
        <w:widowControl w:val="0"/>
        <w:rPr>
          <w:lang w:val="fr-CA"/>
        </w:rPr>
      </w:pPr>
      <w:r w:rsidRPr="008A006D">
        <w:rPr>
          <w:b/>
          <w:lang w:val="fr-CA"/>
        </w:rPr>
        <w:t>Le</w:t>
      </w:r>
      <w:r w:rsidR="00957A76" w:rsidRPr="008A006D">
        <w:rPr>
          <w:b/>
          <w:lang w:val="fr-CA"/>
        </w:rPr>
        <w:t xml:space="preserve"> </w:t>
      </w:r>
      <w:r w:rsidR="00873756" w:rsidRPr="008A006D">
        <w:rPr>
          <w:b/>
          <w:lang w:val="fr-CA"/>
        </w:rPr>
        <w:t>7</w:t>
      </w:r>
      <w:r w:rsidR="00075EC0" w:rsidRPr="008A006D">
        <w:rPr>
          <w:b/>
          <w:lang w:val="fr-CA"/>
        </w:rPr>
        <w:t xml:space="preserve"> </w:t>
      </w:r>
      <w:r w:rsidR="00873756" w:rsidRPr="008A006D">
        <w:rPr>
          <w:b/>
          <w:lang w:val="fr-CA"/>
        </w:rPr>
        <w:t>fé</w:t>
      </w:r>
      <w:r w:rsidR="00644008" w:rsidRPr="008A006D">
        <w:rPr>
          <w:b/>
          <w:lang w:val="fr-CA"/>
        </w:rPr>
        <w:t>v</w:t>
      </w:r>
      <w:r w:rsidR="00873756" w:rsidRPr="008A006D">
        <w:rPr>
          <w:b/>
          <w:lang w:val="fr-CA"/>
        </w:rPr>
        <w:t>r</w:t>
      </w:r>
      <w:r w:rsidR="00644008" w:rsidRPr="008A006D">
        <w:rPr>
          <w:b/>
          <w:lang w:val="fr-CA"/>
        </w:rPr>
        <w:t>ier</w:t>
      </w:r>
      <w:r w:rsidR="00A151D1" w:rsidRPr="008A006D">
        <w:rPr>
          <w:b/>
          <w:lang w:val="fr-CA"/>
        </w:rPr>
        <w:t xml:space="preserve"> 20</w:t>
      </w:r>
      <w:r w:rsidR="00526754" w:rsidRPr="008A006D">
        <w:rPr>
          <w:b/>
          <w:lang w:val="fr-CA"/>
        </w:rPr>
        <w:t>2</w:t>
      </w:r>
      <w:r w:rsidR="00644008" w:rsidRPr="008A006D">
        <w:rPr>
          <w:b/>
          <w:lang w:val="fr-CA"/>
        </w:rPr>
        <w:t>2</w:t>
      </w:r>
    </w:p>
    <w:p w:rsidR="006F2579" w:rsidRPr="008A006D" w:rsidRDefault="006F2579" w:rsidP="006F2579">
      <w:pPr>
        <w:widowControl w:val="0"/>
        <w:rPr>
          <w:b/>
          <w:lang w:val="fr-CA"/>
        </w:rPr>
      </w:pPr>
      <w:r w:rsidRPr="008A006D">
        <w:rPr>
          <w:b/>
          <w:lang w:val="fr-CA"/>
        </w:rPr>
        <w:t>Pour diffusion immédiate</w:t>
      </w:r>
    </w:p>
    <w:p w:rsidR="006F2579" w:rsidRPr="008A006D" w:rsidRDefault="006F2579" w:rsidP="006F2579">
      <w:pPr>
        <w:widowControl w:val="0"/>
        <w:rPr>
          <w:lang w:val="fr-CA"/>
        </w:rPr>
      </w:pPr>
    </w:p>
    <w:p w:rsidR="006F2579" w:rsidRPr="008A006D" w:rsidRDefault="006F2579" w:rsidP="006F2579">
      <w:pPr>
        <w:widowControl w:val="0"/>
        <w:rPr>
          <w:lang w:val="fr-CA"/>
        </w:rPr>
      </w:pPr>
      <w:r w:rsidRPr="008A006D">
        <w:rPr>
          <w:b/>
          <w:lang w:val="fr-CA"/>
        </w:rPr>
        <w:t>OTTAWA</w:t>
      </w:r>
      <w:r w:rsidRPr="008A006D">
        <w:rPr>
          <w:lang w:val="fr-CA"/>
        </w:rPr>
        <w:t xml:space="preserve"> – La Cour suprême du Canada annonce que jugement ser</w:t>
      </w:r>
      <w:r w:rsidR="004259F9" w:rsidRPr="008A006D">
        <w:rPr>
          <w:lang w:val="fr-CA"/>
        </w:rPr>
        <w:t>a</w:t>
      </w:r>
      <w:r w:rsidRPr="008A006D">
        <w:rPr>
          <w:lang w:val="fr-CA"/>
        </w:rPr>
        <w:t xml:space="preserve"> rendu dans l</w:t>
      </w:r>
      <w:r w:rsidR="008600ED" w:rsidRPr="008A006D">
        <w:rPr>
          <w:lang w:val="fr-CA"/>
        </w:rPr>
        <w:t>es</w:t>
      </w:r>
      <w:r w:rsidRPr="008A006D">
        <w:rPr>
          <w:lang w:val="fr-CA"/>
        </w:rPr>
        <w:t xml:space="preserve"> demande</w:t>
      </w:r>
      <w:r w:rsidR="008600ED" w:rsidRPr="008A006D">
        <w:rPr>
          <w:lang w:val="fr-CA"/>
        </w:rPr>
        <w:t>s</w:t>
      </w:r>
      <w:r w:rsidRPr="008A006D">
        <w:rPr>
          <w:lang w:val="fr-CA"/>
        </w:rPr>
        <w:t xml:space="preserve"> d</w:t>
      </w:r>
      <w:r w:rsidR="00001846" w:rsidRPr="008A006D">
        <w:rPr>
          <w:lang w:val="fr-CA"/>
        </w:rPr>
        <w:t>’autorisation suivante</w:t>
      </w:r>
      <w:r w:rsidR="008A006D" w:rsidRPr="008A006D">
        <w:rPr>
          <w:lang w:val="fr-CA"/>
        </w:rPr>
        <w:t>s</w:t>
      </w:r>
      <w:r w:rsidRPr="008A006D">
        <w:rPr>
          <w:lang w:val="fr-CA"/>
        </w:rPr>
        <w:t xml:space="preserve"> le </w:t>
      </w:r>
      <w:r w:rsidR="00322A9C" w:rsidRPr="008A006D">
        <w:rPr>
          <w:lang w:val="fr-CA"/>
        </w:rPr>
        <w:t>jeu</w:t>
      </w:r>
      <w:r w:rsidR="00680A85" w:rsidRPr="008A006D">
        <w:rPr>
          <w:lang w:val="fr-CA"/>
        </w:rPr>
        <w:t>di</w:t>
      </w:r>
      <w:r w:rsidRPr="008A006D">
        <w:rPr>
          <w:lang w:val="fr-CA"/>
        </w:rPr>
        <w:t xml:space="preserve"> </w:t>
      </w:r>
      <w:r w:rsidR="00873756" w:rsidRPr="008A006D">
        <w:rPr>
          <w:lang w:val="fr-CA"/>
        </w:rPr>
        <w:t>10</w:t>
      </w:r>
      <w:r w:rsidR="009E0BD3" w:rsidRPr="008A006D">
        <w:rPr>
          <w:lang w:val="fr-CA"/>
        </w:rPr>
        <w:t xml:space="preserve"> </w:t>
      </w:r>
      <w:r w:rsidR="009E4C19" w:rsidRPr="008A006D">
        <w:rPr>
          <w:lang w:val="fr-CA"/>
        </w:rPr>
        <w:t>fé</w:t>
      </w:r>
      <w:r w:rsidR="00644008" w:rsidRPr="008A006D">
        <w:rPr>
          <w:lang w:val="fr-CA"/>
        </w:rPr>
        <w:t>v</w:t>
      </w:r>
      <w:r w:rsidR="009E4C19" w:rsidRPr="008A006D">
        <w:rPr>
          <w:lang w:val="fr-CA"/>
        </w:rPr>
        <w:t>r</w:t>
      </w:r>
      <w:r w:rsidR="00644008" w:rsidRPr="008A006D">
        <w:rPr>
          <w:lang w:val="fr-CA"/>
        </w:rPr>
        <w:t>ier</w:t>
      </w:r>
      <w:r w:rsidR="00694391" w:rsidRPr="008A006D">
        <w:rPr>
          <w:lang w:val="fr-CA"/>
        </w:rPr>
        <w:t xml:space="preserve"> 2</w:t>
      </w:r>
      <w:r w:rsidR="006648D1" w:rsidRPr="008A006D">
        <w:rPr>
          <w:lang w:val="fr-CA"/>
        </w:rPr>
        <w:t>0</w:t>
      </w:r>
      <w:r w:rsidR="00526754" w:rsidRPr="008A006D">
        <w:rPr>
          <w:lang w:val="fr-CA"/>
        </w:rPr>
        <w:t>2</w:t>
      </w:r>
      <w:r w:rsidR="00644008" w:rsidRPr="008A006D">
        <w:rPr>
          <w:lang w:val="fr-CA"/>
        </w:rPr>
        <w:t>2</w:t>
      </w:r>
      <w:r w:rsidRPr="008A006D">
        <w:rPr>
          <w:lang w:val="fr-CA"/>
        </w:rPr>
        <w:t xml:space="preserve">, à 9 h 45 </w:t>
      </w:r>
      <w:r w:rsidR="000627A2" w:rsidRPr="008A006D">
        <w:rPr>
          <w:lang w:val="fr-CA"/>
        </w:rPr>
        <w:t>H</w:t>
      </w:r>
      <w:r w:rsidR="006D4676" w:rsidRPr="008A006D">
        <w:rPr>
          <w:lang w:val="fr-CA"/>
        </w:rPr>
        <w:t>N</w:t>
      </w:r>
      <w:r w:rsidRPr="008A006D">
        <w:rPr>
          <w:lang w:val="fr-CA"/>
        </w:rPr>
        <w:t>E. Cette liste est sujette à modification</w:t>
      </w:r>
      <w:r w:rsidR="00130ADB" w:rsidRPr="008A006D">
        <w:rPr>
          <w:lang w:val="fr-CA"/>
        </w:rPr>
        <w:t>s</w:t>
      </w:r>
      <w:r w:rsidRPr="008A006D">
        <w:rPr>
          <w:lang w:val="fr-CA"/>
        </w:rPr>
        <w:t>.</w:t>
      </w:r>
    </w:p>
    <w:p w:rsidR="0080556B" w:rsidRPr="008A006D" w:rsidRDefault="0080556B" w:rsidP="005F2A78">
      <w:pPr>
        <w:widowControl w:val="0"/>
        <w:tabs>
          <w:tab w:val="left" w:pos="3840"/>
        </w:tabs>
        <w:jc w:val="both"/>
        <w:rPr>
          <w:sz w:val="20"/>
          <w:lang w:val="fr-CA"/>
        </w:rPr>
      </w:pPr>
    </w:p>
    <w:p w:rsidR="00867C61" w:rsidRPr="008A006D" w:rsidRDefault="00D72403" w:rsidP="009B14F4">
      <w:pPr>
        <w:widowControl w:val="0"/>
        <w:jc w:val="both"/>
        <w:rPr>
          <w:sz w:val="20"/>
        </w:rPr>
      </w:pPr>
      <w:r>
        <w:rPr>
          <w:sz w:val="20"/>
        </w:rPr>
        <w:pict>
          <v:rect id="_x0000_i1025" style="width:2in;height:1pt" o:hrpct="0" o:hralign="center" o:hrstd="t" o:hrnoshade="t" o:hr="t" fillcolor="black [3213]" stroked="f"/>
        </w:pict>
      </w:r>
    </w:p>
    <w:p w:rsidR="004A6E51" w:rsidRPr="008A006D" w:rsidRDefault="004A6E51" w:rsidP="0053032E">
      <w:pPr>
        <w:rPr>
          <w:sz w:val="20"/>
          <w:lang w:val="fr-CA"/>
        </w:rPr>
      </w:pPr>
    </w:p>
    <w:p w:rsidR="00126633" w:rsidRPr="008A006D" w:rsidRDefault="00126633" w:rsidP="003B4723">
      <w:pPr>
        <w:pStyle w:val="ListParagraph"/>
        <w:numPr>
          <w:ilvl w:val="0"/>
          <w:numId w:val="38"/>
        </w:numPr>
        <w:tabs>
          <w:tab w:val="left" w:pos="360"/>
        </w:tabs>
        <w:ind w:left="357" w:hanging="357"/>
        <w:rPr>
          <w:rStyle w:val="SCCAppellantInfoAppellantInfoChar"/>
          <w:sz w:val="20"/>
          <w:szCs w:val="20"/>
        </w:rPr>
      </w:pPr>
      <w:r w:rsidRPr="008A006D">
        <w:rPr>
          <w:rStyle w:val="SCCAppellantInfoAppellantInfoChar"/>
          <w:i/>
          <w:sz w:val="20"/>
          <w:szCs w:val="20"/>
        </w:rPr>
        <w:t xml:space="preserve">Odain Gardner v. Her Majesty the Queen </w:t>
      </w:r>
      <w:r w:rsidRPr="008A006D">
        <w:rPr>
          <w:rStyle w:val="SCCAppellantInfoAppellantInfoChar"/>
          <w:sz w:val="20"/>
          <w:szCs w:val="20"/>
        </w:rPr>
        <w:t xml:space="preserve">(Ont.) (Criminal) (By Leave) </w:t>
      </w:r>
      <w:r w:rsidRPr="008A006D">
        <w:rPr>
          <w:rFonts w:eastAsia="Calibri"/>
          <w:sz w:val="20"/>
        </w:rPr>
        <w:t>(</w:t>
      </w:r>
      <w:hyperlink r:id="rId8" w:history="1">
        <w:r w:rsidRPr="008A006D">
          <w:rPr>
            <w:rStyle w:val="Hyperlink"/>
            <w:rFonts w:eastAsia="Calibri"/>
            <w:sz w:val="20"/>
            <w:szCs w:val="20"/>
          </w:rPr>
          <w:t>398</w:t>
        </w:r>
        <w:r w:rsidR="00263F96" w:rsidRPr="008A006D">
          <w:rPr>
            <w:rStyle w:val="Hyperlink"/>
            <w:rFonts w:eastAsia="Calibri"/>
            <w:sz w:val="20"/>
            <w:szCs w:val="20"/>
          </w:rPr>
          <w:t>36</w:t>
        </w:r>
      </w:hyperlink>
      <w:r w:rsidRPr="008A006D">
        <w:rPr>
          <w:rFonts w:eastAsia="Calibri"/>
          <w:sz w:val="20"/>
        </w:rPr>
        <w:t>)</w:t>
      </w:r>
    </w:p>
    <w:p w:rsidR="00126633" w:rsidRPr="008A006D" w:rsidRDefault="00126633" w:rsidP="003B4723">
      <w:pPr>
        <w:tabs>
          <w:tab w:val="left" w:pos="360"/>
        </w:tabs>
        <w:ind w:left="357" w:hanging="357"/>
        <w:rPr>
          <w:sz w:val="20"/>
          <w:lang w:val="en-CA"/>
        </w:rPr>
      </w:pPr>
    </w:p>
    <w:p w:rsidR="00126633" w:rsidRPr="008A006D" w:rsidRDefault="00126633" w:rsidP="003B4723">
      <w:pPr>
        <w:pStyle w:val="ListParagraph"/>
        <w:numPr>
          <w:ilvl w:val="0"/>
          <w:numId w:val="38"/>
        </w:numPr>
        <w:tabs>
          <w:tab w:val="left" w:pos="360"/>
        </w:tabs>
        <w:ind w:left="357" w:hanging="357"/>
        <w:rPr>
          <w:rStyle w:val="SCCAppellantInfoAppellantInfoChar"/>
          <w:sz w:val="20"/>
          <w:szCs w:val="20"/>
          <w:lang w:val="fr-CA"/>
        </w:rPr>
      </w:pPr>
      <w:r w:rsidRPr="008A006D">
        <w:rPr>
          <w:rStyle w:val="SCCAppellantInfoAppellantInfoChar"/>
          <w:i/>
          <w:sz w:val="20"/>
          <w:szCs w:val="20"/>
          <w:lang w:val="fr-CA"/>
        </w:rPr>
        <w:t xml:space="preserve">Gestion RNB Inc. c. URS Corporation, et al. </w:t>
      </w:r>
      <w:r w:rsidR="00263F96" w:rsidRPr="008A006D">
        <w:rPr>
          <w:rStyle w:val="SCCAppellantInfoAppellantInfoChar"/>
          <w:sz w:val="20"/>
          <w:szCs w:val="20"/>
          <w:lang w:val="fr-CA"/>
        </w:rPr>
        <w:t>(Qc) (Civile) (Autorisation)</w:t>
      </w:r>
      <w:r w:rsidRPr="008A006D">
        <w:rPr>
          <w:rStyle w:val="SCCAppellantInfoAppellantInfoChar"/>
          <w:sz w:val="20"/>
          <w:szCs w:val="20"/>
          <w:lang w:val="fr-CA"/>
        </w:rPr>
        <w:t xml:space="preserve"> </w:t>
      </w:r>
      <w:r w:rsidRPr="008A006D">
        <w:rPr>
          <w:rFonts w:eastAsia="Calibri"/>
          <w:sz w:val="20"/>
          <w:lang w:val="fr-CA"/>
        </w:rPr>
        <w:t>(</w:t>
      </w:r>
      <w:hyperlink r:id="rId9" w:history="1">
        <w:r w:rsidRPr="008A006D">
          <w:rPr>
            <w:rStyle w:val="Hyperlink"/>
            <w:rFonts w:eastAsia="Calibri"/>
            <w:sz w:val="20"/>
            <w:szCs w:val="20"/>
            <w:lang w:val="fr-CA"/>
          </w:rPr>
          <w:t>39</w:t>
        </w:r>
        <w:r w:rsidR="00263F96" w:rsidRPr="008A006D">
          <w:rPr>
            <w:rStyle w:val="Hyperlink"/>
            <w:rFonts w:eastAsia="Calibri"/>
            <w:sz w:val="20"/>
            <w:szCs w:val="20"/>
            <w:lang w:val="fr-CA"/>
          </w:rPr>
          <w:t>7</w:t>
        </w:r>
        <w:r w:rsidRPr="008A006D">
          <w:rPr>
            <w:rStyle w:val="Hyperlink"/>
            <w:rFonts w:eastAsia="Calibri"/>
            <w:sz w:val="20"/>
            <w:szCs w:val="20"/>
            <w:lang w:val="fr-CA"/>
          </w:rPr>
          <w:t>8</w:t>
        </w:r>
        <w:r w:rsidR="00263F96" w:rsidRPr="008A006D">
          <w:rPr>
            <w:rStyle w:val="Hyperlink"/>
            <w:rFonts w:eastAsia="Calibri"/>
            <w:sz w:val="20"/>
            <w:szCs w:val="20"/>
            <w:lang w:val="fr-CA"/>
          </w:rPr>
          <w:t>6</w:t>
        </w:r>
      </w:hyperlink>
      <w:r w:rsidRPr="008A006D">
        <w:rPr>
          <w:rFonts w:eastAsia="Calibri"/>
          <w:sz w:val="20"/>
          <w:lang w:val="fr-CA"/>
        </w:rPr>
        <w:t>)</w:t>
      </w:r>
    </w:p>
    <w:p w:rsidR="00126633" w:rsidRPr="008A006D" w:rsidRDefault="00126633" w:rsidP="003B4723">
      <w:pPr>
        <w:tabs>
          <w:tab w:val="left" w:pos="360"/>
        </w:tabs>
        <w:ind w:left="357" w:hanging="357"/>
        <w:rPr>
          <w:rStyle w:val="SCCAppellantInfoAppellantInfoChar"/>
          <w:sz w:val="20"/>
          <w:szCs w:val="20"/>
          <w:lang w:val="fr-CA"/>
        </w:rPr>
      </w:pPr>
    </w:p>
    <w:p w:rsidR="00126633" w:rsidRPr="008A006D" w:rsidRDefault="00126633" w:rsidP="003B4723">
      <w:pPr>
        <w:pStyle w:val="ListParagraph"/>
        <w:numPr>
          <w:ilvl w:val="0"/>
          <w:numId w:val="38"/>
        </w:numPr>
        <w:tabs>
          <w:tab w:val="left" w:pos="360"/>
        </w:tabs>
        <w:ind w:left="357" w:hanging="357"/>
        <w:rPr>
          <w:rStyle w:val="SCCAppellantInfoAppellantInfoChar"/>
          <w:sz w:val="20"/>
          <w:szCs w:val="20"/>
        </w:rPr>
      </w:pPr>
      <w:r w:rsidRPr="008A006D">
        <w:rPr>
          <w:rStyle w:val="SCCAppellantInfoAppellantInfoChar"/>
          <w:i/>
          <w:sz w:val="20"/>
          <w:szCs w:val="20"/>
        </w:rPr>
        <w:t xml:space="preserve">Barry Gerard Hynes v. Sharon Ann Snook </w:t>
      </w:r>
      <w:r w:rsidRPr="008A006D">
        <w:rPr>
          <w:rStyle w:val="SCCAppellantInfoAppellantInfoChar"/>
          <w:sz w:val="20"/>
          <w:szCs w:val="20"/>
        </w:rPr>
        <w:t xml:space="preserve">(N.L.) (Civil) (By Leave) </w:t>
      </w:r>
      <w:r w:rsidRPr="008A006D">
        <w:rPr>
          <w:rFonts w:eastAsia="Calibri"/>
          <w:sz w:val="20"/>
        </w:rPr>
        <w:t>(</w:t>
      </w:r>
      <w:hyperlink r:id="rId10" w:history="1">
        <w:r w:rsidRPr="008A006D">
          <w:rPr>
            <w:rStyle w:val="Hyperlink"/>
            <w:rFonts w:eastAsia="Calibri"/>
            <w:sz w:val="20"/>
            <w:szCs w:val="20"/>
          </w:rPr>
          <w:t>398</w:t>
        </w:r>
        <w:r w:rsidR="00263F96" w:rsidRPr="008A006D">
          <w:rPr>
            <w:rStyle w:val="Hyperlink"/>
            <w:rFonts w:eastAsia="Calibri"/>
            <w:sz w:val="20"/>
            <w:szCs w:val="20"/>
          </w:rPr>
          <w:t>14</w:t>
        </w:r>
      </w:hyperlink>
      <w:r w:rsidRPr="008A006D">
        <w:rPr>
          <w:rFonts w:eastAsia="Calibri"/>
          <w:sz w:val="20"/>
        </w:rPr>
        <w:t>)</w:t>
      </w:r>
    </w:p>
    <w:p w:rsidR="00126633" w:rsidRPr="008A006D" w:rsidRDefault="00126633" w:rsidP="003B4723">
      <w:pPr>
        <w:tabs>
          <w:tab w:val="left" w:pos="360"/>
        </w:tabs>
        <w:ind w:left="357" w:hanging="357"/>
        <w:rPr>
          <w:rStyle w:val="SCCAppellantInfoAppellantInfoChar"/>
          <w:i/>
          <w:sz w:val="20"/>
          <w:szCs w:val="20"/>
        </w:rPr>
      </w:pPr>
    </w:p>
    <w:p w:rsidR="00126633" w:rsidRPr="008A006D" w:rsidRDefault="00126633" w:rsidP="003B4723">
      <w:pPr>
        <w:pStyle w:val="ListParagraph"/>
        <w:numPr>
          <w:ilvl w:val="0"/>
          <w:numId w:val="38"/>
        </w:numPr>
        <w:tabs>
          <w:tab w:val="left" w:pos="360"/>
        </w:tabs>
        <w:ind w:left="357" w:hanging="357"/>
        <w:rPr>
          <w:sz w:val="20"/>
        </w:rPr>
      </w:pPr>
      <w:r w:rsidRPr="008A006D">
        <w:rPr>
          <w:rStyle w:val="SCCAppellantInfoAppellantInfoChar"/>
          <w:i/>
          <w:sz w:val="20"/>
          <w:szCs w:val="20"/>
        </w:rPr>
        <w:t>2312810 Ontario Inc., et al. v. Corporation of the Town of Fort Erie</w:t>
      </w:r>
      <w:r w:rsidRPr="008A006D">
        <w:rPr>
          <w:rStyle w:val="SCCAppellantInfoAppellantInfoChar"/>
          <w:sz w:val="20"/>
          <w:szCs w:val="20"/>
        </w:rPr>
        <w:t xml:space="preserve"> (Ont.) (Civil) (By Leave) </w:t>
      </w:r>
      <w:r w:rsidRPr="008A006D">
        <w:rPr>
          <w:rFonts w:eastAsia="Calibri"/>
          <w:sz w:val="20"/>
        </w:rPr>
        <w:t>(</w:t>
      </w:r>
      <w:hyperlink r:id="rId11" w:history="1">
        <w:r w:rsidRPr="008A006D">
          <w:rPr>
            <w:rStyle w:val="Hyperlink"/>
            <w:rFonts w:eastAsia="Calibri"/>
            <w:sz w:val="20"/>
            <w:szCs w:val="20"/>
          </w:rPr>
          <w:t>3985</w:t>
        </w:r>
        <w:r w:rsidR="00263F96" w:rsidRPr="008A006D">
          <w:rPr>
            <w:rStyle w:val="Hyperlink"/>
            <w:rFonts w:eastAsia="Calibri"/>
            <w:sz w:val="20"/>
            <w:szCs w:val="20"/>
          </w:rPr>
          <w:t>3</w:t>
        </w:r>
      </w:hyperlink>
      <w:r w:rsidRPr="008A006D">
        <w:rPr>
          <w:rFonts w:eastAsia="Calibri"/>
          <w:sz w:val="20"/>
        </w:rPr>
        <w:t>)</w:t>
      </w:r>
    </w:p>
    <w:p w:rsidR="00387DAF" w:rsidRPr="008A006D" w:rsidRDefault="00387DAF" w:rsidP="003B4723">
      <w:pPr>
        <w:ind w:left="357" w:hanging="357"/>
        <w:rPr>
          <w:sz w:val="20"/>
        </w:rPr>
      </w:pPr>
    </w:p>
    <w:p w:rsidR="00B72631" w:rsidRPr="008A006D" w:rsidRDefault="00B72631" w:rsidP="003B4723">
      <w:pPr>
        <w:pStyle w:val="ListParagraph"/>
        <w:numPr>
          <w:ilvl w:val="0"/>
          <w:numId w:val="38"/>
        </w:numPr>
        <w:ind w:left="357" w:hanging="357"/>
        <w:rPr>
          <w:sz w:val="20"/>
          <w:lang w:val="en-CA"/>
        </w:rPr>
      </w:pPr>
      <w:r w:rsidRPr="008A006D">
        <w:rPr>
          <w:i/>
          <w:sz w:val="20"/>
        </w:rPr>
        <w:t xml:space="preserve">Estate of David Bullen v. Her Majesty the Queen </w:t>
      </w:r>
      <w:r w:rsidRPr="008A006D">
        <w:rPr>
          <w:sz w:val="20"/>
        </w:rPr>
        <w:t>(Ont.) (Criminal) (By Leave)</w:t>
      </w:r>
      <w:bookmarkStart w:id="0" w:name="_GoBack"/>
      <w:bookmarkEnd w:id="0"/>
      <w:r w:rsidR="002E2A68" w:rsidRPr="008A006D">
        <w:rPr>
          <w:sz w:val="20"/>
        </w:rPr>
        <w:t xml:space="preserve"> </w:t>
      </w:r>
      <w:r w:rsidR="002E2A68" w:rsidRPr="008A006D">
        <w:rPr>
          <w:rFonts w:eastAsia="Calibri"/>
          <w:sz w:val="20"/>
        </w:rPr>
        <w:t>(</w:t>
      </w:r>
      <w:hyperlink r:id="rId12" w:history="1">
        <w:r w:rsidR="002E2A68" w:rsidRPr="008A006D">
          <w:rPr>
            <w:rStyle w:val="Hyperlink"/>
            <w:rFonts w:eastAsia="Calibri"/>
            <w:sz w:val="20"/>
            <w:szCs w:val="20"/>
          </w:rPr>
          <w:t>3983</w:t>
        </w:r>
        <w:r w:rsidR="002E2A68" w:rsidRPr="008A006D">
          <w:rPr>
            <w:rStyle w:val="Hyperlink"/>
            <w:rFonts w:eastAsia="Calibri"/>
            <w:sz w:val="20"/>
          </w:rPr>
          <w:t>5</w:t>
        </w:r>
      </w:hyperlink>
      <w:r w:rsidR="002E2A68" w:rsidRPr="008A006D">
        <w:rPr>
          <w:rFonts w:eastAsia="Calibri"/>
          <w:sz w:val="20"/>
        </w:rPr>
        <w:t>)</w:t>
      </w:r>
    </w:p>
    <w:p w:rsidR="00B72631" w:rsidRPr="008A006D" w:rsidRDefault="00B72631" w:rsidP="003B4723">
      <w:pPr>
        <w:widowControl w:val="0"/>
        <w:autoSpaceDE w:val="0"/>
        <w:autoSpaceDN w:val="0"/>
        <w:adjustRightInd w:val="0"/>
        <w:ind w:left="357" w:hanging="357"/>
        <w:contextualSpacing/>
        <w:rPr>
          <w:sz w:val="20"/>
          <w:lang w:val="en-CA"/>
        </w:rPr>
      </w:pPr>
    </w:p>
    <w:p w:rsidR="00B72631" w:rsidRPr="008A006D" w:rsidRDefault="00B72631" w:rsidP="003B4723">
      <w:pPr>
        <w:pStyle w:val="ListParagraph"/>
        <w:numPr>
          <w:ilvl w:val="0"/>
          <w:numId w:val="38"/>
        </w:numPr>
        <w:ind w:left="357" w:hanging="357"/>
        <w:rPr>
          <w:sz w:val="20"/>
          <w:szCs w:val="20"/>
          <w:lang w:val="en-CA"/>
        </w:rPr>
      </w:pPr>
      <w:r w:rsidRPr="008A006D">
        <w:rPr>
          <w:i/>
          <w:sz w:val="20"/>
          <w:szCs w:val="20"/>
        </w:rPr>
        <w:t>Helen Rebeyka v. Saskatchewan Government Insurance</w:t>
      </w:r>
      <w:r w:rsidRPr="008A006D">
        <w:rPr>
          <w:sz w:val="20"/>
          <w:szCs w:val="20"/>
        </w:rPr>
        <w:t xml:space="preserve"> (Sask.) (Civil) (By Leave)</w:t>
      </w:r>
      <w:r w:rsidR="002E2A68" w:rsidRPr="008A006D">
        <w:rPr>
          <w:sz w:val="20"/>
        </w:rPr>
        <w:t xml:space="preserve"> </w:t>
      </w:r>
      <w:r w:rsidR="002E2A68" w:rsidRPr="008A006D">
        <w:rPr>
          <w:rFonts w:eastAsia="Calibri"/>
          <w:sz w:val="20"/>
        </w:rPr>
        <w:t>(</w:t>
      </w:r>
      <w:hyperlink r:id="rId13" w:history="1">
        <w:r w:rsidR="002E2A68" w:rsidRPr="008A006D">
          <w:rPr>
            <w:rStyle w:val="Hyperlink"/>
            <w:rFonts w:eastAsia="Calibri"/>
            <w:sz w:val="20"/>
            <w:szCs w:val="20"/>
          </w:rPr>
          <w:t>398</w:t>
        </w:r>
        <w:r w:rsidR="003B4723" w:rsidRPr="008A006D">
          <w:rPr>
            <w:rStyle w:val="Hyperlink"/>
            <w:rFonts w:eastAsia="Calibri"/>
            <w:sz w:val="20"/>
          </w:rPr>
          <w:t>42</w:t>
        </w:r>
      </w:hyperlink>
      <w:r w:rsidR="002E2A68" w:rsidRPr="008A006D">
        <w:rPr>
          <w:rFonts w:eastAsia="Calibri"/>
          <w:sz w:val="20"/>
        </w:rPr>
        <w:t>)</w:t>
      </w:r>
    </w:p>
    <w:p w:rsidR="00B72631" w:rsidRPr="008A006D" w:rsidRDefault="00B72631" w:rsidP="0053032E">
      <w:pPr>
        <w:rPr>
          <w:sz w:val="20"/>
        </w:rPr>
      </w:pPr>
    </w:p>
    <w:p w:rsidR="0057402C" w:rsidRPr="008A006D" w:rsidRDefault="00D72403" w:rsidP="0053032E">
      <w:pPr>
        <w:widowControl w:val="0"/>
        <w:jc w:val="both"/>
        <w:rPr>
          <w:sz w:val="20"/>
        </w:rPr>
      </w:pPr>
      <w:r>
        <w:rPr>
          <w:sz w:val="20"/>
        </w:rPr>
        <w:pict>
          <v:rect id="_x0000_i1026" style="width:2in;height:1pt" o:hrpct="0" o:hralign="center" o:hrstd="t" o:hrnoshade="t" o:hr="t" fillcolor="black [3213]" stroked="f"/>
        </w:pict>
      </w:r>
    </w:p>
    <w:p w:rsidR="00387DAF" w:rsidRPr="008A006D" w:rsidRDefault="00387DAF"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723" w:rsidRPr="008A006D" w:rsidTr="003B4723">
        <w:tc>
          <w:tcPr>
            <w:tcW w:w="543" w:type="pct"/>
          </w:tcPr>
          <w:p w:rsidR="003B4723" w:rsidRPr="008A006D" w:rsidRDefault="003B4723" w:rsidP="003B4723">
            <w:pPr>
              <w:jc w:val="both"/>
              <w:rPr>
                <w:sz w:val="20"/>
              </w:rPr>
            </w:pPr>
            <w:r w:rsidRPr="008A006D">
              <w:rPr>
                <w:rStyle w:val="SCCFileNumberChar"/>
                <w:sz w:val="20"/>
                <w:szCs w:val="20"/>
              </w:rPr>
              <w:t>39836</w:t>
            </w:r>
          </w:p>
        </w:tc>
        <w:tc>
          <w:tcPr>
            <w:tcW w:w="4457" w:type="pct"/>
            <w:gridSpan w:val="3"/>
          </w:tcPr>
          <w:p w:rsidR="003B4723" w:rsidRPr="008A006D" w:rsidRDefault="003B4723" w:rsidP="003B4723">
            <w:pPr>
              <w:pStyle w:val="SCCLsocParty"/>
              <w:jc w:val="both"/>
              <w:rPr>
                <w:b/>
                <w:sz w:val="20"/>
                <w:szCs w:val="20"/>
                <w:lang w:val="en-US"/>
              </w:rPr>
            </w:pPr>
            <w:r w:rsidRPr="008A006D">
              <w:rPr>
                <w:b/>
                <w:sz w:val="20"/>
                <w:szCs w:val="20"/>
                <w:lang w:val="en-US"/>
              </w:rPr>
              <w:t>Odain Gardner v. Her Majesty the Queen</w:t>
            </w:r>
          </w:p>
          <w:p w:rsidR="003B4723" w:rsidRPr="008A006D" w:rsidRDefault="003B4723" w:rsidP="003B4723">
            <w:pPr>
              <w:jc w:val="both"/>
              <w:rPr>
                <w:sz w:val="20"/>
              </w:rPr>
            </w:pPr>
            <w:r w:rsidRPr="008A006D">
              <w:rPr>
                <w:sz w:val="20"/>
              </w:rPr>
              <w:t>(Ont.) (Criminal) (By Leave)</w:t>
            </w:r>
          </w:p>
        </w:tc>
      </w:tr>
      <w:tr w:rsidR="003B4723" w:rsidRPr="008A006D" w:rsidTr="003B4723">
        <w:tc>
          <w:tcPr>
            <w:tcW w:w="5000" w:type="pct"/>
            <w:gridSpan w:val="4"/>
          </w:tcPr>
          <w:p w:rsidR="003B4723" w:rsidRPr="008A006D" w:rsidRDefault="003B4723" w:rsidP="003B4723">
            <w:pPr>
              <w:jc w:val="both"/>
              <w:rPr>
                <w:sz w:val="20"/>
              </w:rPr>
            </w:pPr>
            <w:r w:rsidRPr="008A006D">
              <w:rPr>
                <w:sz w:val="20"/>
              </w:rPr>
              <w:t>Criminal law — Charge to jury — After the fact conduct — Flight — Circular reasoning — Whether an instruction to the jury allowing a shooter’s flight to be used as evidence to infer the accused was the shooter was improper tautological reasoning?</w:t>
            </w:r>
          </w:p>
        </w:tc>
      </w:tr>
      <w:tr w:rsidR="003B4723" w:rsidRPr="008A006D" w:rsidTr="003B4723">
        <w:tc>
          <w:tcPr>
            <w:tcW w:w="5000" w:type="pct"/>
            <w:gridSpan w:val="4"/>
          </w:tcPr>
          <w:p w:rsidR="003B4723" w:rsidRPr="008A006D" w:rsidRDefault="003B4723" w:rsidP="003B4723">
            <w:pPr>
              <w:jc w:val="both"/>
              <w:rPr>
                <w:sz w:val="20"/>
              </w:rPr>
            </w:pPr>
          </w:p>
        </w:tc>
      </w:tr>
      <w:tr w:rsidR="003B4723" w:rsidRPr="008A006D" w:rsidTr="003B4723">
        <w:tc>
          <w:tcPr>
            <w:tcW w:w="5000" w:type="pct"/>
            <w:gridSpan w:val="4"/>
          </w:tcPr>
          <w:p w:rsidR="003B4723" w:rsidRPr="008A006D" w:rsidRDefault="003B4723" w:rsidP="003B4723">
            <w:pPr>
              <w:jc w:val="both"/>
              <w:rPr>
                <w:sz w:val="20"/>
              </w:rPr>
            </w:pPr>
            <w:r w:rsidRPr="008A006D">
              <w:rPr>
                <w:sz w:val="20"/>
              </w:rPr>
              <w:t>Two men were seen fleeing from the scene immediately after a fatal shooting. Mr. Gardner was tried before a jury and the Crown’s theory at trial was that he was the shooter. The jury charge in part directed the jury that they could find that any, all or some of the accused’s flight from the scene was circumstantial evidence that the accused was a participant to the shooting. The jury convicted Mr. Gardner of first degree murder. The Court of Appeal dismissed an appeal.</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May 17, 2018</w:t>
            </w:r>
          </w:p>
          <w:p w:rsidR="003B4723" w:rsidRPr="008A006D" w:rsidRDefault="003B4723" w:rsidP="003B4723">
            <w:pPr>
              <w:jc w:val="both"/>
              <w:rPr>
                <w:sz w:val="20"/>
              </w:rPr>
            </w:pPr>
            <w:r w:rsidRPr="008A006D">
              <w:rPr>
                <w:sz w:val="20"/>
              </w:rPr>
              <w:lastRenderedPageBreak/>
              <w:t>Ontario Superior Court of Justice</w:t>
            </w:r>
          </w:p>
          <w:p w:rsidR="003B4723" w:rsidRPr="008A006D" w:rsidRDefault="003B4723" w:rsidP="003B4723">
            <w:pPr>
              <w:jc w:val="both"/>
              <w:rPr>
                <w:sz w:val="20"/>
              </w:rPr>
            </w:pPr>
            <w:r w:rsidRPr="008A006D">
              <w:rPr>
                <w:sz w:val="20"/>
              </w:rPr>
              <w:t>(Skarica J.)(Unreported)</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Conviction by jury of first degree murder</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lastRenderedPageBreak/>
              <w:t>July 27, 2021</w:t>
            </w:r>
          </w:p>
          <w:p w:rsidR="003B4723" w:rsidRPr="008A006D" w:rsidRDefault="003B4723" w:rsidP="003B4723">
            <w:pPr>
              <w:jc w:val="both"/>
              <w:rPr>
                <w:sz w:val="20"/>
              </w:rPr>
            </w:pPr>
            <w:r w:rsidRPr="008A006D">
              <w:rPr>
                <w:sz w:val="20"/>
              </w:rPr>
              <w:t>Court of Appeal for Ontario</w:t>
            </w:r>
          </w:p>
          <w:p w:rsidR="003B4723" w:rsidRPr="008A006D" w:rsidRDefault="003B4723" w:rsidP="003B4723">
            <w:pPr>
              <w:jc w:val="both"/>
              <w:rPr>
                <w:sz w:val="20"/>
              </w:rPr>
            </w:pPr>
            <w:r w:rsidRPr="008A006D">
              <w:rPr>
                <w:sz w:val="20"/>
              </w:rPr>
              <w:t>(Simmons, Gillese, Huscroft JJ.A.)</w:t>
            </w:r>
          </w:p>
          <w:p w:rsidR="003B4723" w:rsidRPr="008A006D" w:rsidRDefault="00D72403" w:rsidP="003B4723">
            <w:pPr>
              <w:jc w:val="both"/>
              <w:rPr>
                <w:sz w:val="20"/>
              </w:rPr>
            </w:pPr>
            <w:hyperlink r:id="rId14" w:history="1">
              <w:r w:rsidR="003B4723" w:rsidRPr="008A006D">
                <w:rPr>
                  <w:rStyle w:val="Hyperlink"/>
                  <w:sz w:val="20"/>
                </w:rPr>
                <w:t>2021 ONCA 539</w:t>
              </w:r>
            </w:hyperlink>
            <w:r w:rsidR="003B4723" w:rsidRPr="008A006D">
              <w:rPr>
                <w:sz w:val="20"/>
              </w:rPr>
              <w:t>; C67014</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Appeal dismissed</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September 24, 2021</w:t>
            </w:r>
          </w:p>
          <w:p w:rsidR="003B4723" w:rsidRPr="008A006D" w:rsidRDefault="003B4723" w:rsidP="003B4723">
            <w:pPr>
              <w:jc w:val="both"/>
              <w:rPr>
                <w:sz w:val="20"/>
              </w:rPr>
            </w:pPr>
            <w:r w:rsidRPr="008A006D">
              <w:rPr>
                <w:sz w:val="20"/>
              </w:rPr>
              <w:t>Supreme Court of Canada</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Application for leave to appeal filed</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December 10, 2021</w:t>
            </w:r>
          </w:p>
          <w:p w:rsidR="003B4723" w:rsidRPr="008A006D" w:rsidRDefault="003B4723" w:rsidP="003B4723">
            <w:pPr>
              <w:jc w:val="both"/>
              <w:rPr>
                <w:sz w:val="20"/>
              </w:rPr>
            </w:pPr>
            <w:r w:rsidRPr="008A006D">
              <w:rPr>
                <w:sz w:val="20"/>
              </w:rPr>
              <w:t>Supreme Court of Canada</w:t>
            </w: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Motion to appoint counsel</w:t>
            </w:r>
          </w:p>
        </w:tc>
      </w:tr>
    </w:tbl>
    <w:p w:rsidR="003B4723" w:rsidRPr="008A006D" w:rsidRDefault="003B4723" w:rsidP="003B4723">
      <w:pPr>
        <w:jc w:val="both"/>
        <w:rPr>
          <w:sz w:val="20"/>
        </w:rPr>
      </w:pPr>
    </w:p>
    <w:p w:rsidR="00F015F9" w:rsidRPr="008A006D" w:rsidRDefault="00D72403" w:rsidP="003B4723">
      <w:pPr>
        <w:jc w:val="both"/>
        <w:rPr>
          <w:sz w:val="20"/>
        </w:rPr>
      </w:pPr>
      <w:r>
        <w:rPr>
          <w:sz w:val="20"/>
        </w:rPr>
        <w:pict>
          <v:rect id="_x0000_i1027" style="width:2in;height:1pt" o:hrpct="0" o:hralign="center" o:hrstd="t" o:hrnoshade="t" o:hr="t" fillcolor="black [3213]" stroked="f"/>
        </w:pict>
      </w:r>
    </w:p>
    <w:p w:rsidR="00F015F9" w:rsidRPr="008A006D" w:rsidRDefault="00F015F9" w:rsidP="003B47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723" w:rsidRPr="008A006D" w:rsidTr="003B4723">
        <w:tc>
          <w:tcPr>
            <w:tcW w:w="543" w:type="pct"/>
          </w:tcPr>
          <w:p w:rsidR="003B4723" w:rsidRPr="008A006D" w:rsidRDefault="003B4723" w:rsidP="003B4723">
            <w:pPr>
              <w:jc w:val="both"/>
              <w:rPr>
                <w:sz w:val="20"/>
              </w:rPr>
            </w:pPr>
            <w:r w:rsidRPr="008A006D">
              <w:rPr>
                <w:rStyle w:val="SCCFileNumberChar"/>
                <w:sz w:val="20"/>
                <w:szCs w:val="20"/>
              </w:rPr>
              <w:t>39836</w:t>
            </w:r>
          </w:p>
        </w:tc>
        <w:tc>
          <w:tcPr>
            <w:tcW w:w="4457" w:type="pct"/>
            <w:gridSpan w:val="3"/>
          </w:tcPr>
          <w:p w:rsidR="003B4723" w:rsidRPr="008A006D" w:rsidRDefault="003B4723" w:rsidP="003B4723">
            <w:pPr>
              <w:pStyle w:val="SCCLsocParty"/>
              <w:jc w:val="both"/>
              <w:rPr>
                <w:b/>
                <w:sz w:val="20"/>
                <w:szCs w:val="20"/>
              </w:rPr>
            </w:pPr>
            <w:r w:rsidRPr="008A006D">
              <w:rPr>
                <w:b/>
                <w:sz w:val="20"/>
                <w:szCs w:val="20"/>
              </w:rPr>
              <w:t>Odain Gardner c. Sa Majesté la Reine</w:t>
            </w:r>
          </w:p>
          <w:p w:rsidR="003B4723" w:rsidRPr="008A006D" w:rsidRDefault="003B4723" w:rsidP="003B4723">
            <w:pPr>
              <w:jc w:val="both"/>
              <w:rPr>
                <w:sz w:val="20"/>
              </w:rPr>
            </w:pPr>
            <w:r w:rsidRPr="008A006D">
              <w:rPr>
                <w:sz w:val="20"/>
              </w:rPr>
              <w:t>(Ont.) (Criminelle) (Sur autorisation)</w:t>
            </w:r>
          </w:p>
        </w:tc>
      </w:tr>
      <w:tr w:rsidR="003B4723" w:rsidRPr="00D72403" w:rsidTr="003B4723">
        <w:tc>
          <w:tcPr>
            <w:tcW w:w="5000" w:type="pct"/>
            <w:gridSpan w:val="4"/>
          </w:tcPr>
          <w:p w:rsidR="003B4723" w:rsidRPr="008A006D" w:rsidRDefault="003B4723" w:rsidP="003B4723">
            <w:pPr>
              <w:jc w:val="both"/>
              <w:rPr>
                <w:sz w:val="20"/>
                <w:lang w:val="fr-CA"/>
              </w:rPr>
            </w:pPr>
            <w:r w:rsidRPr="008A006D">
              <w:rPr>
                <w:sz w:val="20"/>
                <w:lang w:val="fr-CA"/>
              </w:rPr>
              <w:t>Droit criminel — Exposé au jury — Comportement après le fait — Fuite — Raisonnement circulaire — Une directive au jury autorisant le recours à la fuite d’un tireur comme preuve pour inférer que l’accusé était le tireur constituait</w:t>
            </w:r>
            <w:r w:rsidRPr="008A006D">
              <w:rPr>
                <w:sz w:val="20"/>
                <w:lang w:val="fr-CA"/>
              </w:rPr>
              <w:noBreakHyphen/>
              <w:t>elle un raisonnement tautologique?</w:t>
            </w:r>
          </w:p>
        </w:tc>
      </w:tr>
      <w:tr w:rsidR="003B4723" w:rsidRPr="00D72403" w:rsidTr="003B4723">
        <w:tc>
          <w:tcPr>
            <w:tcW w:w="5000" w:type="pct"/>
            <w:gridSpan w:val="4"/>
          </w:tcPr>
          <w:p w:rsidR="003B4723" w:rsidRPr="008A006D" w:rsidRDefault="003B4723" w:rsidP="003B4723">
            <w:pPr>
              <w:jc w:val="both"/>
              <w:rPr>
                <w:sz w:val="20"/>
                <w:lang w:val="fr-CA"/>
              </w:rPr>
            </w:pPr>
          </w:p>
        </w:tc>
      </w:tr>
      <w:tr w:rsidR="003B4723" w:rsidRPr="008A006D" w:rsidTr="003B4723">
        <w:tc>
          <w:tcPr>
            <w:tcW w:w="5000" w:type="pct"/>
            <w:gridSpan w:val="4"/>
          </w:tcPr>
          <w:p w:rsidR="003B4723" w:rsidRPr="008A006D" w:rsidRDefault="003B4723" w:rsidP="003B4723">
            <w:pPr>
              <w:jc w:val="both"/>
              <w:rPr>
                <w:sz w:val="20"/>
                <w:lang w:val="fr-CA"/>
              </w:rPr>
            </w:pPr>
            <w:r w:rsidRPr="008A006D">
              <w:rPr>
                <w:sz w:val="20"/>
                <w:lang w:val="fr-CA"/>
              </w:rPr>
              <w:t>Deux hommes ont été vus fuyant la scène immédiatement après une fusillade fatale. M. Gardner a subi un procès devant jury et la poursuite y a plaidé qu’il était le tireur. L’exposé au jury indiquait notamment aux jurés qu’ils pouvaient conclure qu’une partie ou la totalité de la fuite de l’accusé de la scène du crime constituait une preuve circonstancielle de la participation de l’accusé à la fusillade. Le jury a déclaré M. Gardner coupable de meurtre au premier degré. La Cour d’appel a rejeté l’appel.</w:t>
            </w:r>
          </w:p>
          <w:p w:rsidR="003B4723" w:rsidRPr="008A006D" w:rsidRDefault="003B4723" w:rsidP="003B4723">
            <w:pPr>
              <w:jc w:val="both"/>
              <w:rPr>
                <w:sz w:val="20"/>
              </w:rPr>
            </w:pPr>
          </w:p>
        </w:tc>
      </w:tr>
      <w:tr w:rsidR="003B4723" w:rsidRPr="00D72403" w:rsidTr="003B4723">
        <w:tc>
          <w:tcPr>
            <w:tcW w:w="2427" w:type="pct"/>
            <w:gridSpan w:val="2"/>
          </w:tcPr>
          <w:p w:rsidR="003B4723" w:rsidRPr="008A006D" w:rsidRDefault="003B4723" w:rsidP="003B4723">
            <w:pPr>
              <w:jc w:val="both"/>
              <w:rPr>
                <w:sz w:val="20"/>
                <w:lang w:val="fr-CA"/>
              </w:rPr>
            </w:pPr>
            <w:r w:rsidRPr="008A006D">
              <w:rPr>
                <w:sz w:val="20"/>
                <w:lang w:val="fr-CA"/>
              </w:rPr>
              <w:t>17 mai 2018</w:t>
            </w:r>
          </w:p>
          <w:p w:rsidR="003B4723" w:rsidRPr="008A006D" w:rsidRDefault="003B4723" w:rsidP="003B4723">
            <w:pPr>
              <w:jc w:val="both"/>
              <w:rPr>
                <w:sz w:val="20"/>
                <w:lang w:val="fr-CA"/>
              </w:rPr>
            </w:pPr>
            <w:r w:rsidRPr="008A006D">
              <w:rPr>
                <w:sz w:val="20"/>
                <w:lang w:val="fr-CA"/>
              </w:rPr>
              <w:t xml:space="preserve">Cour supérieure de justice de l’Ontario </w:t>
            </w:r>
          </w:p>
          <w:p w:rsidR="003B4723" w:rsidRPr="008A006D" w:rsidRDefault="003B4723" w:rsidP="003B4723">
            <w:pPr>
              <w:jc w:val="both"/>
              <w:rPr>
                <w:sz w:val="20"/>
                <w:lang w:val="fr-CA"/>
              </w:rPr>
            </w:pPr>
            <w:r w:rsidRPr="008A006D">
              <w:rPr>
                <w:sz w:val="20"/>
                <w:lang w:val="fr-CA"/>
              </w:rPr>
              <w:t>(Juge Skarica) (Non publié)</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lang w:val="fr-CA"/>
              </w:rPr>
            </w:pPr>
            <w:r w:rsidRPr="008A006D">
              <w:rPr>
                <w:sz w:val="20"/>
                <w:lang w:val="fr-CA"/>
              </w:rPr>
              <w:t xml:space="preserve">Déclaration de culpabilité pour meurtre au premier degré prononcée par le jury </w:t>
            </w:r>
          </w:p>
          <w:p w:rsidR="003B4723" w:rsidRPr="008A006D" w:rsidRDefault="003B4723" w:rsidP="003B4723">
            <w:pPr>
              <w:jc w:val="both"/>
              <w:rPr>
                <w:sz w:val="20"/>
                <w:lang w:val="fr-CA"/>
              </w:rPr>
            </w:pPr>
          </w:p>
          <w:p w:rsidR="003B4723" w:rsidRPr="008A006D" w:rsidRDefault="003B4723" w:rsidP="003B4723">
            <w:pPr>
              <w:jc w:val="both"/>
              <w:rPr>
                <w:sz w:val="20"/>
                <w:lang w:val="fr-CA"/>
              </w:rPr>
            </w:pPr>
          </w:p>
        </w:tc>
      </w:tr>
      <w:tr w:rsidR="003B4723" w:rsidRPr="008A006D" w:rsidTr="003B4723">
        <w:tc>
          <w:tcPr>
            <w:tcW w:w="2427" w:type="pct"/>
            <w:gridSpan w:val="2"/>
          </w:tcPr>
          <w:p w:rsidR="003B4723" w:rsidRPr="008A006D" w:rsidRDefault="003B4723" w:rsidP="003B4723">
            <w:pPr>
              <w:jc w:val="both"/>
              <w:rPr>
                <w:sz w:val="20"/>
                <w:lang w:val="fr-CA"/>
              </w:rPr>
            </w:pPr>
            <w:r w:rsidRPr="008A006D">
              <w:rPr>
                <w:sz w:val="20"/>
                <w:lang w:val="fr-CA"/>
              </w:rPr>
              <w:t>27 juillet 2021</w:t>
            </w:r>
          </w:p>
          <w:p w:rsidR="003B4723" w:rsidRPr="008A006D" w:rsidRDefault="003B4723" w:rsidP="003B4723">
            <w:pPr>
              <w:jc w:val="both"/>
              <w:rPr>
                <w:sz w:val="20"/>
                <w:lang w:val="fr-CA"/>
              </w:rPr>
            </w:pPr>
            <w:r w:rsidRPr="008A006D">
              <w:rPr>
                <w:sz w:val="20"/>
                <w:lang w:val="fr-CA"/>
              </w:rPr>
              <w:t>Cour d’appel de l’Ontario</w:t>
            </w:r>
          </w:p>
          <w:p w:rsidR="003B4723" w:rsidRPr="008A006D" w:rsidRDefault="003B4723" w:rsidP="003B4723">
            <w:pPr>
              <w:jc w:val="both"/>
              <w:rPr>
                <w:sz w:val="20"/>
                <w:lang w:val="fr-CA"/>
              </w:rPr>
            </w:pPr>
            <w:r w:rsidRPr="008A006D">
              <w:rPr>
                <w:sz w:val="20"/>
                <w:lang w:val="fr-CA"/>
              </w:rPr>
              <w:t>(Juges Simmons, Gillese et Huscroft)</w:t>
            </w:r>
          </w:p>
          <w:p w:rsidR="003B4723" w:rsidRPr="008A006D" w:rsidRDefault="00D72403" w:rsidP="003B4723">
            <w:pPr>
              <w:jc w:val="both"/>
              <w:rPr>
                <w:sz w:val="20"/>
              </w:rPr>
            </w:pPr>
            <w:hyperlink r:id="rId15" w:history="1">
              <w:r w:rsidR="003B4723" w:rsidRPr="008A006D">
                <w:rPr>
                  <w:rStyle w:val="Hyperlink"/>
                  <w:sz w:val="20"/>
                </w:rPr>
                <w:t>2021 ONCA 539</w:t>
              </w:r>
            </w:hyperlink>
            <w:r w:rsidR="003B4723" w:rsidRPr="008A006D">
              <w:rPr>
                <w:sz w:val="20"/>
              </w:rPr>
              <w:t>; C67014</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Appel rejeté</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24 septembre 2021</w:t>
            </w:r>
          </w:p>
          <w:p w:rsidR="003B4723" w:rsidRPr="008A006D" w:rsidRDefault="003B4723" w:rsidP="003B4723">
            <w:pPr>
              <w:jc w:val="both"/>
              <w:rPr>
                <w:sz w:val="20"/>
              </w:rPr>
            </w:pPr>
            <w:r w:rsidRPr="008A006D">
              <w:rPr>
                <w:sz w:val="20"/>
              </w:rPr>
              <w:t>Cour suprême du Canada</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Demande d’autorisation d’appel déposé</w:t>
            </w:r>
          </w:p>
          <w:p w:rsidR="003B4723" w:rsidRPr="008A006D" w:rsidRDefault="003B4723" w:rsidP="003B4723">
            <w:pPr>
              <w:jc w:val="both"/>
              <w:rPr>
                <w:sz w:val="20"/>
              </w:rPr>
            </w:pPr>
          </w:p>
        </w:tc>
      </w:tr>
      <w:tr w:rsidR="003B4723" w:rsidRPr="00D72403" w:rsidTr="003B4723">
        <w:tc>
          <w:tcPr>
            <w:tcW w:w="2427" w:type="pct"/>
            <w:gridSpan w:val="2"/>
          </w:tcPr>
          <w:p w:rsidR="003B4723" w:rsidRPr="008A006D" w:rsidRDefault="003B4723" w:rsidP="003B4723">
            <w:pPr>
              <w:jc w:val="both"/>
              <w:rPr>
                <w:sz w:val="20"/>
                <w:lang w:val="fr-CA"/>
              </w:rPr>
            </w:pPr>
            <w:r w:rsidRPr="008A006D">
              <w:rPr>
                <w:sz w:val="20"/>
                <w:lang w:val="fr-CA"/>
              </w:rPr>
              <w:t>10 décembre 2021</w:t>
            </w:r>
          </w:p>
          <w:p w:rsidR="003B4723" w:rsidRPr="008A006D" w:rsidRDefault="003B4723" w:rsidP="003B4723">
            <w:pPr>
              <w:jc w:val="both"/>
              <w:rPr>
                <w:sz w:val="20"/>
                <w:lang w:val="fr-CA"/>
              </w:rPr>
            </w:pPr>
            <w:r w:rsidRPr="008A006D">
              <w:rPr>
                <w:sz w:val="20"/>
                <w:lang w:val="fr-CA"/>
              </w:rPr>
              <w:t>Cour suprême du Canada</w:t>
            </w: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lang w:val="fr-CA"/>
              </w:rPr>
            </w:pPr>
            <w:r w:rsidRPr="008A006D">
              <w:rPr>
                <w:sz w:val="20"/>
                <w:lang w:val="fr-CA"/>
              </w:rPr>
              <w:t>Requête en vue de la nomination d’un procureur déposée</w:t>
            </w:r>
          </w:p>
        </w:tc>
      </w:tr>
    </w:tbl>
    <w:p w:rsidR="003B4723" w:rsidRPr="008A006D" w:rsidRDefault="003B4723" w:rsidP="003B4723">
      <w:pPr>
        <w:jc w:val="both"/>
        <w:rPr>
          <w:sz w:val="20"/>
          <w:lang w:val="fr-CA"/>
        </w:rPr>
      </w:pPr>
    </w:p>
    <w:p w:rsidR="00F015F9" w:rsidRPr="008A006D" w:rsidRDefault="00D72403" w:rsidP="003B4723">
      <w:pPr>
        <w:jc w:val="both"/>
        <w:rPr>
          <w:sz w:val="20"/>
          <w:lang w:val="fr-CA"/>
        </w:rPr>
      </w:pPr>
      <w:r>
        <w:rPr>
          <w:sz w:val="20"/>
        </w:rPr>
        <w:pict>
          <v:rect id="_x0000_i1028" style="width:2in;height:1pt" o:hrpct="0" o:hralign="center" o:hrstd="t" o:hrnoshade="t" o:hr="t" fillcolor="black [3213]" stroked="f"/>
        </w:pict>
      </w:r>
    </w:p>
    <w:p w:rsidR="00387DAF" w:rsidRPr="008A006D" w:rsidRDefault="00387DAF" w:rsidP="003B472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723" w:rsidRPr="008A006D">
        <w:tc>
          <w:tcPr>
            <w:tcW w:w="543" w:type="pct"/>
          </w:tcPr>
          <w:p w:rsidR="003B4723" w:rsidRPr="008A006D" w:rsidRDefault="003B4723" w:rsidP="003B4723">
            <w:pPr>
              <w:jc w:val="both"/>
              <w:rPr>
                <w:sz w:val="20"/>
                <w:lang w:val="en-CA"/>
              </w:rPr>
            </w:pPr>
            <w:r w:rsidRPr="008A006D">
              <w:rPr>
                <w:rStyle w:val="SCCFileNumberChar"/>
                <w:sz w:val="20"/>
                <w:szCs w:val="20"/>
              </w:rPr>
              <w:t>39786</w:t>
            </w:r>
          </w:p>
        </w:tc>
        <w:tc>
          <w:tcPr>
            <w:tcW w:w="4457" w:type="pct"/>
            <w:gridSpan w:val="3"/>
          </w:tcPr>
          <w:p w:rsidR="003B4723" w:rsidRPr="008A006D" w:rsidRDefault="003B4723" w:rsidP="003B4723">
            <w:pPr>
              <w:pStyle w:val="SCCLsocParty"/>
              <w:jc w:val="both"/>
              <w:rPr>
                <w:b/>
                <w:sz w:val="20"/>
                <w:szCs w:val="20"/>
                <w:lang w:val="en-CA"/>
              </w:rPr>
            </w:pPr>
            <w:r w:rsidRPr="008A006D">
              <w:rPr>
                <w:b/>
                <w:sz w:val="20"/>
                <w:szCs w:val="20"/>
                <w:lang w:val="en-CA"/>
              </w:rPr>
              <w:t>Gestion RNB inc. v. URS Corporation, AECOM Global II LLC and AECOM</w:t>
            </w:r>
          </w:p>
          <w:p w:rsidR="003B4723" w:rsidRPr="008A006D" w:rsidRDefault="003B4723" w:rsidP="003B4723">
            <w:pPr>
              <w:jc w:val="both"/>
              <w:rPr>
                <w:sz w:val="20"/>
                <w:lang w:val="en-CA"/>
              </w:rPr>
            </w:pPr>
            <w:r w:rsidRPr="008A006D">
              <w:rPr>
                <w:sz w:val="20"/>
                <w:lang w:val="en-CA"/>
              </w:rPr>
              <w:t>(Que.) (Civil) (By Leave)</w:t>
            </w:r>
          </w:p>
        </w:tc>
      </w:tr>
      <w:tr w:rsidR="003B4723" w:rsidRPr="008A006D">
        <w:tc>
          <w:tcPr>
            <w:tcW w:w="5000" w:type="pct"/>
            <w:gridSpan w:val="4"/>
          </w:tcPr>
          <w:p w:rsidR="003B4723" w:rsidRPr="008A006D" w:rsidRDefault="003B4723" w:rsidP="003B4723">
            <w:pPr>
              <w:pStyle w:val="SCCBanSummary"/>
              <w:rPr>
                <w:sz w:val="20"/>
                <w:szCs w:val="20"/>
              </w:rPr>
            </w:pPr>
            <w:r w:rsidRPr="008A006D">
              <w:rPr>
                <w:sz w:val="20"/>
                <w:szCs w:val="20"/>
              </w:rPr>
              <w:t>(Sealing Order)</w:t>
            </w:r>
          </w:p>
          <w:p w:rsidR="003B4723" w:rsidRPr="008A006D" w:rsidRDefault="003B4723" w:rsidP="003B4723">
            <w:pPr>
              <w:pStyle w:val="SCCBanSummary"/>
              <w:rPr>
                <w:smallCaps w:val="0"/>
                <w:sz w:val="20"/>
                <w:szCs w:val="20"/>
              </w:rPr>
            </w:pPr>
          </w:p>
          <w:p w:rsidR="003B4723" w:rsidRPr="008A006D" w:rsidRDefault="003B4723" w:rsidP="003B4723">
            <w:pPr>
              <w:pStyle w:val="SCCBanSummary"/>
              <w:rPr>
                <w:sz w:val="20"/>
                <w:szCs w:val="20"/>
              </w:rPr>
            </w:pPr>
            <w:r w:rsidRPr="008A006D">
              <w:rPr>
                <w:smallCaps w:val="0"/>
                <w:sz w:val="20"/>
                <w:szCs w:val="20"/>
              </w:rPr>
              <w:t xml:space="preserve">Contract ⸺ Contract of enterprise or for services ⸺ Solicitation ⸺ Abusive resiliation ⸺ Bad faith ⸺ Whether Court of Appeal erred in interpreting and applying arts. 6, 7, 1375 and 1503 of </w:t>
            </w:r>
            <w:r w:rsidRPr="008A006D">
              <w:rPr>
                <w:i/>
                <w:smallCaps w:val="0"/>
                <w:sz w:val="20"/>
                <w:szCs w:val="20"/>
              </w:rPr>
              <w:t>Civil Code of Québec</w:t>
            </w:r>
            <w:r w:rsidRPr="008A006D">
              <w:rPr>
                <w:smallCaps w:val="0"/>
                <w:sz w:val="20"/>
                <w:szCs w:val="20"/>
              </w:rPr>
              <w:t xml:space="preserve"> and </w:t>
            </w:r>
            <w:r w:rsidRPr="008A006D">
              <w:rPr>
                <w:i/>
                <w:smallCaps w:val="0"/>
                <w:sz w:val="20"/>
                <w:szCs w:val="20"/>
              </w:rPr>
              <w:t>Société en commandite Place Mullins v. Services immobiliers Diane Bisson inc.</w:t>
            </w:r>
            <w:r w:rsidRPr="008A006D">
              <w:rPr>
                <w:smallCaps w:val="0"/>
                <w:sz w:val="20"/>
                <w:szCs w:val="20"/>
              </w:rPr>
              <w:t xml:space="preserve">, 2015 SCC 36, by refusing to regard respondents’ bad faith, existence of which had been recognized by trial judge, as fault that prevented conditional 10 percent partnership obligation from becoming pure and simple obligation ⸺ In alternative, given that respondents’ </w:t>
            </w:r>
            <w:r w:rsidRPr="008A006D">
              <w:rPr>
                <w:smallCaps w:val="0"/>
                <w:sz w:val="20"/>
                <w:szCs w:val="20"/>
              </w:rPr>
              <w:lastRenderedPageBreak/>
              <w:t xml:space="preserve">bad faith had been proved by applicant and recognized by trial judge, whether Court of Appeal perpetuated trial judge’s error by not ordering reversal of burden of proof to determine whether respondents’ withdrawal from projects involving McGill University Health Centre (MUHC), Centre hospitalier de l’Université de Montréal (CHUM) and Centre de recherche du Centre hospitalier de l’Université de Montréal (CRCHUM) was wrongful conduct under art. 1503 of </w:t>
            </w:r>
            <w:r w:rsidRPr="008A006D">
              <w:rPr>
                <w:i/>
                <w:smallCaps w:val="0"/>
                <w:sz w:val="20"/>
                <w:szCs w:val="20"/>
              </w:rPr>
              <w:t>Civil Code of Québec</w:t>
            </w:r>
            <w:r w:rsidRPr="008A006D">
              <w:rPr>
                <w:smallCaps w:val="0"/>
                <w:sz w:val="20"/>
                <w:szCs w:val="20"/>
              </w:rPr>
              <w:t xml:space="preserve"> ⸺ With regard to compensation of applicant, whether Court of Appeal erred in law in disregarding application of art. 1507 C.C.Q. in this case despite fact that applicant had fulfilled suspensive condition even before respondents withdrew from MUHC, CRCHUM and CHUM projects ⸺  </w:t>
            </w:r>
            <w:r w:rsidRPr="008A006D">
              <w:rPr>
                <w:i/>
                <w:smallCaps w:val="0"/>
                <w:sz w:val="20"/>
                <w:szCs w:val="20"/>
              </w:rPr>
              <w:t>Civil Code of Québec</w:t>
            </w:r>
            <w:r w:rsidRPr="008A006D">
              <w:rPr>
                <w:smallCaps w:val="0"/>
                <w:sz w:val="20"/>
                <w:szCs w:val="20"/>
              </w:rPr>
              <w:t>, arts. 6, 7, 1375, 1503 and 1507.</w:t>
            </w:r>
          </w:p>
        </w:tc>
      </w:tr>
      <w:tr w:rsidR="003B4723" w:rsidRPr="008A006D">
        <w:tc>
          <w:tcPr>
            <w:tcW w:w="5000" w:type="pct"/>
            <w:gridSpan w:val="4"/>
          </w:tcPr>
          <w:p w:rsidR="003B4723" w:rsidRPr="008A006D" w:rsidRDefault="003B4723" w:rsidP="003B4723">
            <w:pPr>
              <w:jc w:val="both"/>
              <w:rPr>
                <w:sz w:val="20"/>
                <w:lang w:val="en-CA"/>
              </w:rPr>
            </w:pPr>
          </w:p>
        </w:tc>
      </w:tr>
      <w:tr w:rsidR="003B4723" w:rsidRPr="008A006D">
        <w:tc>
          <w:tcPr>
            <w:tcW w:w="5000" w:type="pct"/>
            <w:gridSpan w:val="4"/>
          </w:tcPr>
          <w:p w:rsidR="003B4723" w:rsidRPr="008A006D" w:rsidRDefault="003B4723" w:rsidP="003B4723">
            <w:pPr>
              <w:jc w:val="both"/>
              <w:rPr>
                <w:sz w:val="20"/>
                <w:lang w:val="en-CA"/>
              </w:rPr>
            </w:pPr>
            <w:r w:rsidRPr="008A006D">
              <w:rPr>
                <w:sz w:val="20"/>
                <w:lang w:val="en-CA"/>
              </w:rPr>
              <w:t xml:space="preserve">The applicant, Gestion RNB inc. (RNB), is a small Quebec company specializing in construction project management. The respondent URS Corporation (URS) is an American company that works all over the world in the field of architecture, engineering and construction project management. In July 2014, URS merged its operations with a second company, thereby creating AECOM Global II LLC, which </w:t>
            </w:r>
            <w:proofErr w:type="gramStart"/>
            <w:r w:rsidRPr="008A006D">
              <w:rPr>
                <w:sz w:val="20"/>
                <w:lang w:val="en-CA"/>
              </w:rPr>
              <w:t>is controlled</w:t>
            </w:r>
            <w:proofErr w:type="gramEnd"/>
            <w:r w:rsidRPr="008A006D">
              <w:rPr>
                <w:sz w:val="20"/>
                <w:lang w:val="en-CA"/>
              </w:rPr>
              <w:t xml:space="preserve"> by AECOM, both of which are respondents here. In 2005, RNB obtained a solicitation and partnership contract with URS, which was seeking contracts for construction projects. The contract provided for hourly remuneration and a partnership between the parties for 10 percent of the value of any service agreement secured by URS </w:t>
            </w:r>
            <w:proofErr w:type="gramStart"/>
            <w:r w:rsidRPr="008A006D">
              <w:rPr>
                <w:sz w:val="20"/>
                <w:lang w:val="en-CA"/>
              </w:rPr>
              <w:t>as a result</w:t>
            </w:r>
            <w:proofErr w:type="gramEnd"/>
            <w:r w:rsidRPr="008A006D">
              <w:rPr>
                <w:sz w:val="20"/>
                <w:lang w:val="en-CA"/>
              </w:rPr>
              <w:t xml:space="preserve"> of solicitation by RNB. URS resiliated the contract in 2006. The resiliation </w:t>
            </w:r>
            <w:proofErr w:type="gramStart"/>
            <w:r w:rsidRPr="008A006D">
              <w:rPr>
                <w:sz w:val="20"/>
                <w:lang w:val="en-CA"/>
              </w:rPr>
              <w:t>was affirmed</w:t>
            </w:r>
            <w:proofErr w:type="gramEnd"/>
            <w:r w:rsidRPr="008A006D">
              <w:rPr>
                <w:sz w:val="20"/>
                <w:lang w:val="en-CA"/>
              </w:rPr>
              <w:t xml:space="preserve"> by the Superior Court, although it determined that the clause concerning the 10 percent partnership between the parties survived the resiliation. RNB brought proceedings against the respondents to recover $9,960,516, which corresponded to 10 percent of the value of the contracts that URS should have obtained </w:t>
            </w:r>
            <w:proofErr w:type="gramStart"/>
            <w:r w:rsidRPr="008A006D">
              <w:rPr>
                <w:sz w:val="20"/>
                <w:lang w:val="en-CA"/>
              </w:rPr>
              <w:t>as a result</w:t>
            </w:r>
            <w:proofErr w:type="gramEnd"/>
            <w:r w:rsidRPr="008A006D">
              <w:rPr>
                <w:sz w:val="20"/>
                <w:lang w:val="en-CA"/>
              </w:rPr>
              <w:t xml:space="preserve"> of the solicitation it had done for three mega</w:t>
            </w:r>
            <w:r w:rsidRPr="008A006D">
              <w:rPr>
                <w:sz w:val="20"/>
                <w:lang w:val="en-CA"/>
              </w:rPr>
              <w:noBreakHyphen/>
              <w:t>hospital projects. The Superior Court allowed RNB’s application in part, and the Court of Appeal dismissed its appeal.</w:t>
            </w:r>
          </w:p>
          <w:p w:rsidR="003B4723" w:rsidRPr="008A006D" w:rsidRDefault="003B4723" w:rsidP="003B4723">
            <w:pPr>
              <w:jc w:val="both"/>
              <w:rPr>
                <w:sz w:val="20"/>
                <w:lang w:val="en-CA"/>
              </w:rPr>
            </w:pPr>
          </w:p>
        </w:tc>
      </w:tr>
      <w:tr w:rsidR="003B4723" w:rsidRPr="008A006D">
        <w:tc>
          <w:tcPr>
            <w:tcW w:w="2427" w:type="pct"/>
            <w:gridSpan w:val="2"/>
          </w:tcPr>
          <w:p w:rsidR="003B4723" w:rsidRPr="008A006D" w:rsidRDefault="003B4723" w:rsidP="003B4723">
            <w:pPr>
              <w:jc w:val="both"/>
              <w:rPr>
                <w:sz w:val="20"/>
                <w:lang w:val="en-CA"/>
              </w:rPr>
            </w:pPr>
            <w:r w:rsidRPr="008A006D">
              <w:rPr>
                <w:sz w:val="20"/>
                <w:lang w:val="en-CA"/>
              </w:rPr>
              <w:t>June 7, 2018</w:t>
            </w:r>
          </w:p>
          <w:p w:rsidR="003B4723" w:rsidRPr="008A006D" w:rsidRDefault="003B4723" w:rsidP="003B4723">
            <w:pPr>
              <w:jc w:val="both"/>
              <w:rPr>
                <w:sz w:val="20"/>
                <w:lang w:val="en-CA"/>
              </w:rPr>
            </w:pPr>
            <w:r w:rsidRPr="008A006D">
              <w:rPr>
                <w:sz w:val="20"/>
                <w:lang w:val="en-CA"/>
              </w:rPr>
              <w:t>Quebec Superior Court</w:t>
            </w:r>
          </w:p>
          <w:p w:rsidR="003B4723" w:rsidRPr="008A006D" w:rsidRDefault="003B4723" w:rsidP="003B4723">
            <w:pPr>
              <w:jc w:val="both"/>
              <w:rPr>
                <w:sz w:val="20"/>
                <w:lang w:val="en-CA"/>
              </w:rPr>
            </w:pPr>
            <w:r w:rsidRPr="008A006D">
              <w:rPr>
                <w:sz w:val="20"/>
                <w:lang w:val="en-CA"/>
              </w:rPr>
              <w:t>(Michaud J.)</w:t>
            </w:r>
          </w:p>
          <w:p w:rsidR="003B4723" w:rsidRPr="008A006D" w:rsidRDefault="00D72403" w:rsidP="003B4723">
            <w:pPr>
              <w:jc w:val="both"/>
              <w:rPr>
                <w:sz w:val="20"/>
                <w:lang w:val="en-CA"/>
              </w:rPr>
            </w:pPr>
            <w:hyperlink r:id="rId16" w:history="1">
              <w:r w:rsidR="003B4723" w:rsidRPr="008A006D">
                <w:rPr>
                  <w:rStyle w:val="Hyperlink"/>
                  <w:sz w:val="20"/>
                  <w:lang w:val="en-CA"/>
                </w:rPr>
                <w:t>2018 QCCS 2458</w:t>
              </w:r>
            </w:hyperlink>
          </w:p>
          <w:p w:rsidR="003B4723" w:rsidRPr="008A006D" w:rsidRDefault="003B4723" w:rsidP="003B4723">
            <w:pPr>
              <w:jc w:val="both"/>
              <w:rPr>
                <w:sz w:val="20"/>
                <w:lang w:val="en-CA"/>
              </w:rPr>
            </w:pPr>
          </w:p>
        </w:tc>
        <w:tc>
          <w:tcPr>
            <w:tcW w:w="243" w:type="pct"/>
          </w:tcPr>
          <w:p w:rsidR="003B4723" w:rsidRPr="008A006D" w:rsidRDefault="003B4723" w:rsidP="003B4723">
            <w:pPr>
              <w:jc w:val="both"/>
              <w:rPr>
                <w:sz w:val="20"/>
                <w:lang w:val="en-CA"/>
              </w:rPr>
            </w:pPr>
          </w:p>
        </w:tc>
        <w:tc>
          <w:tcPr>
            <w:tcW w:w="2330" w:type="pct"/>
          </w:tcPr>
          <w:p w:rsidR="003B4723" w:rsidRPr="008A006D" w:rsidRDefault="003B4723" w:rsidP="003B4723">
            <w:pPr>
              <w:jc w:val="both"/>
              <w:rPr>
                <w:sz w:val="20"/>
                <w:lang w:val="en-CA"/>
              </w:rPr>
            </w:pPr>
            <w:r w:rsidRPr="008A006D">
              <w:rPr>
                <w:sz w:val="20"/>
                <w:lang w:val="en-CA"/>
              </w:rPr>
              <w:t>Re</w:t>
            </w:r>
            <w:r w:rsidRPr="008A006D">
              <w:rPr>
                <w:sz w:val="20"/>
                <w:lang w:val="en-CA"/>
              </w:rPr>
              <w:noBreakHyphen/>
              <w:t>re</w:t>
            </w:r>
            <w:r w:rsidRPr="008A006D">
              <w:rPr>
                <w:sz w:val="20"/>
                <w:lang w:val="en-CA"/>
              </w:rPr>
              <w:noBreakHyphen/>
              <w:t>amended judicial application dated June 3, 2016 allowed</w:t>
            </w:r>
          </w:p>
          <w:p w:rsidR="003B4723" w:rsidRPr="008A006D" w:rsidRDefault="003B4723" w:rsidP="003B4723">
            <w:pPr>
              <w:jc w:val="both"/>
              <w:rPr>
                <w:sz w:val="20"/>
                <w:lang w:val="en-CA"/>
              </w:rPr>
            </w:pPr>
            <w:r w:rsidRPr="008A006D">
              <w:rPr>
                <w:sz w:val="20"/>
                <w:lang w:val="en-CA"/>
              </w:rPr>
              <w:t>Re</w:t>
            </w:r>
            <w:r w:rsidRPr="008A006D">
              <w:rPr>
                <w:sz w:val="20"/>
                <w:lang w:val="en-CA"/>
              </w:rPr>
              <w:noBreakHyphen/>
              <w:t>re</w:t>
            </w:r>
            <w:r w:rsidRPr="008A006D">
              <w:rPr>
                <w:sz w:val="20"/>
                <w:lang w:val="en-CA"/>
              </w:rPr>
              <w:noBreakHyphen/>
              <w:t>amended judicial application dated June 3, 2016 concerning AECOM dismissed</w:t>
            </w:r>
          </w:p>
          <w:p w:rsidR="003B4723" w:rsidRPr="008A006D" w:rsidRDefault="003B4723" w:rsidP="003B4723">
            <w:pPr>
              <w:jc w:val="both"/>
              <w:rPr>
                <w:sz w:val="20"/>
                <w:lang w:val="en-CA"/>
              </w:rPr>
            </w:pPr>
            <w:r w:rsidRPr="008A006D">
              <w:rPr>
                <w:sz w:val="20"/>
                <w:lang w:val="en-CA"/>
              </w:rPr>
              <w:t>URS Corporation and AECOM Global II LLC ordered to pay $125,545 to Gestion RNB inc.</w:t>
            </w:r>
          </w:p>
          <w:p w:rsidR="00F015F9" w:rsidRPr="008A006D" w:rsidRDefault="00F015F9" w:rsidP="003B4723">
            <w:pPr>
              <w:jc w:val="both"/>
              <w:rPr>
                <w:sz w:val="20"/>
                <w:lang w:val="en-CA"/>
              </w:rPr>
            </w:pPr>
          </w:p>
        </w:tc>
      </w:tr>
      <w:tr w:rsidR="003B4723" w:rsidRPr="008A006D">
        <w:tc>
          <w:tcPr>
            <w:tcW w:w="2427" w:type="pct"/>
            <w:gridSpan w:val="2"/>
          </w:tcPr>
          <w:p w:rsidR="003B4723" w:rsidRPr="008A006D" w:rsidRDefault="003B4723" w:rsidP="003B4723">
            <w:pPr>
              <w:jc w:val="both"/>
              <w:rPr>
                <w:sz w:val="20"/>
                <w:lang w:val="en-CA"/>
              </w:rPr>
            </w:pPr>
            <w:r w:rsidRPr="008A006D">
              <w:rPr>
                <w:sz w:val="20"/>
                <w:lang w:val="en-CA"/>
              </w:rPr>
              <w:t>March 12, 2021</w:t>
            </w:r>
          </w:p>
          <w:p w:rsidR="003B4723" w:rsidRPr="008A006D" w:rsidRDefault="003B4723" w:rsidP="003B4723">
            <w:pPr>
              <w:jc w:val="both"/>
              <w:rPr>
                <w:sz w:val="20"/>
                <w:lang w:val="en-CA"/>
              </w:rPr>
            </w:pPr>
            <w:r w:rsidRPr="008A006D">
              <w:rPr>
                <w:sz w:val="20"/>
                <w:lang w:val="en-CA"/>
              </w:rPr>
              <w:t>Quebec Court of Appeal (Montréal)</w:t>
            </w:r>
          </w:p>
          <w:p w:rsidR="003B4723" w:rsidRPr="008A006D" w:rsidRDefault="003B4723" w:rsidP="003B4723">
            <w:pPr>
              <w:jc w:val="both"/>
              <w:rPr>
                <w:sz w:val="20"/>
                <w:lang w:val="en-CA"/>
              </w:rPr>
            </w:pPr>
            <w:r w:rsidRPr="008A006D">
              <w:rPr>
                <w:sz w:val="20"/>
                <w:lang w:val="en-CA"/>
              </w:rPr>
              <w:t>(Morissette, Healy and Hamilton JJ.A.)</w:t>
            </w:r>
          </w:p>
          <w:p w:rsidR="003B4723" w:rsidRPr="008A006D" w:rsidRDefault="00D72403" w:rsidP="003B4723">
            <w:pPr>
              <w:jc w:val="both"/>
              <w:rPr>
                <w:sz w:val="20"/>
                <w:lang w:val="en-CA"/>
              </w:rPr>
            </w:pPr>
            <w:hyperlink r:id="rId17" w:history="1">
              <w:r w:rsidR="003B4723" w:rsidRPr="008A006D">
                <w:rPr>
                  <w:rStyle w:val="Hyperlink"/>
                  <w:sz w:val="20"/>
                  <w:lang w:val="en-CA"/>
                </w:rPr>
                <w:t>2021 QCCA 405</w:t>
              </w:r>
            </w:hyperlink>
          </w:p>
          <w:p w:rsidR="003B4723" w:rsidRPr="008A006D" w:rsidRDefault="003B4723" w:rsidP="003B4723">
            <w:pPr>
              <w:jc w:val="both"/>
              <w:rPr>
                <w:sz w:val="20"/>
                <w:lang w:val="en-CA"/>
              </w:rPr>
            </w:pPr>
          </w:p>
        </w:tc>
        <w:tc>
          <w:tcPr>
            <w:tcW w:w="243" w:type="pct"/>
          </w:tcPr>
          <w:p w:rsidR="003B4723" w:rsidRPr="008A006D" w:rsidRDefault="003B4723" w:rsidP="003B4723">
            <w:pPr>
              <w:jc w:val="both"/>
              <w:rPr>
                <w:sz w:val="20"/>
                <w:lang w:val="en-CA"/>
              </w:rPr>
            </w:pPr>
          </w:p>
        </w:tc>
        <w:tc>
          <w:tcPr>
            <w:tcW w:w="2330" w:type="pct"/>
          </w:tcPr>
          <w:p w:rsidR="003B4723" w:rsidRPr="008A006D" w:rsidRDefault="003B4723" w:rsidP="003B4723">
            <w:pPr>
              <w:jc w:val="both"/>
              <w:rPr>
                <w:sz w:val="20"/>
                <w:lang w:val="en-CA"/>
              </w:rPr>
            </w:pPr>
            <w:r w:rsidRPr="008A006D">
              <w:rPr>
                <w:sz w:val="20"/>
                <w:lang w:val="en-CA"/>
              </w:rPr>
              <w:t>Appeal dismissed</w:t>
            </w:r>
          </w:p>
          <w:p w:rsidR="003B4723" w:rsidRPr="008A006D" w:rsidRDefault="003B4723" w:rsidP="003B4723">
            <w:pPr>
              <w:jc w:val="both"/>
              <w:rPr>
                <w:sz w:val="20"/>
                <w:lang w:val="en-CA"/>
              </w:rPr>
            </w:pPr>
          </w:p>
        </w:tc>
      </w:tr>
      <w:tr w:rsidR="003B4723" w:rsidRPr="008A006D">
        <w:tc>
          <w:tcPr>
            <w:tcW w:w="2427" w:type="pct"/>
            <w:gridSpan w:val="2"/>
          </w:tcPr>
          <w:p w:rsidR="003B4723" w:rsidRPr="008A006D" w:rsidRDefault="003B4723" w:rsidP="003B4723">
            <w:pPr>
              <w:jc w:val="both"/>
              <w:rPr>
                <w:sz w:val="20"/>
                <w:lang w:val="en-CA"/>
              </w:rPr>
            </w:pPr>
            <w:r w:rsidRPr="008A006D">
              <w:rPr>
                <w:sz w:val="20"/>
                <w:lang w:val="en-CA"/>
              </w:rPr>
              <w:t>August 6, 2021</w:t>
            </w:r>
          </w:p>
          <w:p w:rsidR="003B4723" w:rsidRPr="008A006D" w:rsidRDefault="003B4723" w:rsidP="003B4723">
            <w:pPr>
              <w:jc w:val="both"/>
              <w:rPr>
                <w:sz w:val="20"/>
                <w:lang w:val="en-CA"/>
              </w:rPr>
            </w:pPr>
            <w:r w:rsidRPr="008A006D">
              <w:rPr>
                <w:sz w:val="20"/>
                <w:lang w:val="en-CA"/>
              </w:rPr>
              <w:t>Supreme Court of Canada</w:t>
            </w:r>
          </w:p>
        </w:tc>
        <w:tc>
          <w:tcPr>
            <w:tcW w:w="243" w:type="pct"/>
          </w:tcPr>
          <w:p w:rsidR="003B4723" w:rsidRPr="008A006D" w:rsidRDefault="003B4723" w:rsidP="003B4723">
            <w:pPr>
              <w:jc w:val="both"/>
              <w:rPr>
                <w:sz w:val="20"/>
                <w:lang w:val="en-CA"/>
              </w:rPr>
            </w:pPr>
          </w:p>
        </w:tc>
        <w:tc>
          <w:tcPr>
            <w:tcW w:w="2330" w:type="pct"/>
          </w:tcPr>
          <w:p w:rsidR="003B4723" w:rsidRPr="008A006D" w:rsidRDefault="003B4723" w:rsidP="003B4723">
            <w:pPr>
              <w:jc w:val="both"/>
              <w:rPr>
                <w:sz w:val="20"/>
                <w:lang w:val="en-CA"/>
              </w:rPr>
            </w:pPr>
            <w:r w:rsidRPr="008A006D">
              <w:rPr>
                <w:sz w:val="20"/>
                <w:lang w:val="en-CA"/>
              </w:rPr>
              <w:t>Application for leave to appeal filed</w:t>
            </w:r>
          </w:p>
          <w:p w:rsidR="003B4723" w:rsidRPr="008A006D" w:rsidRDefault="003B4723" w:rsidP="003B4723">
            <w:pPr>
              <w:jc w:val="both"/>
              <w:rPr>
                <w:sz w:val="20"/>
                <w:lang w:val="en-CA"/>
              </w:rPr>
            </w:pPr>
          </w:p>
        </w:tc>
      </w:tr>
    </w:tbl>
    <w:p w:rsidR="003B4723" w:rsidRPr="008A006D" w:rsidRDefault="003B4723" w:rsidP="003B4723">
      <w:pPr>
        <w:jc w:val="both"/>
        <w:rPr>
          <w:sz w:val="20"/>
          <w:lang w:val="en-CA"/>
        </w:rPr>
      </w:pPr>
    </w:p>
    <w:p w:rsidR="00F015F9" w:rsidRPr="008A006D" w:rsidRDefault="00D72403" w:rsidP="003B4723">
      <w:pPr>
        <w:jc w:val="both"/>
        <w:rPr>
          <w:sz w:val="20"/>
          <w:lang w:val="en-CA"/>
        </w:rPr>
      </w:pPr>
      <w:r>
        <w:rPr>
          <w:sz w:val="20"/>
        </w:rPr>
        <w:pict>
          <v:rect id="_x0000_i1029" style="width:2in;height:1pt" o:hrpct="0" o:hralign="center" o:hrstd="t" o:hrnoshade="t" o:hr="t" fillcolor="black [3213]" stroked="f"/>
        </w:pict>
      </w:r>
    </w:p>
    <w:p w:rsidR="00F015F9" w:rsidRPr="008A006D" w:rsidRDefault="00F015F9" w:rsidP="003B472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723" w:rsidRPr="00D72403">
        <w:tc>
          <w:tcPr>
            <w:tcW w:w="543" w:type="pct"/>
          </w:tcPr>
          <w:p w:rsidR="003B4723" w:rsidRPr="008A006D" w:rsidRDefault="003B4723" w:rsidP="003B4723">
            <w:pPr>
              <w:jc w:val="both"/>
              <w:rPr>
                <w:sz w:val="20"/>
              </w:rPr>
            </w:pPr>
            <w:r w:rsidRPr="008A006D">
              <w:rPr>
                <w:rStyle w:val="SCCFileNumberChar"/>
                <w:sz w:val="20"/>
                <w:szCs w:val="20"/>
              </w:rPr>
              <w:t>39786</w:t>
            </w:r>
          </w:p>
        </w:tc>
        <w:tc>
          <w:tcPr>
            <w:tcW w:w="4457" w:type="pct"/>
            <w:gridSpan w:val="3"/>
          </w:tcPr>
          <w:p w:rsidR="003B4723" w:rsidRPr="008A006D" w:rsidRDefault="003B4723" w:rsidP="003B4723">
            <w:pPr>
              <w:pStyle w:val="SCCLsocParty"/>
              <w:jc w:val="both"/>
              <w:rPr>
                <w:b/>
                <w:sz w:val="20"/>
                <w:szCs w:val="20"/>
              </w:rPr>
            </w:pPr>
            <w:r w:rsidRPr="008A006D">
              <w:rPr>
                <w:b/>
                <w:sz w:val="20"/>
                <w:szCs w:val="20"/>
              </w:rPr>
              <w:t>Gestion RNB Inc. c. URS Corporation, Aecom Global II LLC et Aecom</w:t>
            </w:r>
          </w:p>
          <w:p w:rsidR="003B4723" w:rsidRPr="008A006D" w:rsidRDefault="003B4723" w:rsidP="003B4723">
            <w:pPr>
              <w:jc w:val="both"/>
              <w:rPr>
                <w:sz w:val="20"/>
                <w:lang w:val="fr-CA"/>
              </w:rPr>
            </w:pPr>
            <w:r w:rsidRPr="008A006D">
              <w:rPr>
                <w:sz w:val="20"/>
                <w:lang w:val="fr-CA"/>
              </w:rPr>
              <w:t>(Qc) (Civile) (Autorisation)</w:t>
            </w:r>
          </w:p>
        </w:tc>
      </w:tr>
      <w:tr w:rsidR="003B4723" w:rsidRPr="008A006D">
        <w:tc>
          <w:tcPr>
            <w:tcW w:w="5000" w:type="pct"/>
            <w:gridSpan w:val="4"/>
          </w:tcPr>
          <w:p w:rsidR="003B4723" w:rsidRPr="008A006D" w:rsidRDefault="003B4723" w:rsidP="003B4723">
            <w:pPr>
              <w:pStyle w:val="SCCBanSummary"/>
              <w:rPr>
                <w:sz w:val="20"/>
                <w:szCs w:val="20"/>
                <w:lang w:val="fr-CA"/>
              </w:rPr>
            </w:pPr>
            <w:r w:rsidRPr="008A006D">
              <w:rPr>
                <w:sz w:val="20"/>
                <w:szCs w:val="20"/>
                <w:lang w:val="fr-CA"/>
              </w:rPr>
              <w:t>(Ordonnance de mise sous scellés)</w:t>
            </w:r>
          </w:p>
          <w:p w:rsidR="003B4723" w:rsidRPr="008A006D" w:rsidRDefault="003B4723" w:rsidP="003B4723">
            <w:pPr>
              <w:pStyle w:val="SCCBanSummary"/>
              <w:rPr>
                <w:smallCaps w:val="0"/>
                <w:sz w:val="20"/>
                <w:szCs w:val="20"/>
                <w:lang w:val="fr-CA"/>
              </w:rPr>
            </w:pPr>
          </w:p>
          <w:p w:rsidR="003B4723" w:rsidRPr="008A006D" w:rsidRDefault="003B4723" w:rsidP="003B4723">
            <w:pPr>
              <w:pStyle w:val="SCCBanSummary"/>
              <w:rPr>
                <w:sz w:val="20"/>
                <w:szCs w:val="20"/>
              </w:rPr>
            </w:pPr>
            <w:r w:rsidRPr="008A006D">
              <w:rPr>
                <w:smallCaps w:val="0"/>
                <w:sz w:val="20"/>
                <w:szCs w:val="20"/>
                <w:lang w:val="fr-CA"/>
              </w:rPr>
              <w:t xml:space="preserve">Contrat </w:t>
            </w:r>
            <w:r w:rsidRPr="008A006D">
              <w:rPr>
                <w:smallCaps w:val="0"/>
                <w:sz w:val="20"/>
                <w:szCs w:val="20"/>
              </w:rPr>
              <w:t>⸺</w:t>
            </w:r>
            <w:r w:rsidRPr="008A006D">
              <w:rPr>
                <w:smallCaps w:val="0"/>
                <w:sz w:val="20"/>
                <w:szCs w:val="20"/>
                <w:lang w:val="fr-CA"/>
              </w:rPr>
              <w:t xml:space="preserve"> Contrat d’entreprise ou de services </w:t>
            </w:r>
            <w:r w:rsidRPr="008A006D">
              <w:rPr>
                <w:smallCaps w:val="0"/>
                <w:sz w:val="20"/>
                <w:szCs w:val="20"/>
              </w:rPr>
              <w:t>⸺</w:t>
            </w:r>
            <w:r w:rsidRPr="008A006D">
              <w:rPr>
                <w:smallCaps w:val="0"/>
                <w:sz w:val="20"/>
                <w:szCs w:val="20"/>
                <w:lang w:val="fr-CA"/>
              </w:rPr>
              <w:t xml:space="preserve"> Démarchage </w:t>
            </w:r>
            <w:r w:rsidRPr="008A006D">
              <w:rPr>
                <w:smallCaps w:val="0"/>
                <w:sz w:val="20"/>
                <w:szCs w:val="20"/>
              </w:rPr>
              <w:t>⸺</w:t>
            </w:r>
            <w:r w:rsidRPr="008A006D">
              <w:rPr>
                <w:smallCaps w:val="0"/>
                <w:sz w:val="20"/>
                <w:szCs w:val="20"/>
                <w:lang w:val="fr-CA"/>
              </w:rPr>
              <w:t xml:space="preserve"> Résiliation abusive </w:t>
            </w:r>
            <w:r w:rsidRPr="008A006D">
              <w:rPr>
                <w:smallCaps w:val="0"/>
                <w:sz w:val="20"/>
                <w:szCs w:val="20"/>
              </w:rPr>
              <w:t>⸺</w:t>
            </w:r>
            <w:r w:rsidRPr="008A006D">
              <w:rPr>
                <w:smallCaps w:val="0"/>
                <w:sz w:val="20"/>
                <w:szCs w:val="20"/>
                <w:lang w:val="fr-CA"/>
              </w:rPr>
              <w:t xml:space="preserve"> Mauvaise foi </w:t>
            </w:r>
            <w:r w:rsidRPr="008A006D">
              <w:rPr>
                <w:smallCaps w:val="0"/>
                <w:sz w:val="20"/>
                <w:szCs w:val="20"/>
              </w:rPr>
              <w:t>⸺</w:t>
            </w:r>
            <w:r w:rsidRPr="008A006D">
              <w:rPr>
                <w:smallCaps w:val="0"/>
                <w:sz w:val="20"/>
                <w:szCs w:val="20"/>
                <w:lang w:val="fr-CA"/>
              </w:rPr>
              <w:t xml:space="preserve"> La Cour d’appel a</w:t>
            </w:r>
            <w:r w:rsidRPr="008A006D">
              <w:rPr>
                <w:smallCaps w:val="0"/>
                <w:sz w:val="20"/>
                <w:szCs w:val="20"/>
                <w:lang w:val="fr-CA"/>
              </w:rPr>
              <w:noBreakHyphen/>
              <w:t>t</w:t>
            </w:r>
            <w:r w:rsidRPr="008A006D">
              <w:rPr>
                <w:smallCaps w:val="0"/>
                <w:sz w:val="20"/>
                <w:szCs w:val="20"/>
                <w:lang w:val="fr-CA"/>
              </w:rPr>
              <w:noBreakHyphen/>
              <w:t xml:space="preserve">elle erré dans l’interprétation et l’application des art. 6, 7, 1375 et 1503 du </w:t>
            </w:r>
            <w:r w:rsidRPr="008A006D">
              <w:rPr>
                <w:i/>
                <w:smallCaps w:val="0"/>
                <w:sz w:val="20"/>
                <w:szCs w:val="20"/>
                <w:lang w:val="fr-CA"/>
              </w:rPr>
              <w:t>Code civil du Québec</w:t>
            </w:r>
            <w:r w:rsidRPr="008A006D">
              <w:rPr>
                <w:smallCaps w:val="0"/>
                <w:sz w:val="20"/>
                <w:szCs w:val="20"/>
                <w:lang w:val="fr-CA"/>
              </w:rPr>
              <w:t xml:space="preserve"> et de l’arrêt </w:t>
            </w:r>
            <w:r w:rsidRPr="008A006D">
              <w:rPr>
                <w:i/>
                <w:smallCaps w:val="0"/>
                <w:sz w:val="20"/>
                <w:szCs w:val="20"/>
                <w:lang w:val="fr-CA"/>
              </w:rPr>
              <w:t>Société en commandite Place Mullins c. Services immobiliers Diane Bisson inc.</w:t>
            </w:r>
            <w:r w:rsidRPr="008A006D">
              <w:rPr>
                <w:smallCaps w:val="0"/>
                <w:sz w:val="20"/>
                <w:szCs w:val="20"/>
                <w:lang w:val="fr-CA"/>
              </w:rPr>
              <w:t xml:space="preserve">, 2015 CSC 36, en refusant de considérer la mauvaise foi des intimées, dont le juge du procès a reconnu l’existence, comme une faute ayant empêché l’obligation conditionnelle de Partenariat de 10% de devenir une obligation pure et simple? </w:t>
            </w:r>
            <w:proofErr w:type="gramStart"/>
            <w:r w:rsidRPr="008A006D">
              <w:rPr>
                <w:smallCaps w:val="0"/>
                <w:sz w:val="20"/>
                <w:szCs w:val="20"/>
              </w:rPr>
              <w:t>⸺</w:t>
            </w:r>
            <w:r w:rsidRPr="008A006D">
              <w:rPr>
                <w:smallCaps w:val="0"/>
                <w:sz w:val="20"/>
                <w:szCs w:val="20"/>
                <w:lang w:val="fr-CA"/>
              </w:rPr>
              <w:t xml:space="preserve"> Subsidiairement, alors que la mauvaise foi des intimées avait été prouvée par la demanderesse et reconnue par le juge du procès, la Cour d’appel a</w:t>
            </w:r>
            <w:r w:rsidRPr="008A006D">
              <w:rPr>
                <w:smallCaps w:val="0"/>
                <w:sz w:val="20"/>
                <w:szCs w:val="20"/>
                <w:lang w:val="fr-CA"/>
              </w:rPr>
              <w:noBreakHyphen/>
              <w:t>t</w:t>
            </w:r>
            <w:r w:rsidRPr="008A006D">
              <w:rPr>
                <w:smallCaps w:val="0"/>
                <w:sz w:val="20"/>
                <w:szCs w:val="20"/>
                <w:lang w:val="fr-CA"/>
              </w:rPr>
              <w:noBreakHyphen/>
              <w:t>elle perpétué l’erreur de ce dernier en n’ordonnant pas un renversement du fardeau de la preuve pour déterminer si le retrait, par les intimées, des projets du Centre universitaire de santé McGill (CUSM), Centre hospitalier de l’Université de Montréal (CHUM) et Centre de recherche du Centre hospitalier de l’Université de Montréal (CRCHUM) constituait un comportement fautif en vertu de l’art. </w:t>
            </w:r>
            <w:proofErr w:type="gramEnd"/>
            <w:r w:rsidRPr="008A006D">
              <w:rPr>
                <w:smallCaps w:val="0"/>
                <w:sz w:val="20"/>
                <w:szCs w:val="20"/>
                <w:lang w:val="fr-CA"/>
              </w:rPr>
              <w:t xml:space="preserve">1503 du </w:t>
            </w:r>
            <w:r w:rsidRPr="008A006D">
              <w:rPr>
                <w:i/>
                <w:smallCaps w:val="0"/>
                <w:sz w:val="20"/>
                <w:szCs w:val="20"/>
                <w:lang w:val="fr-CA"/>
              </w:rPr>
              <w:t>Code civil du Québec</w:t>
            </w:r>
            <w:r w:rsidRPr="008A006D">
              <w:rPr>
                <w:smallCaps w:val="0"/>
                <w:sz w:val="20"/>
                <w:szCs w:val="20"/>
                <w:lang w:val="fr-CA"/>
              </w:rPr>
              <w:t xml:space="preserve">? </w:t>
            </w:r>
            <w:r w:rsidRPr="008A006D">
              <w:rPr>
                <w:smallCaps w:val="0"/>
                <w:sz w:val="20"/>
                <w:szCs w:val="20"/>
              </w:rPr>
              <w:t>⸺</w:t>
            </w:r>
            <w:r w:rsidRPr="008A006D">
              <w:rPr>
                <w:smallCaps w:val="0"/>
                <w:sz w:val="20"/>
                <w:szCs w:val="20"/>
                <w:lang w:val="fr-CA"/>
              </w:rPr>
              <w:t xml:space="preserve"> Relativement à la compensation de la demanderesse, la Cour d’appel a</w:t>
            </w:r>
            <w:r w:rsidRPr="008A006D">
              <w:rPr>
                <w:smallCaps w:val="0"/>
                <w:sz w:val="20"/>
                <w:szCs w:val="20"/>
                <w:lang w:val="fr-CA"/>
              </w:rPr>
              <w:noBreakHyphen/>
              <w:t>t</w:t>
            </w:r>
            <w:r w:rsidRPr="008A006D">
              <w:rPr>
                <w:smallCaps w:val="0"/>
                <w:sz w:val="20"/>
                <w:szCs w:val="20"/>
                <w:lang w:val="fr-CA"/>
              </w:rPr>
              <w:noBreakHyphen/>
              <w:t xml:space="preserve">elle erré en droit en ignorant l’application de l’art. 1507 CCQ en l’instance alors que la condition suspensive a été rencontrée par la demanderesse avant même </w:t>
            </w:r>
            <w:r w:rsidRPr="008A006D">
              <w:rPr>
                <w:smallCaps w:val="0"/>
                <w:sz w:val="20"/>
                <w:szCs w:val="20"/>
                <w:lang w:val="fr-CA"/>
              </w:rPr>
              <w:lastRenderedPageBreak/>
              <w:t xml:space="preserve">que les intimées se désistent des projets du CUSM, CRCHUM et CHUM? </w:t>
            </w:r>
            <w:proofErr w:type="gramStart"/>
            <w:r w:rsidRPr="008A006D">
              <w:rPr>
                <w:smallCaps w:val="0"/>
                <w:sz w:val="20"/>
                <w:szCs w:val="20"/>
              </w:rPr>
              <w:t xml:space="preserve">⸺  </w:t>
            </w:r>
            <w:r w:rsidRPr="008A006D">
              <w:rPr>
                <w:i/>
                <w:smallCaps w:val="0"/>
                <w:sz w:val="20"/>
                <w:szCs w:val="20"/>
              </w:rPr>
              <w:t>Code</w:t>
            </w:r>
            <w:proofErr w:type="gramEnd"/>
            <w:r w:rsidRPr="008A006D">
              <w:rPr>
                <w:i/>
                <w:smallCaps w:val="0"/>
                <w:sz w:val="20"/>
                <w:szCs w:val="20"/>
              </w:rPr>
              <w:t xml:space="preserve"> civil du Québec</w:t>
            </w:r>
            <w:r w:rsidRPr="008A006D">
              <w:rPr>
                <w:smallCaps w:val="0"/>
                <w:sz w:val="20"/>
                <w:szCs w:val="20"/>
              </w:rPr>
              <w:t>, art. 6, 7, 1375, 1503 et 1507.</w:t>
            </w:r>
          </w:p>
        </w:tc>
      </w:tr>
      <w:tr w:rsidR="003B4723" w:rsidRPr="008A006D">
        <w:tc>
          <w:tcPr>
            <w:tcW w:w="5000" w:type="pct"/>
            <w:gridSpan w:val="4"/>
          </w:tcPr>
          <w:p w:rsidR="003B4723" w:rsidRPr="008A006D" w:rsidRDefault="003B4723" w:rsidP="003B4723">
            <w:pPr>
              <w:jc w:val="both"/>
              <w:rPr>
                <w:sz w:val="20"/>
              </w:rPr>
            </w:pPr>
          </w:p>
        </w:tc>
      </w:tr>
      <w:tr w:rsidR="003B4723" w:rsidRPr="00D72403">
        <w:tc>
          <w:tcPr>
            <w:tcW w:w="5000" w:type="pct"/>
            <w:gridSpan w:val="4"/>
          </w:tcPr>
          <w:p w:rsidR="003B4723" w:rsidRPr="008A006D" w:rsidRDefault="003B4723" w:rsidP="003B4723">
            <w:pPr>
              <w:jc w:val="both"/>
              <w:rPr>
                <w:sz w:val="20"/>
                <w:lang w:val="fr-CA"/>
              </w:rPr>
            </w:pPr>
            <w:r w:rsidRPr="008A006D">
              <w:rPr>
                <w:sz w:val="20"/>
                <w:lang w:val="fr-CA"/>
              </w:rPr>
              <w:t>La demanderesse Gestion RNB Inc. (RNB) est une petite entreprise québécoise spécialisée dans la gestion de projets de construction. L’intimée URS Corporation (URS), quant à elle, est une entreprise américaine qui œuvre mondialement dans le domaine de la gestion de projets d’architecture, de génie et de construction. En juillet 2014, URS fusionne ses activités avec une seconde entreprise créant ainsi la compagnie AECOM Global II LCC qui est contrôlée par l’entité AECOM toutes deux intimées en l’espèce. En 2005, RNB obtient un contrat de démarchage et de partenariat avec URS qui désire obtenir des contrats relatifs à des projets de construction. Le contrat prévoyait une rémunération au taux horaire et un partenariat entre les parties à hauteur de 10 % de la valeur de tout projet de services gagné par URS grâce au démarchage réalisé par RNB. Le contrat a été résilié par URS en 2006. Cette résiliation est confirmée par la Cour supérieure qui détermine toutefois que la clause relative au partenariat de 10% entre les parties suivit à la résiliation. RNB entreprend un recours contre les intimées afin d’obtenir le recouvrement de la somme de 9 960 516 $ correspondant à 10% de la valeur des contrats qu’URS aurait dû obtenir en raison du démarchage qu’elle a réalisé relativement à trois projets de méga</w:t>
            </w:r>
            <w:r w:rsidRPr="008A006D">
              <w:rPr>
                <w:sz w:val="20"/>
                <w:lang w:val="fr-CA"/>
              </w:rPr>
              <w:noBreakHyphen/>
              <w:t>hôpitaux. La Cour supérieure a accueilli en partie la demande de RNB et la Cour d’appel a rejeté son appel.</w:t>
            </w:r>
          </w:p>
          <w:p w:rsidR="003B4723" w:rsidRPr="008A006D" w:rsidRDefault="003B4723" w:rsidP="003B4723">
            <w:pPr>
              <w:jc w:val="both"/>
              <w:rPr>
                <w:sz w:val="20"/>
                <w:lang w:val="fr-CA"/>
              </w:rPr>
            </w:pPr>
          </w:p>
        </w:tc>
      </w:tr>
      <w:tr w:rsidR="003B4723" w:rsidRPr="00D72403">
        <w:tc>
          <w:tcPr>
            <w:tcW w:w="2427" w:type="pct"/>
            <w:gridSpan w:val="2"/>
          </w:tcPr>
          <w:p w:rsidR="003B4723" w:rsidRPr="008A006D" w:rsidRDefault="003B4723" w:rsidP="003B4723">
            <w:pPr>
              <w:jc w:val="both"/>
              <w:rPr>
                <w:sz w:val="20"/>
                <w:lang w:val="fr-CA"/>
              </w:rPr>
            </w:pPr>
            <w:r w:rsidRPr="008A006D">
              <w:rPr>
                <w:sz w:val="20"/>
                <w:lang w:val="fr-CA"/>
              </w:rPr>
              <w:t>Le 7 juin 2018</w:t>
            </w:r>
          </w:p>
          <w:p w:rsidR="003B4723" w:rsidRPr="008A006D" w:rsidRDefault="003B4723" w:rsidP="003B4723">
            <w:pPr>
              <w:jc w:val="both"/>
              <w:rPr>
                <w:sz w:val="20"/>
                <w:lang w:val="fr-CA"/>
              </w:rPr>
            </w:pPr>
            <w:r w:rsidRPr="008A006D">
              <w:rPr>
                <w:sz w:val="20"/>
                <w:lang w:val="fr-CA"/>
              </w:rPr>
              <w:t>Cour supérieure du Québec</w:t>
            </w:r>
          </w:p>
          <w:p w:rsidR="003B4723" w:rsidRPr="008A006D" w:rsidRDefault="003B4723" w:rsidP="003B4723">
            <w:pPr>
              <w:jc w:val="both"/>
              <w:rPr>
                <w:sz w:val="20"/>
              </w:rPr>
            </w:pPr>
            <w:r w:rsidRPr="008A006D">
              <w:rPr>
                <w:sz w:val="20"/>
              </w:rPr>
              <w:t>(Le juge Michaud)</w:t>
            </w:r>
          </w:p>
          <w:p w:rsidR="003B4723" w:rsidRPr="008A006D" w:rsidRDefault="00D72403" w:rsidP="003B4723">
            <w:pPr>
              <w:jc w:val="both"/>
              <w:rPr>
                <w:sz w:val="20"/>
              </w:rPr>
            </w:pPr>
            <w:hyperlink r:id="rId18" w:history="1">
              <w:r w:rsidR="003B4723" w:rsidRPr="008A006D">
                <w:rPr>
                  <w:rStyle w:val="Hyperlink"/>
                  <w:sz w:val="20"/>
                </w:rPr>
                <w:t>2018 QCCS 2458</w:t>
              </w:r>
            </w:hyperlink>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lang w:val="fr-CA"/>
              </w:rPr>
            </w:pPr>
            <w:r w:rsidRPr="008A006D">
              <w:rPr>
                <w:sz w:val="20"/>
                <w:lang w:val="fr-CA"/>
              </w:rPr>
              <w:t>Demande en justice ré</w:t>
            </w:r>
            <w:r w:rsidRPr="008A006D">
              <w:rPr>
                <w:sz w:val="20"/>
                <w:lang w:val="fr-CA"/>
              </w:rPr>
              <w:noBreakHyphen/>
              <w:t>ré</w:t>
            </w:r>
            <w:r w:rsidRPr="008A006D">
              <w:rPr>
                <w:sz w:val="20"/>
                <w:lang w:val="fr-CA"/>
              </w:rPr>
              <w:noBreakHyphen/>
              <w:t>amendée datée du 3 juin 2016 accueillie.</w:t>
            </w:r>
          </w:p>
          <w:p w:rsidR="003B4723" w:rsidRPr="008A006D" w:rsidRDefault="003B4723" w:rsidP="003B4723">
            <w:pPr>
              <w:jc w:val="both"/>
              <w:rPr>
                <w:sz w:val="20"/>
                <w:lang w:val="fr-CA"/>
              </w:rPr>
            </w:pPr>
            <w:r w:rsidRPr="008A006D">
              <w:rPr>
                <w:sz w:val="20"/>
                <w:lang w:val="fr-CA"/>
              </w:rPr>
              <w:t>Demande en justice ré</w:t>
            </w:r>
            <w:r w:rsidRPr="008A006D">
              <w:rPr>
                <w:sz w:val="20"/>
                <w:lang w:val="fr-CA"/>
              </w:rPr>
              <w:noBreakHyphen/>
              <w:t>ré</w:t>
            </w:r>
            <w:r w:rsidRPr="008A006D">
              <w:rPr>
                <w:sz w:val="20"/>
                <w:lang w:val="fr-CA"/>
              </w:rPr>
              <w:noBreakHyphen/>
              <w:t>amendée datée du 3 juin 2016 quant à AECOM rejetée.</w:t>
            </w:r>
          </w:p>
          <w:p w:rsidR="003B4723" w:rsidRPr="008A006D" w:rsidRDefault="003B4723" w:rsidP="003B4723">
            <w:pPr>
              <w:jc w:val="both"/>
              <w:rPr>
                <w:sz w:val="20"/>
                <w:lang w:val="fr-CA"/>
              </w:rPr>
            </w:pPr>
            <w:r w:rsidRPr="008A006D">
              <w:rPr>
                <w:sz w:val="20"/>
                <w:lang w:val="fr-CA"/>
              </w:rPr>
              <w:t xml:space="preserve">URS Corporation et AECOM Global II, LLC condamnés à payer 125 545 $ à Gestion RNB inc. </w:t>
            </w:r>
          </w:p>
          <w:p w:rsidR="00F015F9" w:rsidRPr="008A006D" w:rsidRDefault="00F015F9" w:rsidP="003B4723">
            <w:pPr>
              <w:jc w:val="both"/>
              <w:rPr>
                <w:sz w:val="20"/>
                <w:lang w:val="fr-CA"/>
              </w:rPr>
            </w:pPr>
          </w:p>
        </w:tc>
      </w:tr>
      <w:tr w:rsidR="003B4723" w:rsidRPr="008A006D">
        <w:tc>
          <w:tcPr>
            <w:tcW w:w="2427" w:type="pct"/>
            <w:gridSpan w:val="2"/>
          </w:tcPr>
          <w:p w:rsidR="003B4723" w:rsidRPr="008A006D" w:rsidRDefault="003B4723" w:rsidP="003B4723">
            <w:pPr>
              <w:jc w:val="both"/>
              <w:rPr>
                <w:sz w:val="20"/>
                <w:lang w:val="fr-CA"/>
              </w:rPr>
            </w:pPr>
            <w:r w:rsidRPr="008A006D">
              <w:rPr>
                <w:sz w:val="20"/>
                <w:lang w:val="fr-CA"/>
              </w:rPr>
              <w:t>Le 12 mars 2021</w:t>
            </w:r>
          </w:p>
          <w:p w:rsidR="003B4723" w:rsidRPr="008A006D" w:rsidRDefault="003B4723" w:rsidP="003B4723">
            <w:pPr>
              <w:jc w:val="both"/>
              <w:rPr>
                <w:sz w:val="20"/>
                <w:lang w:val="fr-CA"/>
              </w:rPr>
            </w:pPr>
            <w:r w:rsidRPr="008A006D">
              <w:rPr>
                <w:sz w:val="20"/>
                <w:lang w:val="fr-CA"/>
              </w:rPr>
              <w:t>Cour d’appel du Québec (Montréal)</w:t>
            </w:r>
          </w:p>
          <w:p w:rsidR="003B4723" w:rsidRPr="008A006D" w:rsidRDefault="003B4723" w:rsidP="003B4723">
            <w:pPr>
              <w:jc w:val="both"/>
              <w:rPr>
                <w:sz w:val="20"/>
                <w:lang w:val="fr-CA"/>
              </w:rPr>
            </w:pPr>
            <w:r w:rsidRPr="008A006D">
              <w:rPr>
                <w:sz w:val="20"/>
                <w:lang w:val="fr-CA"/>
              </w:rPr>
              <w:t>(Les juges Morissette, Healy et Hamilton)</w:t>
            </w:r>
          </w:p>
          <w:p w:rsidR="003B4723" w:rsidRPr="008A006D" w:rsidRDefault="00D72403" w:rsidP="003B4723">
            <w:pPr>
              <w:jc w:val="both"/>
              <w:rPr>
                <w:sz w:val="20"/>
              </w:rPr>
            </w:pPr>
            <w:hyperlink r:id="rId19" w:history="1">
              <w:r w:rsidR="003B4723" w:rsidRPr="008A006D">
                <w:rPr>
                  <w:rStyle w:val="Hyperlink"/>
                  <w:sz w:val="20"/>
                </w:rPr>
                <w:t>2021 QCCA 405</w:t>
              </w:r>
            </w:hyperlink>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Appel rejeté.</w:t>
            </w:r>
          </w:p>
          <w:p w:rsidR="003B4723" w:rsidRPr="008A006D" w:rsidRDefault="003B4723" w:rsidP="003B4723">
            <w:pPr>
              <w:jc w:val="both"/>
              <w:rPr>
                <w:sz w:val="20"/>
              </w:rPr>
            </w:pPr>
          </w:p>
        </w:tc>
      </w:tr>
      <w:tr w:rsidR="003B4723" w:rsidRPr="008A006D">
        <w:tc>
          <w:tcPr>
            <w:tcW w:w="2427" w:type="pct"/>
            <w:gridSpan w:val="2"/>
          </w:tcPr>
          <w:p w:rsidR="003B4723" w:rsidRPr="008A006D" w:rsidRDefault="003B4723" w:rsidP="003B4723">
            <w:pPr>
              <w:jc w:val="both"/>
              <w:rPr>
                <w:sz w:val="20"/>
                <w:lang w:val="fr-CA"/>
              </w:rPr>
            </w:pPr>
            <w:r w:rsidRPr="008A006D">
              <w:rPr>
                <w:sz w:val="20"/>
                <w:lang w:val="fr-CA"/>
              </w:rPr>
              <w:t>Le 6 août 2021</w:t>
            </w:r>
          </w:p>
          <w:p w:rsidR="003B4723" w:rsidRPr="008A006D" w:rsidRDefault="003B4723" w:rsidP="003B4723">
            <w:pPr>
              <w:jc w:val="both"/>
              <w:rPr>
                <w:sz w:val="20"/>
                <w:lang w:val="fr-CA"/>
              </w:rPr>
            </w:pPr>
            <w:r w:rsidRPr="008A006D">
              <w:rPr>
                <w:sz w:val="20"/>
                <w:lang w:val="fr-CA"/>
              </w:rPr>
              <w:t>Cour suprême du Canada</w:t>
            </w: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rPr>
            </w:pPr>
            <w:r w:rsidRPr="008A006D">
              <w:rPr>
                <w:sz w:val="20"/>
              </w:rPr>
              <w:t>Demande d'autorisation d'appel déposée.</w:t>
            </w:r>
          </w:p>
          <w:p w:rsidR="003B4723" w:rsidRPr="008A006D" w:rsidRDefault="003B4723" w:rsidP="003B4723">
            <w:pPr>
              <w:jc w:val="both"/>
              <w:rPr>
                <w:sz w:val="20"/>
              </w:rPr>
            </w:pPr>
          </w:p>
        </w:tc>
      </w:tr>
    </w:tbl>
    <w:p w:rsidR="003B4723" w:rsidRPr="008A006D" w:rsidRDefault="003B4723" w:rsidP="003B4723">
      <w:pPr>
        <w:jc w:val="both"/>
        <w:rPr>
          <w:sz w:val="20"/>
        </w:rPr>
      </w:pPr>
    </w:p>
    <w:p w:rsidR="00F015F9" w:rsidRPr="008A006D" w:rsidRDefault="00D72403" w:rsidP="003B4723">
      <w:pPr>
        <w:jc w:val="both"/>
        <w:rPr>
          <w:sz w:val="20"/>
        </w:rPr>
      </w:pPr>
      <w:r>
        <w:rPr>
          <w:sz w:val="20"/>
        </w:rPr>
        <w:pict>
          <v:rect id="_x0000_i1030" style="width:2in;height:1pt" o:hrpct="0" o:hralign="center" o:hrstd="t" o:hrnoshade="t" o:hr="t" fillcolor="black [3213]" stroked="f"/>
        </w:pict>
      </w:r>
    </w:p>
    <w:p w:rsidR="002E2A68" w:rsidRPr="008A006D" w:rsidRDefault="002E2A68" w:rsidP="003B472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723" w:rsidRPr="008A006D" w:rsidTr="003B4723">
        <w:tc>
          <w:tcPr>
            <w:tcW w:w="543" w:type="pct"/>
          </w:tcPr>
          <w:p w:rsidR="003B4723" w:rsidRPr="008A006D" w:rsidRDefault="003B4723" w:rsidP="003B4723">
            <w:pPr>
              <w:jc w:val="both"/>
              <w:rPr>
                <w:sz w:val="20"/>
              </w:rPr>
            </w:pPr>
            <w:r w:rsidRPr="008A006D">
              <w:rPr>
                <w:rStyle w:val="SCCFileNumberChar"/>
                <w:sz w:val="20"/>
                <w:szCs w:val="20"/>
              </w:rPr>
              <w:t>39814</w:t>
            </w:r>
          </w:p>
        </w:tc>
        <w:tc>
          <w:tcPr>
            <w:tcW w:w="4457" w:type="pct"/>
            <w:gridSpan w:val="3"/>
          </w:tcPr>
          <w:p w:rsidR="003B4723" w:rsidRPr="008A006D" w:rsidRDefault="003B4723" w:rsidP="003B4723">
            <w:pPr>
              <w:pStyle w:val="SCCLsocParty"/>
              <w:jc w:val="both"/>
              <w:rPr>
                <w:b/>
                <w:sz w:val="20"/>
                <w:szCs w:val="20"/>
                <w:lang w:val="en-US"/>
              </w:rPr>
            </w:pPr>
            <w:r w:rsidRPr="008A006D">
              <w:rPr>
                <w:b/>
                <w:sz w:val="20"/>
                <w:szCs w:val="20"/>
                <w:lang w:val="en-US"/>
              </w:rPr>
              <w:t>Barry Gerard Hynes v. Sharon Ann Snook</w:t>
            </w:r>
          </w:p>
          <w:p w:rsidR="003B4723" w:rsidRPr="008A006D" w:rsidRDefault="003B4723" w:rsidP="003B4723">
            <w:pPr>
              <w:jc w:val="both"/>
              <w:rPr>
                <w:sz w:val="20"/>
              </w:rPr>
            </w:pPr>
            <w:r w:rsidRPr="008A006D">
              <w:rPr>
                <w:sz w:val="20"/>
              </w:rPr>
              <w:t>(N.L.) (Civil) (By Leave)</w:t>
            </w:r>
          </w:p>
        </w:tc>
      </w:tr>
      <w:tr w:rsidR="003B4723" w:rsidRPr="008A006D" w:rsidTr="003B4723">
        <w:tc>
          <w:tcPr>
            <w:tcW w:w="5000" w:type="pct"/>
            <w:gridSpan w:val="4"/>
          </w:tcPr>
          <w:p w:rsidR="003B4723" w:rsidRPr="008A006D" w:rsidRDefault="003B4723" w:rsidP="003B4723">
            <w:pPr>
              <w:pStyle w:val="SCCBanSummary"/>
              <w:rPr>
                <w:sz w:val="20"/>
                <w:szCs w:val="20"/>
              </w:rPr>
            </w:pPr>
            <w:r w:rsidRPr="008A006D">
              <w:rPr>
                <w:sz w:val="20"/>
                <w:szCs w:val="20"/>
              </w:rPr>
              <w:t>(Certain information not available to the public)</w:t>
            </w:r>
          </w:p>
          <w:p w:rsidR="003B4723" w:rsidRPr="008A006D" w:rsidRDefault="003B4723" w:rsidP="003B4723">
            <w:pPr>
              <w:jc w:val="both"/>
              <w:rPr>
                <w:sz w:val="20"/>
              </w:rPr>
            </w:pPr>
          </w:p>
          <w:p w:rsidR="003B4723" w:rsidRPr="008A006D" w:rsidRDefault="003B4723" w:rsidP="003B4723">
            <w:pPr>
              <w:jc w:val="both"/>
              <w:rPr>
                <w:sz w:val="20"/>
              </w:rPr>
            </w:pPr>
            <w:r w:rsidRPr="008A006D">
              <w:rPr>
                <w:sz w:val="20"/>
              </w:rPr>
              <w:t>Family law — Common law spouses — Family assets — Support — Parties separating after living together for 18 years — Respondent awarded a share in property owned by applicant, subject to set</w:t>
            </w:r>
            <w:r w:rsidRPr="008A006D">
              <w:rPr>
                <w:sz w:val="20"/>
              </w:rPr>
              <w:noBreakHyphen/>
              <w:t>off, and retroactive and continuing spousal support — What does it mean to be in a “conjugal” relationship in Canada? — Whether the current definition appropriately recognizes the diversity of family structures and relationships in Canada — Whether a 17</w:t>
            </w:r>
            <w:r w:rsidRPr="008A006D">
              <w:rPr>
                <w:sz w:val="20"/>
              </w:rPr>
              <w:noBreakHyphen/>
              <w:t>year co</w:t>
            </w:r>
            <w:r w:rsidRPr="008A006D">
              <w:rPr>
                <w:sz w:val="20"/>
              </w:rPr>
              <w:noBreakHyphen/>
              <w:t xml:space="preserve">residency, with no children, no financial integration, and no “joint family venture” should be considered “conjugal” — How should Canadian courts approach the legal tests, including that in </w:t>
            </w:r>
            <w:r w:rsidRPr="008A006D">
              <w:rPr>
                <w:i/>
                <w:sz w:val="20"/>
              </w:rPr>
              <w:t>Kerr v. Baranow</w:t>
            </w:r>
            <w:r w:rsidRPr="008A006D">
              <w:rPr>
                <w:sz w:val="20"/>
              </w:rPr>
              <w:t>, 2011 SCC 10, for property entitlement upon the breakdown of a conjugal relationship? — Whether legal title of joint tenancy equates to equal beneficial ownership.</w:t>
            </w:r>
          </w:p>
        </w:tc>
      </w:tr>
      <w:tr w:rsidR="003B4723" w:rsidRPr="008A006D" w:rsidTr="003B4723">
        <w:tc>
          <w:tcPr>
            <w:tcW w:w="5000" w:type="pct"/>
            <w:gridSpan w:val="4"/>
          </w:tcPr>
          <w:p w:rsidR="003B4723" w:rsidRPr="008A006D" w:rsidRDefault="003B4723" w:rsidP="003B4723">
            <w:pPr>
              <w:jc w:val="both"/>
              <w:rPr>
                <w:sz w:val="20"/>
              </w:rPr>
            </w:pPr>
          </w:p>
        </w:tc>
      </w:tr>
      <w:tr w:rsidR="003B4723" w:rsidRPr="008A006D" w:rsidTr="003B4723">
        <w:tc>
          <w:tcPr>
            <w:tcW w:w="5000" w:type="pct"/>
            <w:gridSpan w:val="4"/>
          </w:tcPr>
          <w:p w:rsidR="003B4723" w:rsidRPr="008A006D" w:rsidRDefault="003B4723" w:rsidP="003B4723">
            <w:pPr>
              <w:jc w:val="both"/>
              <w:rPr>
                <w:sz w:val="20"/>
              </w:rPr>
            </w:pPr>
            <w:r w:rsidRPr="008A006D">
              <w:rPr>
                <w:sz w:val="20"/>
              </w:rPr>
              <w:t>The parties began residing with one another in 1996, in a home formerly owned by the respondent’s parents. At the time, the applicant contributed to the capital improvements and operating costs of the house while the respondent paid the mortgage. In 2006, the parties purchased a new home and title was taken in joint names. They resided there until the respondent left in July 2014. The applicant paid all of the costs associated with that home. When the parties separated, the respondent sought partner support, property division as a common</w:t>
            </w:r>
            <w:r w:rsidRPr="008A006D">
              <w:rPr>
                <w:sz w:val="20"/>
              </w:rPr>
              <w:noBreakHyphen/>
              <w:t>law spouse and costs. The applicant opposed all claims, arguing that the parties were not common</w:t>
            </w:r>
            <w:r w:rsidRPr="008A006D">
              <w:rPr>
                <w:sz w:val="20"/>
              </w:rPr>
              <w:noBreakHyphen/>
              <w:t>law partners, but if they were, that she had missed the two</w:t>
            </w:r>
            <w:r w:rsidRPr="008A006D">
              <w:rPr>
                <w:sz w:val="20"/>
              </w:rPr>
              <w:noBreakHyphen/>
              <w:t>year limitation period for support. He also relied on principles of resulting trust and unjust enrichment to defeat the respondent’s property claims.</w:t>
            </w:r>
          </w:p>
          <w:p w:rsidR="003B4723" w:rsidRPr="008A006D" w:rsidRDefault="003B4723" w:rsidP="003B4723">
            <w:pPr>
              <w:jc w:val="both"/>
              <w:rPr>
                <w:sz w:val="20"/>
              </w:rPr>
            </w:pPr>
          </w:p>
          <w:p w:rsidR="003B4723" w:rsidRPr="008A006D" w:rsidRDefault="003B4723" w:rsidP="003B4723">
            <w:pPr>
              <w:jc w:val="both"/>
              <w:rPr>
                <w:sz w:val="20"/>
              </w:rPr>
            </w:pPr>
            <w:r w:rsidRPr="008A006D">
              <w:rPr>
                <w:sz w:val="20"/>
              </w:rPr>
              <w:t>The trial judge awarded the respondent a share of property in addition to monthly spousal support for a period of 17 years. On the applicant’s appeal, the amount of the respondent’s property award was increased and the amount and duration of spousal support was reduced.</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lastRenderedPageBreak/>
              <w:t>May 24, 2019</w:t>
            </w:r>
          </w:p>
          <w:p w:rsidR="003B4723" w:rsidRPr="008A006D" w:rsidRDefault="003B4723" w:rsidP="003B4723">
            <w:pPr>
              <w:jc w:val="both"/>
              <w:rPr>
                <w:sz w:val="20"/>
              </w:rPr>
            </w:pPr>
            <w:r w:rsidRPr="008A006D">
              <w:rPr>
                <w:sz w:val="20"/>
              </w:rPr>
              <w:t xml:space="preserve">Supreme Court of Newfoundland and </w:t>
            </w:r>
          </w:p>
          <w:p w:rsidR="003B4723" w:rsidRPr="008A006D" w:rsidRDefault="003B4723" w:rsidP="003B4723">
            <w:pPr>
              <w:jc w:val="both"/>
              <w:rPr>
                <w:sz w:val="20"/>
              </w:rPr>
            </w:pPr>
            <w:r w:rsidRPr="008A006D">
              <w:rPr>
                <w:sz w:val="20"/>
              </w:rPr>
              <w:t>Labrador, Family Division</w:t>
            </w:r>
          </w:p>
          <w:p w:rsidR="003B4723" w:rsidRPr="008A006D" w:rsidRDefault="003B4723" w:rsidP="003B4723">
            <w:pPr>
              <w:jc w:val="both"/>
              <w:rPr>
                <w:sz w:val="20"/>
              </w:rPr>
            </w:pPr>
            <w:r w:rsidRPr="008A006D">
              <w:rPr>
                <w:sz w:val="20"/>
              </w:rPr>
              <w:t>(MacDonald J.)</w:t>
            </w:r>
          </w:p>
          <w:p w:rsidR="003B4723" w:rsidRPr="008A006D" w:rsidRDefault="00D72403" w:rsidP="003B4723">
            <w:pPr>
              <w:jc w:val="both"/>
              <w:rPr>
                <w:sz w:val="20"/>
              </w:rPr>
            </w:pPr>
            <w:hyperlink r:id="rId20" w:anchor="document" w:history="1">
              <w:r w:rsidR="003B4723" w:rsidRPr="008A006D">
                <w:rPr>
                  <w:rStyle w:val="Hyperlink"/>
                  <w:sz w:val="20"/>
                </w:rPr>
                <w:t>2019 NLSC 110</w:t>
              </w:r>
            </w:hyperlink>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 xml:space="preserve">Respondent’s claim for division of property, partner support and costs granted; applicant’s position that parties did not have a conjugal relationship rejected. </w:t>
            </w:r>
          </w:p>
          <w:p w:rsidR="003B4723" w:rsidRPr="008A006D" w:rsidRDefault="003B4723" w:rsidP="003B4723">
            <w:pPr>
              <w:jc w:val="both"/>
              <w:rPr>
                <w:sz w:val="20"/>
              </w:rPr>
            </w:pP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May 25, 2021</w:t>
            </w:r>
          </w:p>
          <w:p w:rsidR="003B4723" w:rsidRPr="008A006D" w:rsidRDefault="003B4723" w:rsidP="003B4723">
            <w:pPr>
              <w:jc w:val="both"/>
              <w:rPr>
                <w:sz w:val="20"/>
              </w:rPr>
            </w:pPr>
            <w:r w:rsidRPr="008A006D">
              <w:rPr>
                <w:sz w:val="20"/>
              </w:rPr>
              <w:t xml:space="preserve">Court of Appeal of Newfoundland and </w:t>
            </w:r>
          </w:p>
          <w:p w:rsidR="003B4723" w:rsidRPr="008A006D" w:rsidRDefault="003B4723" w:rsidP="003B4723">
            <w:pPr>
              <w:jc w:val="both"/>
              <w:rPr>
                <w:sz w:val="20"/>
              </w:rPr>
            </w:pPr>
            <w:r w:rsidRPr="008A006D">
              <w:rPr>
                <w:sz w:val="20"/>
              </w:rPr>
              <w:t>Labrador</w:t>
            </w:r>
          </w:p>
          <w:p w:rsidR="003B4723" w:rsidRPr="008A006D" w:rsidRDefault="003B4723" w:rsidP="003B4723">
            <w:pPr>
              <w:jc w:val="both"/>
              <w:rPr>
                <w:sz w:val="20"/>
              </w:rPr>
            </w:pPr>
            <w:r w:rsidRPr="008A006D">
              <w:rPr>
                <w:sz w:val="20"/>
              </w:rPr>
              <w:t>(Welsh, Goodridge and Butler JJ.A.)</w:t>
            </w:r>
          </w:p>
          <w:p w:rsidR="003B4723" w:rsidRPr="008A006D" w:rsidRDefault="00D72403" w:rsidP="003B4723">
            <w:pPr>
              <w:jc w:val="both"/>
              <w:rPr>
                <w:sz w:val="20"/>
              </w:rPr>
            </w:pPr>
            <w:hyperlink r:id="rId21" w:history="1">
              <w:r w:rsidR="003B4723" w:rsidRPr="008A006D">
                <w:rPr>
                  <w:rStyle w:val="Hyperlink"/>
                  <w:sz w:val="20"/>
                </w:rPr>
                <w:t>2021 NLCA 29</w:t>
              </w:r>
            </w:hyperlink>
            <w:r w:rsidR="003B4723" w:rsidRPr="008A006D">
              <w:rPr>
                <w:sz w:val="20"/>
              </w:rPr>
              <w:t xml:space="preserve"> </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Applicant’s appeal allowed in part; spousal support payable by applicant reduced; applicant’s capital contributions to property owned by respondent set off against respondent’s property award.</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August 24, 2021</w:t>
            </w:r>
          </w:p>
          <w:p w:rsidR="003B4723" w:rsidRPr="008A006D" w:rsidRDefault="003B4723" w:rsidP="003B4723">
            <w:pPr>
              <w:jc w:val="both"/>
              <w:rPr>
                <w:sz w:val="20"/>
              </w:rPr>
            </w:pPr>
            <w:r w:rsidRPr="008A006D">
              <w:rPr>
                <w:sz w:val="20"/>
              </w:rPr>
              <w:t>Supreme Court of Canada</w:t>
            </w: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Application for leave to appeal filed</w:t>
            </w:r>
          </w:p>
          <w:p w:rsidR="003B4723" w:rsidRPr="008A006D" w:rsidRDefault="003B4723" w:rsidP="003B4723">
            <w:pPr>
              <w:jc w:val="both"/>
              <w:rPr>
                <w:sz w:val="20"/>
              </w:rPr>
            </w:pPr>
          </w:p>
        </w:tc>
      </w:tr>
    </w:tbl>
    <w:p w:rsidR="003B4723" w:rsidRPr="008A006D" w:rsidRDefault="003B4723" w:rsidP="003B4723">
      <w:pPr>
        <w:jc w:val="both"/>
        <w:rPr>
          <w:sz w:val="20"/>
        </w:rPr>
      </w:pPr>
    </w:p>
    <w:p w:rsidR="00F015F9" w:rsidRPr="008A006D" w:rsidRDefault="00D72403" w:rsidP="003B4723">
      <w:pPr>
        <w:jc w:val="both"/>
        <w:rPr>
          <w:sz w:val="20"/>
        </w:rPr>
      </w:pPr>
      <w:r>
        <w:rPr>
          <w:sz w:val="20"/>
        </w:rPr>
        <w:pict>
          <v:rect id="_x0000_i1031" style="width:2in;height:1pt" o:hrpct="0" o:hralign="center" o:hrstd="t" o:hrnoshade="t" o:hr="t" fillcolor="black [3213]" stroked="f"/>
        </w:pict>
      </w:r>
    </w:p>
    <w:p w:rsidR="00F015F9" w:rsidRPr="008A006D" w:rsidRDefault="00F015F9" w:rsidP="003B47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723" w:rsidRPr="00D72403" w:rsidTr="003B4723">
        <w:tc>
          <w:tcPr>
            <w:tcW w:w="543" w:type="pct"/>
          </w:tcPr>
          <w:p w:rsidR="003B4723" w:rsidRPr="008A006D" w:rsidRDefault="003B4723" w:rsidP="003B4723">
            <w:pPr>
              <w:jc w:val="both"/>
              <w:rPr>
                <w:sz w:val="20"/>
                <w:lang w:val="fr-CA"/>
              </w:rPr>
            </w:pPr>
            <w:r w:rsidRPr="008A006D">
              <w:rPr>
                <w:rStyle w:val="SCCFileNumberChar"/>
                <w:sz w:val="20"/>
                <w:szCs w:val="20"/>
                <w:lang w:val="fr-CA"/>
              </w:rPr>
              <w:t>39814</w:t>
            </w:r>
          </w:p>
        </w:tc>
        <w:tc>
          <w:tcPr>
            <w:tcW w:w="4457" w:type="pct"/>
            <w:gridSpan w:val="3"/>
          </w:tcPr>
          <w:p w:rsidR="003B4723" w:rsidRPr="008A006D" w:rsidRDefault="003B4723" w:rsidP="003B4723">
            <w:pPr>
              <w:pStyle w:val="SCCLsocParty"/>
              <w:jc w:val="both"/>
              <w:rPr>
                <w:b/>
                <w:sz w:val="20"/>
                <w:szCs w:val="20"/>
                <w:lang w:val="en-US"/>
              </w:rPr>
            </w:pPr>
            <w:r w:rsidRPr="008A006D">
              <w:rPr>
                <w:b/>
                <w:sz w:val="20"/>
                <w:szCs w:val="20"/>
                <w:lang w:val="en-US"/>
              </w:rPr>
              <w:t>Barry Gerard Hynes c. Sharon Ann Snook</w:t>
            </w:r>
          </w:p>
          <w:p w:rsidR="003B4723" w:rsidRPr="008A006D" w:rsidRDefault="003B4723" w:rsidP="003B4723">
            <w:pPr>
              <w:jc w:val="both"/>
              <w:rPr>
                <w:sz w:val="20"/>
                <w:lang w:val="fr-CA"/>
              </w:rPr>
            </w:pPr>
            <w:r w:rsidRPr="008A006D">
              <w:rPr>
                <w:sz w:val="20"/>
                <w:lang w:val="fr-CA"/>
              </w:rPr>
              <w:t>(T.-N.</w:t>
            </w:r>
            <w:r w:rsidR="00F015F9" w:rsidRPr="008A006D">
              <w:rPr>
                <w:sz w:val="20"/>
                <w:lang w:val="fr-CA"/>
              </w:rPr>
              <w:t>-</w:t>
            </w:r>
            <w:r w:rsidRPr="008A006D">
              <w:rPr>
                <w:sz w:val="20"/>
                <w:lang w:val="fr-CA"/>
              </w:rPr>
              <w:t>L.) (Civile) (Sur autorisation)</w:t>
            </w:r>
          </w:p>
        </w:tc>
      </w:tr>
      <w:tr w:rsidR="003B4723" w:rsidRPr="00D72403" w:rsidTr="003B4723">
        <w:tc>
          <w:tcPr>
            <w:tcW w:w="5000" w:type="pct"/>
            <w:gridSpan w:val="4"/>
          </w:tcPr>
          <w:p w:rsidR="003B4723" w:rsidRPr="008A006D" w:rsidRDefault="003B4723" w:rsidP="003B4723">
            <w:pPr>
              <w:pStyle w:val="SCCBanSummary"/>
              <w:rPr>
                <w:sz w:val="20"/>
                <w:szCs w:val="20"/>
                <w:lang w:val="fr-CA"/>
              </w:rPr>
            </w:pPr>
            <w:r w:rsidRPr="008A006D">
              <w:rPr>
                <w:sz w:val="20"/>
                <w:szCs w:val="20"/>
                <w:lang w:val="fr-CA"/>
              </w:rPr>
              <w:t>(Certaines informations non disponibles pour le public)</w:t>
            </w:r>
          </w:p>
          <w:p w:rsidR="003B4723" w:rsidRPr="008A006D" w:rsidRDefault="003B4723" w:rsidP="003B4723">
            <w:pPr>
              <w:jc w:val="both"/>
              <w:rPr>
                <w:sz w:val="20"/>
                <w:lang w:val="fr-CA"/>
              </w:rPr>
            </w:pPr>
          </w:p>
          <w:p w:rsidR="003B4723" w:rsidRPr="008A006D" w:rsidRDefault="003B4723" w:rsidP="003B4723">
            <w:pPr>
              <w:jc w:val="both"/>
              <w:rPr>
                <w:sz w:val="20"/>
                <w:lang w:val="fr-CA"/>
              </w:rPr>
            </w:pPr>
            <w:r w:rsidRPr="008A006D">
              <w:rPr>
                <w:sz w:val="20"/>
                <w:lang w:val="fr-CA"/>
              </w:rPr>
              <w:t>Droit de la famille — Conjoints de fait — Biens familiaux — Aliments — Séparation des parties après une vie commune de 18 ans — Pension alimentaire rétroactive et continue pour conjoint et part des biens détenus par le demandeur accordées à l’intimée, sous réserve de compensation — Que signifie être dans une relation « conjugale » au Canada? — La définition actuelle reconnaît</w:t>
            </w:r>
            <w:r w:rsidRPr="008A006D">
              <w:rPr>
                <w:sz w:val="20"/>
                <w:lang w:val="fr-CA"/>
              </w:rPr>
              <w:noBreakHyphen/>
              <w:t>elle dûment la diversité des structures et des relations familiales au Canada? — Une corésidence de 17 ans, sans enfant, sans intégration financière et sans aucune coentreprise familiale, devrait</w:t>
            </w:r>
            <w:r w:rsidRPr="008A006D">
              <w:rPr>
                <w:sz w:val="20"/>
                <w:lang w:val="fr-CA"/>
              </w:rPr>
              <w:noBreakHyphen/>
              <w:t>elle être considérée comme une relation « conjugale »? — De quelle façon les tribunaux canadiens devraient</w:t>
            </w:r>
            <w:r w:rsidRPr="008A006D">
              <w:rPr>
                <w:sz w:val="20"/>
                <w:lang w:val="fr-CA"/>
              </w:rPr>
              <w:noBreakHyphen/>
              <w:t xml:space="preserve">ils aborder les critères juridiques, notamment celui établi dans l’arrêt </w:t>
            </w:r>
            <w:r w:rsidRPr="008A006D">
              <w:rPr>
                <w:i/>
                <w:sz w:val="20"/>
                <w:lang w:val="fr-CA"/>
              </w:rPr>
              <w:t>Kerr c. Baranow</w:t>
            </w:r>
            <w:r w:rsidRPr="008A006D">
              <w:rPr>
                <w:sz w:val="20"/>
                <w:lang w:val="fr-CA"/>
              </w:rPr>
              <w:t>, 2011 CSC 10, concernant le droit aux biens lors de la rupture d’une relation conjugale? — Un titre juridique de propriété conjointe équivaut</w:t>
            </w:r>
            <w:r w:rsidRPr="008A006D">
              <w:rPr>
                <w:sz w:val="20"/>
                <w:lang w:val="fr-CA"/>
              </w:rPr>
              <w:noBreakHyphen/>
              <w:t>il à une propriété bénéficiaire égale?</w:t>
            </w:r>
          </w:p>
        </w:tc>
      </w:tr>
      <w:tr w:rsidR="003B4723" w:rsidRPr="00D72403" w:rsidTr="003B4723">
        <w:tc>
          <w:tcPr>
            <w:tcW w:w="5000" w:type="pct"/>
            <w:gridSpan w:val="4"/>
          </w:tcPr>
          <w:p w:rsidR="003B4723" w:rsidRPr="008A006D" w:rsidRDefault="003B4723" w:rsidP="003B4723">
            <w:pPr>
              <w:jc w:val="both"/>
              <w:rPr>
                <w:sz w:val="20"/>
                <w:lang w:val="fr-CA"/>
              </w:rPr>
            </w:pPr>
          </w:p>
        </w:tc>
      </w:tr>
      <w:tr w:rsidR="003B4723" w:rsidRPr="00D72403" w:rsidTr="003B4723">
        <w:tc>
          <w:tcPr>
            <w:tcW w:w="5000" w:type="pct"/>
            <w:gridSpan w:val="4"/>
          </w:tcPr>
          <w:p w:rsidR="003B4723" w:rsidRPr="008A006D" w:rsidRDefault="003B4723" w:rsidP="003B4723">
            <w:pPr>
              <w:jc w:val="both"/>
              <w:rPr>
                <w:sz w:val="20"/>
                <w:lang w:val="fr-CA"/>
              </w:rPr>
            </w:pPr>
            <w:r w:rsidRPr="008A006D">
              <w:rPr>
                <w:sz w:val="20"/>
                <w:lang w:val="fr-CA"/>
              </w:rPr>
              <w:t>Les parties ont commencé à habiter ensemble en 1996, dans une maison qui appartenait auparavant aux parents de l’intimée. À cette époque, le demandeur contribuait aux améliorations du bien</w:t>
            </w:r>
            <w:r w:rsidRPr="008A006D">
              <w:rPr>
                <w:sz w:val="20"/>
                <w:lang w:val="fr-CA"/>
              </w:rPr>
              <w:noBreakHyphen/>
              <w:t>fonds et aux coûts de fonctionnement de la maison alors que l’intimée payait l’hypothèque. En 2006, les parties ont acheté une nouvelle maison et le titre a été pris aux deux noms. Ils y ont résidé jusqu’à ce que l’intimée quitte la maison en juillet 2014. Le demandeur a payé tous les coûts associés à cette maison. Lorsque les parties se sont séparées, l’intimée a demandé une pension alimentaire pour conjoint, le partage des biens en tant que conjointe de fait et les coûts. Le demandeur s’est opposé à toutes les demandes, soutenant que les parties n’étaient pas des conjoints de fait, mais s’ils l’étaient, le délai de deux ans pour demander une pension alimentaire était expiré. Il a aussi invoqué les principes de la fiducie résultoire et de l’enrichissement injustifié pour contrecarrer les demandes relatives aux biens présentées par l’intimée.</w:t>
            </w:r>
          </w:p>
          <w:p w:rsidR="003B4723" w:rsidRPr="008A006D" w:rsidRDefault="003B4723" w:rsidP="003B4723">
            <w:pPr>
              <w:jc w:val="both"/>
              <w:rPr>
                <w:sz w:val="20"/>
                <w:lang w:val="fr-CA"/>
              </w:rPr>
            </w:pPr>
          </w:p>
          <w:p w:rsidR="003B4723" w:rsidRPr="008A006D" w:rsidRDefault="003B4723" w:rsidP="003B4723">
            <w:pPr>
              <w:jc w:val="both"/>
              <w:rPr>
                <w:sz w:val="20"/>
                <w:lang w:val="fr-CA"/>
              </w:rPr>
            </w:pPr>
            <w:r w:rsidRPr="008A006D">
              <w:rPr>
                <w:sz w:val="20"/>
                <w:lang w:val="fr-CA"/>
              </w:rPr>
              <w:t>Le juge du procès a accordé à l’intimée une part des biens en plus d’une pension alimentaire mensuelle pour une période de 17 ans. Lors de l’appel interjeté par le demandeur, la part de biens octroyée à l’intimée a été augmentée et le montant et la durée de la pension alimentaire pour conjoint ont été réduits.</w:t>
            </w:r>
          </w:p>
          <w:p w:rsidR="003B4723" w:rsidRPr="008A006D" w:rsidRDefault="003B4723" w:rsidP="003B4723">
            <w:pPr>
              <w:jc w:val="both"/>
              <w:rPr>
                <w:sz w:val="20"/>
                <w:lang w:val="fr-CA"/>
              </w:rPr>
            </w:pPr>
          </w:p>
        </w:tc>
      </w:tr>
      <w:tr w:rsidR="003B4723" w:rsidRPr="00D72403" w:rsidTr="003B4723">
        <w:tc>
          <w:tcPr>
            <w:tcW w:w="2427" w:type="pct"/>
            <w:gridSpan w:val="2"/>
          </w:tcPr>
          <w:p w:rsidR="003B4723" w:rsidRPr="008A006D" w:rsidRDefault="003B4723" w:rsidP="003B4723">
            <w:pPr>
              <w:jc w:val="both"/>
              <w:rPr>
                <w:sz w:val="20"/>
                <w:lang w:val="fr-CA"/>
              </w:rPr>
            </w:pPr>
            <w:r w:rsidRPr="008A006D">
              <w:rPr>
                <w:sz w:val="20"/>
                <w:lang w:val="fr-CA"/>
              </w:rPr>
              <w:t>24 mai 2019</w:t>
            </w:r>
          </w:p>
          <w:p w:rsidR="003B4723" w:rsidRPr="008A006D" w:rsidRDefault="003B4723" w:rsidP="003B4723">
            <w:pPr>
              <w:jc w:val="both"/>
              <w:rPr>
                <w:sz w:val="20"/>
                <w:lang w:val="fr-CA"/>
              </w:rPr>
            </w:pPr>
            <w:r w:rsidRPr="008A006D">
              <w:rPr>
                <w:sz w:val="20"/>
                <w:lang w:val="fr-CA"/>
              </w:rPr>
              <w:t>Cour suprême de Terre</w:t>
            </w:r>
            <w:r w:rsidRPr="008A006D">
              <w:rPr>
                <w:sz w:val="20"/>
                <w:lang w:val="fr-CA"/>
              </w:rPr>
              <w:noBreakHyphen/>
              <w:t>Neuve</w:t>
            </w:r>
            <w:r w:rsidRPr="008A006D">
              <w:rPr>
                <w:sz w:val="20"/>
                <w:lang w:val="fr-CA"/>
              </w:rPr>
              <w:noBreakHyphen/>
              <w:t>et</w:t>
            </w:r>
            <w:r w:rsidRPr="008A006D">
              <w:rPr>
                <w:sz w:val="20"/>
                <w:lang w:val="fr-CA"/>
              </w:rPr>
              <w:noBreakHyphen/>
              <w:t>Labrador, Division de la famille</w:t>
            </w:r>
          </w:p>
          <w:p w:rsidR="003B4723" w:rsidRPr="008A006D" w:rsidRDefault="003B4723" w:rsidP="003B4723">
            <w:pPr>
              <w:jc w:val="both"/>
              <w:rPr>
                <w:sz w:val="20"/>
                <w:lang w:val="fr-CA"/>
              </w:rPr>
            </w:pPr>
            <w:r w:rsidRPr="008A006D">
              <w:rPr>
                <w:sz w:val="20"/>
                <w:lang w:val="fr-CA"/>
              </w:rPr>
              <w:t>(Juge MacDonald)</w:t>
            </w:r>
          </w:p>
          <w:p w:rsidR="003B4723" w:rsidRPr="008A006D" w:rsidRDefault="00D72403" w:rsidP="003B4723">
            <w:pPr>
              <w:jc w:val="both"/>
              <w:rPr>
                <w:sz w:val="20"/>
                <w:lang w:val="fr-CA"/>
              </w:rPr>
            </w:pPr>
            <w:hyperlink r:id="rId22" w:anchor="document" w:history="1">
              <w:r w:rsidR="003B4723" w:rsidRPr="008A006D">
                <w:rPr>
                  <w:rStyle w:val="Hyperlink"/>
                  <w:sz w:val="20"/>
                  <w:lang w:val="fr-CA"/>
                </w:rPr>
                <w:t>2019 NLSC 110</w:t>
              </w:r>
            </w:hyperlink>
          </w:p>
          <w:p w:rsidR="003B4723" w:rsidRPr="008A006D" w:rsidRDefault="003B4723" w:rsidP="003B4723">
            <w:pPr>
              <w:jc w:val="both"/>
              <w:rPr>
                <w:sz w:val="20"/>
                <w:lang w:val="fr-CA"/>
              </w:rPr>
            </w:pP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lang w:val="fr-CA"/>
              </w:rPr>
            </w:pPr>
            <w:r w:rsidRPr="008A006D">
              <w:rPr>
                <w:sz w:val="20"/>
                <w:lang w:val="fr-CA"/>
              </w:rPr>
              <w:t xml:space="preserve">Demande de l’intimée concernant le partage des biens, la pension alimentaire pour conjoint et les coûts accordée; argument du demandeur portant que les parties n’avaient pas une relation conjugale rejetée. </w:t>
            </w:r>
          </w:p>
          <w:p w:rsidR="003B4723" w:rsidRPr="008A006D" w:rsidRDefault="003B4723" w:rsidP="003B4723">
            <w:pPr>
              <w:jc w:val="both"/>
              <w:rPr>
                <w:sz w:val="20"/>
                <w:lang w:val="fr-CA"/>
              </w:rPr>
            </w:pPr>
          </w:p>
          <w:p w:rsidR="003B4723" w:rsidRPr="008A006D" w:rsidRDefault="003B4723" w:rsidP="003B4723">
            <w:pPr>
              <w:jc w:val="both"/>
              <w:rPr>
                <w:sz w:val="20"/>
                <w:lang w:val="fr-CA"/>
              </w:rPr>
            </w:pPr>
          </w:p>
        </w:tc>
      </w:tr>
      <w:tr w:rsidR="003B4723" w:rsidRPr="00D72403" w:rsidTr="003B4723">
        <w:tc>
          <w:tcPr>
            <w:tcW w:w="2427" w:type="pct"/>
            <w:gridSpan w:val="2"/>
          </w:tcPr>
          <w:p w:rsidR="003B4723" w:rsidRPr="008A006D" w:rsidRDefault="003B4723" w:rsidP="003B4723">
            <w:pPr>
              <w:jc w:val="both"/>
              <w:rPr>
                <w:sz w:val="20"/>
                <w:lang w:val="fr-CA"/>
              </w:rPr>
            </w:pPr>
            <w:r w:rsidRPr="008A006D">
              <w:rPr>
                <w:sz w:val="20"/>
                <w:lang w:val="fr-CA"/>
              </w:rPr>
              <w:lastRenderedPageBreak/>
              <w:t>25 mai 2021</w:t>
            </w:r>
          </w:p>
          <w:p w:rsidR="003B4723" w:rsidRPr="008A006D" w:rsidRDefault="003B4723" w:rsidP="003B4723">
            <w:pPr>
              <w:jc w:val="both"/>
              <w:rPr>
                <w:sz w:val="20"/>
                <w:lang w:val="fr-CA"/>
              </w:rPr>
            </w:pPr>
            <w:r w:rsidRPr="008A006D">
              <w:rPr>
                <w:sz w:val="20"/>
                <w:lang w:val="fr-CA"/>
              </w:rPr>
              <w:t>Cour d’appel de Terre</w:t>
            </w:r>
            <w:r w:rsidRPr="008A006D">
              <w:rPr>
                <w:sz w:val="20"/>
                <w:lang w:val="fr-CA"/>
              </w:rPr>
              <w:noBreakHyphen/>
              <w:t>Neuve</w:t>
            </w:r>
            <w:r w:rsidRPr="008A006D">
              <w:rPr>
                <w:sz w:val="20"/>
                <w:lang w:val="fr-CA"/>
              </w:rPr>
              <w:noBreakHyphen/>
              <w:t>et</w:t>
            </w:r>
            <w:r w:rsidRPr="008A006D">
              <w:rPr>
                <w:sz w:val="20"/>
                <w:lang w:val="fr-CA"/>
              </w:rPr>
              <w:noBreakHyphen/>
              <w:t>Labrador</w:t>
            </w:r>
          </w:p>
          <w:p w:rsidR="003B4723" w:rsidRPr="008A006D" w:rsidRDefault="003B4723" w:rsidP="003B4723">
            <w:pPr>
              <w:jc w:val="both"/>
              <w:rPr>
                <w:sz w:val="20"/>
              </w:rPr>
            </w:pPr>
            <w:r w:rsidRPr="008A006D">
              <w:rPr>
                <w:sz w:val="20"/>
              </w:rPr>
              <w:t>(Juges Welsh, Goodridge et Butler)</w:t>
            </w:r>
          </w:p>
          <w:p w:rsidR="003B4723" w:rsidRPr="008A006D" w:rsidRDefault="00D72403" w:rsidP="003B4723">
            <w:pPr>
              <w:jc w:val="both"/>
              <w:rPr>
                <w:sz w:val="20"/>
                <w:lang w:val="fr-CA"/>
              </w:rPr>
            </w:pPr>
            <w:hyperlink r:id="rId23" w:history="1">
              <w:r w:rsidR="003B4723" w:rsidRPr="008A006D">
                <w:rPr>
                  <w:rStyle w:val="Hyperlink"/>
                  <w:sz w:val="20"/>
                  <w:lang w:val="fr-CA"/>
                </w:rPr>
                <w:t>2021 NLCA 29</w:t>
              </w:r>
            </w:hyperlink>
            <w:r w:rsidR="003B4723" w:rsidRPr="008A006D">
              <w:rPr>
                <w:sz w:val="20"/>
                <w:lang w:val="fr-CA"/>
              </w:rPr>
              <w:t xml:space="preserve"> </w:t>
            </w:r>
          </w:p>
          <w:p w:rsidR="003B4723" w:rsidRPr="008A006D" w:rsidRDefault="003B4723" w:rsidP="003B4723">
            <w:pPr>
              <w:jc w:val="both"/>
              <w:rPr>
                <w:sz w:val="20"/>
                <w:lang w:val="fr-CA"/>
              </w:rPr>
            </w:pP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lang w:val="fr-CA"/>
              </w:rPr>
            </w:pPr>
            <w:r w:rsidRPr="008A006D">
              <w:rPr>
                <w:sz w:val="20"/>
                <w:lang w:val="fr-CA"/>
              </w:rPr>
              <w:t>Appel du demandeur accueilli en partie; pension alimentaire pour conjoint payable par le demandeur réduite; déduction des apports au capital faits par le demandeur sur les biens de l’intimée de la part des biens octroyée à l’intimée.</w:t>
            </w:r>
          </w:p>
          <w:p w:rsidR="003B4723" w:rsidRPr="008A006D" w:rsidRDefault="003B4723" w:rsidP="003B4723">
            <w:pPr>
              <w:jc w:val="both"/>
              <w:rPr>
                <w:sz w:val="20"/>
                <w:lang w:val="fr-CA"/>
              </w:rPr>
            </w:pPr>
          </w:p>
        </w:tc>
      </w:tr>
      <w:tr w:rsidR="003B4723" w:rsidRPr="008A006D" w:rsidTr="003B4723">
        <w:tc>
          <w:tcPr>
            <w:tcW w:w="2427" w:type="pct"/>
            <w:gridSpan w:val="2"/>
          </w:tcPr>
          <w:p w:rsidR="003B4723" w:rsidRPr="008A006D" w:rsidRDefault="003B4723" w:rsidP="003B4723">
            <w:pPr>
              <w:jc w:val="both"/>
              <w:rPr>
                <w:sz w:val="20"/>
                <w:lang w:val="fr-CA"/>
              </w:rPr>
            </w:pPr>
            <w:r w:rsidRPr="008A006D">
              <w:rPr>
                <w:sz w:val="20"/>
                <w:lang w:val="fr-CA"/>
              </w:rPr>
              <w:t>24 août 2021</w:t>
            </w:r>
          </w:p>
          <w:p w:rsidR="003B4723" w:rsidRPr="008A006D" w:rsidRDefault="003B4723" w:rsidP="003B4723">
            <w:pPr>
              <w:jc w:val="both"/>
              <w:rPr>
                <w:sz w:val="20"/>
                <w:lang w:val="fr-CA"/>
              </w:rPr>
            </w:pPr>
            <w:r w:rsidRPr="008A006D">
              <w:rPr>
                <w:sz w:val="20"/>
                <w:lang w:val="fr-CA"/>
              </w:rPr>
              <w:t>Cour suprême du Canada</w:t>
            </w: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lang w:val="fr-CA"/>
              </w:rPr>
            </w:pPr>
            <w:r w:rsidRPr="008A006D">
              <w:rPr>
                <w:sz w:val="20"/>
                <w:lang w:val="fr-CA"/>
              </w:rPr>
              <w:t>Demande d’autorisation d’appel déposée.</w:t>
            </w:r>
          </w:p>
          <w:p w:rsidR="003B4723" w:rsidRPr="008A006D" w:rsidRDefault="003B4723" w:rsidP="003B4723">
            <w:pPr>
              <w:jc w:val="both"/>
              <w:rPr>
                <w:sz w:val="20"/>
                <w:lang w:val="fr-CA"/>
              </w:rPr>
            </w:pPr>
          </w:p>
        </w:tc>
      </w:tr>
    </w:tbl>
    <w:p w:rsidR="003B4723" w:rsidRPr="008A006D" w:rsidRDefault="003B4723" w:rsidP="003B4723">
      <w:pPr>
        <w:jc w:val="both"/>
        <w:rPr>
          <w:sz w:val="20"/>
          <w:lang w:val="fr-CA"/>
        </w:rPr>
      </w:pPr>
    </w:p>
    <w:p w:rsidR="00F015F9" w:rsidRPr="008A006D" w:rsidRDefault="00D72403" w:rsidP="003B4723">
      <w:pPr>
        <w:jc w:val="both"/>
        <w:rPr>
          <w:sz w:val="20"/>
          <w:lang w:val="fr-CA"/>
        </w:rPr>
      </w:pPr>
      <w:r>
        <w:rPr>
          <w:sz w:val="20"/>
        </w:rPr>
        <w:pict>
          <v:rect id="_x0000_i1032" style="width:2in;height:1pt" o:hrpct="0" o:hralign="center" o:hrstd="t" o:hrnoshade="t" o:hr="t" fillcolor="black [3213]" stroked="f"/>
        </w:pict>
      </w:r>
    </w:p>
    <w:p w:rsidR="002E2A68" w:rsidRPr="008A006D" w:rsidRDefault="002E2A68" w:rsidP="003B472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723" w:rsidRPr="008A006D" w:rsidTr="003B4723">
        <w:tc>
          <w:tcPr>
            <w:tcW w:w="543" w:type="pct"/>
          </w:tcPr>
          <w:p w:rsidR="003B4723" w:rsidRPr="008A006D" w:rsidRDefault="003B4723" w:rsidP="003B4723">
            <w:pPr>
              <w:jc w:val="both"/>
              <w:rPr>
                <w:sz w:val="20"/>
              </w:rPr>
            </w:pPr>
            <w:r w:rsidRPr="008A006D">
              <w:rPr>
                <w:rStyle w:val="SCCFileNumberChar"/>
                <w:sz w:val="20"/>
                <w:szCs w:val="20"/>
              </w:rPr>
              <w:t>39853</w:t>
            </w:r>
          </w:p>
        </w:tc>
        <w:tc>
          <w:tcPr>
            <w:tcW w:w="4457" w:type="pct"/>
            <w:gridSpan w:val="3"/>
          </w:tcPr>
          <w:p w:rsidR="003B4723" w:rsidRPr="008A006D" w:rsidRDefault="003B4723" w:rsidP="003B4723">
            <w:pPr>
              <w:pStyle w:val="SCCLsocParty"/>
              <w:jc w:val="both"/>
              <w:rPr>
                <w:b/>
                <w:sz w:val="20"/>
                <w:szCs w:val="20"/>
                <w:lang w:val="en-US"/>
              </w:rPr>
            </w:pPr>
            <w:r w:rsidRPr="008A006D">
              <w:rPr>
                <w:b/>
                <w:sz w:val="20"/>
                <w:szCs w:val="20"/>
                <w:lang w:val="en-US"/>
              </w:rPr>
              <w:t>2312810 Ontario Inc., Daniel Leo Lino Favero, Linda Favero, Leo Joseph Favero v. Corporation of the Town of Fort Erie</w:t>
            </w:r>
          </w:p>
          <w:p w:rsidR="003B4723" w:rsidRPr="008A006D" w:rsidRDefault="003B4723" w:rsidP="003B4723">
            <w:pPr>
              <w:jc w:val="both"/>
              <w:rPr>
                <w:sz w:val="20"/>
              </w:rPr>
            </w:pPr>
            <w:r w:rsidRPr="008A006D">
              <w:rPr>
                <w:sz w:val="20"/>
              </w:rPr>
              <w:t>(Ont.) (Civil) (By Leave)</w:t>
            </w:r>
          </w:p>
        </w:tc>
      </w:tr>
      <w:tr w:rsidR="003B4723" w:rsidRPr="008A006D" w:rsidTr="003B4723">
        <w:tc>
          <w:tcPr>
            <w:tcW w:w="5000" w:type="pct"/>
            <w:gridSpan w:val="4"/>
          </w:tcPr>
          <w:p w:rsidR="003B4723" w:rsidRPr="008A006D" w:rsidRDefault="003B4723" w:rsidP="003B4723">
            <w:pPr>
              <w:jc w:val="both"/>
              <w:rPr>
                <w:sz w:val="20"/>
              </w:rPr>
            </w:pPr>
            <w:r w:rsidRPr="008A006D">
              <w:rPr>
                <w:sz w:val="20"/>
              </w:rPr>
              <w:t xml:space="preserve">Municipal law — By-laws — Zoning — Land use — Town alleging applicants’ storage business violates zoning restrictions — Applicants convicted of unlawful operation of public storage facility — Court of Appeal denying leave to appeal convictions — Whether the Supreme Court of Canada has jurisdiction pursuant to s. 40(1) of the </w:t>
            </w:r>
            <w:r w:rsidRPr="008A006D">
              <w:rPr>
                <w:i/>
                <w:sz w:val="20"/>
              </w:rPr>
              <w:t>Supreme Court Act</w:t>
            </w:r>
            <w:r w:rsidRPr="008A006D">
              <w:rPr>
                <w:sz w:val="20"/>
              </w:rPr>
              <w:t>, R.S.C., 1985, c. S</w:t>
            </w:r>
            <w:r w:rsidRPr="008A006D">
              <w:rPr>
                <w:sz w:val="20"/>
              </w:rPr>
              <w:noBreakHyphen/>
              <w:t xml:space="preserve">26, to hear an appeal of a decision declining leave made pursuant to s. 131 of the </w:t>
            </w:r>
            <w:r w:rsidRPr="008A006D">
              <w:rPr>
                <w:i/>
                <w:sz w:val="20"/>
              </w:rPr>
              <w:t>Provincial Offences Act</w:t>
            </w:r>
            <w:r w:rsidRPr="008A006D">
              <w:rPr>
                <w:sz w:val="20"/>
              </w:rPr>
              <w:t xml:space="preserve"> where that appeal raises an issue of public importance and is premised on an issue concerning jurisdictional error — Whether the “</w:t>
            </w:r>
            <w:r w:rsidRPr="008A006D">
              <w:rPr>
                <w:i/>
                <w:sz w:val="20"/>
              </w:rPr>
              <w:t>Hillmond</w:t>
            </w:r>
            <w:r w:rsidRPr="008A006D">
              <w:rPr>
                <w:sz w:val="20"/>
              </w:rPr>
              <w:t xml:space="preserve"> Exception” applies to s. 131 of the </w:t>
            </w:r>
            <w:r w:rsidRPr="008A006D">
              <w:rPr>
                <w:i/>
                <w:sz w:val="20"/>
              </w:rPr>
              <w:t>Provincial Offences Act</w:t>
            </w:r>
            <w:r w:rsidRPr="008A006D">
              <w:rPr>
                <w:sz w:val="20"/>
              </w:rPr>
              <w:t xml:space="preserve"> — Whether a failure to grant special leave to appeal pursuant to s. 131 of the </w:t>
            </w:r>
            <w:r w:rsidRPr="008A006D">
              <w:rPr>
                <w:i/>
                <w:sz w:val="20"/>
              </w:rPr>
              <w:t>Provincial Offences Act</w:t>
            </w:r>
            <w:r w:rsidRPr="008A006D">
              <w:rPr>
                <w:sz w:val="20"/>
              </w:rPr>
              <w:t xml:space="preserve">, where the applicant was denied the right to be heard on a central issue at trial, constitute a jurisdictional error — </w:t>
            </w:r>
            <w:r w:rsidRPr="008A006D">
              <w:rPr>
                <w:i/>
                <w:sz w:val="20"/>
              </w:rPr>
              <w:t>Provincial Offences Act</w:t>
            </w:r>
            <w:r w:rsidRPr="008A006D">
              <w:rPr>
                <w:sz w:val="20"/>
              </w:rPr>
              <w:t>, R.S.O. 1990, c. P.33, s. 131.</w:t>
            </w:r>
          </w:p>
        </w:tc>
      </w:tr>
      <w:tr w:rsidR="003B4723" w:rsidRPr="008A006D" w:rsidTr="003B4723">
        <w:tc>
          <w:tcPr>
            <w:tcW w:w="5000" w:type="pct"/>
            <w:gridSpan w:val="4"/>
          </w:tcPr>
          <w:p w:rsidR="003B4723" w:rsidRPr="008A006D" w:rsidRDefault="003B4723" w:rsidP="003B4723">
            <w:pPr>
              <w:jc w:val="both"/>
              <w:rPr>
                <w:sz w:val="20"/>
              </w:rPr>
            </w:pPr>
          </w:p>
        </w:tc>
      </w:tr>
      <w:tr w:rsidR="003B4723" w:rsidRPr="008A006D" w:rsidTr="003B4723">
        <w:tc>
          <w:tcPr>
            <w:tcW w:w="5000" w:type="pct"/>
            <w:gridSpan w:val="4"/>
          </w:tcPr>
          <w:p w:rsidR="003B4723" w:rsidRPr="008A006D" w:rsidRDefault="003B4723" w:rsidP="003B4723">
            <w:pPr>
              <w:jc w:val="both"/>
              <w:rPr>
                <w:sz w:val="20"/>
              </w:rPr>
            </w:pPr>
            <w:r w:rsidRPr="008A006D">
              <w:rPr>
                <w:sz w:val="20"/>
              </w:rPr>
              <w:t>The applicants, the Faveros, operated a family</w:t>
            </w:r>
            <w:r w:rsidRPr="008A006D">
              <w:rPr>
                <w:sz w:val="20"/>
              </w:rPr>
              <w:noBreakHyphen/>
              <w:t>owned storage business in Fort Erie. The respondent, the Town of Fort Erie, alleged that this land use violated applicable zoning by</w:t>
            </w:r>
            <w:r w:rsidRPr="008A006D">
              <w:rPr>
                <w:sz w:val="20"/>
              </w:rPr>
              <w:noBreakHyphen/>
              <w:t>laws; the Faveros were charged with using land for purposes not permitted by law (i.e., unlawfully operating a public storage facility) and six counts of unlawful storage of cargo containers. The Faveros were acquitted at first instance before a Justice of the Peace, having demonstrated a continuous and legal non-conforming use of land. The Town appealed this decision.</w:t>
            </w:r>
          </w:p>
          <w:p w:rsidR="003B4723" w:rsidRPr="008A006D" w:rsidRDefault="003B4723" w:rsidP="003B4723">
            <w:pPr>
              <w:jc w:val="both"/>
              <w:rPr>
                <w:sz w:val="20"/>
              </w:rPr>
            </w:pPr>
          </w:p>
          <w:p w:rsidR="003B4723" w:rsidRPr="008A006D" w:rsidRDefault="003B4723" w:rsidP="003B4723">
            <w:pPr>
              <w:jc w:val="both"/>
              <w:rPr>
                <w:sz w:val="20"/>
              </w:rPr>
            </w:pPr>
            <w:r w:rsidRPr="008A006D">
              <w:rPr>
                <w:sz w:val="20"/>
              </w:rPr>
              <w:t>An appeal judge at the Ontario Court of Justice allowed the Town’s appeal and registered convictions against the Faveros, concluding that the Justice of the Peace had erred in finding that a “legal” non</w:t>
            </w:r>
            <w:r w:rsidRPr="008A006D">
              <w:rPr>
                <w:sz w:val="20"/>
              </w:rPr>
              <w:noBreakHyphen/>
              <w:t xml:space="preserve">confirming land use had been demonstrated. A motion judge at the Court of Appeal dismissed the Faveros’ motion for leave to appeal, finding that s. 131(2) of the </w:t>
            </w:r>
            <w:r w:rsidRPr="008A006D">
              <w:rPr>
                <w:i/>
                <w:sz w:val="20"/>
              </w:rPr>
              <w:t>Provincial Offences Act</w:t>
            </w:r>
            <w:r w:rsidRPr="008A006D">
              <w:rPr>
                <w:sz w:val="20"/>
              </w:rPr>
              <w:t xml:space="preserve"> prohibited granting leave unless it was “essential in the public interest or for the due administration of justice”, which was not the case here. A panel of the Court of Appeal dismissed the Faveros’ subsequent application seeking an order to set aside the motion judge’s decision, finding that s. 131(3) of the Act constitutes a prohibition against appeals from decisions on leave.</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July 26, 2019</w:t>
            </w:r>
          </w:p>
          <w:p w:rsidR="003B4723" w:rsidRPr="008A006D" w:rsidRDefault="003B4723" w:rsidP="003B4723">
            <w:pPr>
              <w:jc w:val="both"/>
              <w:rPr>
                <w:sz w:val="20"/>
              </w:rPr>
            </w:pPr>
            <w:r w:rsidRPr="008A006D">
              <w:rPr>
                <w:sz w:val="20"/>
              </w:rPr>
              <w:t>Ontario Court of Justice</w:t>
            </w:r>
          </w:p>
          <w:p w:rsidR="003B4723" w:rsidRPr="008A006D" w:rsidRDefault="003B4723" w:rsidP="003B4723">
            <w:pPr>
              <w:jc w:val="both"/>
              <w:rPr>
                <w:sz w:val="20"/>
              </w:rPr>
            </w:pPr>
            <w:r w:rsidRPr="008A006D">
              <w:rPr>
                <w:sz w:val="20"/>
              </w:rPr>
              <w:t>(Lancaster J.P.)</w:t>
            </w:r>
          </w:p>
          <w:p w:rsidR="003B4723" w:rsidRPr="008A006D" w:rsidRDefault="00D72403" w:rsidP="003B4723">
            <w:pPr>
              <w:jc w:val="both"/>
              <w:rPr>
                <w:sz w:val="20"/>
              </w:rPr>
            </w:pPr>
            <w:hyperlink r:id="rId24" w:history="1">
              <w:r w:rsidR="003B4723" w:rsidRPr="008A006D">
                <w:rPr>
                  <w:rStyle w:val="Hyperlink"/>
                  <w:sz w:val="20"/>
                </w:rPr>
                <w:t>2019 ONCJ 543</w:t>
              </w:r>
            </w:hyperlink>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All charges against applicants dismissed</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January 17, 2020</w:t>
            </w:r>
          </w:p>
          <w:p w:rsidR="003B4723" w:rsidRPr="008A006D" w:rsidRDefault="003B4723" w:rsidP="003B4723">
            <w:pPr>
              <w:jc w:val="both"/>
              <w:rPr>
                <w:sz w:val="20"/>
              </w:rPr>
            </w:pPr>
            <w:r w:rsidRPr="008A006D">
              <w:rPr>
                <w:sz w:val="20"/>
              </w:rPr>
              <w:t>Ontario Court of Justice</w:t>
            </w:r>
          </w:p>
          <w:p w:rsidR="003B4723" w:rsidRPr="008A006D" w:rsidRDefault="003B4723" w:rsidP="003B4723">
            <w:pPr>
              <w:jc w:val="both"/>
              <w:rPr>
                <w:sz w:val="20"/>
              </w:rPr>
            </w:pPr>
            <w:r w:rsidRPr="008A006D">
              <w:rPr>
                <w:sz w:val="20"/>
              </w:rPr>
              <w:t>(Hilliard J.)</w:t>
            </w:r>
          </w:p>
          <w:p w:rsidR="003B4723" w:rsidRPr="008A006D" w:rsidRDefault="00D72403" w:rsidP="003B4723">
            <w:pPr>
              <w:jc w:val="both"/>
              <w:rPr>
                <w:sz w:val="20"/>
              </w:rPr>
            </w:pPr>
            <w:hyperlink r:id="rId25" w:history="1">
              <w:r w:rsidR="003B4723" w:rsidRPr="008A006D">
                <w:rPr>
                  <w:rStyle w:val="Hyperlink"/>
                  <w:sz w:val="20"/>
                </w:rPr>
                <w:t>2020 ONCJ 34</w:t>
              </w:r>
            </w:hyperlink>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Respondent Town’s appeal — allowed; convictions entered against applicants</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October 7, 2020</w:t>
            </w:r>
          </w:p>
          <w:p w:rsidR="003B4723" w:rsidRPr="008A006D" w:rsidRDefault="003B4723" w:rsidP="003B4723">
            <w:pPr>
              <w:jc w:val="both"/>
              <w:rPr>
                <w:sz w:val="20"/>
              </w:rPr>
            </w:pPr>
            <w:r w:rsidRPr="008A006D">
              <w:rPr>
                <w:sz w:val="20"/>
              </w:rPr>
              <w:t>Court of Appeal for Ontario</w:t>
            </w:r>
          </w:p>
          <w:p w:rsidR="003B4723" w:rsidRPr="008A006D" w:rsidRDefault="003B4723" w:rsidP="003B4723">
            <w:pPr>
              <w:jc w:val="both"/>
              <w:rPr>
                <w:sz w:val="20"/>
              </w:rPr>
            </w:pPr>
            <w:r w:rsidRPr="008A006D">
              <w:rPr>
                <w:sz w:val="20"/>
              </w:rPr>
              <w:t>(MacPherson J.)</w:t>
            </w:r>
          </w:p>
          <w:p w:rsidR="003B4723" w:rsidRPr="008A006D" w:rsidRDefault="003B4723" w:rsidP="003B4723">
            <w:pPr>
              <w:jc w:val="both"/>
              <w:rPr>
                <w:sz w:val="20"/>
              </w:rPr>
            </w:pPr>
            <w:r w:rsidRPr="008A006D">
              <w:rPr>
                <w:sz w:val="20"/>
              </w:rPr>
              <w:t>Docket no. M51357</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Applicants’ motion for leave to appeal — dismissed</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lastRenderedPageBreak/>
              <w:t>July 7, 2021</w:t>
            </w:r>
          </w:p>
          <w:p w:rsidR="003B4723" w:rsidRPr="008A006D" w:rsidRDefault="003B4723" w:rsidP="003B4723">
            <w:pPr>
              <w:jc w:val="both"/>
              <w:rPr>
                <w:sz w:val="20"/>
              </w:rPr>
            </w:pPr>
            <w:r w:rsidRPr="008A006D">
              <w:rPr>
                <w:sz w:val="20"/>
              </w:rPr>
              <w:t>Court of Appeal for Ontario</w:t>
            </w:r>
          </w:p>
          <w:p w:rsidR="003B4723" w:rsidRPr="008A006D" w:rsidRDefault="003B4723" w:rsidP="003B4723">
            <w:pPr>
              <w:jc w:val="both"/>
              <w:rPr>
                <w:sz w:val="20"/>
              </w:rPr>
            </w:pPr>
            <w:r w:rsidRPr="008A006D">
              <w:rPr>
                <w:sz w:val="20"/>
              </w:rPr>
              <w:t>(Watt, Pardu and Trotter JJ.A.)</w:t>
            </w:r>
          </w:p>
          <w:p w:rsidR="003B4723" w:rsidRPr="008A006D" w:rsidRDefault="00D72403" w:rsidP="003B4723">
            <w:pPr>
              <w:jc w:val="both"/>
              <w:rPr>
                <w:sz w:val="20"/>
              </w:rPr>
            </w:pPr>
            <w:hyperlink r:id="rId26" w:history="1">
              <w:r w:rsidR="003B4723" w:rsidRPr="008A006D">
                <w:rPr>
                  <w:rStyle w:val="Hyperlink"/>
                  <w:sz w:val="20"/>
                </w:rPr>
                <w:t>2021 ONCA 500</w:t>
              </w:r>
            </w:hyperlink>
            <w:r w:rsidR="003B4723" w:rsidRPr="008A006D">
              <w:rPr>
                <w:sz w:val="20"/>
              </w:rPr>
              <w:t xml:space="preserve"> </w:t>
            </w:r>
          </w:p>
          <w:p w:rsidR="003B4723" w:rsidRPr="008A006D" w:rsidRDefault="003B4723" w:rsidP="003B4723">
            <w:pPr>
              <w:jc w:val="both"/>
              <w:rPr>
                <w:sz w:val="20"/>
                <w:lang w:val="fr-CA"/>
              </w:rPr>
            </w:pP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rPr>
            </w:pPr>
            <w:r w:rsidRPr="008A006D">
              <w:rPr>
                <w:sz w:val="20"/>
              </w:rPr>
              <w:t>Application to set aside order of motion judge dismissing application for leave to appeal — dismissed</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September 28, 2021</w:t>
            </w:r>
          </w:p>
          <w:p w:rsidR="003B4723" w:rsidRPr="008A006D" w:rsidRDefault="003B4723" w:rsidP="003B4723">
            <w:pPr>
              <w:jc w:val="both"/>
              <w:rPr>
                <w:sz w:val="20"/>
              </w:rPr>
            </w:pPr>
            <w:r w:rsidRPr="008A006D">
              <w:rPr>
                <w:sz w:val="20"/>
              </w:rPr>
              <w:t>Supreme Court of Canada</w:t>
            </w: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Application for leave to appeal filed</w:t>
            </w:r>
          </w:p>
          <w:p w:rsidR="003B4723" w:rsidRPr="008A006D" w:rsidRDefault="003B4723" w:rsidP="003B4723">
            <w:pPr>
              <w:jc w:val="both"/>
              <w:rPr>
                <w:sz w:val="20"/>
              </w:rPr>
            </w:pPr>
          </w:p>
        </w:tc>
      </w:tr>
    </w:tbl>
    <w:p w:rsidR="003B4723" w:rsidRPr="008A006D" w:rsidRDefault="003B4723" w:rsidP="003B4723">
      <w:pPr>
        <w:jc w:val="both"/>
        <w:rPr>
          <w:sz w:val="20"/>
        </w:rPr>
      </w:pPr>
    </w:p>
    <w:p w:rsidR="00F015F9" w:rsidRPr="008A006D" w:rsidRDefault="00D72403" w:rsidP="003B4723">
      <w:pPr>
        <w:jc w:val="both"/>
        <w:rPr>
          <w:sz w:val="20"/>
        </w:rPr>
      </w:pPr>
      <w:r>
        <w:rPr>
          <w:sz w:val="20"/>
        </w:rPr>
        <w:pict>
          <v:rect id="_x0000_i1033" style="width:2in;height:1pt" o:hrpct="0" o:hralign="center" o:hrstd="t" o:hrnoshade="t" o:hr="t" fillcolor="black [3213]" stroked="f"/>
        </w:pict>
      </w:r>
    </w:p>
    <w:p w:rsidR="00F015F9" w:rsidRPr="008A006D" w:rsidRDefault="00F015F9" w:rsidP="003B47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723" w:rsidRPr="008A006D" w:rsidTr="003B4723">
        <w:tc>
          <w:tcPr>
            <w:tcW w:w="543" w:type="pct"/>
          </w:tcPr>
          <w:p w:rsidR="003B4723" w:rsidRPr="008A006D" w:rsidRDefault="003B4723" w:rsidP="003B4723">
            <w:pPr>
              <w:jc w:val="both"/>
              <w:rPr>
                <w:sz w:val="20"/>
                <w:lang w:val="fr-CA"/>
              </w:rPr>
            </w:pPr>
            <w:r w:rsidRPr="008A006D">
              <w:rPr>
                <w:rStyle w:val="SCCFileNumberChar"/>
                <w:sz w:val="20"/>
                <w:szCs w:val="20"/>
                <w:lang w:val="fr-CA"/>
              </w:rPr>
              <w:t>39853</w:t>
            </w:r>
          </w:p>
        </w:tc>
        <w:tc>
          <w:tcPr>
            <w:tcW w:w="4457" w:type="pct"/>
            <w:gridSpan w:val="3"/>
          </w:tcPr>
          <w:p w:rsidR="003B4723" w:rsidRPr="008A006D" w:rsidRDefault="003B4723" w:rsidP="003B4723">
            <w:pPr>
              <w:pStyle w:val="SCCLsocParty"/>
              <w:jc w:val="both"/>
              <w:rPr>
                <w:b/>
                <w:sz w:val="20"/>
                <w:szCs w:val="20"/>
              </w:rPr>
            </w:pPr>
            <w:r w:rsidRPr="008A006D">
              <w:rPr>
                <w:b/>
                <w:sz w:val="20"/>
                <w:szCs w:val="20"/>
              </w:rPr>
              <w:t>2312810 Ontario Inc., Daniel Leo Lino Favero, Linda Favero, Leo Joseph Favero c. Corporation Municipale de la Ville de Fort Erie</w:t>
            </w:r>
          </w:p>
          <w:p w:rsidR="003B4723" w:rsidRPr="008A006D" w:rsidRDefault="003B4723" w:rsidP="003B4723">
            <w:pPr>
              <w:jc w:val="both"/>
              <w:rPr>
                <w:sz w:val="20"/>
                <w:lang w:val="fr-CA"/>
              </w:rPr>
            </w:pPr>
            <w:r w:rsidRPr="008A006D">
              <w:rPr>
                <w:sz w:val="20"/>
                <w:lang w:val="fr-CA"/>
              </w:rPr>
              <w:t>(Ont.) (Civile) (Sur autorisation)</w:t>
            </w:r>
          </w:p>
        </w:tc>
      </w:tr>
      <w:tr w:rsidR="003B4723" w:rsidRPr="00D72403" w:rsidTr="003B4723">
        <w:tc>
          <w:tcPr>
            <w:tcW w:w="5000" w:type="pct"/>
            <w:gridSpan w:val="4"/>
          </w:tcPr>
          <w:p w:rsidR="003B4723" w:rsidRPr="008A006D" w:rsidRDefault="003B4723" w:rsidP="003B4723">
            <w:pPr>
              <w:jc w:val="both"/>
              <w:rPr>
                <w:sz w:val="20"/>
                <w:lang w:val="fr-CA"/>
              </w:rPr>
            </w:pPr>
            <w:r w:rsidRPr="008A006D">
              <w:rPr>
                <w:sz w:val="20"/>
                <w:lang w:val="fr-CA"/>
              </w:rPr>
              <w:t>Droit municipal — Règlements — Zonage — Utilisation du sol — La Ville allègue que l’entreprise d’entreposage des demandeurs viole les règlements de zonage — Les demandeurs sont déclarés coupables d’exploitation illégale d’une installation d’entreposage publique — La Cour d’appel rejette la demande d’autorisation d’appel des déclarations de culpabilité — La Cour suprême du Canada a</w:t>
            </w:r>
            <w:r w:rsidRPr="008A006D">
              <w:rPr>
                <w:sz w:val="20"/>
                <w:lang w:val="fr-CA"/>
              </w:rPr>
              <w:noBreakHyphen/>
              <w:t>t</w:t>
            </w:r>
            <w:r w:rsidRPr="008A006D">
              <w:rPr>
                <w:sz w:val="20"/>
                <w:lang w:val="fr-CA"/>
              </w:rPr>
              <w:noBreakHyphen/>
              <w:t xml:space="preserve">elle compétence, en vertu de du par. 40(1) de la </w:t>
            </w:r>
            <w:r w:rsidRPr="008A006D">
              <w:rPr>
                <w:i/>
                <w:sz w:val="20"/>
                <w:lang w:val="fr-CA"/>
              </w:rPr>
              <w:t>Loi sur la Cour suprême</w:t>
            </w:r>
            <w:r w:rsidRPr="008A006D">
              <w:rPr>
                <w:sz w:val="20"/>
                <w:lang w:val="fr-CA"/>
              </w:rPr>
              <w:t xml:space="preserve"> L.R.C. (1985), ch. S</w:t>
            </w:r>
            <w:r w:rsidRPr="008A006D">
              <w:rPr>
                <w:sz w:val="20"/>
                <w:lang w:val="fr-CA"/>
              </w:rPr>
              <w:noBreakHyphen/>
              <w:t xml:space="preserve">26, pour entendre l’appel d’une décision rejetant une demande d’autorisation d’appel rendue en vertu de l’art. 131 de la </w:t>
            </w:r>
            <w:r w:rsidRPr="008A006D">
              <w:rPr>
                <w:i/>
                <w:sz w:val="20"/>
                <w:lang w:val="fr-CA"/>
              </w:rPr>
              <w:t>Loi sur les infractions provinciales</w:t>
            </w:r>
            <w:r w:rsidRPr="008A006D">
              <w:rPr>
                <w:sz w:val="20"/>
                <w:lang w:val="fr-CA"/>
              </w:rPr>
              <w:t xml:space="preserve"> lorsque cet appel soulève une question d’importance pour le public et est basé sur une question relative à une erreur de compétence? — L’« exception de l’arrêt </w:t>
            </w:r>
            <w:r w:rsidRPr="008A006D">
              <w:rPr>
                <w:i/>
                <w:sz w:val="20"/>
                <w:lang w:val="fr-CA"/>
              </w:rPr>
              <w:t>Hillmond</w:t>
            </w:r>
            <w:r w:rsidRPr="008A006D">
              <w:rPr>
                <w:sz w:val="20"/>
                <w:lang w:val="fr-CA"/>
              </w:rPr>
              <w:t> » s’applique</w:t>
            </w:r>
            <w:r w:rsidRPr="008A006D">
              <w:rPr>
                <w:sz w:val="20"/>
                <w:lang w:val="fr-CA"/>
              </w:rPr>
              <w:noBreakHyphen/>
              <w:t>t</w:t>
            </w:r>
            <w:r w:rsidRPr="008A006D">
              <w:rPr>
                <w:sz w:val="20"/>
                <w:lang w:val="fr-CA"/>
              </w:rPr>
              <w:noBreakHyphen/>
              <w:t xml:space="preserve">elle à l’art. 131 de la </w:t>
            </w:r>
            <w:r w:rsidRPr="008A006D">
              <w:rPr>
                <w:i/>
                <w:sz w:val="20"/>
                <w:lang w:val="fr-CA"/>
              </w:rPr>
              <w:t>Loi sur les infractions provinciales</w:t>
            </w:r>
            <w:r w:rsidRPr="008A006D">
              <w:rPr>
                <w:sz w:val="20"/>
                <w:lang w:val="fr-CA"/>
              </w:rPr>
              <w:t xml:space="preserve">? — Le défaut d’accorder une autorisation spéciale d’appel en vertu de l’art. 131 de la </w:t>
            </w:r>
            <w:r w:rsidRPr="008A006D">
              <w:rPr>
                <w:i/>
                <w:sz w:val="20"/>
                <w:lang w:val="fr-CA"/>
              </w:rPr>
              <w:t>Loi sur les infractions provinciales</w:t>
            </w:r>
            <w:r w:rsidRPr="008A006D">
              <w:rPr>
                <w:sz w:val="20"/>
                <w:lang w:val="fr-CA"/>
              </w:rPr>
              <w:t>, lorsque le demandeur s’est vu refuser le droit de se faire entendre quant à une question centrale au procès, constitue</w:t>
            </w:r>
            <w:r w:rsidRPr="008A006D">
              <w:rPr>
                <w:sz w:val="20"/>
                <w:lang w:val="fr-CA"/>
              </w:rPr>
              <w:noBreakHyphen/>
              <w:t>t</w:t>
            </w:r>
            <w:r w:rsidRPr="008A006D">
              <w:rPr>
                <w:sz w:val="20"/>
                <w:lang w:val="fr-CA"/>
              </w:rPr>
              <w:noBreakHyphen/>
              <w:t xml:space="preserve">il une erreur de compétence? — </w:t>
            </w:r>
            <w:r w:rsidRPr="008A006D">
              <w:rPr>
                <w:i/>
                <w:sz w:val="20"/>
                <w:lang w:val="fr-CA"/>
              </w:rPr>
              <w:t>Loi sur les infractions provinciales</w:t>
            </w:r>
            <w:r w:rsidRPr="008A006D">
              <w:rPr>
                <w:sz w:val="20"/>
                <w:lang w:val="fr-CA"/>
              </w:rPr>
              <w:t>, L.R.O. 1990, c P.33, art. 131.</w:t>
            </w:r>
          </w:p>
        </w:tc>
      </w:tr>
      <w:tr w:rsidR="003B4723" w:rsidRPr="00D72403" w:rsidTr="003B4723">
        <w:tc>
          <w:tcPr>
            <w:tcW w:w="5000" w:type="pct"/>
            <w:gridSpan w:val="4"/>
          </w:tcPr>
          <w:p w:rsidR="003B4723" w:rsidRPr="008A006D" w:rsidRDefault="003B4723" w:rsidP="003B4723">
            <w:pPr>
              <w:jc w:val="both"/>
              <w:rPr>
                <w:sz w:val="20"/>
                <w:lang w:val="fr-CA"/>
              </w:rPr>
            </w:pPr>
          </w:p>
        </w:tc>
      </w:tr>
      <w:tr w:rsidR="003B4723" w:rsidRPr="00D72403" w:rsidTr="003B4723">
        <w:tc>
          <w:tcPr>
            <w:tcW w:w="5000" w:type="pct"/>
            <w:gridSpan w:val="4"/>
          </w:tcPr>
          <w:p w:rsidR="003B4723" w:rsidRPr="008A006D" w:rsidRDefault="003B4723" w:rsidP="003B4723">
            <w:pPr>
              <w:jc w:val="both"/>
              <w:rPr>
                <w:sz w:val="20"/>
                <w:lang w:val="fr-CA"/>
              </w:rPr>
            </w:pPr>
            <w:r w:rsidRPr="008A006D">
              <w:rPr>
                <w:sz w:val="20"/>
                <w:lang w:val="fr-CA"/>
              </w:rPr>
              <w:t>Les demandeurs, les Favero, exploitaient une entreprise familiale d’entreposage à Fort Erie. L’intimée, la Ville de Fort Erie, a allégué que cette utilisation du sol violait le règlement de zonage applicable; les Favero ont été accusés d’utilisation du sol à des fins non permises par la loi (</w:t>
            </w:r>
            <w:proofErr w:type="gramStart"/>
            <w:r w:rsidRPr="008A006D">
              <w:rPr>
                <w:sz w:val="20"/>
                <w:lang w:val="fr-CA"/>
              </w:rPr>
              <w:t>c.</w:t>
            </w:r>
            <w:r w:rsidRPr="008A006D">
              <w:rPr>
                <w:sz w:val="20"/>
                <w:lang w:val="fr-CA"/>
              </w:rPr>
              <w:noBreakHyphen/>
              <w:t>à</w:t>
            </w:r>
            <w:r w:rsidRPr="008A006D">
              <w:rPr>
                <w:sz w:val="20"/>
                <w:lang w:val="fr-CA"/>
              </w:rPr>
              <w:noBreakHyphen/>
              <w:t>d.,</w:t>
            </w:r>
            <w:proofErr w:type="gramEnd"/>
            <w:r w:rsidRPr="008A006D">
              <w:rPr>
                <w:sz w:val="20"/>
                <w:lang w:val="fr-CA"/>
              </w:rPr>
              <w:t xml:space="preserve"> l’exploitation illégale d’une installation d’entreposage publique) et de six chefs d’entreposage illégal de conteneurs. Les Favero ont été acquittés en première instance devant un juge de paix, ayant démontré qu’il y avait eu utilisation dérogatoire continue et légale du sol. La Ville a fait appel de cette décision.</w:t>
            </w:r>
          </w:p>
          <w:p w:rsidR="003B4723" w:rsidRPr="008A006D" w:rsidRDefault="003B4723" w:rsidP="003B4723">
            <w:pPr>
              <w:jc w:val="both"/>
              <w:rPr>
                <w:sz w:val="20"/>
                <w:lang w:val="fr-CA"/>
              </w:rPr>
            </w:pPr>
          </w:p>
          <w:p w:rsidR="003B4723" w:rsidRPr="008A006D" w:rsidRDefault="003B4723" w:rsidP="003B4723">
            <w:pPr>
              <w:jc w:val="both"/>
              <w:rPr>
                <w:sz w:val="20"/>
                <w:lang w:val="fr-CA"/>
              </w:rPr>
            </w:pPr>
            <w:r w:rsidRPr="008A006D">
              <w:rPr>
                <w:sz w:val="20"/>
                <w:lang w:val="fr-CA"/>
              </w:rPr>
              <w:t xml:space="preserve">La juge d’appel de la Cour de justice de l’Ontario a accueilli l’appel de la Ville et a déclaré les Favero coupables, statuant que le juge de paix avait erré en concluant qu’une utilisation dérogatoire « légale » du sol avait été démontrée. La juge des motions de la Cour d’appel a rejeté la motion en autorisation d’appel présentée par les Favero, concluant que le par. 131(2) de la </w:t>
            </w:r>
            <w:r w:rsidRPr="008A006D">
              <w:rPr>
                <w:i/>
                <w:sz w:val="20"/>
                <w:lang w:val="fr-CA"/>
              </w:rPr>
              <w:t>Loi sur les infractions provinciales</w:t>
            </w:r>
            <w:r w:rsidRPr="008A006D">
              <w:rPr>
                <w:sz w:val="20"/>
                <w:lang w:val="fr-CA"/>
              </w:rPr>
              <w:t xml:space="preserve"> interdisait une telle autorisation d’appel à moins qu’il soit « essentiel qu’elle soit accordée dans l’intérêt public ou pour la bonne administration de la justice », ce qui n’était pas le cas en l'espèce. Une formation de juges de la Cour d’appel a rejeté la demande subséquente des Favero visant à obtenir une ordonnance portant annulation de la décision de la juge des motions, concluant que le par. 131(3) de la Loi constitue une interdiction d’interjeter appel des décisions portant sur l’autorisation d’appel.</w:t>
            </w:r>
          </w:p>
          <w:p w:rsidR="003B4723" w:rsidRPr="008A006D" w:rsidRDefault="003B4723" w:rsidP="003B4723">
            <w:pPr>
              <w:jc w:val="both"/>
              <w:rPr>
                <w:sz w:val="20"/>
                <w:lang w:val="fr-CA"/>
              </w:rPr>
            </w:pPr>
          </w:p>
        </w:tc>
      </w:tr>
      <w:tr w:rsidR="003B4723" w:rsidRPr="00D72403" w:rsidTr="003B4723">
        <w:tc>
          <w:tcPr>
            <w:tcW w:w="2427" w:type="pct"/>
            <w:gridSpan w:val="2"/>
          </w:tcPr>
          <w:p w:rsidR="003B4723" w:rsidRPr="008A006D" w:rsidRDefault="003B4723" w:rsidP="003B4723">
            <w:pPr>
              <w:jc w:val="both"/>
              <w:rPr>
                <w:sz w:val="20"/>
                <w:lang w:val="fr-CA"/>
              </w:rPr>
            </w:pPr>
            <w:r w:rsidRPr="008A006D">
              <w:rPr>
                <w:sz w:val="20"/>
                <w:lang w:val="fr-CA"/>
              </w:rPr>
              <w:t>26 juillet 2019</w:t>
            </w:r>
          </w:p>
          <w:p w:rsidR="003B4723" w:rsidRPr="008A006D" w:rsidRDefault="003B4723" w:rsidP="003B4723">
            <w:pPr>
              <w:jc w:val="both"/>
              <w:rPr>
                <w:sz w:val="20"/>
                <w:lang w:val="fr-CA"/>
              </w:rPr>
            </w:pPr>
            <w:r w:rsidRPr="008A006D">
              <w:rPr>
                <w:sz w:val="20"/>
                <w:lang w:val="fr-CA"/>
              </w:rPr>
              <w:t>Cour de justice de l’Ontario</w:t>
            </w:r>
          </w:p>
          <w:p w:rsidR="003B4723" w:rsidRPr="008A006D" w:rsidRDefault="003B4723" w:rsidP="003B4723">
            <w:pPr>
              <w:jc w:val="both"/>
              <w:rPr>
                <w:sz w:val="20"/>
                <w:lang w:val="fr-CA"/>
              </w:rPr>
            </w:pPr>
            <w:r w:rsidRPr="008A006D">
              <w:rPr>
                <w:sz w:val="20"/>
                <w:lang w:val="fr-CA"/>
              </w:rPr>
              <w:t>(juge de paix Lancaster)</w:t>
            </w:r>
          </w:p>
          <w:p w:rsidR="003B4723" w:rsidRPr="008A006D" w:rsidRDefault="00D72403" w:rsidP="003B4723">
            <w:pPr>
              <w:jc w:val="both"/>
              <w:rPr>
                <w:sz w:val="20"/>
                <w:lang w:val="fr-CA"/>
              </w:rPr>
            </w:pPr>
            <w:hyperlink r:id="rId27" w:history="1">
              <w:r w:rsidR="003B4723" w:rsidRPr="008A006D">
                <w:rPr>
                  <w:rStyle w:val="Hyperlink"/>
                  <w:sz w:val="20"/>
                  <w:lang w:val="fr-CA"/>
                </w:rPr>
                <w:t>2019 ONCJ 543</w:t>
              </w:r>
            </w:hyperlink>
          </w:p>
          <w:p w:rsidR="003B4723" w:rsidRPr="008A006D" w:rsidRDefault="003B4723" w:rsidP="003B4723">
            <w:pPr>
              <w:jc w:val="both"/>
              <w:rPr>
                <w:sz w:val="20"/>
                <w:lang w:val="fr-CA"/>
              </w:rPr>
            </w:pP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lang w:val="fr-CA"/>
              </w:rPr>
            </w:pPr>
            <w:r w:rsidRPr="008A006D">
              <w:rPr>
                <w:sz w:val="20"/>
                <w:lang w:val="fr-CA"/>
              </w:rPr>
              <w:t>Toutes les accusations portées contre les demandeurs sont rejetées.</w:t>
            </w:r>
          </w:p>
          <w:p w:rsidR="003B4723" w:rsidRPr="008A006D" w:rsidRDefault="003B4723" w:rsidP="003B4723">
            <w:pPr>
              <w:jc w:val="both"/>
              <w:rPr>
                <w:sz w:val="20"/>
                <w:lang w:val="fr-CA"/>
              </w:rPr>
            </w:pPr>
          </w:p>
        </w:tc>
      </w:tr>
      <w:tr w:rsidR="003B4723" w:rsidRPr="00D72403" w:rsidTr="003B4723">
        <w:tc>
          <w:tcPr>
            <w:tcW w:w="2427" w:type="pct"/>
            <w:gridSpan w:val="2"/>
          </w:tcPr>
          <w:p w:rsidR="003B4723" w:rsidRPr="008A006D" w:rsidRDefault="003B4723" w:rsidP="003B4723">
            <w:pPr>
              <w:jc w:val="both"/>
              <w:rPr>
                <w:sz w:val="20"/>
                <w:lang w:val="fr-CA"/>
              </w:rPr>
            </w:pPr>
            <w:r w:rsidRPr="008A006D">
              <w:rPr>
                <w:sz w:val="20"/>
                <w:lang w:val="fr-CA"/>
              </w:rPr>
              <w:t>17 janvier 2020</w:t>
            </w:r>
          </w:p>
          <w:p w:rsidR="003B4723" w:rsidRPr="008A006D" w:rsidRDefault="003B4723" w:rsidP="003B4723">
            <w:pPr>
              <w:jc w:val="both"/>
              <w:rPr>
                <w:sz w:val="20"/>
                <w:lang w:val="fr-CA"/>
              </w:rPr>
            </w:pPr>
            <w:r w:rsidRPr="008A006D">
              <w:rPr>
                <w:sz w:val="20"/>
                <w:lang w:val="fr-CA"/>
              </w:rPr>
              <w:t>Cour de justice de l’Ontario</w:t>
            </w:r>
          </w:p>
          <w:p w:rsidR="003B4723" w:rsidRPr="008A006D" w:rsidRDefault="003B4723" w:rsidP="003B4723">
            <w:pPr>
              <w:jc w:val="both"/>
              <w:rPr>
                <w:sz w:val="20"/>
                <w:lang w:val="fr-CA"/>
              </w:rPr>
            </w:pPr>
            <w:r w:rsidRPr="008A006D">
              <w:rPr>
                <w:sz w:val="20"/>
                <w:lang w:val="fr-CA"/>
              </w:rPr>
              <w:t>(juge Hilliard)</w:t>
            </w:r>
          </w:p>
          <w:p w:rsidR="003B4723" w:rsidRPr="008A006D" w:rsidRDefault="00D72403" w:rsidP="003B4723">
            <w:pPr>
              <w:jc w:val="both"/>
              <w:rPr>
                <w:sz w:val="20"/>
                <w:lang w:val="fr-CA"/>
              </w:rPr>
            </w:pPr>
            <w:hyperlink r:id="rId28" w:history="1">
              <w:r w:rsidR="003B4723" w:rsidRPr="008A006D">
                <w:rPr>
                  <w:rStyle w:val="Hyperlink"/>
                  <w:sz w:val="20"/>
                  <w:lang w:val="fr-CA"/>
                </w:rPr>
                <w:t>2020 ONCJ 34</w:t>
              </w:r>
            </w:hyperlink>
          </w:p>
          <w:p w:rsidR="003B4723" w:rsidRPr="008A006D" w:rsidRDefault="003B4723" w:rsidP="003B4723">
            <w:pPr>
              <w:jc w:val="both"/>
              <w:rPr>
                <w:sz w:val="20"/>
                <w:lang w:val="fr-CA"/>
              </w:rPr>
            </w:pP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lang w:val="fr-CA"/>
              </w:rPr>
            </w:pPr>
            <w:r w:rsidRPr="008A006D">
              <w:rPr>
                <w:sz w:val="20"/>
                <w:lang w:val="fr-CA"/>
              </w:rPr>
              <w:t>L’appel de la Ville intimée est accueilli; des déclarations de culpabilité sont prononcées contre les demandeurs.</w:t>
            </w:r>
          </w:p>
          <w:p w:rsidR="003B4723" w:rsidRPr="008A006D" w:rsidRDefault="003B4723" w:rsidP="003B4723">
            <w:pPr>
              <w:jc w:val="both"/>
              <w:rPr>
                <w:sz w:val="20"/>
                <w:lang w:val="fr-CA"/>
              </w:rPr>
            </w:pPr>
          </w:p>
        </w:tc>
      </w:tr>
      <w:tr w:rsidR="003B4723" w:rsidRPr="00D72403" w:rsidTr="003B4723">
        <w:tc>
          <w:tcPr>
            <w:tcW w:w="2427" w:type="pct"/>
            <w:gridSpan w:val="2"/>
          </w:tcPr>
          <w:p w:rsidR="003B4723" w:rsidRPr="008A006D" w:rsidRDefault="003B4723" w:rsidP="003B4723">
            <w:pPr>
              <w:jc w:val="both"/>
              <w:rPr>
                <w:sz w:val="20"/>
                <w:lang w:val="fr-CA"/>
              </w:rPr>
            </w:pPr>
            <w:r w:rsidRPr="008A006D">
              <w:rPr>
                <w:sz w:val="20"/>
                <w:lang w:val="fr-CA"/>
              </w:rPr>
              <w:t>7 octobre 2020</w:t>
            </w:r>
          </w:p>
          <w:p w:rsidR="003B4723" w:rsidRPr="008A006D" w:rsidRDefault="003B4723" w:rsidP="003B4723">
            <w:pPr>
              <w:jc w:val="both"/>
              <w:rPr>
                <w:sz w:val="20"/>
                <w:lang w:val="fr-CA"/>
              </w:rPr>
            </w:pPr>
            <w:r w:rsidRPr="008A006D">
              <w:rPr>
                <w:sz w:val="20"/>
                <w:lang w:val="fr-CA"/>
              </w:rPr>
              <w:t>Cour d’appel de l’Ontario</w:t>
            </w:r>
          </w:p>
          <w:p w:rsidR="003B4723" w:rsidRPr="008A006D" w:rsidRDefault="003B4723" w:rsidP="003B4723">
            <w:pPr>
              <w:jc w:val="both"/>
              <w:rPr>
                <w:sz w:val="20"/>
                <w:lang w:val="fr-CA"/>
              </w:rPr>
            </w:pPr>
            <w:r w:rsidRPr="008A006D">
              <w:rPr>
                <w:sz w:val="20"/>
                <w:lang w:val="fr-CA"/>
              </w:rPr>
              <w:t>(juge MacPherson)</w:t>
            </w:r>
          </w:p>
          <w:p w:rsidR="003B4723" w:rsidRPr="008A006D" w:rsidRDefault="003B4723" w:rsidP="003B4723">
            <w:pPr>
              <w:jc w:val="both"/>
              <w:rPr>
                <w:sz w:val="20"/>
                <w:lang w:val="fr-CA"/>
              </w:rPr>
            </w:pPr>
            <w:r w:rsidRPr="008A006D">
              <w:rPr>
                <w:sz w:val="20"/>
                <w:lang w:val="fr-CA"/>
              </w:rPr>
              <w:t>N</w:t>
            </w:r>
            <w:r w:rsidRPr="008A006D">
              <w:rPr>
                <w:sz w:val="20"/>
                <w:vertAlign w:val="superscript"/>
                <w:lang w:val="fr-CA"/>
              </w:rPr>
              <w:t>o</w:t>
            </w:r>
            <w:r w:rsidRPr="008A006D">
              <w:rPr>
                <w:sz w:val="20"/>
                <w:lang w:val="fr-CA"/>
              </w:rPr>
              <w:t xml:space="preserve"> de dossier : M51357</w:t>
            </w:r>
          </w:p>
          <w:p w:rsidR="003B4723" w:rsidRPr="008A006D" w:rsidRDefault="003B4723" w:rsidP="003B4723">
            <w:pPr>
              <w:jc w:val="both"/>
              <w:rPr>
                <w:sz w:val="20"/>
                <w:lang w:val="fr-CA"/>
              </w:rPr>
            </w:pP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lang w:val="fr-CA"/>
              </w:rPr>
            </w:pPr>
            <w:r w:rsidRPr="008A006D">
              <w:rPr>
                <w:sz w:val="20"/>
                <w:lang w:val="fr-CA"/>
              </w:rPr>
              <w:t>La motion des demandeurs en autorisation d’appel est rejetée.</w:t>
            </w:r>
          </w:p>
          <w:p w:rsidR="003B4723" w:rsidRPr="008A006D" w:rsidRDefault="003B4723" w:rsidP="003B4723">
            <w:pPr>
              <w:jc w:val="both"/>
              <w:rPr>
                <w:sz w:val="20"/>
                <w:lang w:val="fr-CA"/>
              </w:rPr>
            </w:pPr>
          </w:p>
        </w:tc>
      </w:tr>
      <w:tr w:rsidR="003B4723" w:rsidRPr="00D72403" w:rsidTr="003B4723">
        <w:tc>
          <w:tcPr>
            <w:tcW w:w="2427" w:type="pct"/>
            <w:gridSpan w:val="2"/>
          </w:tcPr>
          <w:p w:rsidR="003B4723" w:rsidRPr="008A006D" w:rsidRDefault="003B4723" w:rsidP="003B4723">
            <w:pPr>
              <w:jc w:val="both"/>
              <w:rPr>
                <w:sz w:val="20"/>
                <w:lang w:val="fr-CA"/>
              </w:rPr>
            </w:pPr>
            <w:r w:rsidRPr="008A006D">
              <w:rPr>
                <w:sz w:val="20"/>
                <w:lang w:val="fr-CA"/>
              </w:rPr>
              <w:lastRenderedPageBreak/>
              <w:t>7 juillet 2021</w:t>
            </w:r>
          </w:p>
          <w:p w:rsidR="003B4723" w:rsidRPr="008A006D" w:rsidRDefault="003B4723" w:rsidP="003B4723">
            <w:pPr>
              <w:jc w:val="both"/>
              <w:rPr>
                <w:sz w:val="20"/>
                <w:lang w:val="fr-CA"/>
              </w:rPr>
            </w:pPr>
            <w:r w:rsidRPr="008A006D">
              <w:rPr>
                <w:sz w:val="20"/>
                <w:lang w:val="fr-CA"/>
              </w:rPr>
              <w:t>Cour d’appel de l’Ontario</w:t>
            </w:r>
          </w:p>
          <w:p w:rsidR="003B4723" w:rsidRPr="008A006D" w:rsidRDefault="003B4723" w:rsidP="003B4723">
            <w:pPr>
              <w:jc w:val="both"/>
              <w:rPr>
                <w:sz w:val="20"/>
                <w:lang w:val="fr-CA"/>
              </w:rPr>
            </w:pPr>
            <w:r w:rsidRPr="008A006D">
              <w:rPr>
                <w:sz w:val="20"/>
                <w:lang w:val="fr-CA"/>
              </w:rPr>
              <w:t>(juges Watt, Pardu et Trotter)</w:t>
            </w:r>
          </w:p>
          <w:p w:rsidR="003B4723" w:rsidRPr="008A006D" w:rsidRDefault="00D72403" w:rsidP="003B4723">
            <w:pPr>
              <w:jc w:val="both"/>
              <w:rPr>
                <w:sz w:val="20"/>
                <w:lang w:val="fr-CA"/>
              </w:rPr>
            </w:pPr>
            <w:hyperlink r:id="rId29" w:history="1">
              <w:r w:rsidR="003B4723" w:rsidRPr="008A006D">
                <w:rPr>
                  <w:rStyle w:val="Hyperlink"/>
                  <w:sz w:val="20"/>
                  <w:lang w:val="fr-CA"/>
                </w:rPr>
                <w:t>2021 ONCA 500</w:t>
              </w:r>
            </w:hyperlink>
            <w:r w:rsidR="003B4723" w:rsidRPr="008A006D">
              <w:rPr>
                <w:sz w:val="20"/>
                <w:lang w:val="fr-CA"/>
              </w:rPr>
              <w:t xml:space="preserve"> </w:t>
            </w:r>
          </w:p>
          <w:p w:rsidR="003B4723" w:rsidRPr="008A006D" w:rsidRDefault="003B4723" w:rsidP="003B4723">
            <w:pPr>
              <w:jc w:val="both"/>
              <w:rPr>
                <w:sz w:val="20"/>
                <w:lang w:val="fr-CA"/>
              </w:rPr>
            </w:pP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lang w:val="fr-CA"/>
              </w:rPr>
            </w:pPr>
            <w:r w:rsidRPr="008A006D">
              <w:rPr>
                <w:sz w:val="20"/>
                <w:lang w:val="fr-CA"/>
              </w:rPr>
              <w:t>La demande d’annuler l’ordonnance de la juge des motions rejetant la demande d’autorisation d’appel est rejetée.</w:t>
            </w:r>
          </w:p>
          <w:p w:rsidR="003B4723" w:rsidRPr="008A006D" w:rsidRDefault="003B4723" w:rsidP="003B4723">
            <w:pPr>
              <w:jc w:val="both"/>
              <w:rPr>
                <w:sz w:val="20"/>
                <w:lang w:val="fr-CA"/>
              </w:rPr>
            </w:pPr>
          </w:p>
        </w:tc>
      </w:tr>
      <w:tr w:rsidR="003B4723" w:rsidRPr="00D72403" w:rsidTr="003B4723">
        <w:tc>
          <w:tcPr>
            <w:tcW w:w="2427" w:type="pct"/>
            <w:gridSpan w:val="2"/>
          </w:tcPr>
          <w:p w:rsidR="003B4723" w:rsidRPr="008A006D" w:rsidRDefault="003B4723" w:rsidP="003B4723">
            <w:pPr>
              <w:jc w:val="both"/>
              <w:rPr>
                <w:sz w:val="20"/>
                <w:lang w:val="fr-CA"/>
              </w:rPr>
            </w:pPr>
            <w:r w:rsidRPr="008A006D">
              <w:rPr>
                <w:sz w:val="20"/>
                <w:lang w:val="fr-CA"/>
              </w:rPr>
              <w:t>28 septembre 2021</w:t>
            </w:r>
          </w:p>
          <w:p w:rsidR="003B4723" w:rsidRPr="008A006D" w:rsidRDefault="003B4723" w:rsidP="003B4723">
            <w:pPr>
              <w:jc w:val="both"/>
              <w:rPr>
                <w:sz w:val="20"/>
                <w:lang w:val="fr-CA"/>
              </w:rPr>
            </w:pPr>
            <w:r w:rsidRPr="008A006D">
              <w:rPr>
                <w:sz w:val="20"/>
                <w:lang w:val="fr-CA"/>
              </w:rPr>
              <w:t>Cour suprême du Canada</w:t>
            </w: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lang w:val="fr-CA"/>
              </w:rPr>
            </w:pPr>
            <w:r w:rsidRPr="008A006D">
              <w:rPr>
                <w:sz w:val="20"/>
                <w:lang w:val="fr-CA"/>
              </w:rPr>
              <w:t>La demande d’autorisation d’appel est présentée.</w:t>
            </w:r>
          </w:p>
          <w:p w:rsidR="003B4723" w:rsidRPr="008A006D" w:rsidRDefault="003B4723" w:rsidP="003B4723">
            <w:pPr>
              <w:jc w:val="both"/>
              <w:rPr>
                <w:sz w:val="20"/>
                <w:lang w:val="fr-CA"/>
              </w:rPr>
            </w:pPr>
          </w:p>
        </w:tc>
      </w:tr>
    </w:tbl>
    <w:p w:rsidR="003B4723" w:rsidRPr="008A006D" w:rsidRDefault="003B4723" w:rsidP="003B4723">
      <w:pPr>
        <w:jc w:val="both"/>
        <w:rPr>
          <w:sz w:val="20"/>
          <w:lang w:val="fr-CA"/>
        </w:rPr>
      </w:pPr>
    </w:p>
    <w:p w:rsidR="002E2A68" w:rsidRPr="008A006D" w:rsidRDefault="00D72403" w:rsidP="003B4723">
      <w:pPr>
        <w:widowControl w:val="0"/>
        <w:tabs>
          <w:tab w:val="left" w:pos="3840"/>
        </w:tabs>
        <w:jc w:val="both"/>
        <w:rPr>
          <w:sz w:val="20"/>
          <w:lang w:val="fr-CA"/>
        </w:rPr>
      </w:pPr>
      <w:r>
        <w:rPr>
          <w:sz w:val="20"/>
        </w:rPr>
        <w:pict>
          <v:rect id="_x0000_i1034" style="width:2in;height:1pt" o:hrpct="0" o:hralign="center" o:hrstd="t" o:hrnoshade="t" o:hr="t" fillcolor="black [3213]" stroked="f"/>
        </w:pict>
      </w:r>
    </w:p>
    <w:p w:rsidR="00F015F9" w:rsidRPr="008A006D" w:rsidRDefault="00F015F9" w:rsidP="003B472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723" w:rsidRPr="008A006D" w:rsidTr="003B4723">
        <w:tc>
          <w:tcPr>
            <w:tcW w:w="543" w:type="pct"/>
          </w:tcPr>
          <w:p w:rsidR="003B4723" w:rsidRPr="008A006D" w:rsidRDefault="003B4723" w:rsidP="003B4723">
            <w:pPr>
              <w:jc w:val="both"/>
              <w:rPr>
                <w:sz w:val="20"/>
              </w:rPr>
            </w:pPr>
            <w:r w:rsidRPr="008A006D">
              <w:rPr>
                <w:rStyle w:val="SCCFileNumberChar"/>
                <w:sz w:val="20"/>
                <w:szCs w:val="20"/>
              </w:rPr>
              <w:t>39835</w:t>
            </w:r>
          </w:p>
        </w:tc>
        <w:tc>
          <w:tcPr>
            <w:tcW w:w="4457" w:type="pct"/>
            <w:gridSpan w:val="3"/>
          </w:tcPr>
          <w:p w:rsidR="003B4723" w:rsidRPr="008A006D" w:rsidRDefault="003B4723" w:rsidP="003B4723">
            <w:pPr>
              <w:pStyle w:val="SCCLsocParty"/>
              <w:jc w:val="both"/>
              <w:rPr>
                <w:b/>
                <w:sz w:val="20"/>
                <w:szCs w:val="20"/>
                <w:lang w:val="en-US"/>
              </w:rPr>
            </w:pPr>
            <w:r w:rsidRPr="008A006D">
              <w:rPr>
                <w:b/>
                <w:sz w:val="20"/>
                <w:szCs w:val="20"/>
                <w:lang w:val="en-US"/>
              </w:rPr>
              <w:t>Estate of David Bullen v. Her Majesty the Queen</w:t>
            </w:r>
          </w:p>
          <w:p w:rsidR="003B4723" w:rsidRPr="008A006D" w:rsidRDefault="003B4723" w:rsidP="003B4723">
            <w:pPr>
              <w:jc w:val="both"/>
              <w:rPr>
                <w:sz w:val="20"/>
              </w:rPr>
            </w:pPr>
            <w:r w:rsidRPr="008A006D">
              <w:rPr>
                <w:sz w:val="20"/>
              </w:rPr>
              <w:t>(Ont.) (Criminal) (By Leave)</w:t>
            </w:r>
          </w:p>
        </w:tc>
      </w:tr>
      <w:tr w:rsidR="003B4723" w:rsidRPr="008A006D" w:rsidTr="003B4723">
        <w:tc>
          <w:tcPr>
            <w:tcW w:w="5000" w:type="pct"/>
            <w:gridSpan w:val="4"/>
          </w:tcPr>
          <w:p w:rsidR="003B4723" w:rsidRPr="008A006D" w:rsidRDefault="003B4723" w:rsidP="003B4723">
            <w:pPr>
              <w:jc w:val="both"/>
              <w:rPr>
                <w:sz w:val="20"/>
              </w:rPr>
            </w:pPr>
            <w:r w:rsidRPr="008A006D">
              <w:rPr>
                <w:sz w:val="20"/>
              </w:rPr>
              <w:t>Criminal law — Recognizances — Default — Forfeiture of bail deposit and pledges by sureties — Whether forfeiture proceedings were stayed by death of accused — Whether jurisdiction to conduct a forfeiture hearing was lost by non</w:t>
            </w:r>
            <w:r w:rsidRPr="008A006D">
              <w:rPr>
                <w:sz w:val="20"/>
              </w:rPr>
              <w:noBreakHyphen/>
              <w:t xml:space="preserve">compliance with requirements of </w:t>
            </w:r>
            <w:r w:rsidRPr="008A006D">
              <w:rPr>
                <w:i/>
                <w:sz w:val="20"/>
              </w:rPr>
              <w:t>Criminal Code</w:t>
            </w:r>
            <w:r w:rsidRPr="008A006D">
              <w:rPr>
                <w:sz w:val="20"/>
              </w:rPr>
              <w:t xml:space="preserve"> for completing and issuing a Form 33 certificate of default?</w:t>
            </w:r>
          </w:p>
        </w:tc>
      </w:tr>
      <w:tr w:rsidR="003B4723" w:rsidRPr="008A006D" w:rsidTr="003B4723">
        <w:tc>
          <w:tcPr>
            <w:tcW w:w="5000" w:type="pct"/>
            <w:gridSpan w:val="4"/>
          </w:tcPr>
          <w:p w:rsidR="003B4723" w:rsidRPr="008A006D" w:rsidRDefault="003B4723" w:rsidP="003B4723">
            <w:pPr>
              <w:jc w:val="both"/>
              <w:rPr>
                <w:sz w:val="20"/>
              </w:rPr>
            </w:pPr>
          </w:p>
        </w:tc>
      </w:tr>
      <w:tr w:rsidR="003B4723" w:rsidRPr="008A006D" w:rsidTr="003B4723">
        <w:tc>
          <w:tcPr>
            <w:tcW w:w="5000" w:type="pct"/>
            <w:gridSpan w:val="4"/>
          </w:tcPr>
          <w:p w:rsidR="003B4723" w:rsidRPr="008A006D" w:rsidRDefault="003B4723" w:rsidP="003B4723">
            <w:pPr>
              <w:widowControl w:val="0"/>
              <w:kinsoku w:val="0"/>
              <w:overflowPunct w:val="0"/>
              <w:jc w:val="both"/>
              <w:textAlignment w:val="baseline"/>
              <w:rPr>
                <w:sz w:val="20"/>
              </w:rPr>
            </w:pPr>
            <w:r w:rsidRPr="008A006D">
              <w:rPr>
                <w:sz w:val="20"/>
              </w:rPr>
              <w:t>David Bullen was charged with offences and released on bail and a recognizance with sureties. He was arrested and charged with new offences including breaches of the recognizance. T</w:t>
            </w:r>
            <w:r w:rsidRPr="008A006D">
              <w:rPr>
                <w:spacing w:val="-2"/>
                <w:sz w:val="20"/>
              </w:rPr>
              <w:t>he recognizance was revoked and a certificate of default was endorsed</w:t>
            </w:r>
            <w:r w:rsidRPr="008A006D">
              <w:rPr>
                <w:sz w:val="20"/>
              </w:rPr>
              <w:t xml:space="preserve"> on a Form 33. David Bullen pled guilty to the offences and died in prison before sentencing. Crown counsel directed a stay of charges and applied for forfeiture of the bail deposit and the sureties’ debts.</w:t>
            </w:r>
            <w:r w:rsidRPr="008A006D">
              <w:rPr>
                <w:spacing w:val="-2"/>
                <w:sz w:val="20"/>
              </w:rPr>
              <w:t xml:space="preserve"> A chambers judge dismissed a challenge to </w:t>
            </w:r>
            <w:r w:rsidRPr="008A006D">
              <w:rPr>
                <w:sz w:val="20"/>
              </w:rPr>
              <w:t>the court’s jurisdiction to hold a forfeiture hearing</w:t>
            </w:r>
            <w:r w:rsidRPr="008A006D">
              <w:rPr>
                <w:spacing w:val="-2"/>
                <w:sz w:val="20"/>
              </w:rPr>
              <w:t xml:space="preserve"> and ordered </w:t>
            </w:r>
            <w:r w:rsidRPr="008A006D">
              <w:rPr>
                <w:sz w:val="20"/>
              </w:rPr>
              <w:t>forfeiture of the bail deposit</w:t>
            </w:r>
            <w:r w:rsidRPr="008A006D">
              <w:rPr>
                <w:spacing w:val="-2"/>
                <w:sz w:val="20"/>
              </w:rPr>
              <w:t xml:space="preserve"> and the sureties’ debts</w:t>
            </w:r>
            <w:r w:rsidRPr="008A006D">
              <w:rPr>
                <w:sz w:val="20"/>
              </w:rPr>
              <w:t>. There was no right to appeal to the Court of Appeal.</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March 4, 2021</w:t>
            </w:r>
          </w:p>
          <w:p w:rsidR="003B4723" w:rsidRPr="008A006D" w:rsidRDefault="003B4723" w:rsidP="003B4723">
            <w:pPr>
              <w:jc w:val="both"/>
              <w:rPr>
                <w:sz w:val="20"/>
              </w:rPr>
            </w:pPr>
            <w:r w:rsidRPr="008A006D">
              <w:rPr>
                <w:sz w:val="20"/>
              </w:rPr>
              <w:t>Ontario Superior Court of Justice</w:t>
            </w:r>
          </w:p>
          <w:p w:rsidR="003B4723" w:rsidRPr="008A006D" w:rsidRDefault="003B4723" w:rsidP="003B4723">
            <w:pPr>
              <w:jc w:val="both"/>
              <w:rPr>
                <w:sz w:val="20"/>
              </w:rPr>
            </w:pPr>
            <w:r w:rsidRPr="008A006D">
              <w:rPr>
                <w:sz w:val="20"/>
              </w:rPr>
              <w:t xml:space="preserve">(Aitken J.) </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Motion dismissed</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May 28, 2021</w:t>
            </w:r>
          </w:p>
          <w:p w:rsidR="003B4723" w:rsidRPr="008A006D" w:rsidRDefault="003B4723" w:rsidP="003B4723">
            <w:pPr>
              <w:jc w:val="both"/>
              <w:rPr>
                <w:sz w:val="20"/>
              </w:rPr>
            </w:pPr>
            <w:r w:rsidRPr="008A006D">
              <w:rPr>
                <w:sz w:val="20"/>
              </w:rPr>
              <w:t>Ontario Superior Court of Justice</w:t>
            </w:r>
          </w:p>
          <w:p w:rsidR="003B4723" w:rsidRPr="008A006D" w:rsidRDefault="003B4723" w:rsidP="003B4723">
            <w:pPr>
              <w:jc w:val="both"/>
              <w:rPr>
                <w:sz w:val="20"/>
              </w:rPr>
            </w:pPr>
            <w:r w:rsidRPr="008A006D">
              <w:rPr>
                <w:sz w:val="20"/>
              </w:rPr>
              <w:t xml:space="preserve">(Aitken J.) </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Forfeitures ordered</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July 28, 2021</w:t>
            </w:r>
          </w:p>
          <w:p w:rsidR="003B4723" w:rsidRPr="008A006D" w:rsidRDefault="003B4723" w:rsidP="00F015F9">
            <w:pPr>
              <w:jc w:val="both"/>
              <w:rPr>
                <w:sz w:val="20"/>
              </w:rPr>
            </w:pPr>
            <w:r w:rsidRPr="008A006D">
              <w:rPr>
                <w:sz w:val="20"/>
              </w:rPr>
              <w:t>Supreme Court of Canada</w:t>
            </w: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Application for leave to appeal filed</w:t>
            </w:r>
          </w:p>
          <w:p w:rsidR="003B4723" w:rsidRPr="008A006D" w:rsidRDefault="003B4723" w:rsidP="003B4723">
            <w:pPr>
              <w:jc w:val="both"/>
              <w:rPr>
                <w:sz w:val="20"/>
              </w:rPr>
            </w:pPr>
          </w:p>
        </w:tc>
      </w:tr>
    </w:tbl>
    <w:p w:rsidR="003B4723" w:rsidRPr="008A006D" w:rsidRDefault="003B4723" w:rsidP="003B4723">
      <w:pPr>
        <w:jc w:val="both"/>
        <w:rPr>
          <w:sz w:val="20"/>
        </w:rPr>
      </w:pPr>
    </w:p>
    <w:p w:rsidR="00F015F9" w:rsidRPr="008A006D" w:rsidRDefault="00D72403" w:rsidP="003B4723">
      <w:pPr>
        <w:jc w:val="both"/>
        <w:rPr>
          <w:sz w:val="20"/>
        </w:rPr>
      </w:pPr>
      <w:r>
        <w:rPr>
          <w:sz w:val="20"/>
        </w:rPr>
        <w:pict>
          <v:rect id="_x0000_i1035" style="width:2in;height:1pt" o:hrpct="0" o:hralign="center" o:hrstd="t" o:hrnoshade="t" o:hr="t" fillcolor="black [3213]" stroked="f"/>
        </w:pict>
      </w:r>
    </w:p>
    <w:p w:rsidR="00F015F9" w:rsidRPr="008A006D" w:rsidRDefault="00F015F9" w:rsidP="003B47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723" w:rsidRPr="008A006D" w:rsidTr="003B4723">
        <w:tc>
          <w:tcPr>
            <w:tcW w:w="543" w:type="pct"/>
          </w:tcPr>
          <w:p w:rsidR="003B4723" w:rsidRPr="008A006D" w:rsidRDefault="003B4723" w:rsidP="003B4723">
            <w:pPr>
              <w:jc w:val="both"/>
              <w:rPr>
                <w:sz w:val="20"/>
              </w:rPr>
            </w:pPr>
            <w:r w:rsidRPr="008A006D">
              <w:rPr>
                <w:rStyle w:val="SCCFileNumberChar"/>
                <w:sz w:val="20"/>
                <w:szCs w:val="20"/>
              </w:rPr>
              <w:t>39835</w:t>
            </w:r>
          </w:p>
        </w:tc>
        <w:tc>
          <w:tcPr>
            <w:tcW w:w="4457" w:type="pct"/>
            <w:gridSpan w:val="3"/>
          </w:tcPr>
          <w:p w:rsidR="003B4723" w:rsidRPr="008A006D" w:rsidRDefault="003B4723" w:rsidP="003B4723">
            <w:pPr>
              <w:pStyle w:val="SCCLsocParty"/>
              <w:jc w:val="both"/>
              <w:rPr>
                <w:b/>
                <w:sz w:val="20"/>
                <w:szCs w:val="20"/>
              </w:rPr>
            </w:pPr>
            <w:r w:rsidRPr="008A006D">
              <w:rPr>
                <w:b/>
                <w:sz w:val="20"/>
                <w:szCs w:val="20"/>
              </w:rPr>
              <w:t>Succession de David Bullen c. Sa Majesté la Reine</w:t>
            </w:r>
          </w:p>
          <w:p w:rsidR="003B4723" w:rsidRPr="008A006D" w:rsidRDefault="003B4723" w:rsidP="003B4723">
            <w:pPr>
              <w:jc w:val="both"/>
              <w:rPr>
                <w:sz w:val="20"/>
              </w:rPr>
            </w:pPr>
            <w:r w:rsidRPr="008A006D">
              <w:rPr>
                <w:sz w:val="20"/>
              </w:rPr>
              <w:t>(Ont.) (Criminelle) (Autorisation)</w:t>
            </w:r>
          </w:p>
        </w:tc>
      </w:tr>
      <w:tr w:rsidR="003B4723" w:rsidRPr="00D72403" w:rsidTr="003B4723">
        <w:tc>
          <w:tcPr>
            <w:tcW w:w="5000" w:type="pct"/>
            <w:gridSpan w:val="4"/>
          </w:tcPr>
          <w:p w:rsidR="003B4723" w:rsidRPr="008A006D" w:rsidRDefault="003B4723" w:rsidP="003B4723">
            <w:pPr>
              <w:jc w:val="both"/>
              <w:rPr>
                <w:sz w:val="20"/>
                <w:lang w:val="fr-CA"/>
              </w:rPr>
            </w:pPr>
            <w:r w:rsidRPr="008A006D">
              <w:rPr>
                <w:sz w:val="20"/>
                <w:lang w:val="fr-CA"/>
              </w:rPr>
              <w:t>Droit criminel — Engagements — Défaut — Confiscation de la caution déposée et des promesses assorties de cautions — Les procédures de confiscation ont</w:t>
            </w:r>
            <w:r w:rsidRPr="008A006D">
              <w:rPr>
                <w:sz w:val="20"/>
                <w:lang w:val="fr-CA"/>
              </w:rPr>
              <w:noBreakHyphen/>
              <w:t>elles été suspendues par le décès de l’accusé? — La compétence requise pour mener une audience de confiscation est</w:t>
            </w:r>
            <w:r w:rsidRPr="008A006D">
              <w:rPr>
                <w:sz w:val="20"/>
                <w:lang w:val="fr-CA"/>
              </w:rPr>
              <w:noBreakHyphen/>
              <w:t>elle minée en raison du non</w:t>
            </w:r>
            <w:r w:rsidRPr="008A006D">
              <w:rPr>
                <w:sz w:val="20"/>
                <w:lang w:val="fr-CA"/>
              </w:rPr>
              <w:noBreakHyphen/>
              <w:t xml:space="preserve">respect des conditions établies dans le </w:t>
            </w:r>
            <w:r w:rsidRPr="008A006D">
              <w:rPr>
                <w:i/>
                <w:sz w:val="20"/>
                <w:lang w:val="fr-CA"/>
              </w:rPr>
              <w:t>Code criminel</w:t>
            </w:r>
            <w:r w:rsidRPr="008A006D">
              <w:rPr>
                <w:sz w:val="20"/>
                <w:lang w:val="fr-CA"/>
              </w:rPr>
              <w:t xml:space="preserve"> pour remplir et rédiger un certificat de défaut selon la formule 33?</w:t>
            </w:r>
          </w:p>
        </w:tc>
      </w:tr>
      <w:tr w:rsidR="003B4723" w:rsidRPr="00D72403" w:rsidTr="003B4723">
        <w:tc>
          <w:tcPr>
            <w:tcW w:w="5000" w:type="pct"/>
            <w:gridSpan w:val="4"/>
          </w:tcPr>
          <w:p w:rsidR="003B4723" w:rsidRPr="008A006D" w:rsidRDefault="003B4723" w:rsidP="003B4723">
            <w:pPr>
              <w:jc w:val="both"/>
              <w:rPr>
                <w:sz w:val="20"/>
                <w:lang w:val="fr-CA"/>
              </w:rPr>
            </w:pPr>
          </w:p>
        </w:tc>
      </w:tr>
      <w:tr w:rsidR="003B4723" w:rsidRPr="00D72403" w:rsidTr="003B4723">
        <w:tc>
          <w:tcPr>
            <w:tcW w:w="5000" w:type="pct"/>
            <w:gridSpan w:val="4"/>
          </w:tcPr>
          <w:p w:rsidR="003B4723" w:rsidRPr="008A006D" w:rsidRDefault="003B4723" w:rsidP="003B4723">
            <w:pPr>
              <w:widowControl w:val="0"/>
              <w:kinsoku w:val="0"/>
              <w:overflowPunct w:val="0"/>
              <w:jc w:val="both"/>
              <w:textAlignment w:val="baseline"/>
              <w:rPr>
                <w:sz w:val="20"/>
                <w:lang w:val="fr-CA"/>
              </w:rPr>
            </w:pPr>
            <w:r w:rsidRPr="008A006D">
              <w:rPr>
                <w:sz w:val="20"/>
                <w:lang w:val="fr-CA"/>
              </w:rPr>
              <w:t>David Bullen a été inculpé d’infractions et a été libéré sous caution et un engagement assorti de cautions. Il a été arrêté et inculpé de nouvelles infractions, y compris des violations de l’engagement. L’engagement a été révoqué et un certificat de défaut a été inscrit selon la formule 33. David Bullen a plaidé coupable aux infractions et est décédé en prison avant la détermination de la peine. L’avocat de la Couronne a présenté une demande en vue de l’arrêt des poursuites et de la confiscation de la caution déposée ainsi que des dettes assorties de cautions. Un juge en cabinet a rejeté une contestation visant la compétence de la cour de tenir une audience relative à la confiscation et ordonné la confiscation de la caution déposée ainsi que des dettes assorties de cautions. Il n’y avait pas de droit d’appel à la Cour d’appel.</w:t>
            </w:r>
          </w:p>
          <w:p w:rsidR="003B4723" w:rsidRPr="008A006D" w:rsidRDefault="003B4723" w:rsidP="003B4723">
            <w:pPr>
              <w:jc w:val="both"/>
              <w:rPr>
                <w:sz w:val="20"/>
                <w:lang w:val="fr-CA"/>
              </w:rPr>
            </w:pPr>
          </w:p>
        </w:tc>
      </w:tr>
      <w:tr w:rsidR="003B4723" w:rsidRPr="008A006D" w:rsidTr="003B4723">
        <w:tc>
          <w:tcPr>
            <w:tcW w:w="2427" w:type="pct"/>
            <w:gridSpan w:val="2"/>
          </w:tcPr>
          <w:p w:rsidR="003B4723" w:rsidRPr="008A006D" w:rsidRDefault="003B4723" w:rsidP="003B4723">
            <w:pPr>
              <w:jc w:val="both"/>
              <w:rPr>
                <w:sz w:val="20"/>
                <w:lang w:val="fr-CA"/>
              </w:rPr>
            </w:pPr>
            <w:r w:rsidRPr="008A006D">
              <w:rPr>
                <w:sz w:val="20"/>
                <w:lang w:val="fr-CA"/>
              </w:rPr>
              <w:t>4 mars 2021</w:t>
            </w:r>
          </w:p>
          <w:p w:rsidR="003B4723" w:rsidRPr="008A006D" w:rsidRDefault="003B4723" w:rsidP="003B4723">
            <w:pPr>
              <w:jc w:val="both"/>
              <w:rPr>
                <w:sz w:val="20"/>
                <w:lang w:val="fr-CA"/>
              </w:rPr>
            </w:pPr>
            <w:r w:rsidRPr="008A006D">
              <w:rPr>
                <w:sz w:val="20"/>
                <w:lang w:val="fr-CA"/>
              </w:rPr>
              <w:t>Cour supérieure de justice de l’Ontario</w:t>
            </w:r>
          </w:p>
          <w:p w:rsidR="003B4723" w:rsidRPr="008A006D" w:rsidRDefault="003B4723" w:rsidP="003B4723">
            <w:pPr>
              <w:jc w:val="both"/>
              <w:rPr>
                <w:sz w:val="20"/>
              </w:rPr>
            </w:pPr>
            <w:r w:rsidRPr="008A006D">
              <w:rPr>
                <w:sz w:val="20"/>
              </w:rPr>
              <w:lastRenderedPageBreak/>
              <w:t xml:space="preserve">(juge Aitken) </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Requête rejetée</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lang w:val="fr-CA"/>
              </w:rPr>
            </w:pPr>
            <w:r w:rsidRPr="008A006D">
              <w:rPr>
                <w:sz w:val="20"/>
                <w:lang w:val="fr-CA"/>
              </w:rPr>
              <w:t>28 mai 2021</w:t>
            </w:r>
          </w:p>
          <w:p w:rsidR="003B4723" w:rsidRPr="008A006D" w:rsidRDefault="003B4723" w:rsidP="003B4723">
            <w:pPr>
              <w:jc w:val="both"/>
              <w:rPr>
                <w:sz w:val="20"/>
                <w:lang w:val="fr-CA"/>
              </w:rPr>
            </w:pPr>
            <w:r w:rsidRPr="008A006D">
              <w:rPr>
                <w:sz w:val="20"/>
                <w:lang w:val="fr-CA"/>
              </w:rPr>
              <w:t>Cour supérieure de justice de l’Ontario</w:t>
            </w:r>
          </w:p>
          <w:p w:rsidR="003B4723" w:rsidRPr="008A006D" w:rsidRDefault="003B4723" w:rsidP="003B4723">
            <w:pPr>
              <w:jc w:val="both"/>
              <w:rPr>
                <w:sz w:val="20"/>
                <w:lang w:val="fr-CA"/>
              </w:rPr>
            </w:pPr>
            <w:r w:rsidRPr="008A006D">
              <w:rPr>
                <w:sz w:val="20"/>
                <w:lang w:val="fr-CA"/>
              </w:rPr>
              <w:t xml:space="preserve">(juge Aitken) </w:t>
            </w:r>
          </w:p>
          <w:p w:rsidR="003B4723" w:rsidRPr="008A006D" w:rsidRDefault="003B4723" w:rsidP="003B4723">
            <w:pPr>
              <w:jc w:val="both"/>
              <w:rPr>
                <w:sz w:val="20"/>
                <w:lang w:val="fr-CA"/>
              </w:rPr>
            </w:pP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rPr>
            </w:pPr>
            <w:r w:rsidRPr="008A006D">
              <w:rPr>
                <w:sz w:val="20"/>
              </w:rPr>
              <w:t>Confiscations ordonnées</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lang w:val="fr-CA"/>
              </w:rPr>
            </w:pPr>
            <w:r w:rsidRPr="008A006D">
              <w:rPr>
                <w:sz w:val="20"/>
                <w:lang w:val="fr-CA"/>
              </w:rPr>
              <w:t>28 juillet 2021</w:t>
            </w:r>
          </w:p>
          <w:p w:rsidR="003B4723" w:rsidRPr="008A006D" w:rsidRDefault="003B4723" w:rsidP="00F015F9">
            <w:pPr>
              <w:jc w:val="both"/>
              <w:rPr>
                <w:sz w:val="20"/>
                <w:lang w:val="fr-CA"/>
              </w:rPr>
            </w:pPr>
            <w:r w:rsidRPr="008A006D">
              <w:rPr>
                <w:sz w:val="20"/>
                <w:lang w:val="fr-CA"/>
              </w:rPr>
              <w:t>Cour suprême du Canada</w:t>
            </w: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rPr>
            </w:pPr>
            <w:r w:rsidRPr="008A006D">
              <w:rPr>
                <w:sz w:val="20"/>
              </w:rPr>
              <w:t>Demande d’autorisation d’appel déposée</w:t>
            </w:r>
          </w:p>
          <w:p w:rsidR="003B4723" w:rsidRPr="008A006D" w:rsidRDefault="003B4723" w:rsidP="003B4723">
            <w:pPr>
              <w:jc w:val="both"/>
              <w:rPr>
                <w:sz w:val="20"/>
              </w:rPr>
            </w:pPr>
          </w:p>
        </w:tc>
      </w:tr>
    </w:tbl>
    <w:p w:rsidR="003B4723" w:rsidRPr="008A006D" w:rsidRDefault="003B4723" w:rsidP="003B4723">
      <w:pPr>
        <w:jc w:val="both"/>
        <w:rPr>
          <w:sz w:val="20"/>
        </w:rPr>
      </w:pPr>
    </w:p>
    <w:p w:rsidR="007B1AB9" w:rsidRPr="008A006D" w:rsidRDefault="00D72403" w:rsidP="003B4723">
      <w:pPr>
        <w:jc w:val="both"/>
        <w:rPr>
          <w:sz w:val="20"/>
        </w:rPr>
      </w:pPr>
      <w:r>
        <w:rPr>
          <w:sz w:val="20"/>
        </w:rPr>
        <w:pict>
          <v:rect id="_x0000_i1036" style="width:2in;height:1pt" o:hrpct="0" o:hralign="center" o:hrstd="t" o:hrnoshade="t" o:hr="t" fillcolor="black [3213]" stroked="f"/>
        </w:pict>
      </w:r>
    </w:p>
    <w:p w:rsidR="002E2A68" w:rsidRPr="008A006D" w:rsidRDefault="002E2A68" w:rsidP="003B4723">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723" w:rsidRPr="008A006D" w:rsidTr="003B4723">
        <w:tc>
          <w:tcPr>
            <w:tcW w:w="543" w:type="pct"/>
          </w:tcPr>
          <w:p w:rsidR="003B4723" w:rsidRPr="008A006D" w:rsidRDefault="003B4723" w:rsidP="003B4723">
            <w:pPr>
              <w:jc w:val="both"/>
              <w:rPr>
                <w:sz w:val="20"/>
              </w:rPr>
            </w:pPr>
            <w:r w:rsidRPr="008A006D">
              <w:rPr>
                <w:b/>
                <w:sz w:val="20"/>
              </w:rPr>
              <w:t>39842</w:t>
            </w:r>
          </w:p>
        </w:tc>
        <w:tc>
          <w:tcPr>
            <w:tcW w:w="4457" w:type="pct"/>
            <w:gridSpan w:val="3"/>
          </w:tcPr>
          <w:p w:rsidR="003B4723" w:rsidRPr="008A006D" w:rsidRDefault="003B4723" w:rsidP="003B4723">
            <w:pPr>
              <w:jc w:val="both"/>
              <w:rPr>
                <w:b/>
                <w:sz w:val="20"/>
              </w:rPr>
            </w:pPr>
            <w:r w:rsidRPr="008A006D">
              <w:rPr>
                <w:b/>
                <w:sz w:val="20"/>
              </w:rPr>
              <w:t>Helen Rebeyka v. Saskatchewan Government Insurance</w:t>
            </w:r>
          </w:p>
          <w:p w:rsidR="003B4723" w:rsidRPr="008A006D" w:rsidRDefault="003B4723" w:rsidP="003B4723">
            <w:pPr>
              <w:jc w:val="both"/>
              <w:rPr>
                <w:sz w:val="20"/>
              </w:rPr>
            </w:pPr>
            <w:r w:rsidRPr="008A006D">
              <w:rPr>
                <w:sz w:val="20"/>
              </w:rPr>
              <w:t>(Sask.) (Civil) (By Leave)</w:t>
            </w:r>
          </w:p>
        </w:tc>
      </w:tr>
      <w:tr w:rsidR="003B4723" w:rsidRPr="008A006D" w:rsidTr="003B4723">
        <w:tc>
          <w:tcPr>
            <w:tcW w:w="5000" w:type="pct"/>
            <w:gridSpan w:val="4"/>
          </w:tcPr>
          <w:p w:rsidR="003B4723" w:rsidRPr="008A006D" w:rsidRDefault="003B4723" w:rsidP="003B4723">
            <w:pPr>
              <w:jc w:val="both"/>
              <w:rPr>
                <w:sz w:val="20"/>
              </w:rPr>
            </w:pPr>
            <w:r w:rsidRPr="008A006D">
              <w:rPr>
                <w:sz w:val="20"/>
              </w:rPr>
              <w:t xml:space="preserve">Constitutional law — Courts — Powers granted to courts — Right of appeal — Whether a provincial legislature can vest a statutory </w:t>
            </w:r>
            <w:r w:rsidRPr="008A006D">
              <w:rPr>
                <w:i/>
                <w:sz w:val="20"/>
              </w:rPr>
              <w:t>de novo</w:t>
            </w:r>
            <w:r w:rsidRPr="008A006D">
              <w:rPr>
                <w:sz w:val="20"/>
              </w:rPr>
              <w:t xml:space="preserve"> hearing body with the judicial functions of a s. 96 of the </w:t>
            </w:r>
            <w:r w:rsidRPr="008A006D">
              <w:rPr>
                <w:i/>
                <w:sz w:val="20"/>
              </w:rPr>
              <w:t>Constitution Act, 1867</w:t>
            </w:r>
            <w:r w:rsidRPr="008A006D">
              <w:rPr>
                <w:sz w:val="20"/>
              </w:rPr>
              <w:t xml:space="preserve"> superior court, and, if so, whether it can do so without concurrently providing a right of appeal to a s. 96 superior court — When a statute such as s. 194(1) of the </w:t>
            </w:r>
            <w:r w:rsidRPr="008A006D">
              <w:rPr>
                <w:i/>
                <w:sz w:val="20"/>
              </w:rPr>
              <w:t>Automobile Accident Insurance Act</w:t>
            </w:r>
            <w:r w:rsidRPr="008A006D">
              <w:rPr>
                <w:sz w:val="20"/>
              </w:rPr>
              <w:t>, R.S.S. 1978, c. A</w:t>
            </w:r>
            <w:r w:rsidRPr="008A006D">
              <w:rPr>
                <w:sz w:val="20"/>
              </w:rPr>
              <w:noBreakHyphen/>
              <w:t>35, gives a right to appeal at law to a Court of Appeal with leave, and where no access to a superior court has been had, whether ss. 96</w:t>
            </w:r>
            <w:r w:rsidRPr="008A006D">
              <w:rPr>
                <w:sz w:val="20"/>
              </w:rPr>
              <w:noBreakHyphen/>
              <w:t xml:space="preserve">100 of the </w:t>
            </w:r>
            <w:r w:rsidRPr="008A006D">
              <w:rPr>
                <w:i/>
                <w:sz w:val="20"/>
              </w:rPr>
              <w:t>Constitution Act, 1867</w:t>
            </w:r>
            <w:r w:rsidRPr="008A006D">
              <w:rPr>
                <w:sz w:val="20"/>
              </w:rPr>
              <w:t>, have an effect on the standard for granting leave to appeal where the prospective appellant has never had access to a superior court?</w:t>
            </w:r>
          </w:p>
        </w:tc>
      </w:tr>
      <w:tr w:rsidR="003B4723" w:rsidRPr="008A006D" w:rsidTr="003B4723">
        <w:tc>
          <w:tcPr>
            <w:tcW w:w="5000" w:type="pct"/>
            <w:gridSpan w:val="4"/>
          </w:tcPr>
          <w:p w:rsidR="003B4723" w:rsidRPr="008A006D" w:rsidRDefault="003B4723" w:rsidP="003B4723">
            <w:pPr>
              <w:jc w:val="both"/>
              <w:rPr>
                <w:sz w:val="20"/>
              </w:rPr>
            </w:pPr>
          </w:p>
        </w:tc>
      </w:tr>
      <w:tr w:rsidR="003B4723" w:rsidRPr="008A006D" w:rsidTr="003B4723">
        <w:tc>
          <w:tcPr>
            <w:tcW w:w="5000" w:type="pct"/>
            <w:gridSpan w:val="4"/>
          </w:tcPr>
          <w:p w:rsidR="003B4723" w:rsidRPr="008A006D" w:rsidRDefault="003B4723" w:rsidP="003B4723">
            <w:pPr>
              <w:jc w:val="both"/>
              <w:rPr>
                <w:sz w:val="20"/>
              </w:rPr>
            </w:pPr>
            <w:r w:rsidRPr="008A006D">
              <w:rPr>
                <w:sz w:val="20"/>
              </w:rPr>
              <w:t xml:space="preserve">Ms. Rebeyka was involved in motor vehicle accidents on December 19, 2006, February 26, 2007, and December 15, 2007. She applied for benefits under the </w:t>
            </w:r>
            <w:r w:rsidRPr="008A006D">
              <w:rPr>
                <w:i/>
                <w:sz w:val="20"/>
              </w:rPr>
              <w:t>Automobile Accident Insurance Act</w:t>
            </w:r>
            <w:r w:rsidRPr="008A006D">
              <w:rPr>
                <w:sz w:val="20"/>
              </w:rPr>
              <w:t>, R.S.S. 1978, c. A</w:t>
            </w:r>
            <w:r w:rsidRPr="008A006D">
              <w:rPr>
                <w:sz w:val="20"/>
              </w:rPr>
              <w:noBreakHyphen/>
              <w:t>35, in relation to the first and third accidents. Saskatchewan Government Insurance (“SGI”) opened a file concerning the second accident and referred to that file in its correspondence. SGI paid Ms. Rebeyka benefits for a period of time.</w:t>
            </w:r>
          </w:p>
          <w:p w:rsidR="003B4723" w:rsidRPr="008A006D" w:rsidRDefault="003B4723" w:rsidP="003B4723">
            <w:pPr>
              <w:jc w:val="both"/>
              <w:rPr>
                <w:sz w:val="20"/>
              </w:rPr>
            </w:pPr>
          </w:p>
          <w:p w:rsidR="003B4723" w:rsidRPr="008A006D" w:rsidRDefault="003B4723" w:rsidP="003B4723">
            <w:pPr>
              <w:jc w:val="both"/>
              <w:rPr>
                <w:sz w:val="20"/>
              </w:rPr>
            </w:pPr>
            <w:r w:rsidRPr="008A006D">
              <w:rPr>
                <w:sz w:val="20"/>
              </w:rPr>
              <w:t>On February 19, 2010, the Commission sent Ms. Rebeyka a decision letter in which it reported its finding that her low back pain was not caused by the accidents. Then, on October 19, 2016, it send a second decision letter in which it reported its finding that her post-traumatic stress disorder and depression were not caused by the accidents.</w:t>
            </w:r>
          </w:p>
          <w:p w:rsidR="003B4723" w:rsidRPr="008A006D" w:rsidRDefault="003B4723" w:rsidP="003B4723">
            <w:pPr>
              <w:jc w:val="both"/>
              <w:rPr>
                <w:sz w:val="20"/>
              </w:rPr>
            </w:pPr>
          </w:p>
          <w:p w:rsidR="003B4723" w:rsidRPr="008A006D" w:rsidRDefault="003B4723" w:rsidP="003B4723">
            <w:pPr>
              <w:jc w:val="both"/>
              <w:rPr>
                <w:sz w:val="20"/>
              </w:rPr>
            </w:pPr>
            <w:r w:rsidRPr="008A006D">
              <w:rPr>
                <w:sz w:val="20"/>
              </w:rPr>
              <w:t>The Commission concluded that Ms. Rebeyka had not sustained a lower back injury in any of the accidents. It further found that Ms. Rebeyka had recovered from the mental health injuries or conditions that were linked to the motor vehicle accidents. Her present mental health injuries or conditions were not caused by or linked to the accidents.</w:t>
            </w:r>
          </w:p>
          <w:p w:rsidR="003B4723" w:rsidRPr="008A006D" w:rsidRDefault="003B4723" w:rsidP="003B4723">
            <w:pPr>
              <w:jc w:val="both"/>
              <w:rPr>
                <w:sz w:val="20"/>
              </w:rPr>
            </w:pPr>
          </w:p>
          <w:p w:rsidR="003B4723" w:rsidRPr="008A006D" w:rsidRDefault="003B4723" w:rsidP="003B4723">
            <w:pPr>
              <w:jc w:val="both"/>
              <w:rPr>
                <w:sz w:val="20"/>
              </w:rPr>
            </w:pPr>
            <w:r w:rsidRPr="008A006D">
              <w:rPr>
                <w:sz w:val="20"/>
              </w:rPr>
              <w:t>Leave to appeal the decision was denied by a single judge of the Court of Appeal.</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February 26, 2021</w:t>
            </w:r>
          </w:p>
          <w:p w:rsidR="003B4723" w:rsidRPr="008A006D" w:rsidRDefault="003B4723" w:rsidP="003B4723">
            <w:pPr>
              <w:jc w:val="both"/>
              <w:rPr>
                <w:sz w:val="20"/>
              </w:rPr>
            </w:pPr>
            <w:r w:rsidRPr="008A006D">
              <w:rPr>
                <w:sz w:val="20"/>
              </w:rPr>
              <w:t>Automobile Injury Appeal Commission</w:t>
            </w:r>
          </w:p>
          <w:p w:rsidR="003B4723" w:rsidRPr="008A006D" w:rsidRDefault="003B4723" w:rsidP="003B4723">
            <w:pPr>
              <w:jc w:val="both"/>
              <w:rPr>
                <w:sz w:val="20"/>
              </w:rPr>
            </w:pPr>
            <w:r w:rsidRPr="008A006D">
              <w:rPr>
                <w:sz w:val="20"/>
              </w:rPr>
              <w:t>2021 SKAIA 6</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 xml:space="preserve">Appeals </w:t>
            </w:r>
            <w:r w:rsidRPr="008A006D">
              <w:rPr>
                <w:i/>
                <w:sz w:val="20"/>
              </w:rPr>
              <w:t>de novo</w:t>
            </w:r>
            <w:r w:rsidRPr="008A006D">
              <w:rPr>
                <w:sz w:val="20"/>
              </w:rPr>
              <w:t xml:space="preserve"> of two decision letters from Automobile Injury Commission dismissed; decision letters upheld</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July 19, 2021</w:t>
            </w:r>
          </w:p>
          <w:p w:rsidR="003B4723" w:rsidRPr="008A006D" w:rsidRDefault="003B4723" w:rsidP="003B4723">
            <w:pPr>
              <w:jc w:val="both"/>
              <w:rPr>
                <w:sz w:val="20"/>
              </w:rPr>
            </w:pPr>
            <w:r w:rsidRPr="008A006D">
              <w:rPr>
                <w:sz w:val="20"/>
              </w:rPr>
              <w:t>Court of Appeal for Saskatchewan</w:t>
            </w:r>
          </w:p>
          <w:p w:rsidR="003B4723" w:rsidRPr="008A006D" w:rsidRDefault="003B4723" w:rsidP="003B4723">
            <w:pPr>
              <w:jc w:val="both"/>
              <w:rPr>
                <w:sz w:val="20"/>
              </w:rPr>
            </w:pPr>
            <w:r w:rsidRPr="008A006D">
              <w:rPr>
                <w:sz w:val="20"/>
              </w:rPr>
              <w:t xml:space="preserve">(Tholl J.) </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Application for leave to appeal dismissed</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rPr>
            </w:pPr>
            <w:r w:rsidRPr="008A006D">
              <w:rPr>
                <w:sz w:val="20"/>
              </w:rPr>
              <w:t>September 17, 2021</w:t>
            </w:r>
          </w:p>
          <w:p w:rsidR="003B4723" w:rsidRPr="008A006D" w:rsidRDefault="003B4723" w:rsidP="003B4723">
            <w:pPr>
              <w:jc w:val="both"/>
              <w:rPr>
                <w:sz w:val="20"/>
              </w:rPr>
            </w:pPr>
            <w:r w:rsidRPr="008A006D">
              <w:rPr>
                <w:sz w:val="20"/>
              </w:rPr>
              <w:t>Supreme Court of Canada</w:t>
            </w: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rPr>
            </w:pPr>
            <w:r w:rsidRPr="008A006D">
              <w:rPr>
                <w:sz w:val="20"/>
              </w:rPr>
              <w:t>Application for leave to appeal filed</w:t>
            </w:r>
          </w:p>
          <w:p w:rsidR="003B4723" w:rsidRPr="008A006D" w:rsidRDefault="003B4723" w:rsidP="003B4723">
            <w:pPr>
              <w:jc w:val="both"/>
              <w:rPr>
                <w:sz w:val="20"/>
              </w:rPr>
            </w:pPr>
          </w:p>
        </w:tc>
      </w:tr>
    </w:tbl>
    <w:p w:rsidR="003B4723" w:rsidRPr="008A006D" w:rsidRDefault="003B4723" w:rsidP="003B4723">
      <w:pPr>
        <w:jc w:val="both"/>
        <w:rPr>
          <w:sz w:val="20"/>
        </w:rPr>
      </w:pPr>
    </w:p>
    <w:p w:rsidR="007B1AB9" w:rsidRPr="008A006D" w:rsidRDefault="00D72403" w:rsidP="003B4723">
      <w:pPr>
        <w:jc w:val="both"/>
        <w:rPr>
          <w:sz w:val="20"/>
        </w:rPr>
      </w:pPr>
      <w:r>
        <w:rPr>
          <w:sz w:val="20"/>
        </w:rPr>
        <w:pict>
          <v:rect id="_x0000_i1037" style="width:2in;height:1pt" o:hrpct="0" o:hralign="center" o:hrstd="t" o:hrnoshade="t" o:hr="t" fillcolor="black [3213]" stroked="f"/>
        </w:pict>
      </w:r>
    </w:p>
    <w:p w:rsidR="007B1AB9" w:rsidRPr="008A006D" w:rsidRDefault="007B1AB9" w:rsidP="003B47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B4723" w:rsidRPr="008A006D" w:rsidTr="003B4723">
        <w:tc>
          <w:tcPr>
            <w:tcW w:w="543" w:type="pct"/>
          </w:tcPr>
          <w:p w:rsidR="003B4723" w:rsidRPr="008A006D" w:rsidRDefault="003B4723" w:rsidP="003B4723">
            <w:pPr>
              <w:jc w:val="both"/>
              <w:rPr>
                <w:sz w:val="20"/>
              </w:rPr>
            </w:pPr>
            <w:r w:rsidRPr="008A006D">
              <w:rPr>
                <w:b/>
                <w:sz w:val="20"/>
              </w:rPr>
              <w:t>39842</w:t>
            </w:r>
          </w:p>
        </w:tc>
        <w:tc>
          <w:tcPr>
            <w:tcW w:w="4457" w:type="pct"/>
            <w:gridSpan w:val="3"/>
          </w:tcPr>
          <w:p w:rsidR="003B4723" w:rsidRPr="008A006D" w:rsidRDefault="003B4723" w:rsidP="003B4723">
            <w:pPr>
              <w:jc w:val="both"/>
              <w:rPr>
                <w:b/>
                <w:sz w:val="20"/>
              </w:rPr>
            </w:pPr>
            <w:r w:rsidRPr="008A006D">
              <w:rPr>
                <w:b/>
                <w:sz w:val="20"/>
              </w:rPr>
              <w:t>Helen Rebeyka c. Saskatchewan Government Insurance</w:t>
            </w:r>
          </w:p>
          <w:p w:rsidR="003B4723" w:rsidRPr="008A006D" w:rsidRDefault="003B4723" w:rsidP="003B4723">
            <w:pPr>
              <w:jc w:val="both"/>
              <w:rPr>
                <w:sz w:val="20"/>
              </w:rPr>
            </w:pPr>
            <w:r w:rsidRPr="008A006D">
              <w:rPr>
                <w:sz w:val="20"/>
              </w:rPr>
              <w:t>(Sask.) (Civile) (Autorisation)</w:t>
            </w:r>
          </w:p>
        </w:tc>
      </w:tr>
      <w:tr w:rsidR="003B4723" w:rsidRPr="00D72403" w:rsidTr="003B4723">
        <w:tc>
          <w:tcPr>
            <w:tcW w:w="5000" w:type="pct"/>
            <w:gridSpan w:val="4"/>
          </w:tcPr>
          <w:p w:rsidR="003B4723" w:rsidRPr="008A006D" w:rsidRDefault="003B4723" w:rsidP="003B4723">
            <w:pPr>
              <w:jc w:val="both"/>
              <w:rPr>
                <w:sz w:val="20"/>
                <w:lang w:val="fr-CA"/>
              </w:rPr>
            </w:pPr>
            <w:r w:rsidRPr="008A006D">
              <w:rPr>
                <w:sz w:val="20"/>
                <w:lang w:val="fr-CA"/>
              </w:rPr>
              <w:t>Droit constitutionnel — Tribunaux — Pouvoirs conférés aux tribunaux — Droit d’appel — Une assemblée législative provinciale peut</w:t>
            </w:r>
            <w:r w:rsidRPr="008A006D">
              <w:rPr>
                <w:sz w:val="20"/>
                <w:lang w:val="fr-CA"/>
              </w:rPr>
              <w:noBreakHyphen/>
              <w:t xml:space="preserve">elle conférer à un organisme établi par la loi chargé des audiences </w:t>
            </w:r>
            <w:r w:rsidRPr="008A006D">
              <w:rPr>
                <w:i/>
                <w:sz w:val="20"/>
                <w:lang w:val="fr-CA"/>
              </w:rPr>
              <w:t>de novo</w:t>
            </w:r>
            <w:r w:rsidRPr="008A006D">
              <w:rPr>
                <w:sz w:val="20"/>
                <w:lang w:val="fr-CA"/>
              </w:rPr>
              <w:t xml:space="preserve"> les fonctions judiciaires d’une cour supérieure visée à l’art. 96 de la </w:t>
            </w:r>
            <w:r w:rsidRPr="008A006D">
              <w:rPr>
                <w:i/>
                <w:sz w:val="20"/>
                <w:lang w:val="fr-CA"/>
              </w:rPr>
              <w:t>Loi constitutionnelle de 1867</w:t>
            </w:r>
            <w:r w:rsidRPr="008A006D">
              <w:rPr>
                <w:sz w:val="20"/>
                <w:lang w:val="fr-CA"/>
              </w:rPr>
              <w:t>, et, le cas échéant, peut</w:t>
            </w:r>
            <w:r w:rsidRPr="008A006D">
              <w:rPr>
                <w:sz w:val="20"/>
                <w:lang w:val="fr-CA"/>
              </w:rPr>
              <w:noBreakHyphen/>
              <w:t xml:space="preserve">elle le faire sans prévoir concurremment un droit d’appel à une cour supérieure visée à l’art. 96 ? — Lorsqu’une disposition législative </w:t>
            </w:r>
            <w:r w:rsidRPr="008A006D">
              <w:rPr>
                <w:sz w:val="20"/>
                <w:lang w:val="fr-CA"/>
              </w:rPr>
              <w:lastRenderedPageBreak/>
              <w:t xml:space="preserve">comme le par. 194(1) de la loi intitulée </w:t>
            </w:r>
            <w:r w:rsidRPr="008A006D">
              <w:rPr>
                <w:i/>
                <w:sz w:val="20"/>
                <w:lang w:val="fr-CA"/>
              </w:rPr>
              <w:t>Automobile Accident Insurance Act</w:t>
            </w:r>
            <w:r w:rsidRPr="008A006D">
              <w:rPr>
                <w:sz w:val="20"/>
                <w:lang w:val="fr-CA"/>
              </w:rPr>
              <w:t xml:space="preserve">, R.S.S. 1978, c. A 35, confère un droit légal d’appel à la cour d’appel, assujetti à une autorisation, et lorsqu’il n’y a pas eu d’accès à une cour supérieure, </w:t>
            </w:r>
            <w:proofErr w:type="gramStart"/>
            <w:r w:rsidRPr="008A006D">
              <w:rPr>
                <w:sz w:val="20"/>
                <w:lang w:val="fr-CA"/>
              </w:rPr>
              <w:t>les art</w:t>
            </w:r>
            <w:proofErr w:type="gramEnd"/>
            <w:r w:rsidRPr="008A006D">
              <w:rPr>
                <w:sz w:val="20"/>
                <w:lang w:val="fr-CA"/>
              </w:rPr>
              <w:t xml:space="preserve">. 96 à 100 de la </w:t>
            </w:r>
            <w:r w:rsidRPr="008A006D">
              <w:rPr>
                <w:i/>
                <w:sz w:val="20"/>
                <w:lang w:val="fr-CA"/>
              </w:rPr>
              <w:t>Loi constitutionnelle de 1867</w:t>
            </w:r>
            <w:r w:rsidRPr="008A006D">
              <w:rPr>
                <w:sz w:val="20"/>
                <w:lang w:val="fr-CA"/>
              </w:rPr>
              <w:t xml:space="preserve"> ont</w:t>
            </w:r>
            <w:r w:rsidRPr="008A006D">
              <w:rPr>
                <w:sz w:val="20"/>
                <w:lang w:val="fr-CA"/>
              </w:rPr>
              <w:noBreakHyphen/>
              <w:t>ils une incidence sur la norme pour l’octroi de l’autorisation d’interjeter appel alors que l’appelant éventuel n’a jamais eu accès à une cour supérieure?</w:t>
            </w:r>
          </w:p>
        </w:tc>
      </w:tr>
      <w:tr w:rsidR="003B4723" w:rsidRPr="00D72403" w:rsidTr="003B4723">
        <w:tc>
          <w:tcPr>
            <w:tcW w:w="5000" w:type="pct"/>
            <w:gridSpan w:val="4"/>
          </w:tcPr>
          <w:p w:rsidR="003B4723" w:rsidRPr="008A006D" w:rsidRDefault="003B4723" w:rsidP="003B4723">
            <w:pPr>
              <w:jc w:val="both"/>
              <w:rPr>
                <w:sz w:val="20"/>
                <w:lang w:val="fr-CA"/>
              </w:rPr>
            </w:pPr>
          </w:p>
        </w:tc>
      </w:tr>
      <w:tr w:rsidR="003B4723" w:rsidRPr="00D72403" w:rsidTr="003B4723">
        <w:tc>
          <w:tcPr>
            <w:tcW w:w="5000" w:type="pct"/>
            <w:gridSpan w:val="4"/>
          </w:tcPr>
          <w:p w:rsidR="003B4723" w:rsidRPr="008A006D" w:rsidRDefault="003B4723" w:rsidP="003B4723">
            <w:pPr>
              <w:jc w:val="both"/>
              <w:rPr>
                <w:sz w:val="20"/>
                <w:lang w:val="fr-CA"/>
              </w:rPr>
            </w:pPr>
            <w:r w:rsidRPr="008A006D">
              <w:rPr>
                <w:sz w:val="20"/>
                <w:lang w:val="fr-CA"/>
              </w:rPr>
              <w:t>M</w:t>
            </w:r>
            <w:r w:rsidRPr="008A006D">
              <w:rPr>
                <w:sz w:val="20"/>
                <w:vertAlign w:val="superscript"/>
                <w:lang w:val="fr-CA"/>
              </w:rPr>
              <w:t>me</w:t>
            </w:r>
            <w:r w:rsidRPr="008A006D">
              <w:rPr>
                <w:sz w:val="20"/>
                <w:lang w:val="fr-CA"/>
              </w:rPr>
              <w:t xml:space="preserve"> Rebeyka a subi des accidents automobiles les 19 décembre 2006, 26 février 2007 et 15 décembre 2007. Elle a présenté une demande de prestations au titre de la loi intitulée </w:t>
            </w:r>
            <w:r w:rsidRPr="008A006D">
              <w:rPr>
                <w:i/>
                <w:sz w:val="20"/>
                <w:lang w:val="fr-CA"/>
              </w:rPr>
              <w:t>Automobile Accident Insurance Act</w:t>
            </w:r>
            <w:r w:rsidRPr="008A006D">
              <w:rPr>
                <w:sz w:val="20"/>
                <w:lang w:val="fr-CA"/>
              </w:rPr>
              <w:t>, R.S.S. 1978, c. A 35, relativement aux premier et troisième accidents. La Saskatchewan Government Insurance (« SGI ») a créé un dossier concernant le deuxième accident et y a fait référence dans sa lettre. La SGI a versé à M</w:t>
            </w:r>
            <w:r w:rsidRPr="008A006D">
              <w:rPr>
                <w:sz w:val="20"/>
                <w:vertAlign w:val="superscript"/>
                <w:lang w:val="fr-CA"/>
              </w:rPr>
              <w:t>me</w:t>
            </w:r>
            <w:r w:rsidRPr="008A006D">
              <w:rPr>
                <w:sz w:val="20"/>
                <w:lang w:val="fr-CA"/>
              </w:rPr>
              <w:t> Rebeyka des prestations pendant un certain temps.</w:t>
            </w:r>
          </w:p>
          <w:p w:rsidR="003B4723" w:rsidRPr="008A006D" w:rsidRDefault="003B4723" w:rsidP="003B4723">
            <w:pPr>
              <w:jc w:val="both"/>
              <w:rPr>
                <w:sz w:val="20"/>
                <w:lang w:val="fr-CA"/>
              </w:rPr>
            </w:pPr>
          </w:p>
          <w:p w:rsidR="003B4723" w:rsidRPr="008A006D" w:rsidRDefault="003B4723" w:rsidP="003B4723">
            <w:pPr>
              <w:jc w:val="both"/>
              <w:rPr>
                <w:sz w:val="20"/>
                <w:lang w:val="fr-CA"/>
              </w:rPr>
            </w:pPr>
            <w:r w:rsidRPr="008A006D">
              <w:rPr>
                <w:sz w:val="20"/>
                <w:lang w:val="fr-CA"/>
              </w:rPr>
              <w:t>Le 19 février 2010, la Commission a envoyé une lettre faisant état de décision à M</w:t>
            </w:r>
            <w:r w:rsidRPr="008A006D">
              <w:rPr>
                <w:sz w:val="20"/>
                <w:vertAlign w:val="superscript"/>
                <w:lang w:val="fr-CA"/>
              </w:rPr>
              <w:t>me</w:t>
            </w:r>
            <w:r w:rsidRPr="008A006D">
              <w:rPr>
                <w:sz w:val="20"/>
                <w:lang w:val="fr-CA"/>
              </w:rPr>
              <w:t> Rebeyka, énonçant sa conclusion selon laquelle ses douleurs au bas du dos n’ont pas été causées par les accidents. Ensuite, le 19 octobre 2016, la Commission a envoyé une deuxième lettre faisant état de décision, énonçant sa conclusion selon laquelle le trouble de stress post</w:t>
            </w:r>
            <w:r w:rsidRPr="008A006D">
              <w:rPr>
                <w:sz w:val="20"/>
                <w:lang w:val="fr-CA"/>
              </w:rPr>
              <w:noBreakHyphen/>
              <w:t>traumatique et la dépression n’ont pas été causés par les accidents.</w:t>
            </w:r>
          </w:p>
          <w:p w:rsidR="003B4723" w:rsidRPr="008A006D" w:rsidRDefault="003B4723" w:rsidP="003B4723">
            <w:pPr>
              <w:jc w:val="both"/>
              <w:rPr>
                <w:sz w:val="20"/>
                <w:lang w:val="fr-CA"/>
              </w:rPr>
            </w:pPr>
          </w:p>
          <w:p w:rsidR="003B4723" w:rsidRPr="008A006D" w:rsidRDefault="003B4723" w:rsidP="003B4723">
            <w:pPr>
              <w:tabs>
                <w:tab w:val="left" w:pos="3132"/>
              </w:tabs>
              <w:jc w:val="both"/>
              <w:rPr>
                <w:sz w:val="20"/>
                <w:lang w:val="fr-CA"/>
              </w:rPr>
            </w:pPr>
            <w:r w:rsidRPr="008A006D">
              <w:rPr>
                <w:sz w:val="20"/>
                <w:lang w:val="fr-CA"/>
              </w:rPr>
              <w:t>La Commission a conclu que M</w:t>
            </w:r>
            <w:r w:rsidRPr="008A006D">
              <w:rPr>
                <w:sz w:val="20"/>
                <w:vertAlign w:val="superscript"/>
                <w:lang w:val="fr-CA"/>
              </w:rPr>
              <w:t>me</w:t>
            </w:r>
            <w:r w:rsidRPr="008A006D">
              <w:rPr>
                <w:sz w:val="20"/>
                <w:lang w:val="fr-CA"/>
              </w:rPr>
              <w:t> Rebeyka n’avait subi aucune blessure au bas du dos dans l’un quelconque des accidents. Elle a aussi conclu que l’état de santé de M</w:t>
            </w:r>
            <w:r w:rsidRPr="008A006D">
              <w:rPr>
                <w:sz w:val="20"/>
                <w:vertAlign w:val="superscript"/>
                <w:lang w:val="fr-CA"/>
              </w:rPr>
              <w:t>me</w:t>
            </w:r>
            <w:r w:rsidRPr="008A006D">
              <w:rPr>
                <w:sz w:val="20"/>
                <w:lang w:val="fr-CA"/>
              </w:rPr>
              <w:t> Rebeyka s’était amélioré ou qu’elle s’était rétablie de ses blessures psychologiques liées aux accidents automobiles. Son état de santé actuel n’a pas été causé par les accidents et n’est pas lié à ceux</w:t>
            </w:r>
            <w:r w:rsidRPr="008A006D">
              <w:rPr>
                <w:sz w:val="20"/>
                <w:lang w:val="fr-CA"/>
              </w:rPr>
              <w:noBreakHyphen/>
              <w:t>ci, il en va de même de ses blessures psychologiques actuelles.</w:t>
            </w:r>
          </w:p>
          <w:p w:rsidR="003B4723" w:rsidRPr="008A006D" w:rsidRDefault="003B4723" w:rsidP="003B4723">
            <w:pPr>
              <w:jc w:val="both"/>
              <w:rPr>
                <w:sz w:val="20"/>
                <w:lang w:val="fr-CA"/>
              </w:rPr>
            </w:pPr>
          </w:p>
          <w:p w:rsidR="003B4723" w:rsidRPr="008A006D" w:rsidRDefault="003B4723" w:rsidP="003B4723">
            <w:pPr>
              <w:jc w:val="both"/>
              <w:rPr>
                <w:sz w:val="20"/>
                <w:lang w:val="fr-CA"/>
              </w:rPr>
            </w:pPr>
            <w:r w:rsidRPr="008A006D">
              <w:rPr>
                <w:sz w:val="20"/>
                <w:lang w:val="fr-CA"/>
              </w:rPr>
              <w:t>L’autorisation d’interjeter appel de la décision a été rejetée par un juge de la Cour d’appel siégeant seul.</w:t>
            </w:r>
          </w:p>
          <w:p w:rsidR="003B4723" w:rsidRPr="008A006D" w:rsidRDefault="003B4723" w:rsidP="003B4723">
            <w:pPr>
              <w:jc w:val="both"/>
              <w:rPr>
                <w:sz w:val="20"/>
                <w:lang w:val="fr-CA"/>
              </w:rPr>
            </w:pPr>
          </w:p>
        </w:tc>
      </w:tr>
      <w:tr w:rsidR="003B4723" w:rsidRPr="00D72403" w:rsidTr="003B4723">
        <w:tc>
          <w:tcPr>
            <w:tcW w:w="2427" w:type="pct"/>
            <w:gridSpan w:val="2"/>
          </w:tcPr>
          <w:p w:rsidR="003B4723" w:rsidRPr="008A006D" w:rsidRDefault="003B4723" w:rsidP="003B4723">
            <w:pPr>
              <w:jc w:val="both"/>
              <w:rPr>
                <w:sz w:val="20"/>
              </w:rPr>
            </w:pPr>
            <w:r w:rsidRPr="008A006D">
              <w:rPr>
                <w:sz w:val="20"/>
              </w:rPr>
              <w:t>26 février 2021</w:t>
            </w:r>
          </w:p>
          <w:p w:rsidR="003B4723" w:rsidRPr="008A006D" w:rsidRDefault="003B4723" w:rsidP="003B4723">
            <w:pPr>
              <w:jc w:val="both"/>
              <w:rPr>
                <w:sz w:val="20"/>
              </w:rPr>
            </w:pPr>
            <w:r w:rsidRPr="008A006D">
              <w:rPr>
                <w:sz w:val="20"/>
              </w:rPr>
              <w:t>Automobile Injury Appeal Commission</w:t>
            </w:r>
          </w:p>
          <w:p w:rsidR="003B4723" w:rsidRPr="008A006D" w:rsidRDefault="003B4723" w:rsidP="003B4723">
            <w:pPr>
              <w:jc w:val="both"/>
              <w:rPr>
                <w:sz w:val="20"/>
              </w:rPr>
            </w:pPr>
            <w:r w:rsidRPr="008A006D">
              <w:rPr>
                <w:sz w:val="20"/>
              </w:rPr>
              <w:t>2021 SKAIA 6</w:t>
            </w:r>
          </w:p>
          <w:p w:rsidR="003B4723" w:rsidRPr="008A006D" w:rsidRDefault="003B4723" w:rsidP="003B4723">
            <w:pPr>
              <w:jc w:val="both"/>
              <w:rPr>
                <w:sz w:val="20"/>
              </w:rPr>
            </w:pPr>
          </w:p>
        </w:tc>
        <w:tc>
          <w:tcPr>
            <w:tcW w:w="243" w:type="pct"/>
          </w:tcPr>
          <w:p w:rsidR="003B4723" w:rsidRPr="008A006D" w:rsidRDefault="003B4723" w:rsidP="003B4723">
            <w:pPr>
              <w:jc w:val="both"/>
              <w:rPr>
                <w:sz w:val="20"/>
              </w:rPr>
            </w:pPr>
          </w:p>
        </w:tc>
        <w:tc>
          <w:tcPr>
            <w:tcW w:w="2330" w:type="pct"/>
          </w:tcPr>
          <w:p w:rsidR="003B4723" w:rsidRPr="008A006D" w:rsidRDefault="003B4723" w:rsidP="003B4723">
            <w:pPr>
              <w:jc w:val="both"/>
              <w:rPr>
                <w:sz w:val="20"/>
                <w:lang w:val="fr-CA"/>
              </w:rPr>
            </w:pPr>
            <w:r w:rsidRPr="008A006D">
              <w:rPr>
                <w:sz w:val="20"/>
                <w:lang w:val="fr-CA"/>
              </w:rPr>
              <w:t xml:space="preserve">Rejet des appels </w:t>
            </w:r>
            <w:r w:rsidRPr="008A006D">
              <w:rPr>
                <w:i/>
                <w:sz w:val="20"/>
                <w:lang w:val="fr-CA"/>
              </w:rPr>
              <w:t>de novo</w:t>
            </w:r>
            <w:r w:rsidRPr="008A006D">
              <w:rPr>
                <w:sz w:val="20"/>
                <w:lang w:val="fr-CA"/>
              </w:rPr>
              <w:t xml:space="preserve"> à l’encontre de deux lettres faisant état de décisions de l’Automobile Injury Commission; lettres faisant état de décisions confirmées</w:t>
            </w:r>
          </w:p>
          <w:p w:rsidR="003B4723" w:rsidRPr="008A006D" w:rsidRDefault="003B4723" w:rsidP="003B4723">
            <w:pPr>
              <w:jc w:val="both"/>
              <w:rPr>
                <w:sz w:val="20"/>
                <w:lang w:val="fr-CA"/>
              </w:rPr>
            </w:pPr>
          </w:p>
        </w:tc>
      </w:tr>
      <w:tr w:rsidR="003B4723" w:rsidRPr="008A006D" w:rsidTr="003B4723">
        <w:tc>
          <w:tcPr>
            <w:tcW w:w="2427" w:type="pct"/>
            <w:gridSpan w:val="2"/>
          </w:tcPr>
          <w:p w:rsidR="003B4723" w:rsidRPr="008A006D" w:rsidRDefault="003B4723" w:rsidP="003B4723">
            <w:pPr>
              <w:jc w:val="both"/>
              <w:rPr>
                <w:sz w:val="20"/>
                <w:lang w:val="fr-CA"/>
              </w:rPr>
            </w:pPr>
            <w:r w:rsidRPr="008A006D">
              <w:rPr>
                <w:sz w:val="20"/>
                <w:lang w:val="fr-CA"/>
              </w:rPr>
              <w:t>19 juillet 2021</w:t>
            </w:r>
          </w:p>
          <w:p w:rsidR="003B4723" w:rsidRPr="008A006D" w:rsidRDefault="003B4723" w:rsidP="003B4723">
            <w:pPr>
              <w:jc w:val="both"/>
              <w:rPr>
                <w:sz w:val="20"/>
                <w:lang w:val="fr-CA"/>
              </w:rPr>
            </w:pPr>
            <w:r w:rsidRPr="008A006D">
              <w:rPr>
                <w:sz w:val="20"/>
                <w:lang w:val="fr-CA"/>
              </w:rPr>
              <w:t>Cour d’appel de la Saskatchewan</w:t>
            </w:r>
          </w:p>
          <w:p w:rsidR="003B4723" w:rsidRPr="008A006D" w:rsidRDefault="003B4723" w:rsidP="003B4723">
            <w:pPr>
              <w:jc w:val="both"/>
              <w:rPr>
                <w:sz w:val="20"/>
                <w:lang w:val="fr-CA"/>
              </w:rPr>
            </w:pPr>
            <w:r w:rsidRPr="008A006D">
              <w:rPr>
                <w:sz w:val="20"/>
                <w:lang w:val="fr-CA"/>
              </w:rPr>
              <w:t xml:space="preserve">(juge Tholl) </w:t>
            </w:r>
          </w:p>
          <w:p w:rsidR="003B4723" w:rsidRPr="008A006D" w:rsidRDefault="003B4723" w:rsidP="003B4723">
            <w:pPr>
              <w:jc w:val="both"/>
              <w:rPr>
                <w:sz w:val="20"/>
                <w:lang w:val="fr-CA"/>
              </w:rPr>
            </w:pP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rPr>
            </w:pPr>
            <w:r w:rsidRPr="008A006D">
              <w:rPr>
                <w:sz w:val="20"/>
              </w:rPr>
              <w:t>Demande d’autorisation d’appel rejetée</w:t>
            </w:r>
          </w:p>
          <w:p w:rsidR="003B4723" w:rsidRPr="008A006D" w:rsidRDefault="003B4723" w:rsidP="003B4723">
            <w:pPr>
              <w:jc w:val="both"/>
              <w:rPr>
                <w:sz w:val="20"/>
              </w:rPr>
            </w:pPr>
          </w:p>
        </w:tc>
      </w:tr>
      <w:tr w:rsidR="003B4723" w:rsidRPr="008A006D" w:rsidTr="003B4723">
        <w:tc>
          <w:tcPr>
            <w:tcW w:w="2427" w:type="pct"/>
            <w:gridSpan w:val="2"/>
          </w:tcPr>
          <w:p w:rsidR="003B4723" w:rsidRPr="008A006D" w:rsidRDefault="003B4723" w:rsidP="003B4723">
            <w:pPr>
              <w:jc w:val="both"/>
              <w:rPr>
                <w:sz w:val="20"/>
                <w:lang w:val="fr-CA"/>
              </w:rPr>
            </w:pPr>
            <w:r w:rsidRPr="008A006D">
              <w:rPr>
                <w:sz w:val="20"/>
                <w:lang w:val="fr-CA"/>
              </w:rPr>
              <w:t>17 septembre 2021</w:t>
            </w:r>
          </w:p>
          <w:p w:rsidR="003B4723" w:rsidRPr="008A006D" w:rsidRDefault="003B4723" w:rsidP="003B4723">
            <w:pPr>
              <w:jc w:val="both"/>
              <w:rPr>
                <w:sz w:val="20"/>
                <w:lang w:val="fr-CA"/>
              </w:rPr>
            </w:pPr>
            <w:r w:rsidRPr="008A006D">
              <w:rPr>
                <w:sz w:val="20"/>
                <w:lang w:val="fr-CA"/>
              </w:rPr>
              <w:t>Cour suprême du Canada</w:t>
            </w:r>
          </w:p>
        </w:tc>
        <w:tc>
          <w:tcPr>
            <w:tcW w:w="243" w:type="pct"/>
          </w:tcPr>
          <w:p w:rsidR="003B4723" w:rsidRPr="008A006D" w:rsidRDefault="003B4723" w:rsidP="003B4723">
            <w:pPr>
              <w:jc w:val="both"/>
              <w:rPr>
                <w:sz w:val="20"/>
                <w:lang w:val="fr-CA"/>
              </w:rPr>
            </w:pPr>
          </w:p>
        </w:tc>
        <w:tc>
          <w:tcPr>
            <w:tcW w:w="2330" w:type="pct"/>
          </w:tcPr>
          <w:p w:rsidR="003B4723" w:rsidRPr="008A006D" w:rsidRDefault="003B4723" w:rsidP="003B4723">
            <w:pPr>
              <w:jc w:val="both"/>
              <w:rPr>
                <w:sz w:val="20"/>
              </w:rPr>
            </w:pPr>
            <w:r w:rsidRPr="008A006D">
              <w:rPr>
                <w:sz w:val="20"/>
              </w:rPr>
              <w:t>Demande d’autorisation d’appel déposée</w:t>
            </w:r>
          </w:p>
          <w:p w:rsidR="003B4723" w:rsidRPr="008A006D" w:rsidRDefault="003B4723" w:rsidP="003B4723">
            <w:pPr>
              <w:jc w:val="both"/>
              <w:rPr>
                <w:sz w:val="20"/>
              </w:rPr>
            </w:pPr>
          </w:p>
        </w:tc>
      </w:tr>
    </w:tbl>
    <w:p w:rsidR="005A7B6B" w:rsidRPr="008A006D" w:rsidRDefault="005A7B6B" w:rsidP="00350651">
      <w:pPr>
        <w:widowControl w:val="0"/>
        <w:jc w:val="both"/>
        <w:rPr>
          <w:sz w:val="20"/>
          <w:lang w:val="fr-CA"/>
        </w:rPr>
      </w:pPr>
    </w:p>
    <w:p w:rsidR="0028541A" w:rsidRPr="008A006D" w:rsidRDefault="00D72403" w:rsidP="00350651">
      <w:pPr>
        <w:widowControl w:val="0"/>
        <w:jc w:val="both"/>
        <w:rPr>
          <w:sz w:val="20"/>
        </w:rPr>
      </w:pPr>
      <w:r>
        <w:rPr>
          <w:sz w:val="20"/>
        </w:rPr>
        <w:pict>
          <v:rect id="_x0000_i1038" style="width:2in;height:1pt" o:hrpct="0" o:hralign="center" o:hrstd="t" o:hrnoshade="t" o:hr="t" fillcolor="black [3213]" stroked="f"/>
        </w:pict>
      </w:r>
    </w:p>
    <w:p w:rsidR="00FD3FA0" w:rsidRPr="008A006D" w:rsidRDefault="00FD3FA0" w:rsidP="00350651">
      <w:pPr>
        <w:ind w:left="142" w:hanging="142"/>
        <w:jc w:val="both"/>
        <w:rPr>
          <w:sz w:val="20"/>
        </w:rPr>
      </w:pPr>
    </w:p>
    <w:p w:rsidR="008F2F11" w:rsidRPr="008A006D" w:rsidRDefault="008F2F11" w:rsidP="00350651">
      <w:pPr>
        <w:ind w:left="142" w:hanging="142"/>
        <w:jc w:val="both"/>
        <w:rPr>
          <w:sz w:val="20"/>
        </w:rPr>
      </w:pPr>
    </w:p>
    <w:p w:rsidR="008F2F11" w:rsidRPr="008A006D" w:rsidRDefault="008F2F11" w:rsidP="00350651">
      <w:pPr>
        <w:ind w:left="142" w:hanging="142"/>
        <w:jc w:val="both"/>
        <w:rPr>
          <w:sz w:val="20"/>
        </w:rPr>
      </w:pPr>
    </w:p>
    <w:p w:rsidR="00D3344A" w:rsidRPr="008A006D" w:rsidRDefault="00D3344A" w:rsidP="00D3344A">
      <w:pPr>
        <w:widowControl w:val="0"/>
        <w:outlineLvl w:val="0"/>
      </w:pPr>
      <w:r w:rsidRPr="008A006D">
        <w:t xml:space="preserve">Supreme Court of Canada / Cour suprême du </w:t>
      </w:r>
      <w:proofErr w:type="gramStart"/>
      <w:r w:rsidRPr="008A006D">
        <w:t>Canad</w:t>
      </w:r>
      <w:r w:rsidR="00EE289F" w:rsidRPr="008A006D">
        <w:t>a</w:t>
      </w:r>
      <w:r w:rsidRPr="008A006D">
        <w:t xml:space="preserve"> :</w:t>
      </w:r>
      <w:proofErr w:type="gramEnd"/>
    </w:p>
    <w:p w:rsidR="00D3344A" w:rsidRPr="008A006D" w:rsidRDefault="00D72403" w:rsidP="00D3344A">
      <w:pPr>
        <w:widowControl w:val="0"/>
        <w:outlineLvl w:val="0"/>
        <w:rPr>
          <w:u w:val="single"/>
        </w:rPr>
      </w:pPr>
      <w:hyperlink r:id="rId30" w:history="1">
        <w:r w:rsidR="009B7391" w:rsidRPr="008A006D">
          <w:rPr>
            <w:rStyle w:val="Hyperlink"/>
          </w:rPr>
          <w:t>comments-commentaires@scc-csc.ca</w:t>
        </w:r>
      </w:hyperlink>
    </w:p>
    <w:p w:rsidR="00D3344A" w:rsidRPr="008A006D" w:rsidRDefault="0065588C" w:rsidP="00D3344A">
      <w:pPr>
        <w:widowControl w:val="0"/>
        <w:outlineLvl w:val="0"/>
      </w:pPr>
      <w:r w:rsidRPr="008A006D">
        <w:t>613-</w:t>
      </w:r>
      <w:r w:rsidR="00D3344A" w:rsidRPr="008A006D">
        <w:t>995-4330</w:t>
      </w:r>
    </w:p>
    <w:p w:rsidR="00497B5E" w:rsidRPr="008A006D" w:rsidRDefault="00497B5E" w:rsidP="00497B5E">
      <w:pPr>
        <w:widowControl w:val="0"/>
        <w:rPr>
          <w:sz w:val="20"/>
        </w:rPr>
      </w:pPr>
    </w:p>
    <w:p w:rsidR="00F6251B" w:rsidRPr="006E558B" w:rsidRDefault="003F43E6" w:rsidP="00F6251B">
      <w:pPr>
        <w:pStyle w:val="Footer"/>
        <w:jc w:val="center"/>
      </w:pPr>
      <w:r w:rsidRPr="008A006D">
        <w:t>- 30 -</w:t>
      </w:r>
    </w:p>
    <w:sectPr w:rsidR="00F6251B" w:rsidRPr="006E558B" w:rsidSect="00E62F93">
      <w:headerReference w:type="even" r:id="rId31"/>
      <w:headerReference w:type="default" r:id="rId32"/>
      <w:footerReference w:type="even" r:id="rId33"/>
      <w:footerReference w:type="default" r:id="rId34"/>
      <w:headerReference w:type="first" r:id="rId35"/>
      <w:footerReference w:type="first" r:id="rId36"/>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23" w:rsidRDefault="003B4723" w:rsidP="0034178A">
      <w:r>
        <w:separator/>
      </w:r>
    </w:p>
  </w:endnote>
  <w:endnote w:type="continuationSeparator" w:id="0">
    <w:p w:rsidR="003B4723" w:rsidRDefault="003B472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23" w:rsidRDefault="003B4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23" w:rsidRPr="009F77F0" w:rsidRDefault="003B472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23" w:rsidRDefault="003B4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23" w:rsidRDefault="003B4723" w:rsidP="0034178A">
      <w:r>
        <w:separator/>
      </w:r>
    </w:p>
  </w:footnote>
  <w:footnote w:type="continuationSeparator" w:id="0">
    <w:p w:rsidR="003B4723" w:rsidRDefault="003B472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23" w:rsidRDefault="003B4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23" w:rsidRDefault="003B4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23" w:rsidRDefault="003B4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1"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7"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32C5A"/>
    <w:multiLevelType w:val="hybridMultilevel"/>
    <w:tmpl w:val="808E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0"/>
  </w:num>
  <w:num w:numId="3">
    <w:abstractNumId w:val="5"/>
  </w:num>
  <w:num w:numId="4">
    <w:abstractNumId w:val="16"/>
  </w:num>
  <w:num w:numId="5">
    <w:abstractNumId w:val="29"/>
  </w:num>
  <w:num w:numId="6">
    <w:abstractNumId w:val="14"/>
  </w:num>
  <w:num w:numId="7">
    <w:abstractNumId w:val="12"/>
  </w:num>
  <w:num w:numId="8">
    <w:abstractNumId w:val="10"/>
  </w:num>
  <w:num w:numId="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1"/>
  </w:num>
  <w:num w:numId="12">
    <w:abstractNumId w:val="0"/>
  </w:num>
  <w:num w:numId="13">
    <w:abstractNumId w:val="31"/>
  </w:num>
  <w:num w:numId="14">
    <w:abstractNumId w:val="27"/>
  </w:num>
  <w:num w:numId="15">
    <w:abstractNumId w:val="19"/>
  </w:num>
  <w:num w:numId="16">
    <w:abstractNumId w:val="33"/>
  </w:num>
  <w:num w:numId="17">
    <w:abstractNumId w:val="15"/>
  </w:num>
  <w:num w:numId="18">
    <w:abstractNumId w:val="22"/>
  </w:num>
  <w:num w:numId="19">
    <w:abstractNumId w:val="35"/>
  </w:num>
  <w:num w:numId="20">
    <w:abstractNumId w:val="17"/>
  </w:num>
  <w:num w:numId="21">
    <w:abstractNumId w:val="4"/>
  </w:num>
  <w:num w:numId="22">
    <w:abstractNumId w:val="3"/>
  </w:num>
  <w:num w:numId="23">
    <w:abstractNumId w:val="25"/>
  </w:num>
  <w:num w:numId="24">
    <w:abstractNumId w:val="23"/>
  </w:num>
  <w:num w:numId="25">
    <w:abstractNumId w:val="36"/>
  </w:num>
  <w:num w:numId="26">
    <w:abstractNumId w:val="11"/>
  </w:num>
  <w:num w:numId="27">
    <w:abstractNumId w:val="13"/>
  </w:num>
  <w:num w:numId="28">
    <w:abstractNumId w:val="28"/>
  </w:num>
  <w:num w:numId="29">
    <w:abstractNumId w:val="26"/>
  </w:num>
  <w:num w:numId="30">
    <w:abstractNumId w:val="7"/>
  </w:num>
  <w:num w:numId="31">
    <w:abstractNumId w:val="32"/>
  </w:num>
  <w:num w:numId="32">
    <w:abstractNumId w:val="18"/>
  </w:num>
  <w:num w:numId="33">
    <w:abstractNumId w:val="6"/>
  </w:num>
  <w:num w:numId="34">
    <w:abstractNumId w:val="1"/>
  </w:num>
  <w:num w:numId="35">
    <w:abstractNumId w:val="8"/>
  </w:num>
  <w:num w:numId="36">
    <w:abstractNumId w:val="9"/>
  </w:num>
  <w:num w:numId="37">
    <w:abstractNumId w:val="30"/>
  </w:num>
  <w:num w:numId="3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9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433"/>
    <w:rsid w:val="0013159F"/>
    <w:rsid w:val="001319D2"/>
    <w:rsid w:val="00131D91"/>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2A68"/>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723"/>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1AB9"/>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06D"/>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631"/>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3"/>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C4F"/>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5F9"/>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1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36" TargetMode="External"/><Relationship Id="rId13" Type="http://schemas.openxmlformats.org/officeDocument/2006/relationships/hyperlink" Target="https://www.scc-csc.ca/case-dossier/info/sum-som-eng.aspx?cas=39842" TargetMode="External"/><Relationship Id="rId18" Type="http://schemas.openxmlformats.org/officeDocument/2006/relationships/hyperlink" Target="https://www.canlii.org/fr/qc/qccs/doc/2018/2018qccs2458/2018qccs2458.pdf" TargetMode="External"/><Relationship Id="rId26" Type="http://schemas.openxmlformats.org/officeDocument/2006/relationships/hyperlink" Target="https://www.canlii.org/en/on/onca/doc/2021/2021onca500/2021onca500.html?autocompleteStr=2021%20ONCA%20500&amp;autocompletePos=1" TargetMode="External"/><Relationship Id="rId3" Type="http://schemas.openxmlformats.org/officeDocument/2006/relationships/styles" Target="styles.xml"/><Relationship Id="rId21" Type="http://schemas.openxmlformats.org/officeDocument/2006/relationships/hyperlink" Target="https://www.canlii.org/en/nl/nlca/doc/2021/2021nlca29/2021nlca29.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39835" TargetMode="External"/><Relationship Id="rId17" Type="http://schemas.openxmlformats.org/officeDocument/2006/relationships/hyperlink" Target="https://www.canlii.org/fr/qc/qcca/doc/2021/2021qcca405/2021qcca405.pdf" TargetMode="External"/><Relationship Id="rId25" Type="http://schemas.openxmlformats.org/officeDocument/2006/relationships/hyperlink" Target="https://www.canlii.org/en/on/oncj/doc/2020/2020oncj34/2020oncj34.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fr/qc/qccs/doc/2018/2018qccs2458/2018qccs2458.pdf" TargetMode="External"/><Relationship Id="rId20" Type="http://schemas.openxmlformats.org/officeDocument/2006/relationships/hyperlink" Target="https://www.canlii.org/en/nl/nlsc/doc/2019/2019nlsc110/2019nlsc110.html?resultIndex=1" TargetMode="External"/><Relationship Id="rId29" Type="http://schemas.openxmlformats.org/officeDocument/2006/relationships/hyperlink" Target="https://www.canlii.org/en/on/onca/doc/2021/2021onca500/2021onca500.html?autocompleteStr=2021%20ONCA%20500&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853" TargetMode="External"/><Relationship Id="rId24" Type="http://schemas.openxmlformats.org/officeDocument/2006/relationships/hyperlink" Target="https://www.canlii.org/en/on/oncj/doc/2019/2019oncj543/2019oncj543.html?autocompleteStr=2019%20ONCJ%20543&amp;autocompletePos=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en/on/onca/doc/2021/2021onca539/2021onca539.html?resultIndex=1" TargetMode="External"/><Relationship Id="rId23" Type="http://schemas.openxmlformats.org/officeDocument/2006/relationships/hyperlink" Target="https://www.canlii.org/en/nl/nlca/doc/2021/2021nlca29/2021nlca29.html" TargetMode="External"/><Relationship Id="rId28" Type="http://schemas.openxmlformats.org/officeDocument/2006/relationships/hyperlink" Target="https://www.canlii.org/en/on/oncj/doc/2020/2020oncj34/2020oncj34.html" TargetMode="External"/><Relationship Id="rId36" Type="http://schemas.openxmlformats.org/officeDocument/2006/relationships/footer" Target="footer3.xml"/><Relationship Id="rId10" Type="http://schemas.openxmlformats.org/officeDocument/2006/relationships/hyperlink" Target="https://www.scc-csc.ca/case-dossier/info/sum-som-eng.aspx?cas=39814" TargetMode="External"/><Relationship Id="rId19" Type="http://schemas.openxmlformats.org/officeDocument/2006/relationships/hyperlink" Target="https://www.canlii.org/fr/qc/qcca/doc/2021/2021qcca405/2021qcca405.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fra.aspx?cas=39786" TargetMode="External"/><Relationship Id="rId14" Type="http://schemas.openxmlformats.org/officeDocument/2006/relationships/hyperlink" Target="https://www.canlii.org/en/on/onca/doc/2021/2021onca539/2021onca539.html?resultIndex=1" TargetMode="External"/><Relationship Id="rId22" Type="http://schemas.openxmlformats.org/officeDocument/2006/relationships/hyperlink" Target="https://www.canlii.org/en/nl/nlsc/doc/2019/2019nlsc110/2019nlsc110.html?resultIndex=1" TargetMode="External"/><Relationship Id="rId27" Type="http://schemas.openxmlformats.org/officeDocument/2006/relationships/hyperlink" Target="https://www.canlii.org/en/on/oncj/doc/2019/2019oncj543/2019oncj543.html?autocompleteStr=2019%20ONCJ%20543&amp;autocompletePos=1" TargetMode="External"/><Relationship Id="rId30" Type="http://schemas.openxmlformats.org/officeDocument/2006/relationships/hyperlink" Target="mailto:comments-commentaires@scc-csc.ca"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954F-BAB3-423B-A5B5-44B9EA87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5079</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33963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2022-02-04T14:38:00Z</dcterms:modified>
</cp:coreProperties>
</file>