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724EE4" w:rsidRDefault="000E391F" w:rsidP="000E391F">
      <w:pPr>
        <w:pStyle w:val="Header"/>
        <w:jc w:val="center"/>
        <w:rPr>
          <w:b/>
          <w:sz w:val="32"/>
          <w:szCs w:val="32"/>
        </w:rPr>
      </w:pPr>
      <w:r w:rsidRPr="00724EE4">
        <w:rPr>
          <w:b/>
          <w:sz w:val="32"/>
          <w:szCs w:val="32"/>
        </w:rPr>
        <w:t>Supreme Court of Canada / Cour suprême du Canada</w:t>
      </w:r>
    </w:p>
    <w:p w:rsidR="000E391F" w:rsidRPr="001F1644" w:rsidRDefault="000E391F" w:rsidP="000E391F">
      <w:pPr>
        <w:widowControl w:val="0"/>
        <w:rPr>
          <w:sz w:val="20"/>
        </w:rPr>
      </w:pPr>
    </w:p>
    <w:p w:rsidR="000E391F" w:rsidRPr="001F1644" w:rsidRDefault="000E391F" w:rsidP="000E391F">
      <w:pPr>
        <w:widowControl w:val="0"/>
        <w:rPr>
          <w:i/>
          <w:sz w:val="20"/>
        </w:rPr>
      </w:pPr>
    </w:p>
    <w:p w:rsidR="006F2579" w:rsidRPr="001F1644" w:rsidRDefault="006F2579" w:rsidP="006F2579">
      <w:pPr>
        <w:widowControl w:val="0"/>
        <w:rPr>
          <w:i/>
          <w:sz w:val="20"/>
        </w:rPr>
      </w:pPr>
      <w:r w:rsidRPr="001F1644">
        <w:rPr>
          <w:i/>
          <w:sz w:val="20"/>
        </w:rPr>
        <w:t>(</w:t>
      </w:r>
      <w:r w:rsidR="003240B6" w:rsidRPr="001F1644">
        <w:rPr>
          <w:i/>
          <w:sz w:val="20"/>
        </w:rPr>
        <w:t>L</w:t>
      </w:r>
      <w:r w:rsidRPr="001F1644">
        <w:rPr>
          <w:i/>
          <w:sz w:val="20"/>
        </w:rPr>
        <w:t>e français suit)</w:t>
      </w:r>
    </w:p>
    <w:p w:rsidR="006F2579" w:rsidRPr="001F1644" w:rsidRDefault="006F2579" w:rsidP="006F2579">
      <w:pPr>
        <w:widowControl w:val="0"/>
        <w:rPr>
          <w:sz w:val="20"/>
        </w:rPr>
      </w:pPr>
    </w:p>
    <w:p w:rsidR="006F2579" w:rsidRPr="00724EE4" w:rsidRDefault="00B07908" w:rsidP="006F2579">
      <w:pPr>
        <w:widowControl w:val="0"/>
        <w:jc w:val="center"/>
        <w:rPr>
          <w:b/>
          <w:szCs w:val="24"/>
        </w:rPr>
      </w:pPr>
      <w:r w:rsidRPr="00724EE4">
        <w:rPr>
          <w:szCs w:val="24"/>
        </w:rPr>
        <w:fldChar w:fldCharType="begin"/>
      </w:r>
      <w:r w:rsidR="006F2579" w:rsidRPr="00724EE4">
        <w:rPr>
          <w:szCs w:val="24"/>
        </w:rPr>
        <w:instrText xml:space="preserve"> SEQ CHAPTER \h \r 1</w:instrText>
      </w:r>
      <w:r w:rsidRPr="00724EE4">
        <w:rPr>
          <w:szCs w:val="24"/>
        </w:rPr>
        <w:fldChar w:fldCharType="end"/>
      </w:r>
      <w:r w:rsidR="006F2579" w:rsidRPr="00724EE4">
        <w:rPr>
          <w:b/>
          <w:szCs w:val="24"/>
        </w:rPr>
        <w:t>JUDGMENT</w:t>
      </w:r>
      <w:r w:rsidR="00B17AAC" w:rsidRPr="00724EE4">
        <w:rPr>
          <w:b/>
          <w:szCs w:val="24"/>
        </w:rPr>
        <w:t>S</w:t>
      </w:r>
      <w:r w:rsidR="006F2579" w:rsidRPr="00724EE4">
        <w:rPr>
          <w:b/>
          <w:szCs w:val="24"/>
        </w:rPr>
        <w:t xml:space="preserve"> TO B</w:t>
      </w:r>
      <w:r w:rsidR="00001846" w:rsidRPr="00724EE4">
        <w:rPr>
          <w:b/>
          <w:szCs w:val="24"/>
        </w:rPr>
        <w:t>E RENDERED IN LE</w:t>
      </w:r>
      <w:r w:rsidR="00A0288A" w:rsidRPr="00724EE4">
        <w:rPr>
          <w:b/>
          <w:szCs w:val="24"/>
        </w:rPr>
        <w:t>A</w:t>
      </w:r>
      <w:r w:rsidR="00001846" w:rsidRPr="00724EE4">
        <w:rPr>
          <w:b/>
          <w:szCs w:val="24"/>
        </w:rPr>
        <w:t>VE APPLICATION</w:t>
      </w:r>
      <w:r w:rsidR="00511288" w:rsidRPr="00724EE4">
        <w:rPr>
          <w:b/>
          <w:szCs w:val="24"/>
        </w:rPr>
        <w:t>S</w:t>
      </w:r>
    </w:p>
    <w:p w:rsidR="006F2579" w:rsidRPr="00724EE4" w:rsidRDefault="006F2579" w:rsidP="006F2579">
      <w:pPr>
        <w:widowControl w:val="0"/>
        <w:rPr>
          <w:szCs w:val="24"/>
        </w:rPr>
      </w:pPr>
    </w:p>
    <w:p w:rsidR="006F2579" w:rsidRPr="00724EE4" w:rsidRDefault="00873756" w:rsidP="006F2579">
      <w:pPr>
        <w:widowControl w:val="0"/>
        <w:rPr>
          <w:szCs w:val="24"/>
        </w:rPr>
      </w:pPr>
      <w:r w:rsidRPr="00724EE4">
        <w:rPr>
          <w:b/>
          <w:szCs w:val="24"/>
        </w:rPr>
        <w:t>February</w:t>
      </w:r>
      <w:r w:rsidR="00A15B66" w:rsidRPr="00724EE4">
        <w:rPr>
          <w:b/>
          <w:szCs w:val="24"/>
        </w:rPr>
        <w:t xml:space="preserve"> </w:t>
      </w:r>
      <w:r w:rsidR="00EB7781" w:rsidRPr="00724EE4">
        <w:rPr>
          <w:b/>
          <w:szCs w:val="24"/>
        </w:rPr>
        <w:t>2</w:t>
      </w:r>
      <w:r w:rsidR="00BA25C8" w:rsidRPr="00724EE4">
        <w:rPr>
          <w:b/>
          <w:szCs w:val="24"/>
        </w:rPr>
        <w:t>8</w:t>
      </w:r>
      <w:r w:rsidR="004441C7" w:rsidRPr="00724EE4">
        <w:rPr>
          <w:b/>
          <w:szCs w:val="24"/>
        </w:rPr>
        <w:t>,</w:t>
      </w:r>
      <w:r w:rsidR="006F2579" w:rsidRPr="00724EE4">
        <w:rPr>
          <w:b/>
          <w:szCs w:val="24"/>
        </w:rPr>
        <w:t xml:space="preserve"> </w:t>
      </w:r>
      <w:r w:rsidR="0054689F" w:rsidRPr="00724EE4">
        <w:rPr>
          <w:b/>
          <w:szCs w:val="24"/>
        </w:rPr>
        <w:t>20</w:t>
      </w:r>
      <w:r w:rsidR="00526754" w:rsidRPr="00724EE4">
        <w:rPr>
          <w:b/>
          <w:szCs w:val="24"/>
        </w:rPr>
        <w:t>2</w:t>
      </w:r>
      <w:r w:rsidR="00644008" w:rsidRPr="00724EE4">
        <w:rPr>
          <w:b/>
          <w:szCs w:val="24"/>
        </w:rPr>
        <w:t>2</w:t>
      </w:r>
    </w:p>
    <w:p w:rsidR="006F2579" w:rsidRPr="00724EE4" w:rsidRDefault="00674F39" w:rsidP="006F2579">
      <w:pPr>
        <w:widowControl w:val="0"/>
        <w:rPr>
          <w:b/>
          <w:szCs w:val="24"/>
        </w:rPr>
      </w:pPr>
      <w:r w:rsidRPr="00724EE4">
        <w:rPr>
          <w:b/>
          <w:szCs w:val="24"/>
        </w:rPr>
        <w:t>For immediate release</w:t>
      </w:r>
      <w:bookmarkStart w:id="0" w:name="_GoBack"/>
      <w:bookmarkEnd w:id="0"/>
    </w:p>
    <w:p w:rsidR="006F2579" w:rsidRPr="00724EE4" w:rsidRDefault="006F2579" w:rsidP="006F2579">
      <w:pPr>
        <w:widowControl w:val="0"/>
        <w:rPr>
          <w:szCs w:val="24"/>
        </w:rPr>
      </w:pPr>
    </w:p>
    <w:p w:rsidR="006F2579" w:rsidRPr="00724EE4" w:rsidRDefault="006F2579" w:rsidP="006F2579">
      <w:pPr>
        <w:widowControl w:val="0"/>
        <w:rPr>
          <w:szCs w:val="24"/>
          <w:lang w:val="fr-CA"/>
        </w:rPr>
      </w:pPr>
      <w:r w:rsidRPr="00724EE4">
        <w:rPr>
          <w:b/>
          <w:szCs w:val="24"/>
        </w:rPr>
        <w:t>OTTAWA</w:t>
      </w:r>
      <w:r w:rsidRPr="00724EE4">
        <w:rPr>
          <w:szCs w:val="24"/>
        </w:rPr>
        <w:t xml:space="preserve"> – The Supreme Court of Canad</w:t>
      </w:r>
      <w:r w:rsidR="006246E4" w:rsidRPr="00724EE4">
        <w:rPr>
          <w:szCs w:val="24"/>
        </w:rPr>
        <w:t>a</w:t>
      </w:r>
      <w:r w:rsidRPr="00724EE4">
        <w:rPr>
          <w:szCs w:val="24"/>
        </w:rPr>
        <w:t xml:space="preserve"> announced today that judgment in the following </w:t>
      </w:r>
      <w:r w:rsidR="00DB6199" w:rsidRPr="00724EE4">
        <w:rPr>
          <w:szCs w:val="24"/>
        </w:rPr>
        <w:t xml:space="preserve">leave applications </w:t>
      </w:r>
      <w:r w:rsidRPr="00724EE4">
        <w:rPr>
          <w:szCs w:val="24"/>
        </w:rPr>
        <w:t>will be delivere</w:t>
      </w:r>
      <w:r w:rsidR="00CE2C5F" w:rsidRPr="00724EE4">
        <w:rPr>
          <w:szCs w:val="24"/>
        </w:rPr>
        <w:t>d</w:t>
      </w:r>
      <w:r w:rsidRPr="00724EE4">
        <w:rPr>
          <w:szCs w:val="24"/>
        </w:rPr>
        <w:t xml:space="preserve"> at 9:45 a.m. </w:t>
      </w:r>
      <w:r w:rsidR="00E05816" w:rsidRPr="00724EE4">
        <w:rPr>
          <w:szCs w:val="24"/>
        </w:rPr>
        <w:t>E</w:t>
      </w:r>
      <w:r w:rsidR="006D4676" w:rsidRPr="00724EE4">
        <w:rPr>
          <w:szCs w:val="24"/>
        </w:rPr>
        <w:t>S</w:t>
      </w:r>
      <w:r w:rsidR="00E05816" w:rsidRPr="00724EE4">
        <w:rPr>
          <w:szCs w:val="24"/>
        </w:rPr>
        <w:t>T</w:t>
      </w:r>
      <w:r w:rsidRPr="00724EE4">
        <w:rPr>
          <w:szCs w:val="24"/>
        </w:rPr>
        <w:t xml:space="preserve"> on </w:t>
      </w:r>
      <w:r w:rsidR="00322A9C" w:rsidRPr="00724EE4">
        <w:rPr>
          <w:szCs w:val="24"/>
        </w:rPr>
        <w:t>Thurs</w:t>
      </w:r>
      <w:r w:rsidR="00680A85" w:rsidRPr="00724EE4">
        <w:rPr>
          <w:szCs w:val="24"/>
        </w:rPr>
        <w:t>day</w:t>
      </w:r>
      <w:r w:rsidRPr="00724EE4">
        <w:rPr>
          <w:szCs w:val="24"/>
        </w:rPr>
        <w:t xml:space="preserve">, </w:t>
      </w:r>
      <w:r w:rsidR="00BA25C8" w:rsidRPr="00724EE4">
        <w:rPr>
          <w:szCs w:val="24"/>
        </w:rPr>
        <w:t>March</w:t>
      </w:r>
      <w:r w:rsidR="00455912" w:rsidRPr="00724EE4">
        <w:rPr>
          <w:szCs w:val="24"/>
        </w:rPr>
        <w:t xml:space="preserve"> </w:t>
      </w:r>
      <w:r w:rsidR="00BA25C8" w:rsidRPr="00724EE4">
        <w:rPr>
          <w:szCs w:val="24"/>
        </w:rPr>
        <w:t>3</w:t>
      </w:r>
      <w:r w:rsidR="007E112F" w:rsidRPr="00724EE4">
        <w:rPr>
          <w:szCs w:val="24"/>
        </w:rPr>
        <w:t>,</w:t>
      </w:r>
      <w:r w:rsidR="002F38D7" w:rsidRPr="00724EE4">
        <w:rPr>
          <w:szCs w:val="24"/>
        </w:rPr>
        <w:t xml:space="preserve"> </w:t>
      </w:r>
      <w:r w:rsidR="006648D1" w:rsidRPr="00724EE4">
        <w:rPr>
          <w:szCs w:val="24"/>
        </w:rPr>
        <w:t>20</w:t>
      </w:r>
      <w:r w:rsidR="00526754" w:rsidRPr="00724EE4">
        <w:rPr>
          <w:szCs w:val="24"/>
        </w:rPr>
        <w:t>2</w:t>
      </w:r>
      <w:r w:rsidR="00644008" w:rsidRPr="00724EE4">
        <w:rPr>
          <w:szCs w:val="24"/>
        </w:rPr>
        <w:t>2</w:t>
      </w:r>
      <w:r w:rsidRPr="00724EE4">
        <w:rPr>
          <w:szCs w:val="24"/>
        </w:rPr>
        <w:t xml:space="preserve">. </w:t>
      </w:r>
      <w:r w:rsidRPr="00724EE4">
        <w:rPr>
          <w:szCs w:val="24"/>
          <w:lang w:val="fr-CA"/>
        </w:rPr>
        <w:t>This list is subject to chang</w:t>
      </w:r>
      <w:r w:rsidR="00192F7F" w:rsidRPr="00724EE4">
        <w:rPr>
          <w:szCs w:val="24"/>
          <w:lang w:val="fr-CA"/>
        </w:rPr>
        <w:t>e</w:t>
      </w:r>
      <w:r w:rsidRPr="00724EE4">
        <w:rPr>
          <w:szCs w:val="24"/>
          <w:lang w:val="fr-CA"/>
        </w:rPr>
        <w:t>.</w:t>
      </w:r>
    </w:p>
    <w:p w:rsidR="00FF5AA4" w:rsidRPr="00724EE4" w:rsidRDefault="00FF5AA4" w:rsidP="006F2579">
      <w:pPr>
        <w:widowControl w:val="0"/>
        <w:rPr>
          <w:szCs w:val="24"/>
          <w:lang w:val="fr-CA"/>
        </w:rPr>
      </w:pPr>
    </w:p>
    <w:p w:rsidR="00B43418" w:rsidRPr="00724EE4" w:rsidRDefault="00B43418" w:rsidP="006F2579">
      <w:pPr>
        <w:widowControl w:val="0"/>
        <w:rPr>
          <w:szCs w:val="24"/>
          <w:lang w:val="fr-CA"/>
        </w:rPr>
      </w:pPr>
    </w:p>
    <w:p w:rsidR="006F2579" w:rsidRPr="00724EE4" w:rsidRDefault="006F2579" w:rsidP="006F2579">
      <w:pPr>
        <w:widowControl w:val="0"/>
        <w:jc w:val="center"/>
        <w:rPr>
          <w:szCs w:val="24"/>
          <w:lang w:val="fr-CA"/>
        </w:rPr>
      </w:pPr>
      <w:r w:rsidRPr="00724EE4">
        <w:rPr>
          <w:b/>
          <w:szCs w:val="24"/>
          <w:lang w:val="fr-CA"/>
        </w:rPr>
        <w:t>PROCHAIN</w:t>
      </w:r>
      <w:r w:rsidR="00B17AAC" w:rsidRPr="00724EE4">
        <w:rPr>
          <w:b/>
          <w:szCs w:val="24"/>
          <w:lang w:val="fr-CA"/>
        </w:rPr>
        <w:t>S</w:t>
      </w:r>
      <w:r w:rsidRPr="00724EE4">
        <w:rPr>
          <w:b/>
          <w:szCs w:val="24"/>
          <w:lang w:val="fr-CA"/>
        </w:rPr>
        <w:t xml:space="preserve"> JUGEMENT</w:t>
      </w:r>
      <w:r w:rsidR="00B17AAC" w:rsidRPr="00724EE4">
        <w:rPr>
          <w:b/>
          <w:szCs w:val="24"/>
          <w:lang w:val="fr-CA"/>
        </w:rPr>
        <w:t>S</w:t>
      </w:r>
      <w:r w:rsidR="00001846" w:rsidRPr="00724EE4">
        <w:rPr>
          <w:b/>
          <w:szCs w:val="24"/>
          <w:lang w:val="fr-CA"/>
        </w:rPr>
        <w:t xml:space="preserve"> SUR DEMANDE</w:t>
      </w:r>
      <w:r w:rsidR="00B17AAC" w:rsidRPr="00724EE4">
        <w:rPr>
          <w:b/>
          <w:szCs w:val="24"/>
          <w:lang w:val="fr-CA"/>
        </w:rPr>
        <w:t>S</w:t>
      </w:r>
      <w:r w:rsidRPr="00724EE4">
        <w:rPr>
          <w:b/>
          <w:szCs w:val="24"/>
          <w:lang w:val="fr-CA"/>
        </w:rPr>
        <w:t xml:space="preserve"> D’AUTORISATION</w:t>
      </w:r>
    </w:p>
    <w:p w:rsidR="006F2579" w:rsidRPr="00724EE4" w:rsidRDefault="006F2579" w:rsidP="006F2579">
      <w:pPr>
        <w:widowControl w:val="0"/>
        <w:rPr>
          <w:szCs w:val="24"/>
          <w:lang w:val="fr-CA"/>
        </w:rPr>
      </w:pPr>
    </w:p>
    <w:p w:rsidR="006F2579" w:rsidRPr="00724EE4" w:rsidRDefault="006F2579" w:rsidP="006F2579">
      <w:pPr>
        <w:widowControl w:val="0"/>
        <w:rPr>
          <w:szCs w:val="24"/>
          <w:lang w:val="fr-CA"/>
        </w:rPr>
      </w:pPr>
      <w:r w:rsidRPr="00724EE4">
        <w:rPr>
          <w:b/>
          <w:szCs w:val="24"/>
          <w:lang w:val="fr-CA"/>
        </w:rPr>
        <w:t>Le</w:t>
      </w:r>
      <w:r w:rsidR="00957A76" w:rsidRPr="00724EE4">
        <w:rPr>
          <w:b/>
          <w:szCs w:val="24"/>
          <w:lang w:val="fr-CA"/>
        </w:rPr>
        <w:t xml:space="preserve"> </w:t>
      </w:r>
      <w:r w:rsidR="00EB7781" w:rsidRPr="00724EE4">
        <w:rPr>
          <w:b/>
          <w:szCs w:val="24"/>
          <w:lang w:val="fr-CA"/>
        </w:rPr>
        <w:t>2</w:t>
      </w:r>
      <w:r w:rsidR="00BA25C8" w:rsidRPr="00724EE4">
        <w:rPr>
          <w:b/>
          <w:szCs w:val="24"/>
          <w:lang w:val="fr-CA"/>
        </w:rPr>
        <w:t>8</w:t>
      </w:r>
      <w:r w:rsidR="00075EC0" w:rsidRPr="00724EE4">
        <w:rPr>
          <w:b/>
          <w:szCs w:val="24"/>
          <w:lang w:val="fr-CA"/>
        </w:rPr>
        <w:t xml:space="preserve"> </w:t>
      </w:r>
      <w:r w:rsidR="00873756" w:rsidRPr="00724EE4">
        <w:rPr>
          <w:b/>
          <w:szCs w:val="24"/>
          <w:lang w:val="fr-CA"/>
        </w:rPr>
        <w:t>fé</w:t>
      </w:r>
      <w:r w:rsidR="00644008" w:rsidRPr="00724EE4">
        <w:rPr>
          <w:b/>
          <w:szCs w:val="24"/>
          <w:lang w:val="fr-CA"/>
        </w:rPr>
        <w:t>v</w:t>
      </w:r>
      <w:r w:rsidR="00873756" w:rsidRPr="00724EE4">
        <w:rPr>
          <w:b/>
          <w:szCs w:val="24"/>
          <w:lang w:val="fr-CA"/>
        </w:rPr>
        <w:t>r</w:t>
      </w:r>
      <w:r w:rsidR="00644008" w:rsidRPr="00724EE4">
        <w:rPr>
          <w:b/>
          <w:szCs w:val="24"/>
          <w:lang w:val="fr-CA"/>
        </w:rPr>
        <w:t>ier</w:t>
      </w:r>
      <w:r w:rsidR="00A151D1" w:rsidRPr="00724EE4">
        <w:rPr>
          <w:b/>
          <w:szCs w:val="24"/>
          <w:lang w:val="fr-CA"/>
        </w:rPr>
        <w:t xml:space="preserve"> 20</w:t>
      </w:r>
      <w:r w:rsidR="00526754" w:rsidRPr="00724EE4">
        <w:rPr>
          <w:b/>
          <w:szCs w:val="24"/>
          <w:lang w:val="fr-CA"/>
        </w:rPr>
        <w:t>2</w:t>
      </w:r>
      <w:r w:rsidR="00644008" w:rsidRPr="00724EE4">
        <w:rPr>
          <w:b/>
          <w:szCs w:val="24"/>
          <w:lang w:val="fr-CA"/>
        </w:rPr>
        <w:t>2</w:t>
      </w:r>
    </w:p>
    <w:p w:rsidR="006F2579" w:rsidRPr="00724EE4" w:rsidRDefault="006F2579" w:rsidP="006F2579">
      <w:pPr>
        <w:widowControl w:val="0"/>
        <w:rPr>
          <w:b/>
          <w:szCs w:val="24"/>
          <w:lang w:val="fr-CA"/>
        </w:rPr>
      </w:pPr>
      <w:r w:rsidRPr="00724EE4">
        <w:rPr>
          <w:b/>
          <w:szCs w:val="24"/>
          <w:lang w:val="fr-CA"/>
        </w:rPr>
        <w:t>Pour diffusion immédiate</w:t>
      </w:r>
    </w:p>
    <w:p w:rsidR="006F2579" w:rsidRPr="00724EE4" w:rsidRDefault="006F2579" w:rsidP="006F2579">
      <w:pPr>
        <w:widowControl w:val="0"/>
        <w:rPr>
          <w:szCs w:val="24"/>
          <w:lang w:val="fr-CA"/>
        </w:rPr>
      </w:pPr>
    </w:p>
    <w:p w:rsidR="006F2579" w:rsidRPr="00724EE4" w:rsidRDefault="006F2579" w:rsidP="006F2579">
      <w:pPr>
        <w:widowControl w:val="0"/>
        <w:rPr>
          <w:szCs w:val="24"/>
          <w:lang w:val="fr-CA"/>
        </w:rPr>
      </w:pPr>
      <w:r w:rsidRPr="00724EE4">
        <w:rPr>
          <w:b/>
          <w:szCs w:val="24"/>
          <w:lang w:val="fr-CA"/>
        </w:rPr>
        <w:t>OTTAWA</w:t>
      </w:r>
      <w:r w:rsidRPr="00724EE4">
        <w:rPr>
          <w:szCs w:val="24"/>
          <w:lang w:val="fr-CA"/>
        </w:rPr>
        <w:t xml:space="preserve"> – La Cour suprême du Canada annonce que jugement ser</w:t>
      </w:r>
      <w:r w:rsidR="004259F9" w:rsidRPr="00724EE4">
        <w:rPr>
          <w:szCs w:val="24"/>
          <w:lang w:val="fr-CA"/>
        </w:rPr>
        <w:t>a</w:t>
      </w:r>
      <w:r w:rsidRPr="00724EE4">
        <w:rPr>
          <w:szCs w:val="24"/>
          <w:lang w:val="fr-CA"/>
        </w:rPr>
        <w:t xml:space="preserve"> rendu dans l</w:t>
      </w:r>
      <w:r w:rsidR="008600ED" w:rsidRPr="00724EE4">
        <w:rPr>
          <w:szCs w:val="24"/>
          <w:lang w:val="fr-CA"/>
        </w:rPr>
        <w:t>es</w:t>
      </w:r>
      <w:r w:rsidRPr="00724EE4">
        <w:rPr>
          <w:szCs w:val="24"/>
          <w:lang w:val="fr-CA"/>
        </w:rPr>
        <w:t xml:space="preserve"> demande</w:t>
      </w:r>
      <w:r w:rsidR="008600ED" w:rsidRPr="00724EE4">
        <w:rPr>
          <w:szCs w:val="24"/>
          <w:lang w:val="fr-CA"/>
        </w:rPr>
        <w:t>s</w:t>
      </w:r>
      <w:r w:rsidRPr="00724EE4">
        <w:rPr>
          <w:szCs w:val="24"/>
          <w:lang w:val="fr-CA"/>
        </w:rPr>
        <w:t xml:space="preserve"> d</w:t>
      </w:r>
      <w:r w:rsidR="00001846" w:rsidRPr="00724EE4">
        <w:rPr>
          <w:szCs w:val="24"/>
          <w:lang w:val="fr-CA"/>
        </w:rPr>
        <w:t>’autorisation suivante</w:t>
      </w:r>
      <w:r w:rsidR="008600ED" w:rsidRPr="00724EE4">
        <w:rPr>
          <w:szCs w:val="24"/>
          <w:lang w:val="fr-CA"/>
        </w:rPr>
        <w:t>s</w:t>
      </w:r>
      <w:r w:rsidRPr="00724EE4">
        <w:rPr>
          <w:szCs w:val="24"/>
          <w:lang w:val="fr-CA"/>
        </w:rPr>
        <w:t xml:space="preserve"> le </w:t>
      </w:r>
      <w:r w:rsidR="00322A9C" w:rsidRPr="00724EE4">
        <w:rPr>
          <w:szCs w:val="24"/>
          <w:lang w:val="fr-CA"/>
        </w:rPr>
        <w:t>jeu</w:t>
      </w:r>
      <w:r w:rsidR="00680A85" w:rsidRPr="00724EE4">
        <w:rPr>
          <w:szCs w:val="24"/>
          <w:lang w:val="fr-CA"/>
        </w:rPr>
        <w:t>di</w:t>
      </w:r>
      <w:r w:rsidRPr="00724EE4">
        <w:rPr>
          <w:szCs w:val="24"/>
          <w:lang w:val="fr-CA"/>
        </w:rPr>
        <w:t xml:space="preserve"> </w:t>
      </w:r>
      <w:r w:rsidR="00BA25C8" w:rsidRPr="00724EE4">
        <w:rPr>
          <w:szCs w:val="24"/>
          <w:lang w:val="fr-CA"/>
        </w:rPr>
        <w:t>3</w:t>
      </w:r>
      <w:r w:rsidR="009E0BD3" w:rsidRPr="00724EE4">
        <w:rPr>
          <w:szCs w:val="24"/>
          <w:lang w:val="fr-CA"/>
        </w:rPr>
        <w:t xml:space="preserve"> </w:t>
      </w:r>
      <w:r w:rsidR="00BA25C8" w:rsidRPr="00724EE4">
        <w:rPr>
          <w:szCs w:val="24"/>
          <w:lang w:val="fr-CA"/>
        </w:rPr>
        <w:t>mars</w:t>
      </w:r>
      <w:r w:rsidR="00694391" w:rsidRPr="00724EE4">
        <w:rPr>
          <w:szCs w:val="24"/>
          <w:lang w:val="fr-CA"/>
        </w:rPr>
        <w:t xml:space="preserve"> 2</w:t>
      </w:r>
      <w:r w:rsidR="006648D1" w:rsidRPr="00724EE4">
        <w:rPr>
          <w:szCs w:val="24"/>
          <w:lang w:val="fr-CA"/>
        </w:rPr>
        <w:t>0</w:t>
      </w:r>
      <w:r w:rsidR="00526754" w:rsidRPr="00724EE4">
        <w:rPr>
          <w:szCs w:val="24"/>
          <w:lang w:val="fr-CA"/>
        </w:rPr>
        <w:t>2</w:t>
      </w:r>
      <w:r w:rsidR="00644008" w:rsidRPr="00724EE4">
        <w:rPr>
          <w:szCs w:val="24"/>
          <w:lang w:val="fr-CA"/>
        </w:rPr>
        <w:t>2</w:t>
      </w:r>
      <w:r w:rsidRPr="00724EE4">
        <w:rPr>
          <w:szCs w:val="24"/>
          <w:lang w:val="fr-CA"/>
        </w:rPr>
        <w:t xml:space="preserve">, à 9 h 45 </w:t>
      </w:r>
      <w:r w:rsidR="000627A2" w:rsidRPr="00724EE4">
        <w:rPr>
          <w:szCs w:val="24"/>
          <w:lang w:val="fr-CA"/>
        </w:rPr>
        <w:t>H</w:t>
      </w:r>
      <w:r w:rsidR="006D4676" w:rsidRPr="00724EE4">
        <w:rPr>
          <w:szCs w:val="24"/>
          <w:lang w:val="fr-CA"/>
        </w:rPr>
        <w:t>N</w:t>
      </w:r>
      <w:r w:rsidRPr="00724EE4">
        <w:rPr>
          <w:szCs w:val="24"/>
          <w:lang w:val="fr-CA"/>
        </w:rPr>
        <w:t>E. Cette liste est sujette à modification</w:t>
      </w:r>
      <w:r w:rsidR="00130ADB" w:rsidRPr="00724EE4">
        <w:rPr>
          <w:szCs w:val="24"/>
          <w:lang w:val="fr-CA"/>
        </w:rPr>
        <w:t>s</w:t>
      </w:r>
      <w:r w:rsidRPr="00724EE4">
        <w:rPr>
          <w:szCs w:val="24"/>
          <w:lang w:val="fr-CA"/>
        </w:rPr>
        <w:t>.</w:t>
      </w:r>
    </w:p>
    <w:p w:rsidR="0080556B" w:rsidRPr="001F1644" w:rsidRDefault="0080556B" w:rsidP="005F2A78">
      <w:pPr>
        <w:widowControl w:val="0"/>
        <w:tabs>
          <w:tab w:val="left" w:pos="3840"/>
        </w:tabs>
        <w:jc w:val="both"/>
        <w:rPr>
          <w:sz w:val="20"/>
          <w:lang w:val="fr-CA"/>
        </w:rPr>
      </w:pPr>
    </w:p>
    <w:p w:rsidR="00867C61" w:rsidRPr="001F1644" w:rsidRDefault="00724EE4" w:rsidP="009B14F4">
      <w:pPr>
        <w:widowControl w:val="0"/>
        <w:jc w:val="both"/>
        <w:rPr>
          <w:sz w:val="20"/>
        </w:rPr>
      </w:pPr>
      <w:r>
        <w:rPr>
          <w:sz w:val="20"/>
        </w:rPr>
        <w:pict>
          <v:rect id="_x0000_i1025" style="width:2in;height:1pt" o:hrpct="0" o:hralign="center" o:hrstd="t" o:hrnoshade="t" o:hr="t" fillcolor="black [3213]" stroked="f"/>
        </w:pict>
      </w:r>
    </w:p>
    <w:p w:rsidR="004A6E51" w:rsidRPr="001F1644" w:rsidRDefault="004A6E51" w:rsidP="0053032E">
      <w:pPr>
        <w:rPr>
          <w:sz w:val="20"/>
          <w:lang w:val="fr-CA"/>
        </w:rPr>
      </w:pPr>
    </w:p>
    <w:p w:rsidR="00BA25C8" w:rsidRPr="001F1644" w:rsidRDefault="00BA25C8" w:rsidP="00EE7067">
      <w:pPr>
        <w:pStyle w:val="ListParagraph"/>
        <w:numPr>
          <w:ilvl w:val="0"/>
          <w:numId w:val="46"/>
        </w:numPr>
        <w:tabs>
          <w:tab w:val="left" w:pos="360"/>
        </w:tabs>
        <w:ind w:left="357" w:hanging="357"/>
        <w:rPr>
          <w:sz w:val="20"/>
          <w:szCs w:val="20"/>
          <w:lang w:val="en-CA"/>
        </w:rPr>
      </w:pPr>
      <w:r w:rsidRPr="001F1644">
        <w:rPr>
          <w:i/>
          <w:sz w:val="20"/>
          <w:szCs w:val="20"/>
          <w:lang w:val="en-CA"/>
        </w:rPr>
        <w:t xml:space="preserve">R.C. v. Her Majesty the Queen </w:t>
      </w:r>
      <w:r w:rsidRPr="001F1644">
        <w:rPr>
          <w:sz w:val="20"/>
          <w:szCs w:val="20"/>
          <w:lang w:val="en-CA"/>
        </w:rPr>
        <w:t>(Ont.) (Criminal) (By Leave)</w:t>
      </w:r>
      <w:r w:rsidR="00EA67D9" w:rsidRPr="001F1644">
        <w:rPr>
          <w:sz w:val="20"/>
          <w:szCs w:val="20"/>
          <w:lang w:val="en-CA"/>
        </w:rPr>
        <w:t xml:space="preserve"> </w:t>
      </w:r>
      <w:r w:rsidR="00EA67D9" w:rsidRPr="001F1644">
        <w:rPr>
          <w:rFonts w:eastAsia="Calibri"/>
          <w:sz w:val="20"/>
          <w:szCs w:val="20"/>
          <w:lang w:val="fr-CA"/>
        </w:rPr>
        <w:t>(</w:t>
      </w:r>
      <w:hyperlink r:id="rId8" w:history="1">
        <w:r w:rsidR="00EA67D9" w:rsidRPr="001F1644">
          <w:rPr>
            <w:rStyle w:val="Hyperlink"/>
            <w:rFonts w:eastAsia="Calibri"/>
            <w:sz w:val="20"/>
            <w:szCs w:val="20"/>
            <w:lang w:val="fr-CA"/>
          </w:rPr>
          <w:t>397</w:t>
        </w:r>
        <w:r w:rsidR="000C48D5" w:rsidRPr="001F1644">
          <w:rPr>
            <w:rStyle w:val="Hyperlink"/>
            <w:rFonts w:eastAsia="Calibri"/>
            <w:sz w:val="20"/>
            <w:szCs w:val="20"/>
            <w:lang w:val="fr-CA"/>
          </w:rPr>
          <w:t>19</w:t>
        </w:r>
      </w:hyperlink>
      <w:r w:rsidR="00EA67D9" w:rsidRPr="001F1644">
        <w:rPr>
          <w:rFonts w:eastAsia="Calibri"/>
          <w:sz w:val="20"/>
          <w:szCs w:val="20"/>
          <w:lang w:val="fr-CA"/>
        </w:rPr>
        <w:t>)</w:t>
      </w:r>
    </w:p>
    <w:p w:rsidR="00BA25C8" w:rsidRPr="001F1644" w:rsidRDefault="00BA25C8" w:rsidP="00EE7067">
      <w:pPr>
        <w:tabs>
          <w:tab w:val="left" w:pos="360"/>
        </w:tabs>
        <w:ind w:left="357" w:hanging="357"/>
        <w:rPr>
          <w:sz w:val="20"/>
          <w:lang w:val="en-CA"/>
        </w:rPr>
      </w:pPr>
    </w:p>
    <w:p w:rsidR="00BA25C8" w:rsidRPr="001F1644" w:rsidRDefault="00BA25C8" w:rsidP="00EE7067">
      <w:pPr>
        <w:pStyle w:val="ListParagraph"/>
        <w:numPr>
          <w:ilvl w:val="0"/>
          <w:numId w:val="46"/>
        </w:numPr>
        <w:tabs>
          <w:tab w:val="left" w:pos="360"/>
        </w:tabs>
        <w:ind w:left="357" w:hanging="357"/>
        <w:rPr>
          <w:sz w:val="20"/>
          <w:szCs w:val="20"/>
          <w:lang w:val="en-CA"/>
        </w:rPr>
      </w:pPr>
      <w:r w:rsidRPr="001F1644">
        <w:rPr>
          <w:i/>
          <w:sz w:val="20"/>
          <w:szCs w:val="20"/>
          <w:lang w:val="en-CA"/>
        </w:rPr>
        <w:t>Manitoba Metis Federation Inc. v. Brian Pallister, Premier of Manitoba, Cliff Cullen, Minister of Crown Services, Executive Council for the Government of Manitoba, Government of Manitoba, et al.</w:t>
      </w:r>
      <w:r w:rsidRPr="001F1644">
        <w:rPr>
          <w:sz w:val="20"/>
          <w:szCs w:val="20"/>
          <w:lang w:val="en-CA"/>
        </w:rPr>
        <w:t xml:space="preserve"> (Man.) (Civil) (By Leave) </w:t>
      </w:r>
      <w:r w:rsidR="00EA67D9" w:rsidRPr="001F1644">
        <w:rPr>
          <w:rFonts w:eastAsia="Calibri"/>
          <w:sz w:val="20"/>
          <w:szCs w:val="20"/>
        </w:rPr>
        <w:t>(</w:t>
      </w:r>
      <w:hyperlink r:id="rId9" w:history="1">
        <w:r w:rsidR="00EA67D9" w:rsidRPr="001F1644">
          <w:rPr>
            <w:rStyle w:val="Hyperlink"/>
            <w:rFonts w:eastAsia="Calibri"/>
            <w:sz w:val="20"/>
            <w:szCs w:val="20"/>
          </w:rPr>
          <w:t>397</w:t>
        </w:r>
        <w:r w:rsidR="000C48D5" w:rsidRPr="001F1644">
          <w:rPr>
            <w:rStyle w:val="Hyperlink"/>
            <w:rFonts w:eastAsia="Calibri"/>
            <w:sz w:val="20"/>
            <w:szCs w:val="20"/>
          </w:rPr>
          <w:t>99</w:t>
        </w:r>
      </w:hyperlink>
      <w:r w:rsidR="00EA67D9" w:rsidRPr="001F1644">
        <w:rPr>
          <w:rFonts w:eastAsia="Calibri"/>
          <w:sz w:val="20"/>
          <w:szCs w:val="20"/>
        </w:rPr>
        <w:t>)</w:t>
      </w:r>
    </w:p>
    <w:p w:rsidR="00BA25C8" w:rsidRPr="001F1644" w:rsidRDefault="00BA25C8" w:rsidP="00EE7067">
      <w:pPr>
        <w:tabs>
          <w:tab w:val="left" w:pos="360"/>
        </w:tabs>
        <w:ind w:left="357" w:hanging="357"/>
        <w:rPr>
          <w:sz w:val="20"/>
          <w:lang w:val="en-CA"/>
        </w:rPr>
      </w:pPr>
    </w:p>
    <w:p w:rsidR="00BA25C8" w:rsidRPr="001F1644" w:rsidRDefault="00BA25C8" w:rsidP="00EE7067">
      <w:pPr>
        <w:pStyle w:val="ListParagraph"/>
        <w:numPr>
          <w:ilvl w:val="0"/>
          <w:numId w:val="46"/>
        </w:numPr>
        <w:tabs>
          <w:tab w:val="left" w:pos="360"/>
        </w:tabs>
        <w:ind w:left="357" w:hanging="357"/>
        <w:rPr>
          <w:sz w:val="20"/>
          <w:szCs w:val="20"/>
        </w:rPr>
      </w:pPr>
      <w:r w:rsidRPr="001F1644">
        <w:rPr>
          <w:i/>
          <w:sz w:val="20"/>
          <w:szCs w:val="20"/>
          <w:lang w:val="fr-CA"/>
        </w:rPr>
        <w:t xml:space="preserve">Charles Friedman, et al. c. Ministre du Revenu national </w:t>
      </w:r>
      <w:r w:rsidRPr="001F1644">
        <w:rPr>
          <w:sz w:val="20"/>
          <w:szCs w:val="20"/>
          <w:lang w:val="fr-CA"/>
        </w:rPr>
        <w:t>(C</w:t>
      </w:r>
      <w:r w:rsidR="00340929" w:rsidRPr="001F1644">
        <w:rPr>
          <w:sz w:val="20"/>
          <w:szCs w:val="20"/>
          <w:lang w:val="fr-CA"/>
        </w:rPr>
        <w:t>.</w:t>
      </w:r>
      <w:r w:rsidRPr="001F1644">
        <w:rPr>
          <w:sz w:val="20"/>
          <w:szCs w:val="20"/>
          <w:lang w:val="fr-CA"/>
        </w:rPr>
        <w:t>F</w:t>
      </w:r>
      <w:r w:rsidR="00340929" w:rsidRPr="001F1644">
        <w:rPr>
          <w:sz w:val="20"/>
          <w:szCs w:val="20"/>
          <w:lang w:val="fr-CA"/>
        </w:rPr>
        <w:t>.</w:t>
      </w:r>
      <w:r w:rsidRPr="001F1644">
        <w:rPr>
          <w:sz w:val="20"/>
          <w:szCs w:val="20"/>
          <w:lang w:val="fr-CA"/>
        </w:rPr>
        <w:t xml:space="preserve">) </w:t>
      </w:r>
      <w:r w:rsidRPr="001F1644">
        <w:rPr>
          <w:sz w:val="20"/>
          <w:szCs w:val="20"/>
        </w:rPr>
        <w:t>(Civile) (Autorisation)</w:t>
      </w:r>
      <w:r w:rsidR="00EA67D9" w:rsidRPr="001F1644">
        <w:rPr>
          <w:sz w:val="20"/>
          <w:szCs w:val="20"/>
        </w:rPr>
        <w:t xml:space="preserve"> </w:t>
      </w:r>
      <w:r w:rsidR="00EA67D9" w:rsidRPr="001F1644">
        <w:rPr>
          <w:rFonts w:eastAsia="Calibri"/>
          <w:sz w:val="20"/>
          <w:szCs w:val="20"/>
        </w:rPr>
        <w:t>(</w:t>
      </w:r>
      <w:hyperlink r:id="rId10" w:history="1">
        <w:r w:rsidR="00EA67D9" w:rsidRPr="001F1644">
          <w:rPr>
            <w:rStyle w:val="Hyperlink"/>
            <w:rFonts w:eastAsia="Calibri"/>
            <w:sz w:val="20"/>
            <w:szCs w:val="20"/>
          </w:rPr>
          <w:t>398</w:t>
        </w:r>
        <w:r w:rsidR="000C48D5" w:rsidRPr="001F1644">
          <w:rPr>
            <w:rStyle w:val="Hyperlink"/>
            <w:rFonts w:eastAsia="Calibri"/>
            <w:sz w:val="20"/>
            <w:szCs w:val="20"/>
          </w:rPr>
          <w:t>0</w:t>
        </w:r>
        <w:r w:rsidR="00EA67D9" w:rsidRPr="001F1644">
          <w:rPr>
            <w:rStyle w:val="Hyperlink"/>
            <w:rFonts w:eastAsia="Calibri"/>
            <w:sz w:val="20"/>
            <w:szCs w:val="20"/>
          </w:rPr>
          <w:t>6</w:t>
        </w:r>
      </w:hyperlink>
      <w:r w:rsidR="00EA67D9" w:rsidRPr="001F1644">
        <w:rPr>
          <w:rFonts w:eastAsia="Calibri"/>
          <w:sz w:val="20"/>
          <w:szCs w:val="20"/>
        </w:rPr>
        <w:t>)</w:t>
      </w:r>
    </w:p>
    <w:p w:rsidR="00BA25C8" w:rsidRPr="001F1644" w:rsidRDefault="00BA25C8" w:rsidP="00EE7067">
      <w:pPr>
        <w:tabs>
          <w:tab w:val="left" w:pos="360"/>
        </w:tabs>
        <w:ind w:left="357" w:hanging="357"/>
        <w:rPr>
          <w:sz w:val="20"/>
        </w:rPr>
      </w:pPr>
    </w:p>
    <w:p w:rsidR="00BA25C8" w:rsidRPr="001F1644" w:rsidRDefault="00BA25C8" w:rsidP="00EE7067">
      <w:pPr>
        <w:pStyle w:val="ListParagraph"/>
        <w:numPr>
          <w:ilvl w:val="0"/>
          <w:numId w:val="46"/>
        </w:numPr>
        <w:tabs>
          <w:tab w:val="left" w:pos="360"/>
        </w:tabs>
        <w:ind w:left="357" w:hanging="357"/>
        <w:rPr>
          <w:sz w:val="20"/>
          <w:szCs w:val="20"/>
        </w:rPr>
      </w:pPr>
      <w:r w:rsidRPr="001F1644">
        <w:rPr>
          <w:i/>
          <w:sz w:val="20"/>
          <w:szCs w:val="20"/>
        </w:rPr>
        <w:t>Joseph D. Yue v. Bank of Montreal</w:t>
      </w:r>
      <w:r w:rsidRPr="001F1644">
        <w:rPr>
          <w:sz w:val="20"/>
          <w:szCs w:val="20"/>
        </w:rPr>
        <w:t xml:space="preserve"> (F</w:t>
      </w:r>
      <w:r w:rsidR="00340929" w:rsidRPr="001F1644">
        <w:rPr>
          <w:sz w:val="20"/>
          <w:szCs w:val="20"/>
        </w:rPr>
        <w:t>.</w:t>
      </w:r>
      <w:r w:rsidRPr="001F1644">
        <w:rPr>
          <w:sz w:val="20"/>
          <w:szCs w:val="20"/>
        </w:rPr>
        <w:t>C</w:t>
      </w:r>
      <w:r w:rsidR="00340929" w:rsidRPr="001F1644">
        <w:rPr>
          <w:sz w:val="20"/>
          <w:szCs w:val="20"/>
        </w:rPr>
        <w:t>.</w:t>
      </w:r>
      <w:r w:rsidRPr="001F1644">
        <w:rPr>
          <w:sz w:val="20"/>
          <w:szCs w:val="20"/>
        </w:rPr>
        <w:t>) (Civil) (By Leave)</w:t>
      </w:r>
      <w:r w:rsidR="00EA67D9" w:rsidRPr="001F1644">
        <w:rPr>
          <w:sz w:val="20"/>
          <w:szCs w:val="20"/>
        </w:rPr>
        <w:t xml:space="preserve"> </w:t>
      </w:r>
      <w:r w:rsidR="00EA67D9" w:rsidRPr="001F1644">
        <w:rPr>
          <w:rFonts w:eastAsia="Calibri"/>
          <w:sz w:val="20"/>
          <w:szCs w:val="20"/>
        </w:rPr>
        <w:t>(</w:t>
      </w:r>
      <w:hyperlink r:id="rId11" w:history="1">
        <w:r w:rsidR="00EA67D9" w:rsidRPr="001F1644">
          <w:rPr>
            <w:rStyle w:val="Hyperlink"/>
            <w:rFonts w:eastAsia="Calibri"/>
            <w:sz w:val="20"/>
            <w:szCs w:val="20"/>
          </w:rPr>
          <w:t>398</w:t>
        </w:r>
        <w:r w:rsidR="000C48D5" w:rsidRPr="001F1644">
          <w:rPr>
            <w:rStyle w:val="Hyperlink"/>
            <w:rFonts w:eastAsia="Calibri"/>
            <w:sz w:val="20"/>
            <w:szCs w:val="20"/>
          </w:rPr>
          <w:t>32</w:t>
        </w:r>
      </w:hyperlink>
      <w:r w:rsidR="00EA67D9" w:rsidRPr="001F1644">
        <w:rPr>
          <w:rFonts w:eastAsia="Calibri"/>
          <w:sz w:val="20"/>
          <w:szCs w:val="20"/>
        </w:rPr>
        <w:t>)</w:t>
      </w:r>
    </w:p>
    <w:p w:rsidR="00BA25C8" w:rsidRPr="001F1644" w:rsidRDefault="00BA25C8" w:rsidP="00EE7067">
      <w:pPr>
        <w:tabs>
          <w:tab w:val="left" w:pos="360"/>
        </w:tabs>
        <w:ind w:left="357" w:hanging="357"/>
        <w:contextualSpacing/>
        <w:rPr>
          <w:sz w:val="20"/>
        </w:rPr>
      </w:pPr>
    </w:p>
    <w:p w:rsidR="00BA25C8" w:rsidRPr="001F1644" w:rsidRDefault="00BA25C8" w:rsidP="00EE7067">
      <w:pPr>
        <w:pStyle w:val="ListParagraph"/>
        <w:numPr>
          <w:ilvl w:val="0"/>
          <w:numId w:val="46"/>
        </w:numPr>
        <w:tabs>
          <w:tab w:val="left" w:pos="360"/>
        </w:tabs>
        <w:ind w:left="357" w:hanging="357"/>
        <w:rPr>
          <w:sz w:val="20"/>
          <w:szCs w:val="20"/>
          <w:lang w:val="fr-CA"/>
        </w:rPr>
      </w:pPr>
      <w:r w:rsidRPr="001F1644">
        <w:rPr>
          <w:i/>
          <w:sz w:val="20"/>
          <w:szCs w:val="20"/>
          <w:lang w:val="fr-CA"/>
        </w:rPr>
        <w:t xml:space="preserve">Ange Marie Bourdages, et al. c. Services de financement auto TD inc., et al. </w:t>
      </w:r>
      <w:r w:rsidRPr="001F1644">
        <w:rPr>
          <w:sz w:val="20"/>
          <w:szCs w:val="20"/>
          <w:lang w:val="fr-CA"/>
        </w:rPr>
        <w:t>(Qc) (Civile) (Autorisation</w:t>
      </w:r>
      <w:r w:rsidR="00EA67D9" w:rsidRPr="001F1644">
        <w:rPr>
          <w:sz w:val="20"/>
          <w:szCs w:val="20"/>
          <w:lang w:val="fr-CA"/>
        </w:rPr>
        <w:t xml:space="preserve">) </w:t>
      </w:r>
      <w:r w:rsidR="00EA67D9" w:rsidRPr="001F1644">
        <w:rPr>
          <w:rFonts w:eastAsia="Calibri"/>
          <w:sz w:val="20"/>
          <w:szCs w:val="20"/>
          <w:lang w:val="fr-CA"/>
        </w:rPr>
        <w:t>(</w:t>
      </w:r>
      <w:hyperlink r:id="rId12" w:history="1">
        <w:r w:rsidR="00EA67D9" w:rsidRPr="001F1644">
          <w:rPr>
            <w:rStyle w:val="Hyperlink"/>
            <w:rFonts w:eastAsia="Calibri"/>
            <w:sz w:val="20"/>
            <w:szCs w:val="20"/>
            <w:lang w:val="fr-CA"/>
          </w:rPr>
          <w:t>398</w:t>
        </w:r>
        <w:r w:rsidR="000C48D5" w:rsidRPr="001F1644">
          <w:rPr>
            <w:rStyle w:val="Hyperlink"/>
            <w:rFonts w:eastAsia="Calibri"/>
            <w:sz w:val="20"/>
            <w:szCs w:val="20"/>
            <w:lang w:val="fr-CA"/>
          </w:rPr>
          <w:t>33</w:t>
        </w:r>
      </w:hyperlink>
      <w:r w:rsidR="00EA67D9" w:rsidRPr="001F1644">
        <w:rPr>
          <w:rFonts w:eastAsia="Calibri"/>
          <w:sz w:val="20"/>
          <w:szCs w:val="20"/>
          <w:lang w:val="fr-CA"/>
        </w:rPr>
        <w:t>)</w:t>
      </w:r>
    </w:p>
    <w:p w:rsidR="00BA25C8" w:rsidRPr="001F1644" w:rsidRDefault="00BA25C8" w:rsidP="00EE7067">
      <w:pPr>
        <w:tabs>
          <w:tab w:val="left" w:pos="360"/>
        </w:tabs>
        <w:ind w:left="357" w:hanging="357"/>
        <w:rPr>
          <w:sz w:val="20"/>
          <w:lang w:val="fr-CA"/>
        </w:rPr>
      </w:pPr>
    </w:p>
    <w:p w:rsidR="00BA25C8" w:rsidRPr="001F1644" w:rsidRDefault="00BA25C8" w:rsidP="00EE7067">
      <w:pPr>
        <w:pStyle w:val="ListParagraph"/>
        <w:numPr>
          <w:ilvl w:val="0"/>
          <w:numId w:val="46"/>
        </w:numPr>
        <w:tabs>
          <w:tab w:val="left" w:pos="360"/>
        </w:tabs>
        <w:ind w:left="357" w:hanging="357"/>
        <w:rPr>
          <w:sz w:val="20"/>
          <w:szCs w:val="20"/>
          <w:lang w:val="fr-CA"/>
        </w:rPr>
      </w:pPr>
      <w:r w:rsidRPr="001F1644">
        <w:rPr>
          <w:i/>
          <w:sz w:val="20"/>
          <w:szCs w:val="20"/>
          <w:lang w:val="fr-CA"/>
        </w:rPr>
        <w:t>David Kelava, et al. v. Dante Spadacini</w:t>
      </w:r>
      <w:r w:rsidRPr="001F1644">
        <w:rPr>
          <w:sz w:val="20"/>
          <w:szCs w:val="20"/>
          <w:lang w:val="fr-CA"/>
        </w:rPr>
        <w:t xml:space="preserve"> (Ont.) (Civil) (By Leave)</w:t>
      </w:r>
      <w:r w:rsidR="00EA67D9" w:rsidRPr="001F1644">
        <w:rPr>
          <w:sz w:val="20"/>
          <w:szCs w:val="20"/>
          <w:lang w:val="fr-CA"/>
        </w:rPr>
        <w:t xml:space="preserve"> </w:t>
      </w:r>
      <w:r w:rsidR="00EA67D9" w:rsidRPr="001F1644">
        <w:rPr>
          <w:rFonts w:eastAsia="Calibri"/>
          <w:sz w:val="20"/>
          <w:szCs w:val="20"/>
          <w:lang w:val="fr-CA"/>
        </w:rPr>
        <w:t>(</w:t>
      </w:r>
      <w:hyperlink r:id="rId13" w:history="1">
        <w:r w:rsidR="00EA67D9" w:rsidRPr="001F1644">
          <w:rPr>
            <w:rStyle w:val="Hyperlink"/>
            <w:rFonts w:eastAsia="Calibri"/>
            <w:sz w:val="20"/>
            <w:szCs w:val="20"/>
            <w:lang w:val="fr-CA"/>
          </w:rPr>
          <w:t>398</w:t>
        </w:r>
        <w:r w:rsidR="000C48D5" w:rsidRPr="001F1644">
          <w:rPr>
            <w:rStyle w:val="Hyperlink"/>
            <w:rFonts w:eastAsia="Calibri"/>
            <w:sz w:val="20"/>
            <w:szCs w:val="20"/>
            <w:lang w:val="fr-CA"/>
          </w:rPr>
          <w:t>3</w:t>
        </w:r>
        <w:r w:rsidR="00EA67D9" w:rsidRPr="001F1644">
          <w:rPr>
            <w:rStyle w:val="Hyperlink"/>
            <w:rFonts w:eastAsia="Calibri"/>
            <w:sz w:val="20"/>
            <w:szCs w:val="20"/>
            <w:lang w:val="fr-CA"/>
          </w:rPr>
          <w:t>8</w:t>
        </w:r>
      </w:hyperlink>
      <w:r w:rsidR="00EA67D9" w:rsidRPr="001F1644">
        <w:rPr>
          <w:rFonts w:eastAsia="Calibri"/>
          <w:sz w:val="20"/>
          <w:szCs w:val="20"/>
          <w:lang w:val="fr-CA"/>
        </w:rPr>
        <w:t>)</w:t>
      </w:r>
    </w:p>
    <w:p w:rsidR="00BA25C8" w:rsidRPr="001F1644" w:rsidRDefault="00BA25C8" w:rsidP="00EE7067">
      <w:pPr>
        <w:ind w:left="357" w:hanging="357"/>
        <w:rPr>
          <w:sz w:val="20"/>
          <w:lang w:val="fr-CA"/>
        </w:rPr>
      </w:pPr>
    </w:p>
    <w:p w:rsidR="00BA25C8" w:rsidRPr="001F1644" w:rsidRDefault="00BA25C8" w:rsidP="00EE7067">
      <w:pPr>
        <w:pStyle w:val="ListParagraph"/>
        <w:numPr>
          <w:ilvl w:val="0"/>
          <w:numId w:val="46"/>
        </w:numPr>
        <w:tabs>
          <w:tab w:val="left" w:pos="360"/>
        </w:tabs>
        <w:ind w:left="357" w:hanging="357"/>
        <w:rPr>
          <w:sz w:val="20"/>
          <w:szCs w:val="20"/>
          <w:lang w:val="fr-CA"/>
        </w:rPr>
      </w:pPr>
      <w:r w:rsidRPr="001F1644">
        <w:rPr>
          <w:i/>
          <w:sz w:val="20"/>
          <w:szCs w:val="20"/>
          <w:lang w:val="fr-CA"/>
        </w:rPr>
        <w:t>Paul Dass, et al. v. Mark Kay, et al.</w:t>
      </w:r>
      <w:r w:rsidRPr="001F1644">
        <w:rPr>
          <w:sz w:val="20"/>
          <w:szCs w:val="20"/>
          <w:lang w:val="fr-CA"/>
        </w:rPr>
        <w:t xml:space="preserve"> (Ont.) (Civil) (By Leave) </w:t>
      </w:r>
      <w:r w:rsidR="00EA67D9" w:rsidRPr="001F1644">
        <w:rPr>
          <w:rFonts w:eastAsia="Calibri"/>
          <w:sz w:val="20"/>
          <w:szCs w:val="20"/>
          <w:lang w:val="fr-CA"/>
        </w:rPr>
        <w:t>(</w:t>
      </w:r>
      <w:hyperlink r:id="rId14" w:history="1">
        <w:r w:rsidR="00EA67D9" w:rsidRPr="001F1644">
          <w:rPr>
            <w:rStyle w:val="Hyperlink"/>
            <w:rFonts w:eastAsia="Calibri"/>
            <w:sz w:val="20"/>
            <w:szCs w:val="20"/>
            <w:lang w:val="fr-CA"/>
          </w:rPr>
          <w:t>398</w:t>
        </w:r>
        <w:r w:rsidR="000C48D5" w:rsidRPr="001F1644">
          <w:rPr>
            <w:rStyle w:val="Hyperlink"/>
            <w:rFonts w:eastAsia="Calibri"/>
            <w:sz w:val="20"/>
            <w:szCs w:val="20"/>
            <w:lang w:val="fr-CA"/>
          </w:rPr>
          <w:t>86</w:t>
        </w:r>
      </w:hyperlink>
      <w:r w:rsidR="00EA67D9" w:rsidRPr="001F1644">
        <w:rPr>
          <w:rFonts w:eastAsia="Calibri"/>
          <w:sz w:val="20"/>
          <w:szCs w:val="20"/>
          <w:lang w:val="fr-CA"/>
        </w:rPr>
        <w:t>)</w:t>
      </w:r>
    </w:p>
    <w:p w:rsidR="00BA25C8" w:rsidRPr="001F1644" w:rsidRDefault="00BA25C8" w:rsidP="00EE7067">
      <w:pPr>
        <w:ind w:left="357" w:hanging="357"/>
        <w:rPr>
          <w:sz w:val="20"/>
          <w:lang w:val="fr-CA"/>
        </w:rPr>
      </w:pPr>
    </w:p>
    <w:p w:rsidR="00BA25C8" w:rsidRPr="001F1644" w:rsidRDefault="00BA25C8" w:rsidP="00EE7067">
      <w:pPr>
        <w:pStyle w:val="ListParagraph"/>
        <w:numPr>
          <w:ilvl w:val="0"/>
          <w:numId w:val="46"/>
        </w:numPr>
        <w:ind w:left="357" w:hanging="357"/>
        <w:rPr>
          <w:sz w:val="20"/>
          <w:szCs w:val="20"/>
        </w:rPr>
      </w:pPr>
      <w:r w:rsidRPr="001F1644">
        <w:rPr>
          <w:i/>
          <w:sz w:val="20"/>
          <w:szCs w:val="20"/>
        </w:rPr>
        <w:t>Her Majesty the Queen v. Abram Letkeman</w:t>
      </w:r>
      <w:r w:rsidRPr="001F1644">
        <w:rPr>
          <w:sz w:val="20"/>
          <w:szCs w:val="20"/>
        </w:rPr>
        <w:t xml:space="preserve"> (Man.) (Criminal) (By Leave)</w:t>
      </w:r>
      <w:r w:rsidR="00EA67D9" w:rsidRPr="001F1644">
        <w:rPr>
          <w:sz w:val="20"/>
          <w:szCs w:val="20"/>
        </w:rPr>
        <w:t xml:space="preserve"> </w:t>
      </w:r>
      <w:r w:rsidR="00EA67D9" w:rsidRPr="001F1644">
        <w:rPr>
          <w:rFonts w:eastAsia="Calibri"/>
          <w:sz w:val="20"/>
          <w:szCs w:val="20"/>
          <w:lang w:val="fr-CA"/>
        </w:rPr>
        <w:t>(</w:t>
      </w:r>
      <w:hyperlink r:id="rId15" w:history="1">
        <w:r w:rsidR="00EA67D9" w:rsidRPr="001F1644">
          <w:rPr>
            <w:rStyle w:val="Hyperlink"/>
            <w:rFonts w:eastAsia="Calibri"/>
            <w:sz w:val="20"/>
            <w:szCs w:val="20"/>
            <w:lang w:val="fr-CA"/>
          </w:rPr>
          <w:t>398</w:t>
        </w:r>
        <w:r w:rsidR="000C48D5" w:rsidRPr="001F1644">
          <w:rPr>
            <w:rStyle w:val="Hyperlink"/>
            <w:rFonts w:eastAsia="Calibri"/>
            <w:sz w:val="20"/>
            <w:szCs w:val="20"/>
            <w:lang w:val="fr-CA"/>
          </w:rPr>
          <w:t>30</w:t>
        </w:r>
      </w:hyperlink>
      <w:r w:rsidR="00EA67D9" w:rsidRPr="001F1644">
        <w:rPr>
          <w:rFonts w:eastAsia="Calibri"/>
          <w:sz w:val="20"/>
          <w:szCs w:val="20"/>
          <w:lang w:val="fr-CA"/>
        </w:rPr>
        <w:t>)</w:t>
      </w:r>
    </w:p>
    <w:p w:rsidR="00BA25C8" w:rsidRPr="001F1644" w:rsidRDefault="00BA25C8" w:rsidP="00EE7067">
      <w:pPr>
        <w:ind w:left="357" w:hanging="357"/>
        <w:rPr>
          <w:i/>
          <w:sz w:val="20"/>
        </w:rPr>
      </w:pPr>
    </w:p>
    <w:p w:rsidR="00BA25C8" w:rsidRPr="001F1644" w:rsidRDefault="00BA25C8" w:rsidP="00EE7067">
      <w:pPr>
        <w:pStyle w:val="ListParagraph"/>
        <w:numPr>
          <w:ilvl w:val="0"/>
          <w:numId w:val="46"/>
        </w:numPr>
        <w:ind w:left="357" w:hanging="357"/>
        <w:rPr>
          <w:sz w:val="20"/>
          <w:szCs w:val="20"/>
        </w:rPr>
      </w:pPr>
      <w:r w:rsidRPr="001F1644">
        <w:rPr>
          <w:i/>
          <w:sz w:val="20"/>
          <w:szCs w:val="20"/>
          <w:lang w:val="fr-CA"/>
        </w:rPr>
        <w:t>Jean-Fran</w:t>
      </w:r>
      <w:r w:rsidR="000C48D5" w:rsidRPr="001F1644">
        <w:rPr>
          <w:i/>
          <w:sz w:val="20"/>
          <w:szCs w:val="20"/>
          <w:lang w:val="fr-CA"/>
        </w:rPr>
        <w:t>ç</w:t>
      </w:r>
      <w:r w:rsidRPr="001F1644">
        <w:rPr>
          <w:i/>
          <w:sz w:val="20"/>
          <w:szCs w:val="20"/>
          <w:lang w:val="fr-CA"/>
        </w:rPr>
        <w:t>ois Malo, et al. c. Simon Chartrand, et al</w:t>
      </w:r>
      <w:r w:rsidRPr="001F1644">
        <w:rPr>
          <w:sz w:val="20"/>
          <w:szCs w:val="20"/>
          <w:lang w:val="fr-CA"/>
        </w:rPr>
        <w:t xml:space="preserve">. </w:t>
      </w:r>
      <w:r w:rsidRPr="001F1644">
        <w:rPr>
          <w:sz w:val="20"/>
          <w:szCs w:val="20"/>
        </w:rPr>
        <w:t>(Qc) (Civile) (Autorisation)</w:t>
      </w:r>
      <w:r w:rsidR="00EA67D9" w:rsidRPr="001F1644">
        <w:rPr>
          <w:sz w:val="20"/>
          <w:szCs w:val="20"/>
        </w:rPr>
        <w:t xml:space="preserve"> </w:t>
      </w:r>
      <w:r w:rsidR="00EA67D9" w:rsidRPr="001F1644">
        <w:rPr>
          <w:rFonts w:eastAsia="Calibri"/>
          <w:sz w:val="20"/>
          <w:szCs w:val="20"/>
        </w:rPr>
        <w:t>(</w:t>
      </w:r>
      <w:hyperlink r:id="rId16" w:history="1">
        <w:r w:rsidR="00EA67D9" w:rsidRPr="001F1644">
          <w:rPr>
            <w:rStyle w:val="Hyperlink"/>
            <w:rFonts w:eastAsia="Calibri"/>
            <w:sz w:val="20"/>
            <w:szCs w:val="20"/>
          </w:rPr>
          <w:t>39</w:t>
        </w:r>
        <w:r w:rsidR="000C48D5" w:rsidRPr="001F1644">
          <w:rPr>
            <w:rStyle w:val="Hyperlink"/>
            <w:rFonts w:eastAsia="Calibri"/>
            <w:sz w:val="20"/>
            <w:szCs w:val="20"/>
          </w:rPr>
          <w:t>794</w:t>
        </w:r>
      </w:hyperlink>
      <w:r w:rsidR="00EA67D9" w:rsidRPr="001F1644">
        <w:rPr>
          <w:rFonts w:eastAsia="Calibri"/>
          <w:sz w:val="20"/>
          <w:szCs w:val="20"/>
        </w:rPr>
        <w:t>)</w:t>
      </w:r>
    </w:p>
    <w:p w:rsidR="00BA25C8" w:rsidRPr="001F1644" w:rsidRDefault="00BA25C8" w:rsidP="00EE7067">
      <w:pPr>
        <w:ind w:left="357" w:hanging="357"/>
        <w:rPr>
          <w:sz w:val="20"/>
        </w:rPr>
      </w:pPr>
    </w:p>
    <w:p w:rsidR="00BA25C8" w:rsidRPr="001F1644" w:rsidRDefault="00BA25C8" w:rsidP="00EE7067">
      <w:pPr>
        <w:pStyle w:val="ListParagraph"/>
        <w:numPr>
          <w:ilvl w:val="0"/>
          <w:numId w:val="46"/>
        </w:numPr>
        <w:ind w:left="357" w:hanging="357"/>
        <w:rPr>
          <w:sz w:val="20"/>
          <w:szCs w:val="20"/>
        </w:rPr>
      </w:pPr>
      <w:r w:rsidRPr="001F1644">
        <w:rPr>
          <w:i/>
          <w:sz w:val="20"/>
          <w:szCs w:val="20"/>
        </w:rPr>
        <w:t>Earl Mason, et al. v. Minister of Citizenship and Immigration</w:t>
      </w:r>
      <w:r w:rsidRPr="001F1644">
        <w:rPr>
          <w:sz w:val="20"/>
          <w:szCs w:val="20"/>
        </w:rPr>
        <w:t xml:space="preserve"> (F</w:t>
      </w:r>
      <w:r w:rsidR="00340929" w:rsidRPr="001F1644">
        <w:rPr>
          <w:sz w:val="20"/>
          <w:szCs w:val="20"/>
        </w:rPr>
        <w:t>.</w:t>
      </w:r>
      <w:r w:rsidRPr="001F1644">
        <w:rPr>
          <w:sz w:val="20"/>
          <w:szCs w:val="20"/>
        </w:rPr>
        <w:t>C</w:t>
      </w:r>
      <w:r w:rsidR="00340929" w:rsidRPr="001F1644">
        <w:rPr>
          <w:sz w:val="20"/>
          <w:szCs w:val="20"/>
        </w:rPr>
        <w:t>.</w:t>
      </w:r>
      <w:r w:rsidRPr="001F1644">
        <w:rPr>
          <w:sz w:val="20"/>
          <w:szCs w:val="20"/>
        </w:rPr>
        <w:t>) (Civil) (</w:t>
      </w:r>
      <w:r w:rsidR="00340929" w:rsidRPr="001F1644">
        <w:rPr>
          <w:sz w:val="20"/>
          <w:szCs w:val="20"/>
        </w:rPr>
        <w:t>By Leave</w:t>
      </w:r>
      <w:r w:rsidRPr="001F1644">
        <w:rPr>
          <w:sz w:val="20"/>
          <w:szCs w:val="20"/>
        </w:rPr>
        <w:t>)</w:t>
      </w:r>
      <w:r w:rsidR="00EA67D9" w:rsidRPr="001F1644">
        <w:rPr>
          <w:sz w:val="20"/>
          <w:szCs w:val="20"/>
        </w:rPr>
        <w:t xml:space="preserve"> </w:t>
      </w:r>
      <w:r w:rsidR="00EA67D9" w:rsidRPr="001F1644">
        <w:rPr>
          <w:rFonts w:eastAsia="Calibri"/>
          <w:sz w:val="20"/>
          <w:szCs w:val="20"/>
        </w:rPr>
        <w:t>(</w:t>
      </w:r>
      <w:hyperlink r:id="rId17" w:history="1">
        <w:r w:rsidR="00EA67D9" w:rsidRPr="001F1644">
          <w:rPr>
            <w:rStyle w:val="Hyperlink"/>
            <w:rFonts w:eastAsia="Calibri"/>
            <w:sz w:val="20"/>
            <w:szCs w:val="20"/>
          </w:rPr>
          <w:t>398</w:t>
        </w:r>
        <w:r w:rsidR="00C14D25" w:rsidRPr="001F1644">
          <w:rPr>
            <w:rStyle w:val="Hyperlink"/>
            <w:rFonts w:eastAsia="Calibri"/>
            <w:sz w:val="20"/>
            <w:szCs w:val="20"/>
          </w:rPr>
          <w:t>55</w:t>
        </w:r>
      </w:hyperlink>
      <w:r w:rsidR="00EA67D9" w:rsidRPr="001F1644">
        <w:rPr>
          <w:rFonts w:eastAsia="Calibri"/>
          <w:sz w:val="20"/>
          <w:szCs w:val="20"/>
        </w:rPr>
        <w:t>)</w:t>
      </w:r>
    </w:p>
    <w:p w:rsidR="00BA25C8" w:rsidRPr="001F1644" w:rsidRDefault="00BA25C8" w:rsidP="00EE7067">
      <w:pPr>
        <w:ind w:left="357" w:hanging="357"/>
        <w:rPr>
          <w:sz w:val="20"/>
        </w:rPr>
      </w:pPr>
    </w:p>
    <w:p w:rsidR="00BA25C8" w:rsidRPr="001F1644" w:rsidRDefault="00BA25C8" w:rsidP="00EE7067">
      <w:pPr>
        <w:pStyle w:val="ListParagraph"/>
        <w:numPr>
          <w:ilvl w:val="0"/>
          <w:numId w:val="46"/>
        </w:numPr>
        <w:ind w:left="357" w:hanging="357"/>
        <w:rPr>
          <w:sz w:val="20"/>
          <w:szCs w:val="20"/>
          <w:lang w:val="fr-CA"/>
        </w:rPr>
      </w:pPr>
      <w:r w:rsidRPr="001F1644">
        <w:rPr>
          <w:i/>
          <w:sz w:val="20"/>
          <w:szCs w:val="20"/>
          <w:lang w:val="fr-CA"/>
        </w:rPr>
        <w:t>Ian Poitras c. Concession A25, S.E.C., et al.</w:t>
      </w:r>
      <w:r w:rsidRPr="001F1644">
        <w:rPr>
          <w:sz w:val="20"/>
          <w:szCs w:val="20"/>
          <w:lang w:val="fr-CA"/>
        </w:rPr>
        <w:t xml:space="preserve"> </w:t>
      </w:r>
      <w:r w:rsidRPr="001F1644">
        <w:rPr>
          <w:sz w:val="20"/>
          <w:szCs w:val="20"/>
        </w:rPr>
        <w:t>(Qc) (Civile) (</w:t>
      </w:r>
      <w:r w:rsidR="00340929" w:rsidRPr="001F1644">
        <w:rPr>
          <w:sz w:val="20"/>
          <w:szCs w:val="20"/>
        </w:rPr>
        <w:t>Autorisation</w:t>
      </w:r>
      <w:r w:rsidRPr="001F1644">
        <w:rPr>
          <w:sz w:val="20"/>
          <w:szCs w:val="20"/>
        </w:rPr>
        <w:t xml:space="preserve">) </w:t>
      </w:r>
      <w:r w:rsidR="00EA67D9" w:rsidRPr="001F1644">
        <w:rPr>
          <w:rFonts w:eastAsia="Calibri"/>
          <w:sz w:val="20"/>
          <w:szCs w:val="20"/>
        </w:rPr>
        <w:t>(</w:t>
      </w:r>
      <w:hyperlink r:id="rId18" w:history="1">
        <w:r w:rsidR="00EA67D9" w:rsidRPr="001F1644">
          <w:rPr>
            <w:rStyle w:val="Hyperlink"/>
            <w:rFonts w:eastAsia="Calibri"/>
            <w:sz w:val="20"/>
            <w:szCs w:val="20"/>
            <w:lang w:val="fr-CA"/>
          </w:rPr>
          <w:t>398</w:t>
        </w:r>
        <w:r w:rsidR="00C14D25" w:rsidRPr="001F1644">
          <w:rPr>
            <w:rStyle w:val="Hyperlink"/>
            <w:rFonts w:eastAsia="Calibri"/>
            <w:sz w:val="20"/>
            <w:szCs w:val="20"/>
            <w:lang w:val="fr-CA"/>
          </w:rPr>
          <w:t>60</w:t>
        </w:r>
      </w:hyperlink>
      <w:r w:rsidR="00EA67D9" w:rsidRPr="001F1644">
        <w:rPr>
          <w:rFonts w:eastAsia="Calibri"/>
          <w:sz w:val="20"/>
          <w:szCs w:val="20"/>
          <w:lang w:val="fr-CA"/>
        </w:rPr>
        <w:t>)</w:t>
      </w:r>
    </w:p>
    <w:p w:rsidR="00BA25C8" w:rsidRPr="001F1644" w:rsidRDefault="00BA25C8" w:rsidP="00EE7067">
      <w:pPr>
        <w:ind w:left="357" w:hanging="357"/>
        <w:rPr>
          <w:sz w:val="20"/>
          <w:lang w:val="fr-CA"/>
        </w:rPr>
      </w:pPr>
    </w:p>
    <w:p w:rsidR="00BA25C8" w:rsidRPr="001F1644" w:rsidRDefault="00BA25C8" w:rsidP="00EE7067">
      <w:pPr>
        <w:pStyle w:val="ListParagraph"/>
        <w:numPr>
          <w:ilvl w:val="0"/>
          <w:numId w:val="46"/>
        </w:numPr>
        <w:ind w:left="357" w:hanging="357"/>
        <w:rPr>
          <w:sz w:val="20"/>
          <w:szCs w:val="20"/>
        </w:rPr>
      </w:pPr>
      <w:r w:rsidRPr="001F1644">
        <w:rPr>
          <w:i/>
          <w:sz w:val="20"/>
          <w:szCs w:val="20"/>
          <w:lang w:val="fr-CA"/>
        </w:rPr>
        <w:t>2330-2029 Québec inc. f.a.s.r.s. Médicus c. Lotfi Sahlaoui, et al.</w:t>
      </w:r>
      <w:r w:rsidRPr="001F1644">
        <w:rPr>
          <w:sz w:val="20"/>
          <w:szCs w:val="20"/>
          <w:lang w:val="fr-CA"/>
        </w:rPr>
        <w:t xml:space="preserve"> </w:t>
      </w:r>
      <w:r w:rsidRPr="001F1644">
        <w:rPr>
          <w:sz w:val="20"/>
          <w:szCs w:val="20"/>
        </w:rPr>
        <w:t xml:space="preserve">(Qc) (Civile) (Autorisation) </w:t>
      </w:r>
      <w:r w:rsidR="00EA67D9" w:rsidRPr="001F1644">
        <w:rPr>
          <w:rFonts w:eastAsia="Calibri"/>
          <w:sz w:val="20"/>
          <w:szCs w:val="20"/>
        </w:rPr>
        <w:t>(</w:t>
      </w:r>
      <w:hyperlink r:id="rId19" w:history="1">
        <w:r w:rsidR="00EA67D9" w:rsidRPr="001F1644">
          <w:rPr>
            <w:rStyle w:val="Hyperlink"/>
            <w:rFonts w:eastAsia="Calibri"/>
            <w:sz w:val="20"/>
            <w:szCs w:val="20"/>
          </w:rPr>
          <w:t>39</w:t>
        </w:r>
        <w:r w:rsidR="00C14D25" w:rsidRPr="001F1644">
          <w:rPr>
            <w:rStyle w:val="Hyperlink"/>
            <w:rFonts w:eastAsia="Calibri"/>
            <w:sz w:val="20"/>
            <w:szCs w:val="20"/>
          </w:rPr>
          <w:t>91</w:t>
        </w:r>
        <w:r w:rsidR="00EA67D9" w:rsidRPr="001F1644">
          <w:rPr>
            <w:rStyle w:val="Hyperlink"/>
            <w:rFonts w:eastAsia="Calibri"/>
            <w:sz w:val="20"/>
            <w:szCs w:val="20"/>
          </w:rPr>
          <w:t>8</w:t>
        </w:r>
      </w:hyperlink>
      <w:r w:rsidR="00EA67D9" w:rsidRPr="001F1644">
        <w:rPr>
          <w:rFonts w:eastAsia="Calibri"/>
          <w:sz w:val="20"/>
          <w:szCs w:val="20"/>
        </w:rPr>
        <w:t>)</w:t>
      </w:r>
    </w:p>
    <w:p w:rsidR="00BA25C8" w:rsidRPr="001F1644" w:rsidRDefault="00BA25C8" w:rsidP="00EE7067">
      <w:pPr>
        <w:ind w:left="357" w:hanging="357"/>
        <w:rPr>
          <w:sz w:val="20"/>
        </w:rPr>
      </w:pPr>
    </w:p>
    <w:p w:rsidR="00EA67D9" w:rsidRPr="001F1644" w:rsidRDefault="00EA67D9" w:rsidP="00EE7067">
      <w:pPr>
        <w:pStyle w:val="ListParagraph"/>
        <w:numPr>
          <w:ilvl w:val="0"/>
          <w:numId w:val="46"/>
        </w:numPr>
        <w:ind w:left="357" w:hanging="357"/>
        <w:rPr>
          <w:sz w:val="20"/>
          <w:szCs w:val="20"/>
        </w:rPr>
      </w:pPr>
      <w:r w:rsidRPr="001F1644">
        <w:rPr>
          <w:i/>
          <w:sz w:val="20"/>
          <w:szCs w:val="20"/>
        </w:rPr>
        <w:t xml:space="preserve">Mahyar Dadollahi-Sarab v. Her Majesty the Queen </w:t>
      </w:r>
      <w:r w:rsidRPr="001F1644">
        <w:rPr>
          <w:sz w:val="20"/>
          <w:szCs w:val="20"/>
        </w:rPr>
        <w:t xml:space="preserve">(Ont.) (Criminal) (By Leave) </w:t>
      </w:r>
      <w:r w:rsidRPr="001F1644">
        <w:rPr>
          <w:rFonts w:eastAsia="Calibri"/>
          <w:sz w:val="20"/>
          <w:szCs w:val="20"/>
        </w:rPr>
        <w:t>(</w:t>
      </w:r>
      <w:hyperlink r:id="rId20" w:history="1">
        <w:r w:rsidRPr="001F1644">
          <w:rPr>
            <w:rStyle w:val="Hyperlink"/>
            <w:rFonts w:eastAsia="Calibri"/>
            <w:sz w:val="20"/>
            <w:szCs w:val="20"/>
          </w:rPr>
          <w:t>398</w:t>
        </w:r>
        <w:r w:rsidR="00F9223C" w:rsidRPr="001F1644">
          <w:rPr>
            <w:rStyle w:val="Hyperlink"/>
            <w:rFonts w:eastAsia="Calibri"/>
            <w:sz w:val="20"/>
            <w:szCs w:val="20"/>
          </w:rPr>
          <w:t>6</w:t>
        </w:r>
        <w:r w:rsidRPr="001F1644">
          <w:rPr>
            <w:rStyle w:val="Hyperlink"/>
            <w:rFonts w:eastAsia="Calibri"/>
            <w:sz w:val="20"/>
            <w:szCs w:val="20"/>
          </w:rPr>
          <w:t>8</w:t>
        </w:r>
      </w:hyperlink>
      <w:r w:rsidRPr="001F1644">
        <w:rPr>
          <w:rFonts w:eastAsia="Calibri"/>
          <w:sz w:val="20"/>
          <w:szCs w:val="20"/>
        </w:rPr>
        <w:t>)</w:t>
      </w:r>
    </w:p>
    <w:p w:rsidR="00EA67D9" w:rsidRPr="001F1644" w:rsidRDefault="00EA67D9" w:rsidP="00EE7067">
      <w:pPr>
        <w:widowControl w:val="0"/>
        <w:autoSpaceDE w:val="0"/>
        <w:autoSpaceDN w:val="0"/>
        <w:adjustRightInd w:val="0"/>
        <w:ind w:left="357" w:hanging="357"/>
        <w:rPr>
          <w:sz w:val="20"/>
        </w:rPr>
      </w:pPr>
    </w:p>
    <w:p w:rsidR="00EA67D9" w:rsidRPr="001F1644" w:rsidRDefault="00EA67D9" w:rsidP="00EE7067">
      <w:pPr>
        <w:pStyle w:val="ListParagraph"/>
        <w:numPr>
          <w:ilvl w:val="0"/>
          <w:numId w:val="46"/>
        </w:numPr>
        <w:ind w:left="357" w:hanging="357"/>
        <w:rPr>
          <w:sz w:val="20"/>
          <w:szCs w:val="20"/>
        </w:rPr>
      </w:pPr>
      <w:r w:rsidRPr="001F1644">
        <w:rPr>
          <w:i/>
          <w:sz w:val="20"/>
          <w:szCs w:val="20"/>
        </w:rPr>
        <w:t xml:space="preserve">Mount Allison University v. Steven Salterio, </w:t>
      </w:r>
      <w:r w:rsidR="00F9223C" w:rsidRPr="001F1644">
        <w:rPr>
          <w:i/>
          <w:sz w:val="20"/>
          <w:szCs w:val="20"/>
        </w:rPr>
        <w:t>et al.</w:t>
      </w:r>
      <w:r w:rsidRPr="001F1644">
        <w:rPr>
          <w:i/>
          <w:sz w:val="20"/>
          <w:szCs w:val="20"/>
        </w:rPr>
        <w:t xml:space="preserve"> </w:t>
      </w:r>
      <w:r w:rsidRPr="001F1644">
        <w:rPr>
          <w:sz w:val="20"/>
          <w:szCs w:val="20"/>
          <w:lang w:val="en-CA"/>
        </w:rPr>
        <w:t xml:space="preserve">(N.B.) (Civil) (By Leave) </w:t>
      </w:r>
      <w:r w:rsidRPr="001F1644">
        <w:rPr>
          <w:rFonts w:eastAsia="Calibri"/>
          <w:sz w:val="20"/>
          <w:szCs w:val="20"/>
        </w:rPr>
        <w:t>(</w:t>
      </w:r>
      <w:hyperlink r:id="rId21" w:history="1">
        <w:r w:rsidRPr="001F1644">
          <w:rPr>
            <w:rStyle w:val="Hyperlink"/>
            <w:rFonts w:eastAsia="Calibri"/>
            <w:sz w:val="20"/>
            <w:szCs w:val="20"/>
          </w:rPr>
          <w:t>397</w:t>
        </w:r>
        <w:r w:rsidR="00F9223C" w:rsidRPr="001F1644">
          <w:rPr>
            <w:rStyle w:val="Hyperlink"/>
            <w:rFonts w:eastAsia="Calibri"/>
            <w:sz w:val="20"/>
            <w:szCs w:val="20"/>
          </w:rPr>
          <w:t>11</w:t>
        </w:r>
      </w:hyperlink>
      <w:r w:rsidRPr="001F1644">
        <w:rPr>
          <w:rFonts w:eastAsia="Calibri"/>
          <w:sz w:val="20"/>
          <w:szCs w:val="20"/>
        </w:rPr>
        <w:t>)</w:t>
      </w:r>
    </w:p>
    <w:p w:rsidR="00EA67D9" w:rsidRPr="001F1644" w:rsidRDefault="00EA67D9" w:rsidP="00EE7067">
      <w:pPr>
        <w:widowControl w:val="0"/>
        <w:autoSpaceDE w:val="0"/>
        <w:autoSpaceDN w:val="0"/>
        <w:adjustRightInd w:val="0"/>
        <w:ind w:left="357" w:hanging="357"/>
        <w:rPr>
          <w:sz w:val="20"/>
        </w:rPr>
      </w:pPr>
    </w:p>
    <w:p w:rsidR="00EA67D9" w:rsidRPr="001F1644" w:rsidRDefault="00EA67D9" w:rsidP="00EE7067">
      <w:pPr>
        <w:pStyle w:val="ListParagraph"/>
        <w:numPr>
          <w:ilvl w:val="0"/>
          <w:numId w:val="46"/>
        </w:numPr>
        <w:ind w:left="357" w:hanging="357"/>
        <w:rPr>
          <w:sz w:val="20"/>
          <w:szCs w:val="20"/>
          <w:lang w:val="en-CA"/>
        </w:rPr>
      </w:pPr>
      <w:r w:rsidRPr="001F1644">
        <w:rPr>
          <w:i/>
          <w:sz w:val="20"/>
          <w:szCs w:val="20"/>
          <w:lang w:val="en-CA"/>
        </w:rPr>
        <w:t>James Anthony Manastersky v. RBC Dominion Securities Inc.</w:t>
      </w:r>
      <w:r w:rsidRPr="001F1644">
        <w:rPr>
          <w:i/>
          <w:sz w:val="20"/>
          <w:szCs w:val="20"/>
        </w:rPr>
        <w:t xml:space="preserve"> </w:t>
      </w:r>
      <w:r w:rsidRPr="001F1644">
        <w:rPr>
          <w:sz w:val="20"/>
          <w:szCs w:val="20"/>
        </w:rPr>
        <w:t xml:space="preserve">(Ont.) (Civil) (By Leave) </w:t>
      </w:r>
      <w:r w:rsidRPr="001F1644">
        <w:rPr>
          <w:rFonts w:eastAsia="Calibri"/>
          <w:sz w:val="20"/>
          <w:szCs w:val="20"/>
        </w:rPr>
        <w:t>(</w:t>
      </w:r>
      <w:hyperlink r:id="rId22" w:history="1">
        <w:r w:rsidRPr="001F1644">
          <w:rPr>
            <w:rStyle w:val="Hyperlink"/>
            <w:rFonts w:eastAsia="Calibri"/>
            <w:sz w:val="20"/>
            <w:szCs w:val="20"/>
          </w:rPr>
          <w:t>398</w:t>
        </w:r>
        <w:r w:rsidR="00F9223C" w:rsidRPr="001F1644">
          <w:rPr>
            <w:rStyle w:val="Hyperlink"/>
            <w:rFonts w:eastAsia="Calibri"/>
            <w:sz w:val="20"/>
            <w:szCs w:val="20"/>
          </w:rPr>
          <w:t>45</w:t>
        </w:r>
      </w:hyperlink>
      <w:r w:rsidRPr="001F1644">
        <w:rPr>
          <w:rFonts w:eastAsia="Calibri"/>
          <w:sz w:val="20"/>
          <w:szCs w:val="20"/>
        </w:rPr>
        <w:t>)</w:t>
      </w:r>
    </w:p>
    <w:p w:rsidR="00EA67D9" w:rsidRPr="001F1644" w:rsidRDefault="00EA67D9" w:rsidP="00EE7067">
      <w:pPr>
        <w:widowControl w:val="0"/>
        <w:autoSpaceDE w:val="0"/>
        <w:autoSpaceDN w:val="0"/>
        <w:adjustRightInd w:val="0"/>
        <w:ind w:left="357" w:hanging="357"/>
        <w:rPr>
          <w:sz w:val="20"/>
          <w:lang w:val="en-CA"/>
        </w:rPr>
      </w:pPr>
    </w:p>
    <w:p w:rsidR="00EA67D9" w:rsidRPr="001F1644" w:rsidRDefault="00EA67D9" w:rsidP="00EE7067">
      <w:pPr>
        <w:pStyle w:val="ListParagraph"/>
        <w:numPr>
          <w:ilvl w:val="0"/>
          <w:numId w:val="46"/>
        </w:numPr>
        <w:ind w:left="357" w:hanging="357"/>
        <w:rPr>
          <w:sz w:val="20"/>
          <w:szCs w:val="20"/>
        </w:rPr>
      </w:pPr>
      <w:r w:rsidRPr="001F1644">
        <w:rPr>
          <w:i/>
          <w:sz w:val="20"/>
          <w:szCs w:val="20"/>
        </w:rPr>
        <w:t xml:space="preserve">Ahousaht First Nation v. Her Majesty the Queen in </w:t>
      </w:r>
      <w:r w:rsidR="00F9223C" w:rsidRPr="001F1644">
        <w:rPr>
          <w:i/>
          <w:sz w:val="20"/>
          <w:szCs w:val="20"/>
        </w:rPr>
        <w:t>R</w:t>
      </w:r>
      <w:r w:rsidRPr="001F1644">
        <w:rPr>
          <w:i/>
          <w:sz w:val="20"/>
          <w:szCs w:val="20"/>
        </w:rPr>
        <w:t xml:space="preserve">ight of Canada, as represented by the Minister of Indian Affairs and Northern Development </w:t>
      </w:r>
      <w:r w:rsidRPr="001F1644">
        <w:rPr>
          <w:sz w:val="20"/>
          <w:szCs w:val="20"/>
          <w:lang w:val="en-CA"/>
        </w:rPr>
        <w:t>(F</w:t>
      </w:r>
      <w:r w:rsidR="00EE7067" w:rsidRPr="001F1644">
        <w:rPr>
          <w:sz w:val="20"/>
          <w:szCs w:val="20"/>
          <w:lang w:val="en-CA"/>
        </w:rPr>
        <w:t>.</w:t>
      </w:r>
      <w:r w:rsidRPr="001F1644">
        <w:rPr>
          <w:sz w:val="20"/>
          <w:szCs w:val="20"/>
          <w:lang w:val="en-CA"/>
        </w:rPr>
        <w:t>C</w:t>
      </w:r>
      <w:r w:rsidR="00EE7067" w:rsidRPr="001F1644">
        <w:rPr>
          <w:sz w:val="20"/>
          <w:szCs w:val="20"/>
          <w:lang w:val="en-CA"/>
        </w:rPr>
        <w:t>.</w:t>
      </w:r>
      <w:r w:rsidRPr="001F1644">
        <w:rPr>
          <w:sz w:val="20"/>
          <w:szCs w:val="20"/>
          <w:lang w:val="en-CA"/>
        </w:rPr>
        <w:t xml:space="preserve">) (Civil) (By Leave) </w:t>
      </w:r>
      <w:r w:rsidRPr="001F1644">
        <w:rPr>
          <w:rFonts w:eastAsia="Calibri"/>
          <w:sz w:val="20"/>
          <w:szCs w:val="20"/>
        </w:rPr>
        <w:t>(</w:t>
      </w:r>
      <w:hyperlink r:id="rId23" w:history="1">
        <w:r w:rsidRPr="001F1644">
          <w:rPr>
            <w:rStyle w:val="Hyperlink"/>
            <w:rFonts w:eastAsia="Calibri"/>
            <w:sz w:val="20"/>
            <w:szCs w:val="20"/>
          </w:rPr>
          <w:t>398</w:t>
        </w:r>
        <w:r w:rsidR="00F9223C" w:rsidRPr="001F1644">
          <w:rPr>
            <w:rStyle w:val="Hyperlink"/>
            <w:rFonts w:eastAsia="Calibri"/>
            <w:sz w:val="20"/>
            <w:szCs w:val="20"/>
          </w:rPr>
          <w:t>4</w:t>
        </w:r>
        <w:r w:rsidRPr="001F1644">
          <w:rPr>
            <w:rStyle w:val="Hyperlink"/>
            <w:rFonts w:eastAsia="Calibri"/>
            <w:sz w:val="20"/>
            <w:szCs w:val="20"/>
          </w:rPr>
          <w:t>7</w:t>
        </w:r>
      </w:hyperlink>
      <w:r w:rsidRPr="001F1644">
        <w:rPr>
          <w:rFonts w:eastAsia="Calibri"/>
          <w:sz w:val="20"/>
          <w:szCs w:val="20"/>
        </w:rPr>
        <w:t>)</w:t>
      </w:r>
    </w:p>
    <w:p w:rsidR="00EA67D9" w:rsidRPr="001F1644" w:rsidRDefault="00EA67D9" w:rsidP="00EE7067">
      <w:pPr>
        <w:widowControl w:val="0"/>
        <w:autoSpaceDE w:val="0"/>
        <w:autoSpaceDN w:val="0"/>
        <w:adjustRightInd w:val="0"/>
        <w:ind w:left="357" w:hanging="357"/>
        <w:rPr>
          <w:sz w:val="20"/>
          <w:lang w:val="en-CA"/>
        </w:rPr>
      </w:pPr>
    </w:p>
    <w:p w:rsidR="00EA67D9" w:rsidRPr="001F1644" w:rsidRDefault="00EA67D9" w:rsidP="00EE7067">
      <w:pPr>
        <w:pStyle w:val="ListParagraph"/>
        <w:numPr>
          <w:ilvl w:val="0"/>
          <w:numId w:val="46"/>
        </w:numPr>
        <w:ind w:left="357" w:hanging="357"/>
        <w:rPr>
          <w:sz w:val="20"/>
          <w:szCs w:val="20"/>
        </w:rPr>
      </w:pPr>
      <w:r w:rsidRPr="001F1644">
        <w:rPr>
          <w:i/>
          <w:sz w:val="20"/>
          <w:szCs w:val="20"/>
          <w:lang w:val="fr-CA"/>
        </w:rPr>
        <w:t xml:space="preserve">Kerstin Eilers v. Christianne Lanfer, </w:t>
      </w:r>
      <w:r w:rsidR="00F9223C" w:rsidRPr="001F1644">
        <w:rPr>
          <w:i/>
          <w:sz w:val="20"/>
          <w:szCs w:val="20"/>
          <w:lang w:val="fr-CA"/>
        </w:rPr>
        <w:t>et al.</w:t>
      </w:r>
      <w:r w:rsidRPr="001F1644">
        <w:rPr>
          <w:sz w:val="20"/>
          <w:szCs w:val="20"/>
          <w:lang w:val="fr-CA"/>
        </w:rPr>
        <w:t xml:space="preserve"> </w:t>
      </w:r>
      <w:r w:rsidRPr="001F1644">
        <w:rPr>
          <w:sz w:val="20"/>
          <w:szCs w:val="20"/>
          <w:lang w:val="en-CA"/>
        </w:rPr>
        <w:t xml:space="preserve">(B.C.) (Civil) (By Leave) </w:t>
      </w:r>
      <w:r w:rsidRPr="001F1644">
        <w:rPr>
          <w:rFonts w:eastAsia="Calibri"/>
          <w:sz w:val="20"/>
          <w:szCs w:val="20"/>
        </w:rPr>
        <w:t>(</w:t>
      </w:r>
      <w:hyperlink r:id="rId24" w:history="1">
        <w:r w:rsidRPr="001F1644">
          <w:rPr>
            <w:rStyle w:val="Hyperlink"/>
            <w:rFonts w:eastAsia="Calibri"/>
            <w:sz w:val="20"/>
            <w:szCs w:val="20"/>
          </w:rPr>
          <w:t>398</w:t>
        </w:r>
        <w:r w:rsidR="00F9223C" w:rsidRPr="001F1644">
          <w:rPr>
            <w:rStyle w:val="Hyperlink"/>
            <w:rFonts w:eastAsia="Calibri"/>
            <w:sz w:val="20"/>
            <w:szCs w:val="20"/>
          </w:rPr>
          <w:t>4</w:t>
        </w:r>
        <w:r w:rsidRPr="001F1644">
          <w:rPr>
            <w:rStyle w:val="Hyperlink"/>
            <w:rFonts w:eastAsia="Calibri"/>
            <w:sz w:val="20"/>
            <w:szCs w:val="20"/>
          </w:rPr>
          <w:t>8</w:t>
        </w:r>
      </w:hyperlink>
      <w:r w:rsidRPr="001F1644">
        <w:rPr>
          <w:rFonts w:eastAsia="Calibri"/>
          <w:sz w:val="20"/>
          <w:szCs w:val="20"/>
        </w:rPr>
        <w:t>)</w:t>
      </w:r>
    </w:p>
    <w:p w:rsidR="00EA67D9" w:rsidRPr="001F1644" w:rsidRDefault="00EA67D9" w:rsidP="00EE7067">
      <w:pPr>
        <w:widowControl w:val="0"/>
        <w:autoSpaceDE w:val="0"/>
        <w:autoSpaceDN w:val="0"/>
        <w:adjustRightInd w:val="0"/>
        <w:ind w:left="357" w:hanging="357"/>
        <w:rPr>
          <w:sz w:val="20"/>
          <w:lang w:val="en-CA"/>
        </w:rPr>
      </w:pPr>
    </w:p>
    <w:p w:rsidR="00EA67D9" w:rsidRPr="001F1644" w:rsidRDefault="00EA67D9" w:rsidP="00EE7067">
      <w:pPr>
        <w:pStyle w:val="ListParagraph"/>
        <w:numPr>
          <w:ilvl w:val="0"/>
          <w:numId w:val="46"/>
        </w:numPr>
        <w:ind w:left="357" w:hanging="357"/>
        <w:rPr>
          <w:sz w:val="20"/>
          <w:szCs w:val="20"/>
          <w:lang w:val="en-CA"/>
        </w:rPr>
      </w:pPr>
      <w:r w:rsidRPr="001F1644">
        <w:rPr>
          <w:i/>
          <w:sz w:val="20"/>
          <w:szCs w:val="20"/>
        </w:rPr>
        <w:t>James Dell, et al. v. Zeifman Partners Inc. as operator of the waste disposal site at 2021 Four Mile Creek Road, Niagara on the Lake</w:t>
      </w:r>
      <w:r w:rsidRPr="001F1644">
        <w:rPr>
          <w:sz w:val="20"/>
          <w:szCs w:val="20"/>
        </w:rPr>
        <w:t xml:space="preserve"> </w:t>
      </w:r>
      <w:r w:rsidRPr="001F1644">
        <w:rPr>
          <w:sz w:val="20"/>
          <w:szCs w:val="20"/>
          <w:lang w:val="en-CA"/>
        </w:rPr>
        <w:t xml:space="preserve">(Ont.) (Civil) (By Leave) </w:t>
      </w:r>
      <w:r w:rsidRPr="001F1644">
        <w:rPr>
          <w:rFonts w:eastAsia="Calibri"/>
          <w:sz w:val="20"/>
          <w:szCs w:val="20"/>
        </w:rPr>
        <w:t>(</w:t>
      </w:r>
      <w:hyperlink r:id="rId25" w:history="1">
        <w:r w:rsidRPr="001F1644">
          <w:rPr>
            <w:rStyle w:val="Hyperlink"/>
            <w:rFonts w:eastAsia="Calibri"/>
            <w:sz w:val="20"/>
            <w:szCs w:val="20"/>
          </w:rPr>
          <w:t>3987</w:t>
        </w:r>
        <w:r w:rsidR="00F9223C" w:rsidRPr="001F1644">
          <w:rPr>
            <w:rStyle w:val="Hyperlink"/>
            <w:rFonts w:eastAsia="Calibri"/>
            <w:sz w:val="20"/>
            <w:szCs w:val="20"/>
          </w:rPr>
          <w:t>2</w:t>
        </w:r>
      </w:hyperlink>
      <w:r w:rsidRPr="001F1644">
        <w:rPr>
          <w:rFonts w:eastAsia="Calibri"/>
          <w:sz w:val="20"/>
          <w:szCs w:val="20"/>
        </w:rPr>
        <w:t>)</w:t>
      </w:r>
    </w:p>
    <w:p w:rsidR="00387DAF" w:rsidRPr="001F1644" w:rsidRDefault="00387DAF" w:rsidP="0053032E">
      <w:pPr>
        <w:rPr>
          <w:sz w:val="20"/>
        </w:rPr>
      </w:pPr>
    </w:p>
    <w:p w:rsidR="0057402C" w:rsidRPr="001F1644" w:rsidRDefault="00724EE4" w:rsidP="0053032E">
      <w:pPr>
        <w:widowControl w:val="0"/>
        <w:jc w:val="both"/>
        <w:rPr>
          <w:sz w:val="20"/>
        </w:rPr>
      </w:pPr>
      <w:r>
        <w:rPr>
          <w:sz w:val="20"/>
        </w:rPr>
        <w:pict>
          <v:rect id="_x0000_i1026" style="width:2in;height:1pt" o:hrpct="0" o:hralign="center" o:hrstd="t" o:hrnoshade="t" o:hr="t" fillcolor="black [3213]" stroked="f"/>
        </w:pict>
      </w:r>
    </w:p>
    <w:p w:rsidR="005A7B6B" w:rsidRPr="001F1644" w:rsidRDefault="005A7B6B"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39719</w:t>
            </w:r>
          </w:p>
        </w:tc>
        <w:tc>
          <w:tcPr>
            <w:tcW w:w="4457" w:type="pct"/>
            <w:gridSpan w:val="3"/>
          </w:tcPr>
          <w:p w:rsidR="00BE597E" w:rsidRPr="001F1644" w:rsidRDefault="00BE597E" w:rsidP="00BE597E">
            <w:pPr>
              <w:pStyle w:val="SCCLsocParty"/>
              <w:jc w:val="both"/>
              <w:rPr>
                <w:b/>
                <w:sz w:val="20"/>
                <w:szCs w:val="20"/>
                <w:lang w:val="en-US"/>
              </w:rPr>
            </w:pPr>
            <w:r w:rsidRPr="001F1644">
              <w:rPr>
                <w:b/>
                <w:sz w:val="20"/>
                <w:szCs w:val="20"/>
                <w:lang w:val="en-US"/>
              </w:rPr>
              <w:t>R.C. v. Her Majesty the Queen</w:t>
            </w:r>
          </w:p>
          <w:p w:rsidR="00BE597E" w:rsidRPr="001F1644" w:rsidRDefault="00BE597E" w:rsidP="00BE597E">
            <w:pPr>
              <w:jc w:val="both"/>
              <w:rPr>
                <w:sz w:val="20"/>
              </w:rPr>
            </w:pPr>
            <w:r w:rsidRPr="001F1644">
              <w:rPr>
                <w:sz w:val="20"/>
              </w:rPr>
              <w:t>(Ont.) (Criminal) (By Leave)</w:t>
            </w:r>
          </w:p>
        </w:tc>
      </w:tr>
      <w:tr w:rsidR="00BE597E" w:rsidRPr="001F1644" w:rsidTr="00BE597E">
        <w:tc>
          <w:tcPr>
            <w:tcW w:w="5000" w:type="pct"/>
            <w:gridSpan w:val="4"/>
          </w:tcPr>
          <w:p w:rsidR="00BE597E" w:rsidRPr="001F1644" w:rsidRDefault="00BE597E" w:rsidP="00BE597E">
            <w:pPr>
              <w:pStyle w:val="SCCBanSummary"/>
              <w:rPr>
                <w:sz w:val="20"/>
                <w:szCs w:val="20"/>
              </w:rPr>
            </w:pPr>
            <w:r w:rsidRPr="001F1644">
              <w:rPr>
                <w:sz w:val="20"/>
                <w:szCs w:val="20"/>
              </w:rPr>
              <w:t>(Publication ban in case) (Publication ban on party) (Certain information not available to the public)</w:t>
            </w:r>
          </w:p>
          <w:p w:rsidR="00BE597E" w:rsidRPr="001F1644" w:rsidRDefault="00BE597E" w:rsidP="00BE597E">
            <w:pPr>
              <w:jc w:val="both"/>
              <w:rPr>
                <w:sz w:val="20"/>
              </w:rPr>
            </w:pPr>
          </w:p>
        </w:tc>
      </w:tr>
      <w:tr w:rsidR="00BE597E" w:rsidRPr="001F1644" w:rsidTr="00BE597E">
        <w:tc>
          <w:tcPr>
            <w:tcW w:w="5000" w:type="pct"/>
            <w:gridSpan w:val="4"/>
          </w:tcPr>
          <w:p w:rsidR="00BE597E" w:rsidRPr="001F1644" w:rsidRDefault="00BE597E" w:rsidP="00BE597E">
            <w:pPr>
              <w:jc w:val="both"/>
              <w:rPr>
                <w:sz w:val="20"/>
              </w:rPr>
            </w:pPr>
            <w:r w:rsidRPr="001F1644">
              <w:rPr>
                <w:sz w:val="20"/>
              </w:rPr>
              <w:t>Criminal law — Trial — Judgments — Reasons for judgment — Trial judge delivering oral reasons and two years later issuing edited reasons — Whether the Court of Appeal erred in considering oral reasons when deciding applicant’s appeal from conviction — Where a trial judge substantially modified his or her reasons for judgment after</w:t>
            </w:r>
            <w:r w:rsidRPr="001F1644">
              <w:rPr>
                <w:sz w:val="20"/>
              </w:rPr>
              <w:noBreakHyphen/>
              <w:t>the</w:t>
            </w:r>
            <w:r w:rsidRPr="001F1644">
              <w:rPr>
                <w:sz w:val="20"/>
              </w:rPr>
              <w:noBreakHyphen/>
              <w:t xml:space="preserve">fact, thereby rebutting the presumption of integrity, may the Court only consider a first set of oral reasons to determine if they were free from error, or does the proper analysis of whether there was a miscarriage of justice require consideration of the trial judge’s </w:t>
            </w:r>
            <w:r w:rsidRPr="001F1644">
              <w:rPr>
                <w:i/>
                <w:sz w:val="20"/>
              </w:rPr>
              <w:t>post facto</w:t>
            </w:r>
            <w:r w:rsidRPr="001F1644">
              <w:rPr>
                <w:sz w:val="20"/>
              </w:rPr>
              <w:t xml:space="preserve"> changes to the reasons, and the impact of those changes on the appearance of trial fairness — Did the trial judge’s extensive edits to his oral reasons in the judicial editing of the transcript lead to a miscarriage of justice and taint the fairness of the applicant’s trial?</w:t>
            </w:r>
          </w:p>
          <w:p w:rsidR="00BE597E" w:rsidRPr="001F1644" w:rsidRDefault="00BE597E" w:rsidP="00BE597E">
            <w:pPr>
              <w:jc w:val="both"/>
              <w:rPr>
                <w:sz w:val="20"/>
              </w:rPr>
            </w:pPr>
          </w:p>
        </w:tc>
      </w:tr>
      <w:tr w:rsidR="00BE597E" w:rsidRPr="001F1644" w:rsidTr="00BE597E">
        <w:tc>
          <w:tcPr>
            <w:tcW w:w="5000" w:type="pct"/>
            <w:gridSpan w:val="4"/>
          </w:tcPr>
          <w:p w:rsidR="00BE597E" w:rsidRPr="001F1644" w:rsidRDefault="00BE597E" w:rsidP="00BE597E">
            <w:pPr>
              <w:jc w:val="both"/>
              <w:rPr>
                <w:color w:val="000000"/>
                <w:sz w:val="20"/>
              </w:rPr>
            </w:pPr>
            <w:r w:rsidRPr="001F1644">
              <w:rPr>
                <w:color w:val="000000"/>
                <w:sz w:val="20"/>
              </w:rPr>
              <w:t xml:space="preserve">The complainant testified that she was sexually assaulted multiple times by the applicant. </w:t>
            </w:r>
            <w:r w:rsidRPr="001F1644">
              <w:rPr>
                <w:sz w:val="20"/>
              </w:rPr>
              <w:t>The trial judge delivered oral reasons and two years later issued edited reasons for conviction.</w:t>
            </w:r>
            <w:r w:rsidRPr="001F1644">
              <w:rPr>
                <w:color w:val="000000"/>
                <w:sz w:val="20"/>
              </w:rPr>
              <w:t xml:space="preserve"> The applicant was convicted of sexual assault, sexual interference, incest, and assault. The conviction appeal was dismissed.</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January 30, 2017</w:t>
            </w:r>
          </w:p>
          <w:p w:rsidR="00BE597E" w:rsidRPr="001F1644" w:rsidRDefault="00BE597E" w:rsidP="00BE597E">
            <w:pPr>
              <w:jc w:val="both"/>
              <w:rPr>
                <w:sz w:val="20"/>
              </w:rPr>
            </w:pPr>
            <w:r w:rsidRPr="001F1644">
              <w:rPr>
                <w:sz w:val="20"/>
              </w:rPr>
              <w:t>Ontario Superior Court of Justice</w:t>
            </w:r>
          </w:p>
          <w:p w:rsidR="00BE597E" w:rsidRPr="001F1644" w:rsidRDefault="00BE597E" w:rsidP="00BE597E">
            <w:pPr>
              <w:jc w:val="both"/>
              <w:rPr>
                <w:sz w:val="20"/>
              </w:rPr>
            </w:pPr>
            <w:r w:rsidRPr="001F1644">
              <w:rPr>
                <w:sz w:val="20"/>
              </w:rPr>
              <w:t>(Barnes J.)</w:t>
            </w:r>
          </w:p>
          <w:p w:rsidR="00BE597E" w:rsidRPr="001F1644" w:rsidRDefault="00BE597E" w:rsidP="00BE597E">
            <w:pPr>
              <w:jc w:val="both"/>
              <w:rPr>
                <w:sz w:val="20"/>
              </w:rPr>
            </w:pPr>
            <w:r w:rsidRPr="001F1644">
              <w:rPr>
                <w:sz w:val="20"/>
              </w:rPr>
              <w:t>(unreported)</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Convictions entered: sexual assault, sexual interference, incest and assault</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June 15, 2021</w:t>
            </w:r>
          </w:p>
          <w:p w:rsidR="00BE597E" w:rsidRPr="001F1644" w:rsidRDefault="00BE597E" w:rsidP="00BE597E">
            <w:pPr>
              <w:jc w:val="both"/>
              <w:rPr>
                <w:sz w:val="20"/>
              </w:rPr>
            </w:pPr>
            <w:r w:rsidRPr="001F1644">
              <w:rPr>
                <w:sz w:val="20"/>
              </w:rPr>
              <w:t>Court of Appeal for Ontario</w:t>
            </w:r>
          </w:p>
          <w:p w:rsidR="00BE597E" w:rsidRPr="001F1644" w:rsidRDefault="00BE597E" w:rsidP="00BE597E">
            <w:pPr>
              <w:jc w:val="both"/>
              <w:rPr>
                <w:sz w:val="20"/>
              </w:rPr>
            </w:pPr>
            <w:r w:rsidRPr="001F1644">
              <w:rPr>
                <w:sz w:val="20"/>
              </w:rPr>
              <w:t>(Doherty, van Rensburg, Thorburn JJ.A.)</w:t>
            </w:r>
          </w:p>
          <w:p w:rsidR="00BE597E" w:rsidRPr="001F1644" w:rsidRDefault="00724EE4" w:rsidP="00BE597E">
            <w:pPr>
              <w:jc w:val="both"/>
              <w:rPr>
                <w:sz w:val="20"/>
              </w:rPr>
            </w:pPr>
            <w:hyperlink r:id="rId26" w:history="1">
              <w:r w:rsidR="00BE597E" w:rsidRPr="001F1644">
                <w:rPr>
                  <w:rStyle w:val="Hyperlink"/>
                  <w:sz w:val="20"/>
                </w:rPr>
                <w:t>2021 ONCA 419</w:t>
              </w:r>
            </w:hyperlink>
            <w:r w:rsidR="00BE597E" w:rsidRPr="001F1644">
              <w:rPr>
                <w:sz w:val="20"/>
              </w:rPr>
              <w:t>; C64312</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Appeal dismissed</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September 14, 2021</w:t>
            </w:r>
          </w:p>
          <w:p w:rsidR="00BE597E" w:rsidRPr="001F1644" w:rsidRDefault="00BE597E" w:rsidP="00BE597E">
            <w:pPr>
              <w:jc w:val="both"/>
              <w:rPr>
                <w:sz w:val="20"/>
              </w:rPr>
            </w:pPr>
            <w:r w:rsidRPr="001F1644">
              <w:rPr>
                <w:sz w:val="20"/>
              </w:rPr>
              <w:t>Supreme Court of Canada</w:t>
            </w: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Application for leave to appeal filed</w:t>
            </w:r>
          </w:p>
          <w:p w:rsidR="00BE597E" w:rsidRPr="001F1644" w:rsidRDefault="00BE597E" w:rsidP="00BE597E">
            <w:pPr>
              <w:jc w:val="both"/>
              <w:rPr>
                <w:sz w:val="20"/>
              </w:rPr>
            </w:pPr>
          </w:p>
        </w:tc>
      </w:tr>
    </w:tbl>
    <w:p w:rsidR="00BE597E" w:rsidRPr="001F1644" w:rsidRDefault="00BE597E" w:rsidP="00BE597E">
      <w:pPr>
        <w:jc w:val="both"/>
        <w:rPr>
          <w:sz w:val="20"/>
        </w:rPr>
      </w:pPr>
    </w:p>
    <w:p w:rsidR="00BE597E" w:rsidRPr="001F1644" w:rsidRDefault="00724EE4" w:rsidP="00BE597E">
      <w:pPr>
        <w:jc w:val="both"/>
        <w:rPr>
          <w:sz w:val="20"/>
        </w:rPr>
      </w:pPr>
      <w:r>
        <w:rPr>
          <w:sz w:val="20"/>
        </w:rPr>
        <w:pict>
          <v:rect id="_x0000_i1027" style="width:2in;height:1pt" o:hrpct="0" o:hralign="center" o:hrstd="t" o:hrnoshade="t" o:hr="t" fillcolor="black [3213]" stroked="f"/>
        </w:pict>
      </w:r>
    </w:p>
    <w:p w:rsidR="00BE597E" w:rsidRPr="001F1644" w:rsidRDefault="00BE597E" w:rsidP="00BE59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39719</w:t>
            </w:r>
          </w:p>
        </w:tc>
        <w:tc>
          <w:tcPr>
            <w:tcW w:w="4457" w:type="pct"/>
            <w:gridSpan w:val="3"/>
          </w:tcPr>
          <w:p w:rsidR="00BE597E" w:rsidRPr="001F1644" w:rsidRDefault="00BE597E" w:rsidP="00BE597E">
            <w:pPr>
              <w:pStyle w:val="SCCLsocParty"/>
              <w:jc w:val="both"/>
              <w:rPr>
                <w:b/>
                <w:sz w:val="20"/>
                <w:szCs w:val="20"/>
              </w:rPr>
            </w:pPr>
            <w:r w:rsidRPr="001F1644">
              <w:rPr>
                <w:b/>
                <w:sz w:val="20"/>
                <w:szCs w:val="20"/>
              </w:rPr>
              <w:t>R.C. c. Sa Majesté la Reine</w:t>
            </w:r>
          </w:p>
          <w:p w:rsidR="00BE597E" w:rsidRPr="001F1644" w:rsidRDefault="00BE597E" w:rsidP="00BE597E">
            <w:pPr>
              <w:jc w:val="both"/>
              <w:rPr>
                <w:sz w:val="20"/>
              </w:rPr>
            </w:pPr>
            <w:r w:rsidRPr="001F1644">
              <w:rPr>
                <w:sz w:val="20"/>
              </w:rPr>
              <w:t>(Ont.) (Criminelle) (Autorisation)</w:t>
            </w:r>
          </w:p>
        </w:tc>
      </w:tr>
      <w:tr w:rsidR="00BE597E" w:rsidRPr="00724EE4" w:rsidTr="00BE597E">
        <w:tc>
          <w:tcPr>
            <w:tcW w:w="5000" w:type="pct"/>
            <w:gridSpan w:val="4"/>
          </w:tcPr>
          <w:p w:rsidR="00BE597E" w:rsidRPr="001F1644" w:rsidRDefault="00BE597E" w:rsidP="00BE597E">
            <w:pPr>
              <w:pStyle w:val="SCCBanSummary"/>
              <w:rPr>
                <w:sz w:val="20"/>
                <w:szCs w:val="20"/>
                <w:lang w:val="fr-CA"/>
              </w:rPr>
            </w:pPr>
            <w:r w:rsidRPr="001F1644">
              <w:rPr>
                <w:sz w:val="20"/>
                <w:szCs w:val="20"/>
                <w:lang w:val="fr-CA"/>
              </w:rPr>
              <w:t>(Ordonnance de non</w:t>
            </w:r>
            <w:r w:rsidRPr="001F1644">
              <w:rPr>
                <w:sz w:val="20"/>
                <w:szCs w:val="20"/>
                <w:lang w:val="fr-CA"/>
              </w:rPr>
              <w:noBreakHyphen/>
              <w:t>publication dans le dossier) (ordonnance de non</w:t>
            </w:r>
            <w:r w:rsidRPr="001F1644">
              <w:rPr>
                <w:sz w:val="20"/>
                <w:szCs w:val="20"/>
                <w:lang w:val="fr-CA"/>
              </w:rPr>
              <w:noBreakHyphen/>
              <w:t>publication visant une partie) (certains renseignements ne sont pas accessibles au public)</w:t>
            </w:r>
          </w:p>
          <w:p w:rsidR="00BE597E" w:rsidRPr="001F1644" w:rsidRDefault="00BE597E" w:rsidP="00BE597E">
            <w:pPr>
              <w:jc w:val="both"/>
              <w:rPr>
                <w:sz w:val="20"/>
                <w:lang w:val="fr-CA"/>
              </w:rPr>
            </w:pPr>
          </w:p>
        </w:tc>
      </w:tr>
      <w:tr w:rsidR="00BE597E" w:rsidRPr="00724EE4" w:rsidTr="00BE597E">
        <w:tc>
          <w:tcPr>
            <w:tcW w:w="5000" w:type="pct"/>
            <w:gridSpan w:val="4"/>
          </w:tcPr>
          <w:p w:rsidR="00BE597E" w:rsidRPr="001F1644" w:rsidRDefault="00BE597E" w:rsidP="00BE597E">
            <w:pPr>
              <w:jc w:val="both"/>
              <w:rPr>
                <w:sz w:val="20"/>
                <w:lang w:val="fr-CA"/>
              </w:rPr>
            </w:pPr>
            <w:r w:rsidRPr="001F1644">
              <w:rPr>
                <w:sz w:val="20"/>
                <w:lang w:val="fr-CA"/>
              </w:rPr>
              <w:t>Droit criminel — Procès — Jugements — Motifs — Le juge du procès prononce des motifs à l’audience et deux ans plus tard rend des motifs révisés — La Cour d’appel a</w:t>
            </w:r>
            <w:r w:rsidRPr="001F1644">
              <w:rPr>
                <w:sz w:val="20"/>
                <w:lang w:val="fr-CA"/>
              </w:rPr>
              <w:noBreakHyphen/>
              <w:t>t</w:t>
            </w:r>
            <w:r w:rsidRPr="001F1644">
              <w:rPr>
                <w:sz w:val="20"/>
                <w:lang w:val="fr-CA"/>
              </w:rPr>
              <w:noBreakHyphen/>
              <w:t>elle commis une erreur en examinant les motifs prononcés à l’audience quand elle a statué sur l’appel du demandeur à l’encontre de la déclaration de culpabilité? — Lorsqu’un juge du procès modifie de manière importante ses motifs de jugement après les faits, réfutant ainsi la présomption d’intégrité, la Cour peut</w:t>
            </w:r>
            <w:r w:rsidRPr="001F1644">
              <w:rPr>
                <w:sz w:val="20"/>
                <w:lang w:val="fr-CA"/>
              </w:rPr>
              <w:noBreakHyphen/>
              <w:t xml:space="preserve">elle examiner un premier ensemble de motifs rendus à l’audience pour déterminer s’ils </w:t>
            </w:r>
            <w:r w:rsidRPr="001F1644">
              <w:rPr>
                <w:sz w:val="20"/>
                <w:lang w:val="fr-CA"/>
              </w:rPr>
              <w:lastRenderedPageBreak/>
              <w:t>étaient exempts d’erreur ou l’analyse adéquate de la question de savoir s’il y a eu une erreur judiciaire exige</w:t>
            </w:r>
            <w:r w:rsidRPr="001F1644">
              <w:rPr>
                <w:sz w:val="20"/>
                <w:lang w:val="fr-CA"/>
              </w:rPr>
              <w:noBreakHyphen/>
              <w:t>t</w:t>
            </w:r>
            <w:r w:rsidRPr="001F1644">
              <w:rPr>
                <w:sz w:val="20"/>
                <w:lang w:val="fr-CA"/>
              </w:rPr>
              <w:noBreakHyphen/>
              <w:t xml:space="preserve">elle la prise en compte des changements </w:t>
            </w:r>
            <w:r w:rsidRPr="001F1644">
              <w:rPr>
                <w:i/>
                <w:sz w:val="20"/>
                <w:lang w:val="fr-CA"/>
              </w:rPr>
              <w:t>post facto</w:t>
            </w:r>
            <w:r w:rsidRPr="001F1644">
              <w:rPr>
                <w:sz w:val="20"/>
                <w:lang w:val="fr-CA"/>
              </w:rPr>
              <w:t xml:space="preserve"> apportés aux motifs du juge du procès et l’incidence de ces changements sur l’apparence d’un procès équitable? — Les nombreuses révisions que le juge du procès a rapportées à ses motifs prononcés à l’audience lors de la révision judiciaire de la transcription ont</w:t>
            </w:r>
            <w:r w:rsidRPr="001F1644">
              <w:rPr>
                <w:sz w:val="20"/>
                <w:lang w:val="fr-CA"/>
              </w:rPr>
              <w:noBreakHyphen/>
              <w:t xml:space="preserve">elles mené à une erreur judiciaire et entaché le caractère équitable du procès du demandeur? </w:t>
            </w:r>
          </w:p>
          <w:p w:rsidR="00BE597E" w:rsidRPr="001F1644" w:rsidRDefault="00BE597E" w:rsidP="00BE597E">
            <w:pPr>
              <w:jc w:val="both"/>
              <w:rPr>
                <w:sz w:val="20"/>
                <w:lang w:val="fr-CA"/>
              </w:rPr>
            </w:pPr>
          </w:p>
        </w:tc>
      </w:tr>
      <w:tr w:rsidR="00BE597E" w:rsidRPr="001F1644" w:rsidTr="00BE597E">
        <w:tc>
          <w:tcPr>
            <w:tcW w:w="5000" w:type="pct"/>
            <w:gridSpan w:val="4"/>
          </w:tcPr>
          <w:p w:rsidR="00BE597E" w:rsidRPr="001F1644" w:rsidRDefault="00BE597E" w:rsidP="00BE597E">
            <w:pPr>
              <w:jc w:val="both"/>
              <w:rPr>
                <w:color w:val="000000"/>
                <w:sz w:val="20"/>
              </w:rPr>
            </w:pPr>
            <w:r w:rsidRPr="001F1644">
              <w:rPr>
                <w:color w:val="000000"/>
                <w:sz w:val="20"/>
                <w:lang w:val="fr-CA"/>
              </w:rPr>
              <w:lastRenderedPageBreak/>
              <w:t xml:space="preserve">La plaignante a déclaré avoir été agressée sexuellement par le demandeur à de nombreuses occasions. Le juge du procès a prononcé des motifs à l’audience et deux ans plus tard a rendu des motifs révisés concernant la déclaration de culpabilité. Le demandeur a été déclaré coupable d’agression sexuelle, de contacts sexuels, d’inceste et d’agression. L’appel visant la déclaration de culpabilité a été rejeté. </w:t>
            </w:r>
          </w:p>
          <w:p w:rsidR="00BE597E" w:rsidRPr="001F1644" w:rsidRDefault="00BE597E" w:rsidP="00BE597E">
            <w:pPr>
              <w:jc w:val="both"/>
              <w:rPr>
                <w:sz w:val="20"/>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30 janvier 2017</w:t>
            </w:r>
          </w:p>
          <w:p w:rsidR="00BE597E" w:rsidRPr="001F1644" w:rsidRDefault="00BE597E" w:rsidP="00BE597E">
            <w:pPr>
              <w:jc w:val="both"/>
              <w:rPr>
                <w:sz w:val="20"/>
                <w:lang w:val="fr-CA"/>
              </w:rPr>
            </w:pPr>
            <w:r w:rsidRPr="001F1644">
              <w:rPr>
                <w:sz w:val="20"/>
                <w:lang w:val="fr-CA"/>
              </w:rPr>
              <w:t xml:space="preserve">Cour supérieure de justice de l’Ontario </w:t>
            </w:r>
          </w:p>
          <w:p w:rsidR="00BE597E" w:rsidRPr="001F1644" w:rsidRDefault="00BE597E" w:rsidP="00BE597E">
            <w:pPr>
              <w:jc w:val="both"/>
              <w:rPr>
                <w:sz w:val="20"/>
              </w:rPr>
            </w:pPr>
            <w:r w:rsidRPr="001F1644">
              <w:rPr>
                <w:sz w:val="20"/>
              </w:rPr>
              <w:t>(juge Barnes)</w:t>
            </w:r>
          </w:p>
          <w:p w:rsidR="00BE597E" w:rsidRPr="001F1644" w:rsidRDefault="00BE597E" w:rsidP="00BE597E">
            <w:pPr>
              <w:jc w:val="both"/>
              <w:rPr>
                <w:sz w:val="20"/>
              </w:rPr>
            </w:pPr>
            <w:r w:rsidRPr="001F1644">
              <w:rPr>
                <w:sz w:val="20"/>
              </w:rPr>
              <w:t>(non</w:t>
            </w:r>
            <w:r w:rsidRPr="001F1644">
              <w:rPr>
                <w:sz w:val="20"/>
              </w:rPr>
              <w:noBreakHyphen/>
              <w:t>publiée)</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lang w:val="fr-CA"/>
              </w:rPr>
            </w:pPr>
            <w:r w:rsidRPr="001F1644">
              <w:rPr>
                <w:sz w:val="20"/>
                <w:lang w:val="fr-CA"/>
              </w:rPr>
              <w:t xml:space="preserve">Inscription des déclarations de culpabilité : agression sexuelle, contacts sexuels, inceste et agression </w:t>
            </w:r>
          </w:p>
          <w:p w:rsidR="00BE597E" w:rsidRPr="001F1644" w:rsidRDefault="00BE597E" w:rsidP="00BE597E">
            <w:pPr>
              <w:jc w:val="both"/>
              <w:rPr>
                <w:sz w:val="20"/>
                <w:lang w:val="fr-CA"/>
              </w:rPr>
            </w:pPr>
          </w:p>
        </w:tc>
      </w:tr>
      <w:tr w:rsidR="00BE597E" w:rsidRPr="001F1644" w:rsidTr="00BE597E">
        <w:tc>
          <w:tcPr>
            <w:tcW w:w="2427" w:type="pct"/>
            <w:gridSpan w:val="2"/>
          </w:tcPr>
          <w:p w:rsidR="00BE597E" w:rsidRPr="001F1644" w:rsidRDefault="00BE597E" w:rsidP="00BE597E">
            <w:pPr>
              <w:jc w:val="both"/>
              <w:rPr>
                <w:sz w:val="20"/>
                <w:lang w:val="fr-CA"/>
              </w:rPr>
            </w:pPr>
            <w:r w:rsidRPr="001F1644">
              <w:rPr>
                <w:sz w:val="20"/>
                <w:lang w:val="fr-CA"/>
              </w:rPr>
              <w:t>15 juin 2021</w:t>
            </w:r>
          </w:p>
          <w:p w:rsidR="00BE597E" w:rsidRPr="001F1644" w:rsidRDefault="00BE597E" w:rsidP="00BE597E">
            <w:pPr>
              <w:jc w:val="both"/>
              <w:rPr>
                <w:sz w:val="20"/>
                <w:lang w:val="fr-CA"/>
              </w:rPr>
            </w:pPr>
            <w:r w:rsidRPr="001F1644">
              <w:rPr>
                <w:sz w:val="20"/>
                <w:lang w:val="fr-CA"/>
              </w:rPr>
              <w:t>Cour d’appel de l’Ontario</w:t>
            </w:r>
          </w:p>
          <w:p w:rsidR="00BE597E" w:rsidRPr="001F1644" w:rsidRDefault="00BE597E" w:rsidP="00BE597E">
            <w:pPr>
              <w:jc w:val="both"/>
              <w:rPr>
                <w:sz w:val="20"/>
                <w:lang w:val="fr-CA"/>
              </w:rPr>
            </w:pPr>
            <w:r w:rsidRPr="001F1644">
              <w:rPr>
                <w:sz w:val="20"/>
                <w:lang w:val="fr-CA"/>
              </w:rPr>
              <w:t>(juges Doherty, van Rensburg, Thorburn)</w:t>
            </w:r>
          </w:p>
          <w:p w:rsidR="00BE597E" w:rsidRPr="001F1644" w:rsidRDefault="00724EE4" w:rsidP="00BE597E">
            <w:pPr>
              <w:jc w:val="both"/>
              <w:rPr>
                <w:sz w:val="20"/>
              </w:rPr>
            </w:pPr>
            <w:hyperlink r:id="rId27" w:history="1">
              <w:r w:rsidR="00BE597E" w:rsidRPr="001F1644">
                <w:rPr>
                  <w:rStyle w:val="Hyperlink"/>
                  <w:sz w:val="20"/>
                </w:rPr>
                <w:t>2021 ONCA 419</w:t>
              </w:r>
            </w:hyperlink>
            <w:r w:rsidR="00BE597E" w:rsidRPr="001F1644">
              <w:rPr>
                <w:sz w:val="20"/>
              </w:rPr>
              <w:t>; C64312</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Rejet de l’appel</w:t>
            </w:r>
          </w:p>
          <w:p w:rsidR="00BE597E" w:rsidRPr="001F1644" w:rsidRDefault="00BE597E" w:rsidP="00BE597E">
            <w:pPr>
              <w:jc w:val="both"/>
              <w:rPr>
                <w:sz w:val="20"/>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14 septembre 2021</w:t>
            </w:r>
          </w:p>
          <w:p w:rsidR="00BE597E" w:rsidRPr="001F1644" w:rsidRDefault="00BE597E" w:rsidP="00BE597E">
            <w:pPr>
              <w:jc w:val="both"/>
              <w:rPr>
                <w:sz w:val="20"/>
                <w:lang w:val="fr-CA"/>
              </w:rPr>
            </w:pPr>
            <w:r w:rsidRPr="001F1644">
              <w:rPr>
                <w:sz w:val="20"/>
                <w:lang w:val="fr-CA"/>
              </w:rPr>
              <w:t>Cour suprême du Canada</w:t>
            </w: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Dépôt de la demande d’autorisation d’appel</w:t>
            </w:r>
          </w:p>
          <w:p w:rsidR="00BE597E" w:rsidRPr="001F1644" w:rsidRDefault="00BE597E" w:rsidP="00BE597E">
            <w:pPr>
              <w:jc w:val="both"/>
              <w:rPr>
                <w:sz w:val="20"/>
                <w:lang w:val="fr-CA"/>
              </w:rPr>
            </w:pPr>
          </w:p>
        </w:tc>
      </w:tr>
    </w:tbl>
    <w:p w:rsidR="00BE597E" w:rsidRPr="001F1644" w:rsidRDefault="00BE597E" w:rsidP="00BE597E">
      <w:pPr>
        <w:jc w:val="both"/>
        <w:rPr>
          <w:sz w:val="20"/>
          <w:lang w:val="fr-CA"/>
        </w:rPr>
      </w:pPr>
    </w:p>
    <w:p w:rsidR="007607A2" w:rsidRPr="001F1644" w:rsidRDefault="00724EE4" w:rsidP="00BE597E">
      <w:pPr>
        <w:jc w:val="both"/>
        <w:rPr>
          <w:sz w:val="20"/>
          <w:lang w:val="fr-CA"/>
        </w:rPr>
      </w:pPr>
      <w:r>
        <w:rPr>
          <w:sz w:val="20"/>
        </w:rPr>
        <w:pict>
          <v:rect id="_x0000_i1028" style="width:2in;height:1pt" o:hrpct="0" o:hralign="center" o:hrstd="t" o:hrnoshade="t" o:hr="t" fillcolor="black [3213]" stroked="f"/>
        </w:pict>
      </w:r>
    </w:p>
    <w:p w:rsidR="00BA25C8" w:rsidRPr="001F1644" w:rsidRDefault="00BA25C8"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39799</w:t>
            </w:r>
          </w:p>
        </w:tc>
        <w:tc>
          <w:tcPr>
            <w:tcW w:w="4457" w:type="pct"/>
            <w:gridSpan w:val="3"/>
          </w:tcPr>
          <w:p w:rsidR="00BE597E" w:rsidRPr="001F1644" w:rsidRDefault="00BE597E" w:rsidP="00BE597E">
            <w:pPr>
              <w:pStyle w:val="SCCLsocParty"/>
              <w:jc w:val="both"/>
              <w:rPr>
                <w:b/>
                <w:sz w:val="20"/>
                <w:szCs w:val="20"/>
                <w:lang w:val="en-US"/>
              </w:rPr>
            </w:pPr>
            <w:r w:rsidRPr="001F1644">
              <w:rPr>
                <w:b/>
                <w:sz w:val="20"/>
                <w:szCs w:val="20"/>
                <w:lang w:val="en-US"/>
              </w:rPr>
              <w:t>Manitoba Metis Federation Inc. v. Brian Pallister, Premier of Manitoba, Cliff  Cullen, Minister of Crown Services, Executive Council for the Government of  Manitoba, Government of Manitoba, Manitoba Hydro-Electric Board</w:t>
            </w:r>
          </w:p>
          <w:p w:rsidR="00BE597E" w:rsidRPr="001F1644" w:rsidRDefault="00BE597E" w:rsidP="00BE597E">
            <w:pPr>
              <w:jc w:val="both"/>
              <w:rPr>
                <w:sz w:val="20"/>
              </w:rPr>
            </w:pPr>
            <w:r w:rsidRPr="001F1644">
              <w:rPr>
                <w:sz w:val="20"/>
              </w:rPr>
              <w:t>(Man.) (Civil) (By Leave)</w:t>
            </w:r>
          </w:p>
        </w:tc>
      </w:tr>
      <w:tr w:rsidR="00BE597E" w:rsidRPr="001F1644" w:rsidTr="00BE597E">
        <w:tc>
          <w:tcPr>
            <w:tcW w:w="5000" w:type="pct"/>
            <w:gridSpan w:val="4"/>
          </w:tcPr>
          <w:p w:rsidR="00BE597E" w:rsidRPr="001F1644" w:rsidRDefault="00BE597E" w:rsidP="00BE597E">
            <w:pPr>
              <w:jc w:val="both"/>
              <w:rPr>
                <w:sz w:val="20"/>
              </w:rPr>
            </w:pPr>
            <w:r w:rsidRPr="001F1644">
              <w:rPr>
                <w:sz w:val="20"/>
              </w:rPr>
              <w:t xml:space="preserve">Crown law — Honour of the crown — Administrative law — Judicial review — Executive Council approving order in council authorizing issuance of directive ordering Crown corporation not to proceed with major agreed points memorandum with Indigenous group, at that time –Indigenous group bringing application for judicial review — Application dismissed — Appeal dismissed — How does the honour of the Crown apply to accommodation agreements reached with Indigenous peoples in the fulfilment of the Crown’s duty to consult? — Whether the honour of the Crown requires the Executive to consult with Indigenous peoples in the process of adopting subordinate legislation which may adversely affect potential or established Aboriginal rights or interests — How are courts to conduct a judicial review challenging the </w:t>
            </w:r>
            <w:r w:rsidRPr="001F1644">
              <w:rPr>
                <w:i/>
                <w:sz w:val="20"/>
              </w:rPr>
              <w:t>vires</w:t>
            </w:r>
            <w:r w:rsidRPr="001F1644">
              <w:rPr>
                <w:sz w:val="20"/>
              </w:rPr>
              <w:t xml:space="preserve"> of subordinate legislation in light of </w:t>
            </w:r>
            <w:r w:rsidRPr="001F1644">
              <w:rPr>
                <w:i/>
                <w:sz w:val="20"/>
              </w:rPr>
              <w:t>Canada (Minister of Citizenship and Immigration) v. Vavilov</w:t>
            </w:r>
            <w:r w:rsidRPr="001F1644">
              <w:rPr>
                <w:sz w:val="20"/>
              </w:rPr>
              <w:t>, 2019 SCC 65?</w:t>
            </w:r>
          </w:p>
        </w:tc>
      </w:tr>
      <w:tr w:rsidR="00BE597E" w:rsidRPr="001F1644" w:rsidTr="00BE597E">
        <w:tc>
          <w:tcPr>
            <w:tcW w:w="5000" w:type="pct"/>
            <w:gridSpan w:val="4"/>
          </w:tcPr>
          <w:p w:rsidR="00BE597E" w:rsidRPr="001F1644" w:rsidRDefault="00BE597E" w:rsidP="00BE597E">
            <w:pPr>
              <w:jc w:val="both"/>
              <w:rPr>
                <w:sz w:val="20"/>
              </w:rPr>
            </w:pPr>
          </w:p>
        </w:tc>
      </w:tr>
      <w:tr w:rsidR="00BE597E" w:rsidRPr="001F1644" w:rsidTr="00BE597E">
        <w:tc>
          <w:tcPr>
            <w:tcW w:w="5000" w:type="pct"/>
            <w:gridSpan w:val="4"/>
          </w:tcPr>
          <w:p w:rsidR="00BE597E" w:rsidRPr="001F1644" w:rsidRDefault="00BE597E" w:rsidP="00BE597E">
            <w:pPr>
              <w:jc w:val="both"/>
              <w:rPr>
                <w:sz w:val="20"/>
              </w:rPr>
            </w:pPr>
            <w:r w:rsidRPr="001F1644">
              <w:rPr>
                <w:sz w:val="20"/>
              </w:rPr>
              <w:t xml:space="preserve">In 2014, the applicant, Manitoba Metis Federation Inc. (“MMF”), the respondent, Manitoba Hydro-Electric Board (“Hydro”), and Her Majesty the Queen in Right of Manitoba, executed an agreement known as the “Turning the Page Agreement” (“TPA”). In 2017, consistent with the processes agreed to in the TPA, the MMF and Hydro finalized a term sheet called the “Major Agreed Points” (“MAP”) to address issues associated with certain transmission projects. Hydro’s Board authorized Hydro to negotiate a relationship agreement with the MMF, substantially in accordance with the terms set out in the MAP, but subject to certain provisos. In 2018, an order in council (“OIC”) was issued pursuant to s. 13(1) of </w:t>
            </w:r>
            <w:r w:rsidRPr="001F1644">
              <w:rPr>
                <w:i/>
                <w:sz w:val="20"/>
              </w:rPr>
              <w:t>The Crown Corporations Governance and Accountability Act</w:t>
            </w:r>
            <w:r w:rsidRPr="001F1644">
              <w:rPr>
                <w:sz w:val="20"/>
              </w:rPr>
              <w:t xml:space="preserve">, CCSM c. C336, authorizing the issuance of a directive, which ordered, amongst other things, that Hydro, a Crown corporation, not proceed with the MAP at that time. The MMF applied for judicial review, seeking an order of </w:t>
            </w:r>
            <w:r w:rsidRPr="001F1644">
              <w:rPr>
                <w:i/>
                <w:sz w:val="20"/>
              </w:rPr>
              <w:t>certiorari</w:t>
            </w:r>
            <w:r w:rsidRPr="001F1644">
              <w:rPr>
                <w:sz w:val="20"/>
              </w:rPr>
              <w:t xml:space="preserve"> against the respondents, the Premier, the Minister of Crown Services, the Executive Council and the Government of Manitoba (collectively, “Manitoba”) and a declaration that Manitoba had not acted in accordance with the honour of the Crown in making the OIC, the directive and the decision that Hydro not proceed at that time. The application judge dismissed the application. On appeal, the Court of Appeal concluded that the application judge erred in deciding that the honour of the Crown had no application in this case. However, the Court of Appeal was satisfied that, in the circumstances, Manitoba acted reasonably as to its obligation to act honourably. It dismissed the appeal. </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lastRenderedPageBreak/>
              <w:t>March 16, 2020</w:t>
            </w:r>
          </w:p>
          <w:p w:rsidR="00BE597E" w:rsidRPr="001F1644" w:rsidRDefault="00BE597E" w:rsidP="00BE597E">
            <w:pPr>
              <w:jc w:val="both"/>
              <w:rPr>
                <w:sz w:val="20"/>
              </w:rPr>
            </w:pPr>
            <w:r w:rsidRPr="001F1644">
              <w:rPr>
                <w:sz w:val="20"/>
              </w:rPr>
              <w:t>Court of Queen’s Bench of Manitoba</w:t>
            </w:r>
          </w:p>
          <w:p w:rsidR="00BE597E" w:rsidRPr="001F1644" w:rsidRDefault="00BE597E" w:rsidP="00BE597E">
            <w:pPr>
              <w:jc w:val="both"/>
              <w:rPr>
                <w:sz w:val="20"/>
              </w:rPr>
            </w:pPr>
            <w:r w:rsidRPr="001F1644">
              <w:rPr>
                <w:sz w:val="20"/>
              </w:rPr>
              <w:t>(Joyal C.J.)</w:t>
            </w:r>
          </w:p>
          <w:p w:rsidR="00BE597E" w:rsidRPr="001F1644" w:rsidRDefault="00724EE4" w:rsidP="00BE597E">
            <w:pPr>
              <w:jc w:val="both"/>
              <w:rPr>
                <w:sz w:val="20"/>
              </w:rPr>
            </w:pPr>
            <w:hyperlink r:id="rId28" w:history="1">
              <w:r w:rsidR="00BE597E" w:rsidRPr="001F1644">
                <w:rPr>
                  <w:rStyle w:val="Hyperlink"/>
                  <w:sz w:val="20"/>
                </w:rPr>
                <w:t>2020 MBQB 49</w:t>
              </w:r>
            </w:hyperlink>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 xml:space="preserve">Applicant’s application for judicial review dismissed </w:t>
            </w:r>
          </w:p>
        </w:tc>
      </w:tr>
      <w:tr w:rsidR="00BE597E" w:rsidRPr="001F1644" w:rsidTr="00BE597E">
        <w:tc>
          <w:tcPr>
            <w:tcW w:w="2427" w:type="pct"/>
            <w:gridSpan w:val="2"/>
          </w:tcPr>
          <w:p w:rsidR="00BE597E" w:rsidRPr="001F1644" w:rsidRDefault="00BE597E" w:rsidP="00BE597E">
            <w:pPr>
              <w:jc w:val="both"/>
              <w:rPr>
                <w:sz w:val="20"/>
              </w:rPr>
            </w:pPr>
            <w:r w:rsidRPr="001F1644">
              <w:rPr>
                <w:sz w:val="20"/>
              </w:rPr>
              <w:t>May 6, 2021</w:t>
            </w:r>
          </w:p>
          <w:p w:rsidR="00BE597E" w:rsidRPr="001F1644" w:rsidRDefault="00BE597E" w:rsidP="00BE597E">
            <w:pPr>
              <w:jc w:val="both"/>
              <w:rPr>
                <w:sz w:val="20"/>
              </w:rPr>
            </w:pPr>
            <w:r w:rsidRPr="001F1644">
              <w:rPr>
                <w:sz w:val="20"/>
              </w:rPr>
              <w:t>Court of Appeal of Manitoba</w:t>
            </w:r>
          </w:p>
          <w:p w:rsidR="00BE597E" w:rsidRPr="001F1644" w:rsidRDefault="00BE597E" w:rsidP="00BE597E">
            <w:pPr>
              <w:jc w:val="both"/>
              <w:rPr>
                <w:sz w:val="20"/>
              </w:rPr>
            </w:pPr>
            <w:r w:rsidRPr="001F1644">
              <w:rPr>
                <w:sz w:val="20"/>
              </w:rPr>
              <w:t>(Chartier C.J. and Cameron and Mainella JJ.A.)</w:t>
            </w:r>
          </w:p>
          <w:p w:rsidR="00BE597E" w:rsidRPr="001F1644" w:rsidRDefault="00724EE4" w:rsidP="00BE597E">
            <w:pPr>
              <w:jc w:val="both"/>
              <w:rPr>
                <w:sz w:val="20"/>
              </w:rPr>
            </w:pPr>
            <w:hyperlink r:id="rId29" w:history="1">
              <w:r w:rsidR="00BE597E" w:rsidRPr="001F1644">
                <w:rPr>
                  <w:rStyle w:val="Hyperlink"/>
                  <w:sz w:val="20"/>
                </w:rPr>
                <w:t>2021 MBCA 47</w:t>
              </w:r>
            </w:hyperlink>
            <w:r w:rsidR="00BE597E" w:rsidRPr="001F1644">
              <w:rPr>
                <w:sz w:val="20"/>
              </w:rPr>
              <w:t xml:space="preserve"> (Docket: AI20</w:t>
            </w:r>
            <w:r w:rsidR="00BE597E" w:rsidRPr="001F1644">
              <w:rPr>
                <w:sz w:val="20"/>
              </w:rPr>
              <w:noBreakHyphen/>
              <w:t>30</w:t>
            </w:r>
            <w:r w:rsidR="00BE597E" w:rsidRPr="001F1644">
              <w:rPr>
                <w:sz w:val="20"/>
              </w:rPr>
              <w:noBreakHyphen/>
              <w:t>09449)</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 xml:space="preserve">Appeal dismissed </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August 4, 2021</w:t>
            </w:r>
          </w:p>
          <w:p w:rsidR="00BE597E" w:rsidRPr="001F1644" w:rsidRDefault="00BE597E" w:rsidP="00BE597E">
            <w:pPr>
              <w:jc w:val="both"/>
              <w:rPr>
                <w:sz w:val="20"/>
              </w:rPr>
            </w:pPr>
            <w:r w:rsidRPr="001F1644">
              <w:rPr>
                <w:sz w:val="20"/>
              </w:rPr>
              <w:t>Supreme Court of Canada</w:t>
            </w: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Application for leave to appeal filed</w:t>
            </w:r>
          </w:p>
          <w:p w:rsidR="00BE597E" w:rsidRPr="001F1644" w:rsidRDefault="00BE597E" w:rsidP="00BE597E">
            <w:pPr>
              <w:jc w:val="both"/>
              <w:rPr>
                <w:sz w:val="20"/>
              </w:rPr>
            </w:pPr>
          </w:p>
        </w:tc>
      </w:tr>
    </w:tbl>
    <w:p w:rsidR="00BE597E" w:rsidRPr="001F1644" w:rsidRDefault="00BE597E" w:rsidP="00BE597E">
      <w:pPr>
        <w:jc w:val="both"/>
        <w:rPr>
          <w:sz w:val="20"/>
        </w:rPr>
      </w:pPr>
    </w:p>
    <w:p w:rsidR="007607A2" w:rsidRPr="001F1644" w:rsidRDefault="00724EE4" w:rsidP="00BE597E">
      <w:pPr>
        <w:jc w:val="both"/>
        <w:rPr>
          <w:sz w:val="20"/>
        </w:rPr>
      </w:pPr>
      <w:r>
        <w:rPr>
          <w:sz w:val="20"/>
        </w:rPr>
        <w:pict>
          <v:rect id="_x0000_i1029" style="width:2in;height:1pt" o:hrpct="0" o:hralign="center" o:hrstd="t" o:hrnoshade="t" o:hr="t" fillcolor="black [3213]" stroked="f"/>
        </w:pict>
      </w:r>
    </w:p>
    <w:p w:rsidR="007607A2" w:rsidRPr="001F1644" w:rsidRDefault="007607A2" w:rsidP="00BE59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39799</w:t>
            </w:r>
          </w:p>
        </w:tc>
        <w:tc>
          <w:tcPr>
            <w:tcW w:w="4457" w:type="pct"/>
            <w:gridSpan w:val="3"/>
          </w:tcPr>
          <w:p w:rsidR="00BE597E" w:rsidRPr="001F1644" w:rsidRDefault="00BE597E" w:rsidP="00BE597E">
            <w:pPr>
              <w:pStyle w:val="SCCLsocParty"/>
              <w:jc w:val="both"/>
              <w:rPr>
                <w:b/>
                <w:sz w:val="20"/>
                <w:szCs w:val="20"/>
              </w:rPr>
            </w:pPr>
            <w:r w:rsidRPr="001F1644">
              <w:rPr>
                <w:b/>
                <w:sz w:val="20"/>
                <w:szCs w:val="20"/>
              </w:rPr>
              <w:t>Fédération métisse du Manitoba Inc. c. Brian Pallister, Premier ministre du Manitoba, Cliff Cullen, Ministre des Crown Services, Conseil exécutif pour le gouvernement du Manitoba, Gouvernement du Manitoba, Manitoba Hydro-Electric Board</w:t>
            </w:r>
          </w:p>
          <w:p w:rsidR="00BE597E" w:rsidRPr="001F1644" w:rsidRDefault="00BE597E" w:rsidP="00BE597E">
            <w:pPr>
              <w:jc w:val="both"/>
              <w:rPr>
                <w:sz w:val="20"/>
              </w:rPr>
            </w:pPr>
            <w:r w:rsidRPr="001F1644">
              <w:rPr>
                <w:sz w:val="20"/>
              </w:rPr>
              <w:t>(Man.) (Civile) (Autorisation)</w:t>
            </w:r>
          </w:p>
        </w:tc>
      </w:tr>
      <w:tr w:rsidR="00BE597E" w:rsidRPr="00724EE4" w:rsidTr="00BE597E">
        <w:tc>
          <w:tcPr>
            <w:tcW w:w="5000" w:type="pct"/>
            <w:gridSpan w:val="4"/>
          </w:tcPr>
          <w:p w:rsidR="00BE597E" w:rsidRPr="001F1644" w:rsidRDefault="00BE597E" w:rsidP="00BE597E">
            <w:pPr>
              <w:jc w:val="both"/>
              <w:rPr>
                <w:sz w:val="20"/>
                <w:lang w:val="fr-CA"/>
              </w:rPr>
            </w:pPr>
            <w:r w:rsidRPr="001F1644">
              <w:rPr>
                <w:sz w:val="20"/>
                <w:lang w:val="fr-CA"/>
              </w:rPr>
              <w:t>Droit de la Couronne — Honneur de la Couronne — Droit administratif — Contrôle judiciaire — Conseil exécutif approuvant le décret autorisant la délivrance d’une directive ordonnant à une corporation de la Couronne de ne pas procéder à ce moment</w:t>
            </w:r>
            <w:r w:rsidRPr="001F1644">
              <w:rPr>
                <w:sz w:val="20"/>
                <w:lang w:val="fr-CA"/>
              </w:rPr>
              <w:noBreakHyphen/>
              <w:t>là aux points principaux convenus dans un mémoire avec un groupe autochtone — Groupe autochtone présentant une demande de contrôle judiciaire — Demande rejetée — Appel rejeté — Comment l’honneur de la Couronne s’applique</w:t>
            </w:r>
            <w:r w:rsidRPr="001F1644">
              <w:rPr>
                <w:sz w:val="20"/>
                <w:lang w:val="fr-CA"/>
              </w:rPr>
              <w:noBreakHyphen/>
              <w:t>t</w:t>
            </w:r>
            <w:r w:rsidRPr="001F1644">
              <w:rPr>
                <w:sz w:val="20"/>
                <w:lang w:val="fr-CA"/>
              </w:rPr>
              <w:noBreakHyphen/>
              <w:t>il aux accords de coopération conclus avec les peuples autochtones dans l’accomplissement de l’obligation de consultation pesant sur la Couronne? — L’honneur de la Couronne exige</w:t>
            </w:r>
            <w:r w:rsidRPr="001F1644">
              <w:rPr>
                <w:sz w:val="20"/>
                <w:lang w:val="fr-CA"/>
              </w:rPr>
              <w:noBreakHyphen/>
              <w:t>t</w:t>
            </w:r>
            <w:r w:rsidRPr="001F1644">
              <w:rPr>
                <w:sz w:val="20"/>
                <w:lang w:val="fr-CA"/>
              </w:rPr>
              <w:noBreakHyphen/>
              <w:t>il que l’exécutif consulte les peuples autochtones dans le processus d’adoption d’un texte législatif subordonné qui serait susceptible de nuire aux droits ou aux intérêts potentiels ou établis des Autochtones? — Comment les tribunaux doivent</w:t>
            </w:r>
            <w:r w:rsidRPr="001F1644">
              <w:rPr>
                <w:sz w:val="20"/>
                <w:lang w:val="fr-CA"/>
              </w:rPr>
              <w:noBreakHyphen/>
              <w:t xml:space="preserve">ils mener un contrôle judiciaire dans lequel est contesté le caractère </w:t>
            </w:r>
            <w:r w:rsidRPr="001F1644">
              <w:rPr>
                <w:i/>
                <w:sz w:val="20"/>
                <w:lang w:val="fr-CA"/>
              </w:rPr>
              <w:t>vires</w:t>
            </w:r>
            <w:r w:rsidRPr="001F1644">
              <w:rPr>
                <w:sz w:val="20"/>
                <w:lang w:val="fr-CA"/>
              </w:rPr>
              <w:t xml:space="preserve"> d’un texte législatif subordonné à la lumière de l’arrêt </w:t>
            </w:r>
            <w:r w:rsidRPr="001F1644">
              <w:rPr>
                <w:i/>
                <w:sz w:val="20"/>
                <w:lang w:val="fr-CA"/>
              </w:rPr>
              <w:t>Canada (Ministre de la Citoyenneté et de l’Immigration) c. Vavilov</w:t>
            </w:r>
            <w:r w:rsidRPr="001F1644">
              <w:rPr>
                <w:sz w:val="20"/>
                <w:lang w:val="fr-CA"/>
              </w:rPr>
              <w:t>, 2019 CSC 65?</w:t>
            </w:r>
          </w:p>
        </w:tc>
      </w:tr>
      <w:tr w:rsidR="00BE597E" w:rsidRPr="00724EE4" w:rsidTr="00BE597E">
        <w:tc>
          <w:tcPr>
            <w:tcW w:w="5000" w:type="pct"/>
            <w:gridSpan w:val="4"/>
          </w:tcPr>
          <w:p w:rsidR="00BE597E" w:rsidRPr="001F1644" w:rsidRDefault="00BE597E" w:rsidP="00BE597E">
            <w:pPr>
              <w:jc w:val="both"/>
              <w:rPr>
                <w:sz w:val="20"/>
                <w:lang w:val="fr-CA"/>
              </w:rPr>
            </w:pPr>
          </w:p>
        </w:tc>
      </w:tr>
      <w:tr w:rsidR="00BE597E" w:rsidRPr="001F1644" w:rsidTr="00BE597E">
        <w:tc>
          <w:tcPr>
            <w:tcW w:w="5000" w:type="pct"/>
            <w:gridSpan w:val="4"/>
          </w:tcPr>
          <w:p w:rsidR="00BE597E" w:rsidRPr="001F1644" w:rsidRDefault="00BE597E" w:rsidP="00BE597E">
            <w:pPr>
              <w:jc w:val="both"/>
              <w:rPr>
                <w:sz w:val="20"/>
                <w:lang w:val="fr-CA"/>
              </w:rPr>
            </w:pPr>
            <w:r w:rsidRPr="001F1644">
              <w:rPr>
                <w:sz w:val="20"/>
                <w:lang w:val="fr-CA"/>
              </w:rPr>
              <w:t>En 2014, la demanderesse, la Fédération métisse du Manitoba Inc. (« FMM »), les défenderesses, Manitoba Hydro</w:t>
            </w:r>
            <w:r w:rsidRPr="001F1644">
              <w:rPr>
                <w:sz w:val="20"/>
                <w:lang w:val="fr-CA"/>
              </w:rPr>
              <w:noBreakHyphen/>
              <w:t>Electric Board (« Hydro »), et Sa Majesté la Reine du chef du Manitoba, ont mis en exécution une entente connue sous le nom d’Entente visant à tourner la page (« ETP ») (</w:t>
            </w:r>
            <w:r w:rsidRPr="001F1644">
              <w:rPr>
                <w:i/>
                <w:sz w:val="20"/>
                <w:lang w:val="fr-CA"/>
              </w:rPr>
              <w:t>Turning the Page Agreement</w:t>
            </w:r>
            <w:r w:rsidRPr="001F1644">
              <w:rPr>
                <w:sz w:val="20"/>
                <w:lang w:val="fr-CA"/>
              </w:rPr>
              <w:t>). En 2017, conformément au processus convenu dans l’ETP, la FMM et Hydro ont mis la touche finale à un document de modalités intitulé Points principaux d’accord (</w:t>
            </w:r>
            <w:r w:rsidRPr="001F1644">
              <w:rPr>
                <w:i/>
                <w:sz w:val="20"/>
                <w:lang w:val="fr-CA"/>
              </w:rPr>
              <w:t>Major Agreed Points</w:t>
            </w:r>
            <w:r w:rsidRPr="001F1644">
              <w:rPr>
                <w:sz w:val="20"/>
                <w:lang w:val="fr-CA"/>
              </w:rPr>
              <w:t xml:space="preserve">) (« PPA »), afin de régler les questions liées à certains projets de transmission. Le Conseil d’administration d’Hydro a autorisé Hydro à négocier une entente de coopération avec la FMM, principalement en conformité avec les modalités établies dans l’ETP, mais sous certaines dispositions. En 2018, un décret a été adopté, en conformité avec le par. 13(1) de la </w:t>
            </w:r>
            <w:r w:rsidRPr="001F1644">
              <w:rPr>
                <w:i/>
                <w:sz w:val="20"/>
                <w:lang w:val="fr-CA"/>
              </w:rPr>
              <w:t>Loi sur la gouvernance et l’obligation redditionnelle des corporations de la Couronne</w:t>
            </w:r>
            <w:r w:rsidRPr="001F1644">
              <w:rPr>
                <w:sz w:val="20"/>
                <w:lang w:val="fr-CA"/>
              </w:rPr>
              <w:t>, CPLM c. C336, autorisant la délivrance d’une directive qui ordonnait, entre autres, qu’Hydro, une corporation de la Couronne, ne procède pas à l’ETP à ce moment</w:t>
            </w:r>
            <w:r w:rsidRPr="001F1644">
              <w:rPr>
                <w:sz w:val="20"/>
                <w:lang w:val="fr-CA"/>
              </w:rPr>
              <w:noBreakHyphen/>
              <w:t xml:space="preserve">là. La FMM a présenté une demande de contrôle judiciaire sollicitant une ordonnance de </w:t>
            </w:r>
            <w:r w:rsidRPr="001F1644">
              <w:rPr>
                <w:i/>
                <w:sz w:val="20"/>
                <w:lang w:val="fr-CA"/>
              </w:rPr>
              <w:t xml:space="preserve">certiorari </w:t>
            </w:r>
            <w:r w:rsidRPr="001F1644">
              <w:rPr>
                <w:sz w:val="20"/>
                <w:lang w:val="fr-CA"/>
              </w:rPr>
              <w:t>à l’encontre des défendeurs, le premier ministre, le ministre des Crown Services, le Conseil exécutif et le gouvernement du Manitoba (collectivement, le « Manitoba »), et une déclaration selon laquelle le Manitoba n’avait pas agi conformément à l’honneur de la Couronne lorsqu’il a adopté le décret, la directive, et la décision selon laquelle Hydro ne devait pas procéder à ce moment</w:t>
            </w:r>
            <w:r w:rsidRPr="001F1644">
              <w:rPr>
                <w:sz w:val="20"/>
                <w:lang w:val="fr-CA"/>
              </w:rPr>
              <w:noBreakHyphen/>
              <w:t>là. Le juge de première instance a rejeté la demande. En appel, la Cour d’appel a conclu que le juge de première instance a commis une erreur en décidant que l’honneur de la Couronne ne s’appliquait pas en l’espèce. Toutefois, la Cour d’appel a jugé que, dans les circonstances, le Manitoba a agi de manière raisonnable en ce qui a trait à son obligation d’agir honorablement. Elle a rejeté l’appel.</w:t>
            </w:r>
          </w:p>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16 mars 2020</w:t>
            </w:r>
          </w:p>
          <w:p w:rsidR="00BE597E" w:rsidRPr="001F1644" w:rsidRDefault="00BE597E" w:rsidP="00BE597E">
            <w:pPr>
              <w:jc w:val="both"/>
              <w:rPr>
                <w:sz w:val="20"/>
                <w:lang w:val="fr-CA"/>
              </w:rPr>
            </w:pPr>
            <w:r w:rsidRPr="001F1644">
              <w:rPr>
                <w:sz w:val="20"/>
                <w:lang w:val="fr-CA"/>
              </w:rPr>
              <w:t>Cour du banc de la Reine du Manitoba</w:t>
            </w:r>
          </w:p>
          <w:p w:rsidR="00BE597E" w:rsidRPr="001F1644" w:rsidRDefault="00BE597E" w:rsidP="00BE597E">
            <w:pPr>
              <w:jc w:val="both"/>
              <w:rPr>
                <w:sz w:val="20"/>
                <w:lang w:val="fr-CA"/>
              </w:rPr>
            </w:pPr>
            <w:r w:rsidRPr="001F1644">
              <w:rPr>
                <w:sz w:val="20"/>
                <w:lang w:val="fr-CA"/>
              </w:rPr>
              <w:t>(juge en chef Joyal)</w:t>
            </w:r>
          </w:p>
          <w:p w:rsidR="00BE597E" w:rsidRPr="001F1644" w:rsidRDefault="00724EE4" w:rsidP="00BE597E">
            <w:pPr>
              <w:jc w:val="both"/>
              <w:rPr>
                <w:sz w:val="20"/>
                <w:lang w:val="fr-CA"/>
              </w:rPr>
            </w:pPr>
            <w:hyperlink r:id="rId30" w:history="1">
              <w:r w:rsidR="00BE597E" w:rsidRPr="001F1644">
                <w:rPr>
                  <w:rStyle w:val="Hyperlink"/>
                  <w:sz w:val="20"/>
                  <w:lang w:val="fr-CA"/>
                </w:rPr>
                <w:t>2020 MBQB 49</w:t>
              </w:r>
            </w:hyperlink>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 xml:space="preserve">Rejet de la demande de contrôle judiciaire de la demanderesse </w:t>
            </w:r>
          </w:p>
        </w:tc>
      </w:tr>
      <w:tr w:rsidR="00BE597E" w:rsidRPr="001F1644" w:rsidTr="00BE597E">
        <w:tc>
          <w:tcPr>
            <w:tcW w:w="2427" w:type="pct"/>
            <w:gridSpan w:val="2"/>
          </w:tcPr>
          <w:p w:rsidR="00BE597E" w:rsidRPr="001F1644" w:rsidRDefault="00BE597E" w:rsidP="00BE597E">
            <w:pPr>
              <w:jc w:val="both"/>
              <w:rPr>
                <w:sz w:val="20"/>
                <w:lang w:val="fr-CA"/>
              </w:rPr>
            </w:pPr>
            <w:r w:rsidRPr="001F1644">
              <w:rPr>
                <w:sz w:val="20"/>
                <w:lang w:val="fr-CA"/>
              </w:rPr>
              <w:t>6 mai 2021</w:t>
            </w:r>
          </w:p>
          <w:p w:rsidR="00BE597E" w:rsidRPr="001F1644" w:rsidRDefault="00BE597E" w:rsidP="00BE597E">
            <w:pPr>
              <w:jc w:val="both"/>
              <w:rPr>
                <w:sz w:val="20"/>
                <w:lang w:val="fr-CA"/>
              </w:rPr>
            </w:pPr>
            <w:r w:rsidRPr="001F1644">
              <w:rPr>
                <w:sz w:val="20"/>
                <w:lang w:val="fr-CA"/>
              </w:rPr>
              <w:t>Cour d’appel du Manitoba</w:t>
            </w:r>
          </w:p>
          <w:p w:rsidR="00BE597E" w:rsidRPr="001F1644" w:rsidRDefault="00BE597E" w:rsidP="00BE597E">
            <w:pPr>
              <w:jc w:val="both"/>
              <w:rPr>
                <w:sz w:val="20"/>
                <w:lang w:val="fr-CA"/>
              </w:rPr>
            </w:pPr>
            <w:r w:rsidRPr="001F1644">
              <w:rPr>
                <w:sz w:val="20"/>
                <w:lang w:val="fr-CA"/>
              </w:rPr>
              <w:lastRenderedPageBreak/>
              <w:t>(juge en chef Chartier et juges Cameron et Mainella)</w:t>
            </w:r>
          </w:p>
          <w:p w:rsidR="00BE597E" w:rsidRPr="001F1644" w:rsidRDefault="00724EE4" w:rsidP="00BE597E">
            <w:pPr>
              <w:jc w:val="both"/>
              <w:rPr>
                <w:sz w:val="20"/>
              </w:rPr>
            </w:pPr>
            <w:hyperlink r:id="rId31" w:history="1">
              <w:r w:rsidR="00BE597E" w:rsidRPr="001F1644">
                <w:rPr>
                  <w:rStyle w:val="Hyperlink"/>
                  <w:sz w:val="20"/>
                </w:rPr>
                <w:t>2021 MBCA 47</w:t>
              </w:r>
            </w:hyperlink>
            <w:r w:rsidR="00BE597E" w:rsidRPr="001F1644">
              <w:rPr>
                <w:sz w:val="20"/>
              </w:rPr>
              <w:t xml:space="preserve"> (Dossier : AI20</w:t>
            </w:r>
            <w:r w:rsidR="00BE597E" w:rsidRPr="001F1644">
              <w:rPr>
                <w:sz w:val="20"/>
              </w:rPr>
              <w:noBreakHyphen/>
              <w:t>30</w:t>
            </w:r>
            <w:r w:rsidR="00BE597E" w:rsidRPr="001F1644">
              <w:rPr>
                <w:sz w:val="20"/>
              </w:rPr>
              <w:noBreakHyphen/>
              <w:t>09449)</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Rejet de l’appel</w:t>
            </w:r>
          </w:p>
          <w:p w:rsidR="00BE597E" w:rsidRPr="001F1644" w:rsidRDefault="00BE597E" w:rsidP="00BE597E">
            <w:pPr>
              <w:jc w:val="both"/>
              <w:rPr>
                <w:sz w:val="20"/>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4 août 2021</w:t>
            </w:r>
          </w:p>
          <w:p w:rsidR="00BE597E" w:rsidRPr="001F1644" w:rsidRDefault="00BE597E" w:rsidP="00BE597E">
            <w:pPr>
              <w:jc w:val="both"/>
              <w:rPr>
                <w:sz w:val="20"/>
                <w:lang w:val="fr-CA"/>
              </w:rPr>
            </w:pPr>
            <w:r w:rsidRPr="001F1644">
              <w:rPr>
                <w:sz w:val="20"/>
                <w:lang w:val="fr-CA"/>
              </w:rPr>
              <w:t>Cour suprême du Canada</w:t>
            </w:r>
          </w:p>
        </w:tc>
        <w:tc>
          <w:tcPr>
            <w:tcW w:w="243" w:type="pct"/>
          </w:tcPr>
          <w:p w:rsidR="00BE597E" w:rsidRPr="001F1644" w:rsidRDefault="00BE597E" w:rsidP="00BE597E">
            <w:pPr>
              <w:tabs>
                <w:tab w:val="left" w:pos="417"/>
              </w:tabs>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Dépôt de la demande d’autorisation d’appel</w:t>
            </w:r>
          </w:p>
          <w:p w:rsidR="00BE597E" w:rsidRPr="001F1644" w:rsidRDefault="00BE597E" w:rsidP="00BE597E">
            <w:pPr>
              <w:jc w:val="both"/>
              <w:rPr>
                <w:sz w:val="20"/>
                <w:lang w:val="fr-CA"/>
              </w:rPr>
            </w:pPr>
          </w:p>
        </w:tc>
      </w:tr>
    </w:tbl>
    <w:p w:rsidR="00BE597E" w:rsidRPr="001F1644" w:rsidRDefault="00BE597E" w:rsidP="00BE597E">
      <w:pPr>
        <w:jc w:val="both"/>
        <w:rPr>
          <w:sz w:val="20"/>
          <w:lang w:val="fr-CA"/>
        </w:rPr>
      </w:pPr>
    </w:p>
    <w:p w:rsidR="00BA25C8" w:rsidRPr="001F1644" w:rsidRDefault="00724EE4" w:rsidP="00BE597E">
      <w:pPr>
        <w:widowControl w:val="0"/>
        <w:jc w:val="both"/>
        <w:rPr>
          <w:sz w:val="20"/>
          <w:lang w:val="fr-CA"/>
        </w:rPr>
      </w:pPr>
      <w:r>
        <w:rPr>
          <w:sz w:val="20"/>
        </w:rPr>
        <w:pict>
          <v:rect id="_x0000_i1030" style="width:2in;height:1pt" o:hrpct="0" o:hralign="center" o:hrstd="t" o:hrnoshade="t" o:hr="t" fillcolor="black [3213]" stroked="f"/>
        </w:pict>
      </w:r>
    </w:p>
    <w:p w:rsidR="00BA25C8" w:rsidRPr="001F1644" w:rsidRDefault="00BA25C8"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lang w:val="en-CA"/>
              </w:rPr>
            </w:pPr>
            <w:r w:rsidRPr="001F1644">
              <w:rPr>
                <w:rStyle w:val="SCCFileNumberChar"/>
                <w:sz w:val="20"/>
                <w:szCs w:val="20"/>
              </w:rPr>
              <w:t>39806</w:t>
            </w:r>
          </w:p>
        </w:tc>
        <w:tc>
          <w:tcPr>
            <w:tcW w:w="4457" w:type="pct"/>
            <w:gridSpan w:val="3"/>
          </w:tcPr>
          <w:p w:rsidR="00BE597E" w:rsidRPr="001F1644" w:rsidRDefault="00BE597E" w:rsidP="00BE597E">
            <w:pPr>
              <w:pStyle w:val="SCCLsocParty"/>
              <w:jc w:val="both"/>
              <w:rPr>
                <w:b/>
                <w:sz w:val="20"/>
                <w:szCs w:val="20"/>
                <w:lang w:val="en-CA"/>
              </w:rPr>
            </w:pPr>
            <w:r w:rsidRPr="001F1644">
              <w:rPr>
                <w:b/>
                <w:sz w:val="20"/>
                <w:szCs w:val="20"/>
                <w:lang w:val="en-CA"/>
              </w:rPr>
              <w:t>Charles Friedman, Claire Friedman v. Minister of National Revenue</w:t>
            </w:r>
          </w:p>
          <w:p w:rsidR="00BE597E" w:rsidRPr="001F1644" w:rsidRDefault="00BE597E" w:rsidP="007607A2">
            <w:pPr>
              <w:jc w:val="both"/>
              <w:rPr>
                <w:sz w:val="20"/>
                <w:lang w:val="en-CA"/>
              </w:rPr>
            </w:pPr>
            <w:r w:rsidRPr="001F1644">
              <w:rPr>
                <w:sz w:val="20"/>
                <w:lang w:val="en-CA"/>
              </w:rPr>
              <w:t>(F.C.) (Civil) (By Leave)</w:t>
            </w:r>
          </w:p>
        </w:tc>
      </w:tr>
      <w:tr w:rsidR="00BE597E" w:rsidRPr="001F1644" w:rsidTr="00BE597E">
        <w:tc>
          <w:tcPr>
            <w:tcW w:w="5000" w:type="pct"/>
            <w:gridSpan w:val="4"/>
          </w:tcPr>
          <w:p w:rsidR="00BE597E" w:rsidRPr="001F1644" w:rsidRDefault="00BE597E" w:rsidP="00BE597E">
            <w:pPr>
              <w:jc w:val="both"/>
              <w:rPr>
                <w:sz w:val="20"/>
                <w:lang w:val="en-CA"/>
              </w:rPr>
            </w:pPr>
            <w:proofErr w:type="gramStart"/>
            <w:r w:rsidRPr="001F1644">
              <w:rPr>
                <w:sz w:val="20"/>
                <w:lang w:val="en-CA"/>
              </w:rPr>
              <w:t>Charter — Constitutional law — Charter of Rights — Self</w:t>
            </w:r>
            <w:r w:rsidRPr="001F1644">
              <w:rPr>
                <w:sz w:val="20"/>
                <w:lang w:val="en-CA"/>
              </w:rPr>
              <w:noBreakHyphen/>
              <w:t>incrimination — Taxation — Income tax — Application and enforcement — Request for information — Compliance order — Whether applicants, in taxation context, are justified in seeking constitutional declaration concerning their right against self</w:t>
            </w:r>
            <w:r w:rsidRPr="001F1644">
              <w:rPr>
                <w:sz w:val="20"/>
                <w:lang w:val="en-CA"/>
              </w:rPr>
              <w:noBreakHyphen/>
              <w:t xml:space="preserve">incrimination under s. 13 of </w:t>
            </w:r>
            <w:r w:rsidRPr="001F1644">
              <w:rPr>
                <w:i/>
                <w:sz w:val="20"/>
                <w:lang w:val="en-CA"/>
              </w:rPr>
              <w:t>Charter</w:t>
            </w:r>
            <w:r w:rsidRPr="001F1644">
              <w:rPr>
                <w:sz w:val="20"/>
                <w:lang w:val="en-CA"/>
              </w:rPr>
              <w:t xml:space="preserve"> given that other persons have obtained such declarations in immigration and/or securities context — Whether there is sufficient factual basis for raising constitutional question relating to s. 13 of </w:t>
            </w:r>
            <w:r w:rsidRPr="001F1644">
              <w:rPr>
                <w:i/>
                <w:sz w:val="20"/>
                <w:lang w:val="en-CA"/>
              </w:rPr>
              <w:t>Charter</w:t>
            </w:r>
            <w:r w:rsidRPr="001F1644">
              <w:rPr>
                <w:sz w:val="20"/>
                <w:lang w:val="en-CA"/>
              </w:rPr>
              <w:t xml:space="preserve"> in context of declaratory judgment — Whether applicants can obtain declaratory judgment sought — Whether questionnaires and letters sent by Agency are vague and therefore invalid — </w:t>
            </w:r>
            <w:r w:rsidRPr="001F1644">
              <w:rPr>
                <w:i/>
                <w:sz w:val="20"/>
                <w:lang w:val="en-CA"/>
              </w:rPr>
              <w:t>Canadian Charter of Rights and Freedoms</w:t>
            </w:r>
            <w:r w:rsidRPr="001F1644">
              <w:rPr>
                <w:sz w:val="20"/>
                <w:lang w:val="en-CA"/>
              </w:rPr>
              <w:t>, s. 13 —</w:t>
            </w:r>
            <w:r w:rsidRPr="001F1644">
              <w:rPr>
                <w:i/>
                <w:sz w:val="20"/>
                <w:lang w:val="en-CA"/>
              </w:rPr>
              <w:t xml:space="preserve"> Income Tax Act</w:t>
            </w:r>
            <w:r w:rsidRPr="001F1644">
              <w:rPr>
                <w:sz w:val="20"/>
                <w:lang w:val="en-CA"/>
              </w:rPr>
              <w:t>, R.S.C. 1985, c. 1 (5th Supp.), ss. 231.1 and 231.7.</w:t>
            </w:r>
            <w:proofErr w:type="gramEnd"/>
          </w:p>
        </w:tc>
      </w:tr>
      <w:tr w:rsidR="00BE597E" w:rsidRPr="001F1644" w:rsidTr="00BE597E">
        <w:tc>
          <w:tcPr>
            <w:tcW w:w="5000" w:type="pct"/>
            <w:gridSpan w:val="4"/>
          </w:tcPr>
          <w:p w:rsidR="00BE597E" w:rsidRPr="001F1644" w:rsidRDefault="00BE597E" w:rsidP="00BE597E">
            <w:pPr>
              <w:jc w:val="both"/>
              <w:rPr>
                <w:sz w:val="20"/>
                <w:lang w:val="en-CA"/>
              </w:rPr>
            </w:pPr>
          </w:p>
        </w:tc>
      </w:tr>
      <w:tr w:rsidR="00BE597E" w:rsidRPr="001F1644" w:rsidTr="00BE597E">
        <w:tc>
          <w:tcPr>
            <w:tcW w:w="5000" w:type="pct"/>
            <w:gridSpan w:val="4"/>
          </w:tcPr>
          <w:p w:rsidR="00BE597E" w:rsidRPr="001F1644" w:rsidRDefault="00BE597E" w:rsidP="00BE597E">
            <w:pPr>
              <w:jc w:val="both"/>
              <w:rPr>
                <w:sz w:val="20"/>
                <w:lang w:val="en-CA"/>
              </w:rPr>
            </w:pPr>
            <w:r w:rsidRPr="001F1644">
              <w:rPr>
                <w:sz w:val="20"/>
                <w:lang w:val="en-CA"/>
              </w:rPr>
              <w:t>On February 1, 2018, the Canada Revenue Agency (“CRA”) sent a request for information accompanied by a questionnaire to each of the applicants, Charles Friedman and Claire Friedman, for audit purposes. The applicants refused to provide the required information and filed applications for judicial review seeking to have the requests for information set aside, alleging, among other things, an infringement of their right against self</w:t>
            </w:r>
            <w:r w:rsidRPr="001F1644">
              <w:rPr>
                <w:sz w:val="20"/>
                <w:lang w:val="en-CA"/>
              </w:rPr>
              <w:noBreakHyphen/>
              <w:t xml:space="preserve">incrimination protected by s. 13 of the </w:t>
            </w:r>
            <w:r w:rsidRPr="001F1644">
              <w:rPr>
                <w:i/>
                <w:sz w:val="20"/>
                <w:lang w:val="en-CA"/>
              </w:rPr>
              <w:t>Canadian Charter of Rights and Freedoms</w:t>
            </w:r>
            <w:r w:rsidRPr="001F1644">
              <w:rPr>
                <w:sz w:val="20"/>
                <w:lang w:val="en-CA"/>
              </w:rPr>
              <w:t xml:space="preserve">. They also alleged that the identity of the person </w:t>
            </w:r>
            <w:proofErr w:type="gramStart"/>
            <w:r w:rsidRPr="001F1644">
              <w:rPr>
                <w:sz w:val="20"/>
                <w:lang w:val="en-CA"/>
              </w:rPr>
              <w:t>being audited</w:t>
            </w:r>
            <w:proofErr w:type="gramEnd"/>
            <w:r w:rsidRPr="001F1644">
              <w:rPr>
                <w:sz w:val="20"/>
                <w:lang w:val="en-CA"/>
              </w:rPr>
              <w:t xml:space="preserve"> was not clear. As a result, the court should decline to issue the compliance orders applied for by the Minister of National Revenue under s. 231.7 of the </w:t>
            </w:r>
            <w:r w:rsidRPr="001F1644">
              <w:rPr>
                <w:i/>
                <w:sz w:val="20"/>
                <w:lang w:val="en-CA"/>
              </w:rPr>
              <w:t>Income Tax Act</w:t>
            </w:r>
            <w:r w:rsidRPr="001F1644">
              <w:rPr>
                <w:sz w:val="20"/>
                <w:lang w:val="en-CA"/>
              </w:rPr>
              <w:t xml:space="preserve"> (“ITA”).</w:t>
            </w:r>
          </w:p>
          <w:p w:rsidR="00BE597E" w:rsidRPr="001F1644" w:rsidRDefault="00BE597E" w:rsidP="00BE597E">
            <w:pPr>
              <w:jc w:val="both"/>
              <w:rPr>
                <w:sz w:val="20"/>
                <w:lang w:val="en-CA"/>
              </w:rPr>
            </w:pPr>
          </w:p>
          <w:p w:rsidR="00BE597E" w:rsidRPr="001F1644" w:rsidRDefault="00BE597E" w:rsidP="00BE597E">
            <w:pPr>
              <w:jc w:val="both"/>
              <w:rPr>
                <w:sz w:val="20"/>
                <w:lang w:val="en-CA"/>
              </w:rPr>
            </w:pPr>
            <w:r w:rsidRPr="001F1644">
              <w:rPr>
                <w:sz w:val="20"/>
                <w:lang w:val="en-CA"/>
              </w:rPr>
              <w:t xml:space="preserve">The Federal Court dismissed the applications for judicial review and issued the requested compliance orders. It found that the requests for information </w:t>
            </w:r>
            <w:proofErr w:type="gramStart"/>
            <w:r w:rsidRPr="001F1644">
              <w:rPr>
                <w:sz w:val="20"/>
                <w:lang w:val="en-CA"/>
              </w:rPr>
              <w:t>were clearly addressed</w:t>
            </w:r>
            <w:proofErr w:type="gramEnd"/>
            <w:r w:rsidRPr="001F1644">
              <w:rPr>
                <w:sz w:val="20"/>
                <w:lang w:val="en-CA"/>
              </w:rPr>
              <w:t xml:space="preserve"> to the applicants, that ss. 231.1 and 231.7 of the ITA did not infringe the applicants’ </w:t>
            </w:r>
            <w:r w:rsidRPr="001F1644">
              <w:rPr>
                <w:i/>
                <w:sz w:val="20"/>
                <w:lang w:val="en-CA"/>
              </w:rPr>
              <w:t>Charter</w:t>
            </w:r>
            <w:r w:rsidRPr="001F1644">
              <w:rPr>
                <w:sz w:val="20"/>
                <w:lang w:val="en-CA"/>
              </w:rPr>
              <w:t xml:space="preserve"> rights and that it was not appropriate to issue a declaratory judgment that would circumscribe the use of evidence in possible criminal proceedings. The Federal Court of Appeal dismissed the appeal. In its view, the identity of the persons </w:t>
            </w:r>
            <w:proofErr w:type="gramStart"/>
            <w:r w:rsidRPr="001F1644">
              <w:rPr>
                <w:sz w:val="20"/>
                <w:lang w:val="en-CA"/>
              </w:rPr>
              <w:t>being audited</w:t>
            </w:r>
            <w:proofErr w:type="gramEnd"/>
            <w:r w:rsidRPr="001F1644">
              <w:rPr>
                <w:sz w:val="20"/>
                <w:lang w:val="en-CA"/>
              </w:rPr>
              <w:t xml:space="preserve"> was clear, there was no factual basis upon which it might consider the validity or inoperability of ss. 231.1 and 231.7, and the request for a declaratory judgment was premature.</w:t>
            </w:r>
          </w:p>
          <w:p w:rsidR="00BE597E" w:rsidRPr="001F1644" w:rsidRDefault="00BE597E" w:rsidP="00BE597E">
            <w:pPr>
              <w:jc w:val="both"/>
              <w:rPr>
                <w:sz w:val="20"/>
                <w:lang w:val="en-CA"/>
              </w:rPr>
            </w:pPr>
          </w:p>
        </w:tc>
      </w:tr>
      <w:tr w:rsidR="00BE597E" w:rsidRPr="001F1644" w:rsidTr="00BE597E">
        <w:tc>
          <w:tcPr>
            <w:tcW w:w="2427" w:type="pct"/>
            <w:gridSpan w:val="2"/>
          </w:tcPr>
          <w:p w:rsidR="00BE597E" w:rsidRPr="001F1644" w:rsidRDefault="00BE597E" w:rsidP="00BE597E">
            <w:pPr>
              <w:jc w:val="both"/>
              <w:rPr>
                <w:sz w:val="20"/>
                <w:lang w:val="en-CA"/>
              </w:rPr>
            </w:pPr>
            <w:r w:rsidRPr="001F1644">
              <w:rPr>
                <w:sz w:val="20"/>
                <w:lang w:val="en-CA"/>
              </w:rPr>
              <w:t>December 10, 2019</w:t>
            </w:r>
          </w:p>
          <w:p w:rsidR="00BE597E" w:rsidRPr="001F1644" w:rsidRDefault="00BE597E" w:rsidP="00BE597E">
            <w:pPr>
              <w:jc w:val="both"/>
              <w:rPr>
                <w:sz w:val="20"/>
                <w:lang w:val="en-CA"/>
              </w:rPr>
            </w:pPr>
            <w:r w:rsidRPr="001F1644">
              <w:rPr>
                <w:sz w:val="20"/>
                <w:lang w:val="en-CA"/>
              </w:rPr>
              <w:t>Federal Court</w:t>
            </w:r>
          </w:p>
          <w:p w:rsidR="00BE597E" w:rsidRPr="001F1644" w:rsidRDefault="00BE597E" w:rsidP="00BE597E">
            <w:pPr>
              <w:jc w:val="both"/>
              <w:rPr>
                <w:sz w:val="20"/>
                <w:lang w:val="en-CA"/>
              </w:rPr>
            </w:pPr>
            <w:r w:rsidRPr="001F1644">
              <w:rPr>
                <w:sz w:val="20"/>
                <w:lang w:val="en-CA"/>
              </w:rPr>
              <w:t>(Pamel J.)</w:t>
            </w:r>
          </w:p>
          <w:p w:rsidR="00BE597E" w:rsidRPr="001F1644" w:rsidRDefault="00724EE4" w:rsidP="00BE597E">
            <w:pPr>
              <w:jc w:val="both"/>
              <w:rPr>
                <w:sz w:val="20"/>
                <w:lang w:val="en-CA"/>
              </w:rPr>
            </w:pPr>
            <w:hyperlink r:id="rId32" w:history="1">
              <w:r w:rsidR="00BE597E" w:rsidRPr="001F1644">
                <w:rPr>
                  <w:rStyle w:val="Hyperlink"/>
                  <w:sz w:val="20"/>
                  <w:lang w:val="en-CA"/>
                </w:rPr>
                <w:t>2019 FC 1583</w:t>
              </w:r>
            </w:hyperlink>
          </w:p>
          <w:p w:rsidR="00BE597E" w:rsidRPr="001F1644" w:rsidRDefault="00BE597E" w:rsidP="00BE597E">
            <w:pPr>
              <w:jc w:val="both"/>
              <w:rPr>
                <w:sz w:val="20"/>
                <w:lang w:val="en-CA"/>
              </w:rPr>
            </w:pPr>
          </w:p>
        </w:tc>
        <w:tc>
          <w:tcPr>
            <w:tcW w:w="243" w:type="pct"/>
          </w:tcPr>
          <w:p w:rsidR="00BE597E" w:rsidRPr="001F1644" w:rsidRDefault="00BE597E" w:rsidP="00BE597E">
            <w:pPr>
              <w:jc w:val="both"/>
              <w:rPr>
                <w:sz w:val="20"/>
                <w:lang w:val="en-CA"/>
              </w:rPr>
            </w:pPr>
          </w:p>
        </w:tc>
        <w:tc>
          <w:tcPr>
            <w:tcW w:w="2330" w:type="pct"/>
          </w:tcPr>
          <w:p w:rsidR="00BE597E" w:rsidRPr="001F1644" w:rsidRDefault="00BE597E" w:rsidP="00BE597E">
            <w:pPr>
              <w:jc w:val="both"/>
              <w:rPr>
                <w:sz w:val="20"/>
                <w:lang w:val="en-CA"/>
              </w:rPr>
            </w:pPr>
            <w:r w:rsidRPr="001F1644">
              <w:rPr>
                <w:sz w:val="20"/>
                <w:lang w:val="en-CA"/>
              </w:rPr>
              <w:t>Applications for judicial review dismissed; Minister’s applications for compliance orders allowed</w:t>
            </w:r>
          </w:p>
          <w:p w:rsidR="00BE597E" w:rsidRPr="001F1644" w:rsidRDefault="00BE597E" w:rsidP="00BE597E">
            <w:pPr>
              <w:jc w:val="both"/>
              <w:rPr>
                <w:sz w:val="20"/>
                <w:lang w:val="en-CA"/>
              </w:rPr>
            </w:pPr>
          </w:p>
        </w:tc>
      </w:tr>
      <w:tr w:rsidR="00BE597E" w:rsidRPr="001F1644" w:rsidTr="00BE597E">
        <w:tc>
          <w:tcPr>
            <w:tcW w:w="2427" w:type="pct"/>
            <w:gridSpan w:val="2"/>
          </w:tcPr>
          <w:p w:rsidR="00BE597E" w:rsidRPr="001F1644" w:rsidRDefault="00BE597E" w:rsidP="00BE597E">
            <w:pPr>
              <w:jc w:val="both"/>
              <w:rPr>
                <w:sz w:val="20"/>
                <w:lang w:val="en-CA"/>
              </w:rPr>
            </w:pPr>
            <w:r w:rsidRPr="001F1644">
              <w:rPr>
                <w:sz w:val="20"/>
                <w:lang w:val="en-CA"/>
              </w:rPr>
              <w:t>May 26, 2021</w:t>
            </w:r>
          </w:p>
          <w:p w:rsidR="00BE597E" w:rsidRPr="001F1644" w:rsidRDefault="00BE597E" w:rsidP="00BE597E">
            <w:pPr>
              <w:jc w:val="both"/>
              <w:rPr>
                <w:sz w:val="20"/>
                <w:lang w:val="en-CA"/>
              </w:rPr>
            </w:pPr>
            <w:r w:rsidRPr="001F1644">
              <w:rPr>
                <w:sz w:val="20"/>
                <w:lang w:val="en-CA"/>
              </w:rPr>
              <w:t>Federal Court of Appeal</w:t>
            </w:r>
          </w:p>
          <w:p w:rsidR="00BE597E" w:rsidRPr="001F1644" w:rsidRDefault="00BE597E" w:rsidP="00BE597E">
            <w:pPr>
              <w:jc w:val="both"/>
              <w:rPr>
                <w:sz w:val="20"/>
                <w:lang w:val="en-CA"/>
              </w:rPr>
            </w:pPr>
            <w:r w:rsidRPr="001F1644">
              <w:rPr>
                <w:sz w:val="20"/>
                <w:lang w:val="en-CA"/>
              </w:rPr>
              <w:t>(Nadon, Pelletier and Locke JJ.A.)</w:t>
            </w:r>
          </w:p>
          <w:p w:rsidR="00BE597E" w:rsidRPr="001F1644" w:rsidRDefault="00724EE4" w:rsidP="00BE597E">
            <w:pPr>
              <w:jc w:val="both"/>
              <w:rPr>
                <w:sz w:val="20"/>
                <w:lang w:val="en-CA"/>
              </w:rPr>
            </w:pPr>
            <w:hyperlink r:id="rId33" w:history="1">
              <w:r w:rsidR="00BE597E" w:rsidRPr="001F1644">
                <w:rPr>
                  <w:rStyle w:val="Hyperlink"/>
                  <w:sz w:val="20"/>
                  <w:lang w:val="en-CA"/>
                </w:rPr>
                <w:t>2021 FCA 101</w:t>
              </w:r>
            </w:hyperlink>
            <w:r w:rsidR="00BE597E" w:rsidRPr="001F1644">
              <w:rPr>
                <w:sz w:val="20"/>
                <w:lang w:val="en-CA"/>
              </w:rPr>
              <w:t xml:space="preserve"> (A</w:t>
            </w:r>
            <w:r w:rsidR="00BE597E" w:rsidRPr="001F1644">
              <w:rPr>
                <w:sz w:val="20"/>
                <w:lang w:val="en-CA"/>
              </w:rPr>
              <w:noBreakHyphen/>
              <w:t>12</w:t>
            </w:r>
            <w:r w:rsidR="00BE597E" w:rsidRPr="001F1644">
              <w:rPr>
                <w:sz w:val="20"/>
                <w:lang w:val="en-CA"/>
              </w:rPr>
              <w:noBreakHyphen/>
              <w:t>20)</w:t>
            </w:r>
          </w:p>
          <w:p w:rsidR="00BE597E" w:rsidRPr="001F1644" w:rsidRDefault="00BE597E" w:rsidP="00BE597E">
            <w:pPr>
              <w:jc w:val="both"/>
              <w:rPr>
                <w:sz w:val="20"/>
                <w:lang w:val="en-CA"/>
              </w:rPr>
            </w:pPr>
          </w:p>
        </w:tc>
        <w:tc>
          <w:tcPr>
            <w:tcW w:w="243" w:type="pct"/>
          </w:tcPr>
          <w:p w:rsidR="00BE597E" w:rsidRPr="001F1644" w:rsidRDefault="00BE597E" w:rsidP="00BE597E">
            <w:pPr>
              <w:jc w:val="both"/>
              <w:rPr>
                <w:sz w:val="20"/>
                <w:lang w:val="en-CA"/>
              </w:rPr>
            </w:pPr>
          </w:p>
        </w:tc>
        <w:tc>
          <w:tcPr>
            <w:tcW w:w="2330" w:type="pct"/>
          </w:tcPr>
          <w:p w:rsidR="00BE597E" w:rsidRPr="001F1644" w:rsidRDefault="00BE597E" w:rsidP="00BE597E">
            <w:pPr>
              <w:jc w:val="both"/>
              <w:rPr>
                <w:sz w:val="20"/>
                <w:lang w:val="en-CA"/>
              </w:rPr>
            </w:pPr>
            <w:r w:rsidRPr="001F1644">
              <w:rPr>
                <w:sz w:val="20"/>
                <w:lang w:val="en-CA"/>
              </w:rPr>
              <w:t>Appeal dismissed</w:t>
            </w:r>
          </w:p>
          <w:p w:rsidR="00BE597E" w:rsidRPr="001F1644" w:rsidRDefault="00BE597E" w:rsidP="00BE597E">
            <w:pPr>
              <w:jc w:val="both"/>
              <w:rPr>
                <w:sz w:val="20"/>
                <w:lang w:val="en-CA"/>
              </w:rPr>
            </w:pPr>
          </w:p>
        </w:tc>
      </w:tr>
      <w:tr w:rsidR="00BE597E" w:rsidRPr="001F1644" w:rsidTr="00BE597E">
        <w:tc>
          <w:tcPr>
            <w:tcW w:w="2427" w:type="pct"/>
            <w:gridSpan w:val="2"/>
          </w:tcPr>
          <w:p w:rsidR="00BE597E" w:rsidRPr="001F1644" w:rsidRDefault="00BE597E" w:rsidP="00BE597E">
            <w:pPr>
              <w:jc w:val="both"/>
              <w:rPr>
                <w:sz w:val="20"/>
                <w:lang w:val="en-CA"/>
              </w:rPr>
            </w:pPr>
            <w:r w:rsidRPr="001F1644">
              <w:rPr>
                <w:sz w:val="20"/>
                <w:lang w:val="en-CA"/>
              </w:rPr>
              <w:t>August 25, 2021</w:t>
            </w:r>
          </w:p>
          <w:p w:rsidR="00BE597E" w:rsidRPr="001F1644" w:rsidRDefault="00BE597E" w:rsidP="00BE597E">
            <w:pPr>
              <w:jc w:val="both"/>
              <w:rPr>
                <w:sz w:val="20"/>
                <w:lang w:val="en-CA"/>
              </w:rPr>
            </w:pPr>
            <w:r w:rsidRPr="001F1644">
              <w:rPr>
                <w:sz w:val="20"/>
                <w:lang w:val="en-CA"/>
              </w:rPr>
              <w:t>Supreme Court of Canada</w:t>
            </w:r>
          </w:p>
        </w:tc>
        <w:tc>
          <w:tcPr>
            <w:tcW w:w="243" w:type="pct"/>
          </w:tcPr>
          <w:p w:rsidR="00BE597E" w:rsidRPr="001F1644" w:rsidRDefault="00BE597E" w:rsidP="00BE597E">
            <w:pPr>
              <w:jc w:val="both"/>
              <w:rPr>
                <w:sz w:val="20"/>
                <w:lang w:val="en-CA"/>
              </w:rPr>
            </w:pPr>
          </w:p>
        </w:tc>
        <w:tc>
          <w:tcPr>
            <w:tcW w:w="2330" w:type="pct"/>
          </w:tcPr>
          <w:p w:rsidR="00BE597E" w:rsidRPr="001F1644" w:rsidRDefault="00BE597E" w:rsidP="00BE597E">
            <w:pPr>
              <w:jc w:val="both"/>
              <w:rPr>
                <w:sz w:val="20"/>
                <w:lang w:val="en-CA"/>
              </w:rPr>
            </w:pPr>
            <w:r w:rsidRPr="001F1644">
              <w:rPr>
                <w:sz w:val="20"/>
                <w:lang w:val="en-CA"/>
              </w:rPr>
              <w:t>Application for leave to appeal filed</w:t>
            </w:r>
          </w:p>
          <w:p w:rsidR="00BE597E" w:rsidRPr="001F1644" w:rsidRDefault="00BE597E" w:rsidP="00BE597E">
            <w:pPr>
              <w:jc w:val="both"/>
              <w:rPr>
                <w:sz w:val="20"/>
                <w:lang w:val="en-CA"/>
              </w:rPr>
            </w:pPr>
          </w:p>
        </w:tc>
      </w:tr>
    </w:tbl>
    <w:p w:rsidR="00BE597E" w:rsidRPr="001F1644" w:rsidRDefault="00BE597E" w:rsidP="00BE597E">
      <w:pPr>
        <w:jc w:val="both"/>
        <w:rPr>
          <w:sz w:val="20"/>
          <w:lang w:val="en-CA"/>
        </w:rPr>
      </w:pPr>
    </w:p>
    <w:p w:rsidR="007607A2" w:rsidRPr="001F1644" w:rsidRDefault="00724EE4" w:rsidP="00BE597E">
      <w:pPr>
        <w:jc w:val="both"/>
        <w:rPr>
          <w:sz w:val="20"/>
          <w:lang w:val="en-CA"/>
        </w:rPr>
      </w:pPr>
      <w:r>
        <w:rPr>
          <w:sz w:val="20"/>
        </w:rPr>
        <w:pict>
          <v:rect id="_x0000_i1031" style="width:2in;height:1pt" o:hrpct="0" o:hralign="center" o:hrstd="t" o:hrnoshade="t" o:hr="t" fillcolor="black [3213]" stroked="f"/>
        </w:pict>
      </w:r>
    </w:p>
    <w:p w:rsidR="007607A2" w:rsidRPr="001F1644" w:rsidRDefault="007607A2" w:rsidP="00BE597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39806</w:t>
            </w:r>
          </w:p>
        </w:tc>
        <w:tc>
          <w:tcPr>
            <w:tcW w:w="4457" w:type="pct"/>
            <w:gridSpan w:val="3"/>
          </w:tcPr>
          <w:p w:rsidR="00BE597E" w:rsidRPr="001F1644" w:rsidRDefault="00BE597E" w:rsidP="00BE597E">
            <w:pPr>
              <w:pStyle w:val="SCCLsocParty"/>
              <w:jc w:val="both"/>
              <w:rPr>
                <w:b/>
                <w:sz w:val="20"/>
                <w:szCs w:val="20"/>
              </w:rPr>
            </w:pPr>
            <w:r w:rsidRPr="001F1644">
              <w:rPr>
                <w:b/>
                <w:sz w:val="20"/>
                <w:szCs w:val="20"/>
              </w:rPr>
              <w:t>Charles Friedman, Claire Friedman c. Ministre du Revenu national</w:t>
            </w:r>
          </w:p>
          <w:p w:rsidR="00BE597E" w:rsidRPr="001F1644" w:rsidRDefault="00BE597E" w:rsidP="007607A2">
            <w:pPr>
              <w:jc w:val="both"/>
              <w:rPr>
                <w:sz w:val="20"/>
                <w:lang w:val="fr-CA"/>
              </w:rPr>
            </w:pPr>
            <w:r w:rsidRPr="001F1644">
              <w:rPr>
                <w:sz w:val="20"/>
                <w:lang w:val="fr-CA"/>
              </w:rPr>
              <w:t>(C</w:t>
            </w:r>
            <w:r w:rsidR="007607A2" w:rsidRPr="001F1644">
              <w:rPr>
                <w:sz w:val="20"/>
                <w:lang w:val="fr-CA"/>
              </w:rPr>
              <w:t>.</w:t>
            </w:r>
            <w:r w:rsidRPr="001F1644">
              <w:rPr>
                <w:sz w:val="20"/>
                <w:lang w:val="fr-CA"/>
              </w:rPr>
              <w:t>F</w:t>
            </w:r>
            <w:r w:rsidR="007607A2" w:rsidRPr="001F1644">
              <w:rPr>
                <w:sz w:val="20"/>
                <w:lang w:val="fr-CA"/>
              </w:rPr>
              <w:t>.</w:t>
            </w:r>
            <w:r w:rsidRPr="001F1644">
              <w:rPr>
                <w:sz w:val="20"/>
                <w:lang w:val="fr-CA"/>
              </w:rPr>
              <w:t>) (Civile) (Autorisation)</w:t>
            </w:r>
          </w:p>
        </w:tc>
      </w:tr>
      <w:tr w:rsidR="00BE597E" w:rsidRPr="00724EE4" w:rsidTr="00BE597E">
        <w:tc>
          <w:tcPr>
            <w:tcW w:w="5000" w:type="pct"/>
            <w:gridSpan w:val="4"/>
          </w:tcPr>
          <w:p w:rsidR="00BE597E" w:rsidRPr="001F1644" w:rsidRDefault="00BE597E" w:rsidP="00BE597E">
            <w:pPr>
              <w:jc w:val="both"/>
              <w:rPr>
                <w:sz w:val="20"/>
                <w:lang w:val="fr-CA"/>
              </w:rPr>
            </w:pPr>
            <w:r w:rsidRPr="001F1644">
              <w:rPr>
                <w:sz w:val="20"/>
                <w:lang w:val="fr-CA"/>
              </w:rPr>
              <w:t>Charte — Droit constitutionnel — Charte des droits — Auto-incrimination — Droit fiscal — Impôt sur le revenu — Application et exécution — Demande de renseignements — Ordonnance de production — Les demandeurs, en matière fiscale, sont</w:t>
            </w:r>
            <w:r w:rsidRPr="001F1644">
              <w:rPr>
                <w:sz w:val="20"/>
                <w:lang w:val="fr-CA"/>
              </w:rPr>
              <w:noBreakHyphen/>
              <w:t>ils justifiés de demander une déclaration constitutionnelle sur leur droit à ne pas s’auto</w:t>
            </w:r>
            <w:r w:rsidRPr="001F1644">
              <w:rPr>
                <w:sz w:val="20"/>
                <w:lang w:val="fr-CA"/>
              </w:rPr>
              <w:noBreakHyphen/>
              <w:t xml:space="preserve">incriminer en vertu de l’art. 13 de la </w:t>
            </w:r>
            <w:r w:rsidRPr="001F1644">
              <w:rPr>
                <w:i/>
                <w:sz w:val="20"/>
                <w:lang w:val="fr-CA"/>
              </w:rPr>
              <w:t>Charte</w:t>
            </w:r>
            <w:r w:rsidRPr="001F1644">
              <w:rPr>
                <w:sz w:val="20"/>
                <w:lang w:val="fr-CA"/>
              </w:rPr>
              <w:t xml:space="preserve">, dans le contexte où d’autres personnes ont bénéficié de telles </w:t>
            </w:r>
            <w:r w:rsidRPr="001F1644">
              <w:rPr>
                <w:sz w:val="20"/>
                <w:lang w:val="fr-CA"/>
              </w:rPr>
              <w:lastRenderedPageBreak/>
              <w:t>déclarations en matière d’immigration et/ou de valeurs mobilières? — Y a</w:t>
            </w:r>
            <w:r w:rsidRPr="001F1644">
              <w:rPr>
                <w:sz w:val="20"/>
                <w:lang w:val="fr-CA"/>
              </w:rPr>
              <w:noBreakHyphen/>
              <w:t>t</w:t>
            </w:r>
            <w:r w:rsidRPr="001F1644">
              <w:rPr>
                <w:sz w:val="20"/>
                <w:lang w:val="fr-CA"/>
              </w:rPr>
              <w:noBreakHyphen/>
              <w:t xml:space="preserve">il un fondement factuel suffisant pour soulever la question constitutionnelle relativement à l’art. 13 de la </w:t>
            </w:r>
            <w:r w:rsidRPr="001F1644">
              <w:rPr>
                <w:i/>
                <w:sz w:val="20"/>
                <w:lang w:val="fr-CA"/>
              </w:rPr>
              <w:t>Charte</w:t>
            </w:r>
            <w:r w:rsidRPr="001F1644">
              <w:rPr>
                <w:sz w:val="20"/>
                <w:lang w:val="fr-CA"/>
              </w:rPr>
              <w:t xml:space="preserve"> dans le cadre d’un jugement déclaratoire? — Les demandeurs peuvent</w:t>
            </w:r>
            <w:r w:rsidRPr="001F1644">
              <w:rPr>
                <w:sz w:val="20"/>
                <w:lang w:val="fr-CA"/>
              </w:rPr>
              <w:noBreakHyphen/>
              <w:t>ils obtenir le jugement déclaratoire demandé? — Les questionnaires et les lettres transmis par l’Agence souffrent</w:t>
            </w:r>
            <w:r w:rsidRPr="001F1644">
              <w:rPr>
                <w:sz w:val="20"/>
                <w:lang w:val="fr-CA"/>
              </w:rPr>
              <w:noBreakHyphen/>
              <w:t xml:space="preserve">ils d’imprécisions les rendant invalides? — </w:t>
            </w:r>
            <w:r w:rsidRPr="001F1644">
              <w:rPr>
                <w:i/>
                <w:sz w:val="20"/>
                <w:lang w:val="fr-CA"/>
              </w:rPr>
              <w:t>Charte canadienne des droits et libertés</w:t>
            </w:r>
            <w:r w:rsidRPr="001F1644">
              <w:rPr>
                <w:sz w:val="20"/>
                <w:lang w:val="fr-CA"/>
              </w:rPr>
              <w:t>, art. 13 —</w:t>
            </w:r>
            <w:r w:rsidRPr="001F1644">
              <w:rPr>
                <w:i/>
                <w:sz w:val="20"/>
                <w:lang w:val="fr-CA"/>
              </w:rPr>
              <w:t xml:space="preserve"> Loi de l’impôt sur le revenu</w:t>
            </w:r>
            <w:r w:rsidRPr="001F1644">
              <w:rPr>
                <w:sz w:val="20"/>
                <w:lang w:val="fr-CA"/>
              </w:rPr>
              <w:t>, L.R.C. 1985, c. 1 (5</w:t>
            </w:r>
            <w:r w:rsidRPr="001F1644">
              <w:rPr>
                <w:sz w:val="20"/>
                <w:vertAlign w:val="superscript"/>
                <w:lang w:val="fr-CA"/>
              </w:rPr>
              <w:t>e </w:t>
            </w:r>
            <w:r w:rsidRPr="001F1644">
              <w:rPr>
                <w:sz w:val="20"/>
                <w:lang w:val="fr-CA"/>
              </w:rPr>
              <w:t>suppl.), art. 231.1 et 231.7.</w:t>
            </w:r>
          </w:p>
        </w:tc>
      </w:tr>
      <w:tr w:rsidR="00BE597E" w:rsidRPr="00724EE4" w:rsidTr="00BE597E">
        <w:tc>
          <w:tcPr>
            <w:tcW w:w="5000" w:type="pct"/>
            <w:gridSpan w:val="4"/>
          </w:tcPr>
          <w:p w:rsidR="00BE597E" w:rsidRPr="001F1644" w:rsidRDefault="00BE597E" w:rsidP="00BE597E">
            <w:pPr>
              <w:jc w:val="both"/>
              <w:rPr>
                <w:sz w:val="20"/>
                <w:lang w:val="fr-CA"/>
              </w:rPr>
            </w:pPr>
          </w:p>
        </w:tc>
      </w:tr>
      <w:tr w:rsidR="00BE597E" w:rsidRPr="00724EE4" w:rsidTr="00BE597E">
        <w:tc>
          <w:tcPr>
            <w:tcW w:w="5000" w:type="pct"/>
            <w:gridSpan w:val="4"/>
          </w:tcPr>
          <w:p w:rsidR="00BE597E" w:rsidRPr="001F1644" w:rsidRDefault="00BE597E" w:rsidP="00BE597E">
            <w:pPr>
              <w:jc w:val="both"/>
              <w:rPr>
                <w:sz w:val="20"/>
                <w:lang w:val="fr-CA"/>
              </w:rPr>
            </w:pPr>
            <w:r w:rsidRPr="001F1644">
              <w:rPr>
                <w:sz w:val="20"/>
                <w:lang w:val="fr-CA"/>
              </w:rPr>
              <w:t>Le 1</w:t>
            </w:r>
            <w:r w:rsidRPr="001F1644">
              <w:rPr>
                <w:sz w:val="20"/>
                <w:vertAlign w:val="superscript"/>
                <w:lang w:val="fr-CA"/>
              </w:rPr>
              <w:t>er</w:t>
            </w:r>
            <w:r w:rsidRPr="001F1644">
              <w:rPr>
                <w:sz w:val="20"/>
                <w:lang w:val="fr-CA"/>
              </w:rPr>
              <w:t xml:space="preserve"> février 2018, l’Agence du revenu du Canada (« ARC ») transmet une demande de renseignements accompagnée d’un questionnaire à chacun des demandeurs, Charles Friedman et Claire Friedman, pour des fins de vérification. Les demandeurs refusent de fournir les renseignements exigés et déposent des demandes de contrôle judiciaire visant à faire annuler les demandes de renseignements, alléguant notamment une violation à leur droit de ne pas témoigner contre eux</w:t>
            </w:r>
            <w:r w:rsidRPr="001F1644">
              <w:rPr>
                <w:sz w:val="20"/>
                <w:lang w:val="fr-CA"/>
              </w:rPr>
              <w:noBreakHyphen/>
              <w:t xml:space="preserve">mêmes protégé par l’art. 13 de la </w:t>
            </w:r>
            <w:r w:rsidRPr="001F1644">
              <w:rPr>
                <w:i/>
                <w:sz w:val="20"/>
                <w:lang w:val="fr-CA"/>
              </w:rPr>
              <w:t>Charte canadienne des droits et libertés</w:t>
            </w:r>
            <w:r w:rsidRPr="001F1644">
              <w:rPr>
                <w:sz w:val="20"/>
                <w:lang w:val="fr-CA"/>
              </w:rPr>
              <w:t xml:space="preserve">. Ils allèguent également que l’identité de la personne faisant l’objet de la vérification n’est pas claire. La cour devrait donc refuser de délivrer les ordonnances de production demandées par le ministre du Revenu national au titre de l’art. 231.7 de la </w:t>
            </w:r>
            <w:r w:rsidRPr="001F1644">
              <w:rPr>
                <w:i/>
                <w:sz w:val="20"/>
                <w:lang w:val="fr-CA"/>
              </w:rPr>
              <w:t>Loi de l’impôt sur le revenu</w:t>
            </w:r>
            <w:r w:rsidRPr="001F1644">
              <w:rPr>
                <w:sz w:val="20"/>
                <w:lang w:val="fr-CA"/>
              </w:rPr>
              <w:t xml:space="preserve"> (« LIR »).</w:t>
            </w:r>
          </w:p>
          <w:p w:rsidR="00BE597E" w:rsidRPr="001F1644" w:rsidRDefault="00BE597E" w:rsidP="00BE597E">
            <w:pPr>
              <w:jc w:val="both"/>
              <w:rPr>
                <w:sz w:val="20"/>
                <w:lang w:val="fr-CA"/>
              </w:rPr>
            </w:pPr>
          </w:p>
          <w:p w:rsidR="00BE597E" w:rsidRPr="001F1644" w:rsidRDefault="00BE597E" w:rsidP="00BE597E">
            <w:pPr>
              <w:jc w:val="both"/>
              <w:rPr>
                <w:sz w:val="20"/>
                <w:lang w:val="fr-CA"/>
              </w:rPr>
            </w:pPr>
            <w:r w:rsidRPr="001F1644">
              <w:rPr>
                <w:sz w:val="20"/>
                <w:lang w:val="fr-CA"/>
              </w:rPr>
              <w:t xml:space="preserve">La Cour fédérale rejette les demandes de contrôle judiciaire et rend les ordonnances de production demandées. Elle conclut que les demandes de renseignements s’adressent clairement aux demandeurs, que </w:t>
            </w:r>
            <w:proofErr w:type="gramStart"/>
            <w:r w:rsidRPr="001F1644">
              <w:rPr>
                <w:sz w:val="20"/>
                <w:lang w:val="fr-CA"/>
              </w:rPr>
              <w:t>les art</w:t>
            </w:r>
            <w:proofErr w:type="gramEnd"/>
            <w:r w:rsidRPr="001F1644">
              <w:rPr>
                <w:sz w:val="20"/>
                <w:lang w:val="fr-CA"/>
              </w:rPr>
              <w:t xml:space="preserve">. 231.1 et 231.7 de la LIR ne portent pas atteinte aux droits des demandeurs qui sont garantis par la </w:t>
            </w:r>
            <w:r w:rsidRPr="001F1644">
              <w:rPr>
                <w:i/>
                <w:sz w:val="20"/>
                <w:lang w:val="fr-CA"/>
              </w:rPr>
              <w:t>Charte</w:t>
            </w:r>
            <w:r w:rsidRPr="001F1644">
              <w:rPr>
                <w:sz w:val="20"/>
                <w:lang w:val="fr-CA"/>
              </w:rPr>
              <w:t xml:space="preserve">, et qu’il n’est pas approprié de rendre un jugement déclaratoire limitant l’utilisation de la preuve dans d’éventuelles procédures criminelles. La Cour d’appel fédérale rejette l’appel. Elle est d’avis que l’identité des personnes faisant l’objet de la vérification était évidente, qu’il n’y a aucun fondement factuel sur lequel se pencher pour examiner la validité ou l’inapplicabilité </w:t>
            </w:r>
            <w:proofErr w:type="gramStart"/>
            <w:r w:rsidRPr="001F1644">
              <w:rPr>
                <w:sz w:val="20"/>
                <w:lang w:val="fr-CA"/>
              </w:rPr>
              <w:t>des art</w:t>
            </w:r>
            <w:proofErr w:type="gramEnd"/>
            <w:r w:rsidRPr="001F1644">
              <w:rPr>
                <w:sz w:val="20"/>
                <w:lang w:val="fr-CA"/>
              </w:rPr>
              <w:t>. 231.1 et 231.7 et que la demande de jugement déclaratoire est prématurée.</w:t>
            </w:r>
          </w:p>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Le 10 décembre 2019</w:t>
            </w:r>
          </w:p>
          <w:p w:rsidR="00BE597E" w:rsidRPr="001F1644" w:rsidRDefault="00BE597E" w:rsidP="00BE597E">
            <w:pPr>
              <w:jc w:val="both"/>
              <w:rPr>
                <w:sz w:val="20"/>
                <w:lang w:val="fr-CA"/>
              </w:rPr>
            </w:pPr>
            <w:r w:rsidRPr="001F1644">
              <w:rPr>
                <w:sz w:val="20"/>
                <w:lang w:val="fr-CA"/>
              </w:rPr>
              <w:t>Cour fédérale</w:t>
            </w:r>
          </w:p>
          <w:p w:rsidR="00BE597E" w:rsidRPr="001F1644" w:rsidRDefault="00BE597E" w:rsidP="00BE597E">
            <w:pPr>
              <w:jc w:val="both"/>
              <w:rPr>
                <w:sz w:val="20"/>
                <w:lang w:val="fr-CA"/>
              </w:rPr>
            </w:pPr>
            <w:r w:rsidRPr="001F1644">
              <w:rPr>
                <w:sz w:val="20"/>
                <w:lang w:val="fr-CA"/>
              </w:rPr>
              <w:t>(Le juge Pamel)</w:t>
            </w:r>
          </w:p>
          <w:p w:rsidR="00BE597E" w:rsidRPr="001F1644" w:rsidRDefault="00724EE4" w:rsidP="00BE597E">
            <w:pPr>
              <w:jc w:val="both"/>
              <w:rPr>
                <w:sz w:val="20"/>
              </w:rPr>
            </w:pPr>
            <w:hyperlink r:id="rId34" w:history="1">
              <w:r w:rsidR="00BE597E" w:rsidRPr="001F1644">
                <w:rPr>
                  <w:rStyle w:val="Hyperlink"/>
                  <w:sz w:val="20"/>
                </w:rPr>
                <w:t>2019 CF 1583</w:t>
              </w:r>
            </w:hyperlink>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lang w:val="fr-CA"/>
              </w:rPr>
            </w:pPr>
            <w:r w:rsidRPr="001F1644">
              <w:rPr>
                <w:sz w:val="20"/>
                <w:lang w:val="fr-CA"/>
              </w:rPr>
              <w:t>Demandes de contrôle judiciaire rejetées; demandes d’ordonnance de production du ministre accueillies</w:t>
            </w:r>
          </w:p>
          <w:p w:rsidR="00BE597E" w:rsidRPr="001F1644" w:rsidRDefault="00BE597E" w:rsidP="00BE597E">
            <w:pPr>
              <w:jc w:val="both"/>
              <w:rPr>
                <w:sz w:val="20"/>
                <w:lang w:val="fr-CA"/>
              </w:rPr>
            </w:pPr>
          </w:p>
        </w:tc>
      </w:tr>
      <w:tr w:rsidR="00BE597E" w:rsidRPr="001F1644" w:rsidTr="00BE597E">
        <w:tc>
          <w:tcPr>
            <w:tcW w:w="2427" w:type="pct"/>
            <w:gridSpan w:val="2"/>
          </w:tcPr>
          <w:p w:rsidR="00BE597E" w:rsidRPr="001F1644" w:rsidRDefault="00BE597E" w:rsidP="00BE597E">
            <w:pPr>
              <w:jc w:val="both"/>
              <w:rPr>
                <w:sz w:val="20"/>
                <w:lang w:val="fr-CA"/>
              </w:rPr>
            </w:pPr>
            <w:r w:rsidRPr="001F1644">
              <w:rPr>
                <w:sz w:val="20"/>
                <w:lang w:val="fr-CA"/>
              </w:rPr>
              <w:t>Le 26 mai 2021</w:t>
            </w:r>
          </w:p>
          <w:p w:rsidR="00BE597E" w:rsidRPr="001F1644" w:rsidRDefault="00BE597E" w:rsidP="00BE597E">
            <w:pPr>
              <w:jc w:val="both"/>
              <w:rPr>
                <w:sz w:val="20"/>
                <w:lang w:val="fr-CA"/>
              </w:rPr>
            </w:pPr>
            <w:r w:rsidRPr="001F1644">
              <w:rPr>
                <w:sz w:val="20"/>
                <w:lang w:val="fr-CA"/>
              </w:rPr>
              <w:t>Cour d’appel fédérale</w:t>
            </w:r>
          </w:p>
          <w:p w:rsidR="00BE597E" w:rsidRPr="001F1644" w:rsidRDefault="00BE597E" w:rsidP="00BE597E">
            <w:pPr>
              <w:jc w:val="both"/>
              <w:rPr>
                <w:sz w:val="20"/>
                <w:lang w:val="fr-CA"/>
              </w:rPr>
            </w:pPr>
            <w:r w:rsidRPr="001F1644">
              <w:rPr>
                <w:sz w:val="20"/>
                <w:lang w:val="fr-CA"/>
              </w:rPr>
              <w:t>(Les juges Nadon, Pelletier et Locke)</w:t>
            </w:r>
          </w:p>
          <w:p w:rsidR="00BE597E" w:rsidRPr="001F1644" w:rsidRDefault="00724EE4" w:rsidP="00BE597E">
            <w:pPr>
              <w:jc w:val="both"/>
              <w:rPr>
                <w:sz w:val="20"/>
              </w:rPr>
            </w:pPr>
            <w:hyperlink r:id="rId35" w:history="1">
              <w:r w:rsidR="00BE597E" w:rsidRPr="001F1644">
                <w:rPr>
                  <w:rStyle w:val="Hyperlink"/>
                  <w:sz w:val="20"/>
                </w:rPr>
                <w:t>2021 CAF 101</w:t>
              </w:r>
            </w:hyperlink>
            <w:r w:rsidR="00BE597E" w:rsidRPr="001F1644">
              <w:rPr>
                <w:sz w:val="20"/>
              </w:rPr>
              <w:t xml:space="preserve"> (A</w:t>
            </w:r>
            <w:r w:rsidR="00BE597E" w:rsidRPr="001F1644">
              <w:rPr>
                <w:sz w:val="20"/>
              </w:rPr>
              <w:noBreakHyphen/>
              <w:t>12</w:t>
            </w:r>
            <w:r w:rsidR="00BE597E" w:rsidRPr="001F1644">
              <w:rPr>
                <w:sz w:val="20"/>
              </w:rPr>
              <w:noBreakHyphen/>
              <w:t>20)</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Appel rejeté</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lang w:val="fr-CA"/>
              </w:rPr>
            </w:pPr>
            <w:r w:rsidRPr="001F1644">
              <w:rPr>
                <w:sz w:val="20"/>
                <w:lang w:val="fr-CA"/>
              </w:rPr>
              <w:t>Le 25 août 2021</w:t>
            </w:r>
          </w:p>
          <w:p w:rsidR="00BE597E" w:rsidRPr="001F1644" w:rsidRDefault="00BE597E" w:rsidP="00BE597E">
            <w:pPr>
              <w:jc w:val="both"/>
              <w:rPr>
                <w:sz w:val="20"/>
                <w:lang w:val="fr-CA"/>
              </w:rPr>
            </w:pPr>
            <w:r w:rsidRPr="001F1644">
              <w:rPr>
                <w:sz w:val="20"/>
                <w:lang w:val="fr-CA"/>
              </w:rPr>
              <w:t>Cour suprême du Canada</w:t>
            </w: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rPr>
            </w:pPr>
            <w:r w:rsidRPr="001F1644">
              <w:rPr>
                <w:sz w:val="20"/>
              </w:rPr>
              <w:t>Demande d’autorisation d’appel déposée</w:t>
            </w:r>
          </w:p>
          <w:p w:rsidR="00BE597E" w:rsidRPr="001F1644" w:rsidRDefault="00BE597E" w:rsidP="00BE597E">
            <w:pPr>
              <w:jc w:val="both"/>
              <w:rPr>
                <w:sz w:val="20"/>
              </w:rPr>
            </w:pPr>
          </w:p>
        </w:tc>
      </w:tr>
    </w:tbl>
    <w:p w:rsidR="00BE597E" w:rsidRPr="001F1644" w:rsidRDefault="00BE597E" w:rsidP="00BE597E">
      <w:pPr>
        <w:jc w:val="both"/>
        <w:rPr>
          <w:sz w:val="20"/>
        </w:rPr>
      </w:pPr>
    </w:p>
    <w:p w:rsidR="00BE597E" w:rsidRPr="001F1644" w:rsidRDefault="00724EE4" w:rsidP="00BE597E">
      <w:pPr>
        <w:widowControl w:val="0"/>
        <w:jc w:val="both"/>
        <w:rPr>
          <w:sz w:val="20"/>
          <w:lang w:val="fr-CA"/>
        </w:rPr>
      </w:pPr>
      <w:r>
        <w:rPr>
          <w:sz w:val="20"/>
        </w:rPr>
        <w:pict>
          <v:rect id="_x0000_i1032" style="width:2in;height:1pt" o:hrpct="0" o:hralign="center" o:hrstd="t" o:hrnoshade="t" o:hr="t" fillcolor="black [3213]" stroked="f"/>
        </w:pict>
      </w:r>
    </w:p>
    <w:p w:rsidR="00BE597E" w:rsidRPr="001F1644" w:rsidRDefault="00BE597E"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39832</w:t>
            </w:r>
          </w:p>
        </w:tc>
        <w:tc>
          <w:tcPr>
            <w:tcW w:w="4457" w:type="pct"/>
            <w:gridSpan w:val="3"/>
          </w:tcPr>
          <w:p w:rsidR="00BE597E" w:rsidRPr="001F1644" w:rsidRDefault="00BE597E" w:rsidP="00BE597E">
            <w:pPr>
              <w:pStyle w:val="SCCLsocParty"/>
              <w:jc w:val="both"/>
              <w:rPr>
                <w:b/>
                <w:sz w:val="20"/>
                <w:szCs w:val="20"/>
                <w:lang w:val="en-US"/>
              </w:rPr>
            </w:pPr>
            <w:r w:rsidRPr="001F1644">
              <w:rPr>
                <w:b/>
                <w:sz w:val="20"/>
                <w:szCs w:val="20"/>
                <w:lang w:val="en-US"/>
              </w:rPr>
              <w:t>Joseph D. Yue v. Bank of Montreal</w:t>
            </w:r>
          </w:p>
          <w:p w:rsidR="00BE597E" w:rsidRPr="001F1644" w:rsidRDefault="00BE597E" w:rsidP="00BE597E">
            <w:pPr>
              <w:jc w:val="both"/>
              <w:rPr>
                <w:sz w:val="20"/>
              </w:rPr>
            </w:pPr>
            <w:r w:rsidRPr="001F1644">
              <w:rPr>
                <w:sz w:val="20"/>
              </w:rPr>
              <w:t>(F</w:t>
            </w:r>
            <w:r w:rsidR="007607A2" w:rsidRPr="001F1644">
              <w:rPr>
                <w:sz w:val="20"/>
              </w:rPr>
              <w:t>.</w:t>
            </w:r>
            <w:r w:rsidRPr="001F1644">
              <w:rPr>
                <w:sz w:val="20"/>
              </w:rPr>
              <w:t>C</w:t>
            </w:r>
            <w:r w:rsidR="007607A2" w:rsidRPr="001F1644">
              <w:rPr>
                <w:sz w:val="20"/>
              </w:rPr>
              <w:t>.</w:t>
            </w:r>
            <w:r w:rsidRPr="001F1644">
              <w:rPr>
                <w:sz w:val="20"/>
              </w:rPr>
              <w:t>) (Civil) (By Leave)</w:t>
            </w:r>
          </w:p>
        </w:tc>
      </w:tr>
      <w:tr w:rsidR="00BE597E" w:rsidRPr="001F1644" w:rsidTr="00BE597E">
        <w:tc>
          <w:tcPr>
            <w:tcW w:w="5000" w:type="pct"/>
            <w:gridSpan w:val="4"/>
          </w:tcPr>
          <w:p w:rsidR="00BE597E" w:rsidRPr="001F1644" w:rsidRDefault="00BE597E" w:rsidP="00BE597E">
            <w:pPr>
              <w:jc w:val="both"/>
              <w:rPr>
                <w:sz w:val="20"/>
              </w:rPr>
            </w:pPr>
            <w:r w:rsidRPr="001F1644">
              <w:rPr>
                <w:sz w:val="20"/>
              </w:rPr>
              <w:t xml:space="preserve">Administrative law — Judicial review — Whether Mr. Yue’s rights under </w:t>
            </w:r>
            <w:r w:rsidRPr="001F1644">
              <w:rPr>
                <w:i/>
                <w:sz w:val="20"/>
              </w:rPr>
              <w:t>Constitution Act, 1982</w:t>
            </w:r>
            <w:r w:rsidRPr="001F1644">
              <w:rPr>
                <w:sz w:val="20"/>
              </w:rPr>
              <w:t xml:space="preserve">, s. 24(1) were violated — Whether Mr. Yue’s rights under </w:t>
            </w:r>
            <w:r w:rsidRPr="001F1644">
              <w:rPr>
                <w:i/>
                <w:sz w:val="20"/>
              </w:rPr>
              <w:t>Constitution Act, 1982</w:t>
            </w:r>
            <w:r w:rsidRPr="001F1644">
              <w:rPr>
                <w:sz w:val="20"/>
              </w:rPr>
              <w:t>, s. 52(1), were violated — Whether it would be appropriate to quash the lower court decisions.</w:t>
            </w:r>
          </w:p>
        </w:tc>
      </w:tr>
      <w:tr w:rsidR="00BE597E" w:rsidRPr="001F1644" w:rsidTr="00BE597E">
        <w:tc>
          <w:tcPr>
            <w:tcW w:w="5000" w:type="pct"/>
            <w:gridSpan w:val="4"/>
          </w:tcPr>
          <w:p w:rsidR="00BE597E" w:rsidRPr="001F1644" w:rsidRDefault="00BE597E" w:rsidP="00BE597E">
            <w:pPr>
              <w:jc w:val="both"/>
              <w:rPr>
                <w:sz w:val="20"/>
              </w:rPr>
            </w:pPr>
          </w:p>
        </w:tc>
      </w:tr>
      <w:tr w:rsidR="00BE597E" w:rsidRPr="001F1644" w:rsidTr="00BE597E">
        <w:tc>
          <w:tcPr>
            <w:tcW w:w="5000" w:type="pct"/>
            <w:gridSpan w:val="4"/>
          </w:tcPr>
          <w:p w:rsidR="00BE597E" w:rsidRPr="001F1644" w:rsidRDefault="00BE597E" w:rsidP="00BE597E">
            <w:pPr>
              <w:jc w:val="both"/>
              <w:rPr>
                <w:sz w:val="20"/>
              </w:rPr>
            </w:pPr>
            <w:r w:rsidRPr="001F1644">
              <w:rPr>
                <w:sz w:val="20"/>
              </w:rPr>
              <w:t xml:space="preserve">In February 2012, Mr. Yue asked to work from Barrie, where he lived, five days each week to accommodate health issues. Shortly thereafter, he was involved in a car accident, and shortly after that, his request for accommodation was denied and a gradual return to work was suggested. His application for short term disability was also denied. He was advised that he had 30 days to file an appeal. He says that he was unable to comply with that timeline. Mr. Yue informed BMO that he was taking a medical leave of absence, and it advised him that doing so would be considered an unauthorized unpaid leave, effective April 2, 2012. Mr. Yue never returned to work and, in 2015, he resigned. He then filed complaints against BMO under s. 240 of the </w:t>
            </w:r>
            <w:r w:rsidRPr="001F1644">
              <w:rPr>
                <w:i/>
                <w:sz w:val="20"/>
              </w:rPr>
              <w:t>Canada Labour Code</w:t>
            </w:r>
            <w:r w:rsidRPr="001F1644">
              <w:rPr>
                <w:sz w:val="20"/>
              </w:rPr>
              <w:t>, R.S.C. 1985, c. L</w:t>
            </w:r>
            <w:r w:rsidRPr="001F1644">
              <w:rPr>
                <w:sz w:val="20"/>
              </w:rPr>
              <w:noBreakHyphen/>
              <w:t xml:space="preserve">2 (“CLC”), and the </w:t>
            </w:r>
            <w:r w:rsidRPr="001F1644">
              <w:rPr>
                <w:i/>
                <w:sz w:val="20"/>
              </w:rPr>
              <w:t>Canadian Human Rights Act</w:t>
            </w:r>
            <w:r w:rsidRPr="001F1644">
              <w:rPr>
                <w:sz w:val="20"/>
              </w:rPr>
              <w:t>, R.S.C. 1985, c. H</w:t>
            </w:r>
            <w:r w:rsidRPr="001F1644">
              <w:rPr>
                <w:sz w:val="20"/>
              </w:rPr>
              <w:noBreakHyphen/>
              <w:t>6. Under the CLC, he alleged unjust dismissal. That complaint was dismissed on the grounds that the medical documentation did not support the requested accommodation and that, even if it did, he had not acted reasonably in addressing the offer of a gradual return to work. Judicial review of that decision was dismissed, and Mr. Yue’s further appeal was dismissed: 2016 FCA 107.</w:t>
            </w:r>
          </w:p>
          <w:p w:rsidR="00BE597E" w:rsidRPr="001F1644" w:rsidRDefault="00BE597E" w:rsidP="00BE597E">
            <w:pPr>
              <w:jc w:val="both"/>
              <w:rPr>
                <w:sz w:val="20"/>
              </w:rPr>
            </w:pPr>
          </w:p>
          <w:p w:rsidR="00BE597E" w:rsidRPr="001F1644" w:rsidRDefault="00BE597E" w:rsidP="00BE597E">
            <w:pPr>
              <w:jc w:val="both"/>
              <w:rPr>
                <w:sz w:val="20"/>
              </w:rPr>
            </w:pPr>
            <w:r w:rsidRPr="001F1644">
              <w:rPr>
                <w:sz w:val="20"/>
              </w:rPr>
              <w:t>In May 2016, Mr. Yue reactivated the complaint with the Canadian Human Rights Commission, which had been put on hold pending a decision on the CLC matter. He alleged discrimination on the basis of age and disability. The Commission advised that, as the same matters had been dealt with in the CLC proceedings, the complaint could be deemed vexatious and invited submissions on that issue. It also received a report from a Human Rights Officer and invited responses to that report from the parties. Having heard from the parties, it adopted the Officer’s recommendations in their entirety and declined to deal with the complaint on the grounds that it was vexatious.</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lastRenderedPageBreak/>
              <w:t>April 1, 2020</w:t>
            </w:r>
          </w:p>
          <w:p w:rsidR="00BE597E" w:rsidRPr="001F1644" w:rsidRDefault="00BE597E" w:rsidP="00BE597E">
            <w:pPr>
              <w:jc w:val="both"/>
              <w:rPr>
                <w:sz w:val="20"/>
              </w:rPr>
            </w:pPr>
            <w:r w:rsidRPr="001F1644">
              <w:rPr>
                <w:sz w:val="20"/>
              </w:rPr>
              <w:t>Federal Court</w:t>
            </w:r>
          </w:p>
          <w:p w:rsidR="00BE597E" w:rsidRPr="001F1644" w:rsidRDefault="00BE597E" w:rsidP="00BE597E">
            <w:pPr>
              <w:jc w:val="both"/>
              <w:rPr>
                <w:sz w:val="20"/>
              </w:rPr>
            </w:pPr>
            <w:r w:rsidRPr="001F1644">
              <w:rPr>
                <w:sz w:val="20"/>
              </w:rPr>
              <w:t>(Diner J.)</w:t>
            </w:r>
          </w:p>
          <w:p w:rsidR="00BE597E" w:rsidRPr="001F1644" w:rsidRDefault="00724EE4" w:rsidP="00BE597E">
            <w:pPr>
              <w:jc w:val="both"/>
              <w:rPr>
                <w:sz w:val="20"/>
              </w:rPr>
            </w:pPr>
            <w:hyperlink r:id="rId36" w:history="1">
              <w:r w:rsidR="00BE597E" w:rsidRPr="001F1644">
                <w:rPr>
                  <w:rStyle w:val="Hyperlink"/>
                  <w:sz w:val="20"/>
                </w:rPr>
                <w:t>2020 FC 468</w:t>
              </w:r>
            </w:hyperlink>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Application for judicial review dismissed</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June 3, 2021</w:t>
            </w:r>
          </w:p>
          <w:p w:rsidR="00BE597E" w:rsidRPr="001F1644" w:rsidRDefault="00BE597E" w:rsidP="00BE597E">
            <w:pPr>
              <w:jc w:val="both"/>
              <w:rPr>
                <w:sz w:val="20"/>
              </w:rPr>
            </w:pPr>
            <w:r w:rsidRPr="001F1644">
              <w:rPr>
                <w:sz w:val="20"/>
              </w:rPr>
              <w:t>Federal Court of Appeal</w:t>
            </w:r>
          </w:p>
          <w:p w:rsidR="00BE597E" w:rsidRPr="001F1644" w:rsidRDefault="00BE597E" w:rsidP="00BE597E">
            <w:pPr>
              <w:jc w:val="both"/>
              <w:rPr>
                <w:sz w:val="20"/>
              </w:rPr>
            </w:pPr>
            <w:r w:rsidRPr="001F1644">
              <w:rPr>
                <w:sz w:val="20"/>
              </w:rPr>
              <w:t>(Rennie, Mactavish, LeBlanc JJ.A.)</w:t>
            </w:r>
          </w:p>
          <w:p w:rsidR="00BE597E" w:rsidRPr="001F1644" w:rsidRDefault="00724EE4" w:rsidP="00BE597E">
            <w:pPr>
              <w:jc w:val="both"/>
              <w:rPr>
                <w:sz w:val="20"/>
              </w:rPr>
            </w:pPr>
            <w:hyperlink r:id="rId37" w:history="1">
              <w:r w:rsidR="00BE597E" w:rsidRPr="001F1644">
                <w:rPr>
                  <w:rStyle w:val="Hyperlink"/>
                  <w:sz w:val="20"/>
                </w:rPr>
                <w:t>2021 FCA 107</w:t>
              </w:r>
            </w:hyperlink>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Appeal dismissed</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June 22, 2021</w:t>
            </w:r>
          </w:p>
          <w:p w:rsidR="00BE597E" w:rsidRPr="001F1644" w:rsidRDefault="00BE597E" w:rsidP="00BE597E">
            <w:pPr>
              <w:jc w:val="both"/>
              <w:rPr>
                <w:sz w:val="20"/>
              </w:rPr>
            </w:pPr>
            <w:r w:rsidRPr="001F1644">
              <w:rPr>
                <w:sz w:val="20"/>
              </w:rPr>
              <w:t>Supreme Court of Canada</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Application for leave to appeal filed</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July 29, 2021</w:t>
            </w:r>
          </w:p>
          <w:p w:rsidR="00BE597E" w:rsidRPr="001F1644" w:rsidRDefault="00BE597E" w:rsidP="00BE597E">
            <w:pPr>
              <w:jc w:val="both"/>
              <w:rPr>
                <w:sz w:val="20"/>
              </w:rPr>
            </w:pPr>
            <w:r w:rsidRPr="001F1644">
              <w:rPr>
                <w:sz w:val="20"/>
              </w:rPr>
              <w:t>Federal Court of Appeal</w:t>
            </w:r>
          </w:p>
          <w:p w:rsidR="00BE597E" w:rsidRPr="001F1644" w:rsidRDefault="00BE597E" w:rsidP="00BE597E">
            <w:pPr>
              <w:jc w:val="both"/>
              <w:rPr>
                <w:sz w:val="20"/>
              </w:rPr>
            </w:pPr>
            <w:r w:rsidRPr="001F1644">
              <w:rPr>
                <w:sz w:val="20"/>
              </w:rPr>
              <w:t>(Stratas J.A.)</w:t>
            </w: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Motion for leave to appeal to the Supreme Court of Canada dismissed</w:t>
            </w:r>
          </w:p>
        </w:tc>
      </w:tr>
    </w:tbl>
    <w:p w:rsidR="00BE597E" w:rsidRPr="001F1644" w:rsidRDefault="00BE597E" w:rsidP="00BE597E">
      <w:pPr>
        <w:jc w:val="both"/>
        <w:rPr>
          <w:sz w:val="20"/>
        </w:rPr>
      </w:pPr>
    </w:p>
    <w:p w:rsidR="007607A2" w:rsidRPr="001F1644" w:rsidRDefault="00724EE4" w:rsidP="00BE597E">
      <w:pPr>
        <w:jc w:val="both"/>
        <w:rPr>
          <w:sz w:val="20"/>
        </w:rPr>
      </w:pPr>
      <w:r>
        <w:rPr>
          <w:sz w:val="20"/>
        </w:rPr>
        <w:pict>
          <v:rect id="_x0000_i1033" style="width:2in;height:1pt" o:hrpct="0" o:hralign="center" o:hrstd="t" o:hrnoshade="t" o:hr="t" fillcolor="black [3213]" stroked="f"/>
        </w:pict>
      </w:r>
    </w:p>
    <w:p w:rsidR="007607A2" w:rsidRPr="001F1644" w:rsidRDefault="007607A2" w:rsidP="00BE597E">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6"/>
        <w:gridCol w:w="3493"/>
        <w:gridCol w:w="451"/>
        <w:gridCol w:w="4410"/>
      </w:tblGrid>
      <w:tr w:rsidR="00BE597E" w:rsidRPr="001F1644" w:rsidTr="00BE597E">
        <w:tc>
          <w:tcPr>
            <w:tcW w:w="537" w:type="pct"/>
          </w:tcPr>
          <w:p w:rsidR="00BE597E" w:rsidRPr="001F1644" w:rsidRDefault="00BE597E" w:rsidP="00BE597E">
            <w:pPr>
              <w:jc w:val="both"/>
              <w:rPr>
                <w:sz w:val="20"/>
              </w:rPr>
            </w:pPr>
            <w:r w:rsidRPr="001F1644">
              <w:rPr>
                <w:rStyle w:val="SCCFileNumberChar"/>
                <w:sz w:val="20"/>
                <w:szCs w:val="20"/>
              </w:rPr>
              <w:t>39832</w:t>
            </w:r>
          </w:p>
        </w:tc>
        <w:tc>
          <w:tcPr>
            <w:tcW w:w="4463" w:type="pct"/>
            <w:gridSpan w:val="3"/>
          </w:tcPr>
          <w:p w:rsidR="00BE597E" w:rsidRPr="001F1644" w:rsidRDefault="00BE597E" w:rsidP="00BE597E">
            <w:pPr>
              <w:pStyle w:val="SCCLsocParty"/>
              <w:jc w:val="both"/>
              <w:rPr>
                <w:b/>
                <w:sz w:val="20"/>
                <w:szCs w:val="20"/>
              </w:rPr>
            </w:pPr>
            <w:r w:rsidRPr="001F1644">
              <w:rPr>
                <w:b/>
                <w:sz w:val="20"/>
                <w:szCs w:val="20"/>
              </w:rPr>
              <w:t>Joseph D. Yue c. Banque de Montréal</w:t>
            </w:r>
          </w:p>
          <w:p w:rsidR="00BE597E" w:rsidRPr="001F1644" w:rsidRDefault="00BE597E" w:rsidP="00BE597E">
            <w:pPr>
              <w:jc w:val="both"/>
              <w:rPr>
                <w:sz w:val="20"/>
                <w:lang w:val="fr-CA"/>
              </w:rPr>
            </w:pPr>
            <w:r w:rsidRPr="001F1644">
              <w:rPr>
                <w:sz w:val="20"/>
                <w:lang w:val="fr-CA"/>
              </w:rPr>
              <w:t>(C</w:t>
            </w:r>
            <w:r w:rsidR="007607A2" w:rsidRPr="001F1644">
              <w:rPr>
                <w:sz w:val="20"/>
                <w:lang w:val="fr-CA"/>
              </w:rPr>
              <w:t>.</w:t>
            </w:r>
            <w:r w:rsidRPr="001F1644">
              <w:rPr>
                <w:sz w:val="20"/>
                <w:lang w:val="fr-CA"/>
              </w:rPr>
              <w:t>F</w:t>
            </w:r>
            <w:r w:rsidR="007607A2" w:rsidRPr="001F1644">
              <w:rPr>
                <w:sz w:val="20"/>
                <w:lang w:val="fr-CA"/>
              </w:rPr>
              <w:t>.</w:t>
            </w:r>
            <w:r w:rsidRPr="001F1644">
              <w:rPr>
                <w:sz w:val="20"/>
                <w:lang w:val="fr-CA"/>
              </w:rPr>
              <w:t>) (Civile) (Autorisation)</w:t>
            </w:r>
          </w:p>
        </w:tc>
      </w:tr>
      <w:tr w:rsidR="00BE597E" w:rsidRPr="00724EE4" w:rsidTr="00BE597E">
        <w:tc>
          <w:tcPr>
            <w:tcW w:w="5000" w:type="pct"/>
            <w:gridSpan w:val="4"/>
          </w:tcPr>
          <w:p w:rsidR="00BE597E" w:rsidRPr="001F1644" w:rsidRDefault="00BE597E" w:rsidP="00BE597E">
            <w:pPr>
              <w:jc w:val="both"/>
              <w:rPr>
                <w:sz w:val="20"/>
                <w:lang w:val="fr-CA"/>
              </w:rPr>
            </w:pPr>
            <w:r w:rsidRPr="001F1644">
              <w:rPr>
                <w:sz w:val="20"/>
                <w:lang w:val="fr-CA"/>
              </w:rPr>
              <w:t xml:space="preserve">Droit administratif — Contrôle judiciaire — Les droits de M. Yue garantis par le par. 24(1) de la </w:t>
            </w:r>
            <w:r w:rsidRPr="001F1644">
              <w:rPr>
                <w:i/>
                <w:sz w:val="20"/>
                <w:lang w:val="fr-CA"/>
              </w:rPr>
              <w:t>Loi constitutionnelle de 1982</w:t>
            </w:r>
            <w:r w:rsidRPr="001F1644">
              <w:rPr>
                <w:sz w:val="20"/>
                <w:lang w:val="fr-CA"/>
              </w:rPr>
              <w:t xml:space="preserve"> ont</w:t>
            </w:r>
            <w:r w:rsidRPr="001F1644">
              <w:rPr>
                <w:sz w:val="20"/>
                <w:lang w:val="fr-CA"/>
              </w:rPr>
              <w:noBreakHyphen/>
              <w:t xml:space="preserve">ils été violés? — Les droits de M. Yue garantis par le par. 52(1) de la </w:t>
            </w:r>
            <w:r w:rsidRPr="001F1644">
              <w:rPr>
                <w:i/>
                <w:sz w:val="20"/>
                <w:lang w:val="fr-CA"/>
              </w:rPr>
              <w:t>Loi constitutionnelle de 1982</w:t>
            </w:r>
            <w:r w:rsidRPr="001F1644">
              <w:rPr>
                <w:sz w:val="20"/>
                <w:lang w:val="fr-CA"/>
              </w:rPr>
              <w:t xml:space="preserve"> ont</w:t>
            </w:r>
            <w:r w:rsidRPr="001F1644">
              <w:rPr>
                <w:sz w:val="20"/>
                <w:lang w:val="fr-CA"/>
              </w:rPr>
              <w:noBreakHyphen/>
              <w:t>ils été violés? — Serait</w:t>
            </w:r>
            <w:r w:rsidRPr="001F1644">
              <w:rPr>
                <w:sz w:val="20"/>
                <w:lang w:val="fr-CA"/>
              </w:rPr>
              <w:noBreakHyphen/>
              <w:t>il approprié d’annuler les décisions de la juridiction inférieure?</w:t>
            </w:r>
          </w:p>
        </w:tc>
      </w:tr>
      <w:tr w:rsidR="00BE597E" w:rsidRPr="00724EE4" w:rsidTr="00BE597E">
        <w:tc>
          <w:tcPr>
            <w:tcW w:w="5000" w:type="pct"/>
            <w:gridSpan w:val="4"/>
          </w:tcPr>
          <w:p w:rsidR="00BE597E" w:rsidRPr="001F1644" w:rsidRDefault="00BE597E" w:rsidP="00BE597E">
            <w:pPr>
              <w:jc w:val="both"/>
              <w:rPr>
                <w:sz w:val="20"/>
                <w:lang w:val="fr-CA"/>
              </w:rPr>
            </w:pPr>
          </w:p>
        </w:tc>
      </w:tr>
      <w:tr w:rsidR="00BE597E" w:rsidRPr="00724EE4" w:rsidTr="00BE597E">
        <w:tc>
          <w:tcPr>
            <w:tcW w:w="5000" w:type="pct"/>
            <w:gridSpan w:val="4"/>
          </w:tcPr>
          <w:p w:rsidR="00BE597E" w:rsidRPr="001F1644" w:rsidRDefault="00BE597E" w:rsidP="007607A2">
            <w:pPr>
              <w:pStyle w:val="paragnum"/>
              <w:spacing w:before="0" w:beforeAutospacing="0" w:after="0" w:afterAutospacing="0"/>
              <w:jc w:val="both"/>
              <w:rPr>
                <w:sz w:val="20"/>
                <w:szCs w:val="20"/>
                <w:lang w:val="fr-CA"/>
              </w:rPr>
            </w:pPr>
            <w:r w:rsidRPr="001F1644">
              <w:rPr>
                <w:sz w:val="20"/>
                <w:szCs w:val="20"/>
                <w:lang w:val="fr-CA"/>
              </w:rPr>
              <w:t xml:space="preserve">En février 2012, M. Yue a demandé à travailler de Barrie, où nous il habitait, cinq jours par semaine, en guise de mesure d’adaptation en raison de ses problèmes de santé. Peu de temps après, il a été victime d’un accident de la route et peu après cela, sa demande de mesures d’adaptation a été refusée et un plan de retour au travail progressif a été proposé. Sa demande d’invalidité de courte durée a aussi été refusée. Il a été informé qu’il avait 30 jours pour déposer un appel. Il déclare ne pas avoir été en mesure de respecter ce délai. M. Yue a informé la BMO qu’il prenait un congé de maladie et cette dernière a répondu qu’elle considérerait que M. Yue était en congé sans solde non autorisé à compter du 2 avril 2012. M. Yue n’est jamais retourné au travail et a démissionné en 2015. Il a alors déposé des plaintes contre la BMO, en vertu de l’art. 240 du </w:t>
            </w:r>
            <w:r w:rsidRPr="001F1644">
              <w:rPr>
                <w:i/>
                <w:sz w:val="20"/>
                <w:szCs w:val="20"/>
                <w:lang w:val="fr-CA"/>
              </w:rPr>
              <w:t>Code canadien du travail</w:t>
            </w:r>
            <w:r w:rsidRPr="001F1644">
              <w:rPr>
                <w:sz w:val="20"/>
                <w:szCs w:val="20"/>
                <w:lang w:val="fr-CA"/>
              </w:rPr>
              <w:t>, L.R.C. 1985, c. L</w:t>
            </w:r>
            <w:r w:rsidRPr="001F1644">
              <w:rPr>
                <w:sz w:val="20"/>
                <w:szCs w:val="20"/>
                <w:lang w:val="fr-CA"/>
              </w:rPr>
              <w:noBreakHyphen/>
              <w:t xml:space="preserve">2 (« CCT ») et de la </w:t>
            </w:r>
            <w:r w:rsidRPr="001F1644">
              <w:rPr>
                <w:i/>
                <w:sz w:val="20"/>
                <w:szCs w:val="20"/>
                <w:lang w:val="fr-CA"/>
              </w:rPr>
              <w:t>Loi canadienne sur les droits de la personne</w:t>
            </w:r>
            <w:r w:rsidRPr="001F1644">
              <w:rPr>
                <w:sz w:val="20"/>
                <w:szCs w:val="20"/>
                <w:lang w:val="fr-CA"/>
              </w:rPr>
              <w:t>, L.R.C. 1985, c. H</w:t>
            </w:r>
            <w:r w:rsidRPr="001F1644">
              <w:rPr>
                <w:sz w:val="20"/>
                <w:szCs w:val="20"/>
                <w:lang w:val="fr-CA"/>
              </w:rPr>
              <w:noBreakHyphen/>
              <w:t>6. Au titre du CCT, il invoquait un congédiement injuste. Cette plainte a été rejetée au motif que la documentation médicale ne justifiait pas la prise des mesures d’adaptation demandées et même si tel avait été le cas, il n’a pas répondu de façon raisonnable à l’offre qui lui a été faite d’un retour progressif. Le contrôle judiciaire de cette décision a été rejeté, et l’appel de M. Yue à cet éga</w:t>
            </w:r>
            <w:r w:rsidR="007607A2" w:rsidRPr="001F1644">
              <w:rPr>
                <w:sz w:val="20"/>
                <w:szCs w:val="20"/>
                <w:lang w:val="fr-CA"/>
              </w:rPr>
              <w:t>rd a été rejeté : 2016 CAF 107.</w:t>
            </w:r>
          </w:p>
          <w:p w:rsidR="00BE597E" w:rsidRPr="001F1644" w:rsidRDefault="00BE597E" w:rsidP="00BE597E">
            <w:pPr>
              <w:jc w:val="both"/>
              <w:rPr>
                <w:sz w:val="20"/>
                <w:lang w:val="fr-CA"/>
              </w:rPr>
            </w:pPr>
          </w:p>
          <w:p w:rsidR="00BE597E" w:rsidRPr="001F1644" w:rsidRDefault="00BE597E" w:rsidP="00BE597E">
            <w:pPr>
              <w:jc w:val="both"/>
              <w:rPr>
                <w:sz w:val="20"/>
                <w:lang w:val="fr-CA"/>
              </w:rPr>
            </w:pPr>
            <w:r w:rsidRPr="001F1644">
              <w:rPr>
                <w:sz w:val="20"/>
                <w:lang w:val="fr-CA"/>
              </w:rPr>
              <w:t xml:space="preserve">En mai 2016, M. Yue a réactivé sa plainte auprès de la Commission canadienne des droits de la personne, laquelle avait été suspendue dans l’attente d’une décision au sujet de l’affaire fondée sur le CCT. Il alléguait avoir été victime de discrimination en raison de son âge et de sa déficience. La Commission a avisé que, comme il se pouvait que les mêmes questions aient déjà été traitées dans le cadre du processus fondé sur le CCT, la plainte pouvait être jugée </w:t>
            </w:r>
            <w:r w:rsidRPr="001F1644">
              <w:rPr>
                <w:rStyle w:val="citationcar"/>
                <w:rFonts w:eastAsiaTheme="minorHAnsi"/>
                <w:sz w:val="20"/>
                <w:lang w:val="fr-CA"/>
              </w:rPr>
              <w:t>vexatoire,</w:t>
            </w:r>
            <w:r w:rsidRPr="001F1644">
              <w:rPr>
                <w:sz w:val="20"/>
                <w:lang w:val="fr-CA"/>
              </w:rPr>
              <w:t xml:space="preserve"> et elle a invité les parties à présenter des observations à cet égard. Elle a aussi reçu un rapport d’une enquêteuse des droits de la personne et a invité les parties à répondre à ce rapport. Après avoir reçu les réponses des parties, elle a adopté intégralement les recommandations de l’enquêteuse et a décidé de ne pas instruire la plainte, au motif qu’elle était vexatoire.</w:t>
            </w:r>
          </w:p>
          <w:p w:rsidR="00BE597E" w:rsidRPr="001F1644" w:rsidRDefault="00BE597E" w:rsidP="00BE597E">
            <w:pPr>
              <w:jc w:val="both"/>
              <w:rPr>
                <w:sz w:val="20"/>
                <w:lang w:val="fr-CA"/>
              </w:rPr>
            </w:pPr>
          </w:p>
        </w:tc>
      </w:tr>
      <w:tr w:rsidR="00BE597E" w:rsidRPr="00724EE4" w:rsidTr="00BE597E">
        <w:tc>
          <w:tcPr>
            <w:tcW w:w="2403" w:type="pct"/>
            <w:gridSpan w:val="2"/>
          </w:tcPr>
          <w:p w:rsidR="00BE597E" w:rsidRPr="001F1644" w:rsidRDefault="00BE597E" w:rsidP="00BE597E">
            <w:pPr>
              <w:jc w:val="both"/>
              <w:rPr>
                <w:sz w:val="20"/>
                <w:lang w:val="fr-CA"/>
              </w:rPr>
            </w:pPr>
            <w:r w:rsidRPr="001F1644">
              <w:rPr>
                <w:sz w:val="20"/>
                <w:lang w:val="fr-CA"/>
              </w:rPr>
              <w:lastRenderedPageBreak/>
              <w:t>1</w:t>
            </w:r>
            <w:r w:rsidRPr="001F1644">
              <w:rPr>
                <w:sz w:val="20"/>
                <w:vertAlign w:val="superscript"/>
                <w:lang w:val="fr-CA"/>
              </w:rPr>
              <w:t>er</w:t>
            </w:r>
            <w:r w:rsidRPr="001F1644">
              <w:rPr>
                <w:sz w:val="20"/>
                <w:lang w:val="fr-CA"/>
              </w:rPr>
              <w:t xml:space="preserve"> avril 2020</w:t>
            </w:r>
          </w:p>
          <w:p w:rsidR="00BE597E" w:rsidRPr="001F1644" w:rsidRDefault="00BE597E" w:rsidP="00BE597E">
            <w:pPr>
              <w:jc w:val="both"/>
              <w:rPr>
                <w:sz w:val="20"/>
                <w:lang w:val="fr-CA"/>
              </w:rPr>
            </w:pPr>
            <w:r w:rsidRPr="001F1644">
              <w:rPr>
                <w:sz w:val="20"/>
                <w:lang w:val="fr-CA"/>
              </w:rPr>
              <w:t>Cour fédérale</w:t>
            </w:r>
          </w:p>
          <w:p w:rsidR="00BE597E" w:rsidRPr="001F1644" w:rsidRDefault="00BE597E" w:rsidP="00BE597E">
            <w:pPr>
              <w:jc w:val="both"/>
              <w:rPr>
                <w:sz w:val="20"/>
                <w:lang w:val="fr-CA"/>
              </w:rPr>
            </w:pPr>
            <w:r w:rsidRPr="001F1644">
              <w:rPr>
                <w:sz w:val="20"/>
                <w:lang w:val="fr-CA"/>
              </w:rPr>
              <w:t>(juge Diner)</w:t>
            </w:r>
          </w:p>
          <w:p w:rsidR="00BE597E" w:rsidRPr="001F1644" w:rsidRDefault="00724EE4" w:rsidP="00BE597E">
            <w:pPr>
              <w:jc w:val="both"/>
              <w:rPr>
                <w:sz w:val="20"/>
              </w:rPr>
            </w:pPr>
            <w:hyperlink r:id="rId38" w:history="1">
              <w:r w:rsidR="00BE597E" w:rsidRPr="001F1644">
                <w:rPr>
                  <w:rStyle w:val="Hyperlink"/>
                  <w:sz w:val="20"/>
                </w:rPr>
                <w:t>2020 CF 468</w:t>
              </w:r>
            </w:hyperlink>
          </w:p>
          <w:p w:rsidR="00BE597E" w:rsidRPr="001F1644" w:rsidRDefault="00BE597E" w:rsidP="00BE597E">
            <w:pPr>
              <w:jc w:val="both"/>
              <w:rPr>
                <w:sz w:val="20"/>
              </w:rPr>
            </w:pPr>
          </w:p>
        </w:tc>
        <w:tc>
          <w:tcPr>
            <w:tcW w:w="241" w:type="pct"/>
          </w:tcPr>
          <w:p w:rsidR="00BE597E" w:rsidRPr="001F1644" w:rsidRDefault="00BE597E" w:rsidP="00BE597E">
            <w:pPr>
              <w:jc w:val="both"/>
              <w:rPr>
                <w:sz w:val="20"/>
              </w:rPr>
            </w:pPr>
          </w:p>
        </w:tc>
        <w:tc>
          <w:tcPr>
            <w:tcW w:w="2356" w:type="pct"/>
          </w:tcPr>
          <w:p w:rsidR="00BE597E" w:rsidRPr="001F1644" w:rsidRDefault="00BE597E" w:rsidP="00BE597E">
            <w:pPr>
              <w:jc w:val="both"/>
              <w:rPr>
                <w:sz w:val="20"/>
                <w:lang w:val="fr-CA"/>
              </w:rPr>
            </w:pPr>
            <w:r w:rsidRPr="001F1644">
              <w:rPr>
                <w:sz w:val="20"/>
                <w:lang w:val="fr-CA"/>
              </w:rPr>
              <w:t xml:space="preserve">Rejet de la demande de contrôle judiciaire </w:t>
            </w:r>
          </w:p>
          <w:p w:rsidR="00BE597E" w:rsidRPr="001F1644" w:rsidRDefault="00BE597E" w:rsidP="00BE597E">
            <w:pPr>
              <w:jc w:val="both"/>
              <w:rPr>
                <w:sz w:val="20"/>
                <w:lang w:val="fr-CA"/>
              </w:rPr>
            </w:pPr>
          </w:p>
        </w:tc>
      </w:tr>
      <w:tr w:rsidR="00BE597E" w:rsidRPr="001F1644" w:rsidTr="00BE597E">
        <w:tc>
          <w:tcPr>
            <w:tcW w:w="2403" w:type="pct"/>
            <w:gridSpan w:val="2"/>
          </w:tcPr>
          <w:p w:rsidR="00BE597E" w:rsidRPr="001F1644" w:rsidRDefault="00BE597E" w:rsidP="00BE597E">
            <w:pPr>
              <w:jc w:val="both"/>
              <w:rPr>
                <w:sz w:val="20"/>
                <w:lang w:val="fr-CA"/>
              </w:rPr>
            </w:pPr>
            <w:r w:rsidRPr="001F1644">
              <w:rPr>
                <w:sz w:val="20"/>
                <w:lang w:val="fr-CA"/>
              </w:rPr>
              <w:t>3 juin 2021</w:t>
            </w:r>
          </w:p>
          <w:p w:rsidR="00BE597E" w:rsidRPr="001F1644" w:rsidRDefault="00BE597E" w:rsidP="00BE597E">
            <w:pPr>
              <w:jc w:val="both"/>
              <w:rPr>
                <w:sz w:val="20"/>
                <w:lang w:val="fr-CA"/>
              </w:rPr>
            </w:pPr>
            <w:r w:rsidRPr="001F1644">
              <w:rPr>
                <w:sz w:val="20"/>
                <w:lang w:val="fr-CA"/>
              </w:rPr>
              <w:t>Cour d’appel fédérale</w:t>
            </w:r>
          </w:p>
          <w:p w:rsidR="00BE597E" w:rsidRPr="001F1644" w:rsidRDefault="00BE597E" w:rsidP="00BE597E">
            <w:pPr>
              <w:jc w:val="both"/>
              <w:rPr>
                <w:sz w:val="20"/>
                <w:lang w:val="fr-CA"/>
              </w:rPr>
            </w:pPr>
            <w:r w:rsidRPr="001F1644">
              <w:rPr>
                <w:sz w:val="20"/>
                <w:lang w:val="fr-CA"/>
              </w:rPr>
              <w:t>(juges Rennie, Mactavish, LeBlanc)</w:t>
            </w:r>
          </w:p>
          <w:p w:rsidR="00BE597E" w:rsidRPr="001F1644" w:rsidRDefault="00724EE4" w:rsidP="00BE597E">
            <w:pPr>
              <w:jc w:val="both"/>
              <w:rPr>
                <w:sz w:val="20"/>
                <w:lang w:val="fr-CA"/>
              </w:rPr>
            </w:pPr>
            <w:hyperlink r:id="rId39" w:history="1">
              <w:r w:rsidR="00BE597E" w:rsidRPr="001F1644">
                <w:rPr>
                  <w:rStyle w:val="Hyperlink"/>
                  <w:sz w:val="20"/>
                  <w:lang w:val="fr-CA"/>
                </w:rPr>
                <w:t>2021 FCA 107</w:t>
              </w:r>
            </w:hyperlink>
          </w:p>
          <w:p w:rsidR="00BE597E" w:rsidRPr="001F1644" w:rsidRDefault="00BE597E" w:rsidP="00BE597E">
            <w:pPr>
              <w:jc w:val="both"/>
              <w:rPr>
                <w:sz w:val="20"/>
                <w:lang w:val="fr-CA"/>
              </w:rPr>
            </w:pPr>
          </w:p>
        </w:tc>
        <w:tc>
          <w:tcPr>
            <w:tcW w:w="241" w:type="pct"/>
          </w:tcPr>
          <w:p w:rsidR="00BE597E" w:rsidRPr="001F1644" w:rsidRDefault="00BE597E" w:rsidP="00BE597E">
            <w:pPr>
              <w:jc w:val="both"/>
              <w:rPr>
                <w:sz w:val="20"/>
                <w:lang w:val="fr-CA"/>
              </w:rPr>
            </w:pPr>
          </w:p>
        </w:tc>
        <w:tc>
          <w:tcPr>
            <w:tcW w:w="2356" w:type="pct"/>
          </w:tcPr>
          <w:p w:rsidR="00BE597E" w:rsidRPr="001F1644" w:rsidRDefault="00BE597E" w:rsidP="00BE597E">
            <w:pPr>
              <w:jc w:val="both"/>
              <w:rPr>
                <w:sz w:val="20"/>
              </w:rPr>
            </w:pPr>
            <w:r w:rsidRPr="001F1644">
              <w:rPr>
                <w:sz w:val="20"/>
              </w:rPr>
              <w:t>Rejet de l’appel</w:t>
            </w:r>
          </w:p>
          <w:p w:rsidR="00BE597E" w:rsidRPr="001F1644" w:rsidRDefault="00BE597E" w:rsidP="00BE597E">
            <w:pPr>
              <w:jc w:val="both"/>
              <w:rPr>
                <w:sz w:val="20"/>
              </w:rPr>
            </w:pPr>
          </w:p>
        </w:tc>
      </w:tr>
      <w:tr w:rsidR="00BE597E" w:rsidRPr="00724EE4" w:rsidTr="00BE597E">
        <w:tc>
          <w:tcPr>
            <w:tcW w:w="2403" w:type="pct"/>
            <w:gridSpan w:val="2"/>
          </w:tcPr>
          <w:p w:rsidR="00BE597E" w:rsidRPr="001F1644" w:rsidRDefault="00BE597E" w:rsidP="00BE597E">
            <w:pPr>
              <w:jc w:val="both"/>
              <w:rPr>
                <w:sz w:val="20"/>
                <w:lang w:val="fr-CA"/>
              </w:rPr>
            </w:pPr>
            <w:r w:rsidRPr="001F1644">
              <w:rPr>
                <w:sz w:val="20"/>
                <w:lang w:val="fr-CA"/>
              </w:rPr>
              <w:t>22 juin 2021</w:t>
            </w:r>
          </w:p>
          <w:p w:rsidR="00BE597E" w:rsidRPr="001F1644" w:rsidRDefault="00BE597E" w:rsidP="00BE597E">
            <w:pPr>
              <w:jc w:val="both"/>
              <w:rPr>
                <w:sz w:val="20"/>
                <w:lang w:val="fr-CA"/>
              </w:rPr>
            </w:pPr>
            <w:r w:rsidRPr="001F1644">
              <w:rPr>
                <w:sz w:val="20"/>
                <w:lang w:val="fr-CA"/>
              </w:rPr>
              <w:t>Cour suprême du Canada</w:t>
            </w:r>
          </w:p>
          <w:p w:rsidR="00BE597E" w:rsidRPr="001F1644" w:rsidRDefault="00BE597E" w:rsidP="00BE597E">
            <w:pPr>
              <w:jc w:val="both"/>
              <w:rPr>
                <w:sz w:val="20"/>
                <w:lang w:val="fr-CA"/>
              </w:rPr>
            </w:pPr>
          </w:p>
        </w:tc>
        <w:tc>
          <w:tcPr>
            <w:tcW w:w="241" w:type="pct"/>
          </w:tcPr>
          <w:p w:rsidR="00BE597E" w:rsidRPr="001F1644" w:rsidRDefault="00BE597E" w:rsidP="00BE597E">
            <w:pPr>
              <w:jc w:val="both"/>
              <w:rPr>
                <w:sz w:val="20"/>
                <w:lang w:val="fr-CA"/>
              </w:rPr>
            </w:pPr>
          </w:p>
        </w:tc>
        <w:tc>
          <w:tcPr>
            <w:tcW w:w="2356" w:type="pct"/>
          </w:tcPr>
          <w:p w:rsidR="00BE597E" w:rsidRPr="001F1644" w:rsidRDefault="00BE597E" w:rsidP="00BE597E">
            <w:pPr>
              <w:jc w:val="both"/>
              <w:rPr>
                <w:sz w:val="20"/>
                <w:lang w:val="fr-CA"/>
              </w:rPr>
            </w:pPr>
            <w:r w:rsidRPr="001F1644">
              <w:rPr>
                <w:sz w:val="20"/>
                <w:lang w:val="fr-CA"/>
              </w:rPr>
              <w:t xml:space="preserve">Dépôt de la demande d’autorisation d’appel </w:t>
            </w:r>
          </w:p>
          <w:p w:rsidR="00BE597E" w:rsidRPr="001F1644" w:rsidRDefault="00BE597E" w:rsidP="00BE597E">
            <w:pPr>
              <w:jc w:val="both"/>
              <w:rPr>
                <w:sz w:val="20"/>
                <w:lang w:val="fr-CA"/>
              </w:rPr>
            </w:pPr>
          </w:p>
        </w:tc>
      </w:tr>
      <w:tr w:rsidR="00BE597E" w:rsidRPr="00724EE4" w:rsidTr="00BE597E">
        <w:tc>
          <w:tcPr>
            <w:tcW w:w="2403" w:type="pct"/>
            <w:gridSpan w:val="2"/>
          </w:tcPr>
          <w:p w:rsidR="00BE597E" w:rsidRPr="001F1644" w:rsidRDefault="00BE597E" w:rsidP="00BE597E">
            <w:pPr>
              <w:jc w:val="both"/>
              <w:rPr>
                <w:sz w:val="20"/>
                <w:lang w:val="fr-CA"/>
              </w:rPr>
            </w:pPr>
            <w:r w:rsidRPr="001F1644">
              <w:rPr>
                <w:sz w:val="20"/>
                <w:lang w:val="fr-CA"/>
              </w:rPr>
              <w:t>29 juillet 2021</w:t>
            </w:r>
          </w:p>
          <w:p w:rsidR="00BE597E" w:rsidRPr="001F1644" w:rsidRDefault="00BE597E" w:rsidP="00BE597E">
            <w:pPr>
              <w:jc w:val="both"/>
              <w:rPr>
                <w:sz w:val="20"/>
                <w:lang w:val="fr-CA"/>
              </w:rPr>
            </w:pPr>
            <w:r w:rsidRPr="001F1644">
              <w:rPr>
                <w:sz w:val="20"/>
                <w:lang w:val="fr-CA"/>
              </w:rPr>
              <w:t>Cour d’appel fédérale</w:t>
            </w:r>
          </w:p>
          <w:p w:rsidR="00BE597E" w:rsidRPr="001F1644" w:rsidRDefault="00BE597E" w:rsidP="00BE597E">
            <w:pPr>
              <w:jc w:val="both"/>
              <w:rPr>
                <w:sz w:val="20"/>
                <w:lang w:val="fr-CA"/>
              </w:rPr>
            </w:pPr>
            <w:r w:rsidRPr="001F1644">
              <w:rPr>
                <w:sz w:val="20"/>
                <w:lang w:val="fr-CA"/>
              </w:rPr>
              <w:t>(juge Stratas)</w:t>
            </w:r>
          </w:p>
        </w:tc>
        <w:tc>
          <w:tcPr>
            <w:tcW w:w="241" w:type="pct"/>
          </w:tcPr>
          <w:p w:rsidR="00BE597E" w:rsidRPr="001F1644" w:rsidRDefault="00BE597E" w:rsidP="00BE597E">
            <w:pPr>
              <w:jc w:val="both"/>
              <w:rPr>
                <w:sz w:val="20"/>
                <w:lang w:val="fr-CA"/>
              </w:rPr>
            </w:pPr>
          </w:p>
        </w:tc>
        <w:tc>
          <w:tcPr>
            <w:tcW w:w="2356" w:type="pct"/>
          </w:tcPr>
          <w:p w:rsidR="00BE597E" w:rsidRPr="001F1644" w:rsidRDefault="00BE597E" w:rsidP="00BE597E">
            <w:pPr>
              <w:jc w:val="both"/>
              <w:rPr>
                <w:sz w:val="20"/>
                <w:lang w:val="fr-CA"/>
              </w:rPr>
            </w:pPr>
            <w:r w:rsidRPr="001F1644">
              <w:rPr>
                <w:sz w:val="20"/>
                <w:lang w:val="fr-CA"/>
              </w:rPr>
              <w:t xml:space="preserve">Rejet de la requête en vue d’obtenir l’autorisation de former un pourvoi à la Cour suprême du Canada </w:t>
            </w:r>
          </w:p>
        </w:tc>
      </w:tr>
    </w:tbl>
    <w:p w:rsidR="00BE597E" w:rsidRPr="001F1644" w:rsidRDefault="00BE597E" w:rsidP="00BE597E">
      <w:pPr>
        <w:jc w:val="both"/>
        <w:rPr>
          <w:sz w:val="20"/>
          <w:lang w:val="fr-CA"/>
        </w:rPr>
      </w:pPr>
    </w:p>
    <w:p w:rsidR="007607A2" w:rsidRPr="001F1644" w:rsidRDefault="00724EE4" w:rsidP="00BE597E">
      <w:pPr>
        <w:jc w:val="both"/>
        <w:rPr>
          <w:sz w:val="20"/>
          <w:lang w:val="fr-CA"/>
        </w:rPr>
      </w:pPr>
      <w:r>
        <w:rPr>
          <w:sz w:val="20"/>
        </w:rPr>
        <w:pict>
          <v:rect id="_x0000_i1034" style="width:2in;height:1pt" o:hrpct="0" o:hralign="center" o:hrstd="t" o:hrnoshade="t" o:hr="t" fillcolor="black [3213]" stroked="f"/>
        </w:pict>
      </w:r>
    </w:p>
    <w:p w:rsidR="00BE597E" w:rsidRPr="001F1644" w:rsidRDefault="00BE597E"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lang w:val="en-CA"/>
              </w:rPr>
            </w:pPr>
            <w:r w:rsidRPr="001F1644">
              <w:rPr>
                <w:rStyle w:val="SCCFileNumberChar"/>
                <w:sz w:val="20"/>
                <w:szCs w:val="20"/>
              </w:rPr>
              <w:t>39833</w:t>
            </w:r>
          </w:p>
        </w:tc>
        <w:tc>
          <w:tcPr>
            <w:tcW w:w="4457" w:type="pct"/>
            <w:gridSpan w:val="3"/>
          </w:tcPr>
          <w:p w:rsidR="00BE597E" w:rsidRPr="001F1644" w:rsidRDefault="00BE597E" w:rsidP="00BE597E">
            <w:pPr>
              <w:pStyle w:val="SCCLsocParty"/>
              <w:jc w:val="both"/>
              <w:rPr>
                <w:b/>
                <w:sz w:val="20"/>
                <w:szCs w:val="20"/>
              </w:rPr>
            </w:pPr>
            <w:r w:rsidRPr="001F1644">
              <w:rPr>
                <w:b/>
                <w:sz w:val="20"/>
                <w:szCs w:val="20"/>
              </w:rPr>
              <w:t>Ange Marie Bourdages v. TD Auto Finance Services Inc.</w:t>
            </w:r>
          </w:p>
          <w:p w:rsidR="00BE597E" w:rsidRPr="001F1644" w:rsidRDefault="00BE597E" w:rsidP="00BE597E">
            <w:pPr>
              <w:pStyle w:val="SCCLsocSubfileSeparator"/>
              <w:rPr>
                <w:sz w:val="20"/>
                <w:szCs w:val="20"/>
              </w:rPr>
            </w:pPr>
            <w:r w:rsidRPr="001F1644">
              <w:rPr>
                <w:sz w:val="20"/>
                <w:szCs w:val="20"/>
              </w:rPr>
              <w:t>- and between -</w:t>
            </w:r>
          </w:p>
          <w:p w:rsidR="00BE597E" w:rsidRPr="001F1644" w:rsidRDefault="00BE597E" w:rsidP="00BE597E">
            <w:pPr>
              <w:pStyle w:val="SCCLsocParty"/>
              <w:jc w:val="both"/>
              <w:rPr>
                <w:b/>
                <w:sz w:val="20"/>
                <w:szCs w:val="20"/>
                <w:lang w:val="en-CA"/>
              </w:rPr>
            </w:pPr>
            <w:r w:rsidRPr="001F1644">
              <w:rPr>
                <w:b/>
                <w:sz w:val="20"/>
                <w:szCs w:val="20"/>
                <w:lang w:val="en-CA"/>
              </w:rPr>
              <w:t>Marguerite Bourgeois v. Ford Credit of Canada Limited</w:t>
            </w:r>
          </w:p>
          <w:p w:rsidR="00BE597E" w:rsidRPr="001F1644" w:rsidRDefault="00BE597E" w:rsidP="00BE597E">
            <w:pPr>
              <w:jc w:val="both"/>
              <w:rPr>
                <w:sz w:val="20"/>
                <w:lang w:val="en-CA"/>
              </w:rPr>
            </w:pPr>
            <w:r w:rsidRPr="001F1644">
              <w:rPr>
                <w:sz w:val="20"/>
                <w:lang w:val="en-CA"/>
              </w:rPr>
              <w:t>(Que.) (Civil) (By Leave)</w:t>
            </w:r>
          </w:p>
        </w:tc>
      </w:tr>
      <w:tr w:rsidR="00BE597E" w:rsidRPr="001F1644" w:rsidTr="00BE597E">
        <w:tc>
          <w:tcPr>
            <w:tcW w:w="5000" w:type="pct"/>
            <w:gridSpan w:val="4"/>
          </w:tcPr>
          <w:p w:rsidR="00BE597E" w:rsidRPr="001F1644" w:rsidRDefault="00BE597E" w:rsidP="00BE597E">
            <w:pPr>
              <w:pStyle w:val="SCCBanSummary"/>
              <w:rPr>
                <w:sz w:val="20"/>
                <w:szCs w:val="20"/>
              </w:rPr>
            </w:pPr>
            <w:r w:rsidRPr="001F1644">
              <w:rPr>
                <w:sz w:val="20"/>
                <w:szCs w:val="20"/>
              </w:rPr>
              <w:t>(Certain information not available to the public)</w:t>
            </w:r>
          </w:p>
          <w:p w:rsidR="00BE597E" w:rsidRPr="001F1644" w:rsidRDefault="00BE597E" w:rsidP="00BE597E">
            <w:pPr>
              <w:pStyle w:val="SCCBanSummary"/>
              <w:rPr>
                <w:sz w:val="20"/>
                <w:szCs w:val="20"/>
              </w:rPr>
            </w:pPr>
          </w:p>
          <w:p w:rsidR="00BE597E" w:rsidRPr="001F1644" w:rsidRDefault="00BE597E" w:rsidP="00BE597E">
            <w:pPr>
              <w:jc w:val="both"/>
              <w:rPr>
                <w:sz w:val="20"/>
                <w:lang w:val="en-CA"/>
              </w:rPr>
            </w:pPr>
            <w:proofErr w:type="gramStart"/>
            <w:r w:rsidRPr="001F1644">
              <w:rPr>
                <w:sz w:val="20"/>
                <w:lang w:val="en-CA"/>
              </w:rPr>
              <w:t>Consumer protection — Contracts of credit — Obligation to indicate applicable costs in contract</w:t>
            </w:r>
            <w:r w:rsidRPr="001F1644">
              <w:rPr>
                <w:iCs/>
                <w:sz w:val="20"/>
                <w:lang w:val="en-CA"/>
              </w:rPr>
              <w:t xml:space="preserve"> — Class actions — Whether s. 83 of </w:t>
            </w:r>
            <w:r w:rsidRPr="001F1644">
              <w:rPr>
                <w:i/>
                <w:iCs/>
                <w:sz w:val="20"/>
                <w:lang w:val="en-CA"/>
              </w:rPr>
              <w:t>Consumer Protection Act</w:t>
            </w:r>
            <w:r w:rsidRPr="001F1644">
              <w:rPr>
                <w:iCs/>
                <w:sz w:val="20"/>
                <w:lang w:val="en-CA"/>
              </w:rPr>
              <w:t>, CQLR,</w:t>
            </w:r>
            <w:r w:rsidRPr="001F1644">
              <w:rPr>
                <w:sz w:val="20"/>
                <w:lang w:val="en-CA"/>
              </w:rPr>
              <w:t xml:space="preserve"> c. P</w:t>
            </w:r>
            <w:r w:rsidRPr="001F1644">
              <w:rPr>
                <w:sz w:val="20"/>
                <w:lang w:val="en-CA"/>
              </w:rPr>
              <w:noBreakHyphen/>
              <w:t>40.1, contains independent remedy that differs from remedies in ss. </w:t>
            </w:r>
            <w:r w:rsidRPr="001F1644">
              <w:rPr>
                <w:iCs/>
                <w:sz w:val="20"/>
                <w:lang w:val="en-CA"/>
              </w:rPr>
              <w:t xml:space="preserve">271 and 272 </w:t>
            </w:r>
            <w:r w:rsidRPr="001F1644">
              <w:rPr>
                <w:i/>
                <w:iCs/>
                <w:sz w:val="20"/>
                <w:lang w:val="en-CA"/>
              </w:rPr>
              <w:t>C.P.A.</w:t>
            </w:r>
            <w:r w:rsidRPr="001F1644">
              <w:rPr>
                <w:iCs/>
                <w:sz w:val="20"/>
                <w:lang w:val="en-CA"/>
              </w:rPr>
              <w:t xml:space="preserve"> — Whether remedies in s. 272 </w:t>
            </w:r>
            <w:r w:rsidRPr="001F1644">
              <w:rPr>
                <w:i/>
                <w:iCs/>
                <w:sz w:val="20"/>
                <w:lang w:val="en-CA"/>
              </w:rPr>
              <w:t>C.P.A.</w:t>
            </w:r>
            <w:r w:rsidRPr="001F1644">
              <w:rPr>
                <w:iCs/>
                <w:sz w:val="20"/>
                <w:lang w:val="en-CA"/>
              </w:rPr>
              <w:t xml:space="preserve"> apply to contractual violations or only to false representations — Whether s. 12 </w:t>
            </w:r>
            <w:r w:rsidRPr="001F1644">
              <w:rPr>
                <w:i/>
                <w:iCs/>
                <w:sz w:val="20"/>
                <w:lang w:val="en-CA"/>
              </w:rPr>
              <w:t>C.P.A.</w:t>
            </w:r>
            <w:r w:rsidRPr="001F1644">
              <w:rPr>
                <w:iCs/>
                <w:sz w:val="20"/>
                <w:lang w:val="en-CA"/>
              </w:rPr>
              <w:t xml:space="preserve"> applies only where there are additional costs on top of costs claimed when contract entered into, or whether it must also apply to costs billed but not disclosed at time of contracting —</w:t>
            </w:r>
            <w:r w:rsidRPr="001F1644">
              <w:rPr>
                <w:sz w:val="20"/>
                <w:lang w:val="en-CA"/>
              </w:rPr>
              <w:t xml:space="preserve"> </w:t>
            </w:r>
            <w:r w:rsidRPr="001F1644">
              <w:rPr>
                <w:i/>
                <w:iCs/>
                <w:sz w:val="20"/>
                <w:lang w:val="en-CA"/>
              </w:rPr>
              <w:t>Consumer Protection Act</w:t>
            </w:r>
            <w:r w:rsidRPr="001F1644">
              <w:rPr>
                <w:iCs/>
                <w:sz w:val="20"/>
                <w:lang w:val="en-CA"/>
              </w:rPr>
              <w:t>, CQLR, c. P</w:t>
            </w:r>
            <w:r w:rsidRPr="001F1644">
              <w:rPr>
                <w:iCs/>
                <w:sz w:val="20"/>
                <w:lang w:val="en-CA"/>
              </w:rPr>
              <w:noBreakHyphen/>
              <w:t>40.1, ss. 12, 83, 271, 272.</w:t>
            </w:r>
            <w:proofErr w:type="gramEnd"/>
          </w:p>
        </w:tc>
      </w:tr>
      <w:tr w:rsidR="00BE597E" w:rsidRPr="001F1644" w:rsidTr="00BE597E">
        <w:tc>
          <w:tcPr>
            <w:tcW w:w="5000" w:type="pct"/>
            <w:gridSpan w:val="4"/>
          </w:tcPr>
          <w:p w:rsidR="00BE597E" w:rsidRPr="001F1644" w:rsidRDefault="00BE597E" w:rsidP="00BE597E">
            <w:pPr>
              <w:jc w:val="both"/>
              <w:rPr>
                <w:sz w:val="20"/>
                <w:lang w:val="en-CA"/>
              </w:rPr>
            </w:pPr>
          </w:p>
        </w:tc>
      </w:tr>
      <w:tr w:rsidR="00BE597E" w:rsidRPr="001F1644" w:rsidTr="00BE597E">
        <w:tc>
          <w:tcPr>
            <w:tcW w:w="5000" w:type="pct"/>
            <w:gridSpan w:val="4"/>
          </w:tcPr>
          <w:p w:rsidR="00BE597E" w:rsidRPr="001F1644" w:rsidRDefault="00BE597E" w:rsidP="00BE597E">
            <w:pPr>
              <w:jc w:val="both"/>
              <w:rPr>
                <w:sz w:val="20"/>
                <w:lang w:val="en-CA"/>
              </w:rPr>
            </w:pPr>
            <w:r w:rsidRPr="001F1644">
              <w:rPr>
                <w:sz w:val="20"/>
                <w:lang w:val="en-CA"/>
              </w:rPr>
              <w:t>The applicants each purchased new vehicles from different dealers. Although they received financing at a rate of 0 percent, they argued that the car manufacturers offered a price reduction for cash payments at the time they purchased their vehicles, but that their respective contracts were in violation of the</w:t>
            </w:r>
            <w:r w:rsidRPr="001F1644">
              <w:rPr>
                <w:i/>
                <w:sz w:val="20"/>
                <w:lang w:val="en-CA"/>
              </w:rPr>
              <w:t xml:space="preserve"> Consumer Protection Act</w:t>
            </w:r>
            <w:r w:rsidRPr="001F1644">
              <w:rPr>
                <w:sz w:val="20"/>
                <w:lang w:val="en-CA"/>
              </w:rPr>
              <w:t>, CQLR, c. P</w:t>
            </w:r>
            <w:r w:rsidRPr="001F1644">
              <w:rPr>
                <w:sz w:val="20"/>
                <w:lang w:val="en-CA"/>
              </w:rPr>
              <w:noBreakHyphen/>
              <w:t>40.1, because the discount was not disclosed or calculated. The applicants each proceeded by way of a class action and represented their respective class. They sought a $700 reduction in each class member’s obligation as well as $100 in punitive damages. The Quebec Superior Court dismissed both class actions without legal costs. The applicants appealed the Superior Court’s judgments, but the Quebec Court of Appeal dismissed the appeals with legal costs.</w:t>
            </w:r>
          </w:p>
          <w:p w:rsidR="00BE597E" w:rsidRPr="001F1644" w:rsidRDefault="00BE597E" w:rsidP="00BE597E">
            <w:pPr>
              <w:jc w:val="both"/>
              <w:rPr>
                <w:sz w:val="20"/>
                <w:lang w:val="en-CA"/>
              </w:rPr>
            </w:pPr>
          </w:p>
        </w:tc>
      </w:tr>
      <w:tr w:rsidR="00BE597E" w:rsidRPr="001F1644" w:rsidTr="00BE597E">
        <w:tc>
          <w:tcPr>
            <w:tcW w:w="2427" w:type="pct"/>
            <w:gridSpan w:val="2"/>
          </w:tcPr>
          <w:p w:rsidR="00BE597E" w:rsidRPr="001F1644" w:rsidRDefault="00BE597E" w:rsidP="00BE597E">
            <w:pPr>
              <w:jc w:val="both"/>
              <w:rPr>
                <w:sz w:val="20"/>
                <w:lang w:val="en-CA"/>
              </w:rPr>
            </w:pPr>
            <w:r w:rsidRPr="001F1644">
              <w:rPr>
                <w:sz w:val="20"/>
                <w:lang w:val="en-CA"/>
              </w:rPr>
              <w:t>October 25, 2019</w:t>
            </w:r>
          </w:p>
          <w:p w:rsidR="00BE597E" w:rsidRPr="001F1644" w:rsidRDefault="00BE597E" w:rsidP="00BE597E">
            <w:pPr>
              <w:jc w:val="both"/>
              <w:rPr>
                <w:sz w:val="20"/>
                <w:lang w:val="en-CA"/>
              </w:rPr>
            </w:pPr>
            <w:r w:rsidRPr="001F1644">
              <w:rPr>
                <w:sz w:val="20"/>
                <w:lang w:val="en-CA"/>
              </w:rPr>
              <w:t>Quebec Superior Court</w:t>
            </w:r>
          </w:p>
          <w:p w:rsidR="00BE597E" w:rsidRPr="001F1644" w:rsidRDefault="00BE597E" w:rsidP="00BE597E">
            <w:pPr>
              <w:jc w:val="both"/>
              <w:rPr>
                <w:sz w:val="20"/>
                <w:lang w:val="en-CA"/>
              </w:rPr>
            </w:pPr>
            <w:r w:rsidRPr="001F1644">
              <w:rPr>
                <w:sz w:val="20"/>
                <w:lang w:val="en-CA"/>
              </w:rPr>
              <w:t>(Francoeur J.)</w:t>
            </w:r>
          </w:p>
          <w:p w:rsidR="00BE597E" w:rsidRPr="001F1644" w:rsidRDefault="00BE597E" w:rsidP="00BE597E">
            <w:pPr>
              <w:jc w:val="both"/>
              <w:rPr>
                <w:sz w:val="20"/>
                <w:lang w:val="en-CA"/>
              </w:rPr>
            </w:pPr>
            <w:r w:rsidRPr="001F1644">
              <w:rPr>
                <w:sz w:val="20"/>
                <w:lang w:val="en-CA"/>
              </w:rPr>
              <w:t>File: 500</w:t>
            </w:r>
            <w:r w:rsidRPr="001F1644">
              <w:rPr>
                <w:sz w:val="20"/>
                <w:lang w:val="en-CA"/>
              </w:rPr>
              <w:noBreakHyphen/>
              <w:t>06</w:t>
            </w:r>
            <w:r w:rsidRPr="001F1644">
              <w:rPr>
                <w:sz w:val="20"/>
                <w:lang w:val="en-CA"/>
              </w:rPr>
              <w:noBreakHyphen/>
              <w:t>000368</w:t>
            </w:r>
            <w:r w:rsidRPr="001F1644">
              <w:rPr>
                <w:sz w:val="20"/>
                <w:lang w:val="en-CA"/>
              </w:rPr>
              <w:noBreakHyphen/>
              <w:t>064</w:t>
            </w:r>
          </w:p>
          <w:p w:rsidR="00BE597E" w:rsidRPr="001F1644" w:rsidRDefault="00724EE4" w:rsidP="00BE597E">
            <w:pPr>
              <w:jc w:val="both"/>
              <w:rPr>
                <w:sz w:val="20"/>
                <w:lang w:val="en-CA"/>
              </w:rPr>
            </w:pPr>
            <w:hyperlink r:id="rId40" w:history="1">
              <w:r w:rsidR="00BE597E" w:rsidRPr="001F1644">
                <w:rPr>
                  <w:rStyle w:val="Hyperlink"/>
                  <w:sz w:val="20"/>
                  <w:lang w:val="en-CA"/>
                </w:rPr>
                <w:t>2019 QCCS 4719</w:t>
              </w:r>
            </w:hyperlink>
          </w:p>
          <w:p w:rsidR="00BE597E" w:rsidRPr="001F1644" w:rsidRDefault="00BE597E" w:rsidP="00BE597E">
            <w:pPr>
              <w:jc w:val="both"/>
              <w:rPr>
                <w:sz w:val="20"/>
                <w:lang w:val="en-CA"/>
              </w:rPr>
            </w:pPr>
          </w:p>
        </w:tc>
        <w:tc>
          <w:tcPr>
            <w:tcW w:w="243" w:type="pct"/>
          </w:tcPr>
          <w:p w:rsidR="00BE597E" w:rsidRPr="001F1644" w:rsidRDefault="00BE597E" w:rsidP="00BE597E">
            <w:pPr>
              <w:jc w:val="both"/>
              <w:rPr>
                <w:sz w:val="20"/>
                <w:lang w:val="en-CA"/>
              </w:rPr>
            </w:pPr>
          </w:p>
        </w:tc>
        <w:tc>
          <w:tcPr>
            <w:tcW w:w="2330" w:type="pct"/>
          </w:tcPr>
          <w:p w:rsidR="00BE597E" w:rsidRPr="001F1644" w:rsidRDefault="00BE597E" w:rsidP="00BE597E">
            <w:pPr>
              <w:jc w:val="both"/>
              <w:rPr>
                <w:sz w:val="20"/>
                <w:lang w:val="en-CA"/>
              </w:rPr>
            </w:pPr>
            <w:r w:rsidRPr="001F1644">
              <w:rPr>
                <w:sz w:val="20"/>
                <w:lang w:val="en-CA"/>
              </w:rPr>
              <w:t>Class action dismissed without legal costs</w:t>
            </w:r>
          </w:p>
        </w:tc>
      </w:tr>
      <w:tr w:rsidR="00BE597E" w:rsidRPr="001F1644" w:rsidTr="00BE597E">
        <w:tc>
          <w:tcPr>
            <w:tcW w:w="2427" w:type="pct"/>
            <w:gridSpan w:val="2"/>
          </w:tcPr>
          <w:p w:rsidR="00BE597E" w:rsidRPr="001F1644" w:rsidRDefault="00BE597E" w:rsidP="00BE597E">
            <w:pPr>
              <w:jc w:val="both"/>
              <w:rPr>
                <w:sz w:val="20"/>
                <w:lang w:val="en-CA"/>
              </w:rPr>
            </w:pPr>
            <w:r w:rsidRPr="001F1644">
              <w:rPr>
                <w:sz w:val="20"/>
                <w:lang w:val="en-CA"/>
              </w:rPr>
              <w:t>October 25, 2019</w:t>
            </w:r>
          </w:p>
          <w:p w:rsidR="00BE597E" w:rsidRPr="001F1644" w:rsidRDefault="00BE597E" w:rsidP="00BE597E">
            <w:pPr>
              <w:jc w:val="both"/>
              <w:rPr>
                <w:sz w:val="20"/>
                <w:lang w:val="en-CA"/>
              </w:rPr>
            </w:pPr>
            <w:r w:rsidRPr="001F1644">
              <w:rPr>
                <w:sz w:val="20"/>
                <w:lang w:val="en-CA"/>
              </w:rPr>
              <w:t>Quebec Superior Court</w:t>
            </w:r>
          </w:p>
          <w:p w:rsidR="00BE597E" w:rsidRPr="001F1644" w:rsidRDefault="00BE597E" w:rsidP="00BE597E">
            <w:pPr>
              <w:jc w:val="both"/>
              <w:rPr>
                <w:sz w:val="20"/>
                <w:lang w:val="en-CA"/>
              </w:rPr>
            </w:pPr>
            <w:r w:rsidRPr="001F1644">
              <w:rPr>
                <w:sz w:val="20"/>
                <w:lang w:val="en-CA"/>
              </w:rPr>
              <w:t>(Francoeur J.)</w:t>
            </w:r>
          </w:p>
          <w:p w:rsidR="00BE597E" w:rsidRPr="001F1644" w:rsidRDefault="00BE597E" w:rsidP="00BE597E">
            <w:pPr>
              <w:jc w:val="both"/>
              <w:rPr>
                <w:sz w:val="20"/>
                <w:lang w:val="en-CA"/>
              </w:rPr>
            </w:pPr>
            <w:r w:rsidRPr="001F1644">
              <w:rPr>
                <w:sz w:val="20"/>
                <w:lang w:val="en-CA"/>
              </w:rPr>
              <w:t>File: 500</w:t>
            </w:r>
            <w:r w:rsidRPr="001F1644">
              <w:rPr>
                <w:sz w:val="20"/>
                <w:lang w:val="en-CA"/>
              </w:rPr>
              <w:noBreakHyphen/>
              <w:t>06</w:t>
            </w:r>
            <w:r w:rsidRPr="001F1644">
              <w:rPr>
                <w:sz w:val="20"/>
                <w:lang w:val="en-CA"/>
              </w:rPr>
              <w:noBreakHyphen/>
              <w:t>000405</w:t>
            </w:r>
            <w:r w:rsidRPr="001F1644">
              <w:rPr>
                <w:sz w:val="20"/>
                <w:lang w:val="en-CA"/>
              </w:rPr>
              <w:noBreakHyphen/>
              <w:t>072</w:t>
            </w:r>
          </w:p>
          <w:p w:rsidR="00BE597E" w:rsidRPr="001F1644" w:rsidRDefault="00724EE4" w:rsidP="00BE597E">
            <w:pPr>
              <w:jc w:val="both"/>
              <w:rPr>
                <w:sz w:val="20"/>
                <w:lang w:val="en-CA"/>
              </w:rPr>
            </w:pPr>
            <w:hyperlink r:id="rId41" w:history="1">
              <w:r w:rsidR="00BE597E" w:rsidRPr="001F1644">
                <w:rPr>
                  <w:rStyle w:val="Hyperlink"/>
                  <w:sz w:val="20"/>
                  <w:lang w:val="en-CA"/>
                </w:rPr>
                <w:t>2019 QCCS 4720</w:t>
              </w:r>
            </w:hyperlink>
          </w:p>
          <w:p w:rsidR="00BE597E" w:rsidRPr="001F1644" w:rsidRDefault="00BE597E" w:rsidP="00BE597E">
            <w:pPr>
              <w:jc w:val="both"/>
              <w:rPr>
                <w:sz w:val="20"/>
                <w:lang w:val="en-CA"/>
              </w:rPr>
            </w:pPr>
          </w:p>
        </w:tc>
        <w:tc>
          <w:tcPr>
            <w:tcW w:w="243" w:type="pct"/>
          </w:tcPr>
          <w:p w:rsidR="00BE597E" w:rsidRPr="001F1644" w:rsidRDefault="00BE597E" w:rsidP="00BE597E">
            <w:pPr>
              <w:jc w:val="both"/>
              <w:rPr>
                <w:sz w:val="20"/>
                <w:lang w:val="en-CA"/>
              </w:rPr>
            </w:pPr>
          </w:p>
        </w:tc>
        <w:tc>
          <w:tcPr>
            <w:tcW w:w="2330" w:type="pct"/>
          </w:tcPr>
          <w:p w:rsidR="00BE597E" w:rsidRPr="001F1644" w:rsidRDefault="00BE597E" w:rsidP="00BE597E">
            <w:pPr>
              <w:jc w:val="both"/>
              <w:rPr>
                <w:sz w:val="20"/>
                <w:lang w:val="en-CA"/>
              </w:rPr>
            </w:pPr>
            <w:r w:rsidRPr="001F1644">
              <w:rPr>
                <w:sz w:val="20"/>
                <w:lang w:val="en-CA"/>
              </w:rPr>
              <w:t>Class action dismissed without legal costs</w:t>
            </w:r>
          </w:p>
        </w:tc>
      </w:tr>
      <w:tr w:rsidR="00BE597E" w:rsidRPr="001F1644" w:rsidTr="00BE597E">
        <w:tc>
          <w:tcPr>
            <w:tcW w:w="2427" w:type="pct"/>
            <w:gridSpan w:val="2"/>
          </w:tcPr>
          <w:p w:rsidR="00BE597E" w:rsidRPr="001F1644" w:rsidRDefault="00BE597E" w:rsidP="00BE597E">
            <w:pPr>
              <w:jc w:val="both"/>
              <w:rPr>
                <w:sz w:val="20"/>
                <w:lang w:val="en-CA"/>
              </w:rPr>
            </w:pPr>
            <w:r w:rsidRPr="001F1644">
              <w:rPr>
                <w:sz w:val="20"/>
                <w:lang w:val="en-CA"/>
              </w:rPr>
              <w:t>June 9, 2021</w:t>
            </w:r>
          </w:p>
          <w:p w:rsidR="00BE597E" w:rsidRPr="001F1644" w:rsidRDefault="00BE597E" w:rsidP="00BE597E">
            <w:pPr>
              <w:jc w:val="both"/>
              <w:rPr>
                <w:sz w:val="20"/>
                <w:lang w:val="en-CA"/>
              </w:rPr>
            </w:pPr>
            <w:r w:rsidRPr="001F1644">
              <w:rPr>
                <w:sz w:val="20"/>
                <w:lang w:val="en-CA"/>
              </w:rPr>
              <w:t>Quebec Court of Appeal (Montréal)</w:t>
            </w:r>
          </w:p>
          <w:p w:rsidR="00BE597E" w:rsidRPr="001F1644" w:rsidRDefault="00BE597E" w:rsidP="00BE597E">
            <w:pPr>
              <w:jc w:val="both"/>
              <w:rPr>
                <w:sz w:val="20"/>
                <w:lang w:val="en-CA"/>
              </w:rPr>
            </w:pPr>
            <w:r w:rsidRPr="001F1644">
              <w:rPr>
                <w:sz w:val="20"/>
                <w:lang w:val="en-CA"/>
              </w:rPr>
              <w:lastRenderedPageBreak/>
              <w:t>(Schrager, Cotnam and Fournier JJ.A.)</w:t>
            </w:r>
          </w:p>
          <w:p w:rsidR="00BE597E" w:rsidRPr="001F1644" w:rsidRDefault="00BE597E" w:rsidP="00BE597E">
            <w:pPr>
              <w:jc w:val="both"/>
              <w:rPr>
                <w:sz w:val="20"/>
                <w:lang w:val="en-CA"/>
              </w:rPr>
            </w:pPr>
            <w:r w:rsidRPr="001F1644">
              <w:rPr>
                <w:sz w:val="20"/>
                <w:lang w:val="en-CA"/>
              </w:rPr>
              <w:t>Files: 500</w:t>
            </w:r>
            <w:r w:rsidRPr="001F1644">
              <w:rPr>
                <w:sz w:val="20"/>
                <w:lang w:val="en-CA"/>
              </w:rPr>
              <w:noBreakHyphen/>
              <w:t>09</w:t>
            </w:r>
            <w:r w:rsidRPr="001F1644">
              <w:rPr>
                <w:sz w:val="20"/>
                <w:lang w:val="en-CA"/>
              </w:rPr>
              <w:noBreakHyphen/>
              <w:t>028697</w:t>
            </w:r>
            <w:r w:rsidRPr="001F1644">
              <w:rPr>
                <w:sz w:val="20"/>
                <w:lang w:val="en-CA"/>
              </w:rPr>
              <w:noBreakHyphen/>
              <w:t>191; 500</w:t>
            </w:r>
            <w:r w:rsidRPr="001F1644">
              <w:rPr>
                <w:sz w:val="20"/>
                <w:lang w:val="en-CA"/>
              </w:rPr>
              <w:noBreakHyphen/>
              <w:t>09</w:t>
            </w:r>
            <w:r w:rsidRPr="001F1644">
              <w:rPr>
                <w:sz w:val="20"/>
                <w:lang w:val="en-CA"/>
              </w:rPr>
              <w:noBreakHyphen/>
              <w:t>028698</w:t>
            </w:r>
            <w:r w:rsidRPr="001F1644">
              <w:rPr>
                <w:sz w:val="20"/>
                <w:lang w:val="en-CA"/>
              </w:rPr>
              <w:noBreakHyphen/>
              <w:t>199</w:t>
            </w:r>
          </w:p>
          <w:p w:rsidR="00BE597E" w:rsidRPr="001F1644" w:rsidRDefault="00724EE4" w:rsidP="00BE597E">
            <w:pPr>
              <w:jc w:val="both"/>
              <w:rPr>
                <w:sz w:val="20"/>
                <w:lang w:val="en-CA"/>
              </w:rPr>
            </w:pPr>
            <w:hyperlink r:id="rId42" w:history="1">
              <w:r w:rsidR="00BE597E" w:rsidRPr="001F1644">
                <w:rPr>
                  <w:rStyle w:val="Hyperlink"/>
                  <w:sz w:val="20"/>
                  <w:lang w:val="en-CA"/>
                </w:rPr>
                <w:t>2021 QCCA 962</w:t>
              </w:r>
            </w:hyperlink>
          </w:p>
          <w:p w:rsidR="00BE597E" w:rsidRPr="001F1644" w:rsidRDefault="00BE597E" w:rsidP="00BE597E">
            <w:pPr>
              <w:jc w:val="both"/>
              <w:rPr>
                <w:sz w:val="20"/>
                <w:lang w:val="en-CA"/>
              </w:rPr>
            </w:pPr>
          </w:p>
        </w:tc>
        <w:tc>
          <w:tcPr>
            <w:tcW w:w="243" w:type="pct"/>
          </w:tcPr>
          <w:p w:rsidR="00BE597E" w:rsidRPr="001F1644" w:rsidRDefault="00BE597E" w:rsidP="00BE597E">
            <w:pPr>
              <w:jc w:val="both"/>
              <w:rPr>
                <w:sz w:val="20"/>
                <w:lang w:val="en-CA"/>
              </w:rPr>
            </w:pPr>
          </w:p>
        </w:tc>
        <w:tc>
          <w:tcPr>
            <w:tcW w:w="2330" w:type="pct"/>
          </w:tcPr>
          <w:p w:rsidR="00BE597E" w:rsidRPr="001F1644" w:rsidRDefault="00BE597E" w:rsidP="00BE597E">
            <w:pPr>
              <w:jc w:val="both"/>
              <w:rPr>
                <w:sz w:val="20"/>
                <w:lang w:val="en-CA"/>
              </w:rPr>
            </w:pPr>
            <w:r w:rsidRPr="001F1644">
              <w:rPr>
                <w:sz w:val="20"/>
                <w:lang w:val="en-CA"/>
              </w:rPr>
              <w:t>Appeals in both cases dismissed with legal costs</w:t>
            </w:r>
          </w:p>
        </w:tc>
      </w:tr>
      <w:tr w:rsidR="00BE597E" w:rsidRPr="001F1644" w:rsidTr="00BE597E">
        <w:tc>
          <w:tcPr>
            <w:tcW w:w="2427" w:type="pct"/>
            <w:gridSpan w:val="2"/>
          </w:tcPr>
          <w:p w:rsidR="00BE597E" w:rsidRPr="001F1644" w:rsidRDefault="00BE597E" w:rsidP="00BE597E">
            <w:pPr>
              <w:jc w:val="both"/>
              <w:rPr>
                <w:sz w:val="20"/>
                <w:lang w:val="en-CA"/>
              </w:rPr>
            </w:pPr>
            <w:r w:rsidRPr="001F1644">
              <w:rPr>
                <w:sz w:val="20"/>
                <w:lang w:val="en-CA"/>
              </w:rPr>
              <w:t>September 3, 2021</w:t>
            </w:r>
          </w:p>
          <w:p w:rsidR="00BE597E" w:rsidRPr="001F1644" w:rsidRDefault="00BE597E" w:rsidP="00BE597E">
            <w:pPr>
              <w:jc w:val="both"/>
              <w:rPr>
                <w:sz w:val="20"/>
                <w:lang w:val="en-CA"/>
              </w:rPr>
            </w:pPr>
            <w:r w:rsidRPr="001F1644">
              <w:rPr>
                <w:sz w:val="20"/>
                <w:lang w:val="en-CA"/>
              </w:rPr>
              <w:t>Supreme Court of Canada</w:t>
            </w:r>
          </w:p>
        </w:tc>
        <w:tc>
          <w:tcPr>
            <w:tcW w:w="243" w:type="pct"/>
          </w:tcPr>
          <w:p w:rsidR="00BE597E" w:rsidRPr="001F1644" w:rsidRDefault="00BE597E" w:rsidP="00BE597E">
            <w:pPr>
              <w:jc w:val="both"/>
              <w:rPr>
                <w:sz w:val="20"/>
                <w:lang w:val="en-CA"/>
              </w:rPr>
            </w:pPr>
          </w:p>
        </w:tc>
        <w:tc>
          <w:tcPr>
            <w:tcW w:w="2330" w:type="pct"/>
          </w:tcPr>
          <w:p w:rsidR="00BE597E" w:rsidRPr="001F1644" w:rsidRDefault="00BE597E" w:rsidP="00BE597E">
            <w:pPr>
              <w:jc w:val="both"/>
              <w:rPr>
                <w:sz w:val="20"/>
                <w:lang w:val="en-CA"/>
              </w:rPr>
            </w:pPr>
            <w:r w:rsidRPr="001F1644">
              <w:rPr>
                <w:sz w:val="20"/>
                <w:lang w:val="en-CA"/>
              </w:rPr>
              <w:t>Application for leave to appeal filed</w:t>
            </w:r>
          </w:p>
        </w:tc>
      </w:tr>
    </w:tbl>
    <w:p w:rsidR="00BE597E" w:rsidRPr="001F1644" w:rsidRDefault="00BE597E" w:rsidP="00BE597E">
      <w:pPr>
        <w:jc w:val="both"/>
        <w:rPr>
          <w:sz w:val="20"/>
          <w:lang w:val="en-CA"/>
        </w:rPr>
      </w:pPr>
    </w:p>
    <w:p w:rsidR="007607A2" w:rsidRPr="001F1644" w:rsidRDefault="00724EE4" w:rsidP="00BE597E">
      <w:pPr>
        <w:jc w:val="both"/>
        <w:rPr>
          <w:sz w:val="20"/>
          <w:lang w:val="en-CA"/>
        </w:rPr>
      </w:pPr>
      <w:r>
        <w:rPr>
          <w:sz w:val="20"/>
        </w:rPr>
        <w:pict>
          <v:rect id="_x0000_i1035" style="width:2in;height:1pt" o:hrpct="0" o:hralign="center" o:hrstd="t" o:hrnoshade="t" o:hr="t" fillcolor="black [3213]" stroked="f"/>
        </w:pict>
      </w:r>
    </w:p>
    <w:p w:rsidR="007607A2" w:rsidRPr="001F1644" w:rsidRDefault="007607A2" w:rsidP="00BE597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39833</w:t>
            </w:r>
          </w:p>
        </w:tc>
        <w:tc>
          <w:tcPr>
            <w:tcW w:w="4457" w:type="pct"/>
            <w:gridSpan w:val="3"/>
          </w:tcPr>
          <w:p w:rsidR="00BE597E" w:rsidRPr="001F1644" w:rsidRDefault="00BE597E" w:rsidP="00BE597E">
            <w:pPr>
              <w:pStyle w:val="SCCLsocParty"/>
              <w:jc w:val="both"/>
              <w:rPr>
                <w:b/>
                <w:sz w:val="20"/>
                <w:szCs w:val="20"/>
              </w:rPr>
            </w:pPr>
            <w:r w:rsidRPr="001F1644">
              <w:rPr>
                <w:b/>
                <w:sz w:val="20"/>
                <w:szCs w:val="20"/>
              </w:rPr>
              <w:t>Ange Marie Bourdages c. Services de financement auto TD inc.</w:t>
            </w:r>
          </w:p>
          <w:p w:rsidR="00BE597E" w:rsidRPr="001F1644" w:rsidRDefault="00BE597E" w:rsidP="00BE597E">
            <w:pPr>
              <w:pStyle w:val="SCCLsocSubfileSeparator"/>
              <w:rPr>
                <w:sz w:val="20"/>
                <w:szCs w:val="20"/>
                <w:lang w:val="fr-CA"/>
              </w:rPr>
            </w:pPr>
            <w:r w:rsidRPr="001F1644">
              <w:rPr>
                <w:sz w:val="20"/>
                <w:szCs w:val="20"/>
                <w:lang w:val="fr-CA"/>
              </w:rPr>
              <w:t>- et entre -</w:t>
            </w:r>
          </w:p>
          <w:p w:rsidR="00BE597E" w:rsidRPr="001F1644" w:rsidRDefault="00BE597E" w:rsidP="00BE597E">
            <w:pPr>
              <w:pStyle w:val="SCCLsocParty"/>
              <w:jc w:val="both"/>
              <w:rPr>
                <w:b/>
                <w:sz w:val="20"/>
                <w:szCs w:val="20"/>
              </w:rPr>
            </w:pPr>
            <w:r w:rsidRPr="001F1644">
              <w:rPr>
                <w:b/>
                <w:sz w:val="20"/>
                <w:szCs w:val="20"/>
              </w:rPr>
              <w:t>Marguerite Bourgeois c. Crédit Ford du Canada Limitée</w:t>
            </w:r>
          </w:p>
          <w:p w:rsidR="00BE597E" w:rsidRPr="001F1644" w:rsidRDefault="00BE597E" w:rsidP="00BE597E">
            <w:pPr>
              <w:jc w:val="both"/>
              <w:rPr>
                <w:sz w:val="20"/>
              </w:rPr>
            </w:pPr>
            <w:r w:rsidRPr="001F1644">
              <w:rPr>
                <w:sz w:val="20"/>
              </w:rPr>
              <w:t>(Qc) (Civile) (Autorisation)</w:t>
            </w:r>
          </w:p>
        </w:tc>
      </w:tr>
      <w:tr w:rsidR="00BE597E" w:rsidRPr="00724EE4" w:rsidTr="00BE597E">
        <w:tc>
          <w:tcPr>
            <w:tcW w:w="5000" w:type="pct"/>
            <w:gridSpan w:val="4"/>
          </w:tcPr>
          <w:p w:rsidR="00BE597E" w:rsidRPr="001F1644" w:rsidRDefault="00BE597E" w:rsidP="00BE597E">
            <w:pPr>
              <w:pStyle w:val="SCCBanSummary"/>
              <w:rPr>
                <w:sz w:val="20"/>
                <w:szCs w:val="20"/>
                <w:lang w:val="fr-CA"/>
              </w:rPr>
            </w:pPr>
            <w:r w:rsidRPr="001F1644">
              <w:rPr>
                <w:sz w:val="20"/>
                <w:szCs w:val="20"/>
                <w:lang w:val="fr-CA"/>
              </w:rPr>
              <w:t>(Certaines informations non disponibles pour le public)</w:t>
            </w:r>
          </w:p>
          <w:p w:rsidR="00BE597E" w:rsidRPr="001F1644" w:rsidRDefault="00BE597E" w:rsidP="00BE597E">
            <w:pPr>
              <w:pStyle w:val="SCCBanSummary"/>
              <w:rPr>
                <w:sz w:val="20"/>
                <w:szCs w:val="20"/>
                <w:lang w:val="fr-CA"/>
              </w:rPr>
            </w:pPr>
          </w:p>
          <w:p w:rsidR="00BE597E" w:rsidRPr="001F1644" w:rsidRDefault="00BE597E" w:rsidP="00BE597E">
            <w:pPr>
              <w:jc w:val="both"/>
              <w:rPr>
                <w:sz w:val="20"/>
                <w:lang w:val="fr-CA"/>
              </w:rPr>
            </w:pPr>
            <w:r w:rsidRPr="001F1644">
              <w:rPr>
                <w:sz w:val="20"/>
                <w:lang w:val="fr-CA"/>
              </w:rPr>
              <w:t xml:space="preserve">Protection du consommateur — Contrats de crédit — </w:t>
            </w:r>
            <w:r w:rsidRPr="001F1644">
              <w:rPr>
                <w:iCs/>
                <w:sz w:val="20"/>
                <w:lang w:val="fr-CA"/>
              </w:rPr>
              <w:t xml:space="preserve">Obligation d’indiquer les frais applicables dans un contrat — Actions collectives — L’article 83 de la </w:t>
            </w:r>
            <w:r w:rsidRPr="001F1644">
              <w:rPr>
                <w:i/>
                <w:sz w:val="20"/>
                <w:lang w:val="fr-CA"/>
              </w:rPr>
              <w:t>Loi sur la protection du consommateur</w:t>
            </w:r>
            <w:r w:rsidRPr="001F1644">
              <w:rPr>
                <w:sz w:val="20"/>
                <w:lang w:val="fr-CA"/>
              </w:rPr>
              <w:t>, RLRQ, c. P</w:t>
            </w:r>
            <w:r w:rsidRPr="001F1644">
              <w:rPr>
                <w:sz w:val="20"/>
                <w:lang w:val="fr-CA"/>
              </w:rPr>
              <w:noBreakHyphen/>
              <w:t xml:space="preserve">40.1, </w:t>
            </w:r>
            <w:r w:rsidRPr="001F1644">
              <w:rPr>
                <w:iCs/>
                <w:sz w:val="20"/>
                <w:lang w:val="fr-CA"/>
              </w:rPr>
              <w:t>contient</w:t>
            </w:r>
            <w:r w:rsidRPr="001F1644">
              <w:rPr>
                <w:iCs/>
                <w:sz w:val="20"/>
                <w:lang w:val="fr-CA"/>
              </w:rPr>
              <w:noBreakHyphen/>
              <w:t xml:space="preserve">il un remède autonome différent des remèdes des </w:t>
            </w:r>
            <w:proofErr w:type="gramStart"/>
            <w:r w:rsidRPr="001F1644">
              <w:rPr>
                <w:iCs/>
                <w:sz w:val="20"/>
                <w:lang w:val="fr-CA"/>
              </w:rPr>
              <w:t>art</w:t>
            </w:r>
            <w:proofErr w:type="gramEnd"/>
            <w:r w:rsidRPr="001F1644">
              <w:rPr>
                <w:iCs/>
                <w:sz w:val="20"/>
                <w:lang w:val="fr-CA"/>
              </w:rPr>
              <w:t xml:space="preserve">. 271 et 272 </w:t>
            </w:r>
            <w:r w:rsidRPr="001F1644">
              <w:rPr>
                <w:i/>
                <w:iCs/>
                <w:sz w:val="20"/>
                <w:lang w:val="fr-CA"/>
              </w:rPr>
              <w:t>L.p.c.</w:t>
            </w:r>
            <w:r w:rsidRPr="001F1644">
              <w:rPr>
                <w:iCs/>
                <w:sz w:val="20"/>
                <w:lang w:val="fr-CA"/>
              </w:rPr>
              <w:t xml:space="preserve">? — Les remèdes de l’art. 272 </w:t>
            </w:r>
            <w:r w:rsidRPr="001F1644">
              <w:rPr>
                <w:i/>
                <w:iCs/>
                <w:sz w:val="20"/>
                <w:lang w:val="fr-CA"/>
              </w:rPr>
              <w:t>L.p.c.</w:t>
            </w:r>
            <w:r w:rsidRPr="001F1644">
              <w:rPr>
                <w:iCs/>
                <w:sz w:val="20"/>
                <w:lang w:val="fr-CA"/>
              </w:rPr>
              <w:t xml:space="preserve"> s’appliquent-ils aux violations contractuelles ou s’appliquent</w:t>
            </w:r>
            <w:r w:rsidRPr="001F1644">
              <w:rPr>
                <w:iCs/>
                <w:sz w:val="20"/>
                <w:lang w:val="fr-CA"/>
              </w:rPr>
              <w:noBreakHyphen/>
              <w:t xml:space="preserve">ils uniquement aux fausses représentations? — L’article 12 </w:t>
            </w:r>
            <w:r w:rsidRPr="001F1644">
              <w:rPr>
                <w:i/>
                <w:iCs/>
                <w:sz w:val="20"/>
                <w:lang w:val="fr-CA"/>
              </w:rPr>
              <w:t>L.p.c.</w:t>
            </w:r>
            <w:r w:rsidRPr="001F1644">
              <w:rPr>
                <w:iCs/>
                <w:sz w:val="20"/>
                <w:lang w:val="fr-CA"/>
              </w:rPr>
              <w:t xml:space="preserve"> s’applique</w:t>
            </w:r>
            <w:r w:rsidRPr="001F1644">
              <w:rPr>
                <w:iCs/>
                <w:sz w:val="20"/>
                <w:lang w:val="fr-CA"/>
              </w:rPr>
              <w:noBreakHyphen/>
              <w:t>t</w:t>
            </w:r>
            <w:r w:rsidRPr="001F1644">
              <w:rPr>
                <w:iCs/>
                <w:sz w:val="20"/>
                <w:lang w:val="fr-CA"/>
              </w:rPr>
              <w:noBreakHyphen/>
              <w:t>il uniquement en présence de frais supplémentaires qui s’ajoutent aux frais réclamés à la conclusion du contrat ou doit</w:t>
            </w:r>
            <w:r w:rsidRPr="001F1644">
              <w:rPr>
                <w:iCs/>
                <w:sz w:val="20"/>
                <w:lang w:val="fr-CA"/>
              </w:rPr>
              <w:noBreakHyphen/>
              <w:t>il s’appliquer également aux frais facturés, mais non divulgués au moment de contracter? —</w:t>
            </w:r>
            <w:r w:rsidRPr="001F1644">
              <w:rPr>
                <w:sz w:val="20"/>
                <w:lang w:val="fr-CA"/>
              </w:rPr>
              <w:t xml:space="preserve"> </w:t>
            </w:r>
            <w:r w:rsidRPr="001F1644">
              <w:rPr>
                <w:i/>
                <w:iCs/>
                <w:sz w:val="20"/>
                <w:lang w:val="fr-CA"/>
              </w:rPr>
              <w:t>Loi sur la protection du consommateur</w:t>
            </w:r>
            <w:r w:rsidRPr="001F1644">
              <w:rPr>
                <w:iCs/>
                <w:sz w:val="20"/>
                <w:lang w:val="fr-CA"/>
              </w:rPr>
              <w:t>, RLRQ, c. P</w:t>
            </w:r>
            <w:r w:rsidRPr="001F1644">
              <w:rPr>
                <w:iCs/>
                <w:sz w:val="20"/>
                <w:lang w:val="fr-CA"/>
              </w:rPr>
              <w:noBreakHyphen/>
              <w:t>40.1, art. 12, 83, 271, 272.</w:t>
            </w:r>
          </w:p>
        </w:tc>
      </w:tr>
      <w:tr w:rsidR="00BE597E" w:rsidRPr="00724EE4" w:rsidTr="00BE597E">
        <w:tc>
          <w:tcPr>
            <w:tcW w:w="5000" w:type="pct"/>
            <w:gridSpan w:val="4"/>
          </w:tcPr>
          <w:p w:rsidR="00BE597E" w:rsidRPr="001F1644" w:rsidRDefault="00BE597E" w:rsidP="00BE597E">
            <w:pPr>
              <w:jc w:val="both"/>
              <w:rPr>
                <w:sz w:val="20"/>
                <w:lang w:val="fr-CA"/>
              </w:rPr>
            </w:pPr>
          </w:p>
        </w:tc>
      </w:tr>
      <w:tr w:rsidR="00BE597E" w:rsidRPr="00724EE4" w:rsidTr="00BE597E">
        <w:tc>
          <w:tcPr>
            <w:tcW w:w="5000" w:type="pct"/>
            <w:gridSpan w:val="4"/>
          </w:tcPr>
          <w:p w:rsidR="00BE597E" w:rsidRPr="001F1644" w:rsidRDefault="00BE597E" w:rsidP="00BE597E">
            <w:pPr>
              <w:jc w:val="both"/>
              <w:rPr>
                <w:sz w:val="20"/>
                <w:lang w:val="fr-CA"/>
              </w:rPr>
            </w:pPr>
            <w:r w:rsidRPr="001F1644">
              <w:rPr>
                <w:sz w:val="20"/>
                <w:lang w:val="fr-CA"/>
              </w:rPr>
              <w:t>Les demanderesses achètent chacune des véhicules neufs auprès de concessionnaires différents. Malgré qu’elles bénéficient d’un financement à un taux de 0 %, les demanderesses soutiennent que les manufacturiers automobiles offrent à l’époque de l’achat de leur véhicule une réduction du prix au cas de paiement comptant, mais que dans leur contrat respectif, il y a violation de la</w:t>
            </w:r>
            <w:r w:rsidRPr="001F1644">
              <w:rPr>
                <w:i/>
                <w:sz w:val="20"/>
                <w:lang w:val="fr-CA"/>
              </w:rPr>
              <w:t xml:space="preserve"> Loi sur la protection du consommateur</w:t>
            </w:r>
            <w:r w:rsidRPr="001F1644">
              <w:rPr>
                <w:sz w:val="20"/>
                <w:lang w:val="fr-CA"/>
              </w:rPr>
              <w:t>, RLRQ, c. P</w:t>
            </w:r>
            <w:r w:rsidRPr="001F1644">
              <w:rPr>
                <w:sz w:val="20"/>
                <w:lang w:val="fr-CA"/>
              </w:rPr>
              <w:noBreakHyphen/>
              <w:t>40.1, car le rabais n’est pas divulgué ni calculé. Les demanderesses procèdent chacune par voie d’action collective représentant leur groupe respectif. Elles demandent une réduction d’obligation pour chacun des membres de leur groupe de 700 $ et 100 $ à titre de dommages punitifs. La Cour supérieure du Québec rejette les deux actions collectives sans frais de justice. Les demanderesses se pourvoient contre les jugements de la Cour supérieure, mais la Cour d’appel du Québec rejette les appels avec les frais de justice.</w:t>
            </w:r>
          </w:p>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Le 25 octobre 2019</w:t>
            </w:r>
          </w:p>
          <w:p w:rsidR="00BE597E" w:rsidRPr="001F1644" w:rsidRDefault="00BE597E" w:rsidP="00BE597E">
            <w:pPr>
              <w:jc w:val="both"/>
              <w:rPr>
                <w:sz w:val="20"/>
                <w:lang w:val="fr-CA"/>
              </w:rPr>
            </w:pPr>
            <w:r w:rsidRPr="001F1644">
              <w:rPr>
                <w:sz w:val="20"/>
                <w:lang w:val="fr-CA"/>
              </w:rPr>
              <w:t>Cour supérieure du Québec</w:t>
            </w:r>
          </w:p>
          <w:p w:rsidR="00BE597E" w:rsidRPr="001F1644" w:rsidRDefault="00BE597E" w:rsidP="00BE597E">
            <w:pPr>
              <w:jc w:val="both"/>
              <w:rPr>
                <w:sz w:val="20"/>
                <w:lang w:val="fr-CA"/>
              </w:rPr>
            </w:pPr>
            <w:r w:rsidRPr="001F1644">
              <w:rPr>
                <w:sz w:val="20"/>
                <w:lang w:val="fr-CA"/>
              </w:rPr>
              <w:t>(Le juge Francoeur)</w:t>
            </w:r>
          </w:p>
          <w:p w:rsidR="00BE597E" w:rsidRPr="001F1644" w:rsidRDefault="00BE597E" w:rsidP="00BE597E">
            <w:pPr>
              <w:jc w:val="both"/>
              <w:rPr>
                <w:sz w:val="20"/>
                <w:lang w:val="fr-CA"/>
              </w:rPr>
            </w:pPr>
            <w:r w:rsidRPr="001F1644">
              <w:rPr>
                <w:sz w:val="20"/>
                <w:lang w:val="fr-CA"/>
              </w:rPr>
              <w:t>Dossier : 500</w:t>
            </w:r>
            <w:r w:rsidRPr="001F1644">
              <w:rPr>
                <w:sz w:val="20"/>
                <w:lang w:val="fr-CA"/>
              </w:rPr>
              <w:noBreakHyphen/>
              <w:t>06</w:t>
            </w:r>
            <w:r w:rsidRPr="001F1644">
              <w:rPr>
                <w:sz w:val="20"/>
                <w:lang w:val="fr-CA"/>
              </w:rPr>
              <w:noBreakHyphen/>
              <w:t>000368</w:t>
            </w:r>
            <w:r w:rsidRPr="001F1644">
              <w:rPr>
                <w:sz w:val="20"/>
                <w:lang w:val="fr-CA"/>
              </w:rPr>
              <w:noBreakHyphen/>
              <w:t>064</w:t>
            </w:r>
          </w:p>
          <w:p w:rsidR="00BE597E" w:rsidRPr="001F1644" w:rsidRDefault="00724EE4" w:rsidP="00BE597E">
            <w:pPr>
              <w:jc w:val="both"/>
              <w:rPr>
                <w:sz w:val="20"/>
                <w:lang w:val="fr-CA"/>
              </w:rPr>
            </w:pPr>
            <w:hyperlink r:id="rId43" w:history="1">
              <w:r w:rsidR="00BE597E" w:rsidRPr="001F1644">
                <w:rPr>
                  <w:rStyle w:val="Hyperlink"/>
                  <w:sz w:val="20"/>
                  <w:lang w:val="fr-CA"/>
                </w:rPr>
                <w:t>2019 QCCS 4719</w:t>
              </w:r>
            </w:hyperlink>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L’action collective est rejetée sans frais de justice.</w:t>
            </w: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Le 25 octobre 2019</w:t>
            </w:r>
          </w:p>
          <w:p w:rsidR="00BE597E" w:rsidRPr="001F1644" w:rsidRDefault="00BE597E" w:rsidP="00BE597E">
            <w:pPr>
              <w:jc w:val="both"/>
              <w:rPr>
                <w:sz w:val="20"/>
                <w:lang w:val="fr-CA"/>
              </w:rPr>
            </w:pPr>
            <w:r w:rsidRPr="001F1644">
              <w:rPr>
                <w:sz w:val="20"/>
                <w:lang w:val="fr-CA"/>
              </w:rPr>
              <w:t>Cour supérieure du Québec</w:t>
            </w:r>
          </w:p>
          <w:p w:rsidR="00BE597E" w:rsidRPr="001F1644" w:rsidRDefault="00BE597E" w:rsidP="00BE597E">
            <w:pPr>
              <w:jc w:val="both"/>
              <w:rPr>
                <w:sz w:val="20"/>
                <w:lang w:val="fr-CA"/>
              </w:rPr>
            </w:pPr>
            <w:r w:rsidRPr="001F1644">
              <w:rPr>
                <w:sz w:val="20"/>
                <w:lang w:val="fr-CA"/>
              </w:rPr>
              <w:t>(Le juge Francoeur)</w:t>
            </w:r>
          </w:p>
          <w:p w:rsidR="00BE597E" w:rsidRPr="001F1644" w:rsidRDefault="00BE597E" w:rsidP="00BE597E">
            <w:pPr>
              <w:jc w:val="both"/>
              <w:rPr>
                <w:sz w:val="20"/>
                <w:lang w:val="fr-CA"/>
              </w:rPr>
            </w:pPr>
            <w:r w:rsidRPr="001F1644">
              <w:rPr>
                <w:sz w:val="20"/>
                <w:lang w:val="fr-CA"/>
              </w:rPr>
              <w:t>Dossier : 500</w:t>
            </w:r>
            <w:r w:rsidRPr="001F1644">
              <w:rPr>
                <w:sz w:val="20"/>
                <w:lang w:val="fr-CA"/>
              </w:rPr>
              <w:noBreakHyphen/>
              <w:t>06</w:t>
            </w:r>
            <w:r w:rsidRPr="001F1644">
              <w:rPr>
                <w:sz w:val="20"/>
                <w:lang w:val="fr-CA"/>
              </w:rPr>
              <w:noBreakHyphen/>
              <w:t>000405</w:t>
            </w:r>
            <w:r w:rsidRPr="001F1644">
              <w:rPr>
                <w:sz w:val="20"/>
                <w:lang w:val="fr-CA"/>
              </w:rPr>
              <w:noBreakHyphen/>
              <w:t>072</w:t>
            </w:r>
          </w:p>
          <w:p w:rsidR="00BE597E" w:rsidRPr="001F1644" w:rsidRDefault="00724EE4" w:rsidP="00BE597E">
            <w:pPr>
              <w:jc w:val="both"/>
              <w:rPr>
                <w:sz w:val="20"/>
                <w:lang w:val="fr-CA"/>
              </w:rPr>
            </w:pPr>
            <w:hyperlink r:id="rId44" w:history="1">
              <w:r w:rsidR="00BE597E" w:rsidRPr="001F1644">
                <w:rPr>
                  <w:rStyle w:val="Hyperlink"/>
                  <w:sz w:val="20"/>
                  <w:lang w:val="fr-CA"/>
                </w:rPr>
                <w:t>2019 QCCS 4720</w:t>
              </w:r>
            </w:hyperlink>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L’action collective est rejetée sans frais de justice.</w:t>
            </w: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Le 9 juin 2021</w:t>
            </w:r>
          </w:p>
          <w:p w:rsidR="00BE597E" w:rsidRPr="001F1644" w:rsidRDefault="00BE597E" w:rsidP="00BE597E">
            <w:pPr>
              <w:jc w:val="both"/>
              <w:rPr>
                <w:sz w:val="20"/>
                <w:lang w:val="fr-CA"/>
              </w:rPr>
            </w:pPr>
            <w:r w:rsidRPr="001F1644">
              <w:rPr>
                <w:sz w:val="20"/>
                <w:lang w:val="fr-CA"/>
              </w:rPr>
              <w:t>Cour d’appel du Québec (Montréal)</w:t>
            </w:r>
          </w:p>
          <w:p w:rsidR="00BE597E" w:rsidRPr="001F1644" w:rsidRDefault="00BE597E" w:rsidP="00BE597E">
            <w:pPr>
              <w:jc w:val="both"/>
              <w:rPr>
                <w:sz w:val="20"/>
                <w:lang w:val="fr-CA"/>
              </w:rPr>
            </w:pPr>
            <w:r w:rsidRPr="001F1644">
              <w:rPr>
                <w:sz w:val="20"/>
                <w:lang w:val="fr-CA"/>
              </w:rPr>
              <w:t>(Les juges Schrager, Cotnam et Fournier)</w:t>
            </w:r>
          </w:p>
          <w:p w:rsidR="00BE597E" w:rsidRPr="001F1644" w:rsidRDefault="00BE597E" w:rsidP="00BE597E">
            <w:pPr>
              <w:jc w:val="both"/>
              <w:rPr>
                <w:sz w:val="20"/>
              </w:rPr>
            </w:pPr>
            <w:r w:rsidRPr="001F1644">
              <w:rPr>
                <w:sz w:val="20"/>
              </w:rPr>
              <w:t>Dossiers : 500</w:t>
            </w:r>
            <w:r w:rsidRPr="001F1644">
              <w:rPr>
                <w:sz w:val="20"/>
              </w:rPr>
              <w:noBreakHyphen/>
              <w:t>09</w:t>
            </w:r>
            <w:r w:rsidRPr="001F1644">
              <w:rPr>
                <w:sz w:val="20"/>
              </w:rPr>
              <w:noBreakHyphen/>
              <w:t>028697</w:t>
            </w:r>
            <w:r w:rsidRPr="001F1644">
              <w:rPr>
                <w:sz w:val="20"/>
              </w:rPr>
              <w:noBreakHyphen/>
              <w:t>191; 500</w:t>
            </w:r>
            <w:r w:rsidRPr="001F1644">
              <w:rPr>
                <w:sz w:val="20"/>
              </w:rPr>
              <w:noBreakHyphen/>
              <w:t>09</w:t>
            </w:r>
            <w:r w:rsidRPr="001F1644">
              <w:rPr>
                <w:sz w:val="20"/>
              </w:rPr>
              <w:noBreakHyphen/>
              <w:t>028698</w:t>
            </w:r>
            <w:r w:rsidRPr="001F1644">
              <w:rPr>
                <w:sz w:val="20"/>
              </w:rPr>
              <w:noBreakHyphen/>
              <w:t>199</w:t>
            </w:r>
          </w:p>
          <w:p w:rsidR="00BE597E" w:rsidRPr="001F1644" w:rsidRDefault="00724EE4" w:rsidP="00BE597E">
            <w:pPr>
              <w:jc w:val="both"/>
              <w:rPr>
                <w:sz w:val="20"/>
              </w:rPr>
            </w:pPr>
            <w:hyperlink r:id="rId45" w:history="1">
              <w:r w:rsidR="00BE597E" w:rsidRPr="001F1644">
                <w:rPr>
                  <w:rStyle w:val="Hyperlink"/>
                  <w:sz w:val="20"/>
                </w:rPr>
                <w:t>2021 QCCA 962</w:t>
              </w:r>
            </w:hyperlink>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lang w:val="fr-CA"/>
              </w:rPr>
            </w:pPr>
            <w:r w:rsidRPr="001F1644">
              <w:rPr>
                <w:sz w:val="20"/>
                <w:lang w:val="fr-CA"/>
              </w:rPr>
              <w:t>Dans les deux dossiers, les appels sont rejetés avec les frais de justice.</w:t>
            </w:r>
          </w:p>
        </w:tc>
      </w:tr>
      <w:tr w:rsidR="00BE597E" w:rsidRPr="001F1644" w:rsidTr="00BE597E">
        <w:tc>
          <w:tcPr>
            <w:tcW w:w="2427" w:type="pct"/>
            <w:gridSpan w:val="2"/>
          </w:tcPr>
          <w:p w:rsidR="00BE597E" w:rsidRPr="001F1644" w:rsidRDefault="00BE597E" w:rsidP="00BE597E">
            <w:pPr>
              <w:jc w:val="both"/>
              <w:rPr>
                <w:sz w:val="20"/>
                <w:lang w:val="fr-CA"/>
              </w:rPr>
            </w:pPr>
            <w:r w:rsidRPr="001F1644">
              <w:rPr>
                <w:sz w:val="20"/>
                <w:lang w:val="fr-CA"/>
              </w:rPr>
              <w:t>Le 3 septembre 2021</w:t>
            </w:r>
          </w:p>
          <w:p w:rsidR="00BE597E" w:rsidRPr="001F1644" w:rsidRDefault="00BE597E" w:rsidP="00BE597E">
            <w:pPr>
              <w:jc w:val="both"/>
              <w:rPr>
                <w:sz w:val="20"/>
                <w:lang w:val="fr-CA"/>
              </w:rPr>
            </w:pPr>
            <w:r w:rsidRPr="001F1644">
              <w:rPr>
                <w:sz w:val="20"/>
                <w:lang w:val="fr-CA"/>
              </w:rPr>
              <w:t>Cour suprême du Canada</w:t>
            </w: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rPr>
            </w:pPr>
            <w:r w:rsidRPr="001F1644">
              <w:rPr>
                <w:sz w:val="20"/>
              </w:rPr>
              <w:t>Demande d’autorisation d’appel déposée.</w:t>
            </w:r>
          </w:p>
        </w:tc>
      </w:tr>
    </w:tbl>
    <w:p w:rsidR="00BE597E" w:rsidRPr="001F1644" w:rsidRDefault="00BE597E" w:rsidP="00BE597E">
      <w:pPr>
        <w:jc w:val="both"/>
        <w:rPr>
          <w:sz w:val="20"/>
        </w:rPr>
      </w:pPr>
    </w:p>
    <w:p w:rsidR="00BE597E" w:rsidRPr="001F1644" w:rsidRDefault="00724EE4" w:rsidP="00BE597E">
      <w:pPr>
        <w:widowControl w:val="0"/>
        <w:jc w:val="both"/>
        <w:rPr>
          <w:sz w:val="20"/>
          <w:lang w:val="fr-CA"/>
        </w:rPr>
      </w:pPr>
      <w:r>
        <w:rPr>
          <w:sz w:val="20"/>
        </w:rPr>
        <w:pict>
          <v:rect id="_x0000_i1036" style="width:2in;height:1pt" o:hrpct="0" o:hralign="center" o:hrstd="t" o:hrnoshade="t" o:hr="t" fillcolor="black [3213]" stroked="f"/>
        </w:pict>
      </w:r>
    </w:p>
    <w:p w:rsidR="007607A2" w:rsidRPr="001F1644" w:rsidRDefault="007607A2"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39838</w:t>
            </w:r>
          </w:p>
        </w:tc>
        <w:tc>
          <w:tcPr>
            <w:tcW w:w="4457" w:type="pct"/>
            <w:gridSpan w:val="3"/>
          </w:tcPr>
          <w:p w:rsidR="00BE597E" w:rsidRPr="001F1644" w:rsidRDefault="00BE597E" w:rsidP="00BE597E">
            <w:pPr>
              <w:pStyle w:val="SCCLsocParty"/>
              <w:jc w:val="both"/>
              <w:rPr>
                <w:b/>
                <w:sz w:val="20"/>
                <w:szCs w:val="20"/>
                <w:lang w:val="en-US"/>
              </w:rPr>
            </w:pPr>
            <w:r w:rsidRPr="001F1644">
              <w:rPr>
                <w:b/>
                <w:sz w:val="20"/>
                <w:szCs w:val="20"/>
                <w:lang w:val="en-US"/>
              </w:rPr>
              <w:t>David Kelava, United Brotherhood of Retail, Food, Industrial and Service Trades International Union v. Dante Spadacini</w:t>
            </w:r>
          </w:p>
          <w:p w:rsidR="00BE597E" w:rsidRPr="001F1644" w:rsidRDefault="00BE597E" w:rsidP="00BE597E">
            <w:pPr>
              <w:jc w:val="both"/>
              <w:rPr>
                <w:sz w:val="20"/>
              </w:rPr>
            </w:pPr>
            <w:r w:rsidRPr="001F1644">
              <w:rPr>
                <w:sz w:val="20"/>
              </w:rPr>
              <w:t>(Ont.) (Civil) (By Leave)</w:t>
            </w:r>
          </w:p>
        </w:tc>
      </w:tr>
      <w:tr w:rsidR="00BE597E" w:rsidRPr="001F1644" w:rsidTr="00BE597E">
        <w:tc>
          <w:tcPr>
            <w:tcW w:w="5000" w:type="pct"/>
            <w:gridSpan w:val="4"/>
          </w:tcPr>
          <w:p w:rsidR="00BE597E" w:rsidRPr="001F1644" w:rsidRDefault="00BE597E" w:rsidP="00BE597E">
            <w:pPr>
              <w:jc w:val="both"/>
              <w:rPr>
                <w:sz w:val="20"/>
              </w:rPr>
            </w:pPr>
            <w:r w:rsidRPr="001F1644">
              <w:rPr>
                <w:sz w:val="20"/>
              </w:rPr>
              <w:t>Courts — Jurisdiction — Small claims court — Whether courts are permitted to engage in policy making that overrides a legislative scheme governing the ability of a trade union to sue or be sued — Should expansion of a small claims court’s jurisdiction contrary to statutes and jurisprudence be permitted?</w:t>
            </w:r>
          </w:p>
        </w:tc>
      </w:tr>
      <w:tr w:rsidR="00BE597E" w:rsidRPr="001F1644" w:rsidTr="00BE597E">
        <w:tc>
          <w:tcPr>
            <w:tcW w:w="5000" w:type="pct"/>
            <w:gridSpan w:val="4"/>
          </w:tcPr>
          <w:p w:rsidR="00BE597E" w:rsidRPr="001F1644" w:rsidRDefault="00BE597E" w:rsidP="00BE597E">
            <w:pPr>
              <w:jc w:val="both"/>
              <w:rPr>
                <w:sz w:val="20"/>
              </w:rPr>
            </w:pPr>
          </w:p>
          <w:p w:rsidR="00BE597E" w:rsidRPr="001F1644" w:rsidRDefault="00BE597E" w:rsidP="00BE597E">
            <w:pPr>
              <w:jc w:val="both"/>
              <w:rPr>
                <w:sz w:val="20"/>
              </w:rPr>
            </w:pPr>
            <w:r w:rsidRPr="001F1644">
              <w:rPr>
                <w:sz w:val="20"/>
                <w:lang w:val="en"/>
              </w:rPr>
              <w:t>Mr. Spadacini commenced a claim in Small Claims Court against Mr. Kelava and the United Brotherhood of Retail, Food, Industrial and Service Trades International Union as defendants.</w:t>
            </w:r>
            <w:r w:rsidRPr="001F1644">
              <w:rPr>
                <w:sz w:val="20"/>
              </w:rPr>
              <w:t xml:space="preserve"> The union argued that the court does not have jurisdiction over unincorporated associations. Clemenhangen D.J. directed that the defendants should be Mr. Kelava on his own behalf and Mr. Kelava on behalf of all members of the union. The Divisional Court of Ontario dismissed an application for judicial review. The Court of Appeal dismissed an appeal.</w:t>
            </w:r>
          </w:p>
        </w:tc>
      </w:tr>
      <w:tr w:rsidR="00BE597E" w:rsidRPr="001F1644" w:rsidTr="00BE597E">
        <w:tc>
          <w:tcPr>
            <w:tcW w:w="5000" w:type="pct"/>
            <w:gridSpan w:val="4"/>
          </w:tcPr>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June 21, 2018</w:t>
            </w:r>
          </w:p>
          <w:p w:rsidR="00BE597E" w:rsidRPr="001F1644" w:rsidRDefault="00BE597E" w:rsidP="00BE597E">
            <w:pPr>
              <w:jc w:val="both"/>
              <w:rPr>
                <w:sz w:val="20"/>
              </w:rPr>
            </w:pPr>
            <w:r w:rsidRPr="001F1644">
              <w:rPr>
                <w:sz w:val="20"/>
              </w:rPr>
              <w:t>Superior Court of Justice of Ontario</w:t>
            </w:r>
          </w:p>
          <w:p w:rsidR="00BE597E" w:rsidRPr="001F1644" w:rsidRDefault="00BE597E" w:rsidP="00BE597E">
            <w:pPr>
              <w:jc w:val="both"/>
              <w:rPr>
                <w:sz w:val="20"/>
              </w:rPr>
            </w:pPr>
            <w:r w:rsidRPr="001F1644">
              <w:rPr>
                <w:sz w:val="20"/>
              </w:rPr>
              <w:t>(Small Claims Court</w:t>
            </w:r>
          </w:p>
          <w:p w:rsidR="00BE597E" w:rsidRPr="001F1644" w:rsidRDefault="00BE597E" w:rsidP="00BE597E">
            <w:pPr>
              <w:jc w:val="both"/>
              <w:rPr>
                <w:sz w:val="20"/>
              </w:rPr>
            </w:pPr>
            <w:r w:rsidRPr="001F1644">
              <w:rPr>
                <w:sz w:val="20"/>
              </w:rPr>
              <w:t>(Clemenhangen D.J.) (Unreported)</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Motion to amend style of cause granted</w:t>
            </w:r>
          </w:p>
        </w:tc>
      </w:tr>
      <w:tr w:rsidR="00BE597E" w:rsidRPr="001F1644" w:rsidTr="00BE597E">
        <w:tc>
          <w:tcPr>
            <w:tcW w:w="2427" w:type="pct"/>
            <w:gridSpan w:val="2"/>
          </w:tcPr>
          <w:p w:rsidR="00BE597E" w:rsidRPr="001F1644" w:rsidRDefault="00BE597E" w:rsidP="00BE597E">
            <w:pPr>
              <w:jc w:val="both"/>
              <w:rPr>
                <w:sz w:val="20"/>
              </w:rPr>
            </w:pPr>
            <w:r w:rsidRPr="001F1644">
              <w:rPr>
                <w:sz w:val="20"/>
              </w:rPr>
              <w:t>October 30, 2019</w:t>
            </w:r>
          </w:p>
          <w:p w:rsidR="00BE597E" w:rsidRPr="001F1644" w:rsidRDefault="00BE597E" w:rsidP="00BE597E">
            <w:pPr>
              <w:jc w:val="both"/>
              <w:rPr>
                <w:sz w:val="20"/>
              </w:rPr>
            </w:pPr>
            <w:r w:rsidRPr="001F1644">
              <w:rPr>
                <w:sz w:val="20"/>
              </w:rPr>
              <w:t xml:space="preserve">Superior Court of Justice of Ontario </w:t>
            </w:r>
          </w:p>
          <w:p w:rsidR="00BE597E" w:rsidRPr="001F1644" w:rsidRDefault="00BE597E" w:rsidP="00BE597E">
            <w:pPr>
              <w:jc w:val="both"/>
              <w:rPr>
                <w:sz w:val="20"/>
              </w:rPr>
            </w:pPr>
            <w:r w:rsidRPr="001F1644">
              <w:rPr>
                <w:sz w:val="20"/>
              </w:rPr>
              <w:t>(Divisional Court)</w:t>
            </w:r>
          </w:p>
          <w:p w:rsidR="00BE597E" w:rsidRPr="001F1644" w:rsidRDefault="00BE597E" w:rsidP="00BE597E">
            <w:pPr>
              <w:jc w:val="both"/>
              <w:rPr>
                <w:sz w:val="20"/>
              </w:rPr>
            </w:pPr>
            <w:r w:rsidRPr="001F1644">
              <w:rPr>
                <w:sz w:val="20"/>
              </w:rPr>
              <w:t>(Leitch, Sachs, Corbett JJ.)</w:t>
            </w:r>
          </w:p>
          <w:p w:rsidR="00BE597E" w:rsidRPr="001F1644" w:rsidRDefault="00724EE4" w:rsidP="00BE597E">
            <w:pPr>
              <w:jc w:val="both"/>
              <w:rPr>
                <w:sz w:val="20"/>
              </w:rPr>
            </w:pPr>
            <w:hyperlink r:id="rId46" w:history="1">
              <w:r w:rsidR="00BE597E" w:rsidRPr="001F1644">
                <w:rPr>
                  <w:rStyle w:val="Hyperlink"/>
                  <w:sz w:val="20"/>
                </w:rPr>
                <w:t>2019 ONSC 6314</w:t>
              </w:r>
            </w:hyperlink>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Application for judicial review dismissed</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June 17, 2021</w:t>
            </w:r>
          </w:p>
          <w:p w:rsidR="00BE597E" w:rsidRPr="001F1644" w:rsidRDefault="00BE597E" w:rsidP="00BE597E">
            <w:pPr>
              <w:jc w:val="both"/>
              <w:rPr>
                <w:sz w:val="20"/>
              </w:rPr>
            </w:pPr>
            <w:r w:rsidRPr="001F1644">
              <w:rPr>
                <w:sz w:val="20"/>
              </w:rPr>
              <w:t>Court of Appeal for Ontario</w:t>
            </w:r>
          </w:p>
          <w:p w:rsidR="00BE597E" w:rsidRPr="001F1644" w:rsidRDefault="00BE597E" w:rsidP="00BE597E">
            <w:pPr>
              <w:jc w:val="both"/>
              <w:rPr>
                <w:sz w:val="20"/>
              </w:rPr>
            </w:pPr>
            <w:r w:rsidRPr="001F1644">
              <w:rPr>
                <w:sz w:val="20"/>
              </w:rPr>
              <w:t>(Benotto, Miller, Trotter JJ.A.)</w:t>
            </w:r>
          </w:p>
          <w:p w:rsidR="00BE597E" w:rsidRPr="001F1644" w:rsidRDefault="00724EE4" w:rsidP="00BE597E">
            <w:pPr>
              <w:jc w:val="both"/>
              <w:rPr>
                <w:sz w:val="20"/>
              </w:rPr>
            </w:pPr>
            <w:hyperlink r:id="rId47" w:history="1">
              <w:r w:rsidR="00BE597E" w:rsidRPr="001F1644">
                <w:rPr>
                  <w:rStyle w:val="Hyperlink"/>
                  <w:sz w:val="20"/>
                </w:rPr>
                <w:t>2021 ONCA 428</w:t>
              </w:r>
            </w:hyperlink>
            <w:r w:rsidR="00BE597E" w:rsidRPr="001F1644">
              <w:rPr>
                <w:sz w:val="20"/>
              </w:rPr>
              <w:t>; C68394</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Appeal dismissed</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September 15, 2021</w:t>
            </w:r>
          </w:p>
          <w:p w:rsidR="00BE597E" w:rsidRPr="001F1644" w:rsidRDefault="00BE597E" w:rsidP="00BE597E">
            <w:pPr>
              <w:jc w:val="both"/>
              <w:rPr>
                <w:sz w:val="20"/>
              </w:rPr>
            </w:pPr>
            <w:r w:rsidRPr="001F1644">
              <w:rPr>
                <w:sz w:val="20"/>
              </w:rPr>
              <w:t>Supreme Court of Canada</w:t>
            </w: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Application for leave to appeal filed</w:t>
            </w:r>
          </w:p>
          <w:p w:rsidR="00BE597E" w:rsidRPr="001F1644" w:rsidRDefault="00BE597E" w:rsidP="00BE597E">
            <w:pPr>
              <w:jc w:val="both"/>
              <w:rPr>
                <w:sz w:val="20"/>
              </w:rPr>
            </w:pPr>
          </w:p>
        </w:tc>
      </w:tr>
    </w:tbl>
    <w:p w:rsidR="00BE597E" w:rsidRPr="001F1644" w:rsidRDefault="00BE597E" w:rsidP="00BE597E">
      <w:pPr>
        <w:jc w:val="both"/>
        <w:rPr>
          <w:sz w:val="20"/>
        </w:rPr>
      </w:pPr>
    </w:p>
    <w:p w:rsidR="007607A2" w:rsidRPr="001F1644" w:rsidRDefault="00724EE4" w:rsidP="00BE597E">
      <w:pPr>
        <w:jc w:val="both"/>
        <w:rPr>
          <w:sz w:val="20"/>
        </w:rPr>
      </w:pPr>
      <w:r>
        <w:rPr>
          <w:sz w:val="20"/>
        </w:rPr>
        <w:pict>
          <v:rect id="_x0000_i1037" style="width:2in;height:1pt" o:hrpct="0" o:hralign="center" o:hrstd="t" o:hrnoshade="t" o:hr="t" fillcolor="black [3213]" stroked="f"/>
        </w:pict>
      </w:r>
    </w:p>
    <w:p w:rsidR="007607A2" w:rsidRPr="001F1644" w:rsidRDefault="007607A2" w:rsidP="00BE59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lang w:val="fr-CA"/>
              </w:rPr>
            </w:pPr>
            <w:r w:rsidRPr="001F1644">
              <w:rPr>
                <w:rStyle w:val="SCCFileNumberChar"/>
                <w:sz w:val="20"/>
                <w:szCs w:val="20"/>
                <w:lang w:val="fr-CA"/>
              </w:rPr>
              <w:t>39838</w:t>
            </w:r>
          </w:p>
        </w:tc>
        <w:tc>
          <w:tcPr>
            <w:tcW w:w="4457" w:type="pct"/>
            <w:gridSpan w:val="3"/>
          </w:tcPr>
          <w:p w:rsidR="00BE597E" w:rsidRPr="001F1644" w:rsidRDefault="00BE597E" w:rsidP="00BE597E">
            <w:pPr>
              <w:pStyle w:val="SCCLsocParty"/>
              <w:jc w:val="both"/>
              <w:rPr>
                <w:b/>
                <w:sz w:val="20"/>
                <w:szCs w:val="20"/>
              </w:rPr>
            </w:pPr>
            <w:r w:rsidRPr="001F1644">
              <w:rPr>
                <w:b/>
                <w:sz w:val="20"/>
                <w:szCs w:val="20"/>
              </w:rPr>
              <w:t>David Kelava, Union internationale des Travailleurs et travailleuses unis de l’alimentation et du commerce c. Dante Spadacini</w:t>
            </w:r>
          </w:p>
          <w:p w:rsidR="00BE597E" w:rsidRPr="001F1644" w:rsidRDefault="00BE597E" w:rsidP="00BE597E">
            <w:pPr>
              <w:jc w:val="both"/>
              <w:rPr>
                <w:sz w:val="20"/>
                <w:lang w:val="fr-CA"/>
              </w:rPr>
            </w:pPr>
            <w:r w:rsidRPr="001F1644">
              <w:rPr>
                <w:sz w:val="20"/>
                <w:lang w:val="fr-CA"/>
              </w:rPr>
              <w:t>(Ont.) (Civile) (Autorisation)</w:t>
            </w:r>
          </w:p>
        </w:tc>
      </w:tr>
      <w:tr w:rsidR="00BE597E" w:rsidRPr="00724EE4" w:rsidTr="00BE597E">
        <w:tc>
          <w:tcPr>
            <w:tcW w:w="5000" w:type="pct"/>
            <w:gridSpan w:val="4"/>
          </w:tcPr>
          <w:p w:rsidR="00BE597E" w:rsidRPr="001F1644" w:rsidRDefault="00BE597E" w:rsidP="00BE597E">
            <w:pPr>
              <w:jc w:val="both"/>
              <w:rPr>
                <w:sz w:val="20"/>
                <w:lang w:val="fr-CA"/>
              </w:rPr>
            </w:pPr>
            <w:r w:rsidRPr="001F1644">
              <w:rPr>
                <w:sz w:val="20"/>
                <w:lang w:val="fr-CA"/>
              </w:rPr>
              <w:t>Tribunaux — Compétence — Cour des petites créances — Les tribunaux peuvent</w:t>
            </w:r>
            <w:r w:rsidRPr="001F1644">
              <w:rPr>
                <w:sz w:val="20"/>
                <w:lang w:val="fr-CA"/>
              </w:rPr>
              <w:noBreakHyphen/>
              <w:t>ils élaborer des politiques qui supplantent le schéma législatif gouvernant l’aptitude d’un syndicat d’intenter une action ou d’être poursuivi en justice? — L’élargissement de la compétence d’une cour des petites créances devrait</w:t>
            </w:r>
            <w:r w:rsidRPr="001F1644">
              <w:rPr>
                <w:sz w:val="20"/>
                <w:lang w:val="fr-CA"/>
              </w:rPr>
              <w:noBreakHyphen/>
              <w:t xml:space="preserve">il être permis s’il est contraire à la loi et à la jurisprudence? </w:t>
            </w:r>
          </w:p>
        </w:tc>
      </w:tr>
      <w:tr w:rsidR="00BE597E" w:rsidRPr="001F1644" w:rsidTr="00BE597E">
        <w:tc>
          <w:tcPr>
            <w:tcW w:w="5000" w:type="pct"/>
            <w:gridSpan w:val="4"/>
          </w:tcPr>
          <w:p w:rsidR="00BE597E" w:rsidRPr="001F1644" w:rsidRDefault="00BE597E" w:rsidP="00BE597E">
            <w:pPr>
              <w:jc w:val="both"/>
              <w:rPr>
                <w:sz w:val="20"/>
                <w:lang w:val="fr-CA"/>
              </w:rPr>
            </w:pPr>
          </w:p>
          <w:p w:rsidR="00BE597E" w:rsidRPr="001F1644" w:rsidRDefault="00BE597E" w:rsidP="00BE597E">
            <w:pPr>
              <w:jc w:val="both"/>
              <w:rPr>
                <w:sz w:val="20"/>
                <w:lang w:val="fr-CA"/>
              </w:rPr>
            </w:pPr>
            <w:r w:rsidRPr="001F1644">
              <w:rPr>
                <w:sz w:val="20"/>
                <w:lang w:val="fr-CA"/>
              </w:rPr>
              <w:t>M. Spadacini a intenté une action à la Cour des petites créances contre M. Kelava et l’Union internationale des Travailleurs et travailleuses unis de l’alimentation et du commerce, en tant que défendeurs. Le syndicat a plaidé que la cour n’était pas compétente à l’égard des associations non constituées en personne morale. Le juge suppléant Clemenhangen a décidé que les défendeurs devraient être M. Kelava en son nom propre, et M. Kelava au nom de tous les membres du syndicat. La Cour divisionnaire de l’Ontario a rejeté la demande de contrôle judiciaire. La Cour d’appel a rejeté l’appel.</w:t>
            </w:r>
          </w:p>
          <w:p w:rsidR="00BE597E" w:rsidRPr="001F1644" w:rsidRDefault="00BE597E" w:rsidP="00BE597E">
            <w:pPr>
              <w:jc w:val="both"/>
              <w:rPr>
                <w:sz w:val="20"/>
                <w:lang w:val="fr-CA"/>
              </w:rPr>
            </w:pPr>
          </w:p>
        </w:tc>
      </w:tr>
      <w:tr w:rsidR="00BE597E" w:rsidRPr="001F1644" w:rsidTr="00BE597E">
        <w:tc>
          <w:tcPr>
            <w:tcW w:w="5000" w:type="pct"/>
            <w:gridSpan w:val="4"/>
          </w:tcPr>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21 juin 2018</w:t>
            </w:r>
          </w:p>
          <w:p w:rsidR="00BE597E" w:rsidRPr="001F1644" w:rsidRDefault="00BE597E" w:rsidP="00BE597E">
            <w:pPr>
              <w:jc w:val="both"/>
              <w:rPr>
                <w:sz w:val="20"/>
                <w:lang w:val="fr-CA"/>
              </w:rPr>
            </w:pPr>
            <w:r w:rsidRPr="001F1644">
              <w:rPr>
                <w:sz w:val="20"/>
                <w:lang w:val="fr-CA"/>
              </w:rPr>
              <w:t xml:space="preserve">Cour supérieure de justice de l’Ontario </w:t>
            </w:r>
          </w:p>
          <w:p w:rsidR="00BE597E" w:rsidRPr="001F1644" w:rsidRDefault="00BE597E" w:rsidP="00BE597E">
            <w:pPr>
              <w:jc w:val="both"/>
              <w:rPr>
                <w:sz w:val="20"/>
                <w:lang w:val="fr-CA"/>
              </w:rPr>
            </w:pPr>
            <w:r w:rsidRPr="001F1644">
              <w:rPr>
                <w:sz w:val="20"/>
                <w:lang w:val="fr-CA"/>
              </w:rPr>
              <w:t xml:space="preserve">(Cour des petites créances </w:t>
            </w:r>
          </w:p>
          <w:p w:rsidR="00BE597E" w:rsidRPr="001F1644" w:rsidRDefault="00BE597E" w:rsidP="00BE597E">
            <w:pPr>
              <w:jc w:val="both"/>
              <w:rPr>
                <w:sz w:val="20"/>
                <w:lang w:val="fr-CA"/>
              </w:rPr>
            </w:pPr>
            <w:r w:rsidRPr="001F1644">
              <w:rPr>
                <w:sz w:val="20"/>
                <w:lang w:val="fr-CA"/>
              </w:rPr>
              <w:lastRenderedPageBreak/>
              <w:t>(juge suppléant Clemenhangen) (non</w:t>
            </w:r>
            <w:r w:rsidRPr="001F1644">
              <w:rPr>
                <w:sz w:val="20"/>
                <w:lang w:val="fr-CA"/>
              </w:rPr>
              <w:noBreakHyphen/>
              <w:t>publiée)</w:t>
            </w:r>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Motion en vue de la modification de l’intitulé accueillie</w:t>
            </w:r>
          </w:p>
        </w:tc>
      </w:tr>
      <w:tr w:rsidR="00BE597E" w:rsidRPr="001F1644" w:rsidTr="00BE597E">
        <w:tc>
          <w:tcPr>
            <w:tcW w:w="2427" w:type="pct"/>
            <w:gridSpan w:val="2"/>
          </w:tcPr>
          <w:p w:rsidR="00BE597E" w:rsidRPr="001F1644" w:rsidRDefault="00BE597E" w:rsidP="00BE597E">
            <w:pPr>
              <w:jc w:val="both"/>
              <w:rPr>
                <w:sz w:val="20"/>
                <w:lang w:val="fr-CA"/>
              </w:rPr>
            </w:pPr>
            <w:r w:rsidRPr="001F1644">
              <w:rPr>
                <w:sz w:val="20"/>
                <w:lang w:val="fr-CA"/>
              </w:rPr>
              <w:t>30 octobre 2019</w:t>
            </w:r>
          </w:p>
          <w:p w:rsidR="00BE597E" w:rsidRPr="001F1644" w:rsidRDefault="00BE597E" w:rsidP="00BE597E">
            <w:pPr>
              <w:jc w:val="both"/>
              <w:rPr>
                <w:sz w:val="20"/>
                <w:lang w:val="fr-CA"/>
              </w:rPr>
            </w:pPr>
            <w:r w:rsidRPr="001F1644">
              <w:rPr>
                <w:sz w:val="20"/>
                <w:lang w:val="fr-CA"/>
              </w:rPr>
              <w:t>Cour supérieure de justice de l’Ontario</w:t>
            </w:r>
          </w:p>
          <w:p w:rsidR="00BE597E" w:rsidRPr="001F1644" w:rsidRDefault="00BE597E" w:rsidP="00BE597E">
            <w:pPr>
              <w:jc w:val="both"/>
              <w:rPr>
                <w:sz w:val="20"/>
                <w:lang w:val="fr-CA"/>
              </w:rPr>
            </w:pPr>
            <w:r w:rsidRPr="001F1644">
              <w:rPr>
                <w:sz w:val="20"/>
                <w:lang w:val="fr-CA"/>
              </w:rPr>
              <w:t>(Cour divisionnaire)</w:t>
            </w:r>
          </w:p>
          <w:p w:rsidR="00BE597E" w:rsidRPr="001F1644" w:rsidRDefault="00BE597E" w:rsidP="00BE597E">
            <w:pPr>
              <w:jc w:val="both"/>
              <w:rPr>
                <w:sz w:val="20"/>
                <w:lang w:val="fr-CA"/>
              </w:rPr>
            </w:pPr>
            <w:r w:rsidRPr="001F1644">
              <w:rPr>
                <w:sz w:val="20"/>
                <w:lang w:val="fr-CA"/>
              </w:rPr>
              <w:t>(juges Leitch, Sachs, Corbett)</w:t>
            </w:r>
          </w:p>
          <w:p w:rsidR="00BE597E" w:rsidRPr="001F1644" w:rsidRDefault="00724EE4" w:rsidP="00BE597E">
            <w:pPr>
              <w:jc w:val="both"/>
              <w:rPr>
                <w:sz w:val="20"/>
                <w:lang w:val="fr-CA"/>
              </w:rPr>
            </w:pPr>
            <w:hyperlink r:id="rId48" w:history="1">
              <w:r w:rsidR="00BE597E" w:rsidRPr="001F1644">
                <w:rPr>
                  <w:rStyle w:val="Hyperlink"/>
                  <w:sz w:val="20"/>
                  <w:lang w:val="fr-CA"/>
                </w:rPr>
                <w:t>2019 ONSC 6314</w:t>
              </w:r>
            </w:hyperlink>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Demande de contrôle judiciaire rejetée</w:t>
            </w:r>
          </w:p>
          <w:p w:rsidR="00BE597E" w:rsidRPr="001F1644" w:rsidRDefault="00BE597E" w:rsidP="00BE597E">
            <w:pPr>
              <w:jc w:val="both"/>
              <w:rPr>
                <w:sz w:val="20"/>
                <w:lang w:val="fr-CA"/>
              </w:rPr>
            </w:pPr>
          </w:p>
        </w:tc>
      </w:tr>
      <w:tr w:rsidR="00BE597E" w:rsidRPr="001F1644" w:rsidTr="00BE597E">
        <w:tc>
          <w:tcPr>
            <w:tcW w:w="2427" w:type="pct"/>
            <w:gridSpan w:val="2"/>
          </w:tcPr>
          <w:p w:rsidR="00BE597E" w:rsidRPr="001F1644" w:rsidRDefault="00BE597E" w:rsidP="00BE597E">
            <w:pPr>
              <w:jc w:val="both"/>
              <w:rPr>
                <w:sz w:val="20"/>
                <w:lang w:val="fr-CA"/>
              </w:rPr>
            </w:pPr>
            <w:r w:rsidRPr="001F1644">
              <w:rPr>
                <w:sz w:val="20"/>
                <w:lang w:val="fr-CA"/>
              </w:rPr>
              <w:t>17 juin 2021</w:t>
            </w:r>
          </w:p>
          <w:p w:rsidR="00BE597E" w:rsidRPr="001F1644" w:rsidRDefault="00BE597E" w:rsidP="00BE597E">
            <w:pPr>
              <w:jc w:val="both"/>
              <w:rPr>
                <w:sz w:val="20"/>
                <w:lang w:val="fr-CA"/>
              </w:rPr>
            </w:pPr>
            <w:r w:rsidRPr="001F1644">
              <w:rPr>
                <w:sz w:val="20"/>
                <w:lang w:val="fr-CA"/>
              </w:rPr>
              <w:t>Cour d’appel de l’Ontario</w:t>
            </w:r>
          </w:p>
          <w:p w:rsidR="00BE597E" w:rsidRPr="001F1644" w:rsidRDefault="00BE597E" w:rsidP="00BE597E">
            <w:pPr>
              <w:jc w:val="both"/>
              <w:rPr>
                <w:sz w:val="20"/>
                <w:lang w:val="fr-CA"/>
              </w:rPr>
            </w:pPr>
            <w:r w:rsidRPr="001F1644">
              <w:rPr>
                <w:sz w:val="20"/>
                <w:lang w:val="fr-CA"/>
              </w:rPr>
              <w:t>(juges Benotto, Miller, Trotter)</w:t>
            </w:r>
          </w:p>
          <w:p w:rsidR="00BE597E" w:rsidRPr="001F1644" w:rsidRDefault="00724EE4" w:rsidP="00BE597E">
            <w:pPr>
              <w:jc w:val="both"/>
              <w:rPr>
                <w:sz w:val="20"/>
                <w:lang w:val="fr-CA"/>
              </w:rPr>
            </w:pPr>
            <w:hyperlink r:id="rId49" w:history="1">
              <w:r w:rsidR="00BE597E" w:rsidRPr="001F1644">
                <w:rPr>
                  <w:rStyle w:val="Hyperlink"/>
                  <w:sz w:val="20"/>
                  <w:lang w:val="fr-CA"/>
                </w:rPr>
                <w:t>2021 ONCA 428</w:t>
              </w:r>
            </w:hyperlink>
            <w:r w:rsidR="00BE597E" w:rsidRPr="001F1644">
              <w:rPr>
                <w:sz w:val="20"/>
                <w:lang w:val="fr-CA"/>
              </w:rPr>
              <w:t>; C68394</w:t>
            </w:r>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Appel rejeté</w:t>
            </w:r>
          </w:p>
          <w:p w:rsidR="00BE597E" w:rsidRPr="001F1644" w:rsidRDefault="00BE597E" w:rsidP="00BE597E">
            <w:pPr>
              <w:jc w:val="both"/>
              <w:rPr>
                <w:sz w:val="20"/>
                <w:lang w:val="fr-CA"/>
              </w:rPr>
            </w:pPr>
          </w:p>
        </w:tc>
      </w:tr>
      <w:tr w:rsidR="00BE597E" w:rsidRPr="001F1644" w:rsidTr="00BE597E">
        <w:tc>
          <w:tcPr>
            <w:tcW w:w="2427" w:type="pct"/>
            <w:gridSpan w:val="2"/>
          </w:tcPr>
          <w:p w:rsidR="00BE597E" w:rsidRPr="001F1644" w:rsidRDefault="00BE597E" w:rsidP="00BE597E">
            <w:pPr>
              <w:jc w:val="both"/>
              <w:rPr>
                <w:sz w:val="20"/>
                <w:lang w:val="fr-CA"/>
              </w:rPr>
            </w:pPr>
            <w:r w:rsidRPr="001F1644">
              <w:rPr>
                <w:sz w:val="20"/>
                <w:lang w:val="fr-CA"/>
              </w:rPr>
              <w:t>15 septembre 2021</w:t>
            </w:r>
          </w:p>
          <w:p w:rsidR="00BE597E" w:rsidRPr="001F1644" w:rsidRDefault="00BE597E" w:rsidP="00BE597E">
            <w:pPr>
              <w:jc w:val="both"/>
              <w:rPr>
                <w:sz w:val="20"/>
                <w:lang w:val="fr-CA"/>
              </w:rPr>
            </w:pPr>
            <w:r w:rsidRPr="001F1644">
              <w:rPr>
                <w:sz w:val="20"/>
                <w:lang w:val="fr-CA"/>
              </w:rPr>
              <w:t>Cour suprême du Canada</w:t>
            </w: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Demande d’autorisation d’appel déposée</w:t>
            </w:r>
          </w:p>
          <w:p w:rsidR="00BE597E" w:rsidRPr="001F1644" w:rsidRDefault="00BE597E" w:rsidP="00BE597E">
            <w:pPr>
              <w:jc w:val="both"/>
              <w:rPr>
                <w:sz w:val="20"/>
                <w:lang w:val="fr-CA"/>
              </w:rPr>
            </w:pPr>
          </w:p>
        </w:tc>
      </w:tr>
    </w:tbl>
    <w:p w:rsidR="00BE597E" w:rsidRPr="001F1644" w:rsidRDefault="00BE597E" w:rsidP="00BE597E">
      <w:pPr>
        <w:jc w:val="both"/>
        <w:rPr>
          <w:sz w:val="20"/>
          <w:lang w:val="fr-CA"/>
        </w:rPr>
      </w:pPr>
    </w:p>
    <w:p w:rsidR="007607A2" w:rsidRPr="001F1644" w:rsidRDefault="00724EE4" w:rsidP="00BE597E">
      <w:pPr>
        <w:jc w:val="both"/>
        <w:rPr>
          <w:sz w:val="20"/>
          <w:lang w:val="fr-CA"/>
        </w:rPr>
      </w:pPr>
      <w:r>
        <w:rPr>
          <w:sz w:val="20"/>
        </w:rPr>
        <w:pict>
          <v:rect id="_x0000_i1038" style="width:2in;height:1pt" o:hrpct="0" o:hralign="center" o:hrstd="t" o:hrnoshade="t" o:hr="t" fillcolor="black [3213]" stroked="f"/>
        </w:pict>
      </w:r>
    </w:p>
    <w:p w:rsidR="00BE597E" w:rsidRPr="001F1644" w:rsidRDefault="00BE597E"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39886</w:t>
            </w:r>
          </w:p>
        </w:tc>
        <w:tc>
          <w:tcPr>
            <w:tcW w:w="4457" w:type="pct"/>
            <w:gridSpan w:val="3"/>
          </w:tcPr>
          <w:p w:rsidR="00BE597E" w:rsidRPr="001F1644" w:rsidRDefault="00BE597E" w:rsidP="00BE597E">
            <w:pPr>
              <w:pStyle w:val="SCCLsocParty"/>
              <w:jc w:val="both"/>
              <w:rPr>
                <w:b/>
                <w:sz w:val="20"/>
                <w:szCs w:val="20"/>
                <w:lang w:val="en-US"/>
              </w:rPr>
            </w:pPr>
            <w:r w:rsidRPr="001F1644">
              <w:rPr>
                <w:b/>
                <w:sz w:val="20"/>
                <w:szCs w:val="20"/>
                <w:lang w:val="en-US"/>
              </w:rPr>
              <w:t>Paul Dass, 1218934 Ontario Limited, 2169460 Ontario Limited v. Mark Kay, CFO Capital</w:t>
            </w:r>
          </w:p>
          <w:p w:rsidR="00BE597E" w:rsidRPr="001F1644" w:rsidRDefault="00BE597E" w:rsidP="00BE597E">
            <w:pPr>
              <w:jc w:val="both"/>
              <w:rPr>
                <w:sz w:val="20"/>
              </w:rPr>
            </w:pPr>
            <w:r w:rsidRPr="001F1644">
              <w:rPr>
                <w:sz w:val="20"/>
              </w:rPr>
              <w:t>(Ont.) (Civil) (By Leave)</w:t>
            </w:r>
          </w:p>
        </w:tc>
      </w:tr>
      <w:tr w:rsidR="00BE597E" w:rsidRPr="001F1644" w:rsidTr="00BE597E">
        <w:tc>
          <w:tcPr>
            <w:tcW w:w="5000" w:type="pct"/>
            <w:gridSpan w:val="4"/>
          </w:tcPr>
          <w:p w:rsidR="00BE597E" w:rsidRPr="001F1644" w:rsidRDefault="00BE597E" w:rsidP="00BE597E">
            <w:pPr>
              <w:jc w:val="both"/>
              <w:rPr>
                <w:sz w:val="20"/>
              </w:rPr>
            </w:pPr>
            <w:r w:rsidRPr="001F1644">
              <w:rPr>
                <w:sz w:val="20"/>
              </w:rPr>
              <w:t>Limitation of actions — Discoverability — Summary judgment — Motion judge granting motion for summary judgment and dismissing action of plaintiffs as statute-barred — Court of Appeal affirming decision of motion judge — Whether Court of Appeal’s acceptance of only two exceptions to postponing the two</w:t>
            </w:r>
            <w:r w:rsidRPr="001F1644">
              <w:rPr>
                <w:sz w:val="20"/>
              </w:rPr>
              <w:noBreakHyphen/>
              <w:t xml:space="preserve">year limitation period in its interpretation of s. 5 of the </w:t>
            </w:r>
            <w:r w:rsidRPr="001F1644">
              <w:rPr>
                <w:i/>
                <w:sz w:val="20"/>
              </w:rPr>
              <w:t>Limitations Act, 2002</w:t>
            </w:r>
            <w:r w:rsidRPr="001F1644">
              <w:rPr>
                <w:sz w:val="20"/>
              </w:rPr>
              <w:t>, S.O. 2002, c. 24, Sched. B, is too restrictive, thereby frustrating the purpose of the legislature in enacting the section — Whether in light of s. 5(1)(a)(iv), the Court of Appeal’s continued adherence to inapplicable principles of law relating to determining the tolling of the two</w:t>
            </w:r>
            <w:r w:rsidRPr="001F1644">
              <w:rPr>
                <w:sz w:val="20"/>
              </w:rPr>
              <w:noBreakHyphen/>
              <w:t xml:space="preserve">year limitation period, is correct </w:t>
            </w:r>
            <w:r w:rsidRPr="001F1644">
              <w:rPr>
                <w:color w:val="000000"/>
                <w:sz w:val="20"/>
              </w:rPr>
              <w:t>—</w:t>
            </w:r>
            <w:r w:rsidRPr="001F1644">
              <w:rPr>
                <w:sz w:val="20"/>
              </w:rPr>
              <w:t xml:space="preserve"> </w:t>
            </w:r>
            <w:r w:rsidRPr="001F1644">
              <w:rPr>
                <w:i/>
                <w:sz w:val="20"/>
              </w:rPr>
              <w:t>Limitations Act, 2002</w:t>
            </w:r>
            <w:r w:rsidRPr="001F1644">
              <w:rPr>
                <w:sz w:val="20"/>
              </w:rPr>
              <w:t>, S.O. 2002, c. 24, Sched. B, s. 5.</w:t>
            </w:r>
          </w:p>
        </w:tc>
      </w:tr>
      <w:tr w:rsidR="00BE597E" w:rsidRPr="001F1644" w:rsidTr="00BE597E">
        <w:tc>
          <w:tcPr>
            <w:tcW w:w="5000" w:type="pct"/>
            <w:gridSpan w:val="4"/>
          </w:tcPr>
          <w:p w:rsidR="00BE597E" w:rsidRPr="001F1644" w:rsidRDefault="00BE597E" w:rsidP="00BE597E">
            <w:pPr>
              <w:jc w:val="both"/>
              <w:rPr>
                <w:sz w:val="20"/>
              </w:rPr>
            </w:pPr>
          </w:p>
        </w:tc>
      </w:tr>
      <w:tr w:rsidR="00BE597E" w:rsidRPr="001F1644" w:rsidTr="007607A2">
        <w:trPr>
          <w:trHeight w:val="1366"/>
        </w:trPr>
        <w:tc>
          <w:tcPr>
            <w:tcW w:w="5000" w:type="pct"/>
            <w:gridSpan w:val="4"/>
          </w:tcPr>
          <w:p w:rsidR="00BE597E" w:rsidRPr="001F1644" w:rsidRDefault="00BE597E" w:rsidP="00BE597E">
            <w:pPr>
              <w:jc w:val="both"/>
              <w:rPr>
                <w:color w:val="000000"/>
                <w:sz w:val="20"/>
              </w:rPr>
            </w:pPr>
            <w:r w:rsidRPr="001F1644">
              <w:rPr>
                <w:color w:val="000000"/>
                <w:sz w:val="20"/>
              </w:rPr>
              <w:t xml:space="preserve">The Ontario Superior Court of Justice granted a motion for summary judgment dismissing the action of the applicants in which they sought damages for reputational and commercial harm caused by the respondents, as being statute barred under the </w:t>
            </w:r>
            <w:r w:rsidRPr="001F1644">
              <w:rPr>
                <w:i/>
                <w:color w:val="000000"/>
                <w:sz w:val="20"/>
              </w:rPr>
              <w:t>Limitations Act, 2002</w:t>
            </w:r>
            <w:r w:rsidRPr="001F1644">
              <w:rPr>
                <w:color w:val="000000"/>
                <w:sz w:val="20"/>
              </w:rPr>
              <w:t xml:space="preserve">. The Ontario Court of Appeal unanimously dismissed the applicants’ appeal, rejecting their arguments that the motion judge committed multiple errors of law in interpreting s. 5 of the </w:t>
            </w:r>
            <w:r w:rsidRPr="001F1644">
              <w:rPr>
                <w:i/>
                <w:color w:val="000000"/>
                <w:sz w:val="20"/>
              </w:rPr>
              <w:t>Limitations Act, 2002</w:t>
            </w:r>
            <w:r w:rsidRPr="001F1644">
              <w:rPr>
                <w:color w:val="000000"/>
                <w:sz w:val="20"/>
              </w:rPr>
              <w:t xml:space="preserve">, and palpable and overriding errors of law in reaching her conclusion. </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January 17, 2020</w:t>
            </w:r>
          </w:p>
          <w:p w:rsidR="00BE597E" w:rsidRPr="001F1644" w:rsidRDefault="00BE597E" w:rsidP="00BE597E">
            <w:pPr>
              <w:jc w:val="both"/>
              <w:rPr>
                <w:sz w:val="20"/>
              </w:rPr>
            </w:pPr>
            <w:r w:rsidRPr="001F1644">
              <w:rPr>
                <w:sz w:val="20"/>
              </w:rPr>
              <w:t>Ontario Superior Court of Justice</w:t>
            </w:r>
          </w:p>
          <w:p w:rsidR="00BE597E" w:rsidRPr="001F1644" w:rsidRDefault="00BE597E" w:rsidP="00BE597E">
            <w:pPr>
              <w:jc w:val="both"/>
              <w:rPr>
                <w:sz w:val="20"/>
              </w:rPr>
            </w:pPr>
            <w:r w:rsidRPr="001F1644">
              <w:rPr>
                <w:sz w:val="20"/>
              </w:rPr>
              <w:t>(Fowler Byrne J.)</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Respondents’ motion for summary judgment granted; applicants’ action dismissed</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August 11, 2021</w:t>
            </w:r>
          </w:p>
          <w:p w:rsidR="00BE597E" w:rsidRPr="001F1644" w:rsidRDefault="00BE597E" w:rsidP="00BE597E">
            <w:pPr>
              <w:jc w:val="both"/>
              <w:rPr>
                <w:sz w:val="20"/>
              </w:rPr>
            </w:pPr>
            <w:r w:rsidRPr="001F1644">
              <w:rPr>
                <w:sz w:val="20"/>
              </w:rPr>
              <w:t>Court of Appeal for Ontario</w:t>
            </w:r>
          </w:p>
          <w:p w:rsidR="00BE597E" w:rsidRPr="001F1644" w:rsidRDefault="00BE597E" w:rsidP="00BE597E">
            <w:pPr>
              <w:jc w:val="both"/>
              <w:rPr>
                <w:sz w:val="20"/>
              </w:rPr>
            </w:pPr>
            <w:r w:rsidRPr="001F1644">
              <w:rPr>
                <w:sz w:val="20"/>
              </w:rPr>
              <w:t>(Strathy C.J.O. and Brown and Miller JJ.A.)</w:t>
            </w:r>
          </w:p>
          <w:p w:rsidR="00BE597E" w:rsidRPr="001F1644" w:rsidRDefault="00724EE4" w:rsidP="00BE597E">
            <w:pPr>
              <w:jc w:val="both"/>
              <w:rPr>
                <w:sz w:val="20"/>
              </w:rPr>
            </w:pPr>
            <w:hyperlink r:id="rId50" w:history="1">
              <w:r w:rsidR="00BE597E" w:rsidRPr="001F1644">
                <w:rPr>
                  <w:rStyle w:val="Hyperlink"/>
                  <w:sz w:val="20"/>
                </w:rPr>
                <w:t>2021 ONCA 565</w:t>
              </w:r>
            </w:hyperlink>
            <w:r w:rsidR="00BE597E" w:rsidRPr="001F1644">
              <w:rPr>
                <w:sz w:val="20"/>
              </w:rPr>
              <w:t xml:space="preserve"> </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Appeal dismissed</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October 13, 2021</w:t>
            </w:r>
          </w:p>
          <w:p w:rsidR="00BE597E" w:rsidRPr="001F1644" w:rsidRDefault="00BE597E" w:rsidP="00BE597E">
            <w:pPr>
              <w:jc w:val="both"/>
              <w:rPr>
                <w:sz w:val="20"/>
              </w:rPr>
            </w:pPr>
            <w:r w:rsidRPr="001F1644">
              <w:rPr>
                <w:sz w:val="20"/>
              </w:rPr>
              <w:t>Supreme Court of Canada</w:t>
            </w: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Application for leave to appeal filed</w:t>
            </w:r>
          </w:p>
          <w:p w:rsidR="00BE597E" w:rsidRPr="001F1644" w:rsidRDefault="00BE597E" w:rsidP="00BE597E">
            <w:pPr>
              <w:jc w:val="both"/>
              <w:rPr>
                <w:sz w:val="20"/>
              </w:rPr>
            </w:pPr>
          </w:p>
        </w:tc>
      </w:tr>
    </w:tbl>
    <w:p w:rsidR="00BE597E" w:rsidRPr="001F1644" w:rsidRDefault="00BE597E" w:rsidP="00BE597E">
      <w:pPr>
        <w:jc w:val="both"/>
        <w:rPr>
          <w:sz w:val="20"/>
        </w:rPr>
      </w:pPr>
    </w:p>
    <w:p w:rsidR="007607A2" w:rsidRPr="001F1644" w:rsidRDefault="00724EE4" w:rsidP="00BE597E">
      <w:pPr>
        <w:jc w:val="both"/>
        <w:rPr>
          <w:sz w:val="20"/>
        </w:rPr>
      </w:pPr>
      <w:r>
        <w:rPr>
          <w:sz w:val="20"/>
        </w:rPr>
        <w:pict>
          <v:rect id="_x0000_i1039" style="width:2in;height:1pt" o:hrpct="0" o:hralign="center" o:hrstd="t" o:hrnoshade="t" o:hr="t" fillcolor="black [3213]" stroked="f"/>
        </w:pict>
      </w:r>
    </w:p>
    <w:p w:rsidR="007607A2" w:rsidRPr="001F1644" w:rsidRDefault="007607A2" w:rsidP="00BE59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39886</w:t>
            </w:r>
          </w:p>
        </w:tc>
        <w:tc>
          <w:tcPr>
            <w:tcW w:w="4457" w:type="pct"/>
            <w:gridSpan w:val="3"/>
          </w:tcPr>
          <w:p w:rsidR="00BE597E" w:rsidRPr="001F1644" w:rsidRDefault="00BE597E" w:rsidP="00BE597E">
            <w:pPr>
              <w:pStyle w:val="SCCLsocParty"/>
              <w:jc w:val="both"/>
              <w:rPr>
                <w:b/>
                <w:sz w:val="20"/>
                <w:szCs w:val="20"/>
                <w:lang w:val="en-US"/>
              </w:rPr>
            </w:pPr>
            <w:r w:rsidRPr="001F1644">
              <w:rPr>
                <w:b/>
                <w:sz w:val="20"/>
                <w:szCs w:val="20"/>
                <w:lang w:val="en-US"/>
              </w:rPr>
              <w:t>Paul Dass, 1218934 Ontario Limited, 2169460 Ontario Limited c. Mark Kay, CFO Capital</w:t>
            </w:r>
          </w:p>
          <w:p w:rsidR="00BE597E" w:rsidRPr="001F1644" w:rsidRDefault="00BE597E" w:rsidP="00BE597E">
            <w:pPr>
              <w:jc w:val="both"/>
              <w:rPr>
                <w:sz w:val="20"/>
              </w:rPr>
            </w:pPr>
            <w:r w:rsidRPr="001F1644">
              <w:rPr>
                <w:sz w:val="20"/>
              </w:rPr>
              <w:t>(Ont.) (Civile) (Autorisation)</w:t>
            </w:r>
          </w:p>
        </w:tc>
      </w:tr>
      <w:tr w:rsidR="00BE597E" w:rsidRPr="00724EE4" w:rsidTr="00BE597E">
        <w:tc>
          <w:tcPr>
            <w:tcW w:w="5000" w:type="pct"/>
            <w:gridSpan w:val="4"/>
          </w:tcPr>
          <w:p w:rsidR="00BE597E" w:rsidRPr="001F1644" w:rsidRDefault="00BE597E" w:rsidP="00BE597E">
            <w:pPr>
              <w:jc w:val="both"/>
              <w:rPr>
                <w:sz w:val="20"/>
                <w:lang w:val="fr-CA"/>
              </w:rPr>
            </w:pPr>
            <w:r w:rsidRPr="001F1644">
              <w:rPr>
                <w:sz w:val="20"/>
                <w:lang w:val="fr-CA"/>
              </w:rPr>
              <w:t xml:space="preserve">Prescription — Possibilité de découvrir — Jugement sommaire — Juge des motions accueillant la requête en jugement sommaire et rejetant l’action des demandeurs, au motif qu’elle était prescrite par la loi — Cour d’appel confirmant la décision de la juge des motions — Le fait que la Cour d’appel a accepté seulement deux exceptions au report de la prescription de deux ans dans son interprétation de l’art. 5 de la </w:t>
            </w:r>
            <w:r w:rsidRPr="001F1644">
              <w:rPr>
                <w:i/>
                <w:sz w:val="20"/>
                <w:lang w:val="fr-CA"/>
              </w:rPr>
              <w:t xml:space="preserve">Loi de 2002 sur la prescription des </w:t>
            </w:r>
            <w:r w:rsidRPr="001F1644">
              <w:rPr>
                <w:i/>
                <w:sz w:val="20"/>
                <w:lang w:val="fr-CA"/>
              </w:rPr>
              <w:lastRenderedPageBreak/>
              <w:t>actions</w:t>
            </w:r>
            <w:r w:rsidRPr="001F1644">
              <w:rPr>
                <w:sz w:val="20"/>
                <w:lang w:val="fr-CA"/>
              </w:rPr>
              <w:t>, L.O. 2002, chap. 24, Annexe B, est</w:t>
            </w:r>
            <w:r w:rsidRPr="001F1644">
              <w:rPr>
                <w:sz w:val="20"/>
                <w:lang w:val="fr-CA"/>
              </w:rPr>
              <w:noBreakHyphen/>
              <w:t>il trop restrictif, minant ainsi l’objectif de la législature lorsqu’elle a adopté cet article? — À la lumière du sous</w:t>
            </w:r>
            <w:r w:rsidRPr="001F1644">
              <w:rPr>
                <w:sz w:val="20"/>
                <w:lang w:val="fr-CA"/>
              </w:rPr>
              <w:noBreakHyphen/>
              <w:t>al. 5(1)a</w:t>
            </w:r>
            <w:proofErr w:type="gramStart"/>
            <w:r w:rsidRPr="001F1644">
              <w:rPr>
                <w:sz w:val="20"/>
                <w:lang w:val="fr-CA"/>
              </w:rPr>
              <w:t>)(</w:t>
            </w:r>
            <w:proofErr w:type="gramEnd"/>
            <w:r w:rsidRPr="001F1644">
              <w:rPr>
                <w:sz w:val="20"/>
                <w:lang w:val="fr-CA"/>
              </w:rPr>
              <w:t xml:space="preserve">iv), l’adhésion continue de la Cour d’appel  à des principes de droit inapplicables relativement à la détermination du poids de la prescription de deux ans est-elle correcte? </w:t>
            </w:r>
            <w:r w:rsidRPr="001F1644">
              <w:rPr>
                <w:color w:val="000000"/>
                <w:sz w:val="20"/>
                <w:lang w:val="fr-CA"/>
              </w:rPr>
              <w:t>—</w:t>
            </w:r>
            <w:r w:rsidRPr="001F1644">
              <w:rPr>
                <w:sz w:val="20"/>
                <w:lang w:val="fr-CA"/>
              </w:rPr>
              <w:t xml:space="preserve"> </w:t>
            </w:r>
            <w:r w:rsidRPr="001F1644">
              <w:rPr>
                <w:i/>
                <w:sz w:val="20"/>
                <w:lang w:val="fr-CA"/>
              </w:rPr>
              <w:t>Loi de 2002 sur la prescription des actions</w:t>
            </w:r>
            <w:r w:rsidRPr="001F1644">
              <w:rPr>
                <w:sz w:val="20"/>
                <w:lang w:val="fr-CA"/>
              </w:rPr>
              <w:t>, L.O. 2002, chap. 24, Annexe B, art. 5.</w:t>
            </w:r>
          </w:p>
        </w:tc>
      </w:tr>
      <w:tr w:rsidR="00BE597E" w:rsidRPr="00724EE4" w:rsidTr="00BE597E">
        <w:tc>
          <w:tcPr>
            <w:tcW w:w="5000" w:type="pct"/>
            <w:gridSpan w:val="4"/>
          </w:tcPr>
          <w:p w:rsidR="00BE597E" w:rsidRPr="001F1644" w:rsidRDefault="00BE597E" w:rsidP="00BE597E">
            <w:pPr>
              <w:jc w:val="both"/>
              <w:rPr>
                <w:sz w:val="20"/>
                <w:lang w:val="fr-CA"/>
              </w:rPr>
            </w:pPr>
          </w:p>
        </w:tc>
      </w:tr>
      <w:tr w:rsidR="00BE597E" w:rsidRPr="00724EE4" w:rsidTr="007607A2">
        <w:trPr>
          <w:trHeight w:val="1764"/>
        </w:trPr>
        <w:tc>
          <w:tcPr>
            <w:tcW w:w="5000" w:type="pct"/>
            <w:gridSpan w:val="4"/>
          </w:tcPr>
          <w:p w:rsidR="00BE597E" w:rsidRPr="001F1644" w:rsidRDefault="00BE597E" w:rsidP="00BE597E">
            <w:pPr>
              <w:jc w:val="both"/>
              <w:rPr>
                <w:color w:val="000000"/>
                <w:sz w:val="20"/>
                <w:lang w:val="fr-CA"/>
              </w:rPr>
            </w:pPr>
            <w:r w:rsidRPr="001F1644">
              <w:rPr>
                <w:color w:val="000000"/>
                <w:sz w:val="20"/>
                <w:lang w:val="fr-CA"/>
              </w:rPr>
              <w:t>La Cour supérieure de justice de l’Ontario a accueilli la motion en jugement sommaire, rejetant l’action des demandeurs dans laquelle ces derniers sollicitaient des dommages</w:t>
            </w:r>
            <w:r w:rsidRPr="001F1644">
              <w:rPr>
                <w:color w:val="000000"/>
                <w:sz w:val="20"/>
                <w:lang w:val="fr-CA"/>
              </w:rPr>
              <w:noBreakHyphen/>
              <w:t xml:space="preserve">intérêts pour le préjudice à leur réputation et à leurs activités commerciales causé par les défendeurs, en raison de la prescription légale, au titre de la </w:t>
            </w:r>
            <w:r w:rsidRPr="001F1644">
              <w:rPr>
                <w:i/>
                <w:color w:val="000000"/>
                <w:sz w:val="20"/>
                <w:lang w:val="fr-CA"/>
              </w:rPr>
              <w:t>Loi de 2002 sur la prescription des actions</w:t>
            </w:r>
            <w:r w:rsidRPr="001F1644">
              <w:rPr>
                <w:color w:val="000000"/>
                <w:sz w:val="20"/>
                <w:lang w:val="fr-CA"/>
              </w:rPr>
              <w:t xml:space="preserve">. La Cour d’appel de l’Ontario a rejeté à l’unanimité l’appel des demandeurs, rejetant leurs arguments selon lesquels la juge de la motion a commis de nombreuses erreurs de droit en interprétant l’art. 5 de la </w:t>
            </w:r>
            <w:r w:rsidRPr="001F1644">
              <w:rPr>
                <w:i/>
                <w:color w:val="000000"/>
                <w:sz w:val="20"/>
                <w:lang w:val="fr-CA"/>
              </w:rPr>
              <w:t>Loi de 2002 sur la prescription des actions</w:t>
            </w:r>
            <w:r w:rsidRPr="001F1644">
              <w:rPr>
                <w:color w:val="000000"/>
                <w:sz w:val="20"/>
                <w:lang w:val="fr-CA"/>
              </w:rPr>
              <w:t>, et des erreurs manifestes et déterminantes de droit en tirant sa conclusion.</w:t>
            </w:r>
          </w:p>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17 janvier 2020</w:t>
            </w:r>
          </w:p>
          <w:p w:rsidR="00BE597E" w:rsidRPr="001F1644" w:rsidRDefault="00BE597E" w:rsidP="00BE597E">
            <w:pPr>
              <w:jc w:val="both"/>
              <w:rPr>
                <w:sz w:val="20"/>
                <w:lang w:val="fr-CA"/>
              </w:rPr>
            </w:pPr>
            <w:r w:rsidRPr="001F1644">
              <w:rPr>
                <w:sz w:val="20"/>
                <w:lang w:val="fr-CA"/>
              </w:rPr>
              <w:t xml:space="preserve">Cour supérieure de justice de l’Ontario </w:t>
            </w:r>
          </w:p>
          <w:p w:rsidR="00BE597E" w:rsidRPr="001F1644" w:rsidRDefault="00BE597E" w:rsidP="00BE597E">
            <w:pPr>
              <w:jc w:val="both"/>
              <w:rPr>
                <w:sz w:val="20"/>
              </w:rPr>
            </w:pPr>
            <w:r w:rsidRPr="001F1644">
              <w:rPr>
                <w:sz w:val="20"/>
              </w:rPr>
              <w:t>(juge Fowler Byrne)</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lang w:val="fr-CA"/>
              </w:rPr>
            </w:pPr>
            <w:r w:rsidRPr="001F1644">
              <w:rPr>
                <w:sz w:val="20"/>
                <w:lang w:val="fr-CA"/>
              </w:rPr>
              <w:t xml:space="preserve">Requête des défendeurs en vue du jugement sommaire accueillie; action des demandeurs rejetée </w:t>
            </w:r>
          </w:p>
          <w:p w:rsidR="00BE597E" w:rsidRPr="001F1644" w:rsidRDefault="00BE597E" w:rsidP="00BE597E">
            <w:pPr>
              <w:jc w:val="both"/>
              <w:rPr>
                <w:sz w:val="20"/>
                <w:lang w:val="fr-CA"/>
              </w:rPr>
            </w:pPr>
          </w:p>
        </w:tc>
      </w:tr>
      <w:tr w:rsidR="00BE597E" w:rsidRPr="001F1644" w:rsidTr="00BE597E">
        <w:tc>
          <w:tcPr>
            <w:tcW w:w="2427" w:type="pct"/>
            <w:gridSpan w:val="2"/>
          </w:tcPr>
          <w:p w:rsidR="00BE597E" w:rsidRPr="001F1644" w:rsidRDefault="00BE597E" w:rsidP="00BE597E">
            <w:pPr>
              <w:jc w:val="both"/>
              <w:rPr>
                <w:sz w:val="20"/>
                <w:lang w:val="fr-CA"/>
              </w:rPr>
            </w:pPr>
            <w:r w:rsidRPr="001F1644">
              <w:rPr>
                <w:sz w:val="20"/>
                <w:lang w:val="fr-CA"/>
              </w:rPr>
              <w:t>11 août 2021</w:t>
            </w:r>
          </w:p>
          <w:p w:rsidR="00BE597E" w:rsidRPr="001F1644" w:rsidRDefault="00BE597E" w:rsidP="00BE597E">
            <w:pPr>
              <w:jc w:val="both"/>
              <w:rPr>
                <w:sz w:val="20"/>
                <w:lang w:val="fr-CA"/>
              </w:rPr>
            </w:pPr>
            <w:r w:rsidRPr="001F1644">
              <w:rPr>
                <w:sz w:val="20"/>
                <w:lang w:val="fr-CA"/>
              </w:rPr>
              <w:t>Cour d’appel de l’Ontario</w:t>
            </w:r>
          </w:p>
          <w:p w:rsidR="00BE597E" w:rsidRPr="001F1644" w:rsidRDefault="00BE597E" w:rsidP="00BE597E">
            <w:pPr>
              <w:jc w:val="both"/>
              <w:rPr>
                <w:sz w:val="20"/>
                <w:lang w:val="fr-CA"/>
              </w:rPr>
            </w:pPr>
            <w:r w:rsidRPr="001F1644">
              <w:rPr>
                <w:sz w:val="20"/>
                <w:lang w:val="fr-CA"/>
              </w:rPr>
              <w:t>(juge en chef Strathy et juges Brown et Miller)</w:t>
            </w:r>
          </w:p>
          <w:p w:rsidR="00BE597E" w:rsidRPr="001F1644" w:rsidRDefault="00724EE4" w:rsidP="00BE597E">
            <w:pPr>
              <w:jc w:val="both"/>
              <w:rPr>
                <w:sz w:val="20"/>
                <w:lang w:val="fr-CA"/>
              </w:rPr>
            </w:pPr>
            <w:hyperlink r:id="rId51" w:history="1">
              <w:r w:rsidR="00BE597E" w:rsidRPr="001F1644">
                <w:rPr>
                  <w:rStyle w:val="Hyperlink"/>
                  <w:sz w:val="20"/>
                  <w:lang w:val="fr-CA"/>
                </w:rPr>
                <w:t>2021 ONCA 565</w:t>
              </w:r>
            </w:hyperlink>
            <w:r w:rsidR="00BE597E" w:rsidRPr="001F1644">
              <w:rPr>
                <w:sz w:val="20"/>
                <w:lang w:val="fr-CA"/>
              </w:rPr>
              <w:t xml:space="preserve"> </w:t>
            </w:r>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rPr>
            </w:pPr>
            <w:r w:rsidRPr="001F1644">
              <w:rPr>
                <w:sz w:val="20"/>
              </w:rPr>
              <w:t>Appel rejeté</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lang w:val="fr-CA"/>
              </w:rPr>
            </w:pPr>
            <w:r w:rsidRPr="001F1644">
              <w:rPr>
                <w:sz w:val="20"/>
                <w:lang w:val="fr-CA"/>
              </w:rPr>
              <w:t>13 octobre 2021</w:t>
            </w:r>
          </w:p>
          <w:p w:rsidR="00BE597E" w:rsidRPr="001F1644" w:rsidRDefault="00BE597E" w:rsidP="00BE597E">
            <w:pPr>
              <w:jc w:val="both"/>
              <w:rPr>
                <w:sz w:val="20"/>
                <w:lang w:val="fr-CA"/>
              </w:rPr>
            </w:pPr>
            <w:r w:rsidRPr="001F1644">
              <w:rPr>
                <w:sz w:val="20"/>
                <w:lang w:val="fr-CA"/>
              </w:rPr>
              <w:t>Cour suprême du Canada</w:t>
            </w: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rPr>
            </w:pPr>
            <w:r w:rsidRPr="001F1644">
              <w:rPr>
                <w:sz w:val="20"/>
              </w:rPr>
              <w:t>Demande d’autorisation d’appel déposée</w:t>
            </w:r>
          </w:p>
          <w:p w:rsidR="00BE597E" w:rsidRPr="001F1644" w:rsidRDefault="00BE597E" w:rsidP="00BE597E">
            <w:pPr>
              <w:jc w:val="both"/>
              <w:rPr>
                <w:sz w:val="20"/>
              </w:rPr>
            </w:pPr>
          </w:p>
        </w:tc>
      </w:tr>
    </w:tbl>
    <w:p w:rsidR="00BE597E" w:rsidRPr="001F1644" w:rsidRDefault="00BE597E" w:rsidP="00BE597E">
      <w:pPr>
        <w:jc w:val="both"/>
        <w:rPr>
          <w:sz w:val="20"/>
        </w:rPr>
      </w:pPr>
    </w:p>
    <w:p w:rsidR="007607A2" w:rsidRPr="001F1644" w:rsidRDefault="00724EE4" w:rsidP="00BE597E">
      <w:pPr>
        <w:jc w:val="both"/>
        <w:rPr>
          <w:sz w:val="20"/>
        </w:rPr>
      </w:pPr>
      <w:r>
        <w:rPr>
          <w:sz w:val="20"/>
        </w:rPr>
        <w:pict>
          <v:rect id="_x0000_i1040" style="width:2in;height:1pt" o:hrpct="0" o:hralign="center" o:hrstd="t" o:hrnoshade="t" o:hr="t" fillcolor="black [3213]" stroked="f"/>
        </w:pict>
      </w:r>
    </w:p>
    <w:p w:rsidR="00BA25C8" w:rsidRPr="001F1644" w:rsidRDefault="00BA25C8"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39830</w:t>
            </w:r>
          </w:p>
        </w:tc>
        <w:tc>
          <w:tcPr>
            <w:tcW w:w="4457" w:type="pct"/>
            <w:gridSpan w:val="3"/>
          </w:tcPr>
          <w:p w:rsidR="00BE597E" w:rsidRPr="001F1644" w:rsidRDefault="00BE597E" w:rsidP="00BE597E">
            <w:pPr>
              <w:pStyle w:val="SCCLsocParty"/>
              <w:jc w:val="both"/>
              <w:rPr>
                <w:b/>
                <w:sz w:val="20"/>
                <w:szCs w:val="20"/>
                <w:lang w:val="en-US"/>
              </w:rPr>
            </w:pPr>
            <w:r w:rsidRPr="001F1644">
              <w:rPr>
                <w:b/>
                <w:sz w:val="20"/>
                <w:szCs w:val="20"/>
                <w:lang w:val="en-US"/>
              </w:rPr>
              <w:t>Her Majesty the Queen v. Abram Letkeman</w:t>
            </w:r>
          </w:p>
          <w:p w:rsidR="00BE597E" w:rsidRPr="001F1644" w:rsidRDefault="00BE597E" w:rsidP="00BE597E">
            <w:pPr>
              <w:jc w:val="both"/>
              <w:rPr>
                <w:sz w:val="20"/>
              </w:rPr>
            </w:pPr>
            <w:r w:rsidRPr="001F1644">
              <w:rPr>
                <w:sz w:val="20"/>
              </w:rPr>
              <w:t>(Man.) (Criminal) (By Leave)</w:t>
            </w:r>
          </w:p>
        </w:tc>
      </w:tr>
      <w:tr w:rsidR="00BE597E" w:rsidRPr="001F1644" w:rsidTr="00BE597E">
        <w:tc>
          <w:tcPr>
            <w:tcW w:w="5000" w:type="pct"/>
            <w:gridSpan w:val="4"/>
          </w:tcPr>
          <w:p w:rsidR="00BE597E" w:rsidRPr="001F1644" w:rsidRDefault="00BE597E" w:rsidP="00BE597E">
            <w:pPr>
              <w:jc w:val="both"/>
              <w:rPr>
                <w:sz w:val="20"/>
              </w:rPr>
            </w:pPr>
            <w:r w:rsidRPr="001F1644">
              <w:rPr>
                <w:sz w:val="20"/>
              </w:rPr>
              <w:t>Criminal law — Sentencing — Considerations — Determination of fit sentence for police officer — Whether the majority of the Manitoba Court of Appeal repeated many of the same errors committed by the sentencing judge and this resulted in the substitution of an unfit sentence.</w:t>
            </w:r>
          </w:p>
        </w:tc>
      </w:tr>
      <w:tr w:rsidR="00BE597E" w:rsidRPr="001F1644" w:rsidTr="00BE597E">
        <w:tc>
          <w:tcPr>
            <w:tcW w:w="5000" w:type="pct"/>
            <w:gridSpan w:val="4"/>
          </w:tcPr>
          <w:p w:rsidR="00BE597E" w:rsidRPr="001F1644" w:rsidRDefault="00BE597E" w:rsidP="00BE597E">
            <w:pPr>
              <w:spacing w:before="260"/>
              <w:jc w:val="both"/>
              <w:rPr>
                <w:sz w:val="20"/>
              </w:rPr>
            </w:pPr>
            <w:r w:rsidRPr="001F1644">
              <w:rPr>
                <w:color w:val="000000"/>
                <w:sz w:val="20"/>
              </w:rPr>
              <w:t>The respondent, RCMP Cst. Letkeman observed Mr. Campbell’s jeep with the engine revving and tires spinning, and due to the manner of driving he suspected the driver was impaired. The officer followed the jeep to do a traffic stop, but the jeep would not stop despite Cst. Letkeman’s attempts. Cst. Letkeman was convicted of criminal negligence causing bodily harm for twice crashing into the jeep vehicle he was pursuing, during a short vehicle chase. A passenger in the jeep suffered serious injuries from the crashes.</w:t>
            </w:r>
            <w:bookmarkStart w:id="1" w:name="par2"/>
            <w:bookmarkEnd w:id="1"/>
            <w:r w:rsidRPr="001F1644">
              <w:rPr>
                <w:color w:val="000000"/>
                <w:sz w:val="20"/>
              </w:rPr>
              <w:t xml:space="preserve"> The judge imposed a non</w:t>
            </w:r>
            <w:r w:rsidRPr="001F1644">
              <w:rPr>
                <w:color w:val="000000"/>
                <w:sz w:val="20"/>
              </w:rPr>
              <w:noBreakHyphen/>
              <w:t>custodial sentence comprised of a three</w:t>
            </w:r>
            <w:r w:rsidRPr="001F1644">
              <w:rPr>
                <w:color w:val="000000"/>
                <w:sz w:val="20"/>
              </w:rPr>
              <w:noBreakHyphen/>
              <w:t>year probation period, 240 hours of community work, the payment of $10,000 fine, and a 12</w:t>
            </w:r>
            <w:r w:rsidRPr="001F1644">
              <w:rPr>
                <w:color w:val="000000"/>
                <w:sz w:val="20"/>
              </w:rPr>
              <w:noBreakHyphen/>
              <w:t xml:space="preserve">month driving prohibition. </w:t>
            </w:r>
            <w:r w:rsidRPr="001F1644">
              <w:rPr>
                <w:sz w:val="20"/>
              </w:rPr>
              <w:t xml:space="preserve">The majority of the Court of Appeal granted </w:t>
            </w:r>
            <w:r w:rsidRPr="001F1644">
              <w:rPr>
                <w:color w:val="000000"/>
                <w:sz w:val="20"/>
              </w:rPr>
              <w:t>leave to appeal, and allowed the appeal in part. They concluded that that a fit sentence would be 10 months’ imprisonment. The probation order, including the requirement for community service, was set aside; the fine of $10,000 was retained; and a reduced period of incarceration of three months was imposed. The execution of the custodial part of the sentence was stayed. The dissenting justice would have allowed the appeal, and set aside the sentence imposed by the trial judge. Burnett J.A. was of the view that an appropriate sentence would be 36 months’ incarceration, reduced by six months for the community service performed by the respondent; repayment of the fine to Cst. Letkeman; and the probation order should be set aside.</w:t>
            </w:r>
          </w:p>
        </w:tc>
      </w:tr>
      <w:tr w:rsidR="00BE597E" w:rsidRPr="001F1644" w:rsidTr="00BE597E">
        <w:tc>
          <w:tcPr>
            <w:tcW w:w="5000" w:type="pct"/>
            <w:gridSpan w:val="4"/>
          </w:tcPr>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January 17, 2020</w:t>
            </w:r>
          </w:p>
          <w:p w:rsidR="00BE597E" w:rsidRPr="001F1644" w:rsidRDefault="00BE597E" w:rsidP="00BE597E">
            <w:pPr>
              <w:jc w:val="both"/>
              <w:rPr>
                <w:sz w:val="20"/>
              </w:rPr>
            </w:pPr>
            <w:r w:rsidRPr="001F1644">
              <w:rPr>
                <w:sz w:val="20"/>
              </w:rPr>
              <w:t>Court of Queen’s Bench of Manitoba</w:t>
            </w:r>
          </w:p>
          <w:p w:rsidR="00BE597E" w:rsidRPr="001F1644" w:rsidRDefault="00BE597E" w:rsidP="00BE597E">
            <w:pPr>
              <w:jc w:val="both"/>
              <w:rPr>
                <w:sz w:val="20"/>
              </w:rPr>
            </w:pPr>
            <w:r w:rsidRPr="001F1644">
              <w:rPr>
                <w:sz w:val="20"/>
              </w:rPr>
              <w:t>(Martin J.)</w:t>
            </w:r>
          </w:p>
          <w:p w:rsidR="00BE597E" w:rsidRPr="001F1644" w:rsidRDefault="00724EE4" w:rsidP="00BE597E">
            <w:pPr>
              <w:jc w:val="both"/>
              <w:rPr>
                <w:sz w:val="20"/>
              </w:rPr>
            </w:pPr>
            <w:hyperlink r:id="rId52" w:history="1">
              <w:r w:rsidR="00BE597E" w:rsidRPr="001F1644">
                <w:rPr>
                  <w:rStyle w:val="Hyperlink"/>
                  <w:sz w:val="20"/>
                </w:rPr>
                <w:t>2020 MBQB 12</w:t>
              </w:r>
            </w:hyperlink>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 xml:space="preserve">Sentence imposed: </w:t>
            </w:r>
            <w:r w:rsidRPr="001F1644">
              <w:rPr>
                <w:color w:val="000000"/>
                <w:sz w:val="20"/>
              </w:rPr>
              <w:t>non-custodial sentence comprised of a three</w:t>
            </w:r>
            <w:r w:rsidRPr="001F1644">
              <w:rPr>
                <w:color w:val="000000"/>
                <w:sz w:val="20"/>
              </w:rPr>
              <w:noBreakHyphen/>
              <w:t>year probation period, 240 hours of community work, payment of $10,000 fine, and a 12</w:t>
            </w:r>
            <w:r w:rsidRPr="001F1644">
              <w:rPr>
                <w:color w:val="000000"/>
                <w:sz w:val="20"/>
              </w:rPr>
              <w:noBreakHyphen/>
              <w:t>month driving prohibition</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lastRenderedPageBreak/>
              <w:t>July 15, 2021</w:t>
            </w:r>
          </w:p>
          <w:p w:rsidR="00BE597E" w:rsidRPr="001F1644" w:rsidRDefault="00BE597E" w:rsidP="00BE597E">
            <w:pPr>
              <w:jc w:val="both"/>
              <w:rPr>
                <w:sz w:val="20"/>
              </w:rPr>
            </w:pPr>
            <w:r w:rsidRPr="001F1644">
              <w:rPr>
                <w:sz w:val="20"/>
              </w:rPr>
              <w:t>Court of Appeal of Manitoba</w:t>
            </w:r>
          </w:p>
          <w:p w:rsidR="00BE597E" w:rsidRPr="001F1644" w:rsidRDefault="00BE597E" w:rsidP="00BE597E">
            <w:pPr>
              <w:jc w:val="both"/>
              <w:rPr>
                <w:sz w:val="20"/>
              </w:rPr>
            </w:pPr>
            <w:r w:rsidRPr="001F1644">
              <w:rPr>
                <w:sz w:val="20"/>
              </w:rPr>
              <w:t xml:space="preserve">(Simonsen and Spivak JJ.A., and Burnett J.A. </w:t>
            </w:r>
          </w:p>
          <w:p w:rsidR="00BE597E" w:rsidRPr="001F1644" w:rsidRDefault="00BE597E" w:rsidP="00BE597E">
            <w:pPr>
              <w:jc w:val="both"/>
              <w:rPr>
                <w:sz w:val="20"/>
              </w:rPr>
            </w:pPr>
            <w:r w:rsidRPr="001F1644">
              <w:rPr>
                <w:sz w:val="20"/>
              </w:rPr>
              <w:t>(dissenting))</w:t>
            </w:r>
          </w:p>
          <w:p w:rsidR="00BE597E" w:rsidRPr="001F1644" w:rsidRDefault="00724EE4" w:rsidP="00BE597E">
            <w:pPr>
              <w:jc w:val="both"/>
              <w:rPr>
                <w:sz w:val="20"/>
              </w:rPr>
            </w:pPr>
            <w:hyperlink r:id="rId53" w:history="1">
              <w:r w:rsidR="00BE597E" w:rsidRPr="001F1644">
                <w:rPr>
                  <w:rStyle w:val="Hyperlink"/>
                  <w:sz w:val="20"/>
                </w:rPr>
                <w:t>2021 MBCA 68</w:t>
              </w:r>
            </w:hyperlink>
            <w:r w:rsidR="00BE597E" w:rsidRPr="001F1644">
              <w:rPr>
                <w:sz w:val="20"/>
              </w:rPr>
              <w:t>; AR20</w:t>
            </w:r>
            <w:r w:rsidR="00BE597E" w:rsidRPr="001F1644">
              <w:rPr>
                <w:sz w:val="20"/>
              </w:rPr>
              <w:noBreakHyphen/>
              <w:t>30</w:t>
            </w:r>
            <w:r w:rsidR="00BE597E" w:rsidRPr="001F1644">
              <w:rPr>
                <w:sz w:val="20"/>
              </w:rPr>
              <w:noBreakHyphen/>
              <w:t>09416</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Sentence appeal allowed in part:</w:t>
            </w:r>
            <w:r w:rsidRPr="001F1644">
              <w:rPr>
                <w:color w:val="000000"/>
                <w:sz w:val="20"/>
              </w:rPr>
              <w:t xml:space="preserve"> probation order, including the requirement for community service, set aside; fine of $10,000 retained; and a period of incarceration of three months imposed</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September 13, 2021</w:t>
            </w:r>
          </w:p>
          <w:p w:rsidR="00BE597E" w:rsidRPr="001F1644" w:rsidRDefault="00BE597E" w:rsidP="00BE597E">
            <w:pPr>
              <w:jc w:val="both"/>
              <w:rPr>
                <w:sz w:val="20"/>
              </w:rPr>
            </w:pPr>
            <w:r w:rsidRPr="001F1644">
              <w:rPr>
                <w:sz w:val="20"/>
              </w:rPr>
              <w:t>Supreme Court of Canada</w:t>
            </w: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Application for leave to appeal filed</w:t>
            </w:r>
          </w:p>
          <w:p w:rsidR="00BE597E" w:rsidRPr="001F1644" w:rsidRDefault="00BE597E" w:rsidP="00BE597E">
            <w:pPr>
              <w:jc w:val="both"/>
              <w:rPr>
                <w:sz w:val="20"/>
              </w:rPr>
            </w:pPr>
          </w:p>
        </w:tc>
      </w:tr>
    </w:tbl>
    <w:p w:rsidR="00BE597E" w:rsidRPr="001F1644" w:rsidRDefault="00BE597E" w:rsidP="00BE597E">
      <w:pPr>
        <w:jc w:val="both"/>
        <w:rPr>
          <w:sz w:val="20"/>
        </w:rPr>
      </w:pPr>
    </w:p>
    <w:p w:rsidR="007607A2" w:rsidRPr="001F1644" w:rsidRDefault="00724EE4" w:rsidP="00BE597E">
      <w:pPr>
        <w:jc w:val="both"/>
        <w:rPr>
          <w:sz w:val="20"/>
        </w:rPr>
      </w:pPr>
      <w:r>
        <w:rPr>
          <w:sz w:val="20"/>
        </w:rPr>
        <w:pict>
          <v:rect id="_x0000_i1041" style="width:2in;height:1pt" o:hrpct="0" o:hralign="center" o:hrstd="t" o:hrnoshade="t" o:hr="t" fillcolor="black [3213]" stroked="f"/>
        </w:pict>
      </w:r>
    </w:p>
    <w:p w:rsidR="007607A2" w:rsidRPr="001F1644" w:rsidRDefault="007607A2" w:rsidP="00BE59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39830</w:t>
            </w:r>
          </w:p>
        </w:tc>
        <w:tc>
          <w:tcPr>
            <w:tcW w:w="4457" w:type="pct"/>
            <w:gridSpan w:val="3"/>
          </w:tcPr>
          <w:p w:rsidR="00BE597E" w:rsidRPr="001F1644" w:rsidRDefault="00BE597E" w:rsidP="00BE597E">
            <w:pPr>
              <w:pStyle w:val="SCCLsocParty"/>
              <w:jc w:val="both"/>
              <w:rPr>
                <w:b/>
                <w:sz w:val="20"/>
                <w:szCs w:val="20"/>
              </w:rPr>
            </w:pPr>
            <w:r w:rsidRPr="001F1644">
              <w:rPr>
                <w:b/>
                <w:sz w:val="20"/>
                <w:szCs w:val="20"/>
              </w:rPr>
              <w:t>Sa Majesté la Reine c. Abram Letkeman</w:t>
            </w:r>
          </w:p>
          <w:p w:rsidR="00BE597E" w:rsidRPr="001F1644" w:rsidRDefault="00BE597E" w:rsidP="00BE597E">
            <w:pPr>
              <w:jc w:val="both"/>
              <w:rPr>
                <w:sz w:val="20"/>
              </w:rPr>
            </w:pPr>
            <w:r w:rsidRPr="001F1644">
              <w:rPr>
                <w:sz w:val="20"/>
              </w:rPr>
              <w:t>(Man.) (Criminelle) (Autorisation)</w:t>
            </w:r>
          </w:p>
        </w:tc>
      </w:tr>
      <w:tr w:rsidR="00BE597E" w:rsidRPr="00724EE4" w:rsidTr="00BE597E">
        <w:tc>
          <w:tcPr>
            <w:tcW w:w="5000" w:type="pct"/>
            <w:gridSpan w:val="4"/>
          </w:tcPr>
          <w:p w:rsidR="00BE597E" w:rsidRPr="001F1644" w:rsidRDefault="00BE597E" w:rsidP="00BE597E">
            <w:pPr>
              <w:jc w:val="both"/>
              <w:rPr>
                <w:sz w:val="20"/>
                <w:lang w:val="fr-CA"/>
              </w:rPr>
            </w:pPr>
            <w:r w:rsidRPr="001F1644">
              <w:rPr>
                <w:sz w:val="20"/>
                <w:lang w:val="fr-CA"/>
              </w:rPr>
              <w:t>Droit criminel — Détermination de la peine — Facteurs devant être pris en considération — Détermination de la peine adéquate applicable à un policier — Les juges majoritaires de la Cour d’appel du Manitoba ont</w:t>
            </w:r>
            <w:r w:rsidRPr="001F1644">
              <w:rPr>
                <w:sz w:val="20"/>
                <w:lang w:val="fr-CA"/>
              </w:rPr>
              <w:noBreakHyphen/>
              <w:t xml:space="preserve">ils répété bon nombre des mêmes erreurs commises par le juge chargé de déterminer la peine, ce qui a entraîné la substitution d’une peine inadéquate. </w:t>
            </w:r>
          </w:p>
        </w:tc>
      </w:tr>
      <w:tr w:rsidR="00BE597E" w:rsidRPr="00724EE4" w:rsidTr="00BE597E">
        <w:tc>
          <w:tcPr>
            <w:tcW w:w="5000" w:type="pct"/>
            <w:gridSpan w:val="4"/>
          </w:tcPr>
          <w:p w:rsidR="00BE597E" w:rsidRPr="001F1644" w:rsidRDefault="00BE597E" w:rsidP="00BE597E">
            <w:pPr>
              <w:spacing w:before="260"/>
              <w:jc w:val="both"/>
              <w:rPr>
                <w:color w:val="000000"/>
                <w:sz w:val="20"/>
                <w:lang w:val="fr-CA"/>
              </w:rPr>
            </w:pPr>
            <w:r w:rsidRPr="001F1644">
              <w:rPr>
                <w:color w:val="000000"/>
                <w:sz w:val="20"/>
                <w:lang w:val="fr-CA"/>
              </w:rPr>
              <w:t xml:space="preserve">Le défendeur, l’agent Letkeman de la GRC a observé la Jeep de M. Campbell dont le moteur vrombissait et les roues patinaient, et, en raison de la manière dont elle était conduite, il a pensé que les facultés du conducteur étaient affaiblies. L’agent a suivi la Jeep jusqu’à un panneau d’arrêt, mais la voiture ne s’est pas arrêtée, malgré les tentatives de l’agent Letkeman. Ce dernier a été déclaré coupable d’avoir causé des lésions corporelles par négligence criminelle parce que, pendant une courte poursuite en voiture, il avait heurté deux fois la Jeep qu’il poursuivait. Un passager de la Jeep a subi de graves dommages dus aux accidents. Le juge a infligé une peine ne comportant pas de placement sous garde constituée d’une période de probation de trois ans, de 240 heures de travail communautaire, du paiement d’une amende de 10 000 $, et de 12 mois d’interdiction de conduire. Les juges majoritaires de la Cour d’appel ont accordé l’autorisation d’appel et accueilli l’appel en partie. Ils ont conclu qu’une peine adéquate serait un emprisonnement de 10 mois. L’ordonnance de probation, y compris l’exigence de service communautaire, a été annulée; l’amende de 10 000 $ a été retenue; et une période d’emprisonnement réduite de trois mois a été infligée. L’exécution de la partie de la peine visant l’emprisonnement a été </w:t>
            </w:r>
            <w:proofErr w:type="gramStart"/>
            <w:r w:rsidRPr="001F1644">
              <w:rPr>
                <w:color w:val="000000"/>
                <w:sz w:val="20"/>
                <w:lang w:val="fr-CA"/>
              </w:rPr>
              <w:t>suspendue</w:t>
            </w:r>
            <w:proofErr w:type="gramEnd"/>
            <w:r w:rsidRPr="001F1644">
              <w:rPr>
                <w:color w:val="000000"/>
                <w:sz w:val="20"/>
                <w:lang w:val="fr-CA"/>
              </w:rPr>
              <w:t>. Le juge dissident aurait accueilli l’appel et annulé la peine infligée par le juge du procès. Le juge d’appel Burnett était d’avis qu’une peine adéquate aurait été 36 mois d’emprisonnement, réduite de 6 mois pour le service communautaire accompli par le défendeur; le remboursement de l’amende à l’agent Letkeman; et que l’ordonnance de probation devrait être annulée.</w:t>
            </w:r>
          </w:p>
        </w:tc>
      </w:tr>
      <w:tr w:rsidR="00BE597E" w:rsidRPr="00724EE4" w:rsidTr="00BE597E">
        <w:tc>
          <w:tcPr>
            <w:tcW w:w="5000" w:type="pct"/>
            <w:gridSpan w:val="4"/>
          </w:tcPr>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17 janvier 2020</w:t>
            </w:r>
          </w:p>
          <w:p w:rsidR="00BE597E" w:rsidRPr="001F1644" w:rsidRDefault="00BE597E" w:rsidP="00BE597E">
            <w:pPr>
              <w:jc w:val="both"/>
              <w:rPr>
                <w:sz w:val="20"/>
                <w:lang w:val="fr-CA"/>
              </w:rPr>
            </w:pPr>
            <w:r w:rsidRPr="001F1644">
              <w:rPr>
                <w:sz w:val="20"/>
                <w:lang w:val="fr-CA"/>
              </w:rPr>
              <w:t>Cour du banc de la Reine du Manitoba</w:t>
            </w:r>
          </w:p>
          <w:p w:rsidR="00BE597E" w:rsidRPr="001F1644" w:rsidRDefault="00BE597E" w:rsidP="00BE597E">
            <w:pPr>
              <w:jc w:val="both"/>
              <w:rPr>
                <w:sz w:val="20"/>
              </w:rPr>
            </w:pPr>
            <w:r w:rsidRPr="001F1644">
              <w:rPr>
                <w:sz w:val="20"/>
              </w:rPr>
              <w:t>(juge Martin)</w:t>
            </w:r>
          </w:p>
          <w:p w:rsidR="00BE597E" w:rsidRPr="001F1644" w:rsidRDefault="00724EE4" w:rsidP="00BE597E">
            <w:pPr>
              <w:jc w:val="both"/>
              <w:rPr>
                <w:sz w:val="20"/>
              </w:rPr>
            </w:pPr>
            <w:hyperlink r:id="rId54" w:history="1">
              <w:r w:rsidR="00BE597E" w:rsidRPr="001F1644">
                <w:rPr>
                  <w:rStyle w:val="Hyperlink"/>
                  <w:sz w:val="20"/>
                </w:rPr>
                <w:t>2020 MBQB 12</w:t>
              </w:r>
            </w:hyperlink>
          </w:p>
          <w:p w:rsidR="00BE597E" w:rsidRPr="001F1644" w:rsidRDefault="00BE597E" w:rsidP="00BE597E">
            <w:pPr>
              <w:jc w:val="both"/>
              <w:rPr>
                <w:sz w:val="20"/>
              </w:rPr>
            </w:pP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lang w:val="fr-CA"/>
              </w:rPr>
            </w:pPr>
            <w:r w:rsidRPr="001F1644">
              <w:rPr>
                <w:sz w:val="20"/>
                <w:lang w:val="fr-CA"/>
              </w:rPr>
              <w:t xml:space="preserve">Peine infligée : peine ne comportant pas de placement sous garde constituée d’une période de probation de trois ans, 240 heures de travail communautaire, le paiement d’une amende de 10 000 $ et 12 mois d’interdiction de conduire </w:t>
            </w:r>
          </w:p>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15 juillet 2021</w:t>
            </w:r>
          </w:p>
          <w:p w:rsidR="00BE597E" w:rsidRPr="001F1644" w:rsidRDefault="00BE597E" w:rsidP="00BE597E">
            <w:pPr>
              <w:jc w:val="both"/>
              <w:rPr>
                <w:sz w:val="20"/>
                <w:lang w:val="fr-CA"/>
              </w:rPr>
            </w:pPr>
            <w:r w:rsidRPr="001F1644">
              <w:rPr>
                <w:sz w:val="20"/>
                <w:lang w:val="fr-CA"/>
              </w:rPr>
              <w:t>Cour d’appel du Manitoba</w:t>
            </w:r>
          </w:p>
          <w:p w:rsidR="00BE597E" w:rsidRPr="001F1644" w:rsidRDefault="00BE597E" w:rsidP="00BE597E">
            <w:pPr>
              <w:jc w:val="both"/>
              <w:rPr>
                <w:sz w:val="20"/>
                <w:lang w:val="fr-CA"/>
              </w:rPr>
            </w:pPr>
            <w:r w:rsidRPr="001F1644">
              <w:rPr>
                <w:sz w:val="20"/>
                <w:lang w:val="fr-CA"/>
              </w:rPr>
              <w:t xml:space="preserve">(juges Simonsen et Spivak, et juge Burnett </w:t>
            </w:r>
          </w:p>
          <w:p w:rsidR="00BE597E" w:rsidRPr="001F1644" w:rsidRDefault="00BE597E" w:rsidP="00BE597E">
            <w:pPr>
              <w:jc w:val="both"/>
              <w:rPr>
                <w:sz w:val="20"/>
                <w:lang w:val="fr-CA"/>
              </w:rPr>
            </w:pPr>
            <w:r w:rsidRPr="001F1644">
              <w:rPr>
                <w:sz w:val="20"/>
                <w:lang w:val="fr-CA"/>
              </w:rPr>
              <w:t>(dissident))</w:t>
            </w:r>
          </w:p>
          <w:p w:rsidR="00BE597E" w:rsidRPr="001F1644" w:rsidRDefault="00724EE4" w:rsidP="00BE597E">
            <w:pPr>
              <w:jc w:val="both"/>
              <w:rPr>
                <w:sz w:val="20"/>
                <w:lang w:val="fr-CA"/>
              </w:rPr>
            </w:pPr>
            <w:hyperlink r:id="rId55" w:history="1">
              <w:r w:rsidR="00BE597E" w:rsidRPr="001F1644">
                <w:rPr>
                  <w:rStyle w:val="Hyperlink"/>
                  <w:sz w:val="20"/>
                  <w:lang w:val="fr-CA"/>
                </w:rPr>
                <w:t>2021 MBCA 68</w:t>
              </w:r>
            </w:hyperlink>
            <w:r w:rsidR="00BE597E" w:rsidRPr="001F1644">
              <w:rPr>
                <w:sz w:val="20"/>
                <w:lang w:val="fr-CA"/>
              </w:rPr>
              <w:t>; AR20</w:t>
            </w:r>
            <w:r w:rsidR="00BE597E" w:rsidRPr="001F1644">
              <w:rPr>
                <w:sz w:val="20"/>
                <w:lang w:val="fr-CA"/>
              </w:rPr>
              <w:noBreakHyphen/>
              <w:t>30</w:t>
            </w:r>
            <w:r w:rsidR="00BE597E" w:rsidRPr="001F1644">
              <w:rPr>
                <w:sz w:val="20"/>
                <w:lang w:val="fr-CA"/>
              </w:rPr>
              <w:noBreakHyphen/>
              <w:t>09416</w:t>
            </w:r>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Appel de la peine accueilli en partie : ordonnance de probation annulée, y compris l’exigence de service communautaire; amende de 10 000 $ retenue; et une période d’emprisonnement de trois mois infligée</w:t>
            </w:r>
          </w:p>
          <w:p w:rsidR="00BE597E" w:rsidRPr="001F1644" w:rsidRDefault="00BE597E" w:rsidP="00BE597E">
            <w:pPr>
              <w:jc w:val="both"/>
              <w:rPr>
                <w:sz w:val="20"/>
                <w:lang w:val="fr-CA"/>
              </w:rPr>
            </w:pPr>
          </w:p>
        </w:tc>
      </w:tr>
      <w:tr w:rsidR="00BE597E" w:rsidRPr="001F1644" w:rsidTr="00BE597E">
        <w:tc>
          <w:tcPr>
            <w:tcW w:w="2427" w:type="pct"/>
            <w:gridSpan w:val="2"/>
          </w:tcPr>
          <w:p w:rsidR="00BE597E" w:rsidRPr="001F1644" w:rsidRDefault="00BE597E" w:rsidP="00BE597E">
            <w:pPr>
              <w:jc w:val="both"/>
              <w:rPr>
                <w:sz w:val="20"/>
                <w:lang w:val="fr-CA"/>
              </w:rPr>
            </w:pPr>
            <w:r w:rsidRPr="001F1644">
              <w:rPr>
                <w:sz w:val="20"/>
                <w:lang w:val="fr-CA"/>
              </w:rPr>
              <w:t>13 septembre 2021</w:t>
            </w:r>
          </w:p>
          <w:p w:rsidR="00BE597E" w:rsidRPr="001F1644" w:rsidRDefault="00BE597E" w:rsidP="00BE597E">
            <w:pPr>
              <w:jc w:val="both"/>
              <w:rPr>
                <w:sz w:val="20"/>
                <w:lang w:val="fr-CA"/>
              </w:rPr>
            </w:pPr>
            <w:r w:rsidRPr="001F1644">
              <w:rPr>
                <w:sz w:val="20"/>
                <w:lang w:val="fr-CA"/>
              </w:rPr>
              <w:t>Cour suprême du Canada</w:t>
            </w: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rPr>
            </w:pPr>
            <w:r w:rsidRPr="001F1644">
              <w:rPr>
                <w:sz w:val="20"/>
              </w:rPr>
              <w:t xml:space="preserve">Demande d’autorisation d’appel déposée </w:t>
            </w:r>
          </w:p>
          <w:p w:rsidR="00BE597E" w:rsidRPr="001F1644" w:rsidRDefault="00BE597E" w:rsidP="00BE597E">
            <w:pPr>
              <w:jc w:val="both"/>
              <w:rPr>
                <w:sz w:val="20"/>
              </w:rPr>
            </w:pPr>
          </w:p>
        </w:tc>
      </w:tr>
    </w:tbl>
    <w:p w:rsidR="00BE597E" w:rsidRPr="001F1644" w:rsidRDefault="00BE597E" w:rsidP="00BE597E">
      <w:pPr>
        <w:jc w:val="both"/>
        <w:rPr>
          <w:sz w:val="20"/>
        </w:rPr>
      </w:pPr>
    </w:p>
    <w:p w:rsidR="00BA25C8" w:rsidRPr="001F1644" w:rsidRDefault="00724EE4" w:rsidP="00BE597E">
      <w:pPr>
        <w:widowControl w:val="0"/>
        <w:jc w:val="both"/>
        <w:rPr>
          <w:sz w:val="20"/>
          <w:lang w:val="fr-CA"/>
        </w:rPr>
      </w:pPr>
      <w:r>
        <w:rPr>
          <w:sz w:val="20"/>
        </w:rPr>
        <w:pict>
          <v:rect id="_x0000_i1042" style="width:2in;height:1pt" o:hrpct="0" o:hralign="center" o:hrstd="t" o:hrnoshade="t" o:hr="t" fillcolor="black [3213]" stroked="f"/>
        </w:pict>
      </w:r>
    </w:p>
    <w:p w:rsidR="00BA25C8" w:rsidRPr="001F1644" w:rsidRDefault="00BA25C8"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tc>
          <w:tcPr>
            <w:tcW w:w="543" w:type="pct"/>
          </w:tcPr>
          <w:p w:rsidR="00BE597E" w:rsidRPr="001F1644" w:rsidRDefault="00BE597E" w:rsidP="00BE597E">
            <w:pPr>
              <w:jc w:val="both"/>
              <w:rPr>
                <w:sz w:val="20"/>
                <w:lang w:val="en-CA"/>
              </w:rPr>
            </w:pPr>
            <w:r w:rsidRPr="001F1644">
              <w:rPr>
                <w:rStyle w:val="SCCFileNumberChar"/>
                <w:sz w:val="20"/>
                <w:szCs w:val="20"/>
              </w:rPr>
              <w:t>39794</w:t>
            </w:r>
          </w:p>
        </w:tc>
        <w:tc>
          <w:tcPr>
            <w:tcW w:w="4457" w:type="pct"/>
            <w:gridSpan w:val="3"/>
          </w:tcPr>
          <w:p w:rsidR="00BE597E" w:rsidRPr="001F1644" w:rsidRDefault="00BE597E" w:rsidP="00BE597E">
            <w:pPr>
              <w:pStyle w:val="SCCLsocParty"/>
              <w:jc w:val="both"/>
              <w:rPr>
                <w:b/>
                <w:sz w:val="20"/>
                <w:szCs w:val="20"/>
              </w:rPr>
            </w:pPr>
            <w:r w:rsidRPr="001F1644">
              <w:rPr>
                <w:b/>
                <w:sz w:val="20"/>
                <w:szCs w:val="20"/>
              </w:rPr>
              <w:t xml:space="preserve">Jean-François Malo, Annie Deslongchamps, 9359-1089 Québec inc., Variétés J.C.R. inc., 9330-8898 Québec inc., 9262-8346 Québec inc., 9253-4122 Québec inc., 9374-8259 Québec inc., Habitations Malo inc., Groupe Immobilier Malo inc., 9306-3691 Québec inc., Vadnais et filles inc., Fiducie Famille J.F. Malo, Fiducie Annie, Fiducie Inspiration, Fiducie Résidence Malo, 9303-6234 </w:t>
            </w:r>
            <w:r w:rsidRPr="001F1644">
              <w:rPr>
                <w:b/>
                <w:sz w:val="20"/>
                <w:szCs w:val="20"/>
              </w:rPr>
              <w:lastRenderedPageBreak/>
              <w:t>Québec inc., 9330-3287 Québec inc., 9366-0447 Québec inc. and 9333-9109 Québec inc. v. Simon Chartrand, Fonds d’assurance responsabilité professionnelle de la Chambre des notaires du Québec, Chambre des notaires du Québec, 9427-1525 Québec inc. and Crédit Transit inc.</w:t>
            </w:r>
          </w:p>
          <w:p w:rsidR="00BE597E" w:rsidRPr="001F1644" w:rsidRDefault="00BE597E" w:rsidP="00BE597E">
            <w:pPr>
              <w:jc w:val="both"/>
              <w:rPr>
                <w:sz w:val="20"/>
                <w:lang w:val="en-CA"/>
              </w:rPr>
            </w:pPr>
            <w:r w:rsidRPr="001F1644">
              <w:rPr>
                <w:sz w:val="20"/>
                <w:lang w:val="en-CA"/>
              </w:rPr>
              <w:t>(Que.) (Civil) (By Leave)</w:t>
            </w:r>
          </w:p>
        </w:tc>
      </w:tr>
      <w:tr w:rsidR="00BE597E" w:rsidRPr="001F1644">
        <w:tc>
          <w:tcPr>
            <w:tcW w:w="5000" w:type="pct"/>
            <w:gridSpan w:val="4"/>
          </w:tcPr>
          <w:p w:rsidR="00BE597E" w:rsidRPr="001F1644" w:rsidRDefault="00BE597E" w:rsidP="00BE597E">
            <w:pPr>
              <w:pStyle w:val="SCCBanSummary"/>
              <w:rPr>
                <w:sz w:val="20"/>
                <w:szCs w:val="20"/>
              </w:rPr>
            </w:pPr>
            <w:proofErr w:type="gramStart"/>
            <w:r w:rsidRPr="001F1644">
              <w:rPr>
                <w:smallCaps w:val="0"/>
                <w:sz w:val="20"/>
                <w:szCs w:val="20"/>
              </w:rPr>
              <w:lastRenderedPageBreak/>
              <w:t xml:space="preserve">Civil procedure ⸺ </w:t>
            </w:r>
            <w:r w:rsidRPr="001F1644">
              <w:rPr>
                <w:i/>
                <w:smallCaps w:val="0"/>
                <w:sz w:val="20"/>
                <w:szCs w:val="20"/>
              </w:rPr>
              <w:t>Anton Piller</w:t>
            </w:r>
            <w:r w:rsidRPr="001F1644">
              <w:rPr>
                <w:smallCaps w:val="0"/>
                <w:sz w:val="20"/>
                <w:szCs w:val="20"/>
              </w:rPr>
              <w:t xml:space="preserve"> order ⸺ Right to access evidence ⸺ Given exceptional nature of </w:t>
            </w:r>
            <w:r w:rsidRPr="001F1644">
              <w:rPr>
                <w:i/>
                <w:smallCaps w:val="0"/>
                <w:sz w:val="20"/>
                <w:szCs w:val="20"/>
              </w:rPr>
              <w:t>Anton Piller</w:t>
            </w:r>
            <w:r w:rsidRPr="001F1644">
              <w:rPr>
                <w:smallCaps w:val="0"/>
                <w:sz w:val="20"/>
                <w:szCs w:val="20"/>
              </w:rPr>
              <w:t xml:space="preserve"> order and fact that it seriously infringed Groupe Malo’s fundamental rights protected by </w:t>
            </w:r>
            <w:r w:rsidRPr="001F1644">
              <w:rPr>
                <w:i/>
                <w:smallCaps w:val="0"/>
                <w:sz w:val="20"/>
                <w:szCs w:val="20"/>
              </w:rPr>
              <w:t>Canadian Charter of Rights and Freedoms</w:t>
            </w:r>
            <w:r w:rsidRPr="001F1644">
              <w:rPr>
                <w:smallCaps w:val="0"/>
                <w:sz w:val="20"/>
                <w:szCs w:val="20"/>
              </w:rPr>
              <w:t xml:space="preserve"> and </w:t>
            </w:r>
            <w:r w:rsidRPr="001F1644">
              <w:rPr>
                <w:i/>
                <w:smallCaps w:val="0"/>
                <w:sz w:val="20"/>
                <w:szCs w:val="20"/>
              </w:rPr>
              <w:t>Charter of human rights and freedoms</w:t>
            </w:r>
            <w:r w:rsidRPr="001F1644">
              <w:rPr>
                <w:smallCaps w:val="0"/>
                <w:sz w:val="20"/>
                <w:szCs w:val="20"/>
              </w:rPr>
              <w:t>,</w:t>
            </w:r>
            <w:r w:rsidRPr="001F1644">
              <w:rPr>
                <w:i/>
                <w:smallCaps w:val="0"/>
                <w:sz w:val="20"/>
                <w:szCs w:val="20"/>
              </w:rPr>
              <w:t xml:space="preserve"> </w:t>
            </w:r>
            <w:r w:rsidRPr="001F1644">
              <w:rPr>
                <w:smallCaps w:val="0"/>
                <w:sz w:val="20"/>
                <w:szCs w:val="20"/>
              </w:rPr>
              <w:t>CQLR, c. C</w:t>
            </w:r>
            <w:r w:rsidRPr="001F1644">
              <w:rPr>
                <w:smallCaps w:val="0"/>
                <w:sz w:val="20"/>
                <w:szCs w:val="20"/>
              </w:rPr>
              <w:noBreakHyphen/>
              <w:t xml:space="preserve">12, whether Quebec Court of Appeal clearly erred in law: (1) in finding that </w:t>
            </w:r>
            <w:r w:rsidRPr="001F1644">
              <w:rPr>
                <w:i/>
                <w:smallCaps w:val="0"/>
                <w:sz w:val="20"/>
                <w:szCs w:val="20"/>
              </w:rPr>
              <w:t>Anton Piller</w:t>
            </w:r>
            <w:r w:rsidRPr="001F1644">
              <w:rPr>
                <w:smallCaps w:val="0"/>
                <w:sz w:val="20"/>
                <w:szCs w:val="20"/>
              </w:rPr>
              <w:t xml:space="preserve"> order survived discontinuance filed by plaintiff in continuance of proceeding, 9427</w:t>
            </w:r>
            <w:r w:rsidRPr="001F1644">
              <w:rPr>
                <w:smallCaps w:val="0"/>
                <w:sz w:val="20"/>
                <w:szCs w:val="20"/>
              </w:rPr>
              <w:noBreakHyphen/>
              <w:t xml:space="preserve">1525 Québec inc.; (2) in determining that </w:t>
            </w:r>
            <w:r w:rsidRPr="001F1644">
              <w:rPr>
                <w:i/>
                <w:smallCaps w:val="0"/>
                <w:sz w:val="20"/>
                <w:szCs w:val="20"/>
              </w:rPr>
              <w:t>Anton Piller</w:t>
            </w:r>
            <w:r w:rsidRPr="001F1644">
              <w:rPr>
                <w:smallCaps w:val="0"/>
                <w:sz w:val="20"/>
                <w:szCs w:val="20"/>
              </w:rPr>
              <w:t xml:space="preserve"> order survived after not being renewed; (3) in finding that third party could benefit from </w:t>
            </w:r>
            <w:r w:rsidRPr="001F1644">
              <w:rPr>
                <w:i/>
                <w:smallCaps w:val="0"/>
                <w:sz w:val="20"/>
                <w:szCs w:val="20"/>
              </w:rPr>
              <w:t>Anton Piller</w:t>
            </w:r>
            <w:r w:rsidRPr="001F1644">
              <w:rPr>
                <w:smallCaps w:val="0"/>
                <w:sz w:val="20"/>
                <w:szCs w:val="20"/>
              </w:rPr>
              <w:t xml:space="preserve"> order even though it had been obtained in case that had been extinguished through discontinuance filed by plaintiff in continuance of proceeding, 9427</w:t>
            </w:r>
            <w:r w:rsidRPr="001F1644">
              <w:rPr>
                <w:smallCaps w:val="0"/>
                <w:sz w:val="20"/>
                <w:szCs w:val="20"/>
              </w:rPr>
              <w:noBreakHyphen/>
              <w:t xml:space="preserve">1525 Québec inc., on ground that search for truth must prevail in Quebec civil law; (4) in finding that any third party who so requested could obtain copy of evidence gathered under </w:t>
            </w:r>
            <w:r w:rsidRPr="001F1644">
              <w:rPr>
                <w:i/>
                <w:smallCaps w:val="0"/>
                <w:sz w:val="20"/>
                <w:szCs w:val="20"/>
              </w:rPr>
              <w:t>Anton Piller</w:t>
            </w:r>
            <w:r w:rsidRPr="001F1644">
              <w:rPr>
                <w:smallCaps w:val="0"/>
                <w:sz w:val="20"/>
                <w:szCs w:val="20"/>
              </w:rPr>
              <w:t xml:space="preserve"> order on basis of art. </w:t>
            </w:r>
            <w:proofErr w:type="gramEnd"/>
            <w:r w:rsidRPr="001F1644">
              <w:rPr>
                <w:smallCaps w:val="0"/>
                <w:sz w:val="20"/>
                <w:szCs w:val="20"/>
              </w:rPr>
              <w:t xml:space="preserve">251 para. 2 of </w:t>
            </w:r>
            <w:r w:rsidRPr="001F1644">
              <w:rPr>
                <w:i/>
                <w:smallCaps w:val="0"/>
                <w:sz w:val="20"/>
                <w:szCs w:val="20"/>
                <w:lang w:eastAsia="fr-CA"/>
              </w:rPr>
              <w:t>Code of Civil Procedure</w:t>
            </w:r>
            <w:r w:rsidRPr="001F1644">
              <w:rPr>
                <w:smallCaps w:val="0"/>
                <w:sz w:val="20"/>
                <w:szCs w:val="20"/>
              </w:rPr>
              <w:t xml:space="preserve"> and inherent powers of judge of first instance ⸺ </w:t>
            </w:r>
            <w:r w:rsidRPr="001F1644">
              <w:rPr>
                <w:i/>
                <w:smallCaps w:val="0"/>
                <w:sz w:val="20"/>
                <w:szCs w:val="20"/>
                <w:lang w:eastAsia="fr-CA"/>
              </w:rPr>
              <w:t>Code of Civil Procedure</w:t>
            </w:r>
            <w:r w:rsidRPr="001F1644">
              <w:rPr>
                <w:smallCaps w:val="0"/>
                <w:sz w:val="20"/>
                <w:szCs w:val="20"/>
                <w:lang w:eastAsia="fr-CA"/>
              </w:rPr>
              <w:t>, CQLR, c. C</w:t>
            </w:r>
            <w:r w:rsidRPr="001F1644">
              <w:rPr>
                <w:smallCaps w:val="0"/>
                <w:sz w:val="20"/>
                <w:szCs w:val="20"/>
                <w:lang w:eastAsia="fr-CA"/>
              </w:rPr>
              <w:noBreakHyphen/>
              <w:t>25.01, arts. 213 and 251</w:t>
            </w:r>
            <w:r w:rsidRPr="001F1644">
              <w:rPr>
                <w:sz w:val="20"/>
                <w:szCs w:val="20"/>
                <w:lang w:eastAsia="fr-CA"/>
              </w:rPr>
              <w:t>.</w:t>
            </w:r>
          </w:p>
        </w:tc>
      </w:tr>
      <w:tr w:rsidR="00BE597E" w:rsidRPr="001F1644">
        <w:tc>
          <w:tcPr>
            <w:tcW w:w="5000" w:type="pct"/>
            <w:gridSpan w:val="4"/>
          </w:tcPr>
          <w:p w:rsidR="00BE597E" w:rsidRPr="001F1644" w:rsidRDefault="00BE597E" w:rsidP="00BE597E">
            <w:pPr>
              <w:jc w:val="both"/>
              <w:rPr>
                <w:sz w:val="20"/>
                <w:lang w:val="en-CA"/>
              </w:rPr>
            </w:pPr>
          </w:p>
        </w:tc>
      </w:tr>
      <w:tr w:rsidR="00BE597E" w:rsidRPr="001F1644">
        <w:tc>
          <w:tcPr>
            <w:tcW w:w="5000" w:type="pct"/>
            <w:gridSpan w:val="4"/>
          </w:tcPr>
          <w:p w:rsidR="00BE597E" w:rsidRPr="001F1644" w:rsidRDefault="00BE597E" w:rsidP="00BE597E">
            <w:pPr>
              <w:jc w:val="both"/>
              <w:rPr>
                <w:sz w:val="20"/>
                <w:lang w:val="en-CA"/>
              </w:rPr>
            </w:pPr>
            <w:r w:rsidRPr="001F1644">
              <w:rPr>
                <w:sz w:val="20"/>
                <w:lang w:val="en-CA"/>
              </w:rPr>
              <w:t>The applicants, referred to collectively as “Groupe Malo”, are challenging an order made in an action in professional liability brought against the respondents, Simon Chartrand, a former notary, the Fonds d’assurance responsabilité professionnelle de la Chambre des notaires, 9427</w:t>
            </w:r>
            <w:r w:rsidRPr="001F1644">
              <w:rPr>
                <w:sz w:val="20"/>
                <w:lang w:val="en-CA"/>
              </w:rPr>
              <w:noBreakHyphen/>
              <w:t>1525 Québec inc., Crédit transit inc. and the Chambre des notaires (Superior Court File No. 500</w:t>
            </w:r>
            <w:r w:rsidRPr="001F1644">
              <w:rPr>
                <w:sz w:val="20"/>
                <w:lang w:val="en-CA"/>
              </w:rPr>
              <w:noBreakHyphen/>
              <w:t>17</w:t>
            </w:r>
            <w:r w:rsidRPr="001F1644">
              <w:rPr>
                <w:sz w:val="20"/>
                <w:lang w:val="en-CA"/>
              </w:rPr>
              <w:noBreakHyphen/>
              <w:t>113128</w:t>
            </w:r>
            <w:r w:rsidRPr="001F1644">
              <w:rPr>
                <w:sz w:val="20"/>
                <w:lang w:val="en-CA"/>
              </w:rPr>
              <w:noBreakHyphen/>
              <w:t xml:space="preserve">204). That order of November 10, 2020, which is the subject of this application for leave to appeal, dealt with a request for directions made by the independent supervising lawyer overseeing the execution of the </w:t>
            </w:r>
            <w:r w:rsidRPr="001F1644">
              <w:rPr>
                <w:i/>
                <w:sz w:val="20"/>
                <w:lang w:val="en-CA"/>
              </w:rPr>
              <w:t>Anton Piller</w:t>
            </w:r>
            <w:r w:rsidRPr="001F1644">
              <w:rPr>
                <w:sz w:val="20"/>
                <w:lang w:val="en-CA"/>
              </w:rPr>
              <w:t xml:space="preserve"> order. The order stated that the judgment granting a right to access the evidence gathered in the execution of the </w:t>
            </w:r>
            <w:r w:rsidRPr="001F1644">
              <w:rPr>
                <w:i/>
                <w:sz w:val="20"/>
                <w:lang w:val="en-CA"/>
              </w:rPr>
              <w:t>Anton Piller</w:t>
            </w:r>
            <w:r w:rsidRPr="001F1644">
              <w:rPr>
                <w:sz w:val="20"/>
                <w:lang w:val="en-CA"/>
              </w:rPr>
              <w:t xml:space="preserve"> order remained in full effect, and it directed the supervising lawyer to keep the evidence and physical property in his possession and to provide copies thereof to any party who so requested. The </w:t>
            </w:r>
            <w:r w:rsidRPr="001F1644">
              <w:rPr>
                <w:i/>
                <w:sz w:val="20"/>
                <w:lang w:val="en-CA"/>
              </w:rPr>
              <w:t>Anton Piller</w:t>
            </w:r>
            <w:r w:rsidRPr="001F1644">
              <w:rPr>
                <w:sz w:val="20"/>
                <w:lang w:val="en-CA"/>
              </w:rPr>
              <w:t xml:space="preserve"> order in question </w:t>
            </w:r>
            <w:proofErr w:type="gramStart"/>
            <w:r w:rsidRPr="001F1644">
              <w:rPr>
                <w:sz w:val="20"/>
                <w:lang w:val="en-CA"/>
              </w:rPr>
              <w:t>had been made</w:t>
            </w:r>
            <w:proofErr w:type="gramEnd"/>
            <w:r w:rsidRPr="001F1644">
              <w:rPr>
                <w:sz w:val="20"/>
                <w:lang w:val="en-CA"/>
              </w:rPr>
              <w:t xml:space="preserve"> in June 2020 in the context of another action (Superior Court File No. 540</w:t>
            </w:r>
            <w:r w:rsidRPr="001F1644">
              <w:rPr>
                <w:sz w:val="20"/>
                <w:lang w:val="en-CA"/>
              </w:rPr>
              <w:noBreakHyphen/>
              <w:t>17</w:t>
            </w:r>
            <w:r w:rsidRPr="001F1644">
              <w:rPr>
                <w:sz w:val="20"/>
                <w:lang w:val="en-CA"/>
              </w:rPr>
              <w:noBreakHyphen/>
              <w:t>014043</w:t>
            </w:r>
            <w:r w:rsidRPr="001F1644">
              <w:rPr>
                <w:sz w:val="20"/>
                <w:lang w:val="en-CA"/>
              </w:rPr>
              <w:noBreakHyphen/>
              <w:t xml:space="preserve">201) against Groupe Malo in which facts relating to fraud were alleged. That case was consolidated by order with two other </w:t>
            </w:r>
            <w:proofErr w:type="gramStart"/>
            <w:r w:rsidRPr="001F1644">
              <w:rPr>
                <w:sz w:val="20"/>
                <w:lang w:val="en-CA"/>
              </w:rPr>
              <w:t>actions,</w:t>
            </w:r>
            <w:proofErr w:type="gramEnd"/>
            <w:r w:rsidRPr="001F1644">
              <w:rPr>
                <w:sz w:val="20"/>
                <w:lang w:val="en-CA"/>
              </w:rPr>
              <w:t xml:space="preserve"> including this one, in July 2020 (another action in professional liability had been brought by Groupe Malo in a third case in the Superior Court, No. 705</w:t>
            </w:r>
            <w:r w:rsidRPr="001F1644">
              <w:rPr>
                <w:sz w:val="20"/>
                <w:lang w:val="en-CA"/>
              </w:rPr>
              <w:noBreakHyphen/>
              <w:t>17</w:t>
            </w:r>
            <w:r w:rsidRPr="001F1644">
              <w:rPr>
                <w:sz w:val="20"/>
                <w:lang w:val="en-CA"/>
              </w:rPr>
              <w:noBreakHyphen/>
              <w:t>009410</w:t>
            </w:r>
            <w:r w:rsidRPr="001F1644">
              <w:rPr>
                <w:sz w:val="20"/>
                <w:lang w:val="en-CA"/>
              </w:rPr>
              <w:noBreakHyphen/>
              <w:t xml:space="preserve">208). In August 2020, the judge managing the three cases made an order declaring that the parties to the other two actions could obtain disclosure of the evidence held by the supervising lawyer. The Court of Appeal dismissed the motions for leave to appeal these last two orders. In October 2020, two of the three cases, including the one in which the </w:t>
            </w:r>
            <w:r w:rsidRPr="001F1644">
              <w:rPr>
                <w:i/>
                <w:sz w:val="20"/>
                <w:lang w:val="en-CA"/>
              </w:rPr>
              <w:t>Anton Piller</w:t>
            </w:r>
            <w:r w:rsidRPr="001F1644">
              <w:rPr>
                <w:sz w:val="20"/>
                <w:lang w:val="en-CA"/>
              </w:rPr>
              <w:t xml:space="preserve"> order </w:t>
            </w:r>
            <w:proofErr w:type="gramStart"/>
            <w:r w:rsidRPr="001F1644">
              <w:rPr>
                <w:sz w:val="20"/>
                <w:lang w:val="en-CA"/>
              </w:rPr>
              <w:t>had been made</w:t>
            </w:r>
            <w:proofErr w:type="gramEnd"/>
            <w:r w:rsidRPr="001F1644">
              <w:rPr>
                <w:sz w:val="20"/>
                <w:lang w:val="en-CA"/>
              </w:rPr>
              <w:t>, were wholly discontinued (No. 540</w:t>
            </w:r>
            <w:r w:rsidRPr="001F1644">
              <w:rPr>
                <w:sz w:val="20"/>
                <w:lang w:val="en-CA"/>
              </w:rPr>
              <w:noBreakHyphen/>
              <w:t>17</w:t>
            </w:r>
            <w:r w:rsidRPr="001F1644">
              <w:rPr>
                <w:sz w:val="20"/>
                <w:lang w:val="en-CA"/>
              </w:rPr>
              <w:noBreakHyphen/>
              <w:t>014043</w:t>
            </w:r>
            <w:r w:rsidRPr="001F1644">
              <w:rPr>
                <w:sz w:val="20"/>
                <w:lang w:val="en-CA"/>
              </w:rPr>
              <w:noBreakHyphen/>
              <w:t>201 and No. 705</w:t>
            </w:r>
            <w:r w:rsidRPr="001F1644">
              <w:rPr>
                <w:sz w:val="20"/>
                <w:lang w:val="en-CA"/>
              </w:rPr>
              <w:noBreakHyphen/>
              <w:t>17</w:t>
            </w:r>
            <w:r w:rsidRPr="001F1644">
              <w:rPr>
                <w:sz w:val="20"/>
                <w:lang w:val="en-CA"/>
              </w:rPr>
              <w:noBreakHyphen/>
              <w:t>009410</w:t>
            </w:r>
            <w:r w:rsidRPr="001F1644">
              <w:rPr>
                <w:sz w:val="20"/>
                <w:lang w:val="en-CA"/>
              </w:rPr>
              <w:noBreakHyphen/>
              <w:t>208). Following the discontinuances, 9427</w:t>
            </w:r>
            <w:r w:rsidRPr="001F1644">
              <w:rPr>
                <w:sz w:val="20"/>
                <w:lang w:val="en-CA"/>
              </w:rPr>
              <w:noBreakHyphen/>
              <w:t>1525 Québec inc., the plaintiff in continuance of proceeding in No. 540</w:t>
            </w:r>
            <w:r w:rsidRPr="001F1644">
              <w:rPr>
                <w:sz w:val="20"/>
                <w:lang w:val="en-CA"/>
              </w:rPr>
              <w:noBreakHyphen/>
              <w:t>17</w:t>
            </w:r>
            <w:r w:rsidRPr="001F1644">
              <w:rPr>
                <w:sz w:val="20"/>
                <w:lang w:val="en-CA"/>
              </w:rPr>
              <w:noBreakHyphen/>
              <w:t>014043</w:t>
            </w:r>
            <w:r w:rsidRPr="001F1644">
              <w:rPr>
                <w:sz w:val="20"/>
                <w:lang w:val="en-CA"/>
              </w:rPr>
              <w:noBreakHyphen/>
              <w:t xml:space="preserve">201 and a respondent in this leave </w:t>
            </w:r>
            <w:proofErr w:type="gramStart"/>
            <w:r w:rsidRPr="001F1644">
              <w:rPr>
                <w:sz w:val="20"/>
                <w:lang w:val="en-CA"/>
              </w:rPr>
              <w:t>application,</w:t>
            </w:r>
            <w:proofErr w:type="gramEnd"/>
            <w:r w:rsidRPr="001F1644">
              <w:rPr>
                <w:sz w:val="20"/>
                <w:lang w:val="en-CA"/>
              </w:rPr>
              <w:t xml:space="preserve"> and Groupe Malo in No. 705</w:t>
            </w:r>
            <w:r w:rsidRPr="001F1644">
              <w:rPr>
                <w:sz w:val="20"/>
                <w:lang w:val="en-CA"/>
              </w:rPr>
              <w:noBreakHyphen/>
              <w:t>17</w:t>
            </w:r>
            <w:r w:rsidRPr="001F1644">
              <w:rPr>
                <w:sz w:val="20"/>
                <w:lang w:val="en-CA"/>
              </w:rPr>
              <w:noBreakHyphen/>
              <w:t>009410</w:t>
            </w:r>
            <w:r w:rsidRPr="001F1644">
              <w:rPr>
                <w:sz w:val="20"/>
                <w:lang w:val="en-CA"/>
              </w:rPr>
              <w:noBreakHyphen/>
              <w:t xml:space="preserve">208 asked the independent lawyer to give them all the evidence that had been seized and not to keep any copy of it. The Court of Appeal dismissed Groupe Malo’s appeal against the Superior Court’s order of November 10, 2020. </w:t>
            </w:r>
          </w:p>
          <w:p w:rsidR="00BE597E" w:rsidRPr="001F1644" w:rsidRDefault="00BE597E" w:rsidP="00BE597E">
            <w:pPr>
              <w:jc w:val="both"/>
              <w:rPr>
                <w:sz w:val="20"/>
                <w:lang w:val="en-CA"/>
              </w:rPr>
            </w:pPr>
          </w:p>
        </w:tc>
      </w:tr>
      <w:tr w:rsidR="00BE597E" w:rsidRPr="001F1644">
        <w:tc>
          <w:tcPr>
            <w:tcW w:w="2427" w:type="pct"/>
            <w:gridSpan w:val="2"/>
          </w:tcPr>
          <w:p w:rsidR="00BE597E" w:rsidRPr="001F1644" w:rsidRDefault="00BE597E" w:rsidP="00BE597E">
            <w:pPr>
              <w:jc w:val="both"/>
              <w:rPr>
                <w:sz w:val="20"/>
                <w:lang w:val="en-CA"/>
              </w:rPr>
            </w:pPr>
            <w:r w:rsidRPr="001F1644">
              <w:rPr>
                <w:sz w:val="20"/>
                <w:lang w:val="en-CA"/>
              </w:rPr>
              <w:t>November 10, 2020</w:t>
            </w:r>
          </w:p>
          <w:p w:rsidR="00BE597E" w:rsidRPr="001F1644" w:rsidRDefault="00BE597E" w:rsidP="00BE597E">
            <w:pPr>
              <w:jc w:val="both"/>
              <w:rPr>
                <w:sz w:val="20"/>
                <w:lang w:val="en-CA"/>
              </w:rPr>
            </w:pPr>
            <w:r w:rsidRPr="001F1644">
              <w:rPr>
                <w:sz w:val="20"/>
                <w:lang w:val="en-CA"/>
              </w:rPr>
              <w:t>Quebec Superior Court</w:t>
            </w:r>
          </w:p>
          <w:p w:rsidR="00BE597E" w:rsidRPr="001F1644" w:rsidRDefault="00BE597E" w:rsidP="00BE597E">
            <w:pPr>
              <w:jc w:val="both"/>
              <w:rPr>
                <w:sz w:val="20"/>
                <w:lang w:val="en-CA"/>
              </w:rPr>
            </w:pPr>
            <w:r w:rsidRPr="001F1644">
              <w:rPr>
                <w:sz w:val="20"/>
                <w:lang w:val="en-CA"/>
              </w:rPr>
              <w:t>(Synnott J.)</w:t>
            </w:r>
          </w:p>
          <w:p w:rsidR="00BE597E" w:rsidRPr="001F1644" w:rsidRDefault="00724EE4" w:rsidP="00BE597E">
            <w:pPr>
              <w:jc w:val="both"/>
              <w:rPr>
                <w:sz w:val="20"/>
                <w:lang w:val="en-CA"/>
              </w:rPr>
            </w:pPr>
            <w:hyperlink r:id="rId56" w:history="1">
              <w:r w:rsidR="00BE597E" w:rsidRPr="001F1644">
                <w:rPr>
                  <w:rStyle w:val="Hyperlink"/>
                  <w:sz w:val="20"/>
                  <w:lang w:val="en-CA"/>
                </w:rPr>
                <w:t>2020 QCCS 3666</w:t>
              </w:r>
            </w:hyperlink>
          </w:p>
          <w:p w:rsidR="00BE597E" w:rsidRPr="001F1644" w:rsidRDefault="00BE597E" w:rsidP="00BE597E">
            <w:pPr>
              <w:jc w:val="both"/>
              <w:rPr>
                <w:sz w:val="20"/>
                <w:lang w:val="en-CA"/>
              </w:rPr>
            </w:pPr>
          </w:p>
        </w:tc>
        <w:tc>
          <w:tcPr>
            <w:tcW w:w="243" w:type="pct"/>
          </w:tcPr>
          <w:p w:rsidR="00BE597E" w:rsidRPr="001F1644" w:rsidRDefault="00BE597E" w:rsidP="00BE597E">
            <w:pPr>
              <w:jc w:val="both"/>
              <w:rPr>
                <w:sz w:val="20"/>
                <w:lang w:val="en-CA"/>
              </w:rPr>
            </w:pPr>
          </w:p>
        </w:tc>
        <w:tc>
          <w:tcPr>
            <w:tcW w:w="2330" w:type="pct"/>
          </w:tcPr>
          <w:p w:rsidR="00BE597E" w:rsidRPr="001F1644" w:rsidRDefault="00BE597E" w:rsidP="00BE597E">
            <w:pPr>
              <w:jc w:val="both"/>
              <w:rPr>
                <w:sz w:val="20"/>
                <w:lang w:val="en-CA"/>
              </w:rPr>
            </w:pPr>
            <w:r w:rsidRPr="001F1644">
              <w:rPr>
                <w:b/>
                <w:sz w:val="20"/>
                <w:lang w:val="en-CA"/>
              </w:rPr>
              <w:t>Declaration</w:t>
            </w:r>
            <w:r w:rsidRPr="001F1644">
              <w:rPr>
                <w:sz w:val="20"/>
                <w:lang w:val="en-CA"/>
              </w:rPr>
              <w:t xml:space="preserve"> that judgment of August 13, 2020 granting right to access evidence gathered remained in full effect in File No. 500</w:t>
            </w:r>
            <w:r w:rsidRPr="001F1644">
              <w:rPr>
                <w:sz w:val="20"/>
                <w:lang w:val="en-CA"/>
              </w:rPr>
              <w:noBreakHyphen/>
              <w:t>17</w:t>
            </w:r>
            <w:r w:rsidRPr="001F1644">
              <w:rPr>
                <w:sz w:val="20"/>
                <w:lang w:val="en-CA"/>
              </w:rPr>
              <w:noBreakHyphen/>
              <w:t>113128</w:t>
            </w:r>
            <w:r w:rsidRPr="001F1644">
              <w:rPr>
                <w:sz w:val="20"/>
                <w:lang w:val="en-CA"/>
              </w:rPr>
              <w:noBreakHyphen/>
              <w:t>204</w:t>
            </w:r>
          </w:p>
          <w:p w:rsidR="00BE597E" w:rsidRPr="001F1644" w:rsidRDefault="00BE597E" w:rsidP="00BE597E">
            <w:pPr>
              <w:jc w:val="both"/>
              <w:rPr>
                <w:sz w:val="20"/>
                <w:lang w:val="en-CA"/>
              </w:rPr>
            </w:pPr>
            <w:r w:rsidRPr="001F1644">
              <w:rPr>
                <w:b/>
                <w:sz w:val="20"/>
                <w:lang w:val="en-CA"/>
              </w:rPr>
              <w:t>Order</w:t>
            </w:r>
            <w:r w:rsidRPr="001F1644">
              <w:rPr>
                <w:sz w:val="20"/>
                <w:lang w:val="en-CA"/>
              </w:rPr>
              <w:t xml:space="preserve"> that independent lawyer keep evidence and physical property in his possession and give copies thereof to any party who so requested</w:t>
            </w:r>
          </w:p>
          <w:p w:rsidR="00BE597E" w:rsidRPr="001F1644" w:rsidRDefault="00BE597E" w:rsidP="00BE597E">
            <w:pPr>
              <w:jc w:val="both"/>
              <w:rPr>
                <w:sz w:val="20"/>
                <w:lang w:val="en-CA"/>
              </w:rPr>
            </w:pPr>
          </w:p>
        </w:tc>
      </w:tr>
      <w:tr w:rsidR="00BE597E" w:rsidRPr="001F1644">
        <w:tc>
          <w:tcPr>
            <w:tcW w:w="2427" w:type="pct"/>
            <w:gridSpan w:val="2"/>
          </w:tcPr>
          <w:p w:rsidR="00BE597E" w:rsidRPr="001F1644" w:rsidRDefault="00BE597E" w:rsidP="00BE597E">
            <w:pPr>
              <w:jc w:val="both"/>
              <w:rPr>
                <w:sz w:val="20"/>
                <w:lang w:val="en-CA"/>
              </w:rPr>
            </w:pPr>
            <w:r w:rsidRPr="001F1644">
              <w:rPr>
                <w:sz w:val="20"/>
                <w:lang w:val="en-CA"/>
              </w:rPr>
              <w:t>April 30, 2021</w:t>
            </w:r>
          </w:p>
          <w:p w:rsidR="00BE597E" w:rsidRPr="001F1644" w:rsidRDefault="00BE597E" w:rsidP="00BE597E">
            <w:pPr>
              <w:jc w:val="both"/>
              <w:rPr>
                <w:sz w:val="20"/>
                <w:lang w:val="en-CA"/>
              </w:rPr>
            </w:pPr>
            <w:r w:rsidRPr="001F1644">
              <w:rPr>
                <w:sz w:val="20"/>
                <w:lang w:val="en-CA"/>
              </w:rPr>
              <w:t>Quebec Court of Appeal (Montréal)</w:t>
            </w:r>
          </w:p>
          <w:p w:rsidR="00BE597E" w:rsidRPr="001F1644" w:rsidRDefault="00BE597E" w:rsidP="00BE597E">
            <w:pPr>
              <w:jc w:val="both"/>
              <w:rPr>
                <w:sz w:val="20"/>
                <w:lang w:val="en-CA"/>
              </w:rPr>
            </w:pPr>
            <w:r w:rsidRPr="001F1644">
              <w:rPr>
                <w:sz w:val="20"/>
                <w:lang w:val="en-CA"/>
              </w:rPr>
              <w:t>(Gagnon, Moore and Bachand JJ.A.)</w:t>
            </w:r>
          </w:p>
          <w:p w:rsidR="00BE597E" w:rsidRPr="001F1644" w:rsidRDefault="00724EE4" w:rsidP="00BE597E">
            <w:pPr>
              <w:jc w:val="both"/>
              <w:rPr>
                <w:sz w:val="20"/>
                <w:lang w:val="en-CA"/>
              </w:rPr>
            </w:pPr>
            <w:hyperlink r:id="rId57" w:history="1">
              <w:r w:rsidR="00BE597E" w:rsidRPr="001F1644">
                <w:rPr>
                  <w:rStyle w:val="Hyperlink"/>
                  <w:sz w:val="20"/>
                  <w:lang w:val="en-CA"/>
                </w:rPr>
                <w:t>2021 QCCA 706</w:t>
              </w:r>
            </w:hyperlink>
          </w:p>
          <w:p w:rsidR="00BE597E" w:rsidRPr="001F1644" w:rsidRDefault="00BE597E" w:rsidP="00BE597E">
            <w:pPr>
              <w:jc w:val="both"/>
              <w:rPr>
                <w:sz w:val="20"/>
                <w:lang w:val="en-CA"/>
              </w:rPr>
            </w:pPr>
          </w:p>
        </w:tc>
        <w:tc>
          <w:tcPr>
            <w:tcW w:w="243" w:type="pct"/>
          </w:tcPr>
          <w:p w:rsidR="00BE597E" w:rsidRPr="001F1644" w:rsidRDefault="00BE597E" w:rsidP="00BE597E">
            <w:pPr>
              <w:jc w:val="both"/>
              <w:rPr>
                <w:sz w:val="20"/>
                <w:lang w:val="en-CA"/>
              </w:rPr>
            </w:pPr>
          </w:p>
        </w:tc>
        <w:tc>
          <w:tcPr>
            <w:tcW w:w="2330" w:type="pct"/>
          </w:tcPr>
          <w:p w:rsidR="00BE597E" w:rsidRPr="001F1644" w:rsidRDefault="00BE597E" w:rsidP="00BE597E">
            <w:pPr>
              <w:jc w:val="both"/>
              <w:rPr>
                <w:sz w:val="20"/>
                <w:lang w:val="en-CA"/>
              </w:rPr>
            </w:pPr>
            <w:r w:rsidRPr="001F1644">
              <w:rPr>
                <w:sz w:val="20"/>
                <w:lang w:val="en-CA"/>
              </w:rPr>
              <w:t>Appeal dismissed</w:t>
            </w:r>
          </w:p>
          <w:p w:rsidR="00BE597E" w:rsidRPr="001F1644" w:rsidRDefault="00BE597E" w:rsidP="00BE597E">
            <w:pPr>
              <w:jc w:val="both"/>
              <w:rPr>
                <w:sz w:val="20"/>
                <w:lang w:val="en-CA"/>
              </w:rPr>
            </w:pPr>
          </w:p>
        </w:tc>
      </w:tr>
      <w:tr w:rsidR="00BE597E" w:rsidRPr="001F1644">
        <w:tc>
          <w:tcPr>
            <w:tcW w:w="2427" w:type="pct"/>
            <w:gridSpan w:val="2"/>
          </w:tcPr>
          <w:p w:rsidR="00BE597E" w:rsidRPr="001F1644" w:rsidRDefault="00BE597E" w:rsidP="00BE597E">
            <w:pPr>
              <w:jc w:val="both"/>
              <w:rPr>
                <w:sz w:val="20"/>
                <w:lang w:val="en-CA"/>
              </w:rPr>
            </w:pPr>
            <w:r w:rsidRPr="001F1644">
              <w:rPr>
                <w:sz w:val="20"/>
                <w:lang w:val="en-CA"/>
              </w:rPr>
              <w:t>June 29, 2021</w:t>
            </w:r>
          </w:p>
          <w:p w:rsidR="00BE597E" w:rsidRPr="001F1644" w:rsidRDefault="00BE597E" w:rsidP="00BE597E">
            <w:pPr>
              <w:jc w:val="both"/>
              <w:rPr>
                <w:sz w:val="20"/>
                <w:lang w:val="en-CA"/>
              </w:rPr>
            </w:pPr>
            <w:r w:rsidRPr="001F1644">
              <w:rPr>
                <w:sz w:val="20"/>
                <w:lang w:val="en-CA"/>
              </w:rPr>
              <w:t>Supreme Court of Canada</w:t>
            </w:r>
          </w:p>
        </w:tc>
        <w:tc>
          <w:tcPr>
            <w:tcW w:w="243" w:type="pct"/>
          </w:tcPr>
          <w:p w:rsidR="00BE597E" w:rsidRPr="001F1644" w:rsidRDefault="00BE597E" w:rsidP="00BE597E">
            <w:pPr>
              <w:jc w:val="both"/>
              <w:rPr>
                <w:sz w:val="20"/>
                <w:lang w:val="en-CA"/>
              </w:rPr>
            </w:pPr>
          </w:p>
        </w:tc>
        <w:tc>
          <w:tcPr>
            <w:tcW w:w="2330" w:type="pct"/>
          </w:tcPr>
          <w:p w:rsidR="00BE597E" w:rsidRPr="001F1644" w:rsidRDefault="00BE597E" w:rsidP="00BE597E">
            <w:pPr>
              <w:jc w:val="both"/>
              <w:rPr>
                <w:sz w:val="20"/>
                <w:lang w:val="en-CA"/>
              </w:rPr>
            </w:pPr>
            <w:r w:rsidRPr="001F1644">
              <w:rPr>
                <w:sz w:val="20"/>
                <w:lang w:val="en-CA"/>
              </w:rPr>
              <w:t>Application for leave to appeal filed</w:t>
            </w:r>
          </w:p>
          <w:p w:rsidR="00BE597E" w:rsidRPr="001F1644" w:rsidRDefault="00BE597E" w:rsidP="00BE597E">
            <w:pPr>
              <w:jc w:val="both"/>
              <w:rPr>
                <w:sz w:val="20"/>
                <w:lang w:val="en-CA"/>
              </w:rPr>
            </w:pPr>
          </w:p>
        </w:tc>
      </w:tr>
    </w:tbl>
    <w:p w:rsidR="00BE597E" w:rsidRPr="001F1644" w:rsidRDefault="00BE597E" w:rsidP="00BE597E">
      <w:pPr>
        <w:jc w:val="both"/>
        <w:rPr>
          <w:sz w:val="20"/>
          <w:lang w:val="en-CA"/>
        </w:rPr>
      </w:pPr>
    </w:p>
    <w:p w:rsidR="007607A2" w:rsidRPr="001F1644" w:rsidRDefault="00724EE4" w:rsidP="00BE597E">
      <w:pPr>
        <w:jc w:val="both"/>
        <w:rPr>
          <w:sz w:val="20"/>
          <w:lang w:val="en-CA"/>
        </w:rPr>
      </w:pPr>
      <w:r>
        <w:rPr>
          <w:sz w:val="20"/>
        </w:rPr>
        <w:pict>
          <v:rect id="_x0000_i1043" style="width:2in;height:1pt" o:hrpct="0" o:hralign="center" o:hrstd="t" o:hrnoshade="t" o:hr="t" fillcolor="black [3213]" stroked="f"/>
        </w:pict>
      </w:r>
    </w:p>
    <w:p w:rsidR="007607A2" w:rsidRPr="001F1644" w:rsidRDefault="007607A2" w:rsidP="00BE597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tc>
          <w:tcPr>
            <w:tcW w:w="543" w:type="pct"/>
          </w:tcPr>
          <w:p w:rsidR="00BE597E" w:rsidRPr="001F1644" w:rsidRDefault="00BE597E" w:rsidP="00BE597E">
            <w:pPr>
              <w:jc w:val="both"/>
              <w:rPr>
                <w:sz w:val="20"/>
              </w:rPr>
            </w:pPr>
            <w:r w:rsidRPr="001F1644">
              <w:rPr>
                <w:rStyle w:val="SCCFileNumberChar"/>
                <w:sz w:val="20"/>
                <w:szCs w:val="20"/>
              </w:rPr>
              <w:t>39794</w:t>
            </w:r>
          </w:p>
        </w:tc>
        <w:tc>
          <w:tcPr>
            <w:tcW w:w="4457" w:type="pct"/>
            <w:gridSpan w:val="3"/>
          </w:tcPr>
          <w:p w:rsidR="00BE597E" w:rsidRPr="001F1644" w:rsidRDefault="00BE597E" w:rsidP="00BE597E">
            <w:pPr>
              <w:pStyle w:val="SCCLsocParty"/>
              <w:jc w:val="both"/>
              <w:rPr>
                <w:b/>
                <w:sz w:val="20"/>
                <w:szCs w:val="20"/>
              </w:rPr>
            </w:pPr>
            <w:r w:rsidRPr="001F1644">
              <w:rPr>
                <w:b/>
                <w:sz w:val="20"/>
                <w:szCs w:val="20"/>
              </w:rPr>
              <w:t xml:space="preserve">Jean-François Malo, Annie Deslongchamps, 9359-1089 Québec inc., Variétés J.C.R. inc., 9330-8898 Québec inc., 9262-8346 Québec inc., 9253-4122 Québec inc., 9374-8259 Québec inc., </w:t>
            </w:r>
            <w:r w:rsidRPr="001F1644">
              <w:rPr>
                <w:b/>
                <w:sz w:val="20"/>
                <w:szCs w:val="20"/>
              </w:rPr>
              <w:lastRenderedPageBreak/>
              <w:t>Habitations Malo inc., Groupe Immobilier Malo inc., 9306-3691 Québec inc., Vadnais et filles inc., Fiducie Famille J.F. Malo, Fiducie Annie, Fiducie Inspiration, Fiducie Résidence Malo, 9303-6234 Québec inc., 9330-3287 Québec inc., 9366-0447 Québec inc. et 9333-9109 Québec inc. c. Simon Chartrand, Fonds d'assurance responsabilité professionnelle de la Chambre des notaires du Québec, Chambre des notaires du Québec, 9427-1525 Québec inc. et Crédit Transit inc.</w:t>
            </w:r>
          </w:p>
          <w:p w:rsidR="00BE597E" w:rsidRPr="001F1644" w:rsidRDefault="00BE597E" w:rsidP="00BE597E">
            <w:pPr>
              <w:jc w:val="both"/>
              <w:rPr>
                <w:sz w:val="20"/>
              </w:rPr>
            </w:pPr>
            <w:r w:rsidRPr="001F1644">
              <w:rPr>
                <w:sz w:val="20"/>
              </w:rPr>
              <w:t>(Qc) (Civile) (Autorisation)</w:t>
            </w:r>
          </w:p>
        </w:tc>
      </w:tr>
      <w:tr w:rsidR="00BE597E" w:rsidRPr="001F1644">
        <w:tc>
          <w:tcPr>
            <w:tcW w:w="5000" w:type="pct"/>
            <w:gridSpan w:val="4"/>
          </w:tcPr>
          <w:p w:rsidR="00BE597E" w:rsidRPr="001F1644" w:rsidRDefault="00BE597E" w:rsidP="00BE597E">
            <w:pPr>
              <w:pStyle w:val="SCCBanSummary"/>
              <w:rPr>
                <w:sz w:val="20"/>
                <w:szCs w:val="20"/>
                <w:lang w:val="fr-CA"/>
              </w:rPr>
            </w:pPr>
            <w:r w:rsidRPr="001F1644">
              <w:rPr>
                <w:smallCaps w:val="0"/>
                <w:sz w:val="20"/>
                <w:szCs w:val="20"/>
                <w:lang w:val="fr-CA"/>
              </w:rPr>
              <w:lastRenderedPageBreak/>
              <w:t xml:space="preserve">Procédure civile </w:t>
            </w:r>
            <w:r w:rsidRPr="001F1644">
              <w:rPr>
                <w:smallCaps w:val="0"/>
                <w:sz w:val="20"/>
                <w:szCs w:val="20"/>
              </w:rPr>
              <w:t>⸺</w:t>
            </w:r>
            <w:r w:rsidRPr="001F1644">
              <w:rPr>
                <w:smallCaps w:val="0"/>
                <w:sz w:val="20"/>
                <w:szCs w:val="20"/>
                <w:lang w:val="fr-CA"/>
              </w:rPr>
              <w:t xml:space="preserve"> Ordonnance de type </w:t>
            </w:r>
            <w:r w:rsidRPr="001F1644">
              <w:rPr>
                <w:i/>
                <w:smallCaps w:val="0"/>
                <w:sz w:val="20"/>
                <w:szCs w:val="20"/>
                <w:lang w:val="fr-CA"/>
              </w:rPr>
              <w:t>Anton Piller</w:t>
            </w:r>
            <w:r w:rsidRPr="001F1644">
              <w:rPr>
                <w:smallCaps w:val="0"/>
                <w:sz w:val="20"/>
                <w:szCs w:val="20"/>
                <w:lang w:val="fr-CA"/>
              </w:rPr>
              <w:t xml:space="preserve"> </w:t>
            </w:r>
            <w:r w:rsidRPr="001F1644">
              <w:rPr>
                <w:smallCaps w:val="0"/>
                <w:sz w:val="20"/>
                <w:szCs w:val="20"/>
              </w:rPr>
              <w:t>⸺</w:t>
            </w:r>
            <w:r w:rsidRPr="001F1644">
              <w:rPr>
                <w:smallCaps w:val="0"/>
                <w:sz w:val="20"/>
                <w:szCs w:val="20"/>
                <w:lang w:val="fr-CA"/>
              </w:rPr>
              <w:t xml:space="preserve"> Droit d’accès à la preuve </w:t>
            </w:r>
            <w:r w:rsidRPr="001F1644">
              <w:rPr>
                <w:smallCaps w:val="0"/>
                <w:sz w:val="20"/>
                <w:szCs w:val="20"/>
              </w:rPr>
              <w:t>⸺</w:t>
            </w:r>
            <w:r w:rsidRPr="001F1644">
              <w:rPr>
                <w:smallCaps w:val="0"/>
                <w:sz w:val="20"/>
                <w:szCs w:val="20"/>
                <w:lang w:val="fr-CA"/>
              </w:rPr>
              <w:t xml:space="preserve"> L’ordonnance de type </w:t>
            </w:r>
            <w:r w:rsidRPr="001F1644">
              <w:rPr>
                <w:i/>
                <w:smallCaps w:val="0"/>
                <w:sz w:val="20"/>
                <w:szCs w:val="20"/>
                <w:lang w:val="fr-CA"/>
              </w:rPr>
              <w:t>Anton Piller</w:t>
            </w:r>
            <w:r w:rsidRPr="001F1644">
              <w:rPr>
                <w:smallCaps w:val="0"/>
                <w:sz w:val="20"/>
                <w:szCs w:val="20"/>
                <w:lang w:val="fr-CA"/>
              </w:rPr>
              <w:t xml:space="preserve"> étant exceptionnelle et très attentatoire des droits fondamentaux de Groupe Malo qui sont eux</w:t>
            </w:r>
            <w:r w:rsidRPr="001F1644">
              <w:rPr>
                <w:smallCaps w:val="0"/>
                <w:sz w:val="20"/>
                <w:szCs w:val="20"/>
                <w:lang w:val="fr-CA"/>
              </w:rPr>
              <w:noBreakHyphen/>
              <w:t xml:space="preserve">mêmes protégés par la </w:t>
            </w:r>
            <w:r w:rsidRPr="001F1644">
              <w:rPr>
                <w:i/>
                <w:smallCaps w:val="0"/>
                <w:sz w:val="20"/>
                <w:szCs w:val="20"/>
                <w:lang w:val="fr-CA"/>
              </w:rPr>
              <w:t>Charte canadienne des droits et libertés</w:t>
            </w:r>
            <w:r w:rsidRPr="001F1644">
              <w:rPr>
                <w:smallCaps w:val="0"/>
                <w:sz w:val="20"/>
                <w:szCs w:val="20"/>
                <w:lang w:val="fr-CA"/>
              </w:rPr>
              <w:t xml:space="preserve"> et la </w:t>
            </w:r>
            <w:r w:rsidRPr="001F1644">
              <w:rPr>
                <w:i/>
                <w:smallCaps w:val="0"/>
                <w:sz w:val="20"/>
                <w:szCs w:val="20"/>
                <w:lang w:val="fr-CA"/>
              </w:rPr>
              <w:t xml:space="preserve">Charte des droits et libertés de la personne </w:t>
            </w:r>
            <w:r w:rsidRPr="001F1644">
              <w:rPr>
                <w:smallCaps w:val="0"/>
                <w:sz w:val="20"/>
                <w:szCs w:val="20"/>
                <w:lang w:val="fr-FR"/>
              </w:rPr>
              <w:t>RLRQ c C</w:t>
            </w:r>
            <w:r w:rsidRPr="001F1644">
              <w:rPr>
                <w:smallCaps w:val="0"/>
                <w:sz w:val="20"/>
                <w:szCs w:val="20"/>
                <w:lang w:val="fr-FR"/>
              </w:rPr>
              <w:noBreakHyphen/>
              <w:t xml:space="preserve">12, </w:t>
            </w:r>
            <w:r w:rsidRPr="001F1644">
              <w:rPr>
                <w:smallCaps w:val="0"/>
                <w:sz w:val="20"/>
                <w:szCs w:val="20"/>
                <w:lang w:val="fr-CA"/>
              </w:rPr>
              <w:t>la Cour d’appel du Québec a</w:t>
            </w:r>
            <w:r w:rsidRPr="001F1644">
              <w:rPr>
                <w:smallCaps w:val="0"/>
                <w:sz w:val="20"/>
                <w:szCs w:val="20"/>
                <w:lang w:val="fr-CA"/>
              </w:rPr>
              <w:noBreakHyphen/>
              <w:t>t</w:t>
            </w:r>
            <w:r w:rsidRPr="001F1644">
              <w:rPr>
                <w:smallCaps w:val="0"/>
                <w:sz w:val="20"/>
                <w:szCs w:val="20"/>
                <w:lang w:val="fr-CA"/>
              </w:rPr>
              <w:noBreakHyphen/>
              <w:t xml:space="preserve">elle manifestement erré en droit : (1) en concluant que l’ordonnance de type </w:t>
            </w:r>
            <w:r w:rsidRPr="001F1644">
              <w:rPr>
                <w:i/>
                <w:smallCaps w:val="0"/>
                <w:sz w:val="20"/>
                <w:szCs w:val="20"/>
                <w:lang w:val="fr-CA"/>
              </w:rPr>
              <w:t>Anton Piller</w:t>
            </w:r>
            <w:r w:rsidRPr="001F1644">
              <w:rPr>
                <w:smallCaps w:val="0"/>
                <w:sz w:val="20"/>
                <w:szCs w:val="20"/>
                <w:lang w:val="fr-CA"/>
              </w:rPr>
              <w:t xml:space="preserve"> survit à la suite du désistement de la demanderesse en reprise d’instance, 9427</w:t>
            </w:r>
            <w:r w:rsidRPr="001F1644">
              <w:rPr>
                <w:smallCaps w:val="0"/>
                <w:sz w:val="20"/>
                <w:szCs w:val="20"/>
                <w:lang w:val="fr-CA"/>
              </w:rPr>
              <w:noBreakHyphen/>
              <w:t xml:space="preserve">1525 Québec inc., (2) en déterminant que l’ordonnance de type </w:t>
            </w:r>
            <w:r w:rsidRPr="001F1644">
              <w:rPr>
                <w:i/>
                <w:smallCaps w:val="0"/>
                <w:sz w:val="20"/>
                <w:szCs w:val="20"/>
                <w:lang w:val="fr-CA"/>
              </w:rPr>
              <w:t>Anton Piller</w:t>
            </w:r>
            <w:r w:rsidRPr="001F1644">
              <w:rPr>
                <w:smallCaps w:val="0"/>
                <w:sz w:val="20"/>
                <w:szCs w:val="20"/>
                <w:lang w:val="fr-CA"/>
              </w:rPr>
              <w:t xml:space="preserve"> suivit à la suite du non</w:t>
            </w:r>
            <w:r w:rsidRPr="001F1644">
              <w:rPr>
                <w:smallCaps w:val="0"/>
                <w:sz w:val="20"/>
                <w:szCs w:val="20"/>
                <w:lang w:val="fr-CA"/>
              </w:rPr>
              <w:noBreakHyphen/>
              <w:t>renouvellement de celle</w:t>
            </w:r>
            <w:r w:rsidRPr="001F1644">
              <w:rPr>
                <w:smallCaps w:val="0"/>
                <w:sz w:val="20"/>
                <w:szCs w:val="20"/>
                <w:lang w:val="fr-CA"/>
              </w:rPr>
              <w:noBreakHyphen/>
              <w:t xml:space="preserve">ci, (3) en concluant qu’un tiers peut bénéficier de l’ordonnance de type </w:t>
            </w:r>
            <w:r w:rsidRPr="001F1644">
              <w:rPr>
                <w:i/>
                <w:smallCaps w:val="0"/>
                <w:sz w:val="20"/>
                <w:szCs w:val="20"/>
                <w:lang w:val="fr-CA"/>
              </w:rPr>
              <w:t>Anton Piller</w:t>
            </w:r>
            <w:r w:rsidRPr="001F1644">
              <w:rPr>
                <w:smallCaps w:val="0"/>
                <w:sz w:val="20"/>
                <w:szCs w:val="20"/>
                <w:lang w:val="fr-CA"/>
              </w:rPr>
              <w:t>, alors que celle a été obtenue dans un dossier qui est éteint à la suite du désistement de la demanderesse en reprise d’instance, 9427</w:t>
            </w:r>
            <w:r w:rsidRPr="001F1644">
              <w:rPr>
                <w:smallCaps w:val="0"/>
                <w:sz w:val="20"/>
                <w:szCs w:val="20"/>
                <w:lang w:val="fr-CA"/>
              </w:rPr>
              <w:noBreakHyphen/>
              <w:t xml:space="preserve">1525 Québec inc., justifiant comme motif la recherche de la vérité qui soit prévaloir en droit civil québécois, (4) en concluant que toute tierce partie qui en fait la demande peut obtenir copie des éléments de preuve obtenus dans le cadre de l’ordonnance de type </w:t>
            </w:r>
            <w:r w:rsidRPr="001F1644">
              <w:rPr>
                <w:i/>
                <w:smallCaps w:val="0"/>
                <w:sz w:val="20"/>
                <w:szCs w:val="20"/>
                <w:lang w:val="fr-CA"/>
              </w:rPr>
              <w:t>Anton Piller</w:t>
            </w:r>
            <w:r w:rsidRPr="001F1644">
              <w:rPr>
                <w:smallCaps w:val="0"/>
                <w:sz w:val="20"/>
                <w:szCs w:val="20"/>
                <w:lang w:val="fr-CA"/>
              </w:rPr>
              <w:t xml:space="preserve">, et ce, en vertu de l’article 251 al. 2 du </w:t>
            </w:r>
            <w:r w:rsidRPr="001F1644">
              <w:rPr>
                <w:i/>
                <w:smallCaps w:val="0"/>
                <w:sz w:val="20"/>
                <w:szCs w:val="20"/>
                <w:lang w:val="fr-FR" w:eastAsia="fr-CA"/>
              </w:rPr>
              <w:t>Code de procédure civile</w:t>
            </w:r>
            <w:r w:rsidRPr="001F1644">
              <w:rPr>
                <w:smallCaps w:val="0"/>
                <w:sz w:val="20"/>
                <w:szCs w:val="20"/>
                <w:lang w:val="fr-CA"/>
              </w:rPr>
              <w:t xml:space="preserve">, de même qu’en vertu des pouvoirs inhérents dont dispose le juge de première instance? </w:t>
            </w:r>
            <w:r w:rsidRPr="001F1644">
              <w:rPr>
                <w:smallCaps w:val="0"/>
                <w:sz w:val="20"/>
                <w:szCs w:val="20"/>
              </w:rPr>
              <w:t>⸺</w:t>
            </w:r>
            <w:r w:rsidRPr="001F1644">
              <w:rPr>
                <w:smallCaps w:val="0"/>
                <w:sz w:val="20"/>
                <w:szCs w:val="20"/>
                <w:lang w:val="fr-CA"/>
              </w:rPr>
              <w:t xml:space="preserve"> </w:t>
            </w:r>
            <w:r w:rsidRPr="001F1644">
              <w:rPr>
                <w:i/>
                <w:smallCaps w:val="0"/>
                <w:sz w:val="20"/>
                <w:szCs w:val="20"/>
                <w:lang w:val="fr-FR" w:eastAsia="fr-CA"/>
              </w:rPr>
              <w:t>Code de procédure civile</w:t>
            </w:r>
            <w:r w:rsidRPr="001F1644">
              <w:rPr>
                <w:smallCaps w:val="0"/>
                <w:sz w:val="20"/>
                <w:szCs w:val="20"/>
                <w:lang w:val="fr-FR" w:eastAsia="fr-CA"/>
              </w:rPr>
              <w:t>, RLRQ c C</w:t>
            </w:r>
            <w:r w:rsidRPr="001F1644">
              <w:rPr>
                <w:smallCaps w:val="0"/>
                <w:sz w:val="20"/>
                <w:szCs w:val="20"/>
                <w:lang w:val="fr-FR" w:eastAsia="fr-CA"/>
              </w:rPr>
              <w:noBreakHyphen/>
              <w:t>25.01, art. 213 et 251</w:t>
            </w:r>
            <w:r w:rsidRPr="001F1644">
              <w:rPr>
                <w:sz w:val="20"/>
                <w:szCs w:val="20"/>
                <w:lang w:val="fr-FR" w:eastAsia="fr-CA"/>
              </w:rPr>
              <w:t>.</w:t>
            </w:r>
          </w:p>
        </w:tc>
      </w:tr>
      <w:tr w:rsidR="00BE597E" w:rsidRPr="001F1644">
        <w:tc>
          <w:tcPr>
            <w:tcW w:w="5000" w:type="pct"/>
            <w:gridSpan w:val="4"/>
          </w:tcPr>
          <w:p w:rsidR="00BE597E" w:rsidRPr="001F1644" w:rsidRDefault="00BE597E" w:rsidP="00BE597E">
            <w:pPr>
              <w:jc w:val="both"/>
              <w:rPr>
                <w:sz w:val="20"/>
                <w:lang w:val="fr-CA"/>
              </w:rPr>
            </w:pPr>
          </w:p>
        </w:tc>
      </w:tr>
      <w:tr w:rsidR="00BE597E" w:rsidRPr="00724EE4">
        <w:tc>
          <w:tcPr>
            <w:tcW w:w="5000" w:type="pct"/>
            <w:gridSpan w:val="4"/>
          </w:tcPr>
          <w:p w:rsidR="00BE597E" w:rsidRPr="001F1644" w:rsidRDefault="00BE597E" w:rsidP="00BE597E">
            <w:pPr>
              <w:jc w:val="both"/>
              <w:rPr>
                <w:sz w:val="20"/>
                <w:lang w:val="fr-CA"/>
              </w:rPr>
            </w:pPr>
            <w:r w:rsidRPr="001F1644">
              <w:rPr>
                <w:sz w:val="20"/>
                <w:lang w:val="fr-CA"/>
              </w:rPr>
              <w:t>Les demandeurs, appelés collectivement « Groupe Malo » contestent une ordonnance rendue dans le cadre d’un recours en responsabilité professionnelle entrepris contre les intimés M. Simon Chartrand, ex</w:t>
            </w:r>
            <w:r w:rsidRPr="001F1644">
              <w:rPr>
                <w:sz w:val="20"/>
                <w:lang w:val="fr-CA"/>
              </w:rPr>
              <w:noBreakHyphen/>
              <w:t>notaire, le Fonds d’assurance responsabilité professionnelle de la Chambre des notaires, 9427</w:t>
            </w:r>
            <w:r w:rsidRPr="001F1644">
              <w:rPr>
                <w:sz w:val="20"/>
                <w:lang w:val="fr-CA"/>
              </w:rPr>
              <w:noBreakHyphen/>
              <w:t>1525 Québec inc., Crédit transit inc. et la Chambre des notaires (dossier de la Cour supérieure No. 500</w:t>
            </w:r>
            <w:r w:rsidRPr="001F1644">
              <w:rPr>
                <w:sz w:val="20"/>
                <w:lang w:val="fr-CA"/>
              </w:rPr>
              <w:noBreakHyphen/>
              <w:t>17</w:t>
            </w:r>
            <w:r w:rsidRPr="001F1644">
              <w:rPr>
                <w:sz w:val="20"/>
                <w:lang w:val="fr-CA"/>
              </w:rPr>
              <w:noBreakHyphen/>
              <w:t>113128</w:t>
            </w:r>
            <w:r w:rsidRPr="001F1644">
              <w:rPr>
                <w:sz w:val="20"/>
                <w:lang w:val="fr-CA"/>
              </w:rPr>
              <w:noBreakHyphen/>
              <w:t xml:space="preserve">204). Cette ordonnance, datée du 10 novembre 2020 et faisant l’objet de la présente demande d’autorisation d’appel, statue sur une demande de directives présentée par l’avocat superviseur indépendant mandaté dans la cadre de l’exécution de l’ordonnance de type </w:t>
            </w:r>
            <w:r w:rsidRPr="001F1644">
              <w:rPr>
                <w:i/>
                <w:sz w:val="20"/>
                <w:lang w:val="fr-CA"/>
              </w:rPr>
              <w:t>Anton Piller</w:t>
            </w:r>
            <w:r w:rsidRPr="001F1644">
              <w:rPr>
                <w:sz w:val="20"/>
                <w:lang w:val="fr-CA"/>
              </w:rPr>
              <w:t xml:space="preserve">. Elle déclare que le jugement accordant le droit d’accès à la preuve recueillie dans le cadre de l’exécution de l'ordonnance de type </w:t>
            </w:r>
            <w:r w:rsidRPr="001F1644">
              <w:rPr>
                <w:i/>
                <w:sz w:val="20"/>
                <w:lang w:val="fr-CA"/>
              </w:rPr>
              <w:t>Anton Piller</w:t>
            </w:r>
            <w:r w:rsidRPr="001F1644">
              <w:rPr>
                <w:sz w:val="20"/>
                <w:lang w:val="fr-CA"/>
              </w:rPr>
              <w:t xml:space="preserve"> conserve son plein effet et ordonne à l’avocat superviseur de conserver la preuve et les biens matériels en sa possession et d’en remettre copies à toute partie qui en fait la demande. L'ordonnance de type </w:t>
            </w:r>
            <w:r w:rsidRPr="001F1644">
              <w:rPr>
                <w:i/>
                <w:sz w:val="20"/>
                <w:lang w:val="fr-CA"/>
              </w:rPr>
              <w:t>Anton Piller</w:t>
            </w:r>
            <w:r w:rsidRPr="001F1644">
              <w:rPr>
                <w:sz w:val="20"/>
                <w:lang w:val="fr-CA"/>
              </w:rPr>
              <w:t xml:space="preserve"> en cause a été rendue en juin 2020 dans le contexte d’un autre recours (dossier de la Cour supérieure No. 540</w:t>
            </w:r>
            <w:r w:rsidRPr="001F1644">
              <w:rPr>
                <w:sz w:val="20"/>
                <w:lang w:val="fr-CA"/>
              </w:rPr>
              <w:noBreakHyphen/>
              <w:t>17</w:t>
            </w:r>
            <w:r w:rsidRPr="001F1644">
              <w:rPr>
                <w:sz w:val="20"/>
                <w:lang w:val="fr-CA"/>
              </w:rPr>
              <w:noBreakHyphen/>
              <w:t>014043</w:t>
            </w:r>
            <w:r w:rsidRPr="001F1644">
              <w:rPr>
                <w:sz w:val="20"/>
                <w:lang w:val="fr-CA"/>
              </w:rPr>
              <w:noBreakHyphen/>
              <w:t>201) dans lequel le Groupe Malo était poursuivi et pour lequel des faits relatifs à une fraude présumée avaient été allégués. Ce dossier a été joint par ordonnance à deux autres recours, dont celui en l’espèce, en juillet 2020 (une autre poursuite en responsabilité professionnelle avait été entreprise dans un troisième dossier en Cour supérieure No. 705</w:t>
            </w:r>
            <w:r w:rsidRPr="001F1644">
              <w:rPr>
                <w:sz w:val="20"/>
                <w:lang w:val="fr-CA"/>
              </w:rPr>
              <w:noBreakHyphen/>
              <w:t>17</w:t>
            </w:r>
            <w:r w:rsidRPr="001F1644">
              <w:rPr>
                <w:sz w:val="20"/>
                <w:lang w:val="fr-CA"/>
              </w:rPr>
              <w:noBreakHyphen/>
              <w:t>009410</w:t>
            </w:r>
            <w:r w:rsidRPr="001F1644">
              <w:rPr>
                <w:sz w:val="20"/>
                <w:lang w:val="fr-CA"/>
              </w:rPr>
              <w:noBreakHyphen/>
              <w:t xml:space="preserve">208 par le Groupe Malo). En août 2020, une ordonnance a été rendue par le juge chargé de la gestion des trois dossiers déclarant que les parties aux deux autres recours pouvaient obtenir communication des éléments de preuve détenus par l’avocat superviseur. La Cour d’appel a rejeté les requêtes pour permission d’en appeler déposées à l’encontre de ces deux dernières ordonnances. En octobre 2020, deux des trois dossiers, y compris celui dans lequel l'ordonnance de type </w:t>
            </w:r>
            <w:r w:rsidRPr="001F1644">
              <w:rPr>
                <w:i/>
                <w:sz w:val="20"/>
                <w:lang w:val="fr-CA"/>
              </w:rPr>
              <w:t>Anton Piller</w:t>
            </w:r>
            <w:r w:rsidRPr="001F1644">
              <w:rPr>
                <w:sz w:val="20"/>
                <w:lang w:val="fr-CA"/>
              </w:rPr>
              <w:t xml:space="preserve"> avait été rendue, ont fait l’objet d’un désistement total (No. 540</w:t>
            </w:r>
            <w:r w:rsidRPr="001F1644">
              <w:rPr>
                <w:sz w:val="20"/>
                <w:lang w:val="fr-CA"/>
              </w:rPr>
              <w:noBreakHyphen/>
              <w:t>17</w:t>
            </w:r>
            <w:r w:rsidRPr="001F1644">
              <w:rPr>
                <w:sz w:val="20"/>
                <w:lang w:val="fr-CA"/>
              </w:rPr>
              <w:noBreakHyphen/>
              <w:t>014043</w:t>
            </w:r>
            <w:r w:rsidRPr="001F1644">
              <w:rPr>
                <w:sz w:val="20"/>
                <w:lang w:val="fr-CA"/>
              </w:rPr>
              <w:noBreakHyphen/>
              <w:t>201 et No. 705</w:t>
            </w:r>
            <w:r w:rsidRPr="001F1644">
              <w:rPr>
                <w:sz w:val="20"/>
                <w:lang w:val="fr-CA"/>
              </w:rPr>
              <w:noBreakHyphen/>
              <w:t>17</w:t>
            </w:r>
            <w:r w:rsidRPr="001F1644">
              <w:rPr>
                <w:sz w:val="20"/>
                <w:lang w:val="fr-CA"/>
              </w:rPr>
              <w:noBreakHyphen/>
              <w:t>009410</w:t>
            </w:r>
            <w:r w:rsidRPr="001F1644">
              <w:rPr>
                <w:sz w:val="20"/>
                <w:lang w:val="fr-CA"/>
              </w:rPr>
              <w:noBreakHyphen/>
              <w:t>208). Comme suite à ces désistements, 9427</w:t>
            </w:r>
            <w:r w:rsidRPr="001F1644">
              <w:rPr>
                <w:sz w:val="20"/>
                <w:lang w:val="fr-CA"/>
              </w:rPr>
              <w:noBreakHyphen/>
              <w:t>1525 Québec inc. demanderesse en reprise d’instance dans le dossier  No. 540</w:t>
            </w:r>
            <w:r w:rsidRPr="001F1644">
              <w:rPr>
                <w:sz w:val="20"/>
                <w:lang w:val="fr-CA"/>
              </w:rPr>
              <w:noBreakHyphen/>
              <w:t>17</w:t>
            </w:r>
            <w:r w:rsidRPr="001F1644">
              <w:rPr>
                <w:sz w:val="20"/>
                <w:lang w:val="fr-CA"/>
              </w:rPr>
              <w:noBreakHyphen/>
              <w:t>014043</w:t>
            </w:r>
            <w:r w:rsidRPr="001F1644">
              <w:rPr>
                <w:sz w:val="20"/>
                <w:lang w:val="fr-CA"/>
              </w:rPr>
              <w:noBreakHyphen/>
              <w:t>201 et intimée en l’espèce ainsi que le Groupe Malo dans le dossier No. 705</w:t>
            </w:r>
            <w:r w:rsidRPr="001F1644">
              <w:rPr>
                <w:sz w:val="20"/>
                <w:lang w:val="fr-CA"/>
              </w:rPr>
              <w:noBreakHyphen/>
              <w:t>17</w:t>
            </w:r>
            <w:r w:rsidRPr="001F1644">
              <w:rPr>
                <w:sz w:val="20"/>
                <w:lang w:val="fr-CA"/>
              </w:rPr>
              <w:noBreakHyphen/>
              <w:t>009410</w:t>
            </w:r>
            <w:r w:rsidRPr="001F1644">
              <w:rPr>
                <w:sz w:val="20"/>
                <w:lang w:val="fr-CA"/>
              </w:rPr>
              <w:noBreakHyphen/>
              <w:t xml:space="preserve">208 ont requis de l’avocat indépendant de leur remette l’ensemble de la preuve saisie et de n’en conserver aucune copie. La Cour d’appel a rejeté l’appel déposé par le Groupe Malo en endroit de l’ordonnance de la Cour supérieure du 10 novembre 2020. </w:t>
            </w:r>
          </w:p>
          <w:p w:rsidR="00BE597E" w:rsidRPr="001F1644" w:rsidRDefault="00BE597E" w:rsidP="00BE597E">
            <w:pPr>
              <w:jc w:val="both"/>
              <w:rPr>
                <w:sz w:val="20"/>
                <w:lang w:val="fr-CA"/>
              </w:rPr>
            </w:pPr>
          </w:p>
        </w:tc>
      </w:tr>
      <w:tr w:rsidR="00BE597E" w:rsidRPr="00724EE4">
        <w:tc>
          <w:tcPr>
            <w:tcW w:w="2427" w:type="pct"/>
            <w:gridSpan w:val="2"/>
          </w:tcPr>
          <w:p w:rsidR="00BE597E" w:rsidRPr="001F1644" w:rsidRDefault="00BE597E" w:rsidP="00BE597E">
            <w:pPr>
              <w:jc w:val="both"/>
              <w:rPr>
                <w:sz w:val="20"/>
                <w:lang w:val="fr-CA"/>
              </w:rPr>
            </w:pPr>
            <w:r w:rsidRPr="001F1644">
              <w:rPr>
                <w:sz w:val="20"/>
                <w:lang w:val="fr-CA"/>
              </w:rPr>
              <w:t>Le 10 novembre 2020</w:t>
            </w:r>
          </w:p>
          <w:p w:rsidR="00BE597E" w:rsidRPr="001F1644" w:rsidRDefault="00BE597E" w:rsidP="00BE597E">
            <w:pPr>
              <w:jc w:val="both"/>
              <w:rPr>
                <w:sz w:val="20"/>
                <w:lang w:val="fr-CA"/>
              </w:rPr>
            </w:pPr>
            <w:r w:rsidRPr="001F1644">
              <w:rPr>
                <w:sz w:val="20"/>
                <w:lang w:val="fr-CA"/>
              </w:rPr>
              <w:t>Cour supérieure du Québec</w:t>
            </w:r>
          </w:p>
          <w:p w:rsidR="00BE597E" w:rsidRPr="001F1644" w:rsidRDefault="00BE597E" w:rsidP="00BE597E">
            <w:pPr>
              <w:jc w:val="both"/>
              <w:rPr>
                <w:sz w:val="20"/>
              </w:rPr>
            </w:pPr>
            <w:r w:rsidRPr="001F1644">
              <w:rPr>
                <w:sz w:val="20"/>
              </w:rPr>
              <w:t>(Le juge Synnott)</w:t>
            </w:r>
          </w:p>
          <w:p w:rsidR="00BE597E" w:rsidRPr="001F1644" w:rsidRDefault="00724EE4" w:rsidP="00BE597E">
            <w:pPr>
              <w:jc w:val="both"/>
              <w:rPr>
                <w:sz w:val="20"/>
              </w:rPr>
            </w:pPr>
            <w:hyperlink r:id="rId58" w:history="1">
              <w:r w:rsidR="00BE597E" w:rsidRPr="001F1644">
                <w:rPr>
                  <w:rStyle w:val="Hyperlink"/>
                  <w:sz w:val="20"/>
                </w:rPr>
                <w:t>2020 QCCS 3666</w:t>
              </w:r>
            </w:hyperlink>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lang w:val="fr-CA"/>
              </w:rPr>
            </w:pPr>
            <w:r w:rsidRPr="001F1644">
              <w:rPr>
                <w:b/>
                <w:sz w:val="20"/>
                <w:lang w:val="fr-CA"/>
              </w:rPr>
              <w:t>Déclare</w:t>
            </w:r>
            <w:r w:rsidRPr="001F1644">
              <w:rPr>
                <w:sz w:val="20"/>
                <w:lang w:val="fr-CA"/>
              </w:rPr>
              <w:t xml:space="preserve"> que le jugement du 13 août 2020 accordant le droit d’accès à la preuve recueillie conserve son plein effet dans le dossier 500</w:t>
            </w:r>
            <w:r w:rsidRPr="001F1644">
              <w:rPr>
                <w:sz w:val="20"/>
                <w:lang w:val="fr-CA"/>
              </w:rPr>
              <w:noBreakHyphen/>
              <w:t>17</w:t>
            </w:r>
            <w:r w:rsidRPr="001F1644">
              <w:rPr>
                <w:sz w:val="20"/>
                <w:lang w:val="fr-CA"/>
              </w:rPr>
              <w:noBreakHyphen/>
              <w:t>113128</w:t>
            </w:r>
            <w:r w:rsidRPr="001F1644">
              <w:rPr>
                <w:sz w:val="20"/>
                <w:lang w:val="fr-CA"/>
              </w:rPr>
              <w:noBreakHyphen/>
              <w:t xml:space="preserve">204. </w:t>
            </w:r>
          </w:p>
          <w:p w:rsidR="00BE597E" w:rsidRPr="001F1644" w:rsidRDefault="00BE597E" w:rsidP="00BE597E">
            <w:pPr>
              <w:jc w:val="both"/>
              <w:rPr>
                <w:sz w:val="20"/>
                <w:lang w:val="fr-CA"/>
              </w:rPr>
            </w:pPr>
            <w:r w:rsidRPr="001F1644">
              <w:rPr>
                <w:b/>
                <w:sz w:val="20"/>
                <w:lang w:val="fr-CA"/>
              </w:rPr>
              <w:t>Commande</w:t>
            </w:r>
            <w:r w:rsidRPr="001F1644">
              <w:rPr>
                <w:sz w:val="20"/>
                <w:lang w:val="fr-CA"/>
              </w:rPr>
              <w:t xml:space="preserve"> à l’avocat indépendant de conserver la preuve et les biens matériels en sa possession ainsi que d’en remettre de copies à toute partie qui en fait la demande.</w:t>
            </w:r>
          </w:p>
          <w:p w:rsidR="00BE597E" w:rsidRPr="001F1644" w:rsidRDefault="00BE597E" w:rsidP="00BE597E">
            <w:pPr>
              <w:jc w:val="both"/>
              <w:rPr>
                <w:sz w:val="20"/>
                <w:lang w:val="fr-CA"/>
              </w:rPr>
            </w:pPr>
          </w:p>
        </w:tc>
      </w:tr>
      <w:tr w:rsidR="00BE597E" w:rsidRPr="001F1644">
        <w:tc>
          <w:tcPr>
            <w:tcW w:w="2427" w:type="pct"/>
            <w:gridSpan w:val="2"/>
          </w:tcPr>
          <w:p w:rsidR="00BE597E" w:rsidRPr="001F1644" w:rsidRDefault="00BE597E" w:rsidP="00BE597E">
            <w:pPr>
              <w:jc w:val="both"/>
              <w:rPr>
                <w:sz w:val="20"/>
                <w:lang w:val="fr-CA"/>
              </w:rPr>
            </w:pPr>
            <w:r w:rsidRPr="001F1644">
              <w:rPr>
                <w:sz w:val="20"/>
                <w:lang w:val="fr-CA"/>
              </w:rPr>
              <w:t>Le 30 avril 2021</w:t>
            </w:r>
          </w:p>
          <w:p w:rsidR="00BE597E" w:rsidRPr="001F1644" w:rsidRDefault="00BE597E" w:rsidP="00BE597E">
            <w:pPr>
              <w:jc w:val="both"/>
              <w:rPr>
                <w:sz w:val="20"/>
                <w:lang w:val="fr-CA"/>
              </w:rPr>
            </w:pPr>
            <w:r w:rsidRPr="001F1644">
              <w:rPr>
                <w:sz w:val="20"/>
                <w:lang w:val="fr-CA"/>
              </w:rPr>
              <w:t>Cour d’appel du Québec (Montréal)</w:t>
            </w:r>
          </w:p>
          <w:p w:rsidR="00BE597E" w:rsidRPr="001F1644" w:rsidRDefault="00BE597E" w:rsidP="00BE597E">
            <w:pPr>
              <w:jc w:val="both"/>
              <w:rPr>
                <w:sz w:val="20"/>
                <w:lang w:val="fr-CA"/>
              </w:rPr>
            </w:pPr>
            <w:r w:rsidRPr="001F1644">
              <w:rPr>
                <w:sz w:val="20"/>
                <w:lang w:val="fr-CA"/>
              </w:rPr>
              <w:t>(Les juges Gagnon, Moore et Bachand)</w:t>
            </w:r>
          </w:p>
          <w:p w:rsidR="00BE597E" w:rsidRPr="001F1644" w:rsidRDefault="00724EE4" w:rsidP="00BE597E">
            <w:pPr>
              <w:jc w:val="both"/>
              <w:rPr>
                <w:sz w:val="20"/>
              </w:rPr>
            </w:pPr>
            <w:hyperlink r:id="rId59" w:history="1">
              <w:r w:rsidR="00BE597E" w:rsidRPr="001F1644">
                <w:rPr>
                  <w:rStyle w:val="Hyperlink"/>
                  <w:sz w:val="20"/>
                </w:rPr>
                <w:t>2021 QCCA 706</w:t>
              </w:r>
            </w:hyperlink>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Appel rejeté.</w:t>
            </w:r>
          </w:p>
          <w:p w:rsidR="00BE597E" w:rsidRPr="001F1644" w:rsidRDefault="00BE597E" w:rsidP="00BE597E">
            <w:pPr>
              <w:jc w:val="both"/>
              <w:rPr>
                <w:sz w:val="20"/>
              </w:rPr>
            </w:pPr>
          </w:p>
        </w:tc>
      </w:tr>
      <w:tr w:rsidR="00BE597E" w:rsidRPr="001F1644">
        <w:tc>
          <w:tcPr>
            <w:tcW w:w="2427" w:type="pct"/>
            <w:gridSpan w:val="2"/>
          </w:tcPr>
          <w:p w:rsidR="00BE597E" w:rsidRPr="001F1644" w:rsidRDefault="00BE597E" w:rsidP="00BE597E">
            <w:pPr>
              <w:jc w:val="both"/>
              <w:rPr>
                <w:sz w:val="20"/>
                <w:lang w:val="fr-CA"/>
              </w:rPr>
            </w:pPr>
            <w:r w:rsidRPr="001F1644">
              <w:rPr>
                <w:sz w:val="20"/>
                <w:lang w:val="fr-CA"/>
              </w:rPr>
              <w:t>Le 29 juin 2021</w:t>
            </w:r>
          </w:p>
          <w:p w:rsidR="00BE597E" w:rsidRPr="001F1644" w:rsidRDefault="00BE597E" w:rsidP="00BE597E">
            <w:pPr>
              <w:jc w:val="both"/>
              <w:rPr>
                <w:sz w:val="20"/>
                <w:lang w:val="fr-CA"/>
              </w:rPr>
            </w:pPr>
            <w:r w:rsidRPr="001F1644">
              <w:rPr>
                <w:sz w:val="20"/>
                <w:lang w:val="fr-CA"/>
              </w:rPr>
              <w:lastRenderedPageBreak/>
              <w:t>Cour suprême du Canada</w:t>
            </w: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rPr>
            </w:pPr>
            <w:r w:rsidRPr="001F1644">
              <w:rPr>
                <w:sz w:val="20"/>
              </w:rPr>
              <w:t>Demande d'autorisation d'appel déposée</w:t>
            </w:r>
          </w:p>
          <w:p w:rsidR="00BE597E" w:rsidRPr="001F1644" w:rsidRDefault="00BE597E" w:rsidP="00BE597E">
            <w:pPr>
              <w:jc w:val="both"/>
              <w:rPr>
                <w:sz w:val="20"/>
              </w:rPr>
            </w:pPr>
          </w:p>
        </w:tc>
      </w:tr>
    </w:tbl>
    <w:p w:rsidR="00BE597E" w:rsidRPr="001F1644" w:rsidRDefault="00BE597E" w:rsidP="00BE597E">
      <w:pPr>
        <w:jc w:val="both"/>
        <w:rPr>
          <w:sz w:val="20"/>
        </w:rPr>
      </w:pPr>
    </w:p>
    <w:p w:rsidR="007607A2" w:rsidRPr="001F1644" w:rsidRDefault="00724EE4" w:rsidP="00BE597E">
      <w:pPr>
        <w:jc w:val="both"/>
        <w:rPr>
          <w:sz w:val="20"/>
        </w:rPr>
      </w:pPr>
      <w:r>
        <w:rPr>
          <w:sz w:val="20"/>
        </w:rPr>
        <w:pict>
          <v:rect id="_x0000_i1044" style="width:2in;height:1pt" o:hrpct="0" o:hralign="center" o:hrstd="t" o:hrnoshade="t" o:hr="t" fillcolor="black [3213]" stroked="f"/>
        </w:pict>
      </w:r>
    </w:p>
    <w:p w:rsidR="00BA25C8" w:rsidRPr="001F1644" w:rsidRDefault="00BA25C8"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39855</w:t>
            </w:r>
          </w:p>
        </w:tc>
        <w:tc>
          <w:tcPr>
            <w:tcW w:w="4457" w:type="pct"/>
            <w:gridSpan w:val="3"/>
          </w:tcPr>
          <w:p w:rsidR="00BE597E" w:rsidRPr="001F1644" w:rsidRDefault="00BE597E" w:rsidP="00BE597E">
            <w:pPr>
              <w:pStyle w:val="SCCLsocParty"/>
              <w:jc w:val="both"/>
              <w:rPr>
                <w:b/>
                <w:sz w:val="20"/>
                <w:szCs w:val="20"/>
                <w:lang w:val="en-US"/>
              </w:rPr>
            </w:pPr>
            <w:r w:rsidRPr="001F1644">
              <w:rPr>
                <w:b/>
                <w:sz w:val="20"/>
                <w:szCs w:val="20"/>
                <w:lang w:val="en-US"/>
              </w:rPr>
              <w:t>Earl Mason v. Minister of Citizenship and Immigration</w:t>
            </w:r>
          </w:p>
          <w:p w:rsidR="00BE597E" w:rsidRPr="001F1644" w:rsidRDefault="00BE597E" w:rsidP="00BE597E">
            <w:pPr>
              <w:pStyle w:val="SCCLsocSubfileSeparator"/>
              <w:rPr>
                <w:sz w:val="20"/>
                <w:szCs w:val="20"/>
              </w:rPr>
            </w:pPr>
            <w:r w:rsidRPr="001F1644">
              <w:rPr>
                <w:sz w:val="20"/>
                <w:szCs w:val="20"/>
              </w:rPr>
              <w:t>- and between -</w:t>
            </w:r>
          </w:p>
          <w:p w:rsidR="00BE597E" w:rsidRPr="001F1644" w:rsidRDefault="00BE597E" w:rsidP="00BE597E">
            <w:pPr>
              <w:pStyle w:val="SCCLsocParty"/>
              <w:jc w:val="both"/>
              <w:rPr>
                <w:b/>
                <w:sz w:val="20"/>
                <w:szCs w:val="20"/>
                <w:lang w:val="en-US"/>
              </w:rPr>
            </w:pPr>
            <w:r w:rsidRPr="001F1644">
              <w:rPr>
                <w:b/>
                <w:sz w:val="20"/>
                <w:szCs w:val="20"/>
                <w:lang w:val="en-US"/>
              </w:rPr>
              <w:t>Seifeslam Dleiow v. Minister of Citizenship and Immigration</w:t>
            </w:r>
          </w:p>
          <w:p w:rsidR="00BE597E" w:rsidRPr="001F1644" w:rsidRDefault="00BE597E" w:rsidP="00BE597E">
            <w:pPr>
              <w:jc w:val="both"/>
              <w:rPr>
                <w:sz w:val="20"/>
              </w:rPr>
            </w:pPr>
            <w:r w:rsidRPr="001F1644">
              <w:rPr>
                <w:sz w:val="20"/>
              </w:rPr>
              <w:t>(F</w:t>
            </w:r>
            <w:r w:rsidR="007607A2" w:rsidRPr="001F1644">
              <w:rPr>
                <w:sz w:val="20"/>
              </w:rPr>
              <w:t>.</w:t>
            </w:r>
            <w:r w:rsidRPr="001F1644">
              <w:rPr>
                <w:sz w:val="20"/>
              </w:rPr>
              <w:t>C</w:t>
            </w:r>
            <w:r w:rsidR="007607A2" w:rsidRPr="001F1644">
              <w:rPr>
                <w:sz w:val="20"/>
              </w:rPr>
              <w:t>.</w:t>
            </w:r>
            <w:r w:rsidRPr="001F1644">
              <w:rPr>
                <w:sz w:val="20"/>
              </w:rPr>
              <w:t>) (Civil) (By Leave)</w:t>
            </w:r>
          </w:p>
        </w:tc>
      </w:tr>
      <w:tr w:rsidR="00BE597E" w:rsidRPr="001F1644" w:rsidTr="00BE597E">
        <w:tc>
          <w:tcPr>
            <w:tcW w:w="5000" w:type="pct"/>
            <w:gridSpan w:val="4"/>
          </w:tcPr>
          <w:p w:rsidR="00BE597E" w:rsidRPr="001F1644" w:rsidRDefault="00BE597E" w:rsidP="00BE597E">
            <w:pPr>
              <w:jc w:val="both"/>
              <w:rPr>
                <w:sz w:val="20"/>
              </w:rPr>
            </w:pPr>
            <w:r w:rsidRPr="001F1644">
              <w:rPr>
                <w:sz w:val="20"/>
              </w:rPr>
              <w:t xml:space="preserve">Immigration — Inadmissibility on security grounds for “engaging in acts of violence that would or might endanger the lives or safety of persons in Canada” — Judicial review — Interpretation of s. 34(1)(e) of </w:t>
            </w:r>
            <w:r w:rsidRPr="001F1644">
              <w:rPr>
                <w:i/>
                <w:sz w:val="20"/>
              </w:rPr>
              <w:t>Immigration and Refugee Protection Act</w:t>
            </w:r>
            <w:r w:rsidRPr="001F1644">
              <w:rPr>
                <w:sz w:val="20"/>
              </w:rPr>
              <w:t>, S.C. 2001, c. 27 (IRPA) — Whether reasonable interpretation of s. 34(1)(e) of IRPA requires national security nexus — Whether s. 34(1)(e) of IRPA can apply to conduct that does not require a nexus to “national security” or “security of Canada” — How should reviewing courts determine whether a legislative provision can bear only one reasonable interpretation and what constraints will bear on this assessment.</w:t>
            </w:r>
          </w:p>
        </w:tc>
      </w:tr>
      <w:tr w:rsidR="00BE597E" w:rsidRPr="001F1644" w:rsidTr="00BE597E">
        <w:tc>
          <w:tcPr>
            <w:tcW w:w="5000" w:type="pct"/>
            <w:gridSpan w:val="4"/>
          </w:tcPr>
          <w:p w:rsidR="00BE597E" w:rsidRPr="001F1644" w:rsidRDefault="00BE597E" w:rsidP="00BE597E">
            <w:pPr>
              <w:jc w:val="both"/>
              <w:rPr>
                <w:sz w:val="20"/>
              </w:rPr>
            </w:pPr>
          </w:p>
        </w:tc>
      </w:tr>
      <w:tr w:rsidR="00BE597E" w:rsidRPr="001F1644" w:rsidTr="00BE597E">
        <w:tc>
          <w:tcPr>
            <w:tcW w:w="5000" w:type="pct"/>
            <w:gridSpan w:val="4"/>
            <w:tcBorders>
              <w:top w:val="nil"/>
              <w:left w:val="nil"/>
              <w:bottom w:val="nil"/>
              <w:right w:val="nil"/>
            </w:tcBorders>
          </w:tcPr>
          <w:p w:rsidR="00BE597E" w:rsidRPr="001F1644" w:rsidRDefault="00BE597E" w:rsidP="00BE597E">
            <w:pPr>
              <w:jc w:val="both"/>
              <w:rPr>
                <w:sz w:val="20"/>
              </w:rPr>
            </w:pPr>
            <w:r w:rsidRPr="001F1644">
              <w:rPr>
                <w:sz w:val="20"/>
              </w:rPr>
              <w:t>Section 34(1</w:t>
            </w:r>
            <w:proofErr w:type="gramStart"/>
            <w:r w:rsidRPr="001F1644">
              <w:rPr>
                <w:sz w:val="20"/>
              </w:rPr>
              <w:t>)(</w:t>
            </w:r>
            <w:proofErr w:type="gramEnd"/>
            <w:r w:rsidRPr="001F1644">
              <w:rPr>
                <w:sz w:val="20"/>
              </w:rPr>
              <w:t xml:space="preserve">e) of </w:t>
            </w:r>
            <w:r w:rsidRPr="001F1644">
              <w:rPr>
                <w:i/>
                <w:sz w:val="20"/>
              </w:rPr>
              <w:t>Immigration and Refugee Protection Act</w:t>
            </w:r>
            <w:r w:rsidRPr="001F1644">
              <w:rPr>
                <w:sz w:val="20"/>
              </w:rPr>
              <w:t xml:space="preserve"> (“IRPA”) provides that permanent residents or foreign nationals are “inadmissible on security grounds” for “engaging in acts of violence that would or might endanger the lives or safety of persons in Canada”. The Minister of Public Safety (the Minister) alleged that both applicants were foreign nationals who were inadmissible under s. 34(1</w:t>
            </w:r>
            <w:proofErr w:type="gramStart"/>
            <w:r w:rsidRPr="001F1644">
              <w:rPr>
                <w:sz w:val="20"/>
              </w:rPr>
              <w:t>)(</w:t>
            </w:r>
            <w:proofErr w:type="gramEnd"/>
            <w:r w:rsidRPr="001F1644">
              <w:rPr>
                <w:sz w:val="20"/>
              </w:rPr>
              <w:t xml:space="preserve">e) of the IRPA.  </w:t>
            </w:r>
          </w:p>
          <w:p w:rsidR="00BE597E" w:rsidRPr="001F1644" w:rsidRDefault="00BE597E" w:rsidP="00BE597E">
            <w:pPr>
              <w:jc w:val="both"/>
              <w:rPr>
                <w:sz w:val="20"/>
              </w:rPr>
            </w:pPr>
          </w:p>
          <w:p w:rsidR="00BE597E" w:rsidRPr="001F1644" w:rsidRDefault="00BE597E" w:rsidP="00BE597E">
            <w:pPr>
              <w:jc w:val="both"/>
              <w:rPr>
                <w:sz w:val="20"/>
              </w:rPr>
            </w:pPr>
            <w:r w:rsidRPr="001F1644">
              <w:rPr>
                <w:sz w:val="20"/>
              </w:rPr>
              <w:t>The issue before the Immigration Board and the Immigration Appeal Division was whether s. 34(1</w:t>
            </w:r>
            <w:proofErr w:type="gramStart"/>
            <w:r w:rsidRPr="001F1644">
              <w:rPr>
                <w:sz w:val="20"/>
              </w:rPr>
              <w:t>)(</w:t>
            </w:r>
            <w:proofErr w:type="gramEnd"/>
            <w:r w:rsidRPr="001F1644">
              <w:rPr>
                <w:sz w:val="20"/>
              </w:rPr>
              <w:t>e) applied only where there is a connection to national security. Both agreed with the Minister that it did not. In their view, s. 34(1</w:t>
            </w:r>
            <w:proofErr w:type="gramStart"/>
            <w:r w:rsidRPr="001F1644">
              <w:rPr>
                <w:sz w:val="20"/>
              </w:rPr>
              <w:t>)(</w:t>
            </w:r>
            <w:proofErr w:type="gramEnd"/>
            <w:r w:rsidRPr="001F1644">
              <w:rPr>
                <w:sz w:val="20"/>
              </w:rPr>
              <w:t>e) operates whether or not there is a connection to national security.</w:t>
            </w:r>
          </w:p>
          <w:p w:rsidR="00BE597E" w:rsidRPr="001F1644" w:rsidRDefault="00BE597E" w:rsidP="00BE597E">
            <w:pPr>
              <w:jc w:val="both"/>
              <w:rPr>
                <w:sz w:val="20"/>
              </w:rPr>
            </w:pPr>
          </w:p>
          <w:p w:rsidR="00BE597E" w:rsidRPr="001F1644" w:rsidRDefault="00BE597E" w:rsidP="00BE597E">
            <w:pPr>
              <w:jc w:val="both"/>
              <w:rPr>
                <w:sz w:val="20"/>
              </w:rPr>
            </w:pPr>
            <w:r w:rsidRPr="001F1644">
              <w:rPr>
                <w:sz w:val="20"/>
              </w:rPr>
              <w:t xml:space="preserve">On judicial review, the Federal Court quashed the decisions in the two cases.  </w:t>
            </w:r>
          </w:p>
          <w:p w:rsidR="00BE597E" w:rsidRPr="001F1644" w:rsidRDefault="00BE597E" w:rsidP="00BE597E">
            <w:pPr>
              <w:jc w:val="both"/>
              <w:rPr>
                <w:sz w:val="20"/>
              </w:rPr>
            </w:pPr>
          </w:p>
          <w:p w:rsidR="00BE597E" w:rsidRPr="001F1644" w:rsidRDefault="00BE597E" w:rsidP="00BE597E">
            <w:pPr>
              <w:jc w:val="both"/>
              <w:rPr>
                <w:sz w:val="20"/>
              </w:rPr>
            </w:pPr>
            <w:r w:rsidRPr="001F1644">
              <w:rPr>
                <w:sz w:val="20"/>
              </w:rPr>
              <w:t>Both cases were heard together at the Federal Court of Appeal. It allowed the appeals, set aside the judgments of the Federal Court and dismissed the applications for judicial review. It found the administrative interpretation of s. 34(1)(e) was reasonable and answered the following certified question:</w:t>
            </w:r>
          </w:p>
          <w:p w:rsidR="00BE597E" w:rsidRPr="001F1644" w:rsidRDefault="00BE597E" w:rsidP="00BE597E">
            <w:pPr>
              <w:jc w:val="both"/>
              <w:rPr>
                <w:sz w:val="20"/>
              </w:rPr>
            </w:pPr>
          </w:p>
          <w:p w:rsidR="00BE597E" w:rsidRPr="001F1644" w:rsidRDefault="00BE597E" w:rsidP="00BE597E">
            <w:pPr>
              <w:jc w:val="both"/>
              <w:rPr>
                <w:sz w:val="20"/>
              </w:rPr>
            </w:pPr>
            <w:r w:rsidRPr="001F1644">
              <w:rPr>
                <w:sz w:val="20"/>
              </w:rPr>
              <w:t>Q.: Is it reasonable to interpret para. 34(1</w:t>
            </w:r>
            <w:proofErr w:type="gramStart"/>
            <w:r w:rsidRPr="001F1644">
              <w:rPr>
                <w:sz w:val="20"/>
              </w:rPr>
              <w:t>)(</w:t>
            </w:r>
            <w:proofErr w:type="gramEnd"/>
            <w:r w:rsidRPr="001F1644">
              <w:rPr>
                <w:sz w:val="20"/>
              </w:rPr>
              <w:t xml:space="preserve">e) of the </w:t>
            </w:r>
            <w:r w:rsidRPr="001F1644">
              <w:rPr>
                <w:i/>
                <w:sz w:val="20"/>
              </w:rPr>
              <w:t>Immigration and Refugee Protection Act</w:t>
            </w:r>
            <w:r w:rsidRPr="001F1644">
              <w:rPr>
                <w:sz w:val="20"/>
              </w:rPr>
              <w:t xml:space="preserve"> in a manner that does not require proof of conduct that has a nexus with “national security” or the “security of Canada”?</w:t>
            </w:r>
          </w:p>
          <w:p w:rsidR="00BE597E" w:rsidRPr="001F1644" w:rsidRDefault="00BE597E" w:rsidP="00BE597E">
            <w:pPr>
              <w:jc w:val="both"/>
              <w:rPr>
                <w:sz w:val="20"/>
              </w:rPr>
            </w:pPr>
          </w:p>
          <w:p w:rsidR="00BE597E" w:rsidRPr="001F1644" w:rsidRDefault="00BE597E" w:rsidP="00BE597E">
            <w:pPr>
              <w:jc w:val="both"/>
              <w:rPr>
                <w:sz w:val="20"/>
              </w:rPr>
            </w:pPr>
            <w:r w:rsidRPr="001F1644">
              <w:rPr>
                <w:sz w:val="20"/>
              </w:rPr>
              <w:t>A. Yes.</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March 20, 2018</w:t>
            </w:r>
          </w:p>
          <w:p w:rsidR="00BE597E" w:rsidRPr="001F1644" w:rsidRDefault="00BE597E" w:rsidP="00BE597E">
            <w:pPr>
              <w:jc w:val="both"/>
              <w:rPr>
                <w:sz w:val="20"/>
              </w:rPr>
            </w:pPr>
            <w:r w:rsidRPr="001F1644">
              <w:rPr>
                <w:sz w:val="20"/>
              </w:rPr>
              <w:t>Immigration and Refugee Board of Canada</w:t>
            </w:r>
          </w:p>
          <w:p w:rsidR="00BE597E" w:rsidRPr="001F1644" w:rsidRDefault="00BE597E" w:rsidP="00BE597E">
            <w:pPr>
              <w:jc w:val="both"/>
              <w:rPr>
                <w:sz w:val="20"/>
              </w:rPr>
            </w:pPr>
            <w:r w:rsidRPr="001F1644">
              <w:rPr>
                <w:sz w:val="20"/>
              </w:rPr>
              <w:t>(M. McPhalen)</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Mr. Mason found not to be a person described in s. 34(1</w:t>
            </w:r>
            <w:proofErr w:type="gramStart"/>
            <w:r w:rsidRPr="001F1644">
              <w:rPr>
                <w:sz w:val="20"/>
              </w:rPr>
              <w:t>)(</w:t>
            </w:r>
            <w:proofErr w:type="gramEnd"/>
            <w:r w:rsidRPr="001F1644">
              <w:rPr>
                <w:sz w:val="20"/>
              </w:rPr>
              <w:t>e) of the IRPA.</w:t>
            </w:r>
          </w:p>
        </w:tc>
      </w:tr>
      <w:tr w:rsidR="00BE597E" w:rsidRPr="001F1644" w:rsidTr="00BE597E">
        <w:tc>
          <w:tcPr>
            <w:tcW w:w="2427" w:type="pct"/>
            <w:gridSpan w:val="2"/>
          </w:tcPr>
          <w:p w:rsidR="00BE597E" w:rsidRPr="001F1644" w:rsidRDefault="00BE597E" w:rsidP="00BE597E">
            <w:pPr>
              <w:jc w:val="both"/>
              <w:rPr>
                <w:sz w:val="20"/>
              </w:rPr>
            </w:pPr>
            <w:r w:rsidRPr="001F1644">
              <w:rPr>
                <w:sz w:val="20"/>
              </w:rPr>
              <w:t>February 6, 2019</w:t>
            </w:r>
          </w:p>
          <w:p w:rsidR="00BE597E" w:rsidRPr="001F1644" w:rsidRDefault="00BE597E" w:rsidP="00BE597E">
            <w:pPr>
              <w:jc w:val="both"/>
              <w:rPr>
                <w:sz w:val="20"/>
              </w:rPr>
            </w:pPr>
            <w:r w:rsidRPr="001F1644">
              <w:rPr>
                <w:sz w:val="20"/>
              </w:rPr>
              <w:t>Immigration Appeal Division</w:t>
            </w:r>
          </w:p>
          <w:p w:rsidR="00BE597E" w:rsidRPr="001F1644" w:rsidRDefault="00BE597E" w:rsidP="00BE597E">
            <w:pPr>
              <w:jc w:val="both"/>
              <w:rPr>
                <w:sz w:val="20"/>
              </w:rPr>
            </w:pPr>
            <w:r w:rsidRPr="001F1644">
              <w:rPr>
                <w:sz w:val="20"/>
              </w:rPr>
              <w:t>(G. Pemberton)</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Minister’s appeal of Mr. Mason’s case allowed.  Inadmissibility under s. 34(1</w:t>
            </w:r>
            <w:proofErr w:type="gramStart"/>
            <w:r w:rsidRPr="001F1644">
              <w:rPr>
                <w:sz w:val="20"/>
              </w:rPr>
              <w:t>)(</w:t>
            </w:r>
            <w:proofErr w:type="gramEnd"/>
            <w:r w:rsidRPr="001F1644">
              <w:rPr>
                <w:sz w:val="20"/>
              </w:rPr>
              <w:t>e) does not require that the conduct have a link to national security or the security of Canada. Section 34(1</w:t>
            </w:r>
            <w:proofErr w:type="gramStart"/>
            <w:r w:rsidRPr="001F1644">
              <w:rPr>
                <w:sz w:val="20"/>
              </w:rPr>
              <w:t>)(</w:t>
            </w:r>
            <w:proofErr w:type="gramEnd"/>
            <w:r w:rsidRPr="001F1644">
              <w:rPr>
                <w:sz w:val="20"/>
              </w:rPr>
              <w:t>e) may apply to Mr. Mason. Decision of Immigration Board set aside and matter referred back for a hearing on the merits.</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October 2, 2019</w:t>
            </w:r>
          </w:p>
          <w:p w:rsidR="00BE597E" w:rsidRPr="001F1644" w:rsidRDefault="00BE597E" w:rsidP="00BE597E">
            <w:pPr>
              <w:jc w:val="both"/>
              <w:rPr>
                <w:sz w:val="20"/>
              </w:rPr>
            </w:pPr>
            <w:r w:rsidRPr="001F1644">
              <w:rPr>
                <w:sz w:val="20"/>
              </w:rPr>
              <w:t>Federal Court</w:t>
            </w:r>
          </w:p>
          <w:p w:rsidR="00BE597E" w:rsidRPr="001F1644" w:rsidRDefault="00BE597E" w:rsidP="00BE597E">
            <w:pPr>
              <w:jc w:val="both"/>
              <w:rPr>
                <w:sz w:val="20"/>
              </w:rPr>
            </w:pPr>
            <w:r w:rsidRPr="001F1644">
              <w:rPr>
                <w:sz w:val="20"/>
              </w:rPr>
              <w:t>(Grammond J.)</w:t>
            </w:r>
          </w:p>
          <w:p w:rsidR="00BE597E" w:rsidRPr="001F1644" w:rsidRDefault="00724EE4" w:rsidP="00BE597E">
            <w:pPr>
              <w:jc w:val="both"/>
              <w:rPr>
                <w:rStyle w:val="Hyperlink"/>
                <w:color w:val="auto"/>
                <w:sz w:val="20"/>
                <w:u w:val="none"/>
              </w:rPr>
            </w:pPr>
            <w:hyperlink r:id="rId60" w:history="1">
              <w:r w:rsidR="00BE597E" w:rsidRPr="001F1644">
                <w:rPr>
                  <w:rStyle w:val="Hyperlink"/>
                  <w:sz w:val="20"/>
                </w:rPr>
                <w:t>2019 FC 1251</w:t>
              </w:r>
            </w:hyperlink>
          </w:p>
          <w:p w:rsidR="007607A2" w:rsidRPr="001F1644" w:rsidRDefault="007607A2"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 xml:space="preserve">Mr. Mason’s application for judicial review allowed and the Immigration Appeal Division’s decision quashed.   </w:t>
            </w:r>
          </w:p>
        </w:tc>
      </w:tr>
      <w:tr w:rsidR="00BE597E" w:rsidRPr="001F1644" w:rsidTr="00BE597E">
        <w:tc>
          <w:tcPr>
            <w:tcW w:w="2427" w:type="pct"/>
            <w:gridSpan w:val="2"/>
          </w:tcPr>
          <w:p w:rsidR="00BE597E" w:rsidRPr="001F1644" w:rsidRDefault="00BE597E" w:rsidP="00BE597E">
            <w:pPr>
              <w:jc w:val="both"/>
              <w:rPr>
                <w:sz w:val="20"/>
              </w:rPr>
            </w:pPr>
            <w:r w:rsidRPr="001F1644">
              <w:rPr>
                <w:sz w:val="20"/>
              </w:rPr>
              <w:t>June 25, 2019</w:t>
            </w:r>
          </w:p>
          <w:p w:rsidR="00BE597E" w:rsidRPr="001F1644" w:rsidRDefault="00BE597E" w:rsidP="00BE597E">
            <w:pPr>
              <w:jc w:val="both"/>
              <w:rPr>
                <w:sz w:val="20"/>
              </w:rPr>
            </w:pPr>
            <w:r w:rsidRPr="001F1644">
              <w:rPr>
                <w:sz w:val="20"/>
              </w:rPr>
              <w:t>Immigration and Refugee Board of Canada</w:t>
            </w:r>
          </w:p>
          <w:p w:rsidR="00BE597E" w:rsidRPr="001F1644" w:rsidRDefault="00BE597E" w:rsidP="00BE597E">
            <w:pPr>
              <w:jc w:val="both"/>
              <w:rPr>
                <w:sz w:val="20"/>
              </w:rPr>
            </w:pPr>
            <w:r w:rsidRPr="001F1644">
              <w:rPr>
                <w:sz w:val="20"/>
              </w:rPr>
              <w:t>(L. Ko)</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Mr. Dleiow found inadmissible pursuant to s. 34(1</w:t>
            </w:r>
            <w:proofErr w:type="gramStart"/>
            <w:r w:rsidRPr="001F1644">
              <w:rPr>
                <w:sz w:val="20"/>
              </w:rPr>
              <w:t>)(</w:t>
            </w:r>
            <w:proofErr w:type="gramEnd"/>
            <w:r w:rsidRPr="001F1644">
              <w:rPr>
                <w:sz w:val="20"/>
              </w:rPr>
              <w:t>e) of the IRPA and deportation ordered.</w:t>
            </w:r>
          </w:p>
        </w:tc>
      </w:tr>
      <w:tr w:rsidR="00BE597E" w:rsidRPr="001F1644" w:rsidTr="00BE597E">
        <w:tc>
          <w:tcPr>
            <w:tcW w:w="2427" w:type="pct"/>
            <w:gridSpan w:val="2"/>
          </w:tcPr>
          <w:p w:rsidR="00BE597E" w:rsidRPr="001F1644" w:rsidRDefault="00BE597E" w:rsidP="00BE597E">
            <w:pPr>
              <w:jc w:val="both"/>
              <w:rPr>
                <w:sz w:val="20"/>
              </w:rPr>
            </w:pPr>
            <w:r w:rsidRPr="001F1644">
              <w:rPr>
                <w:sz w:val="20"/>
              </w:rPr>
              <w:lastRenderedPageBreak/>
              <w:t>January 16, 2020</w:t>
            </w:r>
          </w:p>
          <w:p w:rsidR="00BE597E" w:rsidRPr="001F1644" w:rsidRDefault="00BE597E" w:rsidP="00BE597E">
            <w:pPr>
              <w:jc w:val="both"/>
              <w:rPr>
                <w:sz w:val="20"/>
              </w:rPr>
            </w:pPr>
            <w:r w:rsidRPr="001F1644">
              <w:rPr>
                <w:sz w:val="20"/>
              </w:rPr>
              <w:t>Federal Court</w:t>
            </w:r>
          </w:p>
          <w:p w:rsidR="00BE597E" w:rsidRPr="001F1644" w:rsidRDefault="00BE597E" w:rsidP="00BE597E">
            <w:pPr>
              <w:jc w:val="both"/>
              <w:rPr>
                <w:sz w:val="20"/>
              </w:rPr>
            </w:pPr>
            <w:r w:rsidRPr="001F1644">
              <w:rPr>
                <w:sz w:val="20"/>
              </w:rPr>
              <w:t>(Barnes J.)</w:t>
            </w:r>
          </w:p>
          <w:p w:rsidR="00BE597E" w:rsidRPr="001F1644" w:rsidRDefault="00724EE4" w:rsidP="00BE597E">
            <w:pPr>
              <w:jc w:val="both"/>
              <w:rPr>
                <w:sz w:val="20"/>
              </w:rPr>
            </w:pPr>
            <w:hyperlink r:id="rId61" w:history="1">
              <w:r w:rsidR="00BE597E" w:rsidRPr="001F1644">
                <w:rPr>
                  <w:rStyle w:val="Hyperlink"/>
                  <w:sz w:val="20"/>
                </w:rPr>
                <w:t>2020 FC 59</w:t>
              </w:r>
            </w:hyperlink>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Mr. Dleiow’s application for judicial review allowed. Immigration Board’s decision set aside and matter to be reconsidered on the merits by a different decision</w:t>
            </w:r>
            <w:r w:rsidRPr="001F1644">
              <w:rPr>
                <w:sz w:val="20"/>
              </w:rPr>
              <w:noBreakHyphen/>
              <w:t xml:space="preserve">maker.  </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July 29, 2021</w:t>
            </w:r>
          </w:p>
          <w:p w:rsidR="00BE597E" w:rsidRPr="001F1644" w:rsidRDefault="00BE597E" w:rsidP="00BE597E">
            <w:pPr>
              <w:jc w:val="both"/>
              <w:rPr>
                <w:sz w:val="20"/>
              </w:rPr>
            </w:pPr>
            <w:r w:rsidRPr="001F1644">
              <w:rPr>
                <w:sz w:val="20"/>
              </w:rPr>
              <w:t>Federal Court of Appeal</w:t>
            </w:r>
          </w:p>
          <w:p w:rsidR="00BE597E" w:rsidRPr="001F1644" w:rsidRDefault="00BE597E" w:rsidP="00BE597E">
            <w:pPr>
              <w:jc w:val="both"/>
              <w:rPr>
                <w:sz w:val="20"/>
              </w:rPr>
            </w:pPr>
            <w:r w:rsidRPr="001F1644">
              <w:rPr>
                <w:sz w:val="20"/>
              </w:rPr>
              <w:t>(Stratas, Rennie and Mactavish JJ.A.)</w:t>
            </w:r>
          </w:p>
          <w:p w:rsidR="00BE597E" w:rsidRPr="001F1644" w:rsidRDefault="00724EE4" w:rsidP="00BE597E">
            <w:pPr>
              <w:jc w:val="both"/>
              <w:rPr>
                <w:sz w:val="20"/>
              </w:rPr>
            </w:pPr>
            <w:hyperlink r:id="rId62" w:history="1">
              <w:r w:rsidR="00BE597E" w:rsidRPr="001F1644">
                <w:rPr>
                  <w:rStyle w:val="Hyperlink"/>
                  <w:sz w:val="20"/>
                </w:rPr>
                <w:t>2021 FCA 156</w:t>
              </w:r>
            </w:hyperlink>
          </w:p>
          <w:p w:rsidR="00BE597E" w:rsidRPr="001F1644" w:rsidRDefault="00BE597E" w:rsidP="00BE597E">
            <w:pPr>
              <w:jc w:val="both"/>
              <w:rPr>
                <w:sz w:val="20"/>
              </w:rPr>
            </w:pPr>
            <w:r w:rsidRPr="001F1644">
              <w:rPr>
                <w:sz w:val="20"/>
              </w:rPr>
              <w:t>File Nos.: A</w:t>
            </w:r>
            <w:r w:rsidRPr="001F1644">
              <w:rPr>
                <w:sz w:val="20"/>
              </w:rPr>
              <w:noBreakHyphen/>
              <w:t>415</w:t>
            </w:r>
            <w:r w:rsidRPr="001F1644">
              <w:rPr>
                <w:sz w:val="20"/>
              </w:rPr>
              <w:noBreakHyphen/>
              <w:t>19 and A</w:t>
            </w:r>
            <w:r w:rsidRPr="001F1644">
              <w:rPr>
                <w:sz w:val="20"/>
              </w:rPr>
              <w:noBreakHyphen/>
              <w:t>37</w:t>
            </w:r>
            <w:r w:rsidRPr="001F1644">
              <w:rPr>
                <w:sz w:val="20"/>
              </w:rPr>
              <w:noBreakHyphen/>
              <w:t>20</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Minister’s appeal of both cases allowed, judgments of the Federal Court set aside and applications for judicial review dismissed. The Immigration Appeal Division decision in Mason and the decision of the Immigration Division in Dleiow concerning interpretation of s. 34(1</w:t>
            </w:r>
            <w:proofErr w:type="gramStart"/>
            <w:r w:rsidRPr="001F1644">
              <w:rPr>
                <w:sz w:val="20"/>
              </w:rPr>
              <w:t>)(</w:t>
            </w:r>
            <w:proofErr w:type="gramEnd"/>
            <w:r w:rsidRPr="001F1644">
              <w:rPr>
                <w:sz w:val="20"/>
              </w:rPr>
              <w:t xml:space="preserve">e) found to be reasonable.  </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September 29, 2021</w:t>
            </w:r>
          </w:p>
          <w:p w:rsidR="00BE597E" w:rsidRPr="001F1644" w:rsidRDefault="00BE597E" w:rsidP="00BE597E">
            <w:pPr>
              <w:jc w:val="both"/>
              <w:rPr>
                <w:sz w:val="20"/>
              </w:rPr>
            </w:pPr>
            <w:r w:rsidRPr="001F1644">
              <w:rPr>
                <w:sz w:val="20"/>
              </w:rPr>
              <w:t>Supreme Court of Canada</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Application for leave to appeal filed by Mr. Mason.</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September 29, 2021</w:t>
            </w:r>
          </w:p>
          <w:p w:rsidR="00BE597E" w:rsidRPr="001F1644" w:rsidRDefault="00BE597E" w:rsidP="007607A2">
            <w:pPr>
              <w:jc w:val="both"/>
              <w:rPr>
                <w:sz w:val="20"/>
              </w:rPr>
            </w:pPr>
            <w:r w:rsidRPr="001F1644">
              <w:rPr>
                <w:sz w:val="20"/>
              </w:rPr>
              <w:t>Supreme Court of Canada</w:t>
            </w: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Application for leave to appeal filed by Mr. Dleiow.</w:t>
            </w:r>
          </w:p>
          <w:p w:rsidR="00BE597E" w:rsidRPr="001F1644" w:rsidRDefault="00BE597E" w:rsidP="00BE597E">
            <w:pPr>
              <w:jc w:val="both"/>
              <w:rPr>
                <w:sz w:val="20"/>
              </w:rPr>
            </w:pPr>
          </w:p>
        </w:tc>
      </w:tr>
    </w:tbl>
    <w:p w:rsidR="00BE597E" w:rsidRPr="001F1644" w:rsidRDefault="00BE597E" w:rsidP="00BE597E">
      <w:pPr>
        <w:jc w:val="both"/>
        <w:rPr>
          <w:sz w:val="20"/>
        </w:rPr>
      </w:pPr>
    </w:p>
    <w:p w:rsidR="007607A2" w:rsidRPr="001F1644" w:rsidRDefault="00724EE4" w:rsidP="00BE597E">
      <w:pPr>
        <w:jc w:val="both"/>
        <w:rPr>
          <w:sz w:val="20"/>
        </w:rPr>
      </w:pPr>
      <w:r>
        <w:rPr>
          <w:sz w:val="20"/>
        </w:rPr>
        <w:pict>
          <v:rect id="_x0000_i1045" style="width:2in;height:1pt" o:hrpct="0" o:hralign="center" o:hrstd="t" o:hrnoshade="t" o:hr="t" fillcolor="black [3213]" stroked="f"/>
        </w:pict>
      </w:r>
    </w:p>
    <w:p w:rsidR="007607A2" w:rsidRPr="001F1644" w:rsidRDefault="007607A2" w:rsidP="00BE59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lang w:val="fr-CA"/>
              </w:rPr>
            </w:pPr>
            <w:r w:rsidRPr="001F1644">
              <w:rPr>
                <w:rStyle w:val="SCCFileNumberChar"/>
                <w:sz w:val="20"/>
                <w:szCs w:val="20"/>
                <w:lang w:val="fr-CA"/>
              </w:rPr>
              <w:t>39855</w:t>
            </w:r>
          </w:p>
        </w:tc>
        <w:tc>
          <w:tcPr>
            <w:tcW w:w="4457" w:type="pct"/>
            <w:gridSpan w:val="3"/>
          </w:tcPr>
          <w:p w:rsidR="00BE597E" w:rsidRPr="001F1644" w:rsidRDefault="00BE597E" w:rsidP="00BE597E">
            <w:pPr>
              <w:pStyle w:val="SCCLsocParty"/>
              <w:jc w:val="both"/>
              <w:rPr>
                <w:b/>
                <w:sz w:val="20"/>
                <w:szCs w:val="20"/>
              </w:rPr>
            </w:pPr>
            <w:r w:rsidRPr="001F1644">
              <w:rPr>
                <w:b/>
                <w:sz w:val="20"/>
                <w:szCs w:val="20"/>
              </w:rPr>
              <w:t>Earl Mason c. Ministre de la Citoyenneté et de l’Immigration</w:t>
            </w:r>
          </w:p>
          <w:p w:rsidR="00BE597E" w:rsidRPr="001F1644" w:rsidRDefault="00BE597E" w:rsidP="00BE597E">
            <w:pPr>
              <w:pStyle w:val="SCCLsocSubfileSeparator"/>
              <w:rPr>
                <w:sz w:val="20"/>
                <w:szCs w:val="20"/>
                <w:lang w:val="fr-CA"/>
              </w:rPr>
            </w:pPr>
            <w:r w:rsidRPr="001F1644">
              <w:rPr>
                <w:sz w:val="20"/>
                <w:szCs w:val="20"/>
                <w:lang w:val="fr-CA"/>
              </w:rPr>
              <w:t>- et entre -</w:t>
            </w:r>
          </w:p>
          <w:p w:rsidR="00BE597E" w:rsidRPr="001F1644" w:rsidRDefault="00BE597E" w:rsidP="00BE597E">
            <w:pPr>
              <w:pStyle w:val="SCCLsocParty"/>
              <w:jc w:val="both"/>
              <w:rPr>
                <w:b/>
                <w:sz w:val="20"/>
                <w:szCs w:val="20"/>
              </w:rPr>
            </w:pPr>
            <w:r w:rsidRPr="001F1644">
              <w:rPr>
                <w:b/>
                <w:sz w:val="20"/>
                <w:szCs w:val="20"/>
              </w:rPr>
              <w:t>Seifeslam Dleiow c. Ministre de la Citoyenneté et de l’Immigration</w:t>
            </w:r>
          </w:p>
          <w:p w:rsidR="00BE597E" w:rsidRPr="001F1644" w:rsidRDefault="00BE597E" w:rsidP="00BE597E">
            <w:pPr>
              <w:jc w:val="both"/>
              <w:rPr>
                <w:sz w:val="20"/>
                <w:lang w:val="fr-CA"/>
              </w:rPr>
            </w:pPr>
            <w:r w:rsidRPr="001F1644">
              <w:rPr>
                <w:sz w:val="20"/>
                <w:lang w:val="fr-CA"/>
              </w:rPr>
              <w:t>(C</w:t>
            </w:r>
            <w:r w:rsidR="007607A2" w:rsidRPr="001F1644">
              <w:rPr>
                <w:sz w:val="20"/>
                <w:lang w:val="fr-CA"/>
              </w:rPr>
              <w:t>.</w:t>
            </w:r>
            <w:r w:rsidRPr="001F1644">
              <w:rPr>
                <w:sz w:val="20"/>
                <w:lang w:val="fr-CA"/>
              </w:rPr>
              <w:t>F</w:t>
            </w:r>
            <w:r w:rsidR="007607A2" w:rsidRPr="001F1644">
              <w:rPr>
                <w:sz w:val="20"/>
                <w:lang w:val="fr-CA"/>
              </w:rPr>
              <w:t>.</w:t>
            </w:r>
            <w:r w:rsidRPr="001F1644">
              <w:rPr>
                <w:sz w:val="20"/>
                <w:lang w:val="fr-CA"/>
              </w:rPr>
              <w:t>) (Civile) (Autorisation)</w:t>
            </w:r>
          </w:p>
        </w:tc>
      </w:tr>
      <w:tr w:rsidR="00BE597E" w:rsidRPr="00724EE4" w:rsidTr="00BE597E">
        <w:tc>
          <w:tcPr>
            <w:tcW w:w="5000" w:type="pct"/>
            <w:gridSpan w:val="4"/>
          </w:tcPr>
          <w:p w:rsidR="00BE597E" w:rsidRPr="001F1644" w:rsidRDefault="00BE597E" w:rsidP="00BE597E">
            <w:pPr>
              <w:jc w:val="both"/>
              <w:rPr>
                <w:sz w:val="20"/>
                <w:lang w:val="fr-CA"/>
              </w:rPr>
            </w:pPr>
            <w:r w:rsidRPr="001F1644">
              <w:rPr>
                <w:sz w:val="20"/>
                <w:lang w:val="fr-CA"/>
              </w:rPr>
              <w:t xml:space="preserve">Immigration — Interdiction de territoire pour des raisons de sécurité pour « l’auteur de tout acte de violence susceptible de mettre en danger la vie ou la sécurité d’autrui au Canada » — Contrôle judiciaire — Interprétation de l’al. 34(1)e) de la </w:t>
            </w:r>
            <w:r w:rsidRPr="001F1644">
              <w:rPr>
                <w:i/>
                <w:sz w:val="20"/>
                <w:lang w:val="fr-CA"/>
              </w:rPr>
              <w:t>Loi sur l’immigration et la protection des réfugiés</w:t>
            </w:r>
            <w:r w:rsidRPr="001F1644">
              <w:rPr>
                <w:sz w:val="20"/>
                <w:lang w:val="fr-CA"/>
              </w:rPr>
              <w:t>, L.C. 2001, c. 27 (LIPR) — L’interprétation raisonnable de l’al. 34(1)e) de la LIPR exige</w:t>
            </w:r>
            <w:r w:rsidRPr="001F1644">
              <w:rPr>
                <w:sz w:val="20"/>
                <w:lang w:val="fr-CA"/>
              </w:rPr>
              <w:noBreakHyphen/>
              <w:t>t</w:t>
            </w:r>
            <w:r w:rsidRPr="001F1644">
              <w:rPr>
                <w:sz w:val="20"/>
                <w:lang w:val="fr-CA"/>
              </w:rPr>
              <w:noBreakHyphen/>
              <w:t>elle un lien à la sécurité nationale? — L’al. 34(1)e) de la LIPR peut</w:t>
            </w:r>
            <w:r w:rsidRPr="001F1644">
              <w:rPr>
                <w:sz w:val="20"/>
                <w:lang w:val="fr-CA"/>
              </w:rPr>
              <w:noBreakHyphen/>
              <w:t>il s’appliquer à une conduite qui n’exige pas de lien à la « sécurité nationale » ou à la « sécurité du Canada »? — Comment les tribunaux chargés du contrôle judiciaire devraient</w:t>
            </w:r>
            <w:r w:rsidRPr="001F1644">
              <w:rPr>
                <w:sz w:val="20"/>
                <w:lang w:val="fr-CA"/>
              </w:rPr>
              <w:noBreakHyphen/>
              <w:t>ils déterminer si une disposition législative peut seulement être interprétée raisonnablement d’une manière et quelles contraintes pèseront sur cet examen?</w:t>
            </w:r>
          </w:p>
        </w:tc>
      </w:tr>
      <w:tr w:rsidR="00BE597E" w:rsidRPr="00724EE4" w:rsidTr="00BE597E">
        <w:tc>
          <w:tcPr>
            <w:tcW w:w="5000" w:type="pct"/>
            <w:gridSpan w:val="4"/>
          </w:tcPr>
          <w:p w:rsidR="00BE597E" w:rsidRPr="001F1644" w:rsidRDefault="00BE597E" w:rsidP="00BE597E">
            <w:pPr>
              <w:jc w:val="both"/>
              <w:rPr>
                <w:sz w:val="20"/>
                <w:lang w:val="fr-CA"/>
              </w:rPr>
            </w:pPr>
          </w:p>
        </w:tc>
      </w:tr>
      <w:tr w:rsidR="00BE597E" w:rsidRPr="001F1644" w:rsidTr="00BE597E">
        <w:tc>
          <w:tcPr>
            <w:tcW w:w="5000" w:type="pct"/>
            <w:gridSpan w:val="4"/>
            <w:tcBorders>
              <w:top w:val="nil"/>
              <w:left w:val="nil"/>
              <w:bottom w:val="nil"/>
              <w:right w:val="nil"/>
            </w:tcBorders>
          </w:tcPr>
          <w:p w:rsidR="00BE597E" w:rsidRPr="001F1644" w:rsidRDefault="00BE597E" w:rsidP="00BE597E">
            <w:pPr>
              <w:jc w:val="both"/>
              <w:rPr>
                <w:sz w:val="20"/>
                <w:lang w:val="fr-CA"/>
              </w:rPr>
            </w:pPr>
            <w:r w:rsidRPr="001F1644">
              <w:rPr>
                <w:sz w:val="20"/>
                <w:lang w:val="fr-CA"/>
              </w:rPr>
              <w:t xml:space="preserve">L’al. 34(1)e) de la </w:t>
            </w:r>
            <w:r w:rsidRPr="001F1644">
              <w:rPr>
                <w:i/>
                <w:sz w:val="20"/>
                <w:lang w:val="fr-CA"/>
              </w:rPr>
              <w:t>Loi sur l’immigration et la protection des réfugiés</w:t>
            </w:r>
            <w:r w:rsidRPr="001F1644">
              <w:rPr>
                <w:sz w:val="20"/>
                <w:lang w:val="fr-CA"/>
              </w:rPr>
              <w:t>, (« LIPR ») dispose que : « Emportent interdiction de territoire pour raison de sécurité » le fait d’être « l’auteur de tout acte de violence susceptible de mettre en danger la vie ou la sécurité d’autrui au Canada ». Le ministre de la Sécurité publique et de la Protection civile (le ministre) allègue que les deux demandeurs sont des étrangers qui sont interdits de territoire sur le fondement de l’al. 34(1)e) de la LIPR.</w:t>
            </w:r>
          </w:p>
          <w:p w:rsidR="00BE597E" w:rsidRPr="001F1644" w:rsidRDefault="00BE597E" w:rsidP="00BE597E">
            <w:pPr>
              <w:jc w:val="both"/>
              <w:rPr>
                <w:sz w:val="20"/>
                <w:lang w:val="fr-CA"/>
              </w:rPr>
            </w:pPr>
          </w:p>
          <w:p w:rsidR="00BE597E" w:rsidRPr="001F1644" w:rsidRDefault="00BE597E" w:rsidP="00BE597E">
            <w:pPr>
              <w:jc w:val="both"/>
              <w:rPr>
                <w:sz w:val="20"/>
                <w:lang w:val="fr-CA"/>
              </w:rPr>
            </w:pPr>
            <w:r w:rsidRPr="001F1644">
              <w:rPr>
                <w:sz w:val="20"/>
                <w:lang w:val="fr-CA"/>
              </w:rPr>
              <w:t>La question dont la Commission de l’immigration et la Section d’appel de l’immigration étaient saisies est celle de savoir si l’al. 34(1)e) s’applique seulement si la conduite a un lien à la sécurité nationale. Les deux décideurs étaient d’accord avec le ministre que tel n’était pas le cas. À leur avis, l’al. 34(1)e) s’applique qu’il y ait ou non un lien à la sécurité nationale.</w:t>
            </w:r>
          </w:p>
          <w:p w:rsidR="00BE597E" w:rsidRPr="001F1644" w:rsidRDefault="00BE597E" w:rsidP="00BE597E">
            <w:pPr>
              <w:jc w:val="both"/>
              <w:rPr>
                <w:sz w:val="20"/>
                <w:lang w:val="fr-CA"/>
              </w:rPr>
            </w:pPr>
          </w:p>
          <w:p w:rsidR="00BE597E" w:rsidRPr="001F1644" w:rsidRDefault="00BE597E" w:rsidP="00BE597E">
            <w:pPr>
              <w:jc w:val="both"/>
              <w:rPr>
                <w:sz w:val="20"/>
                <w:lang w:val="fr-CA"/>
              </w:rPr>
            </w:pPr>
            <w:r w:rsidRPr="001F1644">
              <w:rPr>
                <w:sz w:val="20"/>
                <w:lang w:val="fr-CA"/>
              </w:rPr>
              <w:t>Lors du contrôle judiciaire, la Cour fédérale a annulé les décisions dans les deux affaires.</w:t>
            </w:r>
          </w:p>
          <w:p w:rsidR="00BE597E" w:rsidRPr="001F1644" w:rsidRDefault="00BE597E" w:rsidP="00BE597E">
            <w:pPr>
              <w:jc w:val="both"/>
              <w:rPr>
                <w:sz w:val="20"/>
                <w:lang w:val="fr-CA"/>
              </w:rPr>
            </w:pPr>
          </w:p>
          <w:p w:rsidR="00BE597E" w:rsidRPr="001F1644" w:rsidRDefault="00BE597E" w:rsidP="00BE597E">
            <w:pPr>
              <w:jc w:val="both"/>
              <w:rPr>
                <w:sz w:val="20"/>
                <w:lang w:val="fr-CA"/>
              </w:rPr>
            </w:pPr>
            <w:r w:rsidRPr="001F1644">
              <w:rPr>
                <w:sz w:val="20"/>
                <w:lang w:val="fr-CA"/>
              </w:rPr>
              <w:t xml:space="preserve">Les deux affaires ont été entendues ensemble à la Cour d’appel fédérale. Cette dernière a accueilli les appels, annulé les décisions de la Cour fédérale et rejeté les demandes de contrôle judiciaire. </w:t>
            </w:r>
            <w:proofErr w:type="gramStart"/>
            <w:r w:rsidRPr="001F1644">
              <w:rPr>
                <w:sz w:val="20"/>
                <w:lang w:val="fr-CA"/>
              </w:rPr>
              <w:t>Elle a</w:t>
            </w:r>
            <w:proofErr w:type="gramEnd"/>
            <w:r w:rsidRPr="001F1644">
              <w:rPr>
                <w:sz w:val="20"/>
                <w:lang w:val="fr-CA"/>
              </w:rPr>
              <w:t xml:space="preserve"> conclu que l’interprétation administrative de l’al. 34(1)e) était raisonnable et a répondu ainsi à la question certifiée :</w:t>
            </w:r>
          </w:p>
          <w:p w:rsidR="00EC01CB" w:rsidRPr="001F1644" w:rsidRDefault="00EC01CB" w:rsidP="00BE597E">
            <w:pPr>
              <w:jc w:val="both"/>
              <w:rPr>
                <w:sz w:val="20"/>
                <w:lang w:val="fr-CA"/>
              </w:rPr>
            </w:pPr>
          </w:p>
          <w:p w:rsidR="00BE597E" w:rsidRPr="001F1644" w:rsidRDefault="00BE597E" w:rsidP="00EC01CB">
            <w:pPr>
              <w:pStyle w:val="Quote"/>
              <w:spacing w:before="0" w:beforeAutospacing="0" w:after="0" w:afterAutospacing="0"/>
              <w:jc w:val="both"/>
              <w:rPr>
                <w:sz w:val="20"/>
                <w:szCs w:val="20"/>
              </w:rPr>
            </w:pPr>
            <w:r w:rsidRPr="001F1644">
              <w:rPr>
                <w:sz w:val="20"/>
                <w:szCs w:val="20"/>
              </w:rPr>
              <w:t>Q. : Est</w:t>
            </w:r>
            <w:r w:rsidRPr="001F1644">
              <w:rPr>
                <w:sz w:val="20"/>
                <w:szCs w:val="20"/>
              </w:rPr>
              <w:noBreakHyphen/>
              <w:t xml:space="preserve">il raisonnable d’interpréter l’al. 34(1)e) de la </w:t>
            </w:r>
            <w:r w:rsidRPr="001F1644">
              <w:rPr>
                <w:i/>
                <w:sz w:val="20"/>
                <w:szCs w:val="20"/>
              </w:rPr>
              <w:t>Loi sur l’immigration et la protection des réfugiés</w:t>
            </w:r>
            <w:r w:rsidRPr="001F1644">
              <w:rPr>
                <w:sz w:val="20"/>
                <w:szCs w:val="20"/>
              </w:rPr>
              <w:t xml:space="preserve">, d’une manière qui n’exige pas la preuve d’une conduite liée à la « sécurité nationale » ou à la « sécurité du Canada »? </w:t>
            </w:r>
          </w:p>
          <w:p w:rsidR="00EC01CB" w:rsidRPr="001F1644" w:rsidRDefault="00EC01CB" w:rsidP="00EC01CB">
            <w:pPr>
              <w:pStyle w:val="Quote"/>
              <w:spacing w:before="0" w:beforeAutospacing="0" w:after="0" w:afterAutospacing="0"/>
              <w:jc w:val="both"/>
              <w:rPr>
                <w:sz w:val="20"/>
                <w:szCs w:val="20"/>
              </w:rPr>
            </w:pPr>
          </w:p>
          <w:p w:rsidR="00BE597E" w:rsidRPr="001F1644" w:rsidRDefault="00BE597E" w:rsidP="00BE597E">
            <w:pPr>
              <w:jc w:val="both"/>
              <w:rPr>
                <w:sz w:val="20"/>
                <w:lang w:val="fr-CA"/>
              </w:rPr>
            </w:pPr>
            <w:r w:rsidRPr="001F1644">
              <w:rPr>
                <w:sz w:val="20"/>
                <w:lang w:val="fr-CA"/>
              </w:rPr>
              <w:t>R. : Oui.</w:t>
            </w:r>
          </w:p>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20 mars 2018</w:t>
            </w:r>
          </w:p>
          <w:p w:rsidR="00BE597E" w:rsidRPr="001F1644" w:rsidRDefault="00BE597E" w:rsidP="00BE597E">
            <w:pPr>
              <w:jc w:val="both"/>
              <w:rPr>
                <w:sz w:val="20"/>
                <w:lang w:val="fr-CA"/>
              </w:rPr>
            </w:pPr>
            <w:r w:rsidRPr="001F1644">
              <w:rPr>
                <w:sz w:val="20"/>
                <w:lang w:val="fr-CA"/>
              </w:rPr>
              <w:lastRenderedPageBreak/>
              <w:t>Commission de l’Immigration et du statut de réfugié du Canada</w:t>
            </w:r>
          </w:p>
          <w:p w:rsidR="00BE597E" w:rsidRPr="001F1644" w:rsidRDefault="00BE597E" w:rsidP="00BE597E">
            <w:pPr>
              <w:jc w:val="both"/>
              <w:rPr>
                <w:sz w:val="20"/>
                <w:lang w:val="fr-CA"/>
              </w:rPr>
            </w:pPr>
            <w:r w:rsidRPr="001F1644">
              <w:rPr>
                <w:sz w:val="20"/>
                <w:lang w:val="fr-CA"/>
              </w:rPr>
              <w:t>(M. McPhalen)</w:t>
            </w:r>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M. Mason n’est pas une personne décrite à l’al. 34(1)e) de la LIPR.</w:t>
            </w: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6 février 2019</w:t>
            </w:r>
          </w:p>
          <w:p w:rsidR="00BE597E" w:rsidRPr="001F1644" w:rsidRDefault="00BE597E" w:rsidP="00BE597E">
            <w:pPr>
              <w:jc w:val="both"/>
              <w:rPr>
                <w:sz w:val="20"/>
                <w:lang w:val="fr-CA"/>
              </w:rPr>
            </w:pPr>
            <w:r w:rsidRPr="001F1644">
              <w:rPr>
                <w:sz w:val="20"/>
                <w:lang w:val="fr-CA"/>
              </w:rPr>
              <w:t xml:space="preserve">Section d’appel de l’immigration </w:t>
            </w:r>
          </w:p>
          <w:p w:rsidR="00BE597E" w:rsidRPr="001F1644" w:rsidRDefault="00BE597E" w:rsidP="00BE597E">
            <w:pPr>
              <w:jc w:val="both"/>
              <w:rPr>
                <w:sz w:val="20"/>
                <w:lang w:val="fr-CA"/>
              </w:rPr>
            </w:pPr>
            <w:r w:rsidRPr="001F1644">
              <w:rPr>
                <w:sz w:val="20"/>
                <w:lang w:val="fr-CA"/>
              </w:rPr>
              <w:t>(G. Pemberton)</w:t>
            </w:r>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 xml:space="preserve">Appel du ministre dans l’affaire de M. Mason accueilli. L’interdiction de territoire sur le fondement de l’al. 34(1)e) n’exige pas que la conduite ait un lien à la sécurité du Canada. L’al. 34(1)e) peut s’appliquer à M. Mason. Décision de la Commission de l’immigration annulée et affaire renvoyée pour une nouvelle audience sur le fond. </w:t>
            </w:r>
          </w:p>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2 octobre 2019</w:t>
            </w:r>
          </w:p>
          <w:p w:rsidR="00BE597E" w:rsidRPr="001F1644" w:rsidRDefault="00BE597E" w:rsidP="00BE597E">
            <w:pPr>
              <w:jc w:val="both"/>
              <w:rPr>
                <w:sz w:val="20"/>
                <w:lang w:val="fr-CA"/>
              </w:rPr>
            </w:pPr>
            <w:r w:rsidRPr="001F1644">
              <w:rPr>
                <w:sz w:val="20"/>
                <w:lang w:val="fr-CA"/>
              </w:rPr>
              <w:t xml:space="preserve">Cour fédérale </w:t>
            </w:r>
          </w:p>
          <w:p w:rsidR="00BE597E" w:rsidRPr="001F1644" w:rsidRDefault="00BE597E" w:rsidP="00BE597E">
            <w:pPr>
              <w:jc w:val="both"/>
              <w:rPr>
                <w:sz w:val="20"/>
                <w:lang w:val="fr-CA"/>
              </w:rPr>
            </w:pPr>
            <w:r w:rsidRPr="001F1644">
              <w:rPr>
                <w:sz w:val="20"/>
                <w:lang w:val="fr-CA"/>
              </w:rPr>
              <w:t>(juge Grammond)</w:t>
            </w:r>
          </w:p>
          <w:p w:rsidR="00BE597E" w:rsidRPr="001F1644" w:rsidRDefault="00724EE4" w:rsidP="00BE597E">
            <w:pPr>
              <w:jc w:val="both"/>
              <w:rPr>
                <w:rStyle w:val="Hyperlink"/>
                <w:color w:val="auto"/>
                <w:sz w:val="20"/>
                <w:u w:val="none"/>
                <w:lang w:val="fr-CA"/>
              </w:rPr>
            </w:pPr>
            <w:hyperlink r:id="rId63" w:history="1">
              <w:r w:rsidR="00BE597E" w:rsidRPr="001F1644">
                <w:rPr>
                  <w:rStyle w:val="Hyperlink"/>
                  <w:sz w:val="20"/>
                  <w:lang w:val="fr-CA"/>
                </w:rPr>
                <w:t>2019 CF 1251</w:t>
              </w:r>
            </w:hyperlink>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 xml:space="preserve">Demande de contrôle judiciaire de M. Mason accueillie et décision de la Section d’appel de l’immigration annulée.  </w:t>
            </w: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25 juin 2019</w:t>
            </w:r>
          </w:p>
          <w:p w:rsidR="00BE597E" w:rsidRPr="001F1644" w:rsidRDefault="00BE597E" w:rsidP="00BE597E">
            <w:pPr>
              <w:jc w:val="both"/>
              <w:rPr>
                <w:sz w:val="20"/>
                <w:lang w:val="fr-CA"/>
              </w:rPr>
            </w:pPr>
            <w:r w:rsidRPr="001F1644">
              <w:rPr>
                <w:sz w:val="20"/>
                <w:lang w:val="fr-CA"/>
              </w:rPr>
              <w:t>Commission de l’immigration et du statut de réfugié du Canada</w:t>
            </w:r>
          </w:p>
          <w:p w:rsidR="00BE597E" w:rsidRPr="001F1644" w:rsidRDefault="00BE597E" w:rsidP="00BE597E">
            <w:pPr>
              <w:jc w:val="both"/>
              <w:rPr>
                <w:sz w:val="20"/>
                <w:lang w:val="fr-CA"/>
              </w:rPr>
            </w:pPr>
            <w:r w:rsidRPr="001F1644">
              <w:rPr>
                <w:sz w:val="20"/>
                <w:lang w:val="fr-CA"/>
              </w:rPr>
              <w:t>(L. Ko)</w:t>
            </w:r>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M. Dleiow déclaré interdit de territoire sur le fondement de l’al. 34(1)e) de la LIPR et expulsion ordonnée.</w:t>
            </w: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16 janvier 2020</w:t>
            </w:r>
          </w:p>
          <w:p w:rsidR="00BE597E" w:rsidRPr="001F1644" w:rsidRDefault="00BE597E" w:rsidP="00BE597E">
            <w:pPr>
              <w:jc w:val="both"/>
              <w:rPr>
                <w:sz w:val="20"/>
                <w:lang w:val="fr-CA"/>
              </w:rPr>
            </w:pPr>
            <w:r w:rsidRPr="001F1644">
              <w:rPr>
                <w:sz w:val="20"/>
                <w:lang w:val="fr-CA"/>
              </w:rPr>
              <w:t xml:space="preserve">Cour fédérale </w:t>
            </w:r>
          </w:p>
          <w:p w:rsidR="00BE597E" w:rsidRPr="001F1644" w:rsidRDefault="00BE597E" w:rsidP="00BE597E">
            <w:pPr>
              <w:jc w:val="both"/>
              <w:rPr>
                <w:sz w:val="20"/>
                <w:lang w:val="fr-CA"/>
              </w:rPr>
            </w:pPr>
            <w:r w:rsidRPr="001F1644">
              <w:rPr>
                <w:sz w:val="20"/>
                <w:lang w:val="fr-CA"/>
              </w:rPr>
              <w:t>(juge Barnes)</w:t>
            </w:r>
          </w:p>
          <w:p w:rsidR="00BE597E" w:rsidRPr="001F1644" w:rsidRDefault="00724EE4" w:rsidP="00BE597E">
            <w:pPr>
              <w:jc w:val="both"/>
              <w:rPr>
                <w:sz w:val="20"/>
                <w:lang w:val="fr-CA"/>
              </w:rPr>
            </w:pPr>
            <w:hyperlink r:id="rId64" w:history="1">
              <w:r w:rsidR="00BE597E" w:rsidRPr="001F1644">
                <w:rPr>
                  <w:rStyle w:val="Hyperlink"/>
                  <w:sz w:val="20"/>
                  <w:lang w:val="fr-CA"/>
                </w:rPr>
                <w:t>2020 CF 59</w:t>
              </w:r>
            </w:hyperlink>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 xml:space="preserve">Demande de contrôle judiciaire de M. Dleiow accueillie. Décision de la Commission de l’immigration annulée et affaire renvoyée à un autre décideur pour qu’il procède à un nouvel examen sur le fond.  </w:t>
            </w:r>
          </w:p>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29 juillet 2021</w:t>
            </w:r>
          </w:p>
          <w:p w:rsidR="00BE597E" w:rsidRPr="001F1644" w:rsidRDefault="00BE597E" w:rsidP="00BE597E">
            <w:pPr>
              <w:jc w:val="both"/>
              <w:rPr>
                <w:sz w:val="20"/>
                <w:lang w:val="fr-CA"/>
              </w:rPr>
            </w:pPr>
            <w:r w:rsidRPr="001F1644">
              <w:rPr>
                <w:sz w:val="20"/>
                <w:lang w:val="fr-CA"/>
              </w:rPr>
              <w:t>Cour d’appel fédérale</w:t>
            </w:r>
          </w:p>
          <w:p w:rsidR="00BE597E" w:rsidRPr="001F1644" w:rsidRDefault="00BE597E" w:rsidP="00BE597E">
            <w:pPr>
              <w:jc w:val="both"/>
              <w:rPr>
                <w:sz w:val="20"/>
                <w:lang w:val="fr-CA"/>
              </w:rPr>
            </w:pPr>
            <w:r w:rsidRPr="001F1644">
              <w:rPr>
                <w:sz w:val="20"/>
                <w:lang w:val="fr-CA"/>
              </w:rPr>
              <w:t>(juges Stratas, Rennie et Mactavish)</w:t>
            </w:r>
          </w:p>
          <w:p w:rsidR="00BE597E" w:rsidRPr="001F1644" w:rsidRDefault="00724EE4" w:rsidP="00BE597E">
            <w:pPr>
              <w:jc w:val="both"/>
              <w:rPr>
                <w:sz w:val="20"/>
                <w:lang w:val="fr-CA"/>
              </w:rPr>
            </w:pPr>
            <w:hyperlink r:id="rId65" w:history="1">
              <w:r w:rsidR="00BE597E" w:rsidRPr="001F1644">
                <w:rPr>
                  <w:rStyle w:val="Hyperlink"/>
                  <w:sz w:val="20"/>
                  <w:lang w:val="fr-CA"/>
                </w:rPr>
                <w:t>2021 FCA 156</w:t>
              </w:r>
            </w:hyperlink>
          </w:p>
          <w:p w:rsidR="00BE597E" w:rsidRPr="001F1644" w:rsidRDefault="00BE597E" w:rsidP="00BE597E">
            <w:pPr>
              <w:jc w:val="both"/>
              <w:rPr>
                <w:sz w:val="20"/>
                <w:lang w:val="fr-CA"/>
              </w:rPr>
            </w:pPr>
            <w:r w:rsidRPr="001F1644">
              <w:rPr>
                <w:sz w:val="20"/>
                <w:lang w:val="fr-CA"/>
              </w:rPr>
              <w:t>Numéros de dossiers : A</w:t>
            </w:r>
            <w:r w:rsidRPr="001F1644">
              <w:rPr>
                <w:sz w:val="20"/>
                <w:lang w:val="fr-CA"/>
              </w:rPr>
              <w:noBreakHyphen/>
              <w:t>415</w:t>
            </w:r>
            <w:r w:rsidRPr="001F1644">
              <w:rPr>
                <w:sz w:val="20"/>
                <w:lang w:val="fr-CA"/>
              </w:rPr>
              <w:noBreakHyphen/>
              <w:t>19 et A</w:t>
            </w:r>
            <w:r w:rsidRPr="001F1644">
              <w:rPr>
                <w:sz w:val="20"/>
                <w:lang w:val="fr-CA"/>
              </w:rPr>
              <w:noBreakHyphen/>
              <w:t>37</w:t>
            </w:r>
            <w:r w:rsidRPr="001F1644">
              <w:rPr>
                <w:sz w:val="20"/>
                <w:lang w:val="fr-CA"/>
              </w:rPr>
              <w:noBreakHyphen/>
              <w:t>20</w:t>
            </w:r>
          </w:p>
          <w:p w:rsidR="00BE597E" w:rsidRPr="001F1644" w:rsidRDefault="00BE597E" w:rsidP="00BE597E">
            <w:pPr>
              <w:jc w:val="both"/>
              <w:rPr>
                <w:sz w:val="20"/>
                <w:lang w:val="fr-CA"/>
              </w:rPr>
            </w:pPr>
          </w:p>
        </w:tc>
        <w:tc>
          <w:tcPr>
            <w:tcW w:w="243" w:type="pct"/>
          </w:tcPr>
          <w:p w:rsidR="00BE597E" w:rsidRPr="001F1644" w:rsidRDefault="00BE597E" w:rsidP="00BE597E">
            <w:pPr>
              <w:tabs>
                <w:tab w:val="left" w:pos="430"/>
              </w:tabs>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 xml:space="preserve">Appel du ministre accueilli dans les deux affaires, décision de la Cour fédérale annulée et demandes de contrôle judiciaire rejetées. La décision de la Section d’appel de l’immigration dans l’affaire Mason et la décision de la Section de l’immigration dans l’affaire Dleiow concernant l’interprétation de l’al. 34(1)e) sont déclarées raisonnables. </w:t>
            </w:r>
          </w:p>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29 septembre 2021</w:t>
            </w:r>
          </w:p>
          <w:p w:rsidR="00BE597E" w:rsidRPr="001F1644" w:rsidRDefault="00BE597E" w:rsidP="00BE597E">
            <w:pPr>
              <w:jc w:val="both"/>
              <w:rPr>
                <w:sz w:val="20"/>
                <w:lang w:val="fr-CA"/>
              </w:rPr>
            </w:pPr>
            <w:r w:rsidRPr="001F1644">
              <w:rPr>
                <w:sz w:val="20"/>
                <w:lang w:val="fr-CA"/>
              </w:rPr>
              <w:t>Cour suprême du Canada</w:t>
            </w:r>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Demande d’autorisation d’appel déposée par M. Mason.</w:t>
            </w:r>
          </w:p>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29 septembre 2021</w:t>
            </w:r>
          </w:p>
          <w:p w:rsidR="00BE597E" w:rsidRPr="001F1644" w:rsidRDefault="00BE597E" w:rsidP="00BE597E">
            <w:pPr>
              <w:jc w:val="both"/>
              <w:rPr>
                <w:sz w:val="20"/>
                <w:lang w:val="fr-CA"/>
              </w:rPr>
            </w:pPr>
            <w:r w:rsidRPr="001F1644">
              <w:rPr>
                <w:sz w:val="20"/>
                <w:lang w:val="fr-CA"/>
              </w:rPr>
              <w:t xml:space="preserve">Cour suprême du Canada </w:t>
            </w: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EC01CB">
            <w:pPr>
              <w:jc w:val="both"/>
              <w:rPr>
                <w:sz w:val="20"/>
                <w:lang w:val="fr-CA"/>
              </w:rPr>
            </w:pPr>
            <w:r w:rsidRPr="001F1644">
              <w:rPr>
                <w:sz w:val="20"/>
                <w:lang w:val="fr-CA"/>
              </w:rPr>
              <w:t>Demande d’autorisation d’appel déposée par M. Dleiow.</w:t>
            </w:r>
          </w:p>
        </w:tc>
      </w:tr>
    </w:tbl>
    <w:p w:rsidR="00BE597E" w:rsidRPr="001F1644" w:rsidRDefault="00BE597E" w:rsidP="00BE597E">
      <w:pPr>
        <w:jc w:val="both"/>
        <w:rPr>
          <w:sz w:val="20"/>
          <w:lang w:val="fr-CA"/>
        </w:rPr>
      </w:pPr>
    </w:p>
    <w:p w:rsidR="00EC01CB" w:rsidRPr="001F1644" w:rsidRDefault="00724EE4" w:rsidP="00BE597E">
      <w:pPr>
        <w:jc w:val="both"/>
        <w:rPr>
          <w:sz w:val="20"/>
          <w:lang w:val="fr-CA"/>
        </w:rPr>
      </w:pPr>
      <w:r>
        <w:rPr>
          <w:sz w:val="20"/>
        </w:rPr>
        <w:pict>
          <v:rect id="_x0000_i1046" style="width:2in;height:1pt" o:hrpct="0" o:hralign="center" o:hrstd="t" o:hrnoshade="t" o:hr="t" fillcolor="black [3213]" stroked="f"/>
        </w:pict>
      </w:r>
    </w:p>
    <w:p w:rsidR="00BA25C8" w:rsidRPr="001F1644" w:rsidRDefault="00BA25C8"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lang w:val="en-CA"/>
              </w:rPr>
            </w:pPr>
            <w:r w:rsidRPr="001F1644">
              <w:rPr>
                <w:rStyle w:val="SCCFileNumberChar"/>
                <w:sz w:val="20"/>
                <w:szCs w:val="20"/>
              </w:rPr>
              <w:t>39860</w:t>
            </w:r>
          </w:p>
        </w:tc>
        <w:tc>
          <w:tcPr>
            <w:tcW w:w="4457" w:type="pct"/>
            <w:gridSpan w:val="3"/>
          </w:tcPr>
          <w:p w:rsidR="00BE597E" w:rsidRPr="001F1644" w:rsidRDefault="00BE597E" w:rsidP="00BE597E">
            <w:pPr>
              <w:pStyle w:val="SCCLsocParty"/>
              <w:jc w:val="both"/>
              <w:rPr>
                <w:b/>
                <w:sz w:val="20"/>
                <w:szCs w:val="20"/>
                <w:lang w:val="en-CA"/>
              </w:rPr>
            </w:pPr>
            <w:r w:rsidRPr="001F1644">
              <w:rPr>
                <w:b/>
                <w:sz w:val="20"/>
                <w:szCs w:val="20"/>
                <w:lang w:val="en-CA"/>
              </w:rPr>
              <w:t>Ian Poitras v. Concession A25, L.P., Attorney General of Quebec on behalf of the Minister of Transport of Quebec</w:t>
            </w:r>
          </w:p>
          <w:p w:rsidR="00BE597E" w:rsidRPr="001F1644" w:rsidRDefault="00BE597E" w:rsidP="00BE597E">
            <w:pPr>
              <w:jc w:val="both"/>
              <w:rPr>
                <w:sz w:val="20"/>
                <w:lang w:val="en-CA"/>
              </w:rPr>
            </w:pPr>
            <w:r w:rsidRPr="001F1644">
              <w:rPr>
                <w:sz w:val="20"/>
                <w:lang w:val="en-CA"/>
              </w:rPr>
              <w:t>(Que.) (Civil) (By Leave)</w:t>
            </w:r>
          </w:p>
        </w:tc>
      </w:tr>
      <w:tr w:rsidR="00BE597E" w:rsidRPr="001F1644" w:rsidTr="00BE597E">
        <w:tc>
          <w:tcPr>
            <w:tcW w:w="5000" w:type="pct"/>
            <w:gridSpan w:val="4"/>
          </w:tcPr>
          <w:p w:rsidR="00BE597E" w:rsidRPr="001F1644" w:rsidRDefault="00BE597E" w:rsidP="00BE597E">
            <w:pPr>
              <w:jc w:val="both"/>
              <w:rPr>
                <w:sz w:val="20"/>
                <w:lang w:val="en-CA"/>
              </w:rPr>
            </w:pPr>
            <w:proofErr w:type="gramStart"/>
            <w:r w:rsidRPr="001F1644">
              <w:rPr>
                <w:sz w:val="20"/>
                <w:lang w:val="en-CA"/>
              </w:rPr>
              <w:t xml:space="preserve">Civil procedure — Class action — Public-private partnership — Characterization of obligation to pay fees for enforced payment — In context of public-private partnership, whether private law rules should be applied to fees for enforced payment when public service is provided by for-profit private enterprise that is not mandatary of State and that alone establishes amount of fees — In alternative, if only public law is applicable, whether members have right to restitution of payment not due and, if so, whether class action is proper vehicle for this purpose — </w:t>
            </w:r>
            <w:r w:rsidRPr="001F1644">
              <w:rPr>
                <w:i/>
                <w:sz w:val="20"/>
                <w:lang w:val="en-CA"/>
              </w:rPr>
              <w:t>Act respecting transport infrastructure partnerships</w:t>
            </w:r>
            <w:r w:rsidRPr="001F1644">
              <w:rPr>
                <w:sz w:val="20"/>
                <w:lang w:val="en-CA"/>
              </w:rPr>
              <w:t>, CQLR, c. P</w:t>
            </w:r>
            <w:r w:rsidRPr="001F1644">
              <w:rPr>
                <w:sz w:val="20"/>
                <w:lang w:val="en-CA"/>
              </w:rPr>
              <w:noBreakHyphen/>
              <w:t xml:space="preserve">9.001, s. 12 — </w:t>
            </w:r>
            <w:r w:rsidRPr="001F1644">
              <w:rPr>
                <w:i/>
                <w:sz w:val="20"/>
                <w:lang w:val="en-CA"/>
              </w:rPr>
              <w:t>Regulation respecting toll road infrastructures operated under a public-private partnership agreement</w:t>
            </w:r>
            <w:r w:rsidRPr="001F1644">
              <w:rPr>
                <w:sz w:val="20"/>
                <w:lang w:val="en-CA"/>
              </w:rPr>
              <w:t>, CQLR, c. P</w:t>
            </w:r>
            <w:r w:rsidRPr="001F1644">
              <w:rPr>
                <w:sz w:val="20"/>
                <w:lang w:val="en-CA"/>
              </w:rPr>
              <w:noBreakHyphen/>
              <w:t>9.001, r. 3, s. 17.</w:t>
            </w:r>
            <w:proofErr w:type="gramEnd"/>
          </w:p>
        </w:tc>
      </w:tr>
      <w:tr w:rsidR="00BE597E" w:rsidRPr="001F1644" w:rsidTr="00BE597E">
        <w:tc>
          <w:tcPr>
            <w:tcW w:w="5000" w:type="pct"/>
            <w:gridSpan w:val="4"/>
          </w:tcPr>
          <w:p w:rsidR="00BE597E" w:rsidRPr="001F1644" w:rsidRDefault="00BE597E" w:rsidP="00BE597E">
            <w:pPr>
              <w:jc w:val="both"/>
              <w:rPr>
                <w:sz w:val="20"/>
                <w:lang w:val="en-CA"/>
              </w:rPr>
            </w:pPr>
          </w:p>
          <w:p w:rsidR="00BE597E" w:rsidRPr="001F1644" w:rsidRDefault="00BE597E" w:rsidP="00BE597E">
            <w:pPr>
              <w:jc w:val="both"/>
              <w:rPr>
                <w:sz w:val="20"/>
                <w:lang w:val="en-CA"/>
              </w:rPr>
            </w:pPr>
            <w:r w:rsidRPr="001F1644">
              <w:rPr>
                <w:sz w:val="20"/>
                <w:lang w:val="en-CA"/>
              </w:rPr>
              <w:lastRenderedPageBreak/>
              <w:t>From September 2016 to February 2017, the applicant, Ian Poitras, used the toll bridge on autoroute 25 about 160 times. The respondent Concession A25, L.P., which operates the bridge under a public</w:t>
            </w:r>
            <w:r w:rsidRPr="001F1644">
              <w:rPr>
                <w:sz w:val="20"/>
                <w:lang w:val="en-CA"/>
              </w:rPr>
              <w:noBreakHyphen/>
              <w:t xml:space="preserve">private partnership agreement, mailed the applicant 160 first invoices for the payment of tolls, which the applicant says he did not receive. It then sent him </w:t>
            </w:r>
            <w:proofErr w:type="gramStart"/>
            <w:r w:rsidRPr="001F1644">
              <w:rPr>
                <w:sz w:val="20"/>
                <w:lang w:val="en-CA"/>
              </w:rPr>
              <w:t>94 second</w:t>
            </w:r>
            <w:proofErr w:type="gramEnd"/>
            <w:r w:rsidRPr="001F1644">
              <w:rPr>
                <w:sz w:val="20"/>
                <w:lang w:val="en-CA"/>
              </w:rPr>
              <w:t xml:space="preserve"> invoices. When the applicant was finally alerted to the situation, he owed $474.88 in tolls, $859.74 in administration fees on the first invoices and a total of $3,102 plus tax in [</w:t>
            </w:r>
            <w:r w:rsidRPr="001F1644">
              <w:rPr>
                <w:smallCaps/>
                <w:sz w:val="20"/>
                <w:lang w:val="en-CA"/>
              </w:rPr>
              <w:t>translation</w:t>
            </w:r>
            <w:r w:rsidRPr="001F1644">
              <w:rPr>
                <w:sz w:val="20"/>
                <w:lang w:val="en-CA"/>
              </w:rPr>
              <w:t xml:space="preserve">] “fees for the enforced payment of tolls and administration fees” arising from the second invoices. In January 2018, the applicant applied for authorization to institute a class action in order to seek reimbursement of the fees for enforced payment. The Quebec Superior Court dismissed his application with legal costs. His appeal to the Quebec Court of Appeal from that judgment </w:t>
            </w:r>
            <w:proofErr w:type="gramStart"/>
            <w:r w:rsidRPr="001F1644">
              <w:rPr>
                <w:sz w:val="20"/>
                <w:lang w:val="en-CA"/>
              </w:rPr>
              <w:t>was also dismissed</w:t>
            </w:r>
            <w:proofErr w:type="gramEnd"/>
            <w:r w:rsidRPr="001F1644">
              <w:rPr>
                <w:sz w:val="20"/>
                <w:lang w:val="en-CA"/>
              </w:rPr>
              <w:t xml:space="preserve"> with legal costs.</w:t>
            </w:r>
          </w:p>
        </w:tc>
      </w:tr>
      <w:tr w:rsidR="00BE597E" w:rsidRPr="001F1644" w:rsidTr="00BE597E">
        <w:tc>
          <w:tcPr>
            <w:tcW w:w="5000" w:type="pct"/>
            <w:gridSpan w:val="4"/>
          </w:tcPr>
          <w:p w:rsidR="00BE597E" w:rsidRPr="001F1644" w:rsidRDefault="00BE597E" w:rsidP="00BE597E">
            <w:pPr>
              <w:jc w:val="both"/>
              <w:rPr>
                <w:sz w:val="20"/>
                <w:lang w:val="en-CA"/>
              </w:rPr>
            </w:pPr>
          </w:p>
        </w:tc>
      </w:tr>
      <w:tr w:rsidR="00BE597E" w:rsidRPr="001F1644" w:rsidTr="00BE597E">
        <w:tc>
          <w:tcPr>
            <w:tcW w:w="2427" w:type="pct"/>
            <w:gridSpan w:val="2"/>
          </w:tcPr>
          <w:p w:rsidR="00BE597E" w:rsidRPr="001F1644" w:rsidRDefault="00BE597E" w:rsidP="00BE597E">
            <w:pPr>
              <w:jc w:val="both"/>
              <w:rPr>
                <w:sz w:val="20"/>
                <w:lang w:val="en-CA"/>
              </w:rPr>
            </w:pPr>
            <w:r w:rsidRPr="001F1644">
              <w:rPr>
                <w:sz w:val="20"/>
                <w:lang w:val="en-CA"/>
              </w:rPr>
              <w:t>July 9, 2019</w:t>
            </w:r>
          </w:p>
          <w:p w:rsidR="00BE597E" w:rsidRPr="001F1644" w:rsidRDefault="00BE597E" w:rsidP="00BE597E">
            <w:pPr>
              <w:jc w:val="both"/>
              <w:rPr>
                <w:sz w:val="20"/>
                <w:lang w:val="en-CA"/>
              </w:rPr>
            </w:pPr>
            <w:r w:rsidRPr="001F1644">
              <w:rPr>
                <w:sz w:val="20"/>
                <w:lang w:val="en-CA"/>
              </w:rPr>
              <w:t>Quebec Superior Court</w:t>
            </w:r>
          </w:p>
          <w:p w:rsidR="00BE597E" w:rsidRPr="001F1644" w:rsidRDefault="00BE597E" w:rsidP="00BE597E">
            <w:pPr>
              <w:jc w:val="both"/>
              <w:rPr>
                <w:sz w:val="20"/>
                <w:lang w:val="en-CA"/>
              </w:rPr>
            </w:pPr>
            <w:r w:rsidRPr="001F1644">
              <w:rPr>
                <w:sz w:val="20"/>
                <w:lang w:val="en-CA"/>
              </w:rPr>
              <w:t>(Tremblay J.)</w:t>
            </w:r>
          </w:p>
          <w:p w:rsidR="00BE597E" w:rsidRPr="001F1644" w:rsidRDefault="00BE597E" w:rsidP="00BE597E">
            <w:pPr>
              <w:jc w:val="both"/>
              <w:rPr>
                <w:sz w:val="20"/>
                <w:lang w:val="en-CA"/>
              </w:rPr>
            </w:pPr>
            <w:r w:rsidRPr="001F1644">
              <w:rPr>
                <w:sz w:val="20"/>
                <w:lang w:val="en-CA"/>
              </w:rPr>
              <w:t>File: 540</w:t>
            </w:r>
            <w:r w:rsidRPr="001F1644">
              <w:rPr>
                <w:sz w:val="20"/>
                <w:lang w:val="en-CA"/>
              </w:rPr>
              <w:noBreakHyphen/>
              <w:t>06</w:t>
            </w:r>
            <w:r w:rsidRPr="001F1644">
              <w:rPr>
                <w:sz w:val="20"/>
                <w:lang w:val="en-CA"/>
              </w:rPr>
              <w:noBreakHyphen/>
              <w:t>000014</w:t>
            </w:r>
            <w:r w:rsidRPr="001F1644">
              <w:rPr>
                <w:sz w:val="20"/>
                <w:lang w:val="en-CA"/>
              </w:rPr>
              <w:noBreakHyphen/>
              <w:t>185</w:t>
            </w:r>
          </w:p>
          <w:p w:rsidR="00BE597E" w:rsidRPr="001F1644" w:rsidRDefault="00724EE4" w:rsidP="00BE597E">
            <w:pPr>
              <w:jc w:val="both"/>
              <w:rPr>
                <w:rStyle w:val="Hyperlink"/>
                <w:color w:val="auto"/>
                <w:sz w:val="20"/>
                <w:u w:val="none"/>
                <w:lang w:val="en-CA"/>
              </w:rPr>
            </w:pPr>
            <w:hyperlink r:id="rId66" w:history="1">
              <w:r w:rsidR="00BE597E" w:rsidRPr="001F1644">
                <w:rPr>
                  <w:rStyle w:val="Hyperlink"/>
                  <w:sz w:val="20"/>
                  <w:lang w:val="en-CA"/>
                </w:rPr>
                <w:t>2019 QCCS 3224</w:t>
              </w:r>
            </w:hyperlink>
          </w:p>
          <w:p w:rsidR="00BE597E" w:rsidRPr="001F1644" w:rsidRDefault="00BE597E" w:rsidP="00BE597E">
            <w:pPr>
              <w:jc w:val="both"/>
              <w:rPr>
                <w:sz w:val="20"/>
                <w:lang w:val="en-CA"/>
              </w:rPr>
            </w:pPr>
          </w:p>
        </w:tc>
        <w:tc>
          <w:tcPr>
            <w:tcW w:w="243" w:type="pct"/>
          </w:tcPr>
          <w:p w:rsidR="00BE597E" w:rsidRPr="001F1644" w:rsidRDefault="00BE597E" w:rsidP="00BE597E">
            <w:pPr>
              <w:jc w:val="both"/>
              <w:rPr>
                <w:sz w:val="20"/>
                <w:lang w:val="en-CA"/>
              </w:rPr>
            </w:pPr>
          </w:p>
        </w:tc>
        <w:tc>
          <w:tcPr>
            <w:tcW w:w="2330" w:type="pct"/>
          </w:tcPr>
          <w:p w:rsidR="00BE597E" w:rsidRPr="001F1644" w:rsidRDefault="00BE597E" w:rsidP="00BE597E">
            <w:pPr>
              <w:jc w:val="both"/>
              <w:rPr>
                <w:sz w:val="20"/>
                <w:lang w:val="en-CA"/>
              </w:rPr>
            </w:pPr>
            <w:r w:rsidRPr="001F1644">
              <w:rPr>
                <w:sz w:val="20"/>
                <w:lang w:val="en-CA"/>
              </w:rPr>
              <w:t>Application for leave to institute class action dismissed with legal costs</w:t>
            </w:r>
          </w:p>
        </w:tc>
      </w:tr>
      <w:tr w:rsidR="00BE597E" w:rsidRPr="001F1644" w:rsidTr="00BE597E">
        <w:tc>
          <w:tcPr>
            <w:tcW w:w="2427" w:type="pct"/>
            <w:gridSpan w:val="2"/>
          </w:tcPr>
          <w:p w:rsidR="00BE597E" w:rsidRPr="001F1644" w:rsidRDefault="00BE597E" w:rsidP="00BE597E">
            <w:pPr>
              <w:jc w:val="both"/>
              <w:rPr>
                <w:sz w:val="20"/>
                <w:lang w:val="en-CA"/>
              </w:rPr>
            </w:pPr>
            <w:r w:rsidRPr="001F1644">
              <w:rPr>
                <w:sz w:val="20"/>
                <w:lang w:val="en-CA"/>
              </w:rPr>
              <w:t>July 26, 2021</w:t>
            </w:r>
          </w:p>
          <w:p w:rsidR="00BE597E" w:rsidRPr="001F1644" w:rsidRDefault="00BE597E" w:rsidP="00BE597E">
            <w:pPr>
              <w:jc w:val="both"/>
              <w:rPr>
                <w:sz w:val="20"/>
                <w:lang w:val="en-CA"/>
              </w:rPr>
            </w:pPr>
            <w:r w:rsidRPr="001F1644">
              <w:rPr>
                <w:sz w:val="20"/>
                <w:lang w:val="en-CA"/>
              </w:rPr>
              <w:t>Quebec Court of Appeal (Montréal)</w:t>
            </w:r>
          </w:p>
          <w:p w:rsidR="00BE597E" w:rsidRPr="001F1644" w:rsidRDefault="00BE597E" w:rsidP="00BE597E">
            <w:pPr>
              <w:jc w:val="both"/>
              <w:rPr>
                <w:sz w:val="20"/>
                <w:lang w:val="en-CA"/>
              </w:rPr>
            </w:pPr>
            <w:r w:rsidRPr="001F1644">
              <w:rPr>
                <w:sz w:val="20"/>
                <w:lang w:val="en-CA"/>
              </w:rPr>
              <w:t>(Chamberland, Moore and Cournoyer JJ.A.)</w:t>
            </w:r>
          </w:p>
          <w:p w:rsidR="00BE597E" w:rsidRPr="001F1644" w:rsidRDefault="00BE597E" w:rsidP="00BE597E">
            <w:pPr>
              <w:jc w:val="both"/>
              <w:rPr>
                <w:sz w:val="20"/>
                <w:lang w:val="en-CA"/>
              </w:rPr>
            </w:pPr>
            <w:r w:rsidRPr="001F1644">
              <w:rPr>
                <w:sz w:val="20"/>
                <w:lang w:val="en-CA"/>
              </w:rPr>
              <w:t xml:space="preserve">File: </w:t>
            </w:r>
            <w:bookmarkStart w:id="2" w:name="NoDossier"/>
            <w:r w:rsidRPr="001F1644">
              <w:rPr>
                <w:sz w:val="20"/>
                <w:lang w:val="en-CA"/>
              </w:rPr>
              <w:t>500</w:t>
            </w:r>
            <w:r w:rsidRPr="001F1644">
              <w:rPr>
                <w:sz w:val="20"/>
                <w:lang w:val="en-CA"/>
              </w:rPr>
              <w:noBreakHyphen/>
              <w:t>09</w:t>
            </w:r>
            <w:r w:rsidRPr="001F1644">
              <w:rPr>
                <w:sz w:val="20"/>
                <w:lang w:val="en-CA"/>
              </w:rPr>
              <w:noBreakHyphen/>
              <w:t>028536</w:t>
            </w:r>
            <w:r w:rsidRPr="001F1644">
              <w:rPr>
                <w:sz w:val="20"/>
                <w:lang w:val="en-CA"/>
              </w:rPr>
              <w:noBreakHyphen/>
              <w:t>191</w:t>
            </w:r>
            <w:bookmarkEnd w:id="2"/>
          </w:p>
          <w:p w:rsidR="00BE597E" w:rsidRPr="001F1644" w:rsidRDefault="00724EE4" w:rsidP="00BE597E">
            <w:pPr>
              <w:jc w:val="both"/>
              <w:rPr>
                <w:sz w:val="20"/>
                <w:lang w:val="en-CA"/>
              </w:rPr>
            </w:pPr>
            <w:hyperlink r:id="rId67" w:history="1">
              <w:r w:rsidR="00BE597E" w:rsidRPr="001F1644">
                <w:rPr>
                  <w:rStyle w:val="Hyperlink"/>
                  <w:sz w:val="20"/>
                  <w:lang w:val="en-CA"/>
                </w:rPr>
                <w:t>2021 QCCA 1182</w:t>
              </w:r>
            </w:hyperlink>
          </w:p>
          <w:p w:rsidR="00BE597E" w:rsidRPr="001F1644" w:rsidRDefault="00BE597E" w:rsidP="00BE597E">
            <w:pPr>
              <w:jc w:val="both"/>
              <w:rPr>
                <w:sz w:val="20"/>
                <w:lang w:val="en-CA"/>
              </w:rPr>
            </w:pPr>
          </w:p>
        </w:tc>
        <w:tc>
          <w:tcPr>
            <w:tcW w:w="243" w:type="pct"/>
          </w:tcPr>
          <w:p w:rsidR="00BE597E" w:rsidRPr="001F1644" w:rsidRDefault="00BE597E" w:rsidP="00BE597E">
            <w:pPr>
              <w:jc w:val="both"/>
              <w:rPr>
                <w:sz w:val="20"/>
                <w:lang w:val="en-CA"/>
              </w:rPr>
            </w:pPr>
          </w:p>
        </w:tc>
        <w:tc>
          <w:tcPr>
            <w:tcW w:w="2330" w:type="pct"/>
          </w:tcPr>
          <w:p w:rsidR="00BE597E" w:rsidRPr="001F1644" w:rsidRDefault="00BE597E" w:rsidP="00BE597E">
            <w:pPr>
              <w:jc w:val="both"/>
              <w:rPr>
                <w:sz w:val="20"/>
                <w:lang w:val="en-CA"/>
              </w:rPr>
            </w:pPr>
            <w:r w:rsidRPr="001F1644">
              <w:rPr>
                <w:sz w:val="20"/>
                <w:lang w:val="en-CA"/>
              </w:rPr>
              <w:t>Appeal dismissed with legal costs</w:t>
            </w:r>
          </w:p>
        </w:tc>
      </w:tr>
      <w:tr w:rsidR="00BE597E" w:rsidRPr="001F1644" w:rsidTr="00BE597E">
        <w:tc>
          <w:tcPr>
            <w:tcW w:w="2427" w:type="pct"/>
            <w:gridSpan w:val="2"/>
          </w:tcPr>
          <w:p w:rsidR="00BE597E" w:rsidRPr="001F1644" w:rsidRDefault="00BE597E" w:rsidP="00BE597E">
            <w:pPr>
              <w:jc w:val="both"/>
              <w:rPr>
                <w:sz w:val="20"/>
                <w:lang w:val="en-CA"/>
              </w:rPr>
            </w:pPr>
            <w:r w:rsidRPr="001F1644">
              <w:rPr>
                <w:sz w:val="20"/>
                <w:lang w:val="en-CA"/>
              </w:rPr>
              <w:t>September 29, 2021</w:t>
            </w:r>
          </w:p>
          <w:p w:rsidR="00BE597E" w:rsidRPr="001F1644" w:rsidRDefault="00BE597E" w:rsidP="00BE597E">
            <w:pPr>
              <w:jc w:val="both"/>
              <w:rPr>
                <w:sz w:val="20"/>
                <w:lang w:val="en-CA"/>
              </w:rPr>
            </w:pPr>
            <w:r w:rsidRPr="001F1644">
              <w:rPr>
                <w:sz w:val="20"/>
                <w:lang w:val="en-CA"/>
              </w:rPr>
              <w:t>Supreme Court of Canada</w:t>
            </w:r>
          </w:p>
        </w:tc>
        <w:tc>
          <w:tcPr>
            <w:tcW w:w="243" w:type="pct"/>
          </w:tcPr>
          <w:p w:rsidR="00BE597E" w:rsidRPr="001F1644" w:rsidRDefault="00BE597E" w:rsidP="00BE597E">
            <w:pPr>
              <w:jc w:val="both"/>
              <w:rPr>
                <w:sz w:val="20"/>
                <w:lang w:val="en-CA"/>
              </w:rPr>
            </w:pPr>
          </w:p>
        </w:tc>
        <w:tc>
          <w:tcPr>
            <w:tcW w:w="2330" w:type="pct"/>
          </w:tcPr>
          <w:p w:rsidR="00BE597E" w:rsidRPr="001F1644" w:rsidRDefault="00BE597E" w:rsidP="00BE597E">
            <w:pPr>
              <w:jc w:val="both"/>
              <w:rPr>
                <w:sz w:val="20"/>
                <w:lang w:val="en-CA"/>
              </w:rPr>
            </w:pPr>
            <w:r w:rsidRPr="001F1644">
              <w:rPr>
                <w:sz w:val="20"/>
                <w:lang w:val="en-CA"/>
              </w:rPr>
              <w:t>Application for leave to appeal filed</w:t>
            </w:r>
          </w:p>
          <w:p w:rsidR="00BE597E" w:rsidRPr="001F1644" w:rsidRDefault="00BE597E" w:rsidP="00BE597E">
            <w:pPr>
              <w:jc w:val="both"/>
              <w:rPr>
                <w:sz w:val="20"/>
                <w:lang w:val="en-CA"/>
              </w:rPr>
            </w:pPr>
          </w:p>
        </w:tc>
      </w:tr>
    </w:tbl>
    <w:p w:rsidR="00BE597E" w:rsidRPr="001F1644" w:rsidRDefault="00BE597E" w:rsidP="00BE597E">
      <w:pPr>
        <w:jc w:val="both"/>
        <w:rPr>
          <w:sz w:val="20"/>
          <w:lang w:val="en-CA"/>
        </w:rPr>
      </w:pPr>
    </w:p>
    <w:p w:rsidR="00EC01CB" w:rsidRPr="001F1644" w:rsidRDefault="00724EE4" w:rsidP="00BE597E">
      <w:pPr>
        <w:jc w:val="both"/>
        <w:rPr>
          <w:sz w:val="20"/>
          <w:lang w:val="en-CA"/>
        </w:rPr>
      </w:pPr>
      <w:r>
        <w:rPr>
          <w:sz w:val="20"/>
        </w:rPr>
        <w:pict>
          <v:rect id="_x0000_i1047" style="width:2in;height:1pt" o:hrpct="0" o:hralign="center" o:hrstd="t" o:hrnoshade="t" o:hr="t" fillcolor="black [3213]" stroked="f"/>
        </w:pict>
      </w:r>
    </w:p>
    <w:p w:rsidR="00BE597E" w:rsidRPr="001F1644" w:rsidRDefault="00BE597E" w:rsidP="00BE597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39860</w:t>
            </w:r>
          </w:p>
        </w:tc>
        <w:tc>
          <w:tcPr>
            <w:tcW w:w="4457" w:type="pct"/>
            <w:gridSpan w:val="3"/>
          </w:tcPr>
          <w:p w:rsidR="00BE597E" w:rsidRPr="001F1644" w:rsidRDefault="00BE597E" w:rsidP="00BE597E">
            <w:pPr>
              <w:pStyle w:val="SCCLsocParty"/>
              <w:jc w:val="both"/>
              <w:rPr>
                <w:b/>
                <w:sz w:val="20"/>
                <w:szCs w:val="20"/>
              </w:rPr>
            </w:pPr>
            <w:r w:rsidRPr="001F1644">
              <w:rPr>
                <w:b/>
                <w:sz w:val="20"/>
                <w:szCs w:val="20"/>
              </w:rPr>
              <w:t>Ian Poitras c. Concession A25, S.E.C., Procureur général du Québec au nom du ministre des Transports du Québec</w:t>
            </w:r>
          </w:p>
          <w:p w:rsidR="00BE597E" w:rsidRPr="001F1644" w:rsidRDefault="00BE597E" w:rsidP="00BE597E">
            <w:pPr>
              <w:jc w:val="both"/>
              <w:rPr>
                <w:sz w:val="20"/>
              </w:rPr>
            </w:pPr>
            <w:r w:rsidRPr="001F1644">
              <w:rPr>
                <w:sz w:val="20"/>
              </w:rPr>
              <w:t>(Qc) (Civile) (Autorisation)</w:t>
            </w:r>
          </w:p>
        </w:tc>
      </w:tr>
      <w:tr w:rsidR="00BE597E" w:rsidRPr="00724EE4" w:rsidTr="00BE597E">
        <w:tc>
          <w:tcPr>
            <w:tcW w:w="5000" w:type="pct"/>
            <w:gridSpan w:val="4"/>
          </w:tcPr>
          <w:p w:rsidR="00BE597E" w:rsidRPr="001F1644" w:rsidRDefault="00BE597E" w:rsidP="00BE597E">
            <w:pPr>
              <w:jc w:val="both"/>
              <w:rPr>
                <w:sz w:val="20"/>
                <w:lang w:val="fr-CA"/>
              </w:rPr>
            </w:pPr>
            <w:r w:rsidRPr="001F1644">
              <w:rPr>
                <w:sz w:val="20"/>
                <w:lang w:val="fr-CA"/>
              </w:rPr>
              <w:t>Procédure civile — Action collective — Partenariat public</w:t>
            </w:r>
            <w:r w:rsidRPr="001F1644">
              <w:rPr>
                <w:sz w:val="20"/>
                <w:lang w:val="fr-CA"/>
              </w:rPr>
              <w:noBreakHyphen/>
              <w:t>privé — Qualification de l’obligation de payer les frais de recouvrement — Dans le cadre d’un partenariat public</w:t>
            </w:r>
            <w:r w:rsidRPr="001F1644">
              <w:rPr>
                <w:sz w:val="20"/>
                <w:lang w:val="fr-CA"/>
              </w:rPr>
              <w:noBreakHyphen/>
              <w:t>privé, y a</w:t>
            </w:r>
            <w:r w:rsidRPr="001F1644">
              <w:rPr>
                <w:sz w:val="20"/>
                <w:lang w:val="fr-CA"/>
              </w:rPr>
              <w:noBreakHyphen/>
              <w:t>t</w:t>
            </w:r>
            <w:r w:rsidRPr="001F1644">
              <w:rPr>
                <w:sz w:val="20"/>
                <w:lang w:val="fr-CA"/>
              </w:rPr>
              <w:noBreakHyphen/>
              <w:t>il lieu d’appliquer les règles de droit privé aux frais de recouvrement à l’occasion de la fourniture d’un service public par une entreprise privée à but lucratif qui n’est pas mandataire de l’État et qui en fixe seul le montant? — Subsidiairement, si seul le droit public s’applique, est</w:t>
            </w:r>
            <w:r w:rsidRPr="001F1644">
              <w:rPr>
                <w:sz w:val="20"/>
                <w:lang w:val="fr-CA"/>
              </w:rPr>
              <w:noBreakHyphen/>
              <w:t>ce que les membres ont droit à une restitution de l’indu et si oui, l’action collective est</w:t>
            </w:r>
            <w:r w:rsidRPr="001F1644">
              <w:rPr>
                <w:sz w:val="20"/>
                <w:lang w:val="fr-CA"/>
              </w:rPr>
              <w:noBreakHyphen/>
              <w:t xml:space="preserve">elle le bon véhicule pour ce faire? — </w:t>
            </w:r>
            <w:r w:rsidRPr="001F1644">
              <w:rPr>
                <w:i/>
                <w:sz w:val="20"/>
                <w:lang w:val="fr-CA"/>
              </w:rPr>
              <w:t>Loi concernant les partenariats en matière d’infrastructures de transport</w:t>
            </w:r>
            <w:r w:rsidRPr="001F1644">
              <w:rPr>
                <w:sz w:val="20"/>
                <w:lang w:val="fr-CA"/>
              </w:rPr>
              <w:t>, RLRQ, c. P</w:t>
            </w:r>
            <w:r w:rsidRPr="001F1644">
              <w:rPr>
                <w:sz w:val="20"/>
                <w:lang w:val="fr-CA"/>
              </w:rPr>
              <w:noBreakHyphen/>
              <w:t xml:space="preserve">9.001, art. 12 — </w:t>
            </w:r>
            <w:r w:rsidRPr="001F1644">
              <w:rPr>
                <w:i/>
                <w:sz w:val="20"/>
                <w:lang w:val="fr-CA"/>
              </w:rPr>
              <w:t>Règlement concernant les infrastructures routières à péage exploitées en vertu d’une entente de partenariat public</w:t>
            </w:r>
            <w:r w:rsidRPr="001F1644">
              <w:rPr>
                <w:i/>
                <w:sz w:val="20"/>
                <w:lang w:val="fr-CA"/>
              </w:rPr>
              <w:noBreakHyphen/>
              <w:t>privé</w:t>
            </w:r>
            <w:r w:rsidRPr="001F1644">
              <w:rPr>
                <w:sz w:val="20"/>
                <w:lang w:val="fr-CA"/>
              </w:rPr>
              <w:t>, RLRQ, c. P</w:t>
            </w:r>
            <w:r w:rsidRPr="001F1644">
              <w:rPr>
                <w:sz w:val="20"/>
                <w:lang w:val="fr-CA"/>
              </w:rPr>
              <w:noBreakHyphen/>
              <w:t>9.001, r. 3, art. 17.</w:t>
            </w:r>
          </w:p>
        </w:tc>
      </w:tr>
      <w:tr w:rsidR="00BE597E" w:rsidRPr="00724EE4" w:rsidTr="00BE597E">
        <w:tc>
          <w:tcPr>
            <w:tcW w:w="5000" w:type="pct"/>
            <w:gridSpan w:val="4"/>
          </w:tcPr>
          <w:p w:rsidR="00BE597E" w:rsidRPr="001F1644" w:rsidRDefault="00BE597E" w:rsidP="00BE597E">
            <w:pPr>
              <w:jc w:val="both"/>
              <w:rPr>
                <w:sz w:val="20"/>
                <w:lang w:val="fr-CA"/>
              </w:rPr>
            </w:pPr>
          </w:p>
          <w:p w:rsidR="00BE597E" w:rsidRPr="001F1644" w:rsidRDefault="00BE597E" w:rsidP="00BE597E">
            <w:pPr>
              <w:jc w:val="both"/>
              <w:rPr>
                <w:sz w:val="20"/>
                <w:lang w:val="fr-CA"/>
              </w:rPr>
            </w:pPr>
            <w:r w:rsidRPr="001F1644">
              <w:rPr>
                <w:sz w:val="20"/>
                <w:lang w:val="fr-CA"/>
              </w:rPr>
              <w:t>De septembre 2016 à février 2017, le demandeur Ian Poitras emprunte le pont à péage de l’Autoroute 25 environ 160 fois. L’intimée Concession A25, S.E.C., qui exploite le pont dans le cadre d’une entente de partenariat public</w:t>
            </w:r>
            <w:r w:rsidRPr="001F1644">
              <w:rPr>
                <w:sz w:val="20"/>
                <w:lang w:val="fr-CA"/>
              </w:rPr>
              <w:noBreakHyphen/>
              <w:t>privé, lui envoie par courrier 160 premières factures pour le paiement des frais de péage que le demandeur dit ne pas avoir reçues. Elle lui envoie 94 deuxièmes factures par la suite. Lorsque le demandeur est finalement alerté de la situation, il doit alors 474,88 $ en frais de péage, 859,74 $ en frais administratifs liés aux premières factures ainsi qu’un total de 3 102 $ plus taxes en « frais pour le recouvrement du péage et des frais d’administration » découlant des deuxièmes factures. En janvier 2018, le demandeur dépose une demande d’autorisation d’exercer une action collective. Il entend réclamer le remboursement des frais de recouvrement. Sa demande est rejetée avec les frais de justice par la Cour supérieure du Québec. Son appel à la Cour d’appel du Québec à l’encontre de ce jugement est aussi rejeté avec les frais de justice.</w:t>
            </w:r>
          </w:p>
        </w:tc>
      </w:tr>
      <w:tr w:rsidR="00BE597E" w:rsidRPr="00724EE4" w:rsidTr="00BE597E">
        <w:tc>
          <w:tcPr>
            <w:tcW w:w="5000" w:type="pct"/>
            <w:gridSpan w:val="4"/>
          </w:tcPr>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Le 9 juillet 2019</w:t>
            </w:r>
          </w:p>
          <w:p w:rsidR="00BE597E" w:rsidRPr="001F1644" w:rsidRDefault="00BE597E" w:rsidP="00BE597E">
            <w:pPr>
              <w:jc w:val="both"/>
              <w:rPr>
                <w:sz w:val="20"/>
                <w:lang w:val="fr-CA"/>
              </w:rPr>
            </w:pPr>
            <w:r w:rsidRPr="001F1644">
              <w:rPr>
                <w:sz w:val="20"/>
                <w:lang w:val="fr-CA"/>
              </w:rPr>
              <w:t>Cour supérieure du Québec</w:t>
            </w:r>
          </w:p>
          <w:p w:rsidR="00BE597E" w:rsidRPr="001F1644" w:rsidRDefault="00BE597E" w:rsidP="00BE597E">
            <w:pPr>
              <w:jc w:val="both"/>
              <w:rPr>
                <w:sz w:val="20"/>
                <w:lang w:val="fr-CA"/>
              </w:rPr>
            </w:pPr>
            <w:r w:rsidRPr="001F1644">
              <w:rPr>
                <w:sz w:val="20"/>
                <w:lang w:val="fr-CA"/>
              </w:rPr>
              <w:t>(La juge Tremblay)</w:t>
            </w:r>
          </w:p>
          <w:p w:rsidR="00BE597E" w:rsidRPr="001F1644" w:rsidRDefault="00BE597E" w:rsidP="00BE597E">
            <w:pPr>
              <w:jc w:val="both"/>
              <w:rPr>
                <w:sz w:val="20"/>
                <w:lang w:val="fr-CA"/>
              </w:rPr>
            </w:pPr>
            <w:r w:rsidRPr="001F1644">
              <w:rPr>
                <w:sz w:val="20"/>
                <w:lang w:val="fr-CA"/>
              </w:rPr>
              <w:t>Dossier : 540</w:t>
            </w:r>
            <w:r w:rsidRPr="001F1644">
              <w:rPr>
                <w:sz w:val="20"/>
                <w:lang w:val="fr-CA"/>
              </w:rPr>
              <w:noBreakHyphen/>
              <w:t>06</w:t>
            </w:r>
            <w:r w:rsidRPr="001F1644">
              <w:rPr>
                <w:sz w:val="20"/>
                <w:lang w:val="fr-CA"/>
              </w:rPr>
              <w:noBreakHyphen/>
              <w:t>000014</w:t>
            </w:r>
            <w:r w:rsidRPr="001F1644">
              <w:rPr>
                <w:sz w:val="20"/>
                <w:lang w:val="fr-CA"/>
              </w:rPr>
              <w:noBreakHyphen/>
              <w:t>185</w:t>
            </w:r>
          </w:p>
          <w:p w:rsidR="00BE597E" w:rsidRPr="001F1644" w:rsidRDefault="00724EE4" w:rsidP="00BE597E">
            <w:pPr>
              <w:jc w:val="both"/>
              <w:rPr>
                <w:rStyle w:val="Hyperlink"/>
                <w:color w:val="auto"/>
                <w:sz w:val="20"/>
                <w:lang w:val="fr-CA"/>
              </w:rPr>
            </w:pPr>
            <w:hyperlink r:id="rId68" w:history="1">
              <w:r w:rsidR="00BE597E" w:rsidRPr="001F1644">
                <w:rPr>
                  <w:rStyle w:val="Hyperlink"/>
                  <w:sz w:val="20"/>
                  <w:lang w:val="fr-CA"/>
                </w:rPr>
                <w:t>2019 QCCS 3224</w:t>
              </w:r>
            </w:hyperlink>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Demande d’autorisation d’exercer une action collective rejetée avec les frais de justice.</w:t>
            </w: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Le 26 juillet 2021</w:t>
            </w:r>
          </w:p>
          <w:p w:rsidR="00BE597E" w:rsidRPr="001F1644" w:rsidRDefault="00BE597E" w:rsidP="00BE597E">
            <w:pPr>
              <w:jc w:val="both"/>
              <w:rPr>
                <w:sz w:val="20"/>
                <w:lang w:val="fr-CA"/>
              </w:rPr>
            </w:pPr>
            <w:r w:rsidRPr="001F1644">
              <w:rPr>
                <w:sz w:val="20"/>
                <w:lang w:val="fr-CA"/>
              </w:rPr>
              <w:t>Cour d’appel du Québec (Montréal)</w:t>
            </w:r>
          </w:p>
          <w:p w:rsidR="00BE597E" w:rsidRPr="001F1644" w:rsidRDefault="00BE597E" w:rsidP="00BE597E">
            <w:pPr>
              <w:jc w:val="both"/>
              <w:rPr>
                <w:sz w:val="20"/>
                <w:lang w:val="fr-CA"/>
              </w:rPr>
            </w:pPr>
            <w:r w:rsidRPr="001F1644">
              <w:rPr>
                <w:sz w:val="20"/>
                <w:lang w:val="fr-CA"/>
              </w:rPr>
              <w:t>(Les juges Chamberland, Moore et Cournoyer)</w:t>
            </w:r>
          </w:p>
          <w:p w:rsidR="00BE597E" w:rsidRPr="001F1644" w:rsidRDefault="00BE597E" w:rsidP="00BE597E">
            <w:pPr>
              <w:jc w:val="both"/>
              <w:rPr>
                <w:sz w:val="20"/>
              </w:rPr>
            </w:pPr>
            <w:r w:rsidRPr="001F1644">
              <w:rPr>
                <w:sz w:val="20"/>
              </w:rPr>
              <w:t>Dossier : 500</w:t>
            </w:r>
            <w:r w:rsidRPr="001F1644">
              <w:rPr>
                <w:sz w:val="20"/>
              </w:rPr>
              <w:noBreakHyphen/>
              <w:t>09</w:t>
            </w:r>
            <w:r w:rsidRPr="001F1644">
              <w:rPr>
                <w:sz w:val="20"/>
              </w:rPr>
              <w:noBreakHyphen/>
              <w:t>028536</w:t>
            </w:r>
            <w:r w:rsidRPr="001F1644">
              <w:rPr>
                <w:sz w:val="20"/>
              </w:rPr>
              <w:noBreakHyphen/>
              <w:t>191</w:t>
            </w:r>
          </w:p>
          <w:p w:rsidR="00BE597E" w:rsidRPr="001F1644" w:rsidRDefault="00724EE4" w:rsidP="00BE597E">
            <w:pPr>
              <w:jc w:val="both"/>
              <w:rPr>
                <w:sz w:val="20"/>
              </w:rPr>
            </w:pPr>
            <w:hyperlink r:id="rId69" w:history="1">
              <w:r w:rsidR="00BE597E" w:rsidRPr="001F1644">
                <w:rPr>
                  <w:rStyle w:val="Hyperlink"/>
                  <w:sz w:val="20"/>
                </w:rPr>
                <w:t>2021 QCCA 1182</w:t>
              </w:r>
            </w:hyperlink>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lang w:val="fr-CA"/>
              </w:rPr>
            </w:pPr>
            <w:r w:rsidRPr="001F1644">
              <w:rPr>
                <w:sz w:val="20"/>
                <w:lang w:val="fr-CA"/>
              </w:rPr>
              <w:t>Appel rejeté avec les frais de justice.</w:t>
            </w:r>
          </w:p>
        </w:tc>
      </w:tr>
      <w:tr w:rsidR="00BE597E" w:rsidRPr="001F1644" w:rsidTr="00BE597E">
        <w:tc>
          <w:tcPr>
            <w:tcW w:w="2427" w:type="pct"/>
            <w:gridSpan w:val="2"/>
          </w:tcPr>
          <w:p w:rsidR="00BE597E" w:rsidRPr="001F1644" w:rsidRDefault="00BE597E" w:rsidP="00BE597E">
            <w:pPr>
              <w:jc w:val="both"/>
              <w:rPr>
                <w:sz w:val="20"/>
                <w:lang w:val="fr-CA"/>
              </w:rPr>
            </w:pPr>
            <w:r w:rsidRPr="001F1644">
              <w:rPr>
                <w:sz w:val="20"/>
                <w:lang w:val="fr-CA"/>
              </w:rPr>
              <w:t>Le 29 septembre 2021</w:t>
            </w:r>
          </w:p>
          <w:p w:rsidR="00BE597E" w:rsidRPr="001F1644" w:rsidRDefault="00BE597E" w:rsidP="00BE597E">
            <w:pPr>
              <w:jc w:val="both"/>
              <w:rPr>
                <w:sz w:val="20"/>
                <w:lang w:val="fr-CA"/>
              </w:rPr>
            </w:pPr>
            <w:r w:rsidRPr="001F1644">
              <w:rPr>
                <w:sz w:val="20"/>
                <w:lang w:val="fr-CA"/>
              </w:rPr>
              <w:t>Cour suprême du Canada</w:t>
            </w: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rPr>
            </w:pPr>
            <w:r w:rsidRPr="001F1644">
              <w:rPr>
                <w:sz w:val="20"/>
              </w:rPr>
              <w:t>Demande d’autorisation d’appel déposée.</w:t>
            </w:r>
          </w:p>
          <w:p w:rsidR="00BE597E" w:rsidRPr="001F1644" w:rsidRDefault="00BE597E" w:rsidP="00BE597E">
            <w:pPr>
              <w:jc w:val="both"/>
              <w:rPr>
                <w:sz w:val="20"/>
              </w:rPr>
            </w:pPr>
          </w:p>
        </w:tc>
      </w:tr>
    </w:tbl>
    <w:p w:rsidR="00BE597E" w:rsidRPr="001F1644" w:rsidRDefault="00BE597E" w:rsidP="00BE597E">
      <w:pPr>
        <w:jc w:val="both"/>
        <w:rPr>
          <w:sz w:val="20"/>
        </w:rPr>
      </w:pPr>
    </w:p>
    <w:p w:rsidR="00EC01CB" w:rsidRPr="001F1644" w:rsidRDefault="00724EE4" w:rsidP="00BE597E">
      <w:pPr>
        <w:jc w:val="both"/>
        <w:rPr>
          <w:sz w:val="20"/>
        </w:rPr>
      </w:pPr>
      <w:r>
        <w:rPr>
          <w:sz w:val="20"/>
        </w:rPr>
        <w:pict>
          <v:rect id="_x0000_i1048" style="width:2in;height:1pt" o:hrpct="0" o:hralign="center" o:hrstd="t" o:hrnoshade="t" o:hr="t" fillcolor="black [3213]" stroked="f"/>
        </w:pict>
      </w:r>
    </w:p>
    <w:p w:rsidR="00BA25C8" w:rsidRPr="001F1644" w:rsidRDefault="00BA25C8"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lang w:val="en-CA"/>
              </w:rPr>
            </w:pPr>
            <w:r w:rsidRPr="001F1644">
              <w:rPr>
                <w:rStyle w:val="SCCFileNumberChar"/>
                <w:sz w:val="20"/>
                <w:szCs w:val="20"/>
              </w:rPr>
              <w:t>39918</w:t>
            </w:r>
          </w:p>
        </w:tc>
        <w:tc>
          <w:tcPr>
            <w:tcW w:w="4457" w:type="pct"/>
            <w:gridSpan w:val="3"/>
          </w:tcPr>
          <w:p w:rsidR="00BE597E" w:rsidRPr="001F1644" w:rsidRDefault="00BE597E" w:rsidP="00BE597E">
            <w:pPr>
              <w:pStyle w:val="SCCLsocParty"/>
              <w:jc w:val="both"/>
              <w:rPr>
                <w:b/>
                <w:sz w:val="20"/>
                <w:szCs w:val="20"/>
              </w:rPr>
            </w:pPr>
            <w:r w:rsidRPr="001F1644">
              <w:rPr>
                <w:b/>
                <w:sz w:val="20"/>
                <w:szCs w:val="20"/>
              </w:rPr>
              <w:t>2330-2029 Québec inc. f.a.s.r.s. Médicus v. Lotfi Sahlaoui, Evo Orthopédie Technique inc.</w:t>
            </w:r>
          </w:p>
          <w:p w:rsidR="00BE597E" w:rsidRPr="001F1644" w:rsidRDefault="00BE597E" w:rsidP="00BE597E">
            <w:pPr>
              <w:jc w:val="both"/>
              <w:rPr>
                <w:sz w:val="20"/>
                <w:lang w:val="en-CA"/>
              </w:rPr>
            </w:pPr>
            <w:r w:rsidRPr="001F1644">
              <w:rPr>
                <w:sz w:val="20"/>
                <w:lang w:val="en-CA"/>
              </w:rPr>
              <w:t>(Que.) (Civil) (By Leave)</w:t>
            </w:r>
          </w:p>
        </w:tc>
      </w:tr>
      <w:tr w:rsidR="00BE597E" w:rsidRPr="001F1644" w:rsidTr="00BE597E">
        <w:tc>
          <w:tcPr>
            <w:tcW w:w="5000" w:type="pct"/>
            <w:gridSpan w:val="4"/>
          </w:tcPr>
          <w:p w:rsidR="00BE597E" w:rsidRPr="001F1644" w:rsidRDefault="00BE597E" w:rsidP="00BE597E">
            <w:pPr>
              <w:jc w:val="both"/>
              <w:rPr>
                <w:sz w:val="20"/>
                <w:lang w:val="en-CA"/>
              </w:rPr>
            </w:pPr>
            <w:r w:rsidRPr="001F1644">
              <w:rPr>
                <w:sz w:val="20"/>
                <w:lang w:val="en-CA"/>
              </w:rPr>
              <w:t xml:space="preserve">Contracts — Contract of employment — Obligation to act faithfully — Competition — Company formed in direct competition with former employer — Whether it is of public importance that this Court intervene to restore legislature’s intention, codified in art. 2088 C.C.Q., that employee’s obligation to act faithfully include obligation to make every necessary effort to avoid being in conflict of interest with employer, whether conflict is apparent, real or potential, while also acting honestly toward employer — </w:t>
            </w:r>
            <w:r w:rsidRPr="001F1644">
              <w:rPr>
                <w:i/>
                <w:sz w:val="20"/>
                <w:lang w:val="en-CA"/>
              </w:rPr>
              <w:t>Civil Code of Québec</w:t>
            </w:r>
            <w:r w:rsidRPr="001F1644">
              <w:rPr>
                <w:sz w:val="20"/>
                <w:lang w:val="en-CA"/>
              </w:rPr>
              <w:t>, art. 2088.</w:t>
            </w:r>
          </w:p>
        </w:tc>
      </w:tr>
      <w:tr w:rsidR="00BE597E" w:rsidRPr="001F1644" w:rsidTr="00BE597E">
        <w:tc>
          <w:tcPr>
            <w:tcW w:w="5000" w:type="pct"/>
            <w:gridSpan w:val="4"/>
          </w:tcPr>
          <w:p w:rsidR="00BE597E" w:rsidRPr="001F1644" w:rsidRDefault="00BE597E" w:rsidP="00BE597E">
            <w:pPr>
              <w:jc w:val="both"/>
              <w:rPr>
                <w:sz w:val="20"/>
                <w:lang w:val="en-CA"/>
              </w:rPr>
            </w:pPr>
          </w:p>
        </w:tc>
      </w:tr>
      <w:tr w:rsidR="00BE597E" w:rsidRPr="001F1644" w:rsidTr="00BE597E">
        <w:tc>
          <w:tcPr>
            <w:tcW w:w="5000" w:type="pct"/>
            <w:gridSpan w:val="4"/>
          </w:tcPr>
          <w:p w:rsidR="00BE597E" w:rsidRPr="001F1644" w:rsidRDefault="00BE597E" w:rsidP="00BE597E">
            <w:pPr>
              <w:jc w:val="both"/>
              <w:rPr>
                <w:sz w:val="20"/>
                <w:lang w:val="en-CA"/>
              </w:rPr>
            </w:pPr>
            <w:r w:rsidRPr="001F1644">
              <w:rPr>
                <w:sz w:val="20"/>
                <w:lang w:val="en-CA"/>
              </w:rPr>
              <w:t>On November 21, 2015, the respondent Lotfi Sahlaoui resigned from his full</w:t>
            </w:r>
            <w:r w:rsidRPr="001F1644">
              <w:rPr>
                <w:sz w:val="20"/>
                <w:lang w:val="en-CA"/>
              </w:rPr>
              <w:noBreakHyphen/>
              <w:t>time position as an orthotist/prosthetist, which he had held for about 10 years with the applicant, 2330</w:t>
            </w:r>
            <w:r w:rsidRPr="001F1644">
              <w:rPr>
                <w:sz w:val="20"/>
                <w:lang w:val="en-CA"/>
              </w:rPr>
              <w:noBreakHyphen/>
              <w:t>2029 Québec inc. f.a.s.r.c. Médicus, a large company specializing, among other things, in the manufacturing and sale of orthopedic appliances and protheses. Within days of Mr. Sahlaoui’s departure, the respondent Evo Orthopédie Technique inc., a company of which he was the majority shareholder, began operating in direct competition with Médicus. During the days and weeks that followed his resignation, Mr. Sahlaoui met with orthopedists with whom he had previously dealt and invited them to do business with him, and Evo became a preferred supplier for a hospital through a competition, which cost Médicus many customers. Médicus sued Mr. Sahlaoui and his company, Evo, and claimed compensatory damages for unfair competition.</w:t>
            </w:r>
          </w:p>
          <w:p w:rsidR="00BE597E" w:rsidRPr="001F1644" w:rsidRDefault="00BE597E" w:rsidP="00BE597E">
            <w:pPr>
              <w:jc w:val="both"/>
              <w:rPr>
                <w:sz w:val="20"/>
                <w:lang w:val="en-CA"/>
              </w:rPr>
            </w:pPr>
          </w:p>
          <w:p w:rsidR="00BE597E" w:rsidRPr="001F1644" w:rsidRDefault="00BE597E" w:rsidP="00BE597E">
            <w:pPr>
              <w:jc w:val="both"/>
              <w:rPr>
                <w:sz w:val="20"/>
                <w:lang w:val="en-CA"/>
              </w:rPr>
            </w:pPr>
            <w:r w:rsidRPr="001F1644">
              <w:rPr>
                <w:sz w:val="20"/>
                <w:lang w:val="en-CA"/>
              </w:rPr>
              <w:t xml:space="preserve">The Superior Court allowed the application brought by Médicus in part. It ordered Mr. Sahlaoui and Evo solidarily to pay Médicus $135,238, the equivalent of a year of lost profits, in reparation for the injury suffered. It held that Mr. Sahlaoui had breached his duty to act faithfully both before and after his resignation and </w:t>
            </w:r>
            <w:proofErr w:type="gramStart"/>
            <w:r w:rsidRPr="001F1644">
              <w:rPr>
                <w:sz w:val="20"/>
                <w:lang w:val="en-CA"/>
              </w:rPr>
              <w:t>that</w:t>
            </w:r>
            <w:proofErr w:type="gramEnd"/>
            <w:r w:rsidRPr="001F1644">
              <w:rPr>
                <w:sz w:val="20"/>
                <w:lang w:val="en-CA"/>
              </w:rPr>
              <w:t xml:space="preserve"> he had done so with the complicity of Evo, of which he was a shareholder and which worked in the same field as his former employer. The Court of Appeal allowed the appeal, set aside the trial judgment and dismissed the action brought by Médicus against Mr. Sahlaoui and Evo. It found that the losses incurred by Médicus were the result of legitimate competition, </w:t>
            </w:r>
            <w:proofErr w:type="gramStart"/>
            <w:r w:rsidRPr="001F1644">
              <w:rPr>
                <w:sz w:val="20"/>
                <w:lang w:val="en-CA"/>
              </w:rPr>
              <w:t>not unfair</w:t>
            </w:r>
            <w:proofErr w:type="gramEnd"/>
            <w:r w:rsidRPr="001F1644">
              <w:rPr>
                <w:sz w:val="20"/>
                <w:lang w:val="en-CA"/>
              </w:rPr>
              <w:t xml:space="preserve"> competition.</w:t>
            </w:r>
          </w:p>
          <w:p w:rsidR="00BE597E" w:rsidRPr="001F1644" w:rsidRDefault="00BE597E" w:rsidP="00BE597E">
            <w:pPr>
              <w:jc w:val="both"/>
              <w:rPr>
                <w:sz w:val="20"/>
                <w:lang w:val="en-CA"/>
              </w:rPr>
            </w:pPr>
          </w:p>
        </w:tc>
      </w:tr>
      <w:tr w:rsidR="00BE597E" w:rsidRPr="001F1644" w:rsidTr="00BE597E">
        <w:tc>
          <w:tcPr>
            <w:tcW w:w="2427" w:type="pct"/>
            <w:gridSpan w:val="2"/>
          </w:tcPr>
          <w:p w:rsidR="00BE597E" w:rsidRPr="001F1644" w:rsidRDefault="00BE597E" w:rsidP="00BE597E">
            <w:pPr>
              <w:jc w:val="both"/>
              <w:rPr>
                <w:sz w:val="20"/>
                <w:lang w:val="en-CA"/>
              </w:rPr>
            </w:pPr>
            <w:r w:rsidRPr="001F1644">
              <w:rPr>
                <w:sz w:val="20"/>
                <w:lang w:val="en-CA"/>
              </w:rPr>
              <w:t>October 4, 2019</w:t>
            </w:r>
          </w:p>
          <w:p w:rsidR="00BE597E" w:rsidRPr="001F1644" w:rsidRDefault="00BE597E" w:rsidP="00BE597E">
            <w:pPr>
              <w:jc w:val="both"/>
              <w:rPr>
                <w:sz w:val="20"/>
                <w:lang w:val="en-CA"/>
              </w:rPr>
            </w:pPr>
            <w:r w:rsidRPr="001F1644">
              <w:rPr>
                <w:sz w:val="20"/>
                <w:lang w:val="en-CA"/>
              </w:rPr>
              <w:t>Quebec Superior Court</w:t>
            </w:r>
          </w:p>
          <w:p w:rsidR="00BE597E" w:rsidRPr="001F1644" w:rsidRDefault="00BE597E" w:rsidP="00BE597E">
            <w:pPr>
              <w:jc w:val="both"/>
              <w:rPr>
                <w:sz w:val="20"/>
                <w:lang w:val="en-CA"/>
              </w:rPr>
            </w:pPr>
            <w:r w:rsidRPr="001F1644">
              <w:rPr>
                <w:sz w:val="20"/>
                <w:lang w:val="en-CA"/>
              </w:rPr>
              <w:t>(Kear</w:t>
            </w:r>
            <w:r w:rsidRPr="001F1644">
              <w:rPr>
                <w:sz w:val="20"/>
                <w:lang w:val="en-CA"/>
              </w:rPr>
              <w:noBreakHyphen/>
              <w:t>Jodoin J.)</w:t>
            </w:r>
          </w:p>
          <w:p w:rsidR="00BE597E" w:rsidRPr="001F1644" w:rsidRDefault="00724EE4" w:rsidP="00BE597E">
            <w:pPr>
              <w:jc w:val="both"/>
              <w:rPr>
                <w:sz w:val="20"/>
                <w:lang w:val="en-CA"/>
              </w:rPr>
            </w:pPr>
            <w:hyperlink r:id="rId70" w:history="1">
              <w:r w:rsidR="00BE597E" w:rsidRPr="001F1644">
                <w:rPr>
                  <w:rStyle w:val="Hyperlink"/>
                  <w:sz w:val="20"/>
                  <w:lang w:val="en-CA"/>
                </w:rPr>
                <w:t>2019 QCCS 4124</w:t>
              </w:r>
            </w:hyperlink>
          </w:p>
          <w:p w:rsidR="00BE597E" w:rsidRPr="001F1644" w:rsidRDefault="00BE597E" w:rsidP="00BE597E">
            <w:pPr>
              <w:jc w:val="both"/>
              <w:rPr>
                <w:sz w:val="20"/>
                <w:lang w:val="en-CA"/>
              </w:rPr>
            </w:pPr>
          </w:p>
        </w:tc>
        <w:tc>
          <w:tcPr>
            <w:tcW w:w="243" w:type="pct"/>
          </w:tcPr>
          <w:p w:rsidR="00BE597E" w:rsidRPr="001F1644" w:rsidRDefault="00BE597E" w:rsidP="00BE597E">
            <w:pPr>
              <w:jc w:val="both"/>
              <w:rPr>
                <w:sz w:val="20"/>
                <w:lang w:val="en-CA"/>
              </w:rPr>
            </w:pPr>
          </w:p>
        </w:tc>
        <w:tc>
          <w:tcPr>
            <w:tcW w:w="2330" w:type="pct"/>
          </w:tcPr>
          <w:p w:rsidR="00BE597E" w:rsidRPr="001F1644" w:rsidRDefault="00BE597E" w:rsidP="00BE597E">
            <w:pPr>
              <w:jc w:val="both"/>
              <w:rPr>
                <w:sz w:val="20"/>
                <w:lang w:val="en-CA"/>
              </w:rPr>
            </w:pPr>
            <w:r w:rsidRPr="001F1644">
              <w:rPr>
                <w:sz w:val="20"/>
                <w:lang w:val="en-CA"/>
              </w:rPr>
              <w:t>Lotfi Sahlaoui and Evo Orthopédie Technique inc. ordered solidarily to pay $135,238 in damages to 2330</w:t>
            </w:r>
            <w:r w:rsidRPr="001F1644">
              <w:rPr>
                <w:sz w:val="20"/>
                <w:lang w:val="en-CA"/>
              </w:rPr>
              <w:noBreakHyphen/>
              <w:t>2029 Québec inc. f.a.s.r.s. Médicus</w:t>
            </w:r>
          </w:p>
          <w:p w:rsidR="00BE597E" w:rsidRPr="001F1644" w:rsidRDefault="00BE597E" w:rsidP="00BE597E">
            <w:pPr>
              <w:jc w:val="both"/>
              <w:rPr>
                <w:sz w:val="20"/>
                <w:lang w:val="en-CA"/>
              </w:rPr>
            </w:pPr>
          </w:p>
        </w:tc>
      </w:tr>
      <w:tr w:rsidR="00BE597E" w:rsidRPr="001F1644" w:rsidTr="00BE597E">
        <w:tc>
          <w:tcPr>
            <w:tcW w:w="2427" w:type="pct"/>
            <w:gridSpan w:val="2"/>
          </w:tcPr>
          <w:p w:rsidR="00BE597E" w:rsidRPr="001F1644" w:rsidRDefault="00BE597E" w:rsidP="00BE597E">
            <w:pPr>
              <w:jc w:val="both"/>
              <w:rPr>
                <w:sz w:val="20"/>
                <w:lang w:val="en-CA"/>
              </w:rPr>
            </w:pPr>
            <w:r w:rsidRPr="001F1644">
              <w:rPr>
                <w:sz w:val="20"/>
                <w:lang w:val="en-CA"/>
              </w:rPr>
              <w:t>September 1, 2021</w:t>
            </w:r>
          </w:p>
          <w:p w:rsidR="00BE597E" w:rsidRPr="001F1644" w:rsidRDefault="00BE597E" w:rsidP="00BE597E">
            <w:pPr>
              <w:jc w:val="both"/>
              <w:rPr>
                <w:sz w:val="20"/>
                <w:lang w:val="en-CA"/>
              </w:rPr>
            </w:pPr>
            <w:r w:rsidRPr="001F1644">
              <w:rPr>
                <w:sz w:val="20"/>
                <w:lang w:val="en-CA"/>
              </w:rPr>
              <w:t>Quebec Court of Appeal (Montréal)</w:t>
            </w:r>
          </w:p>
          <w:p w:rsidR="00BE597E" w:rsidRPr="001F1644" w:rsidRDefault="00BE597E" w:rsidP="00BE597E">
            <w:pPr>
              <w:jc w:val="both"/>
              <w:rPr>
                <w:sz w:val="20"/>
                <w:lang w:val="en-CA"/>
              </w:rPr>
            </w:pPr>
            <w:r w:rsidRPr="001F1644">
              <w:rPr>
                <w:sz w:val="20"/>
                <w:lang w:val="en-CA"/>
              </w:rPr>
              <w:t>(Bich, Healy and Sansfaçon JJ.A.)</w:t>
            </w:r>
          </w:p>
          <w:p w:rsidR="00BE597E" w:rsidRPr="001F1644" w:rsidRDefault="00724EE4" w:rsidP="00BE597E">
            <w:pPr>
              <w:jc w:val="both"/>
              <w:rPr>
                <w:sz w:val="20"/>
                <w:lang w:val="en-CA"/>
              </w:rPr>
            </w:pPr>
            <w:hyperlink r:id="rId71" w:history="1">
              <w:r w:rsidR="00BE597E" w:rsidRPr="001F1644">
                <w:rPr>
                  <w:rStyle w:val="Hyperlink"/>
                  <w:sz w:val="20"/>
                  <w:lang w:val="en-CA"/>
                </w:rPr>
                <w:t>2021 QCCA 1310</w:t>
              </w:r>
            </w:hyperlink>
            <w:r w:rsidR="00BE597E" w:rsidRPr="001F1644">
              <w:rPr>
                <w:sz w:val="20"/>
                <w:lang w:val="en-CA"/>
              </w:rPr>
              <w:t xml:space="preserve"> (500</w:t>
            </w:r>
            <w:r w:rsidR="00BE597E" w:rsidRPr="001F1644">
              <w:rPr>
                <w:sz w:val="20"/>
                <w:lang w:val="en-CA"/>
              </w:rPr>
              <w:noBreakHyphen/>
              <w:t>09</w:t>
            </w:r>
            <w:r w:rsidR="00BE597E" w:rsidRPr="001F1644">
              <w:rPr>
                <w:sz w:val="20"/>
                <w:lang w:val="en-CA"/>
              </w:rPr>
              <w:noBreakHyphen/>
              <w:t>028667</w:t>
            </w:r>
            <w:r w:rsidR="00BE597E" w:rsidRPr="001F1644">
              <w:rPr>
                <w:sz w:val="20"/>
                <w:lang w:val="en-CA"/>
              </w:rPr>
              <w:noBreakHyphen/>
              <w:t>194)</w:t>
            </w:r>
          </w:p>
          <w:p w:rsidR="00BE597E" w:rsidRPr="001F1644" w:rsidRDefault="00BE597E" w:rsidP="00BE597E">
            <w:pPr>
              <w:jc w:val="both"/>
              <w:rPr>
                <w:sz w:val="20"/>
                <w:lang w:val="en-CA"/>
              </w:rPr>
            </w:pPr>
          </w:p>
        </w:tc>
        <w:tc>
          <w:tcPr>
            <w:tcW w:w="243" w:type="pct"/>
          </w:tcPr>
          <w:p w:rsidR="00BE597E" w:rsidRPr="001F1644" w:rsidRDefault="00BE597E" w:rsidP="00BE597E">
            <w:pPr>
              <w:jc w:val="both"/>
              <w:rPr>
                <w:sz w:val="20"/>
                <w:lang w:val="en-CA"/>
              </w:rPr>
            </w:pPr>
          </w:p>
        </w:tc>
        <w:tc>
          <w:tcPr>
            <w:tcW w:w="2330" w:type="pct"/>
          </w:tcPr>
          <w:p w:rsidR="00BE597E" w:rsidRPr="001F1644" w:rsidRDefault="00BE597E" w:rsidP="00BE597E">
            <w:pPr>
              <w:jc w:val="both"/>
              <w:rPr>
                <w:sz w:val="20"/>
                <w:lang w:val="en-CA"/>
              </w:rPr>
            </w:pPr>
            <w:r w:rsidRPr="001F1644">
              <w:rPr>
                <w:sz w:val="20"/>
                <w:lang w:val="en-CA"/>
              </w:rPr>
              <w:t>Appeal allowed, trial judgment set aside and action dismissed</w:t>
            </w:r>
          </w:p>
          <w:p w:rsidR="00BE597E" w:rsidRPr="001F1644" w:rsidRDefault="00BE597E" w:rsidP="00BE597E">
            <w:pPr>
              <w:jc w:val="both"/>
              <w:rPr>
                <w:sz w:val="20"/>
                <w:lang w:val="en-CA"/>
              </w:rPr>
            </w:pPr>
          </w:p>
        </w:tc>
      </w:tr>
      <w:tr w:rsidR="00BE597E" w:rsidRPr="001F1644" w:rsidTr="00BE597E">
        <w:tc>
          <w:tcPr>
            <w:tcW w:w="2427" w:type="pct"/>
            <w:gridSpan w:val="2"/>
          </w:tcPr>
          <w:p w:rsidR="00BE597E" w:rsidRPr="001F1644" w:rsidRDefault="00BE597E" w:rsidP="00BE597E">
            <w:pPr>
              <w:jc w:val="both"/>
              <w:rPr>
                <w:sz w:val="20"/>
                <w:lang w:val="en-CA"/>
              </w:rPr>
            </w:pPr>
            <w:r w:rsidRPr="001F1644">
              <w:rPr>
                <w:sz w:val="20"/>
                <w:lang w:val="en-CA"/>
              </w:rPr>
              <w:t>October 29, 2021</w:t>
            </w:r>
          </w:p>
          <w:p w:rsidR="00BE597E" w:rsidRPr="001F1644" w:rsidRDefault="00BE597E" w:rsidP="00BE597E">
            <w:pPr>
              <w:jc w:val="both"/>
              <w:rPr>
                <w:sz w:val="20"/>
                <w:lang w:val="en-CA"/>
              </w:rPr>
            </w:pPr>
            <w:r w:rsidRPr="001F1644">
              <w:rPr>
                <w:sz w:val="20"/>
                <w:lang w:val="en-CA"/>
              </w:rPr>
              <w:t>Supreme Court of Canada</w:t>
            </w:r>
          </w:p>
        </w:tc>
        <w:tc>
          <w:tcPr>
            <w:tcW w:w="243" w:type="pct"/>
          </w:tcPr>
          <w:p w:rsidR="00BE597E" w:rsidRPr="001F1644" w:rsidRDefault="00BE597E" w:rsidP="00BE597E">
            <w:pPr>
              <w:jc w:val="both"/>
              <w:rPr>
                <w:sz w:val="20"/>
                <w:lang w:val="en-CA"/>
              </w:rPr>
            </w:pPr>
          </w:p>
        </w:tc>
        <w:tc>
          <w:tcPr>
            <w:tcW w:w="2330" w:type="pct"/>
          </w:tcPr>
          <w:p w:rsidR="00BE597E" w:rsidRPr="001F1644" w:rsidRDefault="00BE597E" w:rsidP="00BE597E">
            <w:pPr>
              <w:jc w:val="both"/>
              <w:rPr>
                <w:sz w:val="20"/>
                <w:lang w:val="en-CA"/>
              </w:rPr>
            </w:pPr>
            <w:r w:rsidRPr="001F1644">
              <w:rPr>
                <w:sz w:val="20"/>
                <w:lang w:val="en-CA"/>
              </w:rPr>
              <w:t>Application for leave to appeal filed</w:t>
            </w:r>
          </w:p>
          <w:p w:rsidR="00BE597E" w:rsidRPr="001F1644" w:rsidRDefault="00BE597E" w:rsidP="00BE597E">
            <w:pPr>
              <w:jc w:val="both"/>
              <w:rPr>
                <w:sz w:val="20"/>
                <w:lang w:val="en-CA"/>
              </w:rPr>
            </w:pPr>
          </w:p>
        </w:tc>
      </w:tr>
    </w:tbl>
    <w:p w:rsidR="00BE597E" w:rsidRPr="001F1644" w:rsidRDefault="00BE597E" w:rsidP="00BE597E">
      <w:pPr>
        <w:jc w:val="both"/>
        <w:rPr>
          <w:sz w:val="20"/>
          <w:lang w:val="en-CA"/>
        </w:rPr>
      </w:pPr>
    </w:p>
    <w:p w:rsidR="00EC01CB" w:rsidRPr="001F1644" w:rsidRDefault="00724EE4" w:rsidP="00BE597E">
      <w:pPr>
        <w:jc w:val="both"/>
        <w:rPr>
          <w:sz w:val="20"/>
          <w:lang w:val="en-CA"/>
        </w:rPr>
      </w:pPr>
      <w:r>
        <w:rPr>
          <w:sz w:val="20"/>
        </w:rPr>
        <w:pict>
          <v:rect id="_x0000_i1049" style="width:2in;height:1pt" o:hrpct="0" o:hralign="center" o:hrstd="t" o:hrnoshade="t" o:hr="t" fillcolor="black [3213]" stroked="f"/>
        </w:pict>
      </w:r>
    </w:p>
    <w:p w:rsidR="00EC01CB" w:rsidRPr="001F1644" w:rsidRDefault="00EC01CB" w:rsidP="00BE597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39918</w:t>
            </w:r>
          </w:p>
        </w:tc>
        <w:tc>
          <w:tcPr>
            <w:tcW w:w="4457" w:type="pct"/>
            <w:gridSpan w:val="3"/>
          </w:tcPr>
          <w:p w:rsidR="00BE597E" w:rsidRPr="001F1644" w:rsidRDefault="00BE597E" w:rsidP="00BE597E">
            <w:pPr>
              <w:pStyle w:val="SCCLsocParty"/>
              <w:jc w:val="both"/>
              <w:rPr>
                <w:b/>
                <w:sz w:val="20"/>
                <w:szCs w:val="20"/>
              </w:rPr>
            </w:pPr>
            <w:r w:rsidRPr="001F1644">
              <w:rPr>
                <w:b/>
                <w:sz w:val="20"/>
                <w:szCs w:val="20"/>
              </w:rPr>
              <w:t>2330-2029 Québec inc. f.a.s.r.s. Médicus c. Lotfi Sahlaoui, Evo Orthopédie Technique inc.</w:t>
            </w:r>
          </w:p>
          <w:p w:rsidR="00BE597E" w:rsidRPr="001F1644" w:rsidRDefault="00BE597E" w:rsidP="00BE597E">
            <w:pPr>
              <w:jc w:val="both"/>
              <w:rPr>
                <w:sz w:val="20"/>
              </w:rPr>
            </w:pPr>
            <w:r w:rsidRPr="001F1644">
              <w:rPr>
                <w:sz w:val="20"/>
              </w:rPr>
              <w:t>(Qc) (Civile) (Autorisation)</w:t>
            </w:r>
          </w:p>
        </w:tc>
      </w:tr>
      <w:tr w:rsidR="00BE597E" w:rsidRPr="00724EE4" w:rsidTr="00BE597E">
        <w:tc>
          <w:tcPr>
            <w:tcW w:w="5000" w:type="pct"/>
            <w:gridSpan w:val="4"/>
          </w:tcPr>
          <w:p w:rsidR="00BE597E" w:rsidRPr="001F1644" w:rsidRDefault="00BE597E" w:rsidP="00BE597E">
            <w:pPr>
              <w:jc w:val="both"/>
              <w:rPr>
                <w:sz w:val="20"/>
                <w:lang w:val="fr-CA"/>
              </w:rPr>
            </w:pPr>
            <w:r w:rsidRPr="001F1644">
              <w:rPr>
                <w:sz w:val="20"/>
                <w:lang w:val="fr-CA"/>
              </w:rPr>
              <w:lastRenderedPageBreak/>
              <w:t>Contrats — Contrat de travail — Obligation de loyauté — Concurrence — Constitution d’une entreprise en concurrence directe avec l’ex</w:t>
            </w:r>
            <w:r w:rsidRPr="001F1644">
              <w:rPr>
                <w:sz w:val="20"/>
                <w:lang w:val="fr-CA"/>
              </w:rPr>
              <w:noBreakHyphen/>
              <w:t>employeur — Est</w:t>
            </w:r>
            <w:r w:rsidRPr="001F1644">
              <w:rPr>
                <w:sz w:val="20"/>
                <w:lang w:val="fr-CA"/>
              </w:rPr>
              <w:noBreakHyphen/>
              <w:t xml:space="preserve">il important pour le public que cette Cour intervienne pour restaurer l’intention du législateur codifiée à l’art. 2088 C.c.Q., selon laquelle l’obligation de loyauté du salarié comprend celle de déployer tous les efforts requis afin d’éviter de se placer en situation de conflit d’intérêts à l’égard de son employeur, que ce conflit soit apparent, réel ou potentiel, tout en agissant avec honnêteté à son endroit? — </w:t>
            </w:r>
            <w:r w:rsidRPr="001F1644">
              <w:rPr>
                <w:i/>
                <w:sz w:val="20"/>
                <w:lang w:val="fr-CA"/>
              </w:rPr>
              <w:t>Code civil du Québec</w:t>
            </w:r>
            <w:r w:rsidRPr="001F1644">
              <w:rPr>
                <w:sz w:val="20"/>
                <w:lang w:val="fr-CA"/>
              </w:rPr>
              <w:t>, art. 2088</w:t>
            </w:r>
          </w:p>
        </w:tc>
      </w:tr>
      <w:tr w:rsidR="00BE597E" w:rsidRPr="00724EE4" w:rsidTr="00BE597E">
        <w:tc>
          <w:tcPr>
            <w:tcW w:w="5000" w:type="pct"/>
            <w:gridSpan w:val="4"/>
          </w:tcPr>
          <w:p w:rsidR="00BE597E" w:rsidRPr="001F1644" w:rsidRDefault="00BE597E" w:rsidP="00BE597E">
            <w:pPr>
              <w:jc w:val="both"/>
              <w:rPr>
                <w:sz w:val="20"/>
                <w:lang w:val="fr-CA"/>
              </w:rPr>
            </w:pPr>
          </w:p>
        </w:tc>
      </w:tr>
      <w:tr w:rsidR="00BE597E" w:rsidRPr="00724EE4" w:rsidTr="00BE597E">
        <w:tc>
          <w:tcPr>
            <w:tcW w:w="5000" w:type="pct"/>
            <w:gridSpan w:val="4"/>
          </w:tcPr>
          <w:p w:rsidR="00BE597E" w:rsidRPr="001F1644" w:rsidRDefault="00BE597E" w:rsidP="00BE597E">
            <w:pPr>
              <w:jc w:val="both"/>
              <w:rPr>
                <w:sz w:val="20"/>
                <w:lang w:val="fr-CA"/>
              </w:rPr>
            </w:pPr>
            <w:r w:rsidRPr="001F1644">
              <w:rPr>
                <w:sz w:val="20"/>
                <w:lang w:val="fr-CA"/>
              </w:rPr>
              <w:t>Le 21 novembre 2015, l’intimé Lotfi Sahlaoui démissionne de son poste d’orthésiste</w:t>
            </w:r>
            <w:r w:rsidRPr="001F1644">
              <w:rPr>
                <w:sz w:val="20"/>
                <w:lang w:val="fr-CA"/>
              </w:rPr>
              <w:noBreakHyphen/>
              <w:t>prothésiste qu’il occupait à temps plein depuis environ 10 ans chez la demanderesse, 2330</w:t>
            </w:r>
            <w:r w:rsidRPr="001F1644">
              <w:rPr>
                <w:sz w:val="20"/>
                <w:lang w:val="fr-CA"/>
              </w:rPr>
              <w:noBreakHyphen/>
              <w:t>2029 Québec inc. f.a.s.r.c. Médicus, une entreprise d’envergure qui se spécialise notamment dans la fabrication et la vente d’appareils orthopédiques et de prothèses. Dans les jours suivant son départ, Evo Orthopédie Technique inc., intimée et compagnie pour laquelle M. Sahlaoui est actionnaire majoritaire, débute ses activités, en concurrence directe avec Médicus. Au cours des jours et semaines qui suivent sa démission, M. Sahlaoui rencontre des orthopédistes avec qui il traitait précédemment pour les inviter à faire affaire avec lui, et au terme d’un concours, Evo devient fournisseur privilégié de l’hôpital, faisant perdre à Médicus de nombreux clients. Médicus poursuit M. Sahlaoui et sa société, Evo, et réclame des dommages</w:t>
            </w:r>
            <w:r w:rsidRPr="001F1644">
              <w:rPr>
                <w:sz w:val="20"/>
                <w:lang w:val="fr-CA"/>
              </w:rPr>
              <w:noBreakHyphen/>
              <w:t>intérêts compensatoires pour concurrence déloyale.</w:t>
            </w:r>
          </w:p>
          <w:p w:rsidR="00BE597E" w:rsidRPr="001F1644" w:rsidRDefault="00BE597E" w:rsidP="00BE597E">
            <w:pPr>
              <w:jc w:val="both"/>
              <w:rPr>
                <w:sz w:val="20"/>
                <w:lang w:val="fr-CA"/>
              </w:rPr>
            </w:pPr>
          </w:p>
          <w:p w:rsidR="00BE597E" w:rsidRPr="001F1644" w:rsidRDefault="00BE597E" w:rsidP="00BE597E">
            <w:pPr>
              <w:jc w:val="both"/>
              <w:rPr>
                <w:sz w:val="20"/>
                <w:lang w:val="fr-CA"/>
              </w:rPr>
            </w:pPr>
            <w:r w:rsidRPr="001F1644">
              <w:rPr>
                <w:sz w:val="20"/>
                <w:lang w:val="fr-CA"/>
              </w:rPr>
              <w:t>La Cour supérieure accueille en partie la demande de Médicus. Elle condamne M. Sahlaoui et Evo solidairement à payer à Médicus la somme de 135 238 $ en réparation du préjudice subi, l’équivalent d’une année de profits perdus. Elle conclut que M. Sahlaoui a manqué à son devoir de loyauté tant avant qu’après sa démission, et ce, avec la complicité de la société Evo dont il est actionnaire et qui œuvre dans le même champ d’activité que son ex</w:t>
            </w:r>
            <w:r w:rsidRPr="001F1644">
              <w:rPr>
                <w:sz w:val="20"/>
                <w:lang w:val="fr-CA"/>
              </w:rPr>
              <w:noBreakHyphen/>
              <w:t>employeur. La Cour d’appel accueille l’appel, infirme le jugement de première instance et rejette l’action instituée par Médicus à l’encontre de M. Sahlaoui et Evo. Elle conclut que les pertes encourues par Médicus sont le résultat d’une concurrence légitime et non d’une concurrence déloyale.</w:t>
            </w:r>
          </w:p>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Le 4 octobre 2019</w:t>
            </w:r>
          </w:p>
          <w:p w:rsidR="00BE597E" w:rsidRPr="001F1644" w:rsidRDefault="00BE597E" w:rsidP="00BE597E">
            <w:pPr>
              <w:jc w:val="both"/>
              <w:rPr>
                <w:sz w:val="20"/>
                <w:lang w:val="fr-CA"/>
              </w:rPr>
            </w:pPr>
            <w:r w:rsidRPr="001F1644">
              <w:rPr>
                <w:sz w:val="20"/>
                <w:lang w:val="fr-CA"/>
              </w:rPr>
              <w:t>Cour supérieure du Québec</w:t>
            </w:r>
          </w:p>
          <w:p w:rsidR="00BE597E" w:rsidRPr="001F1644" w:rsidRDefault="00BE597E" w:rsidP="00BE597E">
            <w:pPr>
              <w:jc w:val="both"/>
              <w:rPr>
                <w:sz w:val="20"/>
                <w:lang w:val="fr-CA"/>
              </w:rPr>
            </w:pPr>
            <w:r w:rsidRPr="001F1644">
              <w:rPr>
                <w:sz w:val="20"/>
                <w:lang w:val="fr-CA"/>
              </w:rPr>
              <w:t>(La juge Kear</w:t>
            </w:r>
            <w:r w:rsidRPr="001F1644">
              <w:rPr>
                <w:sz w:val="20"/>
                <w:lang w:val="fr-CA"/>
              </w:rPr>
              <w:noBreakHyphen/>
              <w:t>Jodoin)</w:t>
            </w:r>
          </w:p>
          <w:p w:rsidR="00BE597E" w:rsidRPr="001F1644" w:rsidRDefault="00724EE4" w:rsidP="00BE597E">
            <w:pPr>
              <w:jc w:val="both"/>
              <w:rPr>
                <w:sz w:val="20"/>
                <w:lang w:val="fr-CA"/>
              </w:rPr>
            </w:pPr>
            <w:hyperlink r:id="rId72" w:history="1">
              <w:r w:rsidR="00BE597E" w:rsidRPr="001F1644">
                <w:rPr>
                  <w:rStyle w:val="Hyperlink"/>
                  <w:sz w:val="20"/>
                  <w:lang w:val="fr-CA"/>
                </w:rPr>
                <w:t>2019 QCCS 4124</w:t>
              </w:r>
            </w:hyperlink>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Condamnation solidaire de Lotfi Sahlaoui et Evo Orthopédie Technique inc. à verser des dommages</w:t>
            </w:r>
            <w:r w:rsidRPr="001F1644">
              <w:rPr>
                <w:sz w:val="20"/>
                <w:lang w:val="fr-CA"/>
              </w:rPr>
              <w:noBreakHyphen/>
              <w:t>intérêts de 135 238 $ à 2330</w:t>
            </w:r>
            <w:r w:rsidRPr="001F1644">
              <w:rPr>
                <w:sz w:val="20"/>
                <w:lang w:val="fr-CA"/>
              </w:rPr>
              <w:noBreakHyphen/>
              <w:t>2029 Québec inc. f.a.s.r.s. Médicus</w:t>
            </w:r>
          </w:p>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Le 1</w:t>
            </w:r>
            <w:r w:rsidRPr="001F1644">
              <w:rPr>
                <w:sz w:val="20"/>
                <w:vertAlign w:val="superscript"/>
                <w:lang w:val="fr-CA"/>
              </w:rPr>
              <w:t>er</w:t>
            </w:r>
            <w:r w:rsidRPr="001F1644">
              <w:rPr>
                <w:sz w:val="20"/>
                <w:lang w:val="fr-CA"/>
              </w:rPr>
              <w:t xml:space="preserve"> septembre 2021</w:t>
            </w:r>
          </w:p>
          <w:p w:rsidR="00BE597E" w:rsidRPr="001F1644" w:rsidRDefault="00BE597E" w:rsidP="00BE597E">
            <w:pPr>
              <w:jc w:val="both"/>
              <w:rPr>
                <w:sz w:val="20"/>
                <w:lang w:val="fr-CA"/>
              </w:rPr>
            </w:pPr>
            <w:r w:rsidRPr="001F1644">
              <w:rPr>
                <w:sz w:val="20"/>
                <w:lang w:val="fr-CA"/>
              </w:rPr>
              <w:t>Cour d’appel du Québec (Montréal)</w:t>
            </w:r>
          </w:p>
          <w:p w:rsidR="00BE597E" w:rsidRPr="001F1644" w:rsidRDefault="00BE597E" w:rsidP="00BE597E">
            <w:pPr>
              <w:jc w:val="both"/>
              <w:rPr>
                <w:sz w:val="20"/>
                <w:lang w:val="fr-CA"/>
              </w:rPr>
            </w:pPr>
            <w:r w:rsidRPr="001F1644">
              <w:rPr>
                <w:sz w:val="20"/>
                <w:lang w:val="fr-CA"/>
              </w:rPr>
              <w:t>(Les juges Bich, Healy et Sansfaçon)</w:t>
            </w:r>
          </w:p>
          <w:p w:rsidR="00BE597E" w:rsidRPr="001F1644" w:rsidRDefault="00724EE4" w:rsidP="00BE597E">
            <w:pPr>
              <w:jc w:val="both"/>
              <w:rPr>
                <w:sz w:val="20"/>
              </w:rPr>
            </w:pPr>
            <w:hyperlink r:id="rId73" w:history="1">
              <w:r w:rsidR="00BE597E" w:rsidRPr="001F1644">
                <w:rPr>
                  <w:rStyle w:val="Hyperlink"/>
                  <w:sz w:val="20"/>
                </w:rPr>
                <w:t>2021 QCCA 1310</w:t>
              </w:r>
            </w:hyperlink>
            <w:r w:rsidR="00BE597E" w:rsidRPr="001F1644">
              <w:rPr>
                <w:sz w:val="20"/>
              </w:rPr>
              <w:t xml:space="preserve"> (500</w:t>
            </w:r>
            <w:r w:rsidR="00BE597E" w:rsidRPr="001F1644">
              <w:rPr>
                <w:sz w:val="20"/>
              </w:rPr>
              <w:noBreakHyphen/>
              <w:t>09</w:t>
            </w:r>
            <w:r w:rsidR="00BE597E" w:rsidRPr="001F1644">
              <w:rPr>
                <w:sz w:val="20"/>
              </w:rPr>
              <w:noBreakHyphen/>
              <w:t>028667</w:t>
            </w:r>
            <w:r w:rsidR="00BE597E" w:rsidRPr="001F1644">
              <w:rPr>
                <w:sz w:val="20"/>
              </w:rPr>
              <w:noBreakHyphen/>
              <w:t>194)</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lang w:val="fr-CA"/>
              </w:rPr>
            </w:pPr>
            <w:r w:rsidRPr="001F1644">
              <w:rPr>
                <w:sz w:val="20"/>
                <w:lang w:val="fr-CA"/>
              </w:rPr>
              <w:t>Appel accueilli; jugement de première instance infirmé; action rejetée</w:t>
            </w:r>
          </w:p>
          <w:p w:rsidR="00BE597E" w:rsidRPr="001F1644" w:rsidRDefault="00BE597E" w:rsidP="00BE597E">
            <w:pPr>
              <w:jc w:val="both"/>
              <w:rPr>
                <w:sz w:val="20"/>
                <w:lang w:val="fr-CA"/>
              </w:rPr>
            </w:pPr>
          </w:p>
        </w:tc>
      </w:tr>
      <w:tr w:rsidR="00BE597E" w:rsidRPr="001F1644" w:rsidTr="00BE597E">
        <w:tc>
          <w:tcPr>
            <w:tcW w:w="2427" w:type="pct"/>
            <w:gridSpan w:val="2"/>
          </w:tcPr>
          <w:p w:rsidR="00BE597E" w:rsidRPr="001F1644" w:rsidRDefault="00BE597E" w:rsidP="00BE597E">
            <w:pPr>
              <w:jc w:val="both"/>
              <w:rPr>
                <w:sz w:val="20"/>
                <w:lang w:val="fr-CA"/>
              </w:rPr>
            </w:pPr>
            <w:r w:rsidRPr="001F1644">
              <w:rPr>
                <w:sz w:val="20"/>
                <w:lang w:val="fr-CA"/>
              </w:rPr>
              <w:t>Le 29 octobre 2021</w:t>
            </w:r>
          </w:p>
          <w:p w:rsidR="00BE597E" w:rsidRPr="001F1644" w:rsidRDefault="00BE597E" w:rsidP="00BE597E">
            <w:pPr>
              <w:jc w:val="both"/>
              <w:rPr>
                <w:sz w:val="20"/>
                <w:lang w:val="fr-CA"/>
              </w:rPr>
            </w:pPr>
            <w:r w:rsidRPr="001F1644">
              <w:rPr>
                <w:sz w:val="20"/>
                <w:lang w:val="fr-CA"/>
              </w:rPr>
              <w:t>Cour suprême du Canada</w:t>
            </w: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rPr>
            </w:pPr>
            <w:r w:rsidRPr="001F1644">
              <w:rPr>
                <w:sz w:val="20"/>
              </w:rPr>
              <w:t>Demande d’autorisation d’appel déposée</w:t>
            </w:r>
          </w:p>
          <w:p w:rsidR="00BE597E" w:rsidRPr="001F1644" w:rsidRDefault="00BE597E" w:rsidP="00BE597E">
            <w:pPr>
              <w:jc w:val="both"/>
              <w:rPr>
                <w:sz w:val="20"/>
              </w:rPr>
            </w:pPr>
          </w:p>
        </w:tc>
      </w:tr>
    </w:tbl>
    <w:p w:rsidR="00BE597E" w:rsidRPr="001F1644" w:rsidRDefault="00BE597E" w:rsidP="00BE597E">
      <w:pPr>
        <w:jc w:val="both"/>
        <w:rPr>
          <w:sz w:val="20"/>
        </w:rPr>
      </w:pPr>
    </w:p>
    <w:p w:rsidR="00BA25C8" w:rsidRPr="001F1644" w:rsidRDefault="00724EE4" w:rsidP="00BE597E">
      <w:pPr>
        <w:widowControl w:val="0"/>
        <w:jc w:val="both"/>
        <w:rPr>
          <w:sz w:val="20"/>
          <w:lang w:val="fr-CA"/>
        </w:rPr>
      </w:pPr>
      <w:r>
        <w:rPr>
          <w:sz w:val="20"/>
        </w:rPr>
        <w:pict>
          <v:rect id="_x0000_i1050" style="width:2in;height:1pt" o:hrpct="0" o:hralign="center" o:hrstd="t" o:hrnoshade="t" o:hr="t" fillcolor="black [3213]" stroked="f"/>
        </w:pict>
      </w:r>
    </w:p>
    <w:p w:rsidR="00BA25C8" w:rsidRPr="001F1644" w:rsidRDefault="00BA25C8"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39868</w:t>
            </w:r>
          </w:p>
        </w:tc>
        <w:tc>
          <w:tcPr>
            <w:tcW w:w="4457" w:type="pct"/>
            <w:gridSpan w:val="3"/>
          </w:tcPr>
          <w:p w:rsidR="00BE597E" w:rsidRPr="001F1644" w:rsidRDefault="00BE597E" w:rsidP="00BE597E">
            <w:pPr>
              <w:pStyle w:val="SCCLsocParty"/>
              <w:jc w:val="both"/>
              <w:rPr>
                <w:b/>
                <w:sz w:val="20"/>
                <w:szCs w:val="20"/>
                <w:lang w:val="en-US"/>
              </w:rPr>
            </w:pPr>
            <w:r w:rsidRPr="001F1644">
              <w:rPr>
                <w:b/>
                <w:sz w:val="20"/>
                <w:szCs w:val="20"/>
                <w:lang w:val="en-US"/>
              </w:rPr>
              <w:t>Mahyar Dadollahi-Sarab v. Her Majesty the Queen</w:t>
            </w:r>
          </w:p>
          <w:p w:rsidR="00BE597E" w:rsidRPr="001F1644" w:rsidRDefault="00BE597E" w:rsidP="00BE597E">
            <w:pPr>
              <w:jc w:val="both"/>
              <w:rPr>
                <w:sz w:val="20"/>
              </w:rPr>
            </w:pPr>
            <w:r w:rsidRPr="001F1644">
              <w:rPr>
                <w:sz w:val="20"/>
              </w:rPr>
              <w:t>(Ont.) (Criminal) (By Leave)</w:t>
            </w:r>
          </w:p>
        </w:tc>
      </w:tr>
      <w:tr w:rsidR="00BE597E" w:rsidRPr="001F1644" w:rsidTr="00BE597E">
        <w:tc>
          <w:tcPr>
            <w:tcW w:w="5000" w:type="pct"/>
            <w:gridSpan w:val="4"/>
          </w:tcPr>
          <w:p w:rsidR="00BE597E" w:rsidRPr="001F1644" w:rsidRDefault="00BE597E" w:rsidP="00BE597E">
            <w:pPr>
              <w:jc w:val="both"/>
              <w:rPr>
                <w:sz w:val="20"/>
              </w:rPr>
            </w:pPr>
            <w:r w:rsidRPr="001F1644">
              <w:rPr>
                <w:sz w:val="20"/>
              </w:rPr>
              <w:t xml:space="preserve">Criminal law — Evidence — Charge to the jury — Credibility — </w:t>
            </w:r>
            <w:r w:rsidRPr="001F1644">
              <w:rPr>
                <w:i/>
                <w:sz w:val="20"/>
              </w:rPr>
              <w:t xml:space="preserve">Vetrovec </w:t>
            </w:r>
            <w:r w:rsidRPr="001F1644">
              <w:rPr>
                <w:sz w:val="20"/>
              </w:rPr>
              <w:t>caution — “</w:t>
            </w:r>
            <w:r w:rsidRPr="001F1644">
              <w:rPr>
                <w:i/>
                <w:sz w:val="20"/>
              </w:rPr>
              <w:t>Vetrovec</w:t>
            </w:r>
            <w:r w:rsidRPr="001F1644">
              <w:rPr>
                <w:sz w:val="20"/>
              </w:rPr>
              <w:t xml:space="preserve">” Crown witness providing both potentially exculpatory and potentially inculpatory evidence concerning the applicant — Whether the analytical framework outlined in </w:t>
            </w:r>
            <w:r w:rsidRPr="001F1644">
              <w:rPr>
                <w:i/>
                <w:sz w:val="20"/>
              </w:rPr>
              <w:t>R. v. W.(D.)</w:t>
            </w:r>
            <w:r w:rsidRPr="001F1644">
              <w:rPr>
                <w:sz w:val="20"/>
              </w:rPr>
              <w:t>, [1991] 1 S.C.R. 742, should apply to all evidence that is favourable to the defence, including the evidence of Crown witnesses who provide both exculpatory and inculpatory evidence vis</w:t>
            </w:r>
            <w:r w:rsidRPr="001F1644">
              <w:rPr>
                <w:sz w:val="20"/>
              </w:rPr>
              <w:noBreakHyphen/>
              <w:t>à</w:t>
            </w:r>
            <w:r w:rsidRPr="001F1644">
              <w:rPr>
                <w:sz w:val="20"/>
              </w:rPr>
              <w:noBreakHyphen/>
              <w:t xml:space="preserve">vis an accused — When a mixed Crown witness is subject to a </w:t>
            </w:r>
            <w:r w:rsidRPr="001F1644">
              <w:rPr>
                <w:i/>
                <w:sz w:val="20"/>
              </w:rPr>
              <w:t>Vetrovec</w:t>
            </w:r>
            <w:r w:rsidRPr="001F1644">
              <w:rPr>
                <w:sz w:val="20"/>
              </w:rPr>
              <w:t xml:space="preserve"> caution, whether the exculpatory portions of their evidence should be outlined for the jury and analyzed through the lens of </w:t>
            </w:r>
            <w:r w:rsidRPr="001F1644">
              <w:rPr>
                <w:i/>
                <w:sz w:val="20"/>
              </w:rPr>
              <w:t>W.(D.)</w:t>
            </w:r>
            <w:r w:rsidRPr="001F1644">
              <w:rPr>
                <w:sz w:val="20"/>
              </w:rPr>
              <w:t>.</w:t>
            </w:r>
          </w:p>
        </w:tc>
      </w:tr>
      <w:tr w:rsidR="00BE597E" w:rsidRPr="001F1644" w:rsidTr="00BE597E">
        <w:tc>
          <w:tcPr>
            <w:tcW w:w="5000" w:type="pct"/>
            <w:gridSpan w:val="4"/>
          </w:tcPr>
          <w:p w:rsidR="00BE597E" w:rsidRPr="001F1644" w:rsidRDefault="00BE597E" w:rsidP="00BE597E">
            <w:pPr>
              <w:jc w:val="both"/>
              <w:rPr>
                <w:sz w:val="20"/>
              </w:rPr>
            </w:pPr>
          </w:p>
          <w:p w:rsidR="00BE597E" w:rsidRPr="001F1644" w:rsidRDefault="00BE597E" w:rsidP="00BE597E">
            <w:pPr>
              <w:jc w:val="both"/>
              <w:rPr>
                <w:sz w:val="20"/>
              </w:rPr>
            </w:pPr>
            <w:r w:rsidRPr="001F1644">
              <w:rPr>
                <w:sz w:val="20"/>
                <w:lang w:eastAsia="en-CA"/>
              </w:rPr>
              <w:t>The applicant and his co</w:t>
            </w:r>
            <w:r w:rsidRPr="001F1644">
              <w:rPr>
                <w:sz w:val="20"/>
                <w:lang w:eastAsia="en-CA"/>
              </w:rPr>
              <w:noBreakHyphen/>
              <w:t>accused, John Jansen, were charged with the first</w:t>
            </w:r>
            <w:r w:rsidRPr="001F1644">
              <w:rPr>
                <w:sz w:val="20"/>
                <w:lang w:eastAsia="en-CA"/>
              </w:rPr>
              <w:noBreakHyphen/>
              <w:t xml:space="preserve">degree murder of Ronidy Roseborough and the attempted murder of Richard Palmer. Mr. Jansen and Mr. Palmer had engaged in a fist fight in which Mr. Roseborough, a friend of Mr. Palmer, also became involved. The Crown’s theory was that the applicant also joined the fight and that shortly thereafter, Mr. Palmer and Mr. Roseborough were stabbed. The identity of the perpetrator of the stabbing was contested at trial. Mr. Palmer testified for the Crown and his evidence, which was both potentially exculpatory and potentially inculpatory as it concerned the applicant, was the subject of a </w:t>
            </w:r>
            <w:r w:rsidRPr="001F1644">
              <w:rPr>
                <w:i/>
                <w:sz w:val="20"/>
                <w:lang w:eastAsia="en-CA"/>
              </w:rPr>
              <w:t>Vetrovec</w:t>
            </w:r>
            <w:r w:rsidRPr="001F1644">
              <w:rPr>
                <w:sz w:val="20"/>
                <w:lang w:eastAsia="en-CA"/>
              </w:rPr>
              <w:t xml:space="preserve"> caution. Neither the applicant nor Mr. Jansen testified. The jury convicted the applicant and Mr. Jansen of the lesser </w:t>
            </w:r>
            <w:r w:rsidRPr="001F1644">
              <w:rPr>
                <w:sz w:val="20"/>
                <w:lang w:eastAsia="en-CA"/>
              </w:rPr>
              <w:lastRenderedPageBreak/>
              <w:t>and included offences of second</w:t>
            </w:r>
            <w:r w:rsidRPr="001F1644">
              <w:rPr>
                <w:sz w:val="20"/>
                <w:lang w:eastAsia="en-CA"/>
              </w:rPr>
              <w:noBreakHyphen/>
              <w:t>degree murder and aggravated assault. The Court of Appeal for Ontario dismissed the applicant’s appeal and upheld his convictions.</w:t>
            </w:r>
          </w:p>
        </w:tc>
      </w:tr>
      <w:tr w:rsidR="00BE597E" w:rsidRPr="001F1644" w:rsidTr="00BE597E">
        <w:tc>
          <w:tcPr>
            <w:tcW w:w="5000" w:type="pct"/>
            <w:gridSpan w:val="4"/>
          </w:tcPr>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May 12, 2017</w:t>
            </w:r>
          </w:p>
          <w:p w:rsidR="00BE597E" w:rsidRPr="001F1644" w:rsidRDefault="00BE597E" w:rsidP="00BE597E">
            <w:pPr>
              <w:jc w:val="both"/>
              <w:rPr>
                <w:sz w:val="20"/>
              </w:rPr>
            </w:pPr>
            <w:r w:rsidRPr="001F1644">
              <w:rPr>
                <w:sz w:val="20"/>
              </w:rPr>
              <w:t>Ontario Superior Court of Justice</w:t>
            </w:r>
          </w:p>
          <w:p w:rsidR="00BE597E" w:rsidRPr="001F1644" w:rsidRDefault="00BE597E" w:rsidP="00BE597E">
            <w:pPr>
              <w:jc w:val="both"/>
              <w:rPr>
                <w:sz w:val="20"/>
              </w:rPr>
            </w:pPr>
            <w:r w:rsidRPr="001F1644">
              <w:rPr>
                <w:sz w:val="20"/>
              </w:rPr>
              <w:t>(Bird J. sitting with a jury)</w:t>
            </w:r>
          </w:p>
          <w:p w:rsidR="00BE597E" w:rsidRPr="001F1644" w:rsidRDefault="00BE597E" w:rsidP="00BE597E">
            <w:pPr>
              <w:jc w:val="both"/>
              <w:rPr>
                <w:sz w:val="20"/>
              </w:rPr>
            </w:pPr>
            <w:r w:rsidRPr="001F1644">
              <w:rPr>
                <w:sz w:val="20"/>
              </w:rPr>
              <w:t>(Unreported)</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Applicant convicted of one count of second</w:t>
            </w:r>
            <w:r w:rsidRPr="001F1644">
              <w:rPr>
                <w:sz w:val="20"/>
              </w:rPr>
              <w:noBreakHyphen/>
              <w:t>degree murder and one count of aggravated assault.</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July 19, 2021</w:t>
            </w:r>
          </w:p>
          <w:p w:rsidR="00BE597E" w:rsidRPr="001F1644" w:rsidRDefault="00BE597E" w:rsidP="00BE597E">
            <w:pPr>
              <w:jc w:val="both"/>
              <w:rPr>
                <w:sz w:val="20"/>
              </w:rPr>
            </w:pPr>
            <w:r w:rsidRPr="001F1644">
              <w:rPr>
                <w:sz w:val="20"/>
              </w:rPr>
              <w:t>Court of Appeal for Ontario</w:t>
            </w:r>
          </w:p>
          <w:p w:rsidR="00BE597E" w:rsidRPr="001F1644" w:rsidRDefault="00BE597E" w:rsidP="00BE597E">
            <w:pPr>
              <w:jc w:val="both"/>
              <w:rPr>
                <w:sz w:val="20"/>
              </w:rPr>
            </w:pPr>
            <w:r w:rsidRPr="001F1644">
              <w:rPr>
                <w:sz w:val="20"/>
              </w:rPr>
              <w:t>(Doherty, van Rensburg and Thorburn JJ.A.)</w:t>
            </w:r>
          </w:p>
          <w:p w:rsidR="00BE597E" w:rsidRPr="001F1644" w:rsidRDefault="00724EE4" w:rsidP="00BE597E">
            <w:pPr>
              <w:jc w:val="both"/>
              <w:rPr>
                <w:sz w:val="20"/>
              </w:rPr>
            </w:pPr>
            <w:hyperlink r:id="rId74" w:history="1">
              <w:r w:rsidR="00BE597E" w:rsidRPr="001F1644">
                <w:rPr>
                  <w:rStyle w:val="Hyperlink"/>
                  <w:sz w:val="20"/>
                </w:rPr>
                <w:t>2021 ONCA 514</w:t>
              </w:r>
            </w:hyperlink>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Appeal dismissed.</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September 27, 2021</w:t>
            </w:r>
          </w:p>
          <w:p w:rsidR="00BE597E" w:rsidRPr="001F1644" w:rsidRDefault="00BE597E" w:rsidP="00BE597E">
            <w:pPr>
              <w:jc w:val="both"/>
              <w:rPr>
                <w:sz w:val="20"/>
              </w:rPr>
            </w:pPr>
            <w:r w:rsidRPr="001F1644">
              <w:rPr>
                <w:sz w:val="20"/>
              </w:rPr>
              <w:t>Supreme Court of Canada</w:t>
            </w: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Application for leave to appeal filed.</w:t>
            </w:r>
          </w:p>
          <w:p w:rsidR="00BE597E" w:rsidRPr="001F1644" w:rsidRDefault="00BE597E" w:rsidP="00BE597E">
            <w:pPr>
              <w:jc w:val="both"/>
              <w:rPr>
                <w:sz w:val="20"/>
              </w:rPr>
            </w:pPr>
          </w:p>
        </w:tc>
      </w:tr>
    </w:tbl>
    <w:p w:rsidR="00BE597E" w:rsidRPr="001F1644" w:rsidRDefault="00BE597E" w:rsidP="00BE597E">
      <w:pPr>
        <w:jc w:val="both"/>
        <w:rPr>
          <w:sz w:val="20"/>
        </w:rPr>
      </w:pPr>
    </w:p>
    <w:p w:rsidR="00EC01CB" w:rsidRPr="001F1644" w:rsidRDefault="00724EE4" w:rsidP="00BE597E">
      <w:pPr>
        <w:jc w:val="both"/>
        <w:rPr>
          <w:sz w:val="20"/>
        </w:rPr>
      </w:pPr>
      <w:r>
        <w:rPr>
          <w:sz w:val="20"/>
        </w:rPr>
        <w:pict>
          <v:rect id="_x0000_i1051" style="width:2in;height:1pt" o:hrpct="0" o:hralign="center" o:hrstd="t" o:hrnoshade="t" o:hr="t" fillcolor="black [3213]" stroked="f"/>
        </w:pict>
      </w:r>
    </w:p>
    <w:p w:rsidR="00EC01CB" w:rsidRPr="001F1644" w:rsidRDefault="00EC01CB" w:rsidP="00BE59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lang w:val="fr-CA"/>
              </w:rPr>
            </w:pPr>
            <w:r w:rsidRPr="001F1644">
              <w:rPr>
                <w:rStyle w:val="SCCFileNumberChar"/>
                <w:sz w:val="20"/>
                <w:szCs w:val="20"/>
                <w:lang w:val="fr-CA"/>
              </w:rPr>
              <w:t>39868</w:t>
            </w:r>
          </w:p>
        </w:tc>
        <w:tc>
          <w:tcPr>
            <w:tcW w:w="4457" w:type="pct"/>
            <w:gridSpan w:val="3"/>
          </w:tcPr>
          <w:p w:rsidR="00BE597E" w:rsidRPr="001F1644" w:rsidRDefault="00BE597E" w:rsidP="00BE597E">
            <w:pPr>
              <w:pStyle w:val="SCCLsocParty"/>
              <w:jc w:val="both"/>
              <w:rPr>
                <w:b/>
                <w:sz w:val="20"/>
                <w:szCs w:val="20"/>
              </w:rPr>
            </w:pPr>
            <w:r w:rsidRPr="001F1644">
              <w:rPr>
                <w:b/>
                <w:sz w:val="20"/>
                <w:szCs w:val="20"/>
              </w:rPr>
              <w:t>Mahyar Dadollahi-Sarab c. Sa Majesté la Reine</w:t>
            </w:r>
          </w:p>
          <w:p w:rsidR="00BE597E" w:rsidRPr="001F1644" w:rsidRDefault="00BE597E" w:rsidP="00BE597E">
            <w:pPr>
              <w:jc w:val="both"/>
              <w:rPr>
                <w:sz w:val="20"/>
                <w:lang w:val="fr-CA"/>
              </w:rPr>
            </w:pPr>
            <w:r w:rsidRPr="001F1644">
              <w:rPr>
                <w:sz w:val="20"/>
                <w:lang w:val="fr-CA"/>
              </w:rPr>
              <w:t>(Ont.) (Criminelle) (Autorisation)</w:t>
            </w:r>
          </w:p>
        </w:tc>
      </w:tr>
      <w:tr w:rsidR="00BE597E" w:rsidRPr="00724EE4" w:rsidTr="00BE597E">
        <w:tc>
          <w:tcPr>
            <w:tcW w:w="5000" w:type="pct"/>
            <w:gridSpan w:val="4"/>
          </w:tcPr>
          <w:p w:rsidR="00BE597E" w:rsidRPr="001F1644" w:rsidRDefault="00BE597E" w:rsidP="00BE597E">
            <w:pPr>
              <w:jc w:val="both"/>
              <w:rPr>
                <w:sz w:val="20"/>
                <w:lang w:val="fr-CA"/>
              </w:rPr>
            </w:pPr>
            <w:r w:rsidRPr="001F1644">
              <w:rPr>
                <w:sz w:val="20"/>
                <w:lang w:val="fr-CA"/>
              </w:rPr>
              <w:t xml:space="preserve">Droit criminel — Preuve — Exposé au jury — Crédibilité — Mise en garde de type </w:t>
            </w:r>
            <w:r w:rsidRPr="001F1644">
              <w:rPr>
                <w:i/>
                <w:sz w:val="20"/>
                <w:lang w:val="fr-CA"/>
              </w:rPr>
              <w:t xml:space="preserve">Vetrovec </w:t>
            </w:r>
            <w:r w:rsidRPr="001F1644">
              <w:rPr>
                <w:sz w:val="20"/>
                <w:lang w:val="fr-CA"/>
              </w:rPr>
              <w:t>— « </w:t>
            </w:r>
            <w:r w:rsidRPr="001F1644">
              <w:rPr>
                <w:i/>
                <w:sz w:val="20"/>
                <w:lang w:val="fr-CA"/>
              </w:rPr>
              <w:t>Vetrovec</w:t>
            </w:r>
            <w:r w:rsidRPr="001F1644">
              <w:rPr>
                <w:sz w:val="20"/>
                <w:lang w:val="fr-CA"/>
              </w:rPr>
              <w:t xml:space="preserve"> » : témoin de la Couronne donnant un témoignage pouvant être à la fois inculpatoire et exculpatoire concernant le demandeur — Le cadre d’analyse exposé dans </w:t>
            </w:r>
            <w:r w:rsidRPr="001F1644">
              <w:rPr>
                <w:i/>
                <w:sz w:val="20"/>
                <w:lang w:val="fr-CA"/>
              </w:rPr>
              <w:t>R. c. W.(D.)</w:t>
            </w:r>
            <w:r w:rsidRPr="001F1644">
              <w:rPr>
                <w:sz w:val="20"/>
                <w:lang w:val="fr-CA"/>
              </w:rPr>
              <w:t>, [1991] 1 R.C.S. 742, devrait</w:t>
            </w:r>
            <w:r w:rsidRPr="001F1644">
              <w:rPr>
                <w:sz w:val="20"/>
                <w:lang w:val="fr-CA"/>
              </w:rPr>
              <w:noBreakHyphen/>
              <w:t>il s’appliquer à toutes preuves favorables à la défense, y compris celles des témoins de la Couronne qui donnent des preuves à la fois inculpatoire et exculpatoire vis</w:t>
            </w:r>
            <w:r w:rsidRPr="001F1644">
              <w:rPr>
                <w:sz w:val="20"/>
                <w:lang w:val="fr-CA"/>
              </w:rPr>
              <w:noBreakHyphen/>
              <w:t>à</w:t>
            </w:r>
            <w:r w:rsidRPr="001F1644">
              <w:rPr>
                <w:sz w:val="20"/>
                <w:lang w:val="fr-CA"/>
              </w:rPr>
              <w:noBreakHyphen/>
              <w:t>vis d’un accusé? — Lorsqu’un témoin mixte de la Couronne fait l’objet d’une mise en garde de type</w:t>
            </w:r>
            <w:r w:rsidRPr="001F1644">
              <w:rPr>
                <w:i/>
                <w:sz w:val="20"/>
                <w:lang w:val="fr-CA"/>
              </w:rPr>
              <w:t xml:space="preserve"> Vetrovec</w:t>
            </w:r>
            <w:r w:rsidRPr="001F1644">
              <w:rPr>
                <w:sz w:val="20"/>
                <w:lang w:val="fr-CA"/>
              </w:rPr>
              <w:t>, les parties exculpatoires de son témoignage devraient</w:t>
            </w:r>
            <w:r w:rsidRPr="001F1644">
              <w:rPr>
                <w:sz w:val="20"/>
                <w:lang w:val="fr-CA"/>
              </w:rPr>
              <w:noBreakHyphen/>
              <w:t xml:space="preserve">elles être exposées au jury et analysées à la lumière de </w:t>
            </w:r>
            <w:r w:rsidRPr="001F1644">
              <w:rPr>
                <w:i/>
                <w:sz w:val="20"/>
                <w:lang w:val="fr-CA"/>
              </w:rPr>
              <w:t>W</w:t>
            </w:r>
            <w:proofErr w:type="gramStart"/>
            <w:r w:rsidRPr="001F1644">
              <w:rPr>
                <w:i/>
                <w:sz w:val="20"/>
                <w:lang w:val="fr-CA"/>
              </w:rPr>
              <w:t>.(</w:t>
            </w:r>
            <w:proofErr w:type="gramEnd"/>
            <w:r w:rsidRPr="001F1644">
              <w:rPr>
                <w:i/>
                <w:sz w:val="20"/>
                <w:lang w:val="fr-CA"/>
              </w:rPr>
              <w:t>D.)</w:t>
            </w:r>
            <w:r w:rsidRPr="001F1644">
              <w:rPr>
                <w:sz w:val="20"/>
                <w:lang w:val="fr-CA"/>
              </w:rPr>
              <w:t xml:space="preserve">? </w:t>
            </w:r>
          </w:p>
        </w:tc>
      </w:tr>
      <w:tr w:rsidR="00BE597E" w:rsidRPr="00724EE4" w:rsidTr="00BE597E">
        <w:tc>
          <w:tcPr>
            <w:tcW w:w="5000" w:type="pct"/>
            <w:gridSpan w:val="4"/>
          </w:tcPr>
          <w:p w:rsidR="00BE597E" w:rsidRPr="001F1644" w:rsidRDefault="00BE597E" w:rsidP="00BE597E">
            <w:pPr>
              <w:jc w:val="both"/>
              <w:rPr>
                <w:sz w:val="20"/>
                <w:lang w:val="fr-CA"/>
              </w:rPr>
            </w:pPr>
          </w:p>
          <w:p w:rsidR="00BE597E" w:rsidRPr="001F1644" w:rsidRDefault="00BE597E" w:rsidP="00EC01CB">
            <w:pPr>
              <w:jc w:val="both"/>
              <w:rPr>
                <w:sz w:val="20"/>
                <w:lang w:val="fr-CA"/>
              </w:rPr>
            </w:pPr>
            <w:r w:rsidRPr="001F1644">
              <w:rPr>
                <w:sz w:val="20"/>
                <w:lang w:val="fr-CA"/>
              </w:rPr>
              <w:t>Le demandeur et son co</w:t>
            </w:r>
            <w:r w:rsidRPr="001F1644">
              <w:rPr>
                <w:sz w:val="20"/>
                <w:lang w:val="fr-CA"/>
              </w:rPr>
              <w:noBreakHyphen/>
              <w:t xml:space="preserve">accusé, John Jansen, ont été accusés du meurtre au premier degré de Ronidy Roseborough et de la tentative de meurtre de Richard Palmer. M. Jansen et M. Palmer s’étaient livrés à une bagarre à coups de poing à laquelle a aussi participé M. Roseborough, un ami de M. Palmer. Selon l’hypothèse de la Couronne, le demandeur s’est aussi joint à la bagarre et peu après, MM. Palmer et Roseborough ont été poignardés. L’identité du poignardeur a été contestée lors du procès. M. Palmer a témoigné pour la Couronne, et son témoignage, qui était à la fois potentiellement exculpatoire et inculpatoire, parce qu’il visait le demandeur, a fait l’objet d’une mise en garde de type </w:t>
            </w:r>
            <w:r w:rsidRPr="001F1644">
              <w:rPr>
                <w:i/>
                <w:sz w:val="20"/>
                <w:lang w:val="fr-CA"/>
              </w:rPr>
              <w:t>Vetrovec</w:t>
            </w:r>
            <w:r w:rsidRPr="001F1644">
              <w:rPr>
                <w:sz w:val="20"/>
                <w:lang w:val="fr-CA"/>
              </w:rPr>
              <w:t>. Ni le demandeur ni M. Jansen n’ont témoigné. Le jury a déclaré le demandeur et M. Jansen coupables d’infractions moindres et incluses de meurtre au deuxième degré et de voies de fait graves. La Cour d’appel de l’Ontario a rejeté l’appel du demandeur et confirmé les déclarations de culpabilité prononcées à son égard.</w:t>
            </w:r>
          </w:p>
        </w:tc>
      </w:tr>
      <w:tr w:rsidR="00BE597E" w:rsidRPr="00724EE4" w:rsidTr="00BE597E">
        <w:tc>
          <w:tcPr>
            <w:tcW w:w="5000" w:type="pct"/>
            <w:gridSpan w:val="4"/>
          </w:tcPr>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12 mai 2017</w:t>
            </w:r>
          </w:p>
          <w:p w:rsidR="00BE597E" w:rsidRPr="001F1644" w:rsidRDefault="00BE597E" w:rsidP="00BE597E">
            <w:pPr>
              <w:jc w:val="both"/>
              <w:rPr>
                <w:sz w:val="20"/>
                <w:lang w:val="fr-CA"/>
              </w:rPr>
            </w:pPr>
            <w:r w:rsidRPr="001F1644">
              <w:rPr>
                <w:sz w:val="20"/>
                <w:lang w:val="fr-CA"/>
              </w:rPr>
              <w:t>Cour supérieure de justice de l’Ontario</w:t>
            </w:r>
          </w:p>
          <w:p w:rsidR="00BE597E" w:rsidRPr="001F1644" w:rsidRDefault="00BE597E" w:rsidP="00BE597E">
            <w:pPr>
              <w:jc w:val="both"/>
              <w:rPr>
                <w:sz w:val="20"/>
                <w:lang w:val="fr-CA"/>
              </w:rPr>
            </w:pPr>
            <w:r w:rsidRPr="001F1644">
              <w:rPr>
                <w:sz w:val="20"/>
                <w:lang w:val="fr-CA"/>
              </w:rPr>
              <w:t>(juge Bird siégeant avec un jury)</w:t>
            </w:r>
          </w:p>
          <w:p w:rsidR="00BE597E" w:rsidRPr="001F1644" w:rsidRDefault="00BE597E" w:rsidP="00BE597E">
            <w:pPr>
              <w:jc w:val="both"/>
              <w:rPr>
                <w:sz w:val="20"/>
                <w:lang w:val="fr-CA"/>
              </w:rPr>
            </w:pPr>
            <w:r w:rsidRPr="001F1644">
              <w:rPr>
                <w:sz w:val="20"/>
                <w:lang w:val="fr-CA"/>
              </w:rPr>
              <w:t>(non</w:t>
            </w:r>
            <w:r w:rsidRPr="001F1644">
              <w:rPr>
                <w:sz w:val="20"/>
                <w:lang w:val="fr-CA"/>
              </w:rPr>
              <w:noBreakHyphen/>
              <w:t>publiée)</w:t>
            </w:r>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Demandeur déclaré coupable d’un chef de meurtre au deuxième degré et d’un chef de voie de fait grave.</w:t>
            </w:r>
          </w:p>
          <w:p w:rsidR="00BE597E" w:rsidRPr="001F1644" w:rsidRDefault="00BE597E" w:rsidP="00BE597E">
            <w:pPr>
              <w:jc w:val="both"/>
              <w:rPr>
                <w:sz w:val="20"/>
                <w:lang w:val="fr-CA"/>
              </w:rPr>
            </w:pPr>
          </w:p>
        </w:tc>
      </w:tr>
      <w:tr w:rsidR="00BE597E" w:rsidRPr="001F1644" w:rsidTr="00BE597E">
        <w:tc>
          <w:tcPr>
            <w:tcW w:w="2427" w:type="pct"/>
            <w:gridSpan w:val="2"/>
          </w:tcPr>
          <w:p w:rsidR="00BE597E" w:rsidRPr="001F1644" w:rsidRDefault="00BE597E" w:rsidP="00BE597E">
            <w:pPr>
              <w:jc w:val="both"/>
              <w:rPr>
                <w:sz w:val="20"/>
                <w:lang w:val="fr-CA"/>
              </w:rPr>
            </w:pPr>
            <w:r w:rsidRPr="001F1644">
              <w:rPr>
                <w:sz w:val="20"/>
                <w:lang w:val="fr-CA"/>
              </w:rPr>
              <w:t>19 juillet 2021</w:t>
            </w:r>
          </w:p>
          <w:p w:rsidR="00BE597E" w:rsidRPr="001F1644" w:rsidRDefault="00BE597E" w:rsidP="00BE597E">
            <w:pPr>
              <w:jc w:val="both"/>
              <w:rPr>
                <w:sz w:val="20"/>
                <w:lang w:val="fr-CA"/>
              </w:rPr>
            </w:pPr>
            <w:r w:rsidRPr="001F1644">
              <w:rPr>
                <w:sz w:val="20"/>
                <w:lang w:val="fr-CA"/>
              </w:rPr>
              <w:t>Cour d’appel de l’Ontario</w:t>
            </w:r>
          </w:p>
          <w:p w:rsidR="00BE597E" w:rsidRPr="001F1644" w:rsidRDefault="00BE597E" w:rsidP="00BE597E">
            <w:pPr>
              <w:jc w:val="both"/>
              <w:rPr>
                <w:sz w:val="20"/>
                <w:lang w:val="fr-CA"/>
              </w:rPr>
            </w:pPr>
            <w:r w:rsidRPr="001F1644">
              <w:rPr>
                <w:sz w:val="20"/>
                <w:lang w:val="fr-CA"/>
              </w:rPr>
              <w:t>(juges Doherty, van Rensburg et Thorburn)</w:t>
            </w:r>
          </w:p>
          <w:p w:rsidR="00BE597E" w:rsidRPr="001F1644" w:rsidRDefault="00724EE4" w:rsidP="00BE597E">
            <w:pPr>
              <w:jc w:val="both"/>
              <w:rPr>
                <w:sz w:val="20"/>
                <w:lang w:val="fr-CA"/>
              </w:rPr>
            </w:pPr>
            <w:hyperlink r:id="rId75" w:history="1">
              <w:r w:rsidR="00BE597E" w:rsidRPr="001F1644">
                <w:rPr>
                  <w:rStyle w:val="Hyperlink"/>
                  <w:sz w:val="20"/>
                  <w:lang w:val="fr-CA"/>
                </w:rPr>
                <w:t>2021 ONCA 514</w:t>
              </w:r>
            </w:hyperlink>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Appel rejeté.</w:t>
            </w:r>
          </w:p>
          <w:p w:rsidR="00BE597E" w:rsidRPr="001F1644" w:rsidRDefault="00BE597E" w:rsidP="00BE597E">
            <w:pPr>
              <w:jc w:val="both"/>
              <w:rPr>
                <w:sz w:val="20"/>
                <w:lang w:val="fr-CA"/>
              </w:rPr>
            </w:pPr>
          </w:p>
        </w:tc>
      </w:tr>
      <w:tr w:rsidR="00BE597E" w:rsidRPr="001F1644" w:rsidTr="00BE597E">
        <w:tc>
          <w:tcPr>
            <w:tcW w:w="2427" w:type="pct"/>
            <w:gridSpan w:val="2"/>
          </w:tcPr>
          <w:p w:rsidR="00BE597E" w:rsidRPr="001F1644" w:rsidRDefault="00BE597E" w:rsidP="00BE597E">
            <w:pPr>
              <w:jc w:val="both"/>
              <w:rPr>
                <w:sz w:val="20"/>
                <w:lang w:val="fr-CA"/>
              </w:rPr>
            </w:pPr>
            <w:r w:rsidRPr="001F1644">
              <w:rPr>
                <w:sz w:val="20"/>
                <w:lang w:val="fr-CA"/>
              </w:rPr>
              <w:t>27 septembre 2021</w:t>
            </w:r>
          </w:p>
          <w:p w:rsidR="00BE597E" w:rsidRPr="001F1644" w:rsidRDefault="00BE597E" w:rsidP="00BE597E">
            <w:pPr>
              <w:jc w:val="both"/>
              <w:rPr>
                <w:sz w:val="20"/>
                <w:lang w:val="fr-CA"/>
              </w:rPr>
            </w:pPr>
            <w:r w:rsidRPr="001F1644">
              <w:rPr>
                <w:sz w:val="20"/>
                <w:lang w:val="fr-CA"/>
              </w:rPr>
              <w:t>Cour suprême du Canada</w:t>
            </w: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Demande d’autorisation d’appel déposée.</w:t>
            </w:r>
          </w:p>
          <w:p w:rsidR="00BE597E" w:rsidRPr="001F1644" w:rsidRDefault="00BE597E" w:rsidP="00BE597E">
            <w:pPr>
              <w:jc w:val="both"/>
              <w:rPr>
                <w:sz w:val="20"/>
                <w:lang w:val="fr-CA"/>
              </w:rPr>
            </w:pPr>
          </w:p>
        </w:tc>
      </w:tr>
    </w:tbl>
    <w:p w:rsidR="00BE597E" w:rsidRPr="001F1644" w:rsidRDefault="00BE597E" w:rsidP="00BE597E">
      <w:pPr>
        <w:jc w:val="both"/>
        <w:rPr>
          <w:sz w:val="20"/>
          <w:lang w:val="fr-CA"/>
        </w:rPr>
      </w:pPr>
    </w:p>
    <w:p w:rsidR="00EC01CB" w:rsidRPr="001F1644" w:rsidRDefault="00724EE4" w:rsidP="00BE597E">
      <w:pPr>
        <w:jc w:val="both"/>
        <w:rPr>
          <w:sz w:val="20"/>
          <w:lang w:val="fr-CA"/>
        </w:rPr>
      </w:pPr>
      <w:r>
        <w:rPr>
          <w:sz w:val="20"/>
        </w:rPr>
        <w:pict>
          <v:rect id="_x0000_i1052" style="width:2in;height:1pt" o:hrpct="0" o:hralign="center" o:hrstd="t" o:hrnoshade="t" o:hr="t" fillcolor="black [3213]" stroked="f"/>
        </w:pict>
      </w:r>
    </w:p>
    <w:p w:rsidR="00BA25C8" w:rsidRPr="001F1644" w:rsidRDefault="00BA25C8"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39711</w:t>
            </w:r>
          </w:p>
        </w:tc>
        <w:tc>
          <w:tcPr>
            <w:tcW w:w="4457" w:type="pct"/>
            <w:gridSpan w:val="3"/>
          </w:tcPr>
          <w:p w:rsidR="00BE597E" w:rsidRPr="001F1644" w:rsidRDefault="00BE597E" w:rsidP="00BE597E">
            <w:pPr>
              <w:pStyle w:val="SCCLsocParty"/>
              <w:jc w:val="both"/>
              <w:rPr>
                <w:b/>
                <w:sz w:val="20"/>
                <w:szCs w:val="20"/>
                <w:lang w:val="en-US"/>
              </w:rPr>
            </w:pPr>
            <w:r w:rsidRPr="001F1644">
              <w:rPr>
                <w:b/>
                <w:sz w:val="20"/>
                <w:szCs w:val="20"/>
                <w:lang w:val="en-US"/>
              </w:rPr>
              <w:t>Mount Allison University v. Steven Salterio, Leslie Benecki</w:t>
            </w:r>
          </w:p>
          <w:p w:rsidR="00BE597E" w:rsidRPr="001F1644" w:rsidRDefault="00BE597E" w:rsidP="00BE597E">
            <w:pPr>
              <w:jc w:val="both"/>
              <w:rPr>
                <w:sz w:val="20"/>
              </w:rPr>
            </w:pPr>
            <w:r w:rsidRPr="001F1644">
              <w:rPr>
                <w:sz w:val="20"/>
              </w:rPr>
              <w:lastRenderedPageBreak/>
              <w:t>(N.B.) (Civil) (By Leave)</w:t>
            </w:r>
          </w:p>
        </w:tc>
      </w:tr>
      <w:tr w:rsidR="00BE597E" w:rsidRPr="001F1644" w:rsidTr="00BE597E">
        <w:tc>
          <w:tcPr>
            <w:tcW w:w="5000" w:type="pct"/>
            <w:gridSpan w:val="4"/>
          </w:tcPr>
          <w:p w:rsidR="00BE597E" w:rsidRPr="001F1644" w:rsidRDefault="00BE597E" w:rsidP="00BE597E">
            <w:pPr>
              <w:jc w:val="both"/>
              <w:rPr>
                <w:sz w:val="20"/>
              </w:rPr>
            </w:pPr>
            <w:r w:rsidRPr="001F1644">
              <w:rPr>
                <w:sz w:val="20"/>
              </w:rPr>
              <w:lastRenderedPageBreak/>
              <w:t>Torts — Contract — Negligent misrepresentation — When can a person who is not a party to a contract enforce the performance or forbearance of that contract? — When does a court have jurisdiction over a dispute involving a collective agreement?</w:t>
            </w:r>
          </w:p>
        </w:tc>
      </w:tr>
      <w:tr w:rsidR="00BE597E" w:rsidRPr="001F1644" w:rsidTr="00BE597E">
        <w:tc>
          <w:tcPr>
            <w:tcW w:w="5000" w:type="pct"/>
            <w:gridSpan w:val="4"/>
          </w:tcPr>
          <w:p w:rsidR="00BE597E" w:rsidRPr="001F1644" w:rsidRDefault="00BE597E" w:rsidP="00BE597E">
            <w:pPr>
              <w:jc w:val="both"/>
              <w:rPr>
                <w:sz w:val="20"/>
              </w:rPr>
            </w:pPr>
          </w:p>
          <w:p w:rsidR="00BE597E" w:rsidRPr="001F1644" w:rsidRDefault="00BE597E" w:rsidP="00BE597E">
            <w:pPr>
              <w:jc w:val="both"/>
              <w:rPr>
                <w:sz w:val="20"/>
              </w:rPr>
            </w:pPr>
            <w:r w:rsidRPr="001F1644">
              <w:rPr>
                <w:sz w:val="20"/>
              </w:rPr>
              <w:t>The respondents brought an action against the applicant University for damages for negligent misrepresentation. The University brought a motion for summary dismissal of the action. The motion was dismissed. The University then applied for leave to appeal to the Court of Appeal of New Brunswick, which was denied.</w:t>
            </w:r>
          </w:p>
        </w:tc>
      </w:tr>
      <w:tr w:rsidR="00BE597E" w:rsidRPr="001F1644" w:rsidTr="00BE597E">
        <w:tc>
          <w:tcPr>
            <w:tcW w:w="5000" w:type="pct"/>
            <w:gridSpan w:val="4"/>
          </w:tcPr>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October 28, 2020</w:t>
            </w:r>
          </w:p>
          <w:p w:rsidR="00BE597E" w:rsidRPr="001F1644" w:rsidRDefault="00BE597E" w:rsidP="00BE597E">
            <w:pPr>
              <w:jc w:val="both"/>
              <w:rPr>
                <w:sz w:val="20"/>
              </w:rPr>
            </w:pPr>
            <w:r w:rsidRPr="001F1644">
              <w:rPr>
                <w:sz w:val="20"/>
              </w:rPr>
              <w:t>Court of Queen’s Bench of New Brunswick</w:t>
            </w:r>
          </w:p>
          <w:p w:rsidR="00BE597E" w:rsidRPr="001F1644" w:rsidRDefault="00BE597E" w:rsidP="00BE597E">
            <w:pPr>
              <w:jc w:val="both"/>
              <w:rPr>
                <w:sz w:val="20"/>
              </w:rPr>
            </w:pPr>
            <w:r w:rsidRPr="001F1644">
              <w:rPr>
                <w:sz w:val="20"/>
              </w:rPr>
              <w:t>(Ferguson J.)</w:t>
            </w:r>
          </w:p>
          <w:p w:rsidR="00BE597E" w:rsidRPr="001F1644" w:rsidRDefault="00BE597E" w:rsidP="00BE597E">
            <w:pPr>
              <w:jc w:val="both"/>
              <w:rPr>
                <w:sz w:val="20"/>
              </w:rPr>
            </w:pPr>
            <w:r w:rsidRPr="001F1644">
              <w:rPr>
                <w:sz w:val="20"/>
              </w:rPr>
              <w:t xml:space="preserve">Neutral citation: </w:t>
            </w:r>
            <w:hyperlink r:id="rId76" w:history="1">
              <w:r w:rsidRPr="001F1644">
                <w:rPr>
                  <w:rStyle w:val="Hyperlink"/>
                  <w:sz w:val="20"/>
                </w:rPr>
                <w:t>2020 NBQB 201</w:t>
              </w:r>
            </w:hyperlink>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Motion for summary judgment dismissed</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March 23, 2021</w:t>
            </w:r>
          </w:p>
          <w:p w:rsidR="00BE597E" w:rsidRPr="001F1644" w:rsidRDefault="00BE597E" w:rsidP="00BE597E">
            <w:pPr>
              <w:jc w:val="both"/>
              <w:rPr>
                <w:sz w:val="20"/>
              </w:rPr>
            </w:pPr>
            <w:r w:rsidRPr="001F1644">
              <w:rPr>
                <w:sz w:val="20"/>
              </w:rPr>
              <w:t>Court of Appeal of New Brunswick</w:t>
            </w:r>
          </w:p>
          <w:p w:rsidR="00BE597E" w:rsidRPr="001F1644" w:rsidRDefault="00BE597E" w:rsidP="00BE597E">
            <w:pPr>
              <w:jc w:val="both"/>
              <w:rPr>
                <w:sz w:val="20"/>
              </w:rPr>
            </w:pPr>
            <w:r w:rsidRPr="001F1644">
              <w:rPr>
                <w:sz w:val="20"/>
              </w:rPr>
              <w:t>(French J.A.)</w:t>
            </w:r>
          </w:p>
          <w:p w:rsidR="00BE597E" w:rsidRPr="001F1644" w:rsidRDefault="00BE597E" w:rsidP="00BE597E">
            <w:pPr>
              <w:jc w:val="both"/>
              <w:rPr>
                <w:sz w:val="20"/>
              </w:rPr>
            </w:pPr>
            <w:r w:rsidRPr="001F1644">
              <w:rPr>
                <w:sz w:val="20"/>
              </w:rPr>
              <w:t xml:space="preserve">Neutral citation: </w:t>
            </w:r>
            <w:hyperlink r:id="rId77" w:history="1">
              <w:r w:rsidRPr="001F1644">
                <w:rPr>
                  <w:rStyle w:val="Hyperlink"/>
                  <w:rFonts w:eastAsiaTheme="majorEastAsia"/>
                  <w:sz w:val="20"/>
                </w:rPr>
                <w:t>2021 CanLII 23249 (NB CA)</w:t>
              </w:r>
            </w:hyperlink>
            <w:r w:rsidRPr="001F1644">
              <w:rPr>
                <w:sz w:val="20"/>
              </w:rPr>
              <w:t xml:space="preserve"> </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Application for leave to appeal dismissed</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April 9, 2021</w:t>
            </w:r>
          </w:p>
          <w:p w:rsidR="00BE597E" w:rsidRPr="001F1644" w:rsidRDefault="00BE597E" w:rsidP="00BE597E">
            <w:pPr>
              <w:jc w:val="both"/>
              <w:rPr>
                <w:sz w:val="20"/>
              </w:rPr>
            </w:pPr>
            <w:r w:rsidRPr="001F1644">
              <w:rPr>
                <w:sz w:val="20"/>
              </w:rPr>
              <w:t>Supreme Court of Canada</w:t>
            </w: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Application for leave to appeal filed</w:t>
            </w:r>
          </w:p>
          <w:p w:rsidR="00BE597E" w:rsidRPr="001F1644" w:rsidRDefault="00BE597E" w:rsidP="00BE597E">
            <w:pPr>
              <w:jc w:val="both"/>
              <w:rPr>
                <w:sz w:val="20"/>
              </w:rPr>
            </w:pPr>
          </w:p>
        </w:tc>
      </w:tr>
    </w:tbl>
    <w:p w:rsidR="00BE597E" w:rsidRPr="001F1644" w:rsidRDefault="00BE597E" w:rsidP="00BE597E">
      <w:pPr>
        <w:jc w:val="both"/>
        <w:rPr>
          <w:sz w:val="20"/>
        </w:rPr>
      </w:pPr>
    </w:p>
    <w:p w:rsidR="00EC01CB" w:rsidRPr="001F1644" w:rsidRDefault="00724EE4" w:rsidP="00BE597E">
      <w:pPr>
        <w:jc w:val="both"/>
        <w:rPr>
          <w:sz w:val="20"/>
        </w:rPr>
      </w:pPr>
      <w:r>
        <w:rPr>
          <w:sz w:val="20"/>
        </w:rPr>
        <w:pict>
          <v:rect id="_x0000_i1053" style="width:2in;height:1pt" o:hrpct="0" o:hralign="center" o:hrstd="t" o:hrnoshade="t" o:hr="t" fillcolor="black [3213]" stroked="f"/>
        </w:pict>
      </w:r>
    </w:p>
    <w:p w:rsidR="00EC01CB" w:rsidRPr="001F1644" w:rsidRDefault="00EC01CB" w:rsidP="00BE59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39711</w:t>
            </w:r>
          </w:p>
        </w:tc>
        <w:tc>
          <w:tcPr>
            <w:tcW w:w="4457" w:type="pct"/>
            <w:gridSpan w:val="3"/>
          </w:tcPr>
          <w:p w:rsidR="00BE597E" w:rsidRPr="001F1644" w:rsidRDefault="00BE597E" w:rsidP="00BE597E">
            <w:pPr>
              <w:pStyle w:val="SCCLsocParty"/>
              <w:jc w:val="both"/>
              <w:rPr>
                <w:b/>
                <w:sz w:val="20"/>
                <w:szCs w:val="20"/>
                <w:lang w:val="en-US"/>
              </w:rPr>
            </w:pPr>
            <w:r w:rsidRPr="001F1644">
              <w:rPr>
                <w:b/>
                <w:sz w:val="20"/>
                <w:szCs w:val="20"/>
                <w:lang w:val="en-US"/>
              </w:rPr>
              <w:t>Université Mount Allison c. Steven Salterio, Leslie Benecki</w:t>
            </w:r>
          </w:p>
          <w:p w:rsidR="00BE597E" w:rsidRPr="001F1644" w:rsidRDefault="00BE597E" w:rsidP="00BE597E">
            <w:pPr>
              <w:jc w:val="both"/>
              <w:rPr>
                <w:sz w:val="20"/>
              </w:rPr>
            </w:pPr>
            <w:r w:rsidRPr="001F1644">
              <w:rPr>
                <w:sz w:val="20"/>
              </w:rPr>
              <w:t>(N.</w:t>
            </w:r>
            <w:r w:rsidRPr="001F1644">
              <w:rPr>
                <w:sz w:val="20"/>
              </w:rPr>
              <w:noBreakHyphen/>
              <w:t>B.) (Civile) (Autorisation)</w:t>
            </w:r>
          </w:p>
        </w:tc>
      </w:tr>
      <w:tr w:rsidR="00BE597E" w:rsidRPr="00724EE4" w:rsidTr="00BE597E">
        <w:tc>
          <w:tcPr>
            <w:tcW w:w="5000" w:type="pct"/>
            <w:gridSpan w:val="4"/>
          </w:tcPr>
          <w:p w:rsidR="00BE597E" w:rsidRPr="001F1644" w:rsidRDefault="00BE597E" w:rsidP="00BE597E">
            <w:pPr>
              <w:jc w:val="both"/>
              <w:rPr>
                <w:sz w:val="20"/>
                <w:lang w:val="fr-CA"/>
              </w:rPr>
            </w:pPr>
            <w:r w:rsidRPr="001F1644">
              <w:rPr>
                <w:sz w:val="20"/>
                <w:lang w:val="fr-CA"/>
              </w:rPr>
              <w:t>Responsabilité délictuelle — Contrats — Déclaration inexacte faite par négligence — Quand une tierce partie à un contrat peut</w:t>
            </w:r>
            <w:r w:rsidRPr="001F1644">
              <w:rPr>
                <w:sz w:val="20"/>
                <w:lang w:val="fr-CA"/>
              </w:rPr>
              <w:noBreakHyphen/>
              <w:t>elle demander l’exécution ou la renonciation à ce contrat? — Quand un tribunal a</w:t>
            </w:r>
            <w:r w:rsidRPr="001F1644">
              <w:rPr>
                <w:sz w:val="20"/>
                <w:lang w:val="fr-CA"/>
              </w:rPr>
              <w:noBreakHyphen/>
              <w:t>t</w:t>
            </w:r>
            <w:r w:rsidRPr="001F1644">
              <w:rPr>
                <w:sz w:val="20"/>
                <w:lang w:val="fr-CA"/>
              </w:rPr>
              <w:noBreakHyphen/>
              <w:t>il compétence à l’égard d’un contentieux relatif à une convention collective?</w:t>
            </w:r>
          </w:p>
        </w:tc>
      </w:tr>
      <w:tr w:rsidR="00BE597E" w:rsidRPr="00724EE4" w:rsidTr="00BE597E">
        <w:tc>
          <w:tcPr>
            <w:tcW w:w="5000" w:type="pct"/>
            <w:gridSpan w:val="4"/>
          </w:tcPr>
          <w:p w:rsidR="00BE597E" w:rsidRPr="001F1644" w:rsidRDefault="00BE597E" w:rsidP="00BE597E">
            <w:pPr>
              <w:jc w:val="both"/>
              <w:rPr>
                <w:sz w:val="20"/>
                <w:lang w:val="fr-CA"/>
              </w:rPr>
            </w:pPr>
          </w:p>
          <w:p w:rsidR="00BE597E" w:rsidRPr="001F1644" w:rsidRDefault="00BE597E" w:rsidP="00BE597E">
            <w:pPr>
              <w:jc w:val="both"/>
              <w:rPr>
                <w:sz w:val="20"/>
                <w:lang w:val="fr-CA"/>
              </w:rPr>
            </w:pPr>
            <w:r w:rsidRPr="001F1644">
              <w:rPr>
                <w:sz w:val="20"/>
                <w:lang w:val="fr-CA"/>
              </w:rPr>
              <w:t>Les défendeurs ont intenté une action contre la demanderesse, l’Université, en vue d’obtenir des dommages</w:t>
            </w:r>
            <w:r w:rsidRPr="001F1644">
              <w:rPr>
                <w:sz w:val="20"/>
                <w:lang w:val="fr-CA"/>
              </w:rPr>
              <w:noBreakHyphen/>
              <w:t>intérêts pour déclaration inexacte faite par négligence. L’Université a présenté une motion en jugement sommaire rejetant l’action. La motion a été rejetée. L’Université a alors présenté une demande d’autorisation d’appel à la Cour d’appel du Nouveau</w:t>
            </w:r>
            <w:r w:rsidRPr="001F1644">
              <w:rPr>
                <w:sz w:val="20"/>
                <w:lang w:val="fr-CA"/>
              </w:rPr>
              <w:noBreakHyphen/>
              <w:t xml:space="preserve">Brunswick, laquelle a été refusée. </w:t>
            </w:r>
          </w:p>
        </w:tc>
      </w:tr>
      <w:tr w:rsidR="00BE597E" w:rsidRPr="00724EE4" w:rsidTr="00BE597E">
        <w:tc>
          <w:tcPr>
            <w:tcW w:w="5000" w:type="pct"/>
            <w:gridSpan w:val="4"/>
          </w:tcPr>
          <w:p w:rsidR="00BE597E" w:rsidRPr="001F1644" w:rsidRDefault="00BE597E" w:rsidP="00BE597E">
            <w:pPr>
              <w:jc w:val="both"/>
              <w:rPr>
                <w:sz w:val="20"/>
                <w:lang w:val="fr-CA"/>
              </w:rPr>
            </w:pPr>
          </w:p>
        </w:tc>
      </w:tr>
      <w:tr w:rsidR="00BE597E" w:rsidRPr="001F1644" w:rsidTr="00BE597E">
        <w:tc>
          <w:tcPr>
            <w:tcW w:w="2427" w:type="pct"/>
            <w:gridSpan w:val="2"/>
          </w:tcPr>
          <w:p w:rsidR="00BE597E" w:rsidRPr="001F1644" w:rsidRDefault="00BE597E" w:rsidP="00BE597E">
            <w:pPr>
              <w:jc w:val="both"/>
              <w:rPr>
                <w:sz w:val="20"/>
                <w:lang w:val="fr-CA"/>
              </w:rPr>
            </w:pPr>
            <w:r w:rsidRPr="001F1644">
              <w:rPr>
                <w:sz w:val="20"/>
                <w:lang w:val="fr-CA"/>
              </w:rPr>
              <w:t>28 octobre 2020</w:t>
            </w:r>
          </w:p>
          <w:p w:rsidR="00BE597E" w:rsidRPr="001F1644" w:rsidRDefault="00BE597E" w:rsidP="00BE597E">
            <w:pPr>
              <w:jc w:val="both"/>
              <w:rPr>
                <w:sz w:val="20"/>
                <w:lang w:val="fr-CA"/>
              </w:rPr>
            </w:pPr>
            <w:r w:rsidRPr="001F1644">
              <w:rPr>
                <w:sz w:val="20"/>
                <w:lang w:val="fr-CA"/>
              </w:rPr>
              <w:t>Cour du Banc de la Reine du Nouveau</w:t>
            </w:r>
            <w:r w:rsidRPr="001F1644">
              <w:rPr>
                <w:sz w:val="20"/>
                <w:lang w:val="fr-CA"/>
              </w:rPr>
              <w:noBreakHyphen/>
              <w:t>Brunswick</w:t>
            </w:r>
          </w:p>
          <w:p w:rsidR="00BE597E" w:rsidRPr="001F1644" w:rsidRDefault="00BE597E" w:rsidP="00BE597E">
            <w:pPr>
              <w:jc w:val="both"/>
              <w:rPr>
                <w:sz w:val="20"/>
                <w:lang w:val="fr-CA"/>
              </w:rPr>
            </w:pPr>
            <w:r w:rsidRPr="001F1644">
              <w:rPr>
                <w:sz w:val="20"/>
                <w:lang w:val="fr-CA"/>
              </w:rPr>
              <w:t>(juge Ferguson)</w:t>
            </w:r>
          </w:p>
          <w:p w:rsidR="00BE597E" w:rsidRPr="001F1644" w:rsidRDefault="00BE597E" w:rsidP="00BE597E">
            <w:pPr>
              <w:jc w:val="both"/>
              <w:rPr>
                <w:sz w:val="20"/>
                <w:lang w:val="fr-CA"/>
              </w:rPr>
            </w:pPr>
            <w:r w:rsidRPr="001F1644">
              <w:rPr>
                <w:sz w:val="20"/>
                <w:lang w:val="fr-CA"/>
              </w:rPr>
              <w:t xml:space="preserve">Référence neutre : </w:t>
            </w:r>
            <w:hyperlink r:id="rId78" w:history="1">
              <w:r w:rsidRPr="001F1644">
                <w:rPr>
                  <w:rStyle w:val="Hyperlink"/>
                  <w:sz w:val="20"/>
                  <w:lang w:val="fr-CA"/>
                </w:rPr>
                <w:t>2020 NBQB 201</w:t>
              </w:r>
            </w:hyperlink>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Motion en jugement sommaire rejetée</w:t>
            </w:r>
          </w:p>
          <w:p w:rsidR="00BE597E" w:rsidRPr="001F1644" w:rsidRDefault="00BE597E" w:rsidP="00BE597E">
            <w:pPr>
              <w:jc w:val="both"/>
              <w:rPr>
                <w:sz w:val="20"/>
                <w:lang w:val="fr-CA"/>
              </w:rPr>
            </w:pPr>
          </w:p>
        </w:tc>
      </w:tr>
      <w:tr w:rsidR="00BE597E" w:rsidRPr="001F1644" w:rsidTr="00BE597E">
        <w:tc>
          <w:tcPr>
            <w:tcW w:w="2427" w:type="pct"/>
            <w:gridSpan w:val="2"/>
          </w:tcPr>
          <w:p w:rsidR="00BE597E" w:rsidRPr="001F1644" w:rsidRDefault="00BE597E" w:rsidP="00BE597E">
            <w:pPr>
              <w:jc w:val="both"/>
              <w:rPr>
                <w:sz w:val="20"/>
                <w:lang w:val="fr-CA"/>
              </w:rPr>
            </w:pPr>
            <w:r w:rsidRPr="001F1644">
              <w:rPr>
                <w:sz w:val="20"/>
                <w:lang w:val="fr-CA"/>
              </w:rPr>
              <w:t>23 mars 2021</w:t>
            </w:r>
          </w:p>
          <w:p w:rsidR="00BE597E" w:rsidRPr="001F1644" w:rsidRDefault="00BE597E" w:rsidP="00BE597E">
            <w:pPr>
              <w:jc w:val="both"/>
              <w:rPr>
                <w:sz w:val="20"/>
                <w:lang w:val="fr-CA"/>
              </w:rPr>
            </w:pPr>
            <w:r w:rsidRPr="001F1644">
              <w:rPr>
                <w:sz w:val="20"/>
                <w:lang w:val="fr-CA"/>
              </w:rPr>
              <w:t>Cour d’appel du Nouveau</w:t>
            </w:r>
            <w:r w:rsidRPr="001F1644">
              <w:rPr>
                <w:sz w:val="20"/>
                <w:lang w:val="fr-CA"/>
              </w:rPr>
              <w:noBreakHyphen/>
              <w:t>Brunswick</w:t>
            </w:r>
          </w:p>
          <w:p w:rsidR="00BE597E" w:rsidRPr="001F1644" w:rsidRDefault="00BE597E" w:rsidP="00BE597E">
            <w:pPr>
              <w:jc w:val="both"/>
              <w:rPr>
                <w:sz w:val="20"/>
                <w:lang w:val="fr-CA"/>
              </w:rPr>
            </w:pPr>
            <w:r w:rsidRPr="001F1644">
              <w:rPr>
                <w:sz w:val="20"/>
                <w:lang w:val="fr-CA"/>
              </w:rPr>
              <w:t>(juge French)</w:t>
            </w:r>
          </w:p>
          <w:p w:rsidR="00BE597E" w:rsidRPr="001F1644" w:rsidRDefault="00BE597E" w:rsidP="00BE597E">
            <w:pPr>
              <w:jc w:val="both"/>
              <w:rPr>
                <w:sz w:val="20"/>
                <w:lang w:val="fr-CA"/>
              </w:rPr>
            </w:pPr>
            <w:r w:rsidRPr="001F1644">
              <w:rPr>
                <w:sz w:val="20"/>
                <w:lang w:val="fr-CA"/>
              </w:rPr>
              <w:t xml:space="preserve">Référence neutre : </w:t>
            </w:r>
            <w:hyperlink r:id="rId79" w:history="1">
              <w:r w:rsidRPr="001F1644">
                <w:rPr>
                  <w:rStyle w:val="Hyperlink"/>
                  <w:rFonts w:eastAsiaTheme="majorEastAsia"/>
                  <w:sz w:val="20"/>
                  <w:lang w:val="fr-CA"/>
                </w:rPr>
                <w:t>2021 CanLII 23249 (CA N.</w:t>
              </w:r>
              <w:r w:rsidRPr="001F1644">
                <w:rPr>
                  <w:rStyle w:val="Hyperlink"/>
                  <w:rFonts w:eastAsiaTheme="majorEastAsia"/>
                  <w:sz w:val="20"/>
                  <w:lang w:val="fr-CA"/>
                </w:rPr>
                <w:noBreakHyphen/>
                <w:t>B.)</w:t>
              </w:r>
            </w:hyperlink>
            <w:r w:rsidRPr="001F1644">
              <w:rPr>
                <w:sz w:val="20"/>
                <w:lang w:val="fr-CA"/>
              </w:rPr>
              <w:t xml:space="preserve"> </w:t>
            </w:r>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rPr>
            </w:pPr>
            <w:r w:rsidRPr="001F1644">
              <w:rPr>
                <w:sz w:val="20"/>
              </w:rPr>
              <w:t xml:space="preserve">Demande d’autorisation d’appel rejetée </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lang w:val="fr-CA"/>
              </w:rPr>
            </w:pPr>
            <w:r w:rsidRPr="001F1644">
              <w:rPr>
                <w:sz w:val="20"/>
                <w:lang w:val="fr-CA"/>
              </w:rPr>
              <w:t>9 avril 2021</w:t>
            </w:r>
          </w:p>
          <w:p w:rsidR="00BE597E" w:rsidRPr="001F1644" w:rsidRDefault="00BE597E" w:rsidP="00BE597E">
            <w:pPr>
              <w:jc w:val="both"/>
              <w:rPr>
                <w:sz w:val="20"/>
                <w:lang w:val="fr-CA"/>
              </w:rPr>
            </w:pPr>
            <w:r w:rsidRPr="001F1644">
              <w:rPr>
                <w:sz w:val="20"/>
                <w:lang w:val="fr-CA"/>
              </w:rPr>
              <w:t>Cour suprême du Canada</w:t>
            </w: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rPr>
            </w:pPr>
            <w:r w:rsidRPr="001F1644">
              <w:rPr>
                <w:sz w:val="20"/>
              </w:rPr>
              <w:t>Demande d’autorisation d’appel déposée</w:t>
            </w:r>
          </w:p>
          <w:p w:rsidR="00BE597E" w:rsidRPr="001F1644" w:rsidRDefault="00BE597E" w:rsidP="00BE597E">
            <w:pPr>
              <w:jc w:val="both"/>
              <w:rPr>
                <w:sz w:val="20"/>
              </w:rPr>
            </w:pPr>
          </w:p>
        </w:tc>
      </w:tr>
    </w:tbl>
    <w:p w:rsidR="00BE597E" w:rsidRPr="001F1644" w:rsidRDefault="00BE597E" w:rsidP="00BE597E">
      <w:pPr>
        <w:jc w:val="both"/>
        <w:rPr>
          <w:sz w:val="20"/>
        </w:rPr>
      </w:pPr>
    </w:p>
    <w:p w:rsidR="00EC01CB" w:rsidRPr="001F1644" w:rsidRDefault="00724EE4" w:rsidP="00BE597E">
      <w:pPr>
        <w:jc w:val="both"/>
        <w:rPr>
          <w:sz w:val="20"/>
        </w:rPr>
      </w:pPr>
      <w:r>
        <w:rPr>
          <w:sz w:val="20"/>
        </w:rPr>
        <w:pict>
          <v:rect id="_x0000_i1054" style="width:2in;height:1pt" o:hrpct="0" o:hralign="center" o:hrstd="t" o:hrnoshade="t" o:hr="t" fillcolor="black [3213]" stroked="f"/>
        </w:pict>
      </w:r>
    </w:p>
    <w:p w:rsidR="00BA25C8" w:rsidRPr="001F1644" w:rsidRDefault="00BA25C8"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39845</w:t>
            </w:r>
          </w:p>
        </w:tc>
        <w:tc>
          <w:tcPr>
            <w:tcW w:w="4457" w:type="pct"/>
            <w:gridSpan w:val="3"/>
          </w:tcPr>
          <w:p w:rsidR="00BE597E" w:rsidRPr="001F1644" w:rsidRDefault="00BE597E" w:rsidP="00BE597E">
            <w:pPr>
              <w:pStyle w:val="SCCLsocParty"/>
              <w:jc w:val="both"/>
              <w:rPr>
                <w:b/>
                <w:sz w:val="20"/>
                <w:szCs w:val="20"/>
                <w:lang w:val="en-US"/>
              </w:rPr>
            </w:pPr>
            <w:r w:rsidRPr="001F1644">
              <w:rPr>
                <w:b/>
                <w:sz w:val="20"/>
                <w:szCs w:val="20"/>
                <w:lang w:val="en-US"/>
              </w:rPr>
              <w:t>James Anthony Manastersky v. RBC Dominion Securities Inc.</w:t>
            </w:r>
          </w:p>
          <w:p w:rsidR="00BE597E" w:rsidRPr="001F1644" w:rsidRDefault="00BE597E" w:rsidP="00BE597E">
            <w:pPr>
              <w:jc w:val="both"/>
              <w:rPr>
                <w:sz w:val="20"/>
              </w:rPr>
            </w:pPr>
            <w:r w:rsidRPr="001F1644">
              <w:rPr>
                <w:sz w:val="20"/>
              </w:rPr>
              <w:t>(Ont.) (Civil) (By Leave)</w:t>
            </w:r>
          </w:p>
        </w:tc>
      </w:tr>
      <w:tr w:rsidR="00BE597E" w:rsidRPr="001F1644" w:rsidTr="00BE597E">
        <w:tc>
          <w:tcPr>
            <w:tcW w:w="5000" w:type="pct"/>
            <w:gridSpan w:val="4"/>
          </w:tcPr>
          <w:p w:rsidR="00BE597E" w:rsidRPr="001F1644" w:rsidRDefault="00BE597E" w:rsidP="00BE597E">
            <w:pPr>
              <w:jc w:val="both"/>
              <w:rPr>
                <w:sz w:val="20"/>
              </w:rPr>
            </w:pPr>
            <w:r w:rsidRPr="001F1644">
              <w:rPr>
                <w:sz w:val="20"/>
              </w:rPr>
              <w:lastRenderedPageBreak/>
              <w:t>Employment law — Unjust dismissal — Damages — Employer providing compensation in profit</w:t>
            </w:r>
            <w:r w:rsidRPr="001F1644">
              <w:rPr>
                <w:sz w:val="20"/>
              </w:rPr>
              <w:noBreakHyphen/>
              <w:t>sharing plans termed carried interest plans — Employer winding up existing carried interest plans and approving termination of future carried interest plans after employee’s termination — What is the impact of unilateral changes made by the employer during the notice period, which have the effect of discontinuing an element of compensation, on an employee’s entitlement to damages in relation to the loss of that element of compensation for the duration of the notice period? — How is the two</w:t>
            </w:r>
            <w:r w:rsidRPr="001F1644">
              <w:rPr>
                <w:sz w:val="20"/>
              </w:rPr>
              <w:noBreakHyphen/>
              <w:t xml:space="preserve">part test established in </w:t>
            </w:r>
            <w:r w:rsidRPr="001F1644">
              <w:rPr>
                <w:i/>
                <w:sz w:val="20"/>
              </w:rPr>
              <w:t>Matthews v. Ocean Nutrition Canada Ltd.</w:t>
            </w:r>
            <w:r w:rsidRPr="001F1644">
              <w:rPr>
                <w:sz w:val="20"/>
              </w:rPr>
              <w:t>, 2020 SCC 26, to be applied in the context of a non</w:t>
            </w:r>
            <w:r w:rsidRPr="001F1644">
              <w:rPr>
                <w:sz w:val="20"/>
              </w:rPr>
              <w:noBreakHyphen/>
              <w:t>discretionary compensation plan where the incentive or benefit is not an annual payment or bonus but rather a carried interest plan or commission plan?</w:t>
            </w:r>
          </w:p>
        </w:tc>
      </w:tr>
      <w:tr w:rsidR="00BE597E" w:rsidRPr="001F1644" w:rsidTr="00BE597E">
        <w:tc>
          <w:tcPr>
            <w:tcW w:w="5000" w:type="pct"/>
            <w:gridSpan w:val="4"/>
          </w:tcPr>
          <w:p w:rsidR="00BE597E" w:rsidRPr="001F1644" w:rsidRDefault="00BE597E" w:rsidP="00BE597E">
            <w:pPr>
              <w:jc w:val="both"/>
              <w:rPr>
                <w:sz w:val="20"/>
              </w:rPr>
            </w:pPr>
          </w:p>
          <w:p w:rsidR="00BE597E" w:rsidRPr="001F1644" w:rsidRDefault="00BE597E" w:rsidP="00BE597E">
            <w:pPr>
              <w:jc w:val="both"/>
              <w:rPr>
                <w:sz w:val="20"/>
              </w:rPr>
            </w:pPr>
            <w:r w:rsidRPr="001F1644">
              <w:rPr>
                <w:sz w:val="20"/>
              </w:rPr>
              <w:t>The applicant, Mr. Manastersky, was employed by the respondent, RBC Dominion Securities Inc. (“RBCDS”). During his employment, Mr. Manastersky participated in profit</w:t>
            </w:r>
            <w:r w:rsidRPr="001F1644">
              <w:rPr>
                <w:sz w:val="20"/>
              </w:rPr>
              <w:noBreakHyphen/>
              <w:t>sharing incentive plans termed carried interest plans (“CIPs”). After his employment was terminated, Mr. Manastersky brought a wrongful dismissal action against RBCDS. At trial, RBCDS conceded that it had terminated Mr. Manastersky’s employment without cause. The trial judge awarded Mr. Manastersky a sum in respect of the lost opportunity to earn entitlements under the CIPs during the 18</w:t>
            </w:r>
            <w:r w:rsidRPr="001F1644">
              <w:rPr>
                <w:sz w:val="20"/>
              </w:rPr>
              <w:noBreakHyphen/>
              <w:t xml:space="preserve">month reasonable notice period. A majority of the Court of Appeal allowed RBCDS’ appeal and set aside Mr. Manastersky’s award of damages in respect of the CIP. Mr. Manastersky sought leave to appeal from that judgment and his case was remanded </w:t>
            </w:r>
            <w:r w:rsidRPr="001F1644">
              <w:rPr>
                <w:color w:val="000000"/>
                <w:sz w:val="20"/>
              </w:rPr>
              <w:t xml:space="preserve">to the Court of Appeal for disposition in accordance with </w:t>
            </w:r>
            <w:r w:rsidRPr="001F1644">
              <w:rPr>
                <w:i/>
                <w:color w:val="000000"/>
                <w:sz w:val="20"/>
              </w:rPr>
              <w:t>Matthews</w:t>
            </w:r>
            <w:r w:rsidRPr="001F1644">
              <w:rPr>
                <w:i/>
                <w:iCs/>
                <w:color w:val="000000"/>
                <w:sz w:val="20"/>
              </w:rPr>
              <w:t xml:space="preserve"> v. Ocean Nutrition Canada Ltd.</w:t>
            </w:r>
            <w:r w:rsidRPr="001F1644">
              <w:rPr>
                <w:iCs/>
                <w:color w:val="000000"/>
                <w:sz w:val="20"/>
              </w:rPr>
              <w:t>, 2020 SCC 26</w:t>
            </w:r>
            <w:r w:rsidRPr="001F1644">
              <w:rPr>
                <w:i/>
                <w:iCs/>
                <w:color w:val="000000"/>
                <w:sz w:val="20"/>
              </w:rPr>
              <w:t>.</w:t>
            </w:r>
            <w:r w:rsidRPr="001F1644">
              <w:rPr>
                <w:iCs/>
                <w:color w:val="000000"/>
                <w:sz w:val="20"/>
              </w:rPr>
              <w:t xml:space="preserve"> The Court of Appeal confirmed its initial decision.</w:t>
            </w:r>
          </w:p>
        </w:tc>
      </w:tr>
      <w:tr w:rsidR="00BE597E" w:rsidRPr="001F1644" w:rsidTr="00BE597E">
        <w:tc>
          <w:tcPr>
            <w:tcW w:w="5000" w:type="pct"/>
            <w:gridSpan w:val="4"/>
          </w:tcPr>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February 14, 2018</w:t>
            </w:r>
          </w:p>
          <w:p w:rsidR="00BE597E" w:rsidRPr="001F1644" w:rsidRDefault="00BE597E" w:rsidP="00BE597E">
            <w:pPr>
              <w:jc w:val="both"/>
              <w:rPr>
                <w:sz w:val="20"/>
              </w:rPr>
            </w:pPr>
            <w:r w:rsidRPr="001F1644">
              <w:rPr>
                <w:sz w:val="20"/>
              </w:rPr>
              <w:t>Ontario Superior Court of Justice</w:t>
            </w:r>
          </w:p>
          <w:p w:rsidR="00BE597E" w:rsidRPr="001F1644" w:rsidRDefault="00BE597E" w:rsidP="00BE597E">
            <w:pPr>
              <w:jc w:val="both"/>
              <w:rPr>
                <w:sz w:val="20"/>
              </w:rPr>
            </w:pPr>
            <w:r w:rsidRPr="001F1644">
              <w:rPr>
                <w:sz w:val="20"/>
              </w:rPr>
              <w:t>(Monahan J.)</w:t>
            </w:r>
          </w:p>
          <w:p w:rsidR="00BE597E" w:rsidRPr="001F1644" w:rsidRDefault="00724EE4" w:rsidP="00BE597E">
            <w:pPr>
              <w:jc w:val="both"/>
              <w:rPr>
                <w:sz w:val="20"/>
              </w:rPr>
            </w:pPr>
            <w:hyperlink r:id="rId80" w:history="1">
              <w:r w:rsidR="00BE597E" w:rsidRPr="001F1644">
                <w:rPr>
                  <w:rStyle w:val="Hyperlink"/>
                  <w:sz w:val="20"/>
                </w:rPr>
                <w:t>2018 ONSC 966</w:t>
              </w:r>
            </w:hyperlink>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Applicant’s wrongful dismissal action granted; lost opportunity to earn entitlements in carried interest plans awarded for 18 month notice of termination period.</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July 18, 2019</w:t>
            </w:r>
          </w:p>
          <w:p w:rsidR="00BE597E" w:rsidRPr="001F1644" w:rsidRDefault="00BE597E" w:rsidP="00BE597E">
            <w:pPr>
              <w:jc w:val="both"/>
              <w:rPr>
                <w:sz w:val="20"/>
              </w:rPr>
            </w:pPr>
            <w:r w:rsidRPr="001F1644">
              <w:rPr>
                <w:sz w:val="20"/>
              </w:rPr>
              <w:t>Court of Appeal for Ontario</w:t>
            </w:r>
          </w:p>
          <w:p w:rsidR="00BE597E" w:rsidRPr="001F1644" w:rsidRDefault="00BE597E" w:rsidP="00BE597E">
            <w:pPr>
              <w:jc w:val="both"/>
              <w:rPr>
                <w:sz w:val="20"/>
              </w:rPr>
            </w:pPr>
            <w:r w:rsidRPr="001F1644">
              <w:rPr>
                <w:sz w:val="20"/>
              </w:rPr>
              <w:t>(Feldman [dissenting], Brown and Miller JJ.A.)</w:t>
            </w:r>
          </w:p>
          <w:p w:rsidR="00BE597E" w:rsidRPr="001F1644" w:rsidRDefault="00724EE4" w:rsidP="00BE597E">
            <w:pPr>
              <w:jc w:val="both"/>
              <w:rPr>
                <w:sz w:val="20"/>
              </w:rPr>
            </w:pPr>
            <w:hyperlink r:id="rId81" w:history="1">
              <w:r w:rsidR="00BE597E" w:rsidRPr="001F1644">
                <w:rPr>
                  <w:rStyle w:val="Hyperlink"/>
                  <w:sz w:val="20"/>
                </w:rPr>
                <w:t>2019 ONCA 609</w:t>
              </w:r>
            </w:hyperlink>
            <w:r w:rsidR="00BE597E" w:rsidRPr="001F1644">
              <w:rPr>
                <w:rStyle w:val="Hyperlink"/>
                <w:sz w:val="20"/>
              </w:rPr>
              <w:t xml:space="preserve"> </w:t>
            </w:r>
            <w:r w:rsidR="00BE597E" w:rsidRPr="001F1644">
              <w:rPr>
                <w:sz w:val="20"/>
              </w:rPr>
              <w:t>(Docket C65121)</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Appeal allowed in part; damages for lost opportunity to earn entitlements in carried interest plans set aside.</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November 12, 2020</w:t>
            </w:r>
          </w:p>
          <w:p w:rsidR="00BE597E" w:rsidRPr="001F1644" w:rsidRDefault="00BE597E" w:rsidP="00BE597E">
            <w:pPr>
              <w:jc w:val="both"/>
              <w:rPr>
                <w:sz w:val="20"/>
              </w:rPr>
            </w:pPr>
            <w:r w:rsidRPr="001F1644">
              <w:rPr>
                <w:sz w:val="20"/>
              </w:rPr>
              <w:t>Supreme Court of Canada</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 xml:space="preserve">Application for leave to appeal remanded to the Court of Appeal for Ontario for disposition in accordance with </w:t>
            </w:r>
            <w:r w:rsidRPr="001F1644">
              <w:rPr>
                <w:i/>
                <w:sz w:val="20"/>
              </w:rPr>
              <w:t>Matthews v. Ocean Nutrition Canada Ltd.</w:t>
            </w:r>
            <w:r w:rsidRPr="001F1644">
              <w:rPr>
                <w:sz w:val="20"/>
              </w:rPr>
              <w:t>, 2020 SCC 26.</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June 24, 2021</w:t>
            </w:r>
          </w:p>
          <w:p w:rsidR="00BE597E" w:rsidRPr="001F1644" w:rsidRDefault="00BE597E" w:rsidP="00BE597E">
            <w:pPr>
              <w:jc w:val="both"/>
              <w:rPr>
                <w:sz w:val="20"/>
              </w:rPr>
            </w:pPr>
            <w:r w:rsidRPr="001F1644">
              <w:rPr>
                <w:sz w:val="20"/>
              </w:rPr>
              <w:t>Court of Appeal for Ontario</w:t>
            </w:r>
          </w:p>
          <w:p w:rsidR="00BE597E" w:rsidRPr="001F1644" w:rsidRDefault="00BE597E" w:rsidP="00BE597E">
            <w:pPr>
              <w:jc w:val="both"/>
              <w:rPr>
                <w:sz w:val="20"/>
              </w:rPr>
            </w:pPr>
            <w:r w:rsidRPr="001F1644">
              <w:rPr>
                <w:sz w:val="20"/>
              </w:rPr>
              <w:t>(Feldman [dissenting], Brown and Miller JJ.A.)</w:t>
            </w:r>
          </w:p>
          <w:p w:rsidR="00BE597E" w:rsidRPr="001F1644" w:rsidRDefault="00724EE4" w:rsidP="00BE597E">
            <w:pPr>
              <w:jc w:val="both"/>
              <w:rPr>
                <w:sz w:val="20"/>
              </w:rPr>
            </w:pPr>
            <w:hyperlink r:id="rId82" w:history="1">
              <w:r w:rsidR="00BE597E" w:rsidRPr="001F1644">
                <w:rPr>
                  <w:rStyle w:val="Hyperlink"/>
                  <w:sz w:val="20"/>
                </w:rPr>
                <w:t>2021 ONCA 458</w:t>
              </w:r>
            </w:hyperlink>
            <w:r w:rsidR="00BE597E" w:rsidRPr="001F1644">
              <w:rPr>
                <w:sz w:val="20"/>
              </w:rPr>
              <w:t xml:space="preserve"> (Docket C65121)</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Original Court of Appeal decision affirmed.</w:t>
            </w:r>
          </w:p>
        </w:tc>
      </w:tr>
      <w:tr w:rsidR="00BE597E" w:rsidRPr="001F1644" w:rsidTr="00BE597E">
        <w:tc>
          <w:tcPr>
            <w:tcW w:w="2427" w:type="pct"/>
            <w:gridSpan w:val="2"/>
          </w:tcPr>
          <w:p w:rsidR="00BE597E" w:rsidRPr="001F1644" w:rsidRDefault="00BE597E" w:rsidP="00BE597E">
            <w:pPr>
              <w:jc w:val="both"/>
              <w:rPr>
                <w:sz w:val="20"/>
              </w:rPr>
            </w:pPr>
            <w:r w:rsidRPr="001F1644">
              <w:rPr>
                <w:sz w:val="20"/>
              </w:rPr>
              <w:t>September 16, 2021</w:t>
            </w:r>
          </w:p>
          <w:p w:rsidR="00BE597E" w:rsidRPr="001F1644" w:rsidRDefault="00BE597E" w:rsidP="00BE597E">
            <w:pPr>
              <w:jc w:val="both"/>
              <w:rPr>
                <w:sz w:val="20"/>
              </w:rPr>
            </w:pPr>
            <w:r w:rsidRPr="001F1644">
              <w:rPr>
                <w:sz w:val="20"/>
              </w:rPr>
              <w:t>Supreme Court of Canada</w:t>
            </w: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Application for leave to appeal filed.</w:t>
            </w:r>
          </w:p>
          <w:p w:rsidR="00BE597E" w:rsidRPr="001F1644" w:rsidRDefault="00BE597E" w:rsidP="00BE597E">
            <w:pPr>
              <w:jc w:val="both"/>
              <w:rPr>
                <w:sz w:val="20"/>
              </w:rPr>
            </w:pPr>
          </w:p>
        </w:tc>
      </w:tr>
    </w:tbl>
    <w:p w:rsidR="00BE597E" w:rsidRPr="001F1644" w:rsidRDefault="00BE597E" w:rsidP="00BE597E">
      <w:pPr>
        <w:jc w:val="both"/>
        <w:rPr>
          <w:sz w:val="20"/>
        </w:rPr>
      </w:pPr>
    </w:p>
    <w:p w:rsidR="00EC01CB" w:rsidRPr="001F1644" w:rsidRDefault="00724EE4" w:rsidP="00BE597E">
      <w:pPr>
        <w:jc w:val="both"/>
        <w:rPr>
          <w:sz w:val="20"/>
        </w:rPr>
      </w:pPr>
      <w:r>
        <w:rPr>
          <w:sz w:val="20"/>
        </w:rPr>
        <w:pict>
          <v:rect id="_x0000_i1055" style="width:2in;height:1pt" o:hrpct="0" o:hralign="center" o:hrstd="t" o:hrnoshade="t" o:hr="t" fillcolor="black [3213]" stroked="f"/>
        </w:pict>
      </w:r>
    </w:p>
    <w:p w:rsidR="00EC01CB" w:rsidRPr="001F1644" w:rsidRDefault="00EC01CB" w:rsidP="00BE59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39845</w:t>
            </w:r>
          </w:p>
        </w:tc>
        <w:tc>
          <w:tcPr>
            <w:tcW w:w="4457" w:type="pct"/>
            <w:gridSpan w:val="3"/>
          </w:tcPr>
          <w:p w:rsidR="00BE597E" w:rsidRPr="001F1644" w:rsidRDefault="00BE597E" w:rsidP="00BE597E">
            <w:pPr>
              <w:pStyle w:val="SCCLsocParty"/>
              <w:jc w:val="both"/>
              <w:rPr>
                <w:b/>
                <w:sz w:val="20"/>
                <w:szCs w:val="20"/>
              </w:rPr>
            </w:pPr>
            <w:r w:rsidRPr="001F1644">
              <w:rPr>
                <w:b/>
                <w:sz w:val="20"/>
                <w:szCs w:val="20"/>
              </w:rPr>
              <w:t>James Anthony Manastersky c. RBC Dominion valeurs mobilières Inc.</w:t>
            </w:r>
          </w:p>
          <w:p w:rsidR="00BE597E" w:rsidRPr="001F1644" w:rsidRDefault="00BE597E" w:rsidP="00BE597E">
            <w:pPr>
              <w:jc w:val="both"/>
              <w:rPr>
                <w:sz w:val="20"/>
              </w:rPr>
            </w:pPr>
            <w:r w:rsidRPr="001F1644">
              <w:rPr>
                <w:sz w:val="20"/>
              </w:rPr>
              <w:t>(Ont.) (Civile) (Autorisation)</w:t>
            </w:r>
          </w:p>
        </w:tc>
      </w:tr>
      <w:tr w:rsidR="00BE597E" w:rsidRPr="00724EE4" w:rsidTr="00BE597E">
        <w:tc>
          <w:tcPr>
            <w:tcW w:w="5000" w:type="pct"/>
            <w:gridSpan w:val="4"/>
          </w:tcPr>
          <w:p w:rsidR="00BE597E" w:rsidRPr="001F1644" w:rsidRDefault="00BE597E" w:rsidP="00BE597E">
            <w:pPr>
              <w:jc w:val="both"/>
              <w:rPr>
                <w:sz w:val="20"/>
                <w:lang w:val="fr-CA"/>
              </w:rPr>
            </w:pPr>
            <w:r w:rsidRPr="001F1644">
              <w:rPr>
                <w:sz w:val="20"/>
                <w:lang w:val="fr-CA"/>
              </w:rPr>
              <w:t>Droit de l’emploi — Congédiement injustifié — Dommages</w:t>
            </w:r>
            <w:r w:rsidRPr="001F1644">
              <w:rPr>
                <w:sz w:val="20"/>
                <w:lang w:val="fr-CA"/>
              </w:rPr>
              <w:noBreakHyphen/>
              <w:t>intérêts — Employeur offrant une rémunération dans des régimes d’intéressement aux profits appelés régimes d’intéressement. — Employeur liquidant les régimes d’intéressement existants et approuvant la fin des régimes d’intéressement futurs après le congédiement de l’employé — Quelle est l’incidence de changements unilatéraux effectués par l’employeur pendant la période de préavis, qui ont pour effet de mettre fin à un élément de la rémunération sur le droit d’un employé à des dommages</w:t>
            </w:r>
            <w:r w:rsidRPr="001F1644">
              <w:rPr>
                <w:sz w:val="20"/>
                <w:lang w:val="fr-CA"/>
              </w:rPr>
              <w:noBreakHyphen/>
              <w:t xml:space="preserve">intérêts relativement à la perte de cet élément de rémunération pour la durée de la période de préavis? — Comment le test à deux étapes établi dans l’arrêt </w:t>
            </w:r>
            <w:r w:rsidRPr="001F1644">
              <w:rPr>
                <w:i/>
                <w:sz w:val="20"/>
                <w:lang w:val="fr-CA"/>
              </w:rPr>
              <w:t>Matthews c. Ocean Nutrition Canada Ltd.</w:t>
            </w:r>
            <w:r w:rsidRPr="001F1644">
              <w:rPr>
                <w:sz w:val="20"/>
                <w:lang w:val="fr-CA"/>
              </w:rPr>
              <w:t>, 2020 CSC 26, doit</w:t>
            </w:r>
            <w:r w:rsidRPr="001F1644">
              <w:rPr>
                <w:sz w:val="20"/>
                <w:lang w:val="fr-CA"/>
              </w:rPr>
              <w:noBreakHyphen/>
              <w:t>il être appliqué dans le contexte d’un régime de rémunération non</w:t>
            </w:r>
            <w:r w:rsidRPr="001F1644">
              <w:rPr>
                <w:sz w:val="20"/>
                <w:lang w:val="fr-CA"/>
              </w:rPr>
              <w:noBreakHyphen/>
              <w:t xml:space="preserve">discrétionnaire dans lequel les mesures incitatives ou les profits ne </w:t>
            </w:r>
            <w:r w:rsidRPr="001F1644">
              <w:rPr>
                <w:sz w:val="20"/>
                <w:lang w:val="fr-CA"/>
              </w:rPr>
              <w:lastRenderedPageBreak/>
              <w:t xml:space="preserve">constituent pas un paiement annuel ou une prime, mais plutôt un régime d’intéressement ou un régime de commissions? </w:t>
            </w:r>
          </w:p>
        </w:tc>
      </w:tr>
      <w:tr w:rsidR="00BE597E" w:rsidRPr="001F1644" w:rsidTr="00BE597E">
        <w:tc>
          <w:tcPr>
            <w:tcW w:w="5000" w:type="pct"/>
            <w:gridSpan w:val="4"/>
          </w:tcPr>
          <w:p w:rsidR="00BE597E" w:rsidRPr="001F1644" w:rsidRDefault="00BE597E" w:rsidP="00BE597E">
            <w:pPr>
              <w:jc w:val="both"/>
              <w:rPr>
                <w:sz w:val="20"/>
                <w:lang w:val="fr-CA"/>
              </w:rPr>
            </w:pPr>
          </w:p>
          <w:p w:rsidR="00BE597E" w:rsidRPr="001F1644" w:rsidRDefault="00BE597E" w:rsidP="00EC01CB">
            <w:pPr>
              <w:jc w:val="both"/>
              <w:rPr>
                <w:sz w:val="20"/>
                <w:lang w:val="fr-CA"/>
              </w:rPr>
            </w:pPr>
            <w:r w:rsidRPr="001F1644">
              <w:rPr>
                <w:sz w:val="20"/>
                <w:lang w:val="fr-CA"/>
              </w:rPr>
              <w:t>Le demandeur, M. Manastersky, a travaillé pour la défenderesse, RBC Dominion valeurs mobilières Inc. (RBCDVM). Pendant son emploi, M. Manastersky a participé à des régimes d’intéressement aux profits appelés régimes d’intéressement. Après son congédiement, M. Manastersky a présenté une action en congédiement injustifié contre la RBCDVM. Lors du procès, la RBCDVM a concédé qu’elle avait congédié M. Manastersky sans motif valable. Le juge du procès a accordé à M. Manastersky un montant relatif à la perte d’occasion d’acquérir des droits au titre des régimes d’intéressement pendant la période raisonnable du préavis de 18 mois. Les juges majoritaires de la Cour d’appel ont accueilli l’appel de la RBCDVM et annulé les dommages</w:t>
            </w:r>
            <w:r w:rsidRPr="001F1644">
              <w:rPr>
                <w:sz w:val="20"/>
                <w:lang w:val="fr-CA"/>
              </w:rPr>
              <w:noBreakHyphen/>
              <w:t>intérêts accordés à M. Manatersky relativement aux régimes d’intéressement. M. Manatersky a sollicité l’autorisation d’interjeter appel de cet arrêt et sa cause a été renvoyée à la Cour d’appel pour que celle</w:t>
            </w:r>
            <w:r w:rsidRPr="001F1644">
              <w:rPr>
                <w:sz w:val="20"/>
                <w:lang w:val="fr-CA"/>
              </w:rPr>
              <w:noBreakHyphen/>
              <w:t xml:space="preserve">ci statue à nouveau, en conformité avec l’arrêt </w:t>
            </w:r>
            <w:r w:rsidRPr="001F1644">
              <w:rPr>
                <w:i/>
                <w:sz w:val="20"/>
                <w:lang w:val="fr-CA"/>
              </w:rPr>
              <w:t>Matthews c. Ocean Nutrition Canada Ltd.</w:t>
            </w:r>
            <w:r w:rsidRPr="001F1644">
              <w:rPr>
                <w:sz w:val="20"/>
                <w:lang w:val="fr-CA"/>
              </w:rPr>
              <w:t>, 2020 CSC 26. La Cour d’appel a confirmé son arrêt initial.</w:t>
            </w:r>
          </w:p>
        </w:tc>
      </w:tr>
      <w:tr w:rsidR="00BE597E" w:rsidRPr="001F1644" w:rsidTr="00BE597E">
        <w:tc>
          <w:tcPr>
            <w:tcW w:w="5000" w:type="pct"/>
            <w:gridSpan w:val="4"/>
          </w:tcPr>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14 février 2018</w:t>
            </w:r>
          </w:p>
          <w:p w:rsidR="00BE597E" w:rsidRPr="001F1644" w:rsidRDefault="00BE597E" w:rsidP="00BE597E">
            <w:pPr>
              <w:jc w:val="both"/>
              <w:rPr>
                <w:sz w:val="20"/>
                <w:lang w:val="fr-CA"/>
              </w:rPr>
            </w:pPr>
            <w:r w:rsidRPr="001F1644">
              <w:rPr>
                <w:sz w:val="20"/>
                <w:lang w:val="fr-CA"/>
              </w:rPr>
              <w:t xml:space="preserve">Cour supérieure de justice de l’Ontario </w:t>
            </w:r>
          </w:p>
          <w:p w:rsidR="00BE597E" w:rsidRPr="001F1644" w:rsidRDefault="00BE597E" w:rsidP="00BE597E">
            <w:pPr>
              <w:jc w:val="both"/>
              <w:rPr>
                <w:sz w:val="20"/>
              </w:rPr>
            </w:pPr>
            <w:r w:rsidRPr="001F1644">
              <w:rPr>
                <w:sz w:val="20"/>
              </w:rPr>
              <w:t>(juge Monahan)</w:t>
            </w:r>
          </w:p>
          <w:p w:rsidR="00BE597E" w:rsidRPr="001F1644" w:rsidRDefault="00724EE4" w:rsidP="00BE597E">
            <w:pPr>
              <w:jc w:val="both"/>
              <w:rPr>
                <w:sz w:val="20"/>
              </w:rPr>
            </w:pPr>
            <w:hyperlink r:id="rId83" w:history="1">
              <w:r w:rsidR="00BE597E" w:rsidRPr="001F1644">
                <w:rPr>
                  <w:rStyle w:val="Hyperlink"/>
                  <w:sz w:val="20"/>
                </w:rPr>
                <w:t>2018 ONSC 966</w:t>
              </w:r>
            </w:hyperlink>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lang w:val="fr-CA"/>
              </w:rPr>
            </w:pPr>
            <w:r w:rsidRPr="001F1644">
              <w:rPr>
                <w:sz w:val="20"/>
                <w:lang w:val="fr-CA"/>
              </w:rPr>
              <w:t>Action du demandeur en congédiement injustifié accueillie; perte de l’occasion d’acquérir des droits dans des régimes d’intéressement accordée pour la durée du préavis de 18 mois.</w:t>
            </w:r>
          </w:p>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18 juillet 2019</w:t>
            </w:r>
          </w:p>
          <w:p w:rsidR="00BE597E" w:rsidRPr="001F1644" w:rsidRDefault="00BE597E" w:rsidP="00BE597E">
            <w:pPr>
              <w:jc w:val="both"/>
              <w:rPr>
                <w:sz w:val="20"/>
                <w:lang w:val="fr-CA"/>
              </w:rPr>
            </w:pPr>
            <w:r w:rsidRPr="001F1644">
              <w:rPr>
                <w:sz w:val="20"/>
                <w:lang w:val="fr-CA"/>
              </w:rPr>
              <w:t>Cour d’appel de l’Ontario</w:t>
            </w:r>
          </w:p>
          <w:p w:rsidR="00BE597E" w:rsidRPr="001F1644" w:rsidRDefault="00BE597E" w:rsidP="00BE597E">
            <w:pPr>
              <w:jc w:val="both"/>
              <w:rPr>
                <w:sz w:val="20"/>
                <w:lang w:val="fr-CA"/>
              </w:rPr>
            </w:pPr>
            <w:r w:rsidRPr="001F1644">
              <w:rPr>
                <w:sz w:val="20"/>
                <w:lang w:val="fr-CA"/>
              </w:rPr>
              <w:t>(juges Feldman [dissident], Brown et Miller)</w:t>
            </w:r>
          </w:p>
          <w:p w:rsidR="00BE597E" w:rsidRPr="001F1644" w:rsidRDefault="00724EE4" w:rsidP="00BE597E">
            <w:pPr>
              <w:jc w:val="both"/>
              <w:rPr>
                <w:sz w:val="20"/>
              </w:rPr>
            </w:pPr>
            <w:hyperlink r:id="rId84" w:history="1">
              <w:r w:rsidR="00BE597E" w:rsidRPr="001F1644">
                <w:rPr>
                  <w:rStyle w:val="Hyperlink"/>
                  <w:sz w:val="20"/>
                </w:rPr>
                <w:t>2019 ONCA 609</w:t>
              </w:r>
            </w:hyperlink>
            <w:r w:rsidR="00BE597E" w:rsidRPr="001F1644">
              <w:rPr>
                <w:rStyle w:val="Hyperlink"/>
                <w:sz w:val="20"/>
              </w:rPr>
              <w:t xml:space="preserve"> </w:t>
            </w:r>
            <w:r w:rsidR="00BE597E" w:rsidRPr="001F1644">
              <w:rPr>
                <w:sz w:val="20"/>
              </w:rPr>
              <w:t>(Dossier C65121)</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lang w:val="fr-CA"/>
              </w:rPr>
            </w:pPr>
            <w:r w:rsidRPr="001F1644">
              <w:rPr>
                <w:sz w:val="20"/>
                <w:lang w:val="fr-CA"/>
              </w:rPr>
              <w:t>Appel accueilli en partie; dommages</w:t>
            </w:r>
            <w:r w:rsidRPr="001F1644">
              <w:rPr>
                <w:sz w:val="20"/>
                <w:lang w:val="fr-CA"/>
              </w:rPr>
              <w:noBreakHyphen/>
              <w:t>intérêts pour perte de l’occasion d’acquérir des droits dans des régimes d’intéressement annulés.</w:t>
            </w:r>
          </w:p>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12 novembre 2020</w:t>
            </w:r>
          </w:p>
          <w:p w:rsidR="00BE597E" w:rsidRPr="001F1644" w:rsidRDefault="00BE597E" w:rsidP="00BE597E">
            <w:pPr>
              <w:jc w:val="both"/>
              <w:rPr>
                <w:sz w:val="20"/>
                <w:lang w:val="fr-CA"/>
              </w:rPr>
            </w:pPr>
            <w:r w:rsidRPr="001F1644">
              <w:rPr>
                <w:sz w:val="20"/>
                <w:lang w:val="fr-CA"/>
              </w:rPr>
              <w:t>Cour suprême du Canada</w:t>
            </w:r>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 xml:space="preserve">Demande d’autorisation d’appel renvoyée à la Cour d’appel de l’Ontario pour qu’elle statue en conformité avec l’arrêt </w:t>
            </w:r>
            <w:r w:rsidRPr="001F1644">
              <w:rPr>
                <w:i/>
                <w:sz w:val="20"/>
                <w:lang w:val="fr-CA"/>
              </w:rPr>
              <w:t>Matthews c. Ocean Nutrition Canada Ltd.</w:t>
            </w:r>
            <w:r w:rsidRPr="001F1644">
              <w:rPr>
                <w:sz w:val="20"/>
                <w:lang w:val="fr-CA"/>
              </w:rPr>
              <w:t>, 2020 CSC 26.</w:t>
            </w:r>
          </w:p>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24 juin 2021</w:t>
            </w:r>
          </w:p>
          <w:p w:rsidR="00BE597E" w:rsidRPr="001F1644" w:rsidRDefault="00BE597E" w:rsidP="00BE597E">
            <w:pPr>
              <w:jc w:val="both"/>
              <w:rPr>
                <w:sz w:val="20"/>
                <w:lang w:val="fr-CA"/>
              </w:rPr>
            </w:pPr>
            <w:r w:rsidRPr="001F1644">
              <w:rPr>
                <w:sz w:val="20"/>
                <w:lang w:val="fr-CA"/>
              </w:rPr>
              <w:t>Cour d’appel de l’Ontario</w:t>
            </w:r>
          </w:p>
          <w:p w:rsidR="00BE597E" w:rsidRPr="001F1644" w:rsidRDefault="00BE597E" w:rsidP="00BE597E">
            <w:pPr>
              <w:jc w:val="both"/>
              <w:rPr>
                <w:sz w:val="20"/>
                <w:lang w:val="fr-CA"/>
              </w:rPr>
            </w:pPr>
            <w:r w:rsidRPr="001F1644">
              <w:rPr>
                <w:sz w:val="20"/>
                <w:lang w:val="fr-CA"/>
              </w:rPr>
              <w:t>(juges Feldman [dissident], Brown et Miller)</w:t>
            </w:r>
          </w:p>
          <w:p w:rsidR="00BE597E" w:rsidRPr="001F1644" w:rsidRDefault="00724EE4" w:rsidP="00BE597E">
            <w:pPr>
              <w:jc w:val="both"/>
              <w:rPr>
                <w:sz w:val="20"/>
                <w:lang w:val="fr-CA"/>
              </w:rPr>
            </w:pPr>
            <w:hyperlink r:id="rId85" w:history="1">
              <w:r w:rsidR="00BE597E" w:rsidRPr="001F1644">
                <w:rPr>
                  <w:rStyle w:val="Hyperlink"/>
                  <w:sz w:val="20"/>
                  <w:lang w:val="fr-CA"/>
                </w:rPr>
                <w:t>2021 ONCA 458</w:t>
              </w:r>
            </w:hyperlink>
            <w:r w:rsidR="00BE597E" w:rsidRPr="001F1644">
              <w:rPr>
                <w:sz w:val="20"/>
                <w:lang w:val="fr-CA"/>
              </w:rPr>
              <w:t xml:space="preserve"> (Dossier C65121)</w:t>
            </w:r>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Arrêt original de la Cour d’appel confirmé.</w:t>
            </w:r>
          </w:p>
        </w:tc>
      </w:tr>
      <w:tr w:rsidR="00BE597E" w:rsidRPr="001F1644" w:rsidTr="00BE597E">
        <w:tc>
          <w:tcPr>
            <w:tcW w:w="2427" w:type="pct"/>
            <w:gridSpan w:val="2"/>
          </w:tcPr>
          <w:p w:rsidR="00BE597E" w:rsidRPr="001F1644" w:rsidRDefault="00BE597E" w:rsidP="00BE597E">
            <w:pPr>
              <w:jc w:val="both"/>
              <w:rPr>
                <w:sz w:val="20"/>
                <w:lang w:val="fr-CA"/>
              </w:rPr>
            </w:pPr>
            <w:r w:rsidRPr="001F1644">
              <w:rPr>
                <w:sz w:val="20"/>
                <w:lang w:val="fr-CA"/>
              </w:rPr>
              <w:t>16 septembre 2021</w:t>
            </w:r>
          </w:p>
          <w:p w:rsidR="00BE597E" w:rsidRPr="001F1644" w:rsidRDefault="00BE597E" w:rsidP="00BE597E">
            <w:pPr>
              <w:jc w:val="both"/>
              <w:rPr>
                <w:sz w:val="20"/>
                <w:lang w:val="fr-CA"/>
              </w:rPr>
            </w:pPr>
            <w:r w:rsidRPr="001F1644">
              <w:rPr>
                <w:sz w:val="20"/>
                <w:lang w:val="fr-CA"/>
              </w:rPr>
              <w:t>Cour suprême du Canada</w:t>
            </w: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rPr>
            </w:pPr>
            <w:r w:rsidRPr="001F1644">
              <w:rPr>
                <w:sz w:val="20"/>
              </w:rPr>
              <w:t>Demande d’autorisation d’appel déposée.</w:t>
            </w:r>
          </w:p>
          <w:p w:rsidR="00BE597E" w:rsidRPr="001F1644" w:rsidRDefault="00BE597E" w:rsidP="00BE597E">
            <w:pPr>
              <w:jc w:val="both"/>
              <w:rPr>
                <w:sz w:val="20"/>
              </w:rPr>
            </w:pPr>
          </w:p>
        </w:tc>
      </w:tr>
    </w:tbl>
    <w:p w:rsidR="00BE597E" w:rsidRPr="001F1644" w:rsidRDefault="00BE597E" w:rsidP="00BE597E">
      <w:pPr>
        <w:jc w:val="both"/>
        <w:rPr>
          <w:sz w:val="20"/>
        </w:rPr>
      </w:pPr>
    </w:p>
    <w:p w:rsidR="00EC01CB" w:rsidRPr="001F1644" w:rsidRDefault="00724EE4" w:rsidP="00BE597E">
      <w:pPr>
        <w:jc w:val="both"/>
        <w:rPr>
          <w:sz w:val="20"/>
        </w:rPr>
      </w:pPr>
      <w:r>
        <w:rPr>
          <w:sz w:val="20"/>
        </w:rPr>
        <w:pict>
          <v:rect id="_x0000_i1056" style="width:2in;height:1pt" o:hrpct="0" o:hralign="center" o:hrstd="t" o:hrnoshade="t" o:hr="t" fillcolor="black [3213]" stroked="f"/>
        </w:pict>
      </w:r>
    </w:p>
    <w:p w:rsidR="00BE597E" w:rsidRPr="001F1644" w:rsidRDefault="00BE597E"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39847</w:t>
            </w:r>
          </w:p>
        </w:tc>
        <w:tc>
          <w:tcPr>
            <w:tcW w:w="4457" w:type="pct"/>
            <w:gridSpan w:val="3"/>
          </w:tcPr>
          <w:p w:rsidR="00BE597E" w:rsidRPr="001F1644" w:rsidRDefault="00BE597E" w:rsidP="00BE597E">
            <w:pPr>
              <w:pStyle w:val="SCCLsocParty"/>
              <w:jc w:val="both"/>
              <w:rPr>
                <w:b/>
                <w:sz w:val="20"/>
                <w:szCs w:val="20"/>
                <w:lang w:val="en-US"/>
              </w:rPr>
            </w:pPr>
            <w:r w:rsidRPr="001F1644">
              <w:rPr>
                <w:b/>
                <w:sz w:val="20"/>
                <w:szCs w:val="20"/>
                <w:lang w:val="en-US"/>
              </w:rPr>
              <w:t xml:space="preserve">Ahousaht First Nation v. Her Majesty the Queen in </w:t>
            </w:r>
            <w:r w:rsidR="00EC01CB" w:rsidRPr="001F1644">
              <w:rPr>
                <w:b/>
                <w:sz w:val="20"/>
                <w:szCs w:val="20"/>
                <w:lang w:val="en-US"/>
              </w:rPr>
              <w:t>R</w:t>
            </w:r>
            <w:r w:rsidRPr="001F1644">
              <w:rPr>
                <w:b/>
                <w:sz w:val="20"/>
                <w:szCs w:val="20"/>
                <w:lang w:val="en-US"/>
              </w:rPr>
              <w:t>ight of Canada, as represented by the Minister of Indian Affairs and Northern Development</w:t>
            </w:r>
          </w:p>
          <w:p w:rsidR="00BE597E" w:rsidRPr="001F1644" w:rsidRDefault="00BE597E" w:rsidP="00BE597E">
            <w:pPr>
              <w:pStyle w:val="SCCLsocOtherPartySeparator"/>
              <w:rPr>
                <w:rFonts w:cs="Times New Roman"/>
                <w:sz w:val="20"/>
                <w:szCs w:val="20"/>
                <w:lang w:val="en-US"/>
              </w:rPr>
            </w:pPr>
            <w:r w:rsidRPr="001F1644">
              <w:rPr>
                <w:rFonts w:cs="Times New Roman"/>
                <w:sz w:val="20"/>
                <w:szCs w:val="20"/>
                <w:lang w:val="en-US"/>
              </w:rPr>
              <w:t>- and -</w:t>
            </w:r>
          </w:p>
          <w:p w:rsidR="00BE597E" w:rsidRPr="001F1644" w:rsidRDefault="00BE597E" w:rsidP="00BE597E">
            <w:pPr>
              <w:pStyle w:val="SCCLsocParty"/>
              <w:jc w:val="both"/>
              <w:rPr>
                <w:b/>
                <w:sz w:val="20"/>
                <w:szCs w:val="20"/>
                <w:lang w:val="en-US"/>
              </w:rPr>
            </w:pPr>
            <w:r w:rsidRPr="001F1644">
              <w:rPr>
                <w:b/>
                <w:sz w:val="20"/>
                <w:szCs w:val="20"/>
                <w:lang w:val="en-US"/>
              </w:rPr>
              <w:t>Specific Claims Tribunal</w:t>
            </w:r>
          </w:p>
          <w:p w:rsidR="00BE597E" w:rsidRPr="001F1644" w:rsidRDefault="00BE597E" w:rsidP="00BE597E">
            <w:pPr>
              <w:jc w:val="both"/>
              <w:rPr>
                <w:sz w:val="20"/>
              </w:rPr>
            </w:pPr>
            <w:r w:rsidRPr="001F1644">
              <w:rPr>
                <w:sz w:val="20"/>
              </w:rPr>
              <w:t>(F</w:t>
            </w:r>
            <w:r w:rsidR="00EC01CB" w:rsidRPr="001F1644">
              <w:rPr>
                <w:sz w:val="20"/>
              </w:rPr>
              <w:t>.</w:t>
            </w:r>
            <w:r w:rsidRPr="001F1644">
              <w:rPr>
                <w:sz w:val="20"/>
              </w:rPr>
              <w:t>C</w:t>
            </w:r>
            <w:r w:rsidR="00EC01CB" w:rsidRPr="001F1644">
              <w:rPr>
                <w:sz w:val="20"/>
              </w:rPr>
              <w:t>.</w:t>
            </w:r>
            <w:r w:rsidRPr="001F1644">
              <w:rPr>
                <w:sz w:val="20"/>
              </w:rPr>
              <w:t>) (Civil) (By Leave)</w:t>
            </w:r>
          </w:p>
        </w:tc>
      </w:tr>
      <w:tr w:rsidR="00BE597E" w:rsidRPr="001F1644" w:rsidTr="00BE597E">
        <w:tc>
          <w:tcPr>
            <w:tcW w:w="5000" w:type="pct"/>
            <w:gridSpan w:val="4"/>
          </w:tcPr>
          <w:p w:rsidR="00BE597E" w:rsidRPr="001F1644" w:rsidRDefault="00BE597E" w:rsidP="00BE597E">
            <w:pPr>
              <w:jc w:val="both"/>
              <w:rPr>
                <w:sz w:val="20"/>
              </w:rPr>
            </w:pPr>
            <w:r w:rsidRPr="001F1644">
              <w:rPr>
                <w:sz w:val="20"/>
              </w:rPr>
              <w:t>Aboriginal Law — Specific Claims Tribunal — Reserve creation — Procedural fairness — Whether the Federal Court of Appeal erred in its interpretation of the mediation agreement in finding that it was appropriate for the Chairperson to replace the presiding judge very shortly before the validity hearing — Whether the Federal Court of Appeal correctly applied the standard of review in assessing the decision of the tribunal — Whether the Federal Court of Appeal erred in finding that the conclusions of the tribunal were reasonable in terms of the finding that the Commissioner acted with ordinary due diligence.</w:t>
            </w:r>
          </w:p>
        </w:tc>
      </w:tr>
      <w:tr w:rsidR="00BE597E" w:rsidRPr="001F1644" w:rsidTr="00BE597E">
        <w:tc>
          <w:tcPr>
            <w:tcW w:w="5000" w:type="pct"/>
            <w:gridSpan w:val="4"/>
          </w:tcPr>
          <w:p w:rsidR="00BE597E" w:rsidRPr="001F1644" w:rsidRDefault="00BE597E" w:rsidP="00BE597E">
            <w:pPr>
              <w:jc w:val="both"/>
              <w:rPr>
                <w:sz w:val="20"/>
              </w:rPr>
            </w:pPr>
          </w:p>
        </w:tc>
      </w:tr>
      <w:tr w:rsidR="00BE597E" w:rsidRPr="001F1644" w:rsidTr="00BE597E">
        <w:tc>
          <w:tcPr>
            <w:tcW w:w="5000" w:type="pct"/>
            <w:gridSpan w:val="4"/>
          </w:tcPr>
          <w:p w:rsidR="00BE597E" w:rsidRPr="001F1644" w:rsidRDefault="00BE597E" w:rsidP="00BE597E">
            <w:pPr>
              <w:jc w:val="both"/>
              <w:rPr>
                <w:sz w:val="20"/>
              </w:rPr>
            </w:pPr>
            <w:r w:rsidRPr="001F1644">
              <w:rPr>
                <w:sz w:val="20"/>
              </w:rPr>
              <w:t xml:space="preserve">In June 1889, Commissioner Peter O’Reilly of the Joint Indian Reserve Commission and Commission surveyor Ashdown Green laid out 29 Indian reserves in the Clayoquot Sound area in British Columbia. Some were for the applicant, Ahousaht First Nation. One of these reserves was called Marktosis and is located on the southeast shore of Flores Island (“IR 15”). A dispute arose concerning an area to the south of IR 15 originally known as aauuknuk </w:t>
            </w:r>
            <w:r w:rsidRPr="001F1644">
              <w:rPr>
                <w:sz w:val="20"/>
              </w:rPr>
              <w:lastRenderedPageBreak/>
              <w:t>and later called Lot 363. The area included 140 acres to the south of and contiguous with the southern boundary of IR 15 and included a lake. There is no doubt today that Lot 363 was part of the Ahousaht’s land when the reserve was defined and in 2009, Lot 363 was set aside as an addition to IR 15.</w:t>
            </w:r>
          </w:p>
          <w:p w:rsidR="00BE597E" w:rsidRPr="001F1644" w:rsidRDefault="00BE597E" w:rsidP="00BE597E">
            <w:pPr>
              <w:jc w:val="both"/>
              <w:rPr>
                <w:sz w:val="20"/>
              </w:rPr>
            </w:pPr>
          </w:p>
          <w:p w:rsidR="00BE597E" w:rsidRPr="001F1644" w:rsidRDefault="00BE597E" w:rsidP="00BE597E">
            <w:pPr>
              <w:jc w:val="both"/>
              <w:rPr>
                <w:sz w:val="20"/>
              </w:rPr>
            </w:pPr>
            <w:r w:rsidRPr="001F1644">
              <w:rPr>
                <w:sz w:val="20"/>
              </w:rPr>
              <w:t>In 2002, the Ahousaht submitted a specific claim to the Minister of Indian Affairs and Northern Development (“the Minister”) alleging that Canada, through O’Reilly’s actions, breached its fiduciary duty and duty of care to the Ahousaht in connection with the creation of IR 15. The Minister’s rejection prompted the Ahousaht to file a declaration of claim with the Specific Claims Tribunal (“SCT”) in 2012. The Ahousaht argued that the Crown breached its legal obligation to them by failing to include Lot 363 as part of IR 15 when the reserve was originally laid out, and in failing to correct the error for as long as it did thereafter. The SCT found that O’Reilly’s actions in connection with the creation of IR 15 did not breach Canada’s fiduciary duty and duty of care owed to the Ahousaht. The Ahousaht’s application for judicial review was dismissed.</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lastRenderedPageBreak/>
              <w:t>February 8, 2019</w:t>
            </w:r>
          </w:p>
          <w:p w:rsidR="00BE597E" w:rsidRPr="001F1644" w:rsidRDefault="00BE597E" w:rsidP="00BE597E">
            <w:pPr>
              <w:jc w:val="both"/>
              <w:rPr>
                <w:sz w:val="20"/>
              </w:rPr>
            </w:pPr>
            <w:r w:rsidRPr="001F1644">
              <w:rPr>
                <w:sz w:val="20"/>
              </w:rPr>
              <w:t>Specific Claims Tribunal</w:t>
            </w:r>
          </w:p>
          <w:p w:rsidR="00BE597E" w:rsidRPr="001F1644" w:rsidRDefault="00BE597E" w:rsidP="00BE597E">
            <w:pPr>
              <w:jc w:val="both"/>
              <w:rPr>
                <w:sz w:val="20"/>
              </w:rPr>
            </w:pPr>
            <w:r w:rsidRPr="001F1644">
              <w:rPr>
                <w:sz w:val="20"/>
              </w:rPr>
              <w:t>Slade, Chairperson)</w:t>
            </w:r>
          </w:p>
          <w:p w:rsidR="00BE597E" w:rsidRPr="001F1644" w:rsidRDefault="00724EE4" w:rsidP="00BE597E">
            <w:pPr>
              <w:jc w:val="both"/>
              <w:rPr>
                <w:sz w:val="20"/>
              </w:rPr>
            </w:pPr>
            <w:hyperlink r:id="rId86" w:history="1">
              <w:r w:rsidR="00BE597E" w:rsidRPr="001F1644">
                <w:rPr>
                  <w:rStyle w:val="Hyperlink"/>
                  <w:sz w:val="20"/>
                </w:rPr>
                <w:t>2019 SCTC 1</w:t>
              </w:r>
            </w:hyperlink>
            <w:r w:rsidR="00BE597E" w:rsidRPr="001F1644">
              <w:rPr>
                <w:sz w:val="20"/>
              </w:rPr>
              <w:t>; SCT</w:t>
            </w:r>
            <w:r w:rsidR="00BE597E" w:rsidRPr="001F1644">
              <w:rPr>
                <w:sz w:val="20"/>
              </w:rPr>
              <w:noBreakHyphen/>
              <w:t>7005</w:t>
            </w:r>
            <w:r w:rsidR="00BE597E" w:rsidRPr="001F1644">
              <w:rPr>
                <w:sz w:val="20"/>
              </w:rPr>
              <w:noBreakHyphen/>
              <w:t>12</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Applicant’s claim dismissed</w:t>
            </w:r>
          </w:p>
        </w:tc>
      </w:tr>
      <w:tr w:rsidR="00BE597E" w:rsidRPr="001F1644" w:rsidTr="00BE597E">
        <w:tc>
          <w:tcPr>
            <w:tcW w:w="2427" w:type="pct"/>
            <w:gridSpan w:val="2"/>
          </w:tcPr>
          <w:p w:rsidR="00BE597E" w:rsidRPr="001F1644" w:rsidRDefault="00BE597E" w:rsidP="00BE597E">
            <w:pPr>
              <w:jc w:val="both"/>
              <w:rPr>
                <w:sz w:val="20"/>
              </w:rPr>
            </w:pPr>
            <w:r w:rsidRPr="001F1644">
              <w:rPr>
                <w:sz w:val="20"/>
              </w:rPr>
              <w:t>April 18, 2019</w:t>
            </w:r>
          </w:p>
          <w:p w:rsidR="00BE597E" w:rsidRPr="001F1644" w:rsidRDefault="00BE597E" w:rsidP="00BE597E">
            <w:pPr>
              <w:jc w:val="both"/>
              <w:rPr>
                <w:sz w:val="20"/>
              </w:rPr>
            </w:pPr>
            <w:r w:rsidRPr="001F1644">
              <w:rPr>
                <w:sz w:val="20"/>
              </w:rPr>
              <w:t>Specific Claims Tribunal</w:t>
            </w:r>
          </w:p>
          <w:p w:rsidR="00BE597E" w:rsidRPr="001F1644" w:rsidRDefault="00BE597E" w:rsidP="00BE597E">
            <w:pPr>
              <w:jc w:val="both"/>
              <w:rPr>
                <w:sz w:val="20"/>
              </w:rPr>
            </w:pPr>
            <w:r w:rsidRPr="001F1644">
              <w:rPr>
                <w:sz w:val="20"/>
              </w:rPr>
              <w:t>(Slade, Chairperson)</w:t>
            </w:r>
          </w:p>
          <w:p w:rsidR="00BE597E" w:rsidRPr="001F1644" w:rsidRDefault="00724EE4" w:rsidP="00BE597E">
            <w:pPr>
              <w:jc w:val="both"/>
              <w:rPr>
                <w:sz w:val="20"/>
              </w:rPr>
            </w:pPr>
            <w:hyperlink r:id="rId87" w:history="1">
              <w:r w:rsidR="00BE597E" w:rsidRPr="001F1644">
                <w:rPr>
                  <w:rStyle w:val="Hyperlink"/>
                  <w:sz w:val="20"/>
                </w:rPr>
                <w:t>2019 SCTC 2</w:t>
              </w:r>
            </w:hyperlink>
            <w:r w:rsidR="00BE597E" w:rsidRPr="001F1644">
              <w:rPr>
                <w:sz w:val="20"/>
              </w:rPr>
              <w:t>; SCT</w:t>
            </w:r>
            <w:r w:rsidR="00BE597E" w:rsidRPr="001F1644">
              <w:rPr>
                <w:sz w:val="20"/>
              </w:rPr>
              <w:noBreakHyphen/>
              <w:t>7005</w:t>
            </w:r>
            <w:r w:rsidR="00BE597E" w:rsidRPr="001F1644">
              <w:rPr>
                <w:sz w:val="20"/>
              </w:rPr>
              <w:noBreakHyphen/>
              <w:t>12</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Applicant’s claim dismissed (supplemental decision)</w:t>
            </w:r>
          </w:p>
        </w:tc>
      </w:tr>
      <w:tr w:rsidR="00BE597E" w:rsidRPr="001F1644" w:rsidTr="00BE597E">
        <w:tc>
          <w:tcPr>
            <w:tcW w:w="2427" w:type="pct"/>
            <w:gridSpan w:val="2"/>
          </w:tcPr>
          <w:p w:rsidR="00BE597E" w:rsidRPr="001F1644" w:rsidRDefault="00BE597E" w:rsidP="00BE597E">
            <w:pPr>
              <w:jc w:val="both"/>
              <w:rPr>
                <w:sz w:val="20"/>
              </w:rPr>
            </w:pPr>
            <w:r w:rsidRPr="001F1644">
              <w:rPr>
                <w:sz w:val="20"/>
              </w:rPr>
              <w:t>July 9, 2021</w:t>
            </w:r>
          </w:p>
          <w:p w:rsidR="00BE597E" w:rsidRPr="001F1644" w:rsidRDefault="00BE597E" w:rsidP="00BE597E">
            <w:pPr>
              <w:jc w:val="both"/>
              <w:rPr>
                <w:sz w:val="20"/>
              </w:rPr>
            </w:pPr>
            <w:r w:rsidRPr="001F1644">
              <w:rPr>
                <w:sz w:val="20"/>
              </w:rPr>
              <w:t>Federal Court of Appeal</w:t>
            </w:r>
          </w:p>
          <w:p w:rsidR="00BE597E" w:rsidRPr="001F1644" w:rsidRDefault="00BE597E" w:rsidP="00BE597E">
            <w:pPr>
              <w:jc w:val="both"/>
              <w:rPr>
                <w:sz w:val="20"/>
              </w:rPr>
            </w:pPr>
            <w:r w:rsidRPr="001F1644">
              <w:rPr>
                <w:sz w:val="20"/>
              </w:rPr>
              <w:t>(Laskin, Locke and LeBlanc JJ.A.)</w:t>
            </w:r>
          </w:p>
          <w:p w:rsidR="00BE597E" w:rsidRPr="001F1644" w:rsidRDefault="00724EE4" w:rsidP="00BE597E">
            <w:pPr>
              <w:jc w:val="both"/>
              <w:rPr>
                <w:sz w:val="20"/>
              </w:rPr>
            </w:pPr>
            <w:hyperlink r:id="rId88" w:history="1">
              <w:r w:rsidR="00BE597E" w:rsidRPr="001F1644">
                <w:rPr>
                  <w:rStyle w:val="Hyperlink"/>
                  <w:sz w:val="20"/>
                </w:rPr>
                <w:t>2021 FCA 135</w:t>
              </w:r>
            </w:hyperlink>
            <w:r w:rsidR="00BE597E" w:rsidRPr="001F1644">
              <w:rPr>
                <w:sz w:val="20"/>
              </w:rPr>
              <w:t>; A</w:t>
            </w:r>
            <w:r w:rsidR="00BE597E" w:rsidRPr="001F1644">
              <w:rPr>
                <w:sz w:val="20"/>
              </w:rPr>
              <w:noBreakHyphen/>
              <w:t>119</w:t>
            </w:r>
            <w:r w:rsidR="00BE597E" w:rsidRPr="001F1644">
              <w:rPr>
                <w:sz w:val="20"/>
              </w:rPr>
              <w:noBreakHyphen/>
              <w:t>12</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Judicial review dismissed</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September 27, 2021</w:t>
            </w:r>
          </w:p>
          <w:p w:rsidR="00BE597E" w:rsidRPr="001F1644" w:rsidRDefault="00BE597E" w:rsidP="00BE597E">
            <w:pPr>
              <w:jc w:val="both"/>
              <w:rPr>
                <w:sz w:val="20"/>
              </w:rPr>
            </w:pPr>
            <w:r w:rsidRPr="001F1644">
              <w:rPr>
                <w:sz w:val="20"/>
              </w:rPr>
              <w:t>Supreme Court of Canada</w:t>
            </w: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Application for leave to appeal filed</w:t>
            </w:r>
          </w:p>
          <w:p w:rsidR="00BE597E" w:rsidRPr="001F1644" w:rsidRDefault="00BE597E" w:rsidP="00BE597E">
            <w:pPr>
              <w:jc w:val="both"/>
              <w:rPr>
                <w:sz w:val="20"/>
              </w:rPr>
            </w:pPr>
          </w:p>
        </w:tc>
      </w:tr>
    </w:tbl>
    <w:p w:rsidR="00BE597E" w:rsidRPr="001F1644" w:rsidRDefault="00BE597E" w:rsidP="00BE597E">
      <w:pPr>
        <w:jc w:val="both"/>
        <w:rPr>
          <w:sz w:val="20"/>
        </w:rPr>
      </w:pPr>
    </w:p>
    <w:p w:rsidR="00EC01CB" w:rsidRPr="001F1644" w:rsidRDefault="00724EE4" w:rsidP="00BE597E">
      <w:pPr>
        <w:jc w:val="both"/>
        <w:rPr>
          <w:sz w:val="20"/>
        </w:rPr>
      </w:pPr>
      <w:r>
        <w:rPr>
          <w:sz w:val="20"/>
        </w:rPr>
        <w:pict>
          <v:rect id="_x0000_i1057" style="width:2in;height:1pt" o:hrpct="0" o:hralign="center" o:hrstd="t" o:hrnoshade="t" o:hr="t" fillcolor="black [3213]" stroked="f"/>
        </w:pict>
      </w:r>
    </w:p>
    <w:p w:rsidR="00EC01CB" w:rsidRPr="001F1644" w:rsidRDefault="00EC01CB" w:rsidP="00BE59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724EE4" w:rsidTr="00BE597E">
        <w:tc>
          <w:tcPr>
            <w:tcW w:w="543" w:type="pct"/>
          </w:tcPr>
          <w:p w:rsidR="00BE597E" w:rsidRPr="001F1644" w:rsidRDefault="00BE597E" w:rsidP="00BE597E">
            <w:pPr>
              <w:jc w:val="both"/>
              <w:rPr>
                <w:sz w:val="20"/>
                <w:lang w:val="fr-CA"/>
              </w:rPr>
            </w:pPr>
            <w:r w:rsidRPr="001F1644">
              <w:rPr>
                <w:rStyle w:val="SCCFileNumberChar"/>
                <w:sz w:val="20"/>
                <w:szCs w:val="20"/>
                <w:lang w:val="fr-CA"/>
              </w:rPr>
              <w:t>39847</w:t>
            </w:r>
          </w:p>
        </w:tc>
        <w:tc>
          <w:tcPr>
            <w:tcW w:w="4457" w:type="pct"/>
            <w:gridSpan w:val="3"/>
          </w:tcPr>
          <w:p w:rsidR="00BE597E" w:rsidRPr="001F1644" w:rsidRDefault="00BE597E" w:rsidP="00BE597E">
            <w:pPr>
              <w:pStyle w:val="SCCLsocParty"/>
              <w:jc w:val="both"/>
              <w:rPr>
                <w:b/>
                <w:sz w:val="20"/>
                <w:szCs w:val="20"/>
              </w:rPr>
            </w:pPr>
            <w:r w:rsidRPr="001F1644">
              <w:rPr>
                <w:b/>
                <w:sz w:val="20"/>
                <w:szCs w:val="20"/>
              </w:rPr>
              <w:t>Première Nation d’Ahousaht c. Sa Majesté la Reine du chef du Canada, représentée par le ministre des Affaires indiennes et du Nord canadien</w:t>
            </w:r>
          </w:p>
          <w:p w:rsidR="00BE597E" w:rsidRPr="001F1644" w:rsidRDefault="00BE597E" w:rsidP="00BE597E">
            <w:pPr>
              <w:pStyle w:val="SCCLsocOtherPartySeparator"/>
              <w:rPr>
                <w:rFonts w:cs="Times New Roman"/>
                <w:sz w:val="20"/>
                <w:szCs w:val="20"/>
              </w:rPr>
            </w:pPr>
            <w:r w:rsidRPr="001F1644">
              <w:rPr>
                <w:rFonts w:cs="Times New Roman"/>
                <w:sz w:val="20"/>
                <w:szCs w:val="20"/>
              </w:rPr>
              <w:t>- et -</w:t>
            </w:r>
          </w:p>
          <w:p w:rsidR="00BE597E" w:rsidRPr="001F1644" w:rsidRDefault="00BE597E" w:rsidP="00BE597E">
            <w:pPr>
              <w:pStyle w:val="SCCLsocParty"/>
              <w:jc w:val="both"/>
              <w:rPr>
                <w:b/>
                <w:sz w:val="20"/>
                <w:szCs w:val="20"/>
              </w:rPr>
            </w:pPr>
            <w:r w:rsidRPr="001F1644">
              <w:rPr>
                <w:b/>
                <w:sz w:val="20"/>
                <w:szCs w:val="20"/>
              </w:rPr>
              <w:t>Tribunal des revendications particulières</w:t>
            </w:r>
          </w:p>
          <w:p w:rsidR="00BE597E" w:rsidRPr="001F1644" w:rsidRDefault="00BE597E" w:rsidP="00EC01CB">
            <w:pPr>
              <w:jc w:val="both"/>
              <w:rPr>
                <w:sz w:val="20"/>
                <w:lang w:val="fr-CA"/>
              </w:rPr>
            </w:pPr>
            <w:r w:rsidRPr="001F1644">
              <w:rPr>
                <w:sz w:val="20"/>
                <w:lang w:val="fr-CA"/>
              </w:rPr>
              <w:t>(C</w:t>
            </w:r>
            <w:r w:rsidR="00EC01CB" w:rsidRPr="001F1644">
              <w:rPr>
                <w:sz w:val="20"/>
                <w:lang w:val="fr-CA"/>
              </w:rPr>
              <w:t>.F.</w:t>
            </w:r>
            <w:r w:rsidRPr="001F1644">
              <w:rPr>
                <w:sz w:val="20"/>
                <w:lang w:val="fr-CA"/>
              </w:rPr>
              <w:t>) (Civile) (Sur autorisation)</w:t>
            </w:r>
          </w:p>
        </w:tc>
      </w:tr>
      <w:tr w:rsidR="00BE597E" w:rsidRPr="00724EE4" w:rsidTr="00BE597E">
        <w:tc>
          <w:tcPr>
            <w:tcW w:w="5000" w:type="pct"/>
            <w:gridSpan w:val="4"/>
          </w:tcPr>
          <w:p w:rsidR="00BE597E" w:rsidRPr="001F1644" w:rsidRDefault="00BE597E" w:rsidP="00BE597E">
            <w:pPr>
              <w:jc w:val="both"/>
              <w:rPr>
                <w:sz w:val="20"/>
                <w:lang w:val="fr-CA"/>
              </w:rPr>
            </w:pPr>
            <w:r w:rsidRPr="001F1644">
              <w:rPr>
                <w:sz w:val="20"/>
                <w:lang w:val="fr-CA"/>
              </w:rPr>
              <w:t>Droit des Autochtones — Tribunal des revendications particulières — Création d’une réserve — Équité procédurale — La Cour d’appel fédérale a</w:t>
            </w:r>
            <w:r w:rsidRPr="001F1644">
              <w:rPr>
                <w:sz w:val="20"/>
                <w:lang w:val="fr-CA"/>
              </w:rPr>
              <w:noBreakHyphen/>
              <w:t>t</w:t>
            </w:r>
            <w:r w:rsidRPr="001F1644">
              <w:rPr>
                <w:sz w:val="20"/>
                <w:lang w:val="fr-CA"/>
              </w:rPr>
              <w:noBreakHyphen/>
              <w:t>elle commis une erreur dans son interprétation de l’entente de médiation lorsqu’elle a conclu que le président du tribunal pouvait valablement remplacer le juge présidant l’audience sur le bien</w:t>
            </w:r>
            <w:r w:rsidRPr="001F1644">
              <w:rPr>
                <w:sz w:val="20"/>
                <w:lang w:val="fr-CA"/>
              </w:rPr>
              <w:noBreakHyphen/>
              <w:t>fondé de la revendication peu de temps avant la tenue de celle</w:t>
            </w:r>
            <w:r w:rsidRPr="001F1644">
              <w:rPr>
                <w:sz w:val="20"/>
                <w:lang w:val="fr-CA"/>
              </w:rPr>
              <w:noBreakHyphen/>
              <w:t>ci? — La Cour d’appel fédérale a</w:t>
            </w:r>
            <w:r w:rsidRPr="001F1644">
              <w:rPr>
                <w:sz w:val="20"/>
                <w:lang w:val="fr-CA"/>
              </w:rPr>
              <w:noBreakHyphen/>
              <w:t>t</w:t>
            </w:r>
            <w:r w:rsidRPr="001F1644">
              <w:rPr>
                <w:sz w:val="20"/>
                <w:lang w:val="fr-CA"/>
              </w:rPr>
              <w:noBreakHyphen/>
              <w:t>elle correctement appliqué la norme de contrôle lors de son examen de la décision du tribunal? — La Cour d’appel fédérale a</w:t>
            </w:r>
            <w:r w:rsidRPr="001F1644">
              <w:rPr>
                <w:sz w:val="20"/>
                <w:lang w:val="fr-CA"/>
              </w:rPr>
              <w:noBreakHyphen/>
              <w:t>t</w:t>
            </w:r>
            <w:r w:rsidRPr="001F1644">
              <w:rPr>
                <w:sz w:val="20"/>
                <w:lang w:val="fr-CA"/>
              </w:rPr>
              <w:noBreakHyphen/>
              <w:t>elle conclu à tort que les conclusions du tribunal étaient raisonnables à savoir que le commissaire avait agi avec la diligence ordinaire voulue?</w:t>
            </w:r>
          </w:p>
        </w:tc>
      </w:tr>
      <w:tr w:rsidR="00BE597E" w:rsidRPr="00724EE4" w:rsidTr="00BE597E">
        <w:tc>
          <w:tcPr>
            <w:tcW w:w="5000" w:type="pct"/>
            <w:gridSpan w:val="4"/>
          </w:tcPr>
          <w:p w:rsidR="00BE597E" w:rsidRPr="001F1644" w:rsidRDefault="00BE597E" w:rsidP="00BE597E">
            <w:pPr>
              <w:jc w:val="both"/>
              <w:rPr>
                <w:sz w:val="20"/>
                <w:lang w:val="fr-CA"/>
              </w:rPr>
            </w:pPr>
          </w:p>
        </w:tc>
      </w:tr>
      <w:tr w:rsidR="00BE597E" w:rsidRPr="00724EE4" w:rsidTr="00BE597E">
        <w:tc>
          <w:tcPr>
            <w:tcW w:w="5000" w:type="pct"/>
            <w:gridSpan w:val="4"/>
          </w:tcPr>
          <w:p w:rsidR="00BE597E" w:rsidRPr="001F1644" w:rsidRDefault="00BE597E" w:rsidP="00BE597E">
            <w:pPr>
              <w:jc w:val="both"/>
              <w:rPr>
                <w:sz w:val="20"/>
                <w:lang w:val="fr-CA"/>
              </w:rPr>
            </w:pPr>
            <w:r w:rsidRPr="001F1644">
              <w:rPr>
                <w:sz w:val="20"/>
                <w:lang w:val="fr-CA"/>
              </w:rPr>
              <w:t xml:space="preserve">En juin 1889, Peter O’Reilly, commissaire de la </w:t>
            </w:r>
            <w:r w:rsidRPr="001F1644">
              <w:rPr>
                <w:color w:val="000000"/>
                <w:sz w:val="20"/>
                <w:lang w:val="fr-CA"/>
              </w:rPr>
              <w:t>Commission mixte des réserves indiennes,</w:t>
            </w:r>
            <w:r w:rsidRPr="001F1644">
              <w:rPr>
                <w:sz w:val="20"/>
                <w:lang w:val="fr-CA"/>
              </w:rPr>
              <w:t xml:space="preserve"> et Ashdown Green, un arpenteur de la Commission, ont délimité 29 réserves indiennes dans la région de</w:t>
            </w:r>
            <w:r w:rsidRPr="001F1644">
              <w:rPr>
                <w:color w:val="000000"/>
                <w:sz w:val="20"/>
                <w:lang w:val="fr-CA"/>
              </w:rPr>
              <w:t xml:space="preserve"> la baie Clayoquot, en Colombie</w:t>
            </w:r>
            <w:r w:rsidRPr="001F1644">
              <w:rPr>
                <w:color w:val="000000"/>
                <w:sz w:val="20"/>
                <w:lang w:val="fr-CA"/>
              </w:rPr>
              <w:noBreakHyphen/>
              <w:t>Britannique</w:t>
            </w:r>
            <w:r w:rsidRPr="001F1644">
              <w:rPr>
                <w:sz w:val="20"/>
                <w:lang w:val="fr-CA"/>
              </w:rPr>
              <w:t xml:space="preserve">, dont une partie a été attribuée à la demanderesse, la Première Nation d’Ahousaht. L'une de ces réserves, portant le nom de Marktosis, se situe sur la rive sud de l’île Flores (« la RI 15 »). Un différend a pris naissance concernant le terrain se trouvant au sud de la RI 15, qui à l’origine était connu sous le nom d’« aauuknuk », et </w:t>
            </w:r>
            <w:proofErr w:type="spellStart"/>
            <w:r w:rsidRPr="001F1644">
              <w:rPr>
                <w:sz w:val="20"/>
                <w:lang w:val="fr-CA"/>
              </w:rPr>
              <w:t>a</w:t>
            </w:r>
            <w:proofErr w:type="spellEnd"/>
            <w:r w:rsidRPr="001F1644">
              <w:rPr>
                <w:sz w:val="20"/>
                <w:lang w:val="fr-CA"/>
              </w:rPr>
              <w:t xml:space="preserve"> plus tard été désigné « lot 363 ». Ce terrain comprenait 140 acres au sud de la RI 15, contigus à la frontière sud de celle</w:t>
            </w:r>
            <w:r w:rsidRPr="001F1644">
              <w:rPr>
                <w:sz w:val="20"/>
                <w:lang w:val="fr-CA"/>
              </w:rPr>
              <w:noBreakHyphen/>
              <w:t>ci, ainsi qu’un lac. De nos jours, il ne fait aucun doute que le lot 363 faisait partie de la terre appartenant à la Première Nation d’Ahousaht lorsque la réserve a été délimitée et lorsqu'en 2009, le lot 363 a été</w:t>
            </w:r>
            <w:r w:rsidRPr="001F1644">
              <w:rPr>
                <w:color w:val="000000"/>
                <w:sz w:val="20"/>
                <w:lang w:val="fr-CA"/>
              </w:rPr>
              <w:t xml:space="preserve"> </w:t>
            </w:r>
            <w:r w:rsidRPr="001F1644">
              <w:rPr>
                <w:sz w:val="20"/>
                <w:lang w:val="fr-CA"/>
              </w:rPr>
              <w:t>mis de côté en tant qu’ajout à la RI 15.</w:t>
            </w:r>
          </w:p>
          <w:p w:rsidR="00BE597E" w:rsidRPr="001F1644" w:rsidRDefault="00BE597E" w:rsidP="00BE597E">
            <w:pPr>
              <w:jc w:val="both"/>
              <w:rPr>
                <w:sz w:val="20"/>
                <w:lang w:val="fr-CA"/>
              </w:rPr>
            </w:pPr>
          </w:p>
          <w:p w:rsidR="00BE597E" w:rsidRPr="001F1644" w:rsidRDefault="00BE597E" w:rsidP="00BE597E">
            <w:pPr>
              <w:jc w:val="both"/>
              <w:rPr>
                <w:sz w:val="20"/>
                <w:lang w:val="fr-CA"/>
              </w:rPr>
            </w:pPr>
            <w:r w:rsidRPr="001F1644">
              <w:rPr>
                <w:sz w:val="20"/>
                <w:lang w:val="fr-CA"/>
              </w:rPr>
              <w:lastRenderedPageBreak/>
              <w:t>En 2002, la Première Nation d’Ahousaht a présenté une revendication particulière au ministre des Affaires indiennes et du Nord canadien (« le ministre ») faisant valoir que le Canada, par l’entremise des actions de M. O’Reilly, a manqué à son obligation fiduciaire et à son obligation de diligence envers la Première Nation d’Ahousaht relativement à la création de la RI 15. Le rejet de la revendication par le ministre a amené la Première Nation d’Ahousaht à déposer une déclaration auprès du Tribunal des revendications particulières (« TRP ») en 2012. Cette dernière soutenait que la Couronne avait manqué à son obligation légale envers elle en n’intégrant pas le lot 363 à la RI 15 lorsque la réserve a initialement été délimitée, et en ne corrigeant pas l’erreur pendant si longtemps par la suite. Le TRP a conclu que les actions de M. O’Reilly en lien avec la création de la RI 15, ne constituaient pas un manquement par le Canada à son obligation fiduciaire et à son obligation de diligence envers la Première Nation d’Ahousaht. La demande de contrôle judiciaire présentée par la Première Nation d’Ahousaht a été rejetée.</w:t>
            </w:r>
          </w:p>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lastRenderedPageBreak/>
              <w:t>8 février 2019</w:t>
            </w:r>
          </w:p>
          <w:p w:rsidR="00BE597E" w:rsidRPr="001F1644" w:rsidRDefault="00BE597E" w:rsidP="00BE597E">
            <w:pPr>
              <w:jc w:val="both"/>
              <w:rPr>
                <w:sz w:val="20"/>
                <w:lang w:val="fr-CA"/>
              </w:rPr>
            </w:pPr>
            <w:r w:rsidRPr="001F1644">
              <w:rPr>
                <w:sz w:val="20"/>
                <w:lang w:val="fr-CA"/>
              </w:rPr>
              <w:t>Tribunal des revendications particulières</w:t>
            </w:r>
          </w:p>
          <w:p w:rsidR="00BE597E" w:rsidRPr="001F1644" w:rsidRDefault="00BE597E" w:rsidP="00BE597E">
            <w:pPr>
              <w:jc w:val="both"/>
              <w:rPr>
                <w:sz w:val="20"/>
                <w:lang w:val="fr-CA"/>
              </w:rPr>
            </w:pPr>
            <w:r w:rsidRPr="001F1644">
              <w:rPr>
                <w:sz w:val="20"/>
                <w:lang w:val="fr-CA"/>
              </w:rPr>
              <w:t>(M. Slade, président)</w:t>
            </w:r>
          </w:p>
          <w:p w:rsidR="00BE597E" w:rsidRPr="001F1644" w:rsidRDefault="00724EE4" w:rsidP="00BE597E">
            <w:pPr>
              <w:jc w:val="both"/>
              <w:rPr>
                <w:sz w:val="20"/>
                <w:lang w:val="fr-CA"/>
              </w:rPr>
            </w:pPr>
            <w:hyperlink r:id="rId89" w:history="1">
              <w:r w:rsidR="00BE597E" w:rsidRPr="001F1644">
                <w:rPr>
                  <w:rStyle w:val="Hyperlink"/>
                  <w:sz w:val="20"/>
                  <w:lang w:val="fr-CA"/>
                </w:rPr>
                <w:t>2019 TRPC 1</w:t>
              </w:r>
            </w:hyperlink>
            <w:r w:rsidR="00BE597E" w:rsidRPr="001F1644">
              <w:rPr>
                <w:sz w:val="20"/>
                <w:lang w:val="fr-CA"/>
              </w:rPr>
              <w:t>; SCT</w:t>
            </w:r>
            <w:r w:rsidR="00BE597E" w:rsidRPr="001F1644">
              <w:rPr>
                <w:sz w:val="20"/>
                <w:lang w:val="fr-CA"/>
              </w:rPr>
              <w:noBreakHyphen/>
              <w:t>7005</w:t>
            </w:r>
            <w:r w:rsidR="00BE597E" w:rsidRPr="001F1644">
              <w:rPr>
                <w:sz w:val="20"/>
                <w:lang w:val="fr-CA"/>
              </w:rPr>
              <w:noBreakHyphen/>
              <w:t>12</w:t>
            </w:r>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La demande présentée par la demanderesse est rejetée.</w:t>
            </w: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18 avril 2019</w:t>
            </w:r>
          </w:p>
          <w:p w:rsidR="00BE597E" w:rsidRPr="001F1644" w:rsidRDefault="00BE597E" w:rsidP="00BE597E">
            <w:pPr>
              <w:jc w:val="both"/>
              <w:rPr>
                <w:sz w:val="20"/>
                <w:lang w:val="fr-CA"/>
              </w:rPr>
            </w:pPr>
            <w:r w:rsidRPr="001F1644">
              <w:rPr>
                <w:sz w:val="20"/>
                <w:lang w:val="fr-CA"/>
              </w:rPr>
              <w:t>Tribunal des revendications particulières</w:t>
            </w:r>
          </w:p>
          <w:p w:rsidR="00BE597E" w:rsidRPr="001F1644" w:rsidRDefault="00BE597E" w:rsidP="00BE597E">
            <w:pPr>
              <w:jc w:val="both"/>
              <w:rPr>
                <w:sz w:val="20"/>
                <w:lang w:val="fr-CA"/>
              </w:rPr>
            </w:pPr>
            <w:r w:rsidRPr="001F1644">
              <w:rPr>
                <w:sz w:val="20"/>
                <w:lang w:val="fr-CA"/>
              </w:rPr>
              <w:t>(M. Slade, président)</w:t>
            </w:r>
          </w:p>
          <w:p w:rsidR="00BE597E" w:rsidRPr="001F1644" w:rsidRDefault="00724EE4" w:rsidP="00BE597E">
            <w:pPr>
              <w:jc w:val="both"/>
              <w:rPr>
                <w:sz w:val="20"/>
                <w:lang w:val="fr-CA"/>
              </w:rPr>
            </w:pPr>
            <w:hyperlink r:id="rId90" w:history="1">
              <w:r w:rsidR="00BE597E" w:rsidRPr="001F1644">
                <w:rPr>
                  <w:rStyle w:val="Hyperlink"/>
                  <w:sz w:val="20"/>
                  <w:lang w:val="fr-CA"/>
                </w:rPr>
                <w:t>2019 TRPC 2</w:t>
              </w:r>
            </w:hyperlink>
            <w:r w:rsidR="00BE597E" w:rsidRPr="001F1644">
              <w:rPr>
                <w:sz w:val="20"/>
                <w:lang w:val="fr-CA"/>
              </w:rPr>
              <w:t>; SCT</w:t>
            </w:r>
            <w:r w:rsidR="00BE597E" w:rsidRPr="001F1644">
              <w:rPr>
                <w:sz w:val="20"/>
                <w:lang w:val="fr-CA"/>
              </w:rPr>
              <w:noBreakHyphen/>
              <w:t>7005</w:t>
            </w:r>
            <w:r w:rsidR="00BE597E" w:rsidRPr="001F1644">
              <w:rPr>
                <w:sz w:val="20"/>
                <w:lang w:val="fr-CA"/>
              </w:rPr>
              <w:noBreakHyphen/>
              <w:t>12</w:t>
            </w:r>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La demande présentée par la demanderesse est rejetée (décision complémentaire).</w:t>
            </w: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9 juillet 2021</w:t>
            </w:r>
          </w:p>
          <w:p w:rsidR="00BE597E" w:rsidRPr="001F1644" w:rsidRDefault="00BE597E" w:rsidP="00BE597E">
            <w:pPr>
              <w:jc w:val="both"/>
              <w:rPr>
                <w:sz w:val="20"/>
                <w:lang w:val="fr-CA"/>
              </w:rPr>
            </w:pPr>
            <w:r w:rsidRPr="001F1644">
              <w:rPr>
                <w:sz w:val="20"/>
                <w:lang w:val="fr-CA"/>
              </w:rPr>
              <w:t>Cour d’appel fédérale</w:t>
            </w:r>
          </w:p>
          <w:p w:rsidR="00BE597E" w:rsidRPr="001F1644" w:rsidRDefault="00BE597E" w:rsidP="00BE597E">
            <w:pPr>
              <w:jc w:val="both"/>
              <w:rPr>
                <w:sz w:val="20"/>
                <w:lang w:val="fr-CA"/>
              </w:rPr>
            </w:pPr>
            <w:r w:rsidRPr="001F1644">
              <w:rPr>
                <w:sz w:val="20"/>
                <w:lang w:val="fr-CA"/>
              </w:rPr>
              <w:t>(juges Laskin, Locke et LeBlanc)</w:t>
            </w:r>
          </w:p>
          <w:p w:rsidR="00BE597E" w:rsidRPr="001F1644" w:rsidRDefault="00724EE4" w:rsidP="00BE597E">
            <w:pPr>
              <w:jc w:val="both"/>
              <w:rPr>
                <w:sz w:val="20"/>
                <w:lang w:val="fr-CA"/>
              </w:rPr>
            </w:pPr>
            <w:hyperlink r:id="rId91" w:history="1">
              <w:r w:rsidR="00BE597E" w:rsidRPr="001F1644">
                <w:rPr>
                  <w:rStyle w:val="Hyperlink"/>
                  <w:sz w:val="20"/>
                  <w:lang w:val="fr-CA"/>
                </w:rPr>
                <w:t>2021 FCA 135</w:t>
              </w:r>
            </w:hyperlink>
            <w:r w:rsidR="00BE597E" w:rsidRPr="001F1644">
              <w:rPr>
                <w:sz w:val="20"/>
                <w:lang w:val="fr-CA"/>
              </w:rPr>
              <w:t>; A</w:t>
            </w:r>
            <w:r w:rsidR="00BE597E" w:rsidRPr="001F1644">
              <w:rPr>
                <w:sz w:val="20"/>
                <w:lang w:val="fr-CA"/>
              </w:rPr>
              <w:noBreakHyphen/>
              <w:t>119</w:t>
            </w:r>
            <w:r w:rsidR="00BE597E" w:rsidRPr="001F1644">
              <w:rPr>
                <w:sz w:val="20"/>
                <w:lang w:val="fr-CA"/>
              </w:rPr>
              <w:noBreakHyphen/>
              <w:t>12</w:t>
            </w:r>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La demande de contrôle judiciaire est rejetée.</w:t>
            </w:r>
          </w:p>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27 septembre 2021</w:t>
            </w:r>
          </w:p>
          <w:p w:rsidR="00BE597E" w:rsidRPr="001F1644" w:rsidRDefault="00BE597E" w:rsidP="00BE597E">
            <w:pPr>
              <w:jc w:val="both"/>
              <w:rPr>
                <w:sz w:val="20"/>
                <w:lang w:val="fr-CA"/>
              </w:rPr>
            </w:pPr>
            <w:r w:rsidRPr="001F1644">
              <w:rPr>
                <w:sz w:val="20"/>
                <w:lang w:val="fr-CA"/>
              </w:rPr>
              <w:t>Cour suprême du Canada</w:t>
            </w: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La demande d’autorisation d’appel est présentée.</w:t>
            </w:r>
          </w:p>
          <w:p w:rsidR="00BE597E" w:rsidRPr="001F1644" w:rsidRDefault="00BE597E" w:rsidP="00BE597E">
            <w:pPr>
              <w:jc w:val="both"/>
              <w:rPr>
                <w:sz w:val="20"/>
                <w:lang w:val="fr-CA"/>
              </w:rPr>
            </w:pPr>
          </w:p>
        </w:tc>
      </w:tr>
    </w:tbl>
    <w:p w:rsidR="00BE597E" w:rsidRPr="001F1644" w:rsidRDefault="00BE597E" w:rsidP="00BE597E">
      <w:pPr>
        <w:jc w:val="both"/>
        <w:rPr>
          <w:sz w:val="20"/>
          <w:lang w:val="fr-CA"/>
        </w:rPr>
      </w:pPr>
    </w:p>
    <w:p w:rsidR="00EC01CB" w:rsidRPr="001F1644" w:rsidRDefault="00724EE4" w:rsidP="00BE597E">
      <w:pPr>
        <w:jc w:val="both"/>
        <w:rPr>
          <w:sz w:val="20"/>
          <w:lang w:val="fr-CA"/>
        </w:rPr>
      </w:pPr>
      <w:r>
        <w:rPr>
          <w:sz w:val="20"/>
        </w:rPr>
        <w:pict>
          <v:rect id="_x0000_i1058" style="width:2in;height:1pt" o:hrpct="0" o:hralign="center" o:hrstd="t" o:hrnoshade="t" o:hr="t" fillcolor="black [3213]" stroked="f"/>
        </w:pict>
      </w:r>
    </w:p>
    <w:p w:rsidR="00BE597E" w:rsidRPr="001F1644" w:rsidRDefault="00BE597E"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39848</w:t>
            </w:r>
          </w:p>
        </w:tc>
        <w:tc>
          <w:tcPr>
            <w:tcW w:w="4457" w:type="pct"/>
            <w:gridSpan w:val="3"/>
          </w:tcPr>
          <w:p w:rsidR="00BE597E" w:rsidRPr="001F1644" w:rsidRDefault="00BE597E" w:rsidP="00BE597E">
            <w:pPr>
              <w:pStyle w:val="SCCLsocParty"/>
              <w:jc w:val="both"/>
              <w:rPr>
                <w:b/>
                <w:sz w:val="20"/>
                <w:szCs w:val="20"/>
                <w:lang w:val="en-US"/>
              </w:rPr>
            </w:pPr>
            <w:r w:rsidRPr="001F1644">
              <w:rPr>
                <w:b/>
                <w:sz w:val="20"/>
                <w:szCs w:val="20"/>
                <w:lang w:val="en-US"/>
              </w:rPr>
              <w:t>Kerstin Eilers v. Christianne Lanfer, Inge Otten, Christine Lanfer, Herman Lanfer</w:t>
            </w:r>
          </w:p>
          <w:p w:rsidR="00BE597E" w:rsidRPr="001F1644" w:rsidRDefault="00BE597E" w:rsidP="00BE597E">
            <w:pPr>
              <w:jc w:val="both"/>
              <w:rPr>
                <w:sz w:val="20"/>
              </w:rPr>
            </w:pPr>
            <w:r w:rsidRPr="001F1644">
              <w:rPr>
                <w:sz w:val="20"/>
              </w:rPr>
              <w:t>(B.C.) (Civil) (By Leave)</w:t>
            </w:r>
          </w:p>
        </w:tc>
      </w:tr>
      <w:tr w:rsidR="00BE597E" w:rsidRPr="001F1644" w:rsidTr="00BE597E">
        <w:tc>
          <w:tcPr>
            <w:tcW w:w="5000" w:type="pct"/>
            <w:gridSpan w:val="4"/>
          </w:tcPr>
          <w:p w:rsidR="00BE597E" w:rsidRPr="001F1644" w:rsidRDefault="00BE597E" w:rsidP="00BE597E">
            <w:pPr>
              <w:jc w:val="both"/>
              <w:rPr>
                <w:sz w:val="20"/>
              </w:rPr>
            </w:pPr>
            <w:r w:rsidRPr="001F1644">
              <w:rPr>
                <w:bCs/>
                <w:sz w:val="20"/>
              </w:rPr>
              <w:t xml:space="preserve">Private international law — </w:t>
            </w:r>
            <w:r w:rsidRPr="001F1644">
              <w:rPr>
                <w:sz w:val="20"/>
              </w:rPr>
              <w:t xml:space="preserve">Foreign judgments </w:t>
            </w:r>
            <w:r w:rsidRPr="001F1644">
              <w:rPr>
                <w:bCs/>
                <w:sz w:val="20"/>
              </w:rPr>
              <w:t>—</w:t>
            </w:r>
            <w:r w:rsidRPr="001F1644">
              <w:rPr>
                <w:b/>
                <w:bCs/>
                <w:sz w:val="20"/>
              </w:rPr>
              <w:t xml:space="preserve"> </w:t>
            </w:r>
            <w:r w:rsidRPr="001F1644">
              <w:rPr>
                <w:sz w:val="20"/>
              </w:rPr>
              <w:t>Non</w:t>
            </w:r>
            <w:r w:rsidRPr="001F1644">
              <w:rPr>
                <w:sz w:val="20"/>
              </w:rPr>
              <w:noBreakHyphen/>
              <w:t xml:space="preserve">monetary foreign judgment </w:t>
            </w:r>
            <w:r w:rsidRPr="001F1644">
              <w:rPr>
                <w:bCs/>
                <w:sz w:val="20"/>
              </w:rPr>
              <w:t>—</w:t>
            </w:r>
            <w:r w:rsidRPr="001F1644">
              <w:rPr>
                <w:b/>
                <w:bCs/>
                <w:sz w:val="20"/>
              </w:rPr>
              <w:t xml:space="preserve"> </w:t>
            </w:r>
            <w:r w:rsidRPr="001F1644">
              <w:rPr>
                <w:sz w:val="20"/>
              </w:rPr>
              <w:t xml:space="preserve">Enforcement </w:t>
            </w:r>
            <w:r w:rsidRPr="001F1644">
              <w:rPr>
                <w:bCs/>
                <w:sz w:val="20"/>
              </w:rPr>
              <w:t>—</w:t>
            </w:r>
            <w:r w:rsidRPr="001F1644">
              <w:rPr>
                <w:b/>
                <w:bCs/>
                <w:sz w:val="20"/>
              </w:rPr>
              <w:t xml:space="preserve"> </w:t>
            </w:r>
            <w:r w:rsidRPr="001F1644">
              <w:rPr>
                <w:sz w:val="20"/>
              </w:rPr>
              <w:t xml:space="preserve">Recognition </w:t>
            </w:r>
            <w:r w:rsidRPr="001F1644">
              <w:rPr>
                <w:bCs/>
                <w:sz w:val="20"/>
              </w:rPr>
              <w:t xml:space="preserve">— </w:t>
            </w:r>
            <w:r w:rsidRPr="001F1644">
              <w:rPr>
                <w:sz w:val="20"/>
              </w:rPr>
              <w:t>Whether foreign immovable rule is no longer good law and a domestic court can recognize and enforce a j</w:t>
            </w:r>
            <w:r w:rsidRPr="001F1644">
              <w:rPr>
                <w:bCs/>
                <w:sz w:val="20"/>
              </w:rPr>
              <w:t>udgment</w:t>
            </w:r>
            <w:r w:rsidRPr="001F1644">
              <w:rPr>
                <w:sz w:val="20"/>
              </w:rPr>
              <w:t xml:space="preserve"> by a foreign court that requires transfer of ownership of real property situated in Kelowna and consent to corresponding registration of title?</w:t>
            </w:r>
          </w:p>
        </w:tc>
      </w:tr>
      <w:tr w:rsidR="00BE597E" w:rsidRPr="001F1644" w:rsidTr="00BE597E">
        <w:tc>
          <w:tcPr>
            <w:tcW w:w="5000" w:type="pct"/>
            <w:gridSpan w:val="4"/>
          </w:tcPr>
          <w:p w:rsidR="00BE597E" w:rsidRPr="001F1644" w:rsidRDefault="00BE597E" w:rsidP="00BE597E">
            <w:pPr>
              <w:jc w:val="both"/>
              <w:rPr>
                <w:sz w:val="20"/>
              </w:rPr>
            </w:pPr>
          </w:p>
          <w:p w:rsidR="00BE597E" w:rsidRPr="001F1644" w:rsidRDefault="00BE597E" w:rsidP="00BE597E">
            <w:pPr>
              <w:jc w:val="both"/>
              <w:rPr>
                <w:sz w:val="20"/>
                <w:lang w:val="en"/>
              </w:rPr>
            </w:pPr>
            <w:r w:rsidRPr="001F1644">
              <w:rPr>
                <w:sz w:val="20"/>
              </w:rPr>
              <w:t>The</w:t>
            </w:r>
            <w:r w:rsidRPr="001F1644">
              <w:rPr>
                <w:sz w:val="20"/>
                <w:lang w:val="en"/>
              </w:rPr>
              <w:t xml:space="preserve"> Supreme Court of British Columbia </w:t>
            </w:r>
            <w:r w:rsidRPr="001F1644">
              <w:rPr>
                <w:sz w:val="20"/>
              </w:rPr>
              <w:t>dismissed an application seeking an order</w:t>
            </w:r>
            <w:r w:rsidRPr="001F1644">
              <w:rPr>
                <w:sz w:val="20"/>
                <w:lang w:val="en"/>
              </w:rPr>
              <w:t xml:space="preserve"> to register and enforce </w:t>
            </w:r>
            <w:r w:rsidRPr="001F1644">
              <w:rPr>
                <w:sz w:val="20"/>
              </w:rPr>
              <w:t>a judgment granted by a court in Germany that requires Ms. Eilers to transfer ownership of real property situated in Kelowna and to consent to a change in registration of title.</w:t>
            </w:r>
            <w:r w:rsidRPr="001F1644">
              <w:rPr>
                <w:sz w:val="20"/>
                <w:lang w:val="en"/>
              </w:rPr>
              <w:t xml:space="preserve"> </w:t>
            </w:r>
            <w:r w:rsidRPr="001F1644">
              <w:rPr>
                <w:sz w:val="20"/>
              </w:rPr>
              <w:t xml:space="preserve">The Court of Appeal allowed an appeal and held that </w:t>
            </w:r>
            <w:r w:rsidRPr="001F1644">
              <w:rPr>
                <w:sz w:val="20"/>
                <w:lang w:val="en"/>
              </w:rPr>
              <w:t>the German judgment should be registered and enforced.</w:t>
            </w:r>
          </w:p>
        </w:tc>
      </w:tr>
      <w:tr w:rsidR="00BE597E" w:rsidRPr="001F1644" w:rsidTr="00BE597E">
        <w:tc>
          <w:tcPr>
            <w:tcW w:w="5000" w:type="pct"/>
            <w:gridSpan w:val="4"/>
          </w:tcPr>
          <w:p w:rsidR="00BE597E" w:rsidRPr="001F1644" w:rsidRDefault="00BE597E" w:rsidP="00BE597E">
            <w:pPr>
              <w:jc w:val="both"/>
              <w:rPr>
                <w:sz w:val="20"/>
                <w:lang w:val="en"/>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September 9, 2020</w:t>
            </w:r>
          </w:p>
          <w:p w:rsidR="00BE597E" w:rsidRPr="001F1644" w:rsidRDefault="00BE597E" w:rsidP="00BE597E">
            <w:pPr>
              <w:jc w:val="both"/>
              <w:rPr>
                <w:sz w:val="20"/>
              </w:rPr>
            </w:pPr>
            <w:r w:rsidRPr="001F1644">
              <w:rPr>
                <w:sz w:val="20"/>
              </w:rPr>
              <w:t>Supreme Court of British Columbia</w:t>
            </w:r>
          </w:p>
          <w:p w:rsidR="00BE597E" w:rsidRPr="001F1644" w:rsidRDefault="00BE597E" w:rsidP="00BE597E">
            <w:pPr>
              <w:jc w:val="both"/>
              <w:rPr>
                <w:sz w:val="20"/>
              </w:rPr>
            </w:pPr>
            <w:r w:rsidRPr="001F1644">
              <w:rPr>
                <w:sz w:val="20"/>
              </w:rPr>
              <w:t xml:space="preserve">(Hori J.) </w:t>
            </w:r>
          </w:p>
          <w:p w:rsidR="00BE597E" w:rsidRPr="001F1644" w:rsidRDefault="00724EE4" w:rsidP="00BE597E">
            <w:pPr>
              <w:jc w:val="both"/>
              <w:rPr>
                <w:sz w:val="20"/>
              </w:rPr>
            </w:pPr>
            <w:hyperlink r:id="rId92" w:history="1">
              <w:r w:rsidR="00BE597E" w:rsidRPr="001F1644">
                <w:rPr>
                  <w:rStyle w:val="Hyperlink"/>
                  <w:rFonts w:eastAsiaTheme="majorEastAsia"/>
                  <w:sz w:val="20"/>
                </w:rPr>
                <w:t>2020 BCSC 1325</w:t>
              </w:r>
            </w:hyperlink>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 xml:space="preserve">Application </w:t>
            </w:r>
            <w:r w:rsidRPr="001F1644">
              <w:rPr>
                <w:sz w:val="20"/>
                <w:lang w:val="en"/>
              </w:rPr>
              <w:t>to register and enforce foreign judgment dismissed</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June 18, 2021</w:t>
            </w:r>
          </w:p>
          <w:p w:rsidR="00BE597E" w:rsidRPr="001F1644" w:rsidRDefault="00BE597E" w:rsidP="00BE597E">
            <w:pPr>
              <w:jc w:val="both"/>
              <w:rPr>
                <w:sz w:val="20"/>
              </w:rPr>
            </w:pPr>
            <w:r w:rsidRPr="001F1644">
              <w:rPr>
                <w:sz w:val="20"/>
              </w:rPr>
              <w:t xml:space="preserve">Court of Appeal for British Columbia </w:t>
            </w:r>
          </w:p>
          <w:p w:rsidR="00BE597E" w:rsidRPr="001F1644" w:rsidRDefault="00BE597E" w:rsidP="00BE597E">
            <w:pPr>
              <w:jc w:val="both"/>
              <w:rPr>
                <w:sz w:val="20"/>
              </w:rPr>
            </w:pPr>
            <w:r w:rsidRPr="001F1644">
              <w:rPr>
                <w:sz w:val="20"/>
              </w:rPr>
              <w:t>(Vancouver)</w:t>
            </w:r>
          </w:p>
          <w:p w:rsidR="00BE597E" w:rsidRPr="001F1644" w:rsidRDefault="00BE597E" w:rsidP="00BE597E">
            <w:pPr>
              <w:jc w:val="both"/>
              <w:rPr>
                <w:sz w:val="20"/>
              </w:rPr>
            </w:pPr>
            <w:r w:rsidRPr="001F1644">
              <w:rPr>
                <w:sz w:val="20"/>
              </w:rPr>
              <w:t>(Harris, Fitch, Abrioux JJ.A.)</w:t>
            </w:r>
          </w:p>
          <w:p w:rsidR="00BE597E" w:rsidRPr="001F1644" w:rsidRDefault="00724EE4" w:rsidP="00BE597E">
            <w:pPr>
              <w:jc w:val="both"/>
              <w:rPr>
                <w:sz w:val="20"/>
              </w:rPr>
            </w:pPr>
            <w:hyperlink r:id="rId93" w:history="1">
              <w:r w:rsidR="00BE597E" w:rsidRPr="001F1644">
                <w:rPr>
                  <w:rStyle w:val="Hyperlink"/>
                  <w:rFonts w:eastAsiaTheme="majorEastAsia"/>
                  <w:sz w:val="20"/>
                </w:rPr>
                <w:t>2021 BCCA 241</w:t>
              </w:r>
            </w:hyperlink>
            <w:r w:rsidR="00BE597E" w:rsidRPr="001F1644">
              <w:rPr>
                <w:sz w:val="20"/>
              </w:rPr>
              <w:t>; CA47006</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Appeal allowed</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September 17, 2021</w:t>
            </w:r>
          </w:p>
          <w:p w:rsidR="00BE597E" w:rsidRPr="001F1644" w:rsidRDefault="00BE597E" w:rsidP="00BE597E">
            <w:pPr>
              <w:jc w:val="both"/>
              <w:rPr>
                <w:sz w:val="20"/>
              </w:rPr>
            </w:pPr>
            <w:r w:rsidRPr="001F1644">
              <w:rPr>
                <w:sz w:val="20"/>
              </w:rPr>
              <w:lastRenderedPageBreak/>
              <w:t>Supreme Court of Canada</w:t>
            </w: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Application for leave to appeal filed</w:t>
            </w:r>
          </w:p>
          <w:p w:rsidR="00BE597E" w:rsidRPr="001F1644" w:rsidRDefault="00BE597E" w:rsidP="00BE597E">
            <w:pPr>
              <w:jc w:val="both"/>
              <w:rPr>
                <w:sz w:val="20"/>
              </w:rPr>
            </w:pPr>
          </w:p>
        </w:tc>
      </w:tr>
    </w:tbl>
    <w:p w:rsidR="00BE597E" w:rsidRPr="001F1644" w:rsidRDefault="00BE597E" w:rsidP="00BE597E">
      <w:pPr>
        <w:jc w:val="both"/>
        <w:rPr>
          <w:sz w:val="20"/>
        </w:rPr>
      </w:pPr>
    </w:p>
    <w:p w:rsidR="00EC01CB" w:rsidRPr="001F1644" w:rsidRDefault="00724EE4" w:rsidP="00BE597E">
      <w:pPr>
        <w:jc w:val="both"/>
        <w:rPr>
          <w:sz w:val="20"/>
        </w:rPr>
      </w:pPr>
      <w:r>
        <w:rPr>
          <w:sz w:val="20"/>
        </w:rPr>
        <w:pict>
          <v:rect id="_x0000_i1059" style="width:2in;height:1pt" o:hrpct="0" o:hralign="center" o:hrstd="t" o:hrnoshade="t" o:hr="t" fillcolor="black [3213]" stroked="f"/>
        </w:pict>
      </w:r>
    </w:p>
    <w:p w:rsidR="00BE597E" w:rsidRPr="001F1644" w:rsidRDefault="00BE597E" w:rsidP="00BE59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lang w:val="fr-CA"/>
              </w:rPr>
            </w:pPr>
            <w:r w:rsidRPr="001F1644">
              <w:rPr>
                <w:rStyle w:val="SCCFileNumberChar"/>
                <w:sz w:val="20"/>
                <w:szCs w:val="20"/>
                <w:lang w:val="fr-CA"/>
              </w:rPr>
              <w:t>39848</w:t>
            </w:r>
          </w:p>
        </w:tc>
        <w:tc>
          <w:tcPr>
            <w:tcW w:w="4457" w:type="pct"/>
            <w:gridSpan w:val="3"/>
          </w:tcPr>
          <w:p w:rsidR="00BE597E" w:rsidRPr="001F1644" w:rsidRDefault="00BE597E" w:rsidP="00BE597E">
            <w:pPr>
              <w:pStyle w:val="SCCLsocParty"/>
              <w:jc w:val="both"/>
              <w:rPr>
                <w:b/>
                <w:sz w:val="20"/>
                <w:szCs w:val="20"/>
              </w:rPr>
            </w:pPr>
            <w:r w:rsidRPr="001F1644">
              <w:rPr>
                <w:b/>
                <w:sz w:val="20"/>
                <w:szCs w:val="20"/>
              </w:rPr>
              <w:t>Kerstin Eilers c. Christianne Lanfer, Inge Otten, Christine Lanfer, Herman Lanfer</w:t>
            </w:r>
          </w:p>
          <w:p w:rsidR="00BE597E" w:rsidRPr="001F1644" w:rsidRDefault="00BE597E" w:rsidP="00BE597E">
            <w:pPr>
              <w:jc w:val="both"/>
              <w:rPr>
                <w:sz w:val="20"/>
                <w:lang w:val="fr-CA"/>
              </w:rPr>
            </w:pPr>
            <w:r w:rsidRPr="001F1644">
              <w:rPr>
                <w:sz w:val="20"/>
                <w:lang w:val="fr-CA"/>
              </w:rPr>
              <w:t>(C.</w:t>
            </w:r>
            <w:r w:rsidRPr="001F1644">
              <w:rPr>
                <w:sz w:val="20"/>
                <w:lang w:val="fr-CA"/>
              </w:rPr>
              <w:noBreakHyphen/>
              <w:t>B.) (Civile) (Sur autorisation)</w:t>
            </w:r>
          </w:p>
        </w:tc>
      </w:tr>
      <w:tr w:rsidR="00BE597E" w:rsidRPr="00724EE4" w:rsidTr="00BE597E">
        <w:tc>
          <w:tcPr>
            <w:tcW w:w="5000" w:type="pct"/>
            <w:gridSpan w:val="4"/>
          </w:tcPr>
          <w:p w:rsidR="00BE597E" w:rsidRPr="001F1644" w:rsidRDefault="00BE597E" w:rsidP="00BE597E">
            <w:pPr>
              <w:jc w:val="both"/>
              <w:rPr>
                <w:sz w:val="20"/>
                <w:lang w:val="fr-CA"/>
              </w:rPr>
            </w:pPr>
            <w:r w:rsidRPr="001F1644">
              <w:rPr>
                <w:bCs/>
                <w:sz w:val="20"/>
                <w:lang w:val="fr-CA"/>
              </w:rPr>
              <w:t xml:space="preserve">Droit international privé — </w:t>
            </w:r>
            <w:r w:rsidRPr="001F1644">
              <w:rPr>
                <w:sz w:val="20"/>
                <w:lang w:val="fr-CA"/>
              </w:rPr>
              <w:t xml:space="preserve">Jugements étrangers </w:t>
            </w:r>
            <w:r w:rsidRPr="001F1644">
              <w:rPr>
                <w:bCs/>
                <w:sz w:val="20"/>
                <w:lang w:val="fr-CA"/>
              </w:rPr>
              <w:t>—</w:t>
            </w:r>
            <w:r w:rsidRPr="001F1644">
              <w:rPr>
                <w:b/>
                <w:bCs/>
                <w:sz w:val="20"/>
                <w:lang w:val="fr-CA"/>
              </w:rPr>
              <w:t xml:space="preserve"> </w:t>
            </w:r>
            <w:r w:rsidRPr="001F1644">
              <w:rPr>
                <w:sz w:val="20"/>
                <w:lang w:val="fr-CA"/>
              </w:rPr>
              <w:t xml:space="preserve">Jugement non pécuniaire étranger </w:t>
            </w:r>
            <w:r w:rsidRPr="001F1644">
              <w:rPr>
                <w:bCs/>
                <w:sz w:val="20"/>
                <w:lang w:val="fr-CA"/>
              </w:rPr>
              <w:t>—</w:t>
            </w:r>
            <w:r w:rsidRPr="001F1644">
              <w:rPr>
                <w:b/>
                <w:bCs/>
                <w:sz w:val="20"/>
                <w:lang w:val="fr-CA"/>
              </w:rPr>
              <w:t xml:space="preserve"> </w:t>
            </w:r>
            <w:r w:rsidRPr="001F1644">
              <w:rPr>
                <w:sz w:val="20"/>
                <w:lang w:val="fr-CA"/>
              </w:rPr>
              <w:t xml:space="preserve">Exécution </w:t>
            </w:r>
            <w:r w:rsidRPr="001F1644">
              <w:rPr>
                <w:bCs/>
                <w:sz w:val="20"/>
                <w:lang w:val="fr-CA"/>
              </w:rPr>
              <w:t>—</w:t>
            </w:r>
            <w:r w:rsidRPr="001F1644">
              <w:rPr>
                <w:b/>
                <w:bCs/>
                <w:sz w:val="20"/>
                <w:lang w:val="fr-CA"/>
              </w:rPr>
              <w:t xml:space="preserve"> </w:t>
            </w:r>
            <w:r w:rsidRPr="001F1644">
              <w:rPr>
                <w:sz w:val="20"/>
                <w:lang w:val="fr-CA"/>
              </w:rPr>
              <w:t xml:space="preserve">Reconnaissance </w:t>
            </w:r>
            <w:r w:rsidRPr="001F1644">
              <w:rPr>
                <w:bCs/>
                <w:sz w:val="20"/>
                <w:lang w:val="fr-CA"/>
              </w:rPr>
              <w:t>—</w:t>
            </w:r>
            <w:r w:rsidRPr="001F1644">
              <w:rPr>
                <w:color w:val="000000"/>
                <w:sz w:val="20"/>
                <w:lang w:val="fr-CA"/>
              </w:rPr>
              <w:t xml:space="preserve"> La </w:t>
            </w:r>
            <w:r w:rsidRPr="001F1644">
              <w:rPr>
                <w:bCs/>
                <w:sz w:val="20"/>
                <w:lang w:val="fr-CA"/>
              </w:rPr>
              <w:t>règle portant sur les immeubles étrangers n’est</w:t>
            </w:r>
            <w:r w:rsidRPr="001F1644">
              <w:rPr>
                <w:bCs/>
                <w:sz w:val="20"/>
                <w:lang w:val="fr-CA"/>
              </w:rPr>
              <w:noBreakHyphen/>
              <w:t>elle plus valable en droit, et un tribunal national peut</w:t>
            </w:r>
            <w:r w:rsidRPr="001F1644">
              <w:rPr>
                <w:bCs/>
                <w:sz w:val="20"/>
                <w:lang w:val="fr-CA"/>
              </w:rPr>
              <w:noBreakHyphen/>
              <w:t xml:space="preserve">il reconnaître et </w:t>
            </w:r>
            <w:r w:rsidRPr="001F1644">
              <w:rPr>
                <w:sz w:val="20"/>
                <w:lang w:val="fr-CA"/>
              </w:rPr>
              <w:t>exécuter un j</w:t>
            </w:r>
            <w:r w:rsidRPr="001F1644">
              <w:rPr>
                <w:bCs/>
                <w:sz w:val="20"/>
                <w:lang w:val="fr-CA"/>
              </w:rPr>
              <w:t xml:space="preserve">ugement rendu par un tribunal étranger qui exige </w:t>
            </w:r>
            <w:r w:rsidRPr="001F1644">
              <w:rPr>
                <w:sz w:val="20"/>
                <w:lang w:val="fr-CA"/>
              </w:rPr>
              <w:t>le transfert de propriété de biens immobiliers situés à Kelowna et consentir à l’enregistrement du titre afférent?</w:t>
            </w:r>
          </w:p>
        </w:tc>
      </w:tr>
      <w:tr w:rsidR="00BE597E" w:rsidRPr="00724EE4" w:rsidTr="00BE597E">
        <w:tc>
          <w:tcPr>
            <w:tcW w:w="5000" w:type="pct"/>
            <w:gridSpan w:val="4"/>
          </w:tcPr>
          <w:p w:rsidR="00BE597E" w:rsidRPr="001F1644" w:rsidRDefault="00BE597E" w:rsidP="00BE597E">
            <w:pPr>
              <w:jc w:val="both"/>
              <w:rPr>
                <w:sz w:val="20"/>
                <w:lang w:val="fr-CA"/>
              </w:rPr>
            </w:pPr>
          </w:p>
          <w:p w:rsidR="00BE597E" w:rsidRPr="001F1644" w:rsidRDefault="00BE597E" w:rsidP="00BE597E">
            <w:pPr>
              <w:jc w:val="both"/>
              <w:rPr>
                <w:sz w:val="20"/>
                <w:lang w:val="fr-CA"/>
              </w:rPr>
            </w:pPr>
            <w:r w:rsidRPr="001F1644">
              <w:rPr>
                <w:sz w:val="20"/>
                <w:lang w:val="fr-CA"/>
              </w:rPr>
              <w:t>La Cour suprême de la Colombie</w:t>
            </w:r>
            <w:r w:rsidRPr="001F1644">
              <w:rPr>
                <w:sz w:val="20"/>
                <w:lang w:val="fr-CA"/>
              </w:rPr>
              <w:noBreakHyphen/>
              <w:t>Britannique a rejeté une demande sollicitant une ordonnance visant l’enregistrement et l’exécution d’un jugement accueilli par un tribunal en Allemagne qui oblige Mme Eilers à procéder au transfert de la propriété de biens immobiliers situés à Kelowna et à consentir à la modification de l’enregistrement du titre. La Cour d’appel a accueilli l’appel et a conclu que le jugement allemand devait être enregistré et exécuté.</w:t>
            </w:r>
          </w:p>
        </w:tc>
      </w:tr>
      <w:tr w:rsidR="00BE597E" w:rsidRPr="00724EE4" w:rsidTr="00BE597E">
        <w:tc>
          <w:tcPr>
            <w:tcW w:w="5000" w:type="pct"/>
            <w:gridSpan w:val="4"/>
          </w:tcPr>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9 septembre 2020</w:t>
            </w:r>
          </w:p>
          <w:p w:rsidR="00BE597E" w:rsidRPr="001F1644" w:rsidRDefault="00BE597E" w:rsidP="00BE597E">
            <w:pPr>
              <w:jc w:val="both"/>
              <w:rPr>
                <w:sz w:val="20"/>
                <w:lang w:val="fr-CA"/>
              </w:rPr>
            </w:pPr>
            <w:r w:rsidRPr="001F1644">
              <w:rPr>
                <w:sz w:val="20"/>
                <w:lang w:val="fr-CA"/>
              </w:rPr>
              <w:t>Cour suprême de la Colombie</w:t>
            </w:r>
            <w:r w:rsidRPr="001F1644">
              <w:rPr>
                <w:sz w:val="20"/>
                <w:lang w:val="fr-CA"/>
              </w:rPr>
              <w:noBreakHyphen/>
              <w:t>Britannique</w:t>
            </w:r>
          </w:p>
          <w:p w:rsidR="00BE597E" w:rsidRPr="001F1644" w:rsidRDefault="00BE597E" w:rsidP="00BE597E">
            <w:pPr>
              <w:jc w:val="both"/>
              <w:rPr>
                <w:sz w:val="20"/>
                <w:lang w:val="fr-CA"/>
              </w:rPr>
            </w:pPr>
            <w:r w:rsidRPr="001F1644">
              <w:rPr>
                <w:sz w:val="20"/>
                <w:lang w:val="fr-CA"/>
              </w:rPr>
              <w:t xml:space="preserve">(juge Hori) </w:t>
            </w:r>
          </w:p>
          <w:p w:rsidR="00BE597E" w:rsidRPr="001F1644" w:rsidRDefault="00724EE4" w:rsidP="00BE597E">
            <w:pPr>
              <w:jc w:val="both"/>
              <w:rPr>
                <w:sz w:val="20"/>
                <w:lang w:val="fr-CA"/>
              </w:rPr>
            </w:pPr>
            <w:hyperlink r:id="rId94" w:history="1">
              <w:r w:rsidR="00BE597E" w:rsidRPr="001F1644">
                <w:rPr>
                  <w:rStyle w:val="Hyperlink"/>
                  <w:rFonts w:eastAsiaTheme="majorEastAsia"/>
                  <w:sz w:val="20"/>
                  <w:lang w:val="fr-CA"/>
                </w:rPr>
                <w:t>2020 BCSC 1325</w:t>
              </w:r>
            </w:hyperlink>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La demande visant l’enregistrement et l’exécution du jugement étranger est rejetée.</w:t>
            </w:r>
          </w:p>
        </w:tc>
      </w:tr>
      <w:tr w:rsidR="00BE597E" w:rsidRPr="001F1644" w:rsidTr="00BE597E">
        <w:tc>
          <w:tcPr>
            <w:tcW w:w="2427" w:type="pct"/>
            <w:gridSpan w:val="2"/>
          </w:tcPr>
          <w:p w:rsidR="00BE597E" w:rsidRPr="001F1644" w:rsidRDefault="00BE597E" w:rsidP="00BE597E">
            <w:pPr>
              <w:jc w:val="both"/>
              <w:rPr>
                <w:sz w:val="20"/>
                <w:lang w:val="fr-CA"/>
              </w:rPr>
            </w:pPr>
            <w:r w:rsidRPr="001F1644">
              <w:rPr>
                <w:sz w:val="20"/>
                <w:lang w:val="fr-CA"/>
              </w:rPr>
              <w:t>18 juin 2021</w:t>
            </w:r>
          </w:p>
          <w:p w:rsidR="00BE597E" w:rsidRPr="001F1644" w:rsidRDefault="00BE597E" w:rsidP="00BE597E">
            <w:pPr>
              <w:jc w:val="both"/>
              <w:rPr>
                <w:sz w:val="20"/>
                <w:lang w:val="fr-CA"/>
              </w:rPr>
            </w:pPr>
            <w:r w:rsidRPr="001F1644">
              <w:rPr>
                <w:sz w:val="20"/>
                <w:lang w:val="fr-CA"/>
              </w:rPr>
              <w:t>Cour d’appel de la Colombie</w:t>
            </w:r>
            <w:r w:rsidRPr="001F1644">
              <w:rPr>
                <w:sz w:val="20"/>
                <w:lang w:val="fr-CA"/>
              </w:rPr>
              <w:noBreakHyphen/>
              <w:t>Britannique</w:t>
            </w:r>
          </w:p>
          <w:p w:rsidR="00BE597E" w:rsidRPr="001F1644" w:rsidRDefault="00BE597E" w:rsidP="00BE597E">
            <w:pPr>
              <w:jc w:val="both"/>
              <w:rPr>
                <w:sz w:val="20"/>
                <w:lang w:val="fr-CA"/>
              </w:rPr>
            </w:pPr>
            <w:r w:rsidRPr="001F1644">
              <w:rPr>
                <w:sz w:val="20"/>
                <w:lang w:val="fr-CA"/>
              </w:rPr>
              <w:t>(Vancouver)</w:t>
            </w:r>
          </w:p>
          <w:p w:rsidR="00BE597E" w:rsidRPr="001F1644" w:rsidRDefault="00BE597E" w:rsidP="00BE597E">
            <w:pPr>
              <w:jc w:val="both"/>
              <w:rPr>
                <w:sz w:val="20"/>
                <w:lang w:val="fr-CA"/>
              </w:rPr>
            </w:pPr>
            <w:r w:rsidRPr="001F1644">
              <w:rPr>
                <w:sz w:val="20"/>
                <w:lang w:val="fr-CA"/>
              </w:rPr>
              <w:t>(juges Harris, Fitch, Abrioux)</w:t>
            </w:r>
          </w:p>
          <w:p w:rsidR="00BE597E" w:rsidRPr="001F1644" w:rsidRDefault="00724EE4" w:rsidP="00BE597E">
            <w:pPr>
              <w:jc w:val="both"/>
              <w:rPr>
                <w:sz w:val="20"/>
                <w:lang w:val="fr-CA"/>
              </w:rPr>
            </w:pPr>
            <w:hyperlink r:id="rId95" w:history="1">
              <w:r w:rsidR="00BE597E" w:rsidRPr="001F1644">
                <w:rPr>
                  <w:rStyle w:val="Hyperlink"/>
                  <w:rFonts w:eastAsiaTheme="majorEastAsia"/>
                  <w:sz w:val="20"/>
                  <w:lang w:val="fr-CA"/>
                </w:rPr>
                <w:t>2021 BCCA 241</w:t>
              </w:r>
            </w:hyperlink>
            <w:r w:rsidR="00BE597E" w:rsidRPr="001F1644">
              <w:rPr>
                <w:sz w:val="20"/>
                <w:lang w:val="fr-CA"/>
              </w:rPr>
              <w:t>; CA47006</w:t>
            </w:r>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L’appel est accueilli.</w:t>
            </w:r>
          </w:p>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17 septembre 2021</w:t>
            </w:r>
          </w:p>
          <w:p w:rsidR="00BE597E" w:rsidRPr="001F1644" w:rsidRDefault="00BE597E" w:rsidP="00BE597E">
            <w:pPr>
              <w:jc w:val="both"/>
              <w:rPr>
                <w:sz w:val="20"/>
                <w:lang w:val="fr-CA"/>
              </w:rPr>
            </w:pPr>
            <w:r w:rsidRPr="001F1644">
              <w:rPr>
                <w:sz w:val="20"/>
                <w:lang w:val="fr-CA"/>
              </w:rPr>
              <w:t>Cour suprême du Canada</w:t>
            </w: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La demande d’autorisation d’appel est présentée.</w:t>
            </w:r>
          </w:p>
          <w:p w:rsidR="00BE597E" w:rsidRPr="001F1644" w:rsidRDefault="00BE597E" w:rsidP="00BE597E">
            <w:pPr>
              <w:jc w:val="both"/>
              <w:rPr>
                <w:sz w:val="20"/>
                <w:lang w:val="fr-CA"/>
              </w:rPr>
            </w:pPr>
          </w:p>
        </w:tc>
      </w:tr>
    </w:tbl>
    <w:p w:rsidR="00BE597E" w:rsidRPr="001F1644" w:rsidRDefault="00BE597E" w:rsidP="00BE597E">
      <w:pPr>
        <w:jc w:val="both"/>
        <w:rPr>
          <w:sz w:val="20"/>
          <w:lang w:val="fr-CA"/>
        </w:rPr>
      </w:pPr>
    </w:p>
    <w:p w:rsidR="00EC01CB" w:rsidRPr="001F1644" w:rsidRDefault="00724EE4" w:rsidP="00BE597E">
      <w:pPr>
        <w:jc w:val="both"/>
        <w:rPr>
          <w:sz w:val="20"/>
          <w:lang w:val="fr-CA"/>
        </w:rPr>
      </w:pPr>
      <w:r>
        <w:rPr>
          <w:sz w:val="20"/>
        </w:rPr>
        <w:pict>
          <v:rect id="_x0000_i1060" style="width:2in;height:1pt" o:hrpct="0" o:hralign="center" o:hrstd="t" o:hrnoshade="t" o:hr="t" fillcolor="black [3213]" stroked="f"/>
        </w:pict>
      </w:r>
    </w:p>
    <w:p w:rsidR="00BE597E" w:rsidRPr="001F1644" w:rsidRDefault="00BE597E" w:rsidP="00BE597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rPr>
            </w:pPr>
            <w:r w:rsidRPr="001F1644">
              <w:rPr>
                <w:rStyle w:val="SCCFileNumberChar"/>
                <w:sz w:val="20"/>
                <w:szCs w:val="20"/>
              </w:rPr>
              <w:t>39872</w:t>
            </w:r>
          </w:p>
        </w:tc>
        <w:tc>
          <w:tcPr>
            <w:tcW w:w="4457" w:type="pct"/>
            <w:gridSpan w:val="3"/>
          </w:tcPr>
          <w:p w:rsidR="00BE597E" w:rsidRPr="001F1644" w:rsidRDefault="00BE597E" w:rsidP="00BE597E">
            <w:pPr>
              <w:pStyle w:val="SCCLsocParty"/>
              <w:jc w:val="both"/>
              <w:rPr>
                <w:b/>
                <w:sz w:val="20"/>
                <w:szCs w:val="20"/>
                <w:lang w:val="en-US"/>
              </w:rPr>
            </w:pPr>
            <w:r w:rsidRPr="001F1644">
              <w:rPr>
                <w:b/>
                <w:sz w:val="20"/>
                <w:szCs w:val="20"/>
                <w:lang w:val="en-US"/>
              </w:rPr>
              <w:t>James Dell, Sophie Dell, Ron Quevillon, Charlene Quevillon, Dino Lavalle, Mary Lavalle, Dan Lavalle, Larry Bourk, Joan Bourk, Richard Zirger, Judi Zirger, Robert Zirger, Sharon Zirger, George Lepp, Cindi Lepp, Mark Lepp and Erica Lepp v. Zeifman Partners Inc., as operator of the waste disposal  site at 2021 Four Mile Creek Road, Niagara on the Lake</w:t>
            </w:r>
          </w:p>
          <w:p w:rsidR="00BE597E" w:rsidRPr="001F1644" w:rsidRDefault="00BE597E" w:rsidP="00BE597E">
            <w:pPr>
              <w:jc w:val="both"/>
              <w:rPr>
                <w:sz w:val="20"/>
              </w:rPr>
            </w:pPr>
            <w:r w:rsidRPr="001F1644">
              <w:rPr>
                <w:sz w:val="20"/>
              </w:rPr>
              <w:t>(Ont.) (Civil) (By Leave)</w:t>
            </w:r>
          </w:p>
        </w:tc>
      </w:tr>
      <w:tr w:rsidR="00BE597E" w:rsidRPr="001F1644" w:rsidTr="00BE597E">
        <w:tc>
          <w:tcPr>
            <w:tcW w:w="5000" w:type="pct"/>
            <w:gridSpan w:val="4"/>
          </w:tcPr>
          <w:p w:rsidR="00BE597E" w:rsidRPr="001F1644" w:rsidRDefault="00BE597E" w:rsidP="00BE597E">
            <w:pPr>
              <w:jc w:val="both"/>
              <w:rPr>
                <w:sz w:val="20"/>
              </w:rPr>
            </w:pPr>
            <w:r w:rsidRPr="001F1644">
              <w:rPr>
                <w:i/>
                <w:sz w:val="20"/>
              </w:rPr>
              <w:t>Charter of Rights</w:t>
            </w:r>
            <w:r w:rsidRPr="001F1644">
              <w:rPr>
                <w:sz w:val="20"/>
              </w:rPr>
              <w:t xml:space="preserve"> — Fundamental justice — Administrative law — Boards and tribunals — Civil Procedure — Costs — Tribunal declining to award costs to successful applicants — Whether a statutory decision</w:t>
            </w:r>
            <w:r w:rsidRPr="001F1644">
              <w:rPr>
                <w:sz w:val="20"/>
              </w:rPr>
              <w:noBreakHyphen/>
              <w:t>maker has the power to apply the laws of equity to the determination of the costs of a proceeding brought under legislation — Whether this is an access to justice issue of national importance.</w:t>
            </w:r>
          </w:p>
        </w:tc>
      </w:tr>
      <w:tr w:rsidR="00BE597E" w:rsidRPr="001F1644" w:rsidTr="00BE597E">
        <w:tc>
          <w:tcPr>
            <w:tcW w:w="5000" w:type="pct"/>
            <w:gridSpan w:val="4"/>
          </w:tcPr>
          <w:p w:rsidR="00BE597E" w:rsidRPr="001F1644" w:rsidRDefault="00BE597E" w:rsidP="00BE597E">
            <w:pPr>
              <w:jc w:val="both"/>
              <w:rPr>
                <w:sz w:val="20"/>
              </w:rPr>
            </w:pPr>
          </w:p>
        </w:tc>
      </w:tr>
      <w:tr w:rsidR="00BE597E" w:rsidRPr="001F1644" w:rsidTr="00BE597E">
        <w:tc>
          <w:tcPr>
            <w:tcW w:w="5000" w:type="pct"/>
            <w:gridSpan w:val="4"/>
          </w:tcPr>
          <w:p w:rsidR="00BE597E" w:rsidRPr="001F1644" w:rsidRDefault="00BE597E" w:rsidP="00BE597E">
            <w:pPr>
              <w:jc w:val="both"/>
              <w:rPr>
                <w:sz w:val="20"/>
              </w:rPr>
            </w:pPr>
            <w:r w:rsidRPr="001F1644">
              <w:rPr>
                <w:sz w:val="20"/>
                <w:lang w:val="en"/>
              </w:rPr>
              <w:t xml:space="preserve">The </w:t>
            </w:r>
            <w:hyperlink r:id="rId96" w:history="1">
              <w:r w:rsidRPr="001F1644">
                <w:rPr>
                  <w:rStyle w:val="Hyperlink"/>
                  <w:rFonts w:eastAsiaTheme="majorEastAsia"/>
                  <w:i/>
                  <w:iCs/>
                  <w:color w:val="auto"/>
                  <w:sz w:val="20"/>
                  <w:u w:val="none"/>
                  <w:lang w:val="en"/>
                </w:rPr>
                <w:t>Farming and Food Production Protection Act, 1998</w:t>
              </w:r>
              <w:r w:rsidRPr="001F1644">
                <w:rPr>
                  <w:rStyle w:val="Hyperlink"/>
                  <w:rFonts w:eastAsiaTheme="majorEastAsia"/>
                  <w:color w:val="auto"/>
                  <w:sz w:val="20"/>
                  <w:u w:val="none"/>
                  <w:lang w:val="en"/>
                </w:rPr>
                <w:t>, S.O. 1998, c. 1</w:t>
              </w:r>
            </w:hyperlink>
            <w:r w:rsidRPr="001F1644">
              <w:rPr>
                <w:sz w:val="20"/>
                <w:lang w:val="en"/>
              </w:rPr>
              <w:t xml:space="preserve"> (the “FFPPA”) establishes a statutory scheme to shield farmers from liability in nuisance for disturbances caused by “normal farm practices”. The Normal Farm Practices Protection Board (the “Board”) adjudicates disputes under the </w:t>
            </w:r>
            <w:hyperlink r:id="rId97" w:history="1">
              <w:r w:rsidRPr="001F1644">
                <w:rPr>
                  <w:rStyle w:val="Hyperlink"/>
                  <w:rFonts w:eastAsiaTheme="majorEastAsia"/>
                  <w:i/>
                  <w:iCs/>
                  <w:color w:val="auto"/>
                  <w:sz w:val="20"/>
                  <w:u w:val="none"/>
                  <w:lang w:val="en"/>
                </w:rPr>
                <w:t>Act</w:t>
              </w:r>
            </w:hyperlink>
            <w:r w:rsidRPr="001F1644">
              <w:rPr>
                <w:sz w:val="20"/>
                <w:lang w:val="en"/>
              </w:rPr>
              <w:t>, and determines whether an agricultural operation meets the “normal farm practice” standard. In 2009, Vandermeer Greenhouses operated a greenhouse site near Niagara</w:t>
            </w:r>
            <w:r w:rsidRPr="001F1644">
              <w:rPr>
                <w:sz w:val="20"/>
                <w:lang w:val="en"/>
              </w:rPr>
              <w:noBreakHyphen/>
              <w:t>on</w:t>
            </w:r>
            <w:r w:rsidRPr="001F1644">
              <w:rPr>
                <w:sz w:val="20"/>
                <w:lang w:val="en"/>
              </w:rPr>
              <w:noBreakHyphen/>
              <w:t>the</w:t>
            </w:r>
            <w:r w:rsidRPr="001F1644">
              <w:rPr>
                <w:sz w:val="20"/>
                <w:lang w:val="en"/>
              </w:rPr>
              <w:noBreakHyphen/>
              <w:t xml:space="preserve">Lake and installed an “anaerobic digester”. After the digester commenced operation, nearby residents, the applicants herein, reported a disturbance from offensive odours and an extreme increase in the number of flies. Vandermeer entered into bankruptcy proceedings in early 2014 and the respondent was appointed Receiver by court order. The applicants commenced an application under </w:t>
            </w:r>
            <w:hyperlink r:id="rId98" w:anchor="sec5subsec1_smooth" w:history="1">
              <w:r w:rsidRPr="001F1644">
                <w:rPr>
                  <w:rStyle w:val="Hyperlink"/>
                  <w:rFonts w:eastAsiaTheme="majorEastAsia"/>
                  <w:color w:val="auto"/>
                  <w:sz w:val="20"/>
                  <w:u w:val="none"/>
                  <w:lang w:val="en"/>
                </w:rPr>
                <w:t>s. 5(1)</w:t>
              </w:r>
            </w:hyperlink>
            <w:r w:rsidRPr="001F1644">
              <w:rPr>
                <w:sz w:val="20"/>
                <w:lang w:val="en"/>
              </w:rPr>
              <w:t xml:space="preserve"> of the FFPPA, arguing that the facility operated by the Receiver seriously disturbed their enjoyment of their properties and was not a normal farm practice. The Board ruled that the operation was not a normal farm practice and ordered that the digester be shut down. </w:t>
            </w:r>
            <w:r w:rsidRPr="001F1644">
              <w:rPr>
                <w:sz w:val="20"/>
              </w:rPr>
              <w:t xml:space="preserve">The Board declined to make an order for costs in favour of either party.  The applicant’s </w:t>
            </w:r>
            <w:r w:rsidRPr="001F1644">
              <w:rPr>
                <w:sz w:val="20"/>
              </w:rPr>
              <w:lastRenderedPageBreak/>
              <w:t>appeal of the costs decision was dismissed by the Divisional Court. The applicants’ application for leave to appeal that order was dismissed.</w:t>
            </w:r>
          </w:p>
          <w:p w:rsidR="00BE597E" w:rsidRPr="001F1644" w:rsidRDefault="00BE597E" w:rsidP="00BE597E">
            <w:pPr>
              <w:jc w:val="both"/>
              <w:rPr>
                <w:sz w:val="20"/>
                <w:lang w:val="en"/>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lastRenderedPageBreak/>
              <w:t>July 30, 2019</w:t>
            </w:r>
          </w:p>
          <w:p w:rsidR="00BE597E" w:rsidRPr="001F1644" w:rsidRDefault="00BE597E" w:rsidP="00BE597E">
            <w:pPr>
              <w:jc w:val="both"/>
              <w:rPr>
                <w:sz w:val="20"/>
              </w:rPr>
            </w:pPr>
            <w:r w:rsidRPr="001F1644">
              <w:rPr>
                <w:sz w:val="20"/>
              </w:rPr>
              <w:t>Normal Farm Practices Protection Board</w:t>
            </w:r>
          </w:p>
          <w:p w:rsidR="00BE597E" w:rsidRPr="001F1644" w:rsidRDefault="00BE597E" w:rsidP="00BE597E">
            <w:pPr>
              <w:jc w:val="both"/>
              <w:rPr>
                <w:sz w:val="20"/>
              </w:rPr>
            </w:pPr>
            <w:r w:rsidRPr="001F1644">
              <w:rPr>
                <w:sz w:val="20"/>
              </w:rPr>
              <w:t xml:space="preserve">(Walker Vice-Chair, Field and Eadie, </w:t>
            </w:r>
          </w:p>
          <w:p w:rsidR="00BE597E" w:rsidRPr="001F1644" w:rsidRDefault="00BE597E" w:rsidP="00BE597E">
            <w:pPr>
              <w:jc w:val="both"/>
              <w:rPr>
                <w:sz w:val="20"/>
              </w:rPr>
            </w:pPr>
            <w:r w:rsidRPr="001F1644">
              <w:rPr>
                <w:sz w:val="20"/>
              </w:rPr>
              <w:t>Members)</w:t>
            </w:r>
          </w:p>
          <w:p w:rsidR="00BE597E" w:rsidRPr="001F1644" w:rsidRDefault="00BE597E" w:rsidP="00BE597E">
            <w:pPr>
              <w:jc w:val="both"/>
              <w:rPr>
                <w:sz w:val="20"/>
              </w:rPr>
            </w:pPr>
            <w:r w:rsidRPr="001F1644">
              <w:rPr>
                <w:sz w:val="20"/>
              </w:rPr>
              <w:t>Unreported</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Board deciding not to award costs to either party</w:t>
            </w:r>
          </w:p>
        </w:tc>
      </w:tr>
      <w:tr w:rsidR="00BE597E" w:rsidRPr="001F1644" w:rsidTr="00BE597E">
        <w:tc>
          <w:tcPr>
            <w:tcW w:w="2427" w:type="pct"/>
            <w:gridSpan w:val="2"/>
          </w:tcPr>
          <w:p w:rsidR="00BE597E" w:rsidRPr="001F1644" w:rsidRDefault="00BE597E" w:rsidP="00BE597E">
            <w:pPr>
              <w:jc w:val="both"/>
              <w:rPr>
                <w:sz w:val="20"/>
              </w:rPr>
            </w:pPr>
            <w:r w:rsidRPr="001F1644">
              <w:rPr>
                <w:sz w:val="20"/>
              </w:rPr>
              <w:t>June 23, 2020</w:t>
            </w:r>
          </w:p>
          <w:p w:rsidR="00BE597E" w:rsidRPr="001F1644" w:rsidRDefault="00BE597E" w:rsidP="00BE597E">
            <w:pPr>
              <w:jc w:val="both"/>
              <w:rPr>
                <w:sz w:val="20"/>
              </w:rPr>
            </w:pPr>
            <w:r w:rsidRPr="001F1644">
              <w:rPr>
                <w:sz w:val="20"/>
              </w:rPr>
              <w:t>Ontario Superior Court of Justice</w:t>
            </w:r>
          </w:p>
          <w:p w:rsidR="00BE597E" w:rsidRPr="001F1644" w:rsidRDefault="00BE597E" w:rsidP="00BE597E">
            <w:pPr>
              <w:jc w:val="both"/>
              <w:rPr>
                <w:sz w:val="20"/>
              </w:rPr>
            </w:pPr>
            <w:r w:rsidRPr="001F1644">
              <w:rPr>
                <w:sz w:val="20"/>
              </w:rPr>
              <w:t>(Swinton, Backhouse and Kristjanson JJ.A.)</w:t>
            </w:r>
          </w:p>
          <w:p w:rsidR="00BE597E" w:rsidRPr="001F1644" w:rsidRDefault="00724EE4" w:rsidP="00BE597E">
            <w:pPr>
              <w:jc w:val="both"/>
              <w:rPr>
                <w:sz w:val="20"/>
              </w:rPr>
            </w:pPr>
            <w:hyperlink r:id="rId99" w:history="1">
              <w:r w:rsidR="00BE597E" w:rsidRPr="001F1644">
                <w:rPr>
                  <w:rStyle w:val="Hyperlink"/>
                  <w:sz w:val="20"/>
                </w:rPr>
                <w:t>2020 ONSC 3881</w:t>
              </w:r>
            </w:hyperlink>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Applicants’ appeal of costs award by Board dismissed</w:t>
            </w:r>
          </w:p>
          <w:p w:rsidR="00BE597E" w:rsidRPr="001F1644" w:rsidRDefault="00BE597E" w:rsidP="00BE597E">
            <w:pPr>
              <w:jc w:val="both"/>
              <w:rPr>
                <w:sz w:val="20"/>
              </w:rPr>
            </w:pP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July 22, 2021</w:t>
            </w:r>
          </w:p>
          <w:p w:rsidR="00BE597E" w:rsidRPr="001F1644" w:rsidRDefault="00BE597E" w:rsidP="00BE597E">
            <w:pPr>
              <w:jc w:val="both"/>
              <w:rPr>
                <w:sz w:val="20"/>
              </w:rPr>
            </w:pPr>
            <w:r w:rsidRPr="001F1644">
              <w:rPr>
                <w:sz w:val="20"/>
              </w:rPr>
              <w:t>Court of Appeal for Ontario</w:t>
            </w:r>
          </w:p>
          <w:p w:rsidR="00BE597E" w:rsidRPr="001F1644" w:rsidRDefault="00BE597E" w:rsidP="00BE597E">
            <w:pPr>
              <w:jc w:val="both"/>
              <w:rPr>
                <w:sz w:val="20"/>
              </w:rPr>
            </w:pPr>
            <w:r w:rsidRPr="001F1644">
              <w:rPr>
                <w:sz w:val="20"/>
              </w:rPr>
              <w:t>(Tulloch, Nordheimer and Jamal JJ.A.)</w:t>
            </w:r>
          </w:p>
          <w:p w:rsidR="00BE597E" w:rsidRPr="001F1644" w:rsidRDefault="00BE597E" w:rsidP="00BE597E">
            <w:pPr>
              <w:jc w:val="both"/>
              <w:rPr>
                <w:sz w:val="20"/>
              </w:rPr>
            </w:pPr>
            <w:r w:rsidRPr="001F1644">
              <w:rPr>
                <w:sz w:val="20"/>
              </w:rPr>
              <w:t>Unreported</w:t>
            </w:r>
          </w:p>
          <w:p w:rsidR="00BE597E" w:rsidRPr="001F1644" w:rsidRDefault="00BE597E" w:rsidP="00BE597E">
            <w:pPr>
              <w:jc w:val="both"/>
              <w:rPr>
                <w:sz w:val="20"/>
              </w:rPr>
            </w:pP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Applicants’ application for leave to appeal dismissed</w:t>
            </w:r>
          </w:p>
          <w:p w:rsidR="00BE597E" w:rsidRPr="001F1644" w:rsidRDefault="00BE597E" w:rsidP="00BE597E">
            <w:pPr>
              <w:jc w:val="both"/>
              <w:rPr>
                <w:sz w:val="20"/>
              </w:rPr>
            </w:pPr>
          </w:p>
        </w:tc>
      </w:tr>
      <w:tr w:rsidR="00BE597E" w:rsidRPr="001F1644" w:rsidTr="00BE597E">
        <w:tc>
          <w:tcPr>
            <w:tcW w:w="2427" w:type="pct"/>
            <w:gridSpan w:val="2"/>
          </w:tcPr>
          <w:p w:rsidR="00BE597E" w:rsidRPr="001F1644" w:rsidRDefault="00BE597E" w:rsidP="00BE597E">
            <w:pPr>
              <w:jc w:val="both"/>
              <w:rPr>
                <w:sz w:val="20"/>
              </w:rPr>
            </w:pPr>
            <w:r w:rsidRPr="001F1644">
              <w:rPr>
                <w:sz w:val="20"/>
              </w:rPr>
              <w:t>September 29, 2021</w:t>
            </w:r>
          </w:p>
          <w:p w:rsidR="00BE597E" w:rsidRPr="001F1644" w:rsidRDefault="00BE597E" w:rsidP="00BE597E">
            <w:pPr>
              <w:jc w:val="both"/>
              <w:rPr>
                <w:sz w:val="20"/>
              </w:rPr>
            </w:pPr>
            <w:r w:rsidRPr="001F1644">
              <w:rPr>
                <w:sz w:val="20"/>
              </w:rPr>
              <w:t>Supreme Court of Canada</w:t>
            </w:r>
          </w:p>
        </w:tc>
        <w:tc>
          <w:tcPr>
            <w:tcW w:w="243" w:type="pct"/>
          </w:tcPr>
          <w:p w:rsidR="00BE597E" w:rsidRPr="001F1644" w:rsidRDefault="00BE597E" w:rsidP="00BE597E">
            <w:pPr>
              <w:jc w:val="both"/>
              <w:rPr>
                <w:sz w:val="20"/>
              </w:rPr>
            </w:pPr>
          </w:p>
        </w:tc>
        <w:tc>
          <w:tcPr>
            <w:tcW w:w="2330" w:type="pct"/>
          </w:tcPr>
          <w:p w:rsidR="00BE597E" w:rsidRPr="001F1644" w:rsidRDefault="00BE597E" w:rsidP="00BE597E">
            <w:pPr>
              <w:jc w:val="both"/>
              <w:rPr>
                <w:sz w:val="20"/>
              </w:rPr>
            </w:pPr>
            <w:r w:rsidRPr="001F1644">
              <w:rPr>
                <w:sz w:val="20"/>
              </w:rPr>
              <w:t>Application for leave to appeal filed</w:t>
            </w:r>
          </w:p>
          <w:p w:rsidR="00BE597E" w:rsidRPr="001F1644" w:rsidRDefault="00BE597E" w:rsidP="00BE597E">
            <w:pPr>
              <w:jc w:val="both"/>
              <w:rPr>
                <w:sz w:val="20"/>
              </w:rPr>
            </w:pPr>
          </w:p>
        </w:tc>
      </w:tr>
    </w:tbl>
    <w:p w:rsidR="00BE597E" w:rsidRPr="001F1644" w:rsidRDefault="00BE597E" w:rsidP="00BE597E">
      <w:pPr>
        <w:jc w:val="both"/>
        <w:rPr>
          <w:sz w:val="20"/>
        </w:rPr>
      </w:pPr>
    </w:p>
    <w:p w:rsidR="00EC01CB" w:rsidRPr="001F1644" w:rsidRDefault="00724EE4" w:rsidP="00BE597E">
      <w:pPr>
        <w:jc w:val="both"/>
        <w:rPr>
          <w:sz w:val="20"/>
        </w:rPr>
      </w:pPr>
      <w:r>
        <w:rPr>
          <w:sz w:val="20"/>
        </w:rPr>
        <w:pict>
          <v:rect id="_x0000_i1061" style="width:2in;height:1pt" o:hrpct="0" o:hralign="center" o:hrstd="t" o:hrnoshade="t" o:hr="t" fillcolor="black [3213]" stroked="f"/>
        </w:pict>
      </w:r>
    </w:p>
    <w:p w:rsidR="00EC01CB" w:rsidRPr="001F1644" w:rsidRDefault="00EC01CB" w:rsidP="00BE59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97E" w:rsidRPr="001F1644" w:rsidTr="00BE597E">
        <w:tc>
          <w:tcPr>
            <w:tcW w:w="543" w:type="pct"/>
          </w:tcPr>
          <w:p w:rsidR="00BE597E" w:rsidRPr="001F1644" w:rsidRDefault="00BE597E" w:rsidP="00BE597E">
            <w:pPr>
              <w:jc w:val="both"/>
              <w:rPr>
                <w:sz w:val="20"/>
                <w:lang w:val="fr-CA"/>
              </w:rPr>
            </w:pPr>
            <w:r w:rsidRPr="001F1644">
              <w:rPr>
                <w:rStyle w:val="SCCFileNumberChar"/>
                <w:sz w:val="20"/>
                <w:szCs w:val="20"/>
                <w:lang w:val="fr-CA"/>
              </w:rPr>
              <w:t>39872</w:t>
            </w:r>
          </w:p>
        </w:tc>
        <w:tc>
          <w:tcPr>
            <w:tcW w:w="4457" w:type="pct"/>
            <w:gridSpan w:val="3"/>
          </w:tcPr>
          <w:p w:rsidR="00BE597E" w:rsidRPr="001F1644" w:rsidRDefault="00BE597E" w:rsidP="00BE597E">
            <w:pPr>
              <w:pStyle w:val="SCCLsocParty"/>
              <w:jc w:val="both"/>
              <w:rPr>
                <w:b/>
                <w:sz w:val="20"/>
                <w:szCs w:val="20"/>
              </w:rPr>
            </w:pPr>
            <w:r w:rsidRPr="001F1644">
              <w:rPr>
                <w:b/>
                <w:sz w:val="20"/>
                <w:szCs w:val="20"/>
              </w:rPr>
              <w:t>James Dell, Sophie Dell, Ron Quevillon, Charlene Quevillon, Dino Lavalle, Mary Lavalle, Dan Lavalle, Larry Bourk, Joan Bourk, Richard Zirger, Judi Zirger, Robert Zirger, Sharon Zirger, George Lepp, Cindi Lepp, Mark Lepp et Erica Lepp c. Zeifman Partners Inc., exploitante du</w:t>
            </w:r>
            <w:r w:rsidRPr="001F1644">
              <w:rPr>
                <w:b/>
                <w:i/>
                <w:iCs/>
                <w:color w:val="000000"/>
                <w:sz w:val="20"/>
                <w:szCs w:val="20"/>
              </w:rPr>
              <w:t xml:space="preserve"> </w:t>
            </w:r>
            <w:r w:rsidRPr="001F1644">
              <w:rPr>
                <w:b/>
                <w:iCs/>
                <w:sz w:val="20"/>
                <w:szCs w:val="20"/>
              </w:rPr>
              <w:t>lieu d’élimination des déchets</w:t>
            </w:r>
            <w:r w:rsidRPr="001F1644">
              <w:rPr>
                <w:b/>
                <w:i/>
                <w:iCs/>
                <w:sz w:val="20"/>
                <w:szCs w:val="20"/>
              </w:rPr>
              <w:t> </w:t>
            </w:r>
            <w:r w:rsidRPr="001F1644">
              <w:rPr>
                <w:b/>
                <w:sz w:val="20"/>
                <w:szCs w:val="20"/>
              </w:rPr>
              <w:t>situé au 2021, Four Mile Creek Road, Niagara-on-the-Lake</w:t>
            </w:r>
          </w:p>
          <w:p w:rsidR="00BE597E" w:rsidRPr="001F1644" w:rsidRDefault="00BE597E" w:rsidP="00BE597E">
            <w:pPr>
              <w:jc w:val="both"/>
              <w:rPr>
                <w:sz w:val="20"/>
                <w:lang w:val="fr-CA"/>
              </w:rPr>
            </w:pPr>
            <w:r w:rsidRPr="001F1644">
              <w:rPr>
                <w:sz w:val="20"/>
                <w:lang w:val="fr-CA"/>
              </w:rPr>
              <w:t>(Ont.) (Civile) (Sur autorisation)</w:t>
            </w:r>
          </w:p>
        </w:tc>
      </w:tr>
      <w:tr w:rsidR="00BE597E" w:rsidRPr="00724EE4" w:rsidTr="00BE597E">
        <w:tc>
          <w:tcPr>
            <w:tcW w:w="5000" w:type="pct"/>
            <w:gridSpan w:val="4"/>
          </w:tcPr>
          <w:p w:rsidR="00BE597E" w:rsidRPr="001F1644" w:rsidRDefault="00BE597E" w:rsidP="00BE597E">
            <w:pPr>
              <w:jc w:val="both"/>
              <w:rPr>
                <w:sz w:val="20"/>
                <w:lang w:val="fr-CA"/>
              </w:rPr>
            </w:pPr>
            <w:r w:rsidRPr="001F1644">
              <w:rPr>
                <w:i/>
                <w:sz w:val="20"/>
                <w:lang w:val="fr-CA"/>
              </w:rPr>
              <w:t>Charte des droits</w:t>
            </w:r>
            <w:r w:rsidRPr="001F1644">
              <w:rPr>
                <w:sz w:val="20"/>
                <w:lang w:val="fr-CA"/>
              </w:rPr>
              <w:t xml:space="preserve"> — Justice fondamentale — Droit administratif — Organismes et tribunaux administratifs — Procédure civile — Dépens — Le tribunal administratif a refusé d’accorder des dépens aux demandeurs qui ont eu gain de cause — Un organisme décisionnel a</w:t>
            </w:r>
            <w:r w:rsidRPr="001F1644">
              <w:rPr>
                <w:sz w:val="20"/>
                <w:lang w:val="fr-CA"/>
              </w:rPr>
              <w:noBreakHyphen/>
              <w:t>t</w:t>
            </w:r>
            <w:r w:rsidRPr="001F1644">
              <w:rPr>
                <w:sz w:val="20"/>
                <w:lang w:val="fr-CA"/>
              </w:rPr>
              <w:noBreakHyphen/>
              <w:t>il le pouvoir d’appliquer les règles d’equity à une décision sur les dépens dans le cadre d’un recours exercé en vertu d’une loi? — S’agit</w:t>
            </w:r>
            <w:r w:rsidRPr="001F1644">
              <w:rPr>
                <w:sz w:val="20"/>
                <w:lang w:val="fr-CA"/>
              </w:rPr>
              <w:noBreakHyphen/>
              <w:t>il d’une question d’accès à la justice d’importance nationale?</w:t>
            </w:r>
          </w:p>
        </w:tc>
      </w:tr>
      <w:tr w:rsidR="00BE597E" w:rsidRPr="00724EE4" w:rsidTr="00BE597E">
        <w:tc>
          <w:tcPr>
            <w:tcW w:w="5000" w:type="pct"/>
            <w:gridSpan w:val="4"/>
          </w:tcPr>
          <w:p w:rsidR="00BE597E" w:rsidRPr="001F1644" w:rsidRDefault="00BE597E" w:rsidP="00BE597E">
            <w:pPr>
              <w:jc w:val="both"/>
              <w:rPr>
                <w:sz w:val="20"/>
                <w:lang w:val="fr-CA"/>
              </w:rPr>
            </w:pPr>
          </w:p>
        </w:tc>
      </w:tr>
      <w:tr w:rsidR="00BE597E" w:rsidRPr="00724EE4" w:rsidTr="00BE597E">
        <w:tc>
          <w:tcPr>
            <w:tcW w:w="5000" w:type="pct"/>
            <w:gridSpan w:val="4"/>
          </w:tcPr>
          <w:p w:rsidR="00BE597E" w:rsidRPr="001F1644" w:rsidRDefault="00BE597E" w:rsidP="00BE597E">
            <w:pPr>
              <w:jc w:val="both"/>
              <w:rPr>
                <w:sz w:val="20"/>
                <w:lang w:val="fr-CA"/>
              </w:rPr>
            </w:pPr>
            <w:r w:rsidRPr="001F1644">
              <w:rPr>
                <w:sz w:val="20"/>
                <w:lang w:val="fr-CA"/>
              </w:rPr>
              <w:t xml:space="preserve">La </w:t>
            </w:r>
            <w:r w:rsidRPr="001F1644">
              <w:rPr>
                <w:i/>
                <w:sz w:val="20"/>
                <w:lang w:val="fr-CA"/>
              </w:rPr>
              <w:t>Loi de 1998 sur la protection de l'agriculture et de la production alimentaire</w:t>
            </w:r>
            <w:r w:rsidRPr="001F1644">
              <w:rPr>
                <w:sz w:val="20"/>
                <w:lang w:val="fr-CA"/>
              </w:rPr>
              <w:t xml:space="preserve">, L.O. 1998, </w:t>
            </w:r>
            <w:hyperlink r:id="rId100" w:history="1">
              <w:r w:rsidRPr="001F1644">
                <w:rPr>
                  <w:rStyle w:val="Hyperlink"/>
                  <w:rFonts w:eastAsiaTheme="majorEastAsia"/>
                  <w:color w:val="auto"/>
                  <w:sz w:val="20"/>
                  <w:u w:val="none"/>
                  <w:lang w:val="fr-CA"/>
                </w:rPr>
                <w:t>c. 1</w:t>
              </w:r>
            </w:hyperlink>
            <w:r w:rsidRPr="001F1644">
              <w:rPr>
                <w:sz w:val="20"/>
                <w:lang w:val="fr-CA"/>
              </w:rPr>
              <w:t xml:space="preserve"> (« LPAPA ») établit un régime législatif visant à dégager les agriculteurs</w:t>
            </w:r>
            <w:r w:rsidRPr="001F1644">
              <w:rPr>
                <w:color w:val="000000"/>
                <w:sz w:val="20"/>
                <w:lang w:val="fr-CA"/>
              </w:rPr>
              <w:t xml:space="preserve"> </w:t>
            </w:r>
            <w:r w:rsidRPr="001F1644">
              <w:rPr>
                <w:sz w:val="20"/>
                <w:lang w:val="fr-CA"/>
              </w:rPr>
              <w:t>de toute responsabilité en nuisance relativement à toute perturbation découlant d’une « pratique agricole normale ». La Commission de protection des pratiques agricoles normales (la « Commission ») tranche les différends en application de cette loi, et détermine si une exploitation agricole quelconque satisfait à la norme de « pratique agricole normale ». En 2009, Vandermeer Greenhouses, qui exploitait des serres sur un site près de Niagara</w:t>
            </w:r>
            <w:r w:rsidRPr="001F1644">
              <w:rPr>
                <w:sz w:val="20"/>
                <w:lang w:val="fr-CA"/>
              </w:rPr>
              <w:noBreakHyphen/>
              <w:t>on</w:t>
            </w:r>
            <w:r w:rsidRPr="001F1644">
              <w:rPr>
                <w:sz w:val="20"/>
                <w:lang w:val="fr-CA"/>
              </w:rPr>
              <w:noBreakHyphen/>
              <w:t>the</w:t>
            </w:r>
            <w:r w:rsidRPr="001F1644">
              <w:rPr>
                <w:sz w:val="20"/>
                <w:lang w:val="fr-CA"/>
              </w:rPr>
              <w:noBreakHyphen/>
              <w:t>Lake, a installé un « digesteur anaérobie ». Après le début de l’exploitation du digesteur par cette dernière, des personnes résidant à proximité, soit les demandeurs en l’espèce, ont signalé une perturbation causée par une odeur répugnante et une multiplication du nombre de mouches. Vandermeer a entamé une procédure de mise en faillite au début de 2014 et l’intimée a été désignée à titre de séquestre aux termes d’une ordonnance du tribunal. Les demandeurs ont présenté une demande en vertu du par.</w:t>
            </w:r>
            <w:hyperlink r:id="rId101" w:anchor="sec5subsec1_smooth" w:history="1">
              <w:r w:rsidRPr="001F1644">
                <w:rPr>
                  <w:rStyle w:val="Hyperlink"/>
                  <w:rFonts w:eastAsiaTheme="majorEastAsia"/>
                  <w:color w:val="auto"/>
                  <w:sz w:val="20"/>
                  <w:u w:val="none"/>
                  <w:lang w:val="fr-CA"/>
                </w:rPr>
                <w:t> 5(1)</w:t>
              </w:r>
            </w:hyperlink>
            <w:r w:rsidRPr="001F1644">
              <w:rPr>
                <w:sz w:val="20"/>
                <w:lang w:val="fr-CA"/>
              </w:rPr>
              <w:t xml:space="preserve"> de la LPAPA, faisant valoir que l’installation exploitée par le séquestre portait sérieusement atteinte à la jouissance de leurs propriétés et qu’elle ne constituait pas une pratique agricole normale. La Commission a conclu que l’exploitation du digesteur ne constituait pas une pratique agricole normale et a ordonné de mettre fin à cette activité. La Commission a refusé de rendre une ordonnance de dépens en faveur de l’une ou l’autre des parties. L’appel présenté par les demandeurs contestant la décision sur les dépens a été rejeté par la Cour divisionnaire. La demande présentée par les demandeurs en autorisation d’appel de cette ordonnance a été rejetée.</w:t>
            </w:r>
          </w:p>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30 juillet 2019</w:t>
            </w:r>
          </w:p>
          <w:p w:rsidR="00BE597E" w:rsidRPr="001F1644" w:rsidRDefault="00BE597E" w:rsidP="00BE597E">
            <w:pPr>
              <w:jc w:val="both"/>
              <w:rPr>
                <w:sz w:val="20"/>
                <w:lang w:val="fr-CA"/>
              </w:rPr>
            </w:pPr>
            <w:r w:rsidRPr="001F1644">
              <w:rPr>
                <w:sz w:val="20"/>
                <w:lang w:val="fr-CA"/>
              </w:rPr>
              <w:t xml:space="preserve">Commission de protection des pratiques agricoles normales </w:t>
            </w:r>
          </w:p>
          <w:p w:rsidR="00BE597E" w:rsidRPr="001F1644" w:rsidRDefault="00BE597E" w:rsidP="00BE597E">
            <w:pPr>
              <w:jc w:val="both"/>
              <w:rPr>
                <w:sz w:val="20"/>
                <w:lang w:val="fr-CA"/>
              </w:rPr>
            </w:pPr>
            <w:r w:rsidRPr="001F1644">
              <w:rPr>
                <w:sz w:val="20"/>
                <w:lang w:val="fr-CA"/>
              </w:rPr>
              <w:lastRenderedPageBreak/>
              <w:t>(vice-président Walker, commissaires Field et Eadie)</w:t>
            </w:r>
          </w:p>
          <w:p w:rsidR="00BE597E" w:rsidRPr="001F1644" w:rsidRDefault="00BE597E" w:rsidP="00BE597E">
            <w:pPr>
              <w:jc w:val="both"/>
              <w:rPr>
                <w:sz w:val="20"/>
                <w:lang w:val="fr-CA"/>
              </w:rPr>
            </w:pPr>
            <w:r w:rsidRPr="001F1644">
              <w:rPr>
                <w:sz w:val="20"/>
                <w:lang w:val="fr-CA"/>
              </w:rPr>
              <w:t>Non publié</w:t>
            </w:r>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La Commission décide de ne pas adjuger de dépens à l’une ou l’autre des parties.</w:t>
            </w: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23 juin 2020</w:t>
            </w:r>
          </w:p>
          <w:p w:rsidR="00BE597E" w:rsidRPr="001F1644" w:rsidRDefault="00BE597E" w:rsidP="00BE597E">
            <w:pPr>
              <w:jc w:val="both"/>
              <w:rPr>
                <w:sz w:val="20"/>
                <w:lang w:val="fr-CA"/>
              </w:rPr>
            </w:pPr>
            <w:r w:rsidRPr="001F1644">
              <w:rPr>
                <w:sz w:val="20"/>
                <w:lang w:val="fr-CA"/>
              </w:rPr>
              <w:t>Cour supérieure de justice de l’Ontario</w:t>
            </w:r>
          </w:p>
          <w:p w:rsidR="00BE597E" w:rsidRPr="001F1644" w:rsidRDefault="00BE597E" w:rsidP="00BE597E">
            <w:pPr>
              <w:jc w:val="both"/>
              <w:rPr>
                <w:sz w:val="20"/>
                <w:lang w:val="fr-CA"/>
              </w:rPr>
            </w:pPr>
            <w:r w:rsidRPr="001F1644">
              <w:rPr>
                <w:sz w:val="20"/>
                <w:lang w:val="fr-CA"/>
              </w:rPr>
              <w:t>(juges Swinton, Backhouse et Kristjanson)</w:t>
            </w:r>
          </w:p>
          <w:p w:rsidR="00BE597E" w:rsidRPr="001F1644" w:rsidRDefault="00724EE4" w:rsidP="00BE597E">
            <w:pPr>
              <w:jc w:val="both"/>
              <w:rPr>
                <w:sz w:val="20"/>
                <w:lang w:val="fr-CA"/>
              </w:rPr>
            </w:pPr>
            <w:hyperlink r:id="rId102" w:history="1">
              <w:r w:rsidR="00BE597E" w:rsidRPr="001F1644">
                <w:rPr>
                  <w:rStyle w:val="Hyperlink"/>
                  <w:sz w:val="20"/>
                  <w:lang w:val="fr-CA"/>
                </w:rPr>
                <w:t>2020 ONSC 3881</w:t>
              </w:r>
            </w:hyperlink>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L’appel présenté par les demandeurs visant l’ordonnance de dépens de la Commission est rejeté.</w:t>
            </w:r>
          </w:p>
          <w:p w:rsidR="00BE597E" w:rsidRPr="001F1644" w:rsidRDefault="00BE597E" w:rsidP="00BE597E">
            <w:pPr>
              <w:jc w:val="both"/>
              <w:rPr>
                <w:sz w:val="20"/>
                <w:lang w:val="fr-CA"/>
              </w:rPr>
            </w:pPr>
          </w:p>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22 juillet 2021</w:t>
            </w:r>
          </w:p>
          <w:p w:rsidR="00BE597E" w:rsidRPr="001F1644" w:rsidRDefault="00BE597E" w:rsidP="00BE597E">
            <w:pPr>
              <w:jc w:val="both"/>
              <w:rPr>
                <w:sz w:val="20"/>
                <w:lang w:val="fr-CA"/>
              </w:rPr>
            </w:pPr>
            <w:r w:rsidRPr="001F1644">
              <w:rPr>
                <w:sz w:val="20"/>
                <w:lang w:val="fr-CA"/>
              </w:rPr>
              <w:t>Cour d’appel de l’Ontario</w:t>
            </w:r>
          </w:p>
          <w:p w:rsidR="00BE597E" w:rsidRPr="001F1644" w:rsidRDefault="00BE597E" w:rsidP="00BE597E">
            <w:pPr>
              <w:jc w:val="both"/>
              <w:rPr>
                <w:sz w:val="20"/>
                <w:lang w:val="fr-CA"/>
              </w:rPr>
            </w:pPr>
            <w:r w:rsidRPr="001F1644">
              <w:rPr>
                <w:sz w:val="20"/>
                <w:lang w:val="fr-CA"/>
              </w:rPr>
              <w:t>(juges Tulloch, Nordheimer et Jamal)</w:t>
            </w:r>
          </w:p>
          <w:p w:rsidR="00BE597E" w:rsidRPr="001F1644" w:rsidRDefault="00BE597E" w:rsidP="00BE597E">
            <w:pPr>
              <w:jc w:val="both"/>
              <w:rPr>
                <w:sz w:val="20"/>
                <w:lang w:val="fr-CA"/>
              </w:rPr>
            </w:pPr>
            <w:r w:rsidRPr="001F1644">
              <w:rPr>
                <w:sz w:val="20"/>
                <w:lang w:val="fr-CA"/>
              </w:rPr>
              <w:t>Non publié</w:t>
            </w:r>
          </w:p>
          <w:p w:rsidR="00BE597E" w:rsidRPr="001F1644" w:rsidRDefault="00BE597E" w:rsidP="00BE597E">
            <w:pPr>
              <w:jc w:val="both"/>
              <w:rPr>
                <w:sz w:val="20"/>
                <w:lang w:val="fr-CA"/>
              </w:rPr>
            </w:pP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La demande d’autorisation d’appel présentée par les demandeurs est rejetée.</w:t>
            </w:r>
          </w:p>
          <w:p w:rsidR="00BE597E" w:rsidRPr="001F1644" w:rsidRDefault="00BE597E" w:rsidP="00BE597E">
            <w:pPr>
              <w:jc w:val="both"/>
              <w:rPr>
                <w:sz w:val="20"/>
                <w:lang w:val="fr-CA"/>
              </w:rPr>
            </w:pPr>
          </w:p>
        </w:tc>
      </w:tr>
      <w:tr w:rsidR="00BE597E" w:rsidRPr="00724EE4" w:rsidTr="00BE597E">
        <w:tc>
          <w:tcPr>
            <w:tcW w:w="2427" w:type="pct"/>
            <w:gridSpan w:val="2"/>
          </w:tcPr>
          <w:p w:rsidR="00BE597E" w:rsidRPr="001F1644" w:rsidRDefault="00BE597E" w:rsidP="00BE597E">
            <w:pPr>
              <w:jc w:val="both"/>
              <w:rPr>
                <w:sz w:val="20"/>
                <w:lang w:val="fr-CA"/>
              </w:rPr>
            </w:pPr>
            <w:r w:rsidRPr="001F1644">
              <w:rPr>
                <w:sz w:val="20"/>
                <w:lang w:val="fr-CA"/>
              </w:rPr>
              <w:t>29 septembre 2021</w:t>
            </w:r>
          </w:p>
          <w:p w:rsidR="00BE597E" w:rsidRPr="001F1644" w:rsidRDefault="00BE597E" w:rsidP="00BE597E">
            <w:pPr>
              <w:jc w:val="both"/>
              <w:rPr>
                <w:sz w:val="20"/>
                <w:lang w:val="fr-CA"/>
              </w:rPr>
            </w:pPr>
            <w:r w:rsidRPr="001F1644">
              <w:rPr>
                <w:sz w:val="20"/>
                <w:lang w:val="fr-CA"/>
              </w:rPr>
              <w:t>Cour suprême du Canada</w:t>
            </w:r>
          </w:p>
        </w:tc>
        <w:tc>
          <w:tcPr>
            <w:tcW w:w="243" w:type="pct"/>
          </w:tcPr>
          <w:p w:rsidR="00BE597E" w:rsidRPr="001F1644" w:rsidRDefault="00BE597E" w:rsidP="00BE597E">
            <w:pPr>
              <w:jc w:val="both"/>
              <w:rPr>
                <w:sz w:val="20"/>
                <w:lang w:val="fr-CA"/>
              </w:rPr>
            </w:pPr>
          </w:p>
        </w:tc>
        <w:tc>
          <w:tcPr>
            <w:tcW w:w="2330" w:type="pct"/>
          </w:tcPr>
          <w:p w:rsidR="00BE597E" w:rsidRPr="001F1644" w:rsidRDefault="00BE597E" w:rsidP="00BE597E">
            <w:pPr>
              <w:jc w:val="both"/>
              <w:rPr>
                <w:sz w:val="20"/>
                <w:lang w:val="fr-CA"/>
              </w:rPr>
            </w:pPr>
            <w:r w:rsidRPr="001F1644">
              <w:rPr>
                <w:sz w:val="20"/>
                <w:lang w:val="fr-CA"/>
              </w:rPr>
              <w:t>La demande d’autorisation d’appel est présentée.</w:t>
            </w:r>
          </w:p>
          <w:p w:rsidR="00BE597E" w:rsidRPr="001F1644" w:rsidRDefault="00BE597E" w:rsidP="00BE597E">
            <w:pPr>
              <w:jc w:val="both"/>
              <w:rPr>
                <w:sz w:val="20"/>
                <w:lang w:val="fr-CA"/>
              </w:rPr>
            </w:pPr>
          </w:p>
        </w:tc>
      </w:tr>
    </w:tbl>
    <w:p w:rsidR="00BA25C8" w:rsidRPr="001F1644" w:rsidRDefault="00BA25C8" w:rsidP="00350651">
      <w:pPr>
        <w:widowControl w:val="0"/>
        <w:jc w:val="both"/>
        <w:rPr>
          <w:sz w:val="20"/>
          <w:lang w:val="fr-CA"/>
        </w:rPr>
      </w:pPr>
    </w:p>
    <w:p w:rsidR="0028541A" w:rsidRPr="001F1644" w:rsidRDefault="00724EE4" w:rsidP="00350651">
      <w:pPr>
        <w:widowControl w:val="0"/>
        <w:jc w:val="both"/>
        <w:rPr>
          <w:sz w:val="20"/>
        </w:rPr>
      </w:pPr>
      <w:r>
        <w:rPr>
          <w:sz w:val="20"/>
        </w:rPr>
        <w:pict>
          <v:rect id="_x0000_i1062" style="width:2in;height:1pt" o:hrpct="0" o:hralign="center" o:hrstd="t" o:hrnoshade="t" o:hr="t" fillcolor="black [3213]" stroked="f"/>
        </w:pict>
      </w:r>
    </w:p>
    <w:p w:rsidR="00FD3FA0" w:rsidRPr="001F1644" w:rsidRDefault="00FD3FA0" w:rsidP="00350651">
      <w:pPr>
        <w:ind w:left="142" w:hanging="142"/>
        <w:jc w:val="both"/>
        <w:rPr>
          <w:sz w:val="20"/>
        </w:rPr>
      </w:pPr>
    </w:p>
    <w:p w:rsidR="008F2F11" w:rsidRPr="001F1644" w:rsidRDefault="008F2F11" w:rsidP="00350651">
      <w:pPr>
        <w:ind w:left="142" w:hanging="142"/>
        <w:jc w:val="both"/>
        <w:rPr>
          <w:sz w:val="20"/>
        </w:rPr>
      </w:pPr>
    </w:p>
    <w:p w:rsidR="008F2F11" w:rsidRPr="001F1644" w:rsidRDefault="008F2F11" w:rsidP="00350651">
      <w:pPr>
        <w:ind w:left="142" w:hanging="142"/>
        <w:jc w:val="both"/>
        <w:rPr>
          <w:sz w:val="20"/>
        </w:rPr>
      </w:pPr>
    </w:p>
    <w:p w:rsidR="00D3344A" w:rsidRPr="001F1644" w:rsidRDefault="00D3344A" w:rsidP="00D3344A">
      <w:pPr>
        <w:widowControl w:val="0"/>
        <w:outlineLvl w:val="0"/>
        <w:rPr>
          <w:sz w:val="20"/>
        </w:rPr>
      </w:pPr>
      <w:r w:rsidRPr="001F1644">
        <w:rPr>
          <w:sz w:val="20"/>
        </w:rPr>
        <w:t xml:space="preserve">Supreme Court of Canada / Cour suprême du </w:t>
      </w:r>
      <w:proofErr w:type="gramStart"/>
      <w:r w:rsidRPr="001F1644">
        <w:rPr>
          <w:sz w:val="20"/>
        </w:rPr>
        <w:t>Canad</w:t>
      </w:r>
      <w:r w:rsidR="00EE289F" w:rsidRPr="001F1644">
        <w:rPr>
          <w:sz w:val="20"/>
        </w:rPr>
        <w:t>a</w:t>
      </w:r>
      <w:r w:rsidRPr="001F1644">
        <w:rPr>
          <w:sz w:val="20"/>
        </w:rPr>
        <w:t xml:space="preserve"> :</w:t>
      </w:r>
      <w:proofErr w:type="gramEnd"/>
    </w:p>
    <w:p w:rsidR="00D3344A" w:rsidRPr="001F1644" w:rsidRDefault="00724EE4" w:rsidP="00D3344A">
      <w:pPr>
        <w:widowControl w:val="0"/>
        <w:outlineLvl w:val="0"/>
        <w:rPr>
          <w:sz w:val="20"/>
          <w:u w:val="single"/>
        </w:rPr>
      </w:pPr>
      <w:hyperlink r:id="rId103" w:history="1">
        <w:r w:rsidR="009B7391" w:rsidRPr="001F1644">
          <w:rPr>
            <w:rStyle w:val="Hyperlink"/>
            <w:sz w:val="20"/>
          </w:rPr>
          <w:t>comments-commentaires@scc-csc.ca</w:t>
        </w:r>
      </w:hyperlink>
    </w:p>
    <w:p w:rsidR="00D3344A" w:rsidRPr="001F1644" w:rsidRDefault="0065588C" w:rsidP="00D3344A">
      <w:pPr>
        <w:widowControl w:val="0"/>
        <w:outlineLvl w:val="0"/>
        <w:rPr>
          <w:sz w:val="20"/>
        </w:rPr>
      </w:pPr>
      <w:r w:rsidRPr="001F1644">
        <w:rPr>
          <w:sz w:val="20"/>
        </w:rPr>
        <w:t>613-</w:t>
      </w:r>
      <w:r w:rsidR="00D3344A" w:rsidRPr="001F1644">
        <w:rPr>
          <w:sz w:val="20"/>
        </w:rPr>
        <w:t>995-4330</w:t>
      </w:r>
    </w:p>
    <w:p w:rsidR="00497B5E" w:rsidRPr="001F1644" w:rsidRDefault="00497B5E" w:rsidP="00497B5E">
      <w:pPr>
        <w:widowControl w:val="0"/>
        <w:rPr>
          <w:sz w:val="20"/>
        </w:rPr>
      </w:pPr>
    </w:p>
    <w:p w:rsidR="00F6251B" w:rsidRPr="007607A2" w:rsidRDefault="003F43E6" w:rsidP="00F6251B">
      <w:pPr>
        <w:pStyle w:val="Footer"/>
        <w:jc w:val="center"/>
        <w:rPr>
          <w:sz w:val="20"/>
        </w:rPr>
      </w:pPr>
      <w:r w:rsidRPr="001F1644">
        <w:rPr>
          <w:sz w:val="20"/>
        </w:rPr>
        <w:t>- 30 -</w:t>
      </w:r>
    </w:p>
    <w:sectPr w:rsidR="00F6251B" w:rsidRPr="007607A2" w:rsidSect="00E62F93">
      <w:headerReference w:type="even" r:id="rId104"/>
      <w:headerReference w:type="default" r:id="rId105"/>
      <w:footerReference w:type="even" r:id="rId106"/>
      <w:footerReference w:type="default" r:id="rId107"/>
      <w:headerReference w:type="first" r:id="rId108"/>
      <w:footerReference w:type="first" r:id="rId10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775" w:rsidRDefault="004C5775" w:rsidP="0034178A">
      <w:r>
        <w:separator/>
      </w:r>
    </w:p>
  </w:endnote>
  <w:endnote w:type="continuationSeparator" w:id="0">
    <w:p w:rsidR="004C5775" w:rsidRDefault="004C577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Pr="009F77F0" w:rsidRDefault="004C5775"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775" w:rsidRDefault="004C5775" w:rsidP="0034178A">
      <w:r>
        <w:separator/>
      </w:r>
    </w:p>
  </w:footnote>
  <w:footnote w:type="continuationSeparator" w:id="0">
    <w:p w:rsidR="004C5775" w:rsidRDefault="004C577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300"/>
    <w:multiLevelType w:val="hybridMultilevel"/>
    <w:tmpl w:val="4BC0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573D0"/>
    <w:multiLevelType w:val="hybridMultilevel"/>
    <w:tmpl w:val="55B8D7EC"/>
    <w:lvl w:ilvl="0" w:tplc="3B56B5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0121C"/>
    <w:multiLevelType w:val="hybridMultilevel"/>
    <w:tmpl w:val="BE4C0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D6B6E"/>
    <w:multiLevelType w:val="hybridMultilevel"/>
    <w:tmpl w:val="379E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1637B"/>
    <w:multiLevelType w:val="hybridMultilevel"/>
    <w:tmpl w:val="5966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37B83"/>
    <w:multiLevelType w:val="hybridMultilevel"/>
    <w:tmpl w:val="CEB20C92"/>
    <w:lvl w:ilvl="0" w:tplc="CF1ABD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3" w15:restartNumberingAfterBreak="0">
    <w:nsid w:val="1C436523"/>
    <w:multiLevelType w:val="hybridMultilevel"/>
    <w:tmpl w:val="A960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C796B"/>
    <w:multiLevelType w:val="hybridMultilevel"/>
    <w:tmpl w:val="0574A07E"/>
    <w:lvl w:ilvl="0" w:tplc="68389EC6">
      <w:start w:val="3"/>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77D4E"/>
    <w:multiLevelType w:val="hybridMultilevel"/>
    <w:tmpl w:val="189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20"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F41DB"/>
    <w:multiLevelType w:val="hybridMultilevel"/>
    <w:tmpl w:val="5FDC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66703"/>
    <w:multiLevelType w:val="hybridMultilevel"/>
    <w:tmpl w:val="9AC4D632"/>
    <w:lvl w:ilvl="0" w:tplc="FEFA6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F286B"/>
    <w:multiLevelType w:val="hybridMultilevel"/>
    <w:tmpl w:val="CCBA9058"/>
    <w:lvl w:ilvl="0" w:tplc="2BFA96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A7987"/>
    <w:multiLevelType w:val="hybridMultilevel"/>
    <w:tmpl w:val="0666D9CC"/>
    <w:lvl w:ilvl="0" w:tplc="286C28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760F4"/>
    <w:multiLevelType w:val="hybridMultilevel"/>
    <w:tmpl w:val="918A04C8"/>
    <w:lvl w:ilvl="0" w:tplc="FE0A6F2E">
      <w:start w:val="4"/>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544293"/>
    <w:multiLevelType w:val="hybridMultilevel"/>
    <w:tmpl w:val="8758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A32C7"/>
    <w:multiLevelType w:val="hybridMultilevel"/>
    <w:tmpl w:val="79EA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F1066"/>
    <w:multiLevelType w:val="hybridMultilevel"/>
    <w:tmpl w:val="A000B1FE"/>
    <w:lvl w:ilvl="0" w:tplc="EF285F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60A0A"/>
    <w:multiLevelType w:val="hybridMultilevel"/>
    <w:tmpl w:val="EBE6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E77709"/>
    <w:multiLevelType w:val="hybridMultilevel"/>
    <w:tmpl w:val="F1B4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91EE3"/>
    <w:multiLevelType w:val="hybridMultilevel"/>
    <w:tmpl w:val="9AAEA436"/>
    <w:lvl w:ilvl="0" w:tplc="22405E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5"/>
  </w:num>
  <w:num w:numId="3">
    <w:abstractNumId w:val="6"/>
  </w:num>
  <w:num w:numId="4">
    <w:abstractNumId w:val="19"/>
  </w:num>
  <w:num w:numId="5">
    <w:abstractNumId w:val="33"/>
  </w:num>
  <w:num w:numId="6">
    <w:abstractNumId w:val="17"/>
  </w:num>
  <w:num w:numId="7">
    <w:abstractNumId w:val="15"/>
  </w:num>
  <w:num w:numId="8">
    <w:abstractNumId w:val="12"/>
  </w:num>
  <w:num w:numId="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6"/>
  </w:num>
  <w:num w:numId="12">
    <w:abstractNumId w:val="0"/>
  </w:num>
  <w:num w:numId="13">
    <w:abstractNumId w:val="35"/>
  </w:num>
  <w:num w:numId="14">
    <w:abstractNumId w:val="31"/>
  </w:num>
  <w:num w:numId="15">
    <w:abstractNumId w:val="24"/>
  </w:num>
  <w:num w:numId="16">
    <w:abstractNumId w:val="38"/>
  </w:num>
  <w:num w:numId="17">
    <w:abstractNumId w:val="18"/>
  </w:num>
  <w:num w:numId="18">
    <w:abstractNumId w:val="27"/>
  </w:num>
  <w:num w:numId="19">
    <w:abstractNumId w:val="43"/>
  </w:num>
  <w:num w:numId="20">
    <w:abstractNumId w:val="20"/>
  </w:num>
  <w:num w:numId="21">
    <w:abstractNumId w:val="5"/>
  </w:num>
  <w:num w:numId="22">
    <w:abstractNumId w:val="4"/>
  </w:num>
  <w:num w:numId="23">
    <w:abstractNumId w:val="29"/>
  </w:num>
  <w:num w:numId="24">
    <w:abstractNumId w:val="28"/>
  </w:num>
  <w:num w:numId="25">
    <w:abstractNumId w:val="44"/>
  </w:num>
  <w:num w:numId="26">
    <w:abstractNumId w:val="14"/>
  </w:num>
  <w:num w:numId="27">
    <w:abstractNumId w:val="16"/>
  </w:num>
  <w:num w:numId="28">
    <w:abstractNumId w:val="32"/>
  </w:num>
  <w:num w:numId="29">
    <w:abstractNumId w:val="30"/>
  </w:num>
  <w:num w:numId="30">
    <w:abstractNumId w:val="8"/>
  </w:num>
  <w:num w:numId="31">
    <w:abstractNumId w:val="37"/>
  </w:num>
  <w:num w:numId="32">
    <w:abstractNumId w:val="23"/>
  </w:num>
  <w:num w:numId="33">
    <w:abstractNumId w:val="7"/>
  </w:num>
  <w:num w:numId="34">
    <w:abstractNumId w:val="2"/>
  </w:num>
  <w:num w:numId="35">
    <w:abstractNumId w:val="10"/>
  </w:num>
  <w:num w:numId="36">
    <w:abstractNumId w:val="11"/>
  </w:num>
  <w:num w:numId="37">
    <w:abstractNumId w:val="34"/>
  </w:num>
  <w:num w:numId="38">
    <w:abstractNumId w:val="36"/>
  </w:num>
  <w:num w:numId="39">
    <w:abstractNumId w:val="9"/>
  </w:num>
  <w:num w:numId="40">
    <w:abstractNumId w:val="13"/>
  </w:num>
  <w:num w:numId="41">
    <w:abstractNumId w:val="22"/>
  </w:num>
  <w:num w:numId="42">
    <w:abstractNumId w:val="40"/>
  </w:num>
  <w:num w:numId="43">
    <w:abstractNumId w:val="41"/>
  </w:num>
  <w:num w:numId="44">
    <w:abstractNumId w:val="42"/>
  </w:num>
  <w:num w:numId="45">
    <w:abstractNumId w:val="21"/>
  </w:num>
  <w:num w:numId="4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01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4EE4"/>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1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anlii.ca/t/jgft6" TargetMode="External"/><Relationship Id="rId21" Type="http://schemas.openxmlformats.org/officeDocument/2006/relationships/hyperlink" Target="https://www.scc-csc.ca/case-dossier/info/sum-som-eng.aspx?cas=39711" TargetMode="External"/><Relationship Id="rId42" Type="http://schemas.openxmlformats.org/officeDocument/2006/relationships/hyperlink" Target="https://www.canlii.org/fr/qc/qcca/doc/2021/2021qcca962/2021qcca962.html" TargetMode="External"/><Relationship Id="rId47" Type="http://schemas.openxmlformats.org/officeDocument/2006/relationships/hyperlink" Target="https://www.canlii.org/en/on/onca/doc/2021/2021onca428/2021onca428.html?resultIndex=1" TargetMode="External"/><Relationship Id="rId63" Type="http://schemas.openxmlformats.org/officeDocument/2006/relationships/hyperlink" Target="https://www.canlii.org/fr/ca/cfpi/doc/2019/2019cf1251/2019cf1251.html" TargetMode="External"/><Relationship Id="rId68" Type="http://schemas.openxmlformats.org/officeDocument/2006/relationships/hyperlink" Target="https://www.canlii.org/fr/qc/qccs/doc/2019/2019qccs3224/2019qccs3224.html?autocompleteStr=2019%20QCCS%203224&amp;autocompletePos=1" TargetMode="External"/><Relationship Id="rId84" Type="http://schemas.openxmlformats.org/officeDocument/2006/relationships/hyperlink" Target="https://www.canlii.org/en/on/onca/doc/2019/2019onca609/2019onca609.html?autocompleteStr=2019%20ONCA%20609&amp;autocompletePos=1" TargetMode="External"/><Relationship Id="rId89" Type="http://schemas.openxmlformats.org/officeDocument/2006/relationships/hyperlink" Target="https://www.canlii.org/fr/ca/trp/doc/2019/2019trpc1/2019trpc1.html" TargetMode="External"/><Relationship Id="rId2" Type="http://schemas.openxmlformats.org/officeDocument/2006/relationships/numbering" Target="numbering.xml"/><Relationship Id="rId16" Type="http://schemas.openxmlformats.org/officeDocument/2006/relationships/hyperlink" Target="https://www.scc-csc.ca/case-dossier/info/sum-som-fra.aspx?cas=39794" TargetMode="External"/><Relationship Id="rId29" Type="http://schemas.openxmlformats.org/officeDocument/2006/relationships/hyperlink" Target="https://www.canlii.org/en/mb/mbca/doc/2021/2021mbca47/2021mbca47.html" TargetMode="External"/><Relationship Id="rId107" Type="http://schemas.openxmlformats.org/officeDocument/2006/relationships/footer" Target="footer2.xml"/><Relationship Id="rId11" Type="http://schemas.openxmlformats.org/officeDocument/2006/relationships/hyperlink" Target="https://www.scc-csc.ca/case-dossier/info/sum-som-eng.aspx?cas=39832" TargetMode="External"/><Relationship Id="rId24" Type="http://schemas.openxmlformats.org/officeDocument/2006/relationships/hyperlink" Target="https://www.scc-csc.ca/case-dossier/info/sum-som-eng.aspx?cas=39848" TargetMode="External"/><Relationship Id="rId32" Type="http://schemas.openxmlformats.org/officeDocument/2006/relationships/hyperlink" Target="https://canlii.ca/t/j3wnq" TargetMode="External"/><Relationship Id="rId37" Type="http://schemas.openxmlformats.org/officeDocument/2006/relationships/hyperlink" Target="https://www.canlii.org/en/ca/fca/doc/2021/2021fca107/2021fca107.html?autocompleteStr=A-104-20&amp;autocompletePos=1" TargetMode="External"/><Relationship Id="rId40" Type="http://schemas.openxmlformats.org/officeDocument/2006/relationships/hyperlink" Target="https://www.canlii.org/fr/qc/qccs/doc/2019/2019qccs4719/2019qccs4719.html" TargetMode="External"/><Relationship Id="rId45" Type="http://schemas.openxmlformats.org/officeDocument/2006/relationships/hyperlink" Target="https://www.canlii.org/fr/qc/qcca/doc/2021/2021qcca962/2021qcca962.html" TargetMode="External"/><Relationship Id="rId53" Type="http://schemas.openxmlformats.org/officeDocument/2006/relationships/hyperlink" Target="https://canlii.ca/t/jh2pk" TargetMode="External"/><Relationship Id="rId58" Type="http://schemas.openxmlformats.org/officeDocument/2006/relationships/hyperlink" Target="https://www.canlii.org/fr/qc/qccs/doc/2020/2020qccs3666/2020qccs3666.pdf" TargetMode="External"/><Relationship Id="rId66" Type="http://schemas.openxmlformats.org/officeDocument/2006/relationships/hyperlink" Target="https://www.canlii.org/fr/qc/qccs/doc/2019/2019qccs3224/2019qccs3224.html?autocompleteStr=2019%20QCCS%203224&amp;autocompletePos=1" TargetMode="External"/><Relationship Id="rId74" Type="http://schemas.openxmlformats.org/officeDocument/2006/relationships/hyperlink" Target="https://canlii.ca/t/jh1gx" TargetMode="External"/><Relationship Id="rId79" Type="http://schemas.openxmlformats.org/officeDocument/2006/relationships/hyperlink" Target="https://www.canlii.org/en/nb/nbca/doc/2021/2021canlii23249/2021canlii23249.html" TargetMode="External"/><Relationship Id="rId87" Type="http://schemas.openxmlformats.org/officeDocument/2006/relationships/hyperlink" Target="https://www.canlii.org/en/ca/sct/doc/2019/2019sctc2/2019sctc2.html?autocompleteStr=2019%20SCTC%202&amp;autocompletePos=1" TargetMode="External"/><Relationship Id="rId102" Type="http://schemas.openxmlformats.org/officeDocument/2006/relationships/hyperlink" Target="https://canlii.ca/t/j8d65"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nlii.org/en/ca/fct/doc/2020/2020fc59/2020fc59.html?autocompleteStr=2020%20FC%2059&amp;autocompletePos=1" TargetMode="External"/><Relationship Id="rId82" Type="http://schemas.openxmlformats.org/officeDocument/2006/relationships/hyperlink" Target="https://www.canlii.org/en/on/onca/doc/2021/2021onca458/2021onca458.html" TargetMode="External"/><Relationship Id="rId90" Type="http://schemas.openxmlformats.org/officeDocument/2006/relationships/hyperlink" Target="https://www.canlii.org/fr/ca/trp/doc/2019/2019sctc2/2019sctc2.html" TargetMode="External"/><Relationship Id="rId95" Type="http://schemas.openxmlformats.org/officeDocument/2006/relationships/hyperlink" Target="https://www.canlii.org/en/bc/bcca/doc/2021/2021bcca241/2021bcca241.html?resultIndex=1" TargetMode="External"/><Relationship Id="rId19" Type="http://schemas.openxmlformats.org/officeDocument/2006/relationships/hyperlink" Target="https://www.scc-csc.ca/case-dossier/info/sum-som-fra.aspx?cas=39918" TargetMode="External"/><Relationship Id="rId14" Type="http://schemas.openxmlformats.org/officeDocument/2006/relationships/hyperlink" Target="https://www.scc-csc.ca/case-dossier/info/sum-som-eng.aspx?cas=39886" TargetMode="External"/><Relationship Id="rId22" Type="http://schemas.openxmlformats.org/officeDocument/2006/relationships/hyperlink" Target="https://www.scc-csc.ca/case-dossier/info/sum-som-eng.aspx?cas=39845" TargetMode="External"/><Relationship Id="rId27" Type="http://schemas.openxmlformats.org/officeDocument/2006/relationships/hyperlink" Target="https://canlii.ca/t/jgft6" TargetMode="External"/><Relationship Id="rId30" Type="http://schemas.openxmlformats.org/officeDocument/2006/relationships/hyperlink" Target="https://www.canlii.org/en/mb/mbqb/doc/2020/2020mbqb49/2020mbqb49.html" TargetMode="External"/><Relationship Id="rId35" Type="http://schemas.openxmlformats.org/officeDocument/2006/relationships/hyperlink" Target="https://www.canlii.org/fr/ca/caf/doc/2021/2021caf101/2021caf101.html?autocompleteStr=2021%20caf%20101&amp;autocompletePos=1" TargetMode="External"/><Relationship Id="rId43" Type="http://schemas.openxmlformats.org/officeDocument/2006/relationships/hyperlink" Target="https://www.canlii.org/fr/qc/qccs/doc/2019/2019qccs4719/2019qccs4719.html" TargetMode="External"/><Relationship Id="rId48" Type="http://schemas.openxmlformats.org/officeDocument/2006/relationships/hyperlink" Target="https://www.canlii.org/en/on/onscdc/doc/2019/2019onsc6314/2019onsc6314.html?resultIndex=1" TargetMode="External"/><Relationship Id="rId56" Type="http://schemas.openxmlformats.org/officeDocument/2006/relationships/hyperlink" Target="https://www.canlii.org/fr/qc/qccs/doc/2020/2020qccs3666/2020qccs3666.pdf" TargetMode="External"/><Relationship Id="rId64" Type="http://schemas.openxmlformats.org/officeDocument/2006/relationships/hyperlink" Target="https://www.canlii.org/fr/ca/cfpi/doc/2020/2020cf59/2020cf59.html" TargetMode="External"/><Relationship Id="rId69" Type="http://schemas.openxmlformats.org/officeDocument/2006/relationships/hyperlink" Target="https://www.canlii.org/fr/qc/qcca/doc/2021/2021qcca1182/2021qcca1182.html?autocompleteStr=2021%20QCCA%201182&amp;autocompletePos=1" TargetMode="External"/><Relationship Id="rId77" Type="http://schemas.openxmlformats.org/officeDocument/2006/relationships/hyperlink" Target="https://www.canlii.org/en/nb/nbca/doc/2021/2021canlii23249/2021canlii23249.html" TargetMode="External"/><Relationship Id="rId100" Type="http://schemas.openxmlformats.org/officeDocument/2006/relationships/hyperlink" Target="https://www.canlii.org/en/on/laws/stat/so-1998-c-1/latest/so-1998-c-1.html" TargetMode="External"/><Relationship Id="rId105" Type="http://schemas.openxmlformats.org/officeDocument/2006/relationships/header" Target="header2.xml"/><Relationship Id="rId8" Type="http://schemas.openxmlformats.org/officeDocument/2006/relationships/hyperlink" Target="https://www.scc-csc.ca/case-dossier/info/sum-som-eng.aspx?cas=39719" TargetMode="External"/><Relationship Id="rId51" Type="http://schemas.openxmlformats.org/officeDocument/2006/relationships/hyperlink" Target="https://canlii.ca/t/jhhch" TargetMode="External"/><Relationship Id="rId72" Type="http://schemas.openxmlformats.org/officeDocument/2006/relationships/hyperlink" Target="https://www.canlii.org/fr/qc/qccs/doc/2019/2019qccs4124/2019qccs4124.html?autocompleteStr=2019%20qccs%204124&amp;autocompletePos=1" TargetMode="External"/><Relationship Id="rId80" Type="http://schemas.openxmlformats.org/officeDocument/2006/relationships/hyperlink" Target="https://www.canlii.org/en/on/onsc/doc/2018/2018onsc966/2018onsc966.html?autocompleteStr=2018%20ONSC%20966&amp;autocompletePos=1" TargetMode="External"/><Relationship Id="rId85" Type="http://schemas.openxmlformats.org/officeDocument/2006/relationships/hyperlink" Target="https://www.canlii.org/en/on/onca/doc/2021/2021onca458/2021onca458.html" TargetMode="External"/><Relationship Id="rId93" Type="http://schemas.openxmlformats.org/officeDocument/2006/relationships/hyperlink" Target="https://www.canlii.org/en/bc/bcca/doc/2021/2021bcca241/2021bcca241.html?resultIndex=1" TargetMode="External"/><Relationship Id="rId98" Type="http://schemas.openxmlformats.org/officeDocument/2006/relationships/hyperlink" Target="https://www.canlii.org/en/on/laws/stat/so-1998-c-1/latest/so-1998-c-1.html" TargetMode="External"/><Relationship Id="rId3" Type="http://schemas.openxmlformats.org/officeDocument/2006/relationships/styles" Target="styles.xml"/><Relationship Id="rId12" Type="http://schemas.openxmlformats.org/officeDocument/2006/relationships/hyperlink" Target="https://www.scc-csc.ca/case-dossier/info/sum-som-fra.aspx?cas=39833" TargetMode="External"/><Relationship Id="rId17" Type="http://schemas.openxmlformats.org/officeDocument/2006/relationships/hyperlink" Target="https://www.scc-csc.ca/case-dossier/info/sum-som-eng.aspx?cas=39855" TargetMode="External"/><Relationship Id="rId25" Type="http://schemas.openxmlformats.org/officeDocument/2006/relationships/hyperlink" Target="https://www.scc-csc.ca/case-dossier/info/sum-som-eng.aspx?cas=39872" TargetMode="External"/><Relationship Id="rId33" Type="http://schemas.openxmlformats.org/officeDocument/2006/relationships/hyperlink" Target="https://canlii.ca/t/jg3p0" TargetMode="External"/><Relationship Id="rId38" Type="http://schemas.openxmlformats.org/officeDocument/2006/relationships/hyperlink" Target="https://www.canlii.org/fr/ca/cfpi/doc/2020/2020fc468/2020fc468.html" TargetMode="External"/><Relationship Id="rId46" Type="http://schemas.openxmlformats.org/officeDocument/2006/relationships/hyperlink" Target="https://www.canlii.org/en/on/onscdc/doc/2019/2019onsc6314/2019onsc6314.html?resultIndex=1" TargetMode="External"/><Relationship Id="rId59" Type="http://schemas.openxmlformats.org/officeDocument/2006/relationships/hyperlink" Target="https://www.canlii.org/fr/qc/qcca/doc/2021/2021qcca706/2021qcca706.pdf" TargetMode="External"/><Relationship Id="rId67" Type="http://schemas.openxmlformats.org/officeDocument/2006/relationships/hyperlink" Target="https://www.canlii.org/fr/qc/qcca/doc/2021/2021qcca1182/2021qcca1182.html?autocompleteStr=2021%20QCCA%201182&amp;autocompletePos=1" TargetMode="External"/><Relationship Id="rId103" Type="http://schemas.openxmlformats.org/officeDocument/2006/relationships/hyperlink" Target="mailto:comments-commentaires@scc-csc.ca" TargetMode="External"/><Relationship Id="rId108" Type="http://schemas.openxmlformats.org/officeDocument/2006/relationships/header" Target="header3.xml"/><Relationship Id="rId20" Type="http://schemas.openxmlformats.org/officeDocument/2006/relationships/hyperlink" Target="https://www.scc-csc.ca/case-dossier/info/sum-som-eng.aspx?cas=39868" TargetMode="External"/><Relationship Id="rId41" Type="http://schemas.openxmlformats.org/officeDocument/2006/relationships/hyperlink" Target="https://www.canlii.org/fr/qc/qccs/doc/2019/2019qccs4720/2019qccs4720.html" TargetMode="External"/><Relationship Id="rId54" Type="http://schemas.openxmlformats.org/officeDocument/2006/relationships/hyperlink" Target="https://canlii.ca/t/j54lw" TargetMode="External"/><Relationship Id="rId62" Type="http://schemas.openxmlformats.org/officeDocument/2006/relationships/hyperlink" Target="https://www.canlii.org/en/ca/fca/doc/2021/2021fca156/2021fca156.html?autocompleteStr=2021%20fca%20156&amp;autocompletePos=1" TargetMode="External"/><Relationship Id="rId70" Type="http://schemas.openxmlformats.org/officeDocument/2006/relationships/hyperlink" Target="https://www.canlii.org/fr/qc/qccs/doc/2019/2019qccs4124/2019qccs4124.html?autocompleteStr=2019%20qccs%204124&amp;autocompletePos=1" TargetMode="External"/><Relationship Id="rId75" Type="http://schemas.openxmlformats.org/officeDocument/2006/relationships/hyperlink" Target="https://canlii.ca/t/jh1gx" TargetMode="External"/><Relationship Id="rId83" Type="http://schemas.openxmlformats.org/officeDocument/2006/relationships/hyperlink" Target="https://www.canlii.org/en/on/onsc/doc/2018/2018onsc966/2018onsc966.html?autocompleteStr=2018%20ONSC%20966&amp;autocompletePos=1" TargetMode="External"/><Relationship Id="rId88" Type="http://schemas.openxmlformats.org/officeDocument/2006/relationships/hyperlink" Target="https://www.canlii.org/en/ca/fca/doc/2021/2021fca135/2021fca135.html?autocompleteStr=2021%20FCA%20135&amp;autocompletePos=1" TargetMode="External"/><Relationship Id="rId91" Type="http://schemas.openxmlformats.org/officeDocument/2006/relationships/hyperlink" Target="https://www.canlii.org/en/ca/fca/doc/2021/2021fca135/2021fca135.html?autocompleteStr=2021%20FCA%20135&amp;autocompletePos=1" TargetMode="External"/><Relationship Id="rId96" Type="http://schemas.openxmlformats.org/officeDocument/2006/relationships/hyperlink" Target="https://www.canlii.org/en/on/laws/stat/so-1998-c-1/latest/so-1998-c-1.html"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9830" TargetMode="External"/><Relationship Id="rId23" Type="http://schemas.openxmlformats.org/officeDocument/2006/relationships/hyperlink" Target="https://www.scc-csc.ca/case-dossier/info/sum-som-eng.aspx?cas=39847" TargetMode="External"/><Relationship Id="rId28" Type="http://schemas.openxmlformats.org/officeDocument/2006/relationships/hyperlink" Target="https://www.canlii.org/en/mb/mbqb/doc/2020/2020mbqb49/2020mbqb49.html" TargetMode="External"/><Relationship Id="rId36" Type="http://schemas.openxmlformats.org/officeDocument/2006/relationships/hyperlink" Target="https://www.canlii.org/en/https:/www.canlii.org/en/ca/fct/doc/2020/2020fc468/2020fc468.htmlca/fct/doc/2020/2020fc468/2020fc468.html" TargetMode="External"/><Relationship Id="rId49" Type="http://schemas.openxmlformats.org/officeDocument/2006/relationships/hyperlink" Target="https://www.canlii.org/en/on/onca/doc/2021/2021onca428/2021onca428.html?resultIndex=1" TargetMode="External"/><Relationship Id="rId57" Type="http://schemas.openxmlformats.org/officeDocument/2006/relationships/hyperlink" Target="https://www.canlii.org/fr/qc/qcca/doc/2021/2021qcca706/2021qcca706.pdf" TargetMode="External"/><Relationship Id="rId106" Type="http://schemas.openxmlformats.org/officeDocument/2006/relationships/footer" Target="footer1.xml"/><Relationship Id="rId10" Type="http://schemas.openxmlformats.org/officeDocument/2006/relationships/hyperlink" Target="https://www.scc-csc.ca/case-dossier/info/sum-som-fra.aspx?cas=39806" TargetMode="External"/><Relationship Id="rId31" Type="http://schemas.openxmlformats.org/officeDocument/2006/relationships/hyperlink" Target="https://www.canlii.org/en/mb/mbca/doc/2021/2021mbca47/2021mbca47.html" TargetMode="External"/><Relationship Id="rId44" Type="http://schemas.openxmlformats.org/officeDocument/2006/relationships/hyperlink" Target="https://www.canlii.org/fr/qc/qccs/doc/2019/2019qccs4720/2019qccs4720.html" TargetMode="External"/><Relationship Id="rId52" Type="http://schemas.openxmlformats.org/officeDocument/2006/relationships/hyperlink" Target="https://canlii.ca/t/j54lw" TargetMode="External"/><Relationship Id="rId60" Type="http://schemas.openxmlformats.org/officeDocument/2006/relationships/hyperlink" Target="https://www.canlii.org/en/ca/fct/doc/2019/2019fc1251/2019fc1251.html?autocompleteStr=2019%20FC%201251&amp;autocompletePos=1" TargetMode="External"/><Relationship Id="rId65" Type="http://schemas.openxmlformats.org/officeDocument/2006/relationships/hyperlink" Target="https://www.canlii.org/en/ca/fca/doc/2021/2021fca156/2021fca156.html?autocompleteStr=2021%20fca%20156&amp;autocompletePos=1" TargetMode="External"/><Relationship Id="rId73" Type="http://schemas.openxmlformats.org/officeDocument/2006/relationships/hyperlink" Target="https://www.canlii.org/fr/qc/qcca/doc/2021/2021qcca1310/2021qcca1310.html?autocompleteStr=2021%20qcca%201310&amp;autocompletePos=1" TargetMode="External"/><Relationship Id="rId78" Type="http://schemas.openxmlformats.org/officeDocument/2006/relationships/hyperlink" Target="https://www.canlii.org/fr/nb/nbbr/doc/2020/2020nbbr201/2020nbbr201.html" TargetMode="External"/><Relationship Id="rId81" Type="http://schemas.openxmlformats.org/officeDocument/2006/relationships/hyperlink" Target="https://www.canlii.org/en/on/onca/doc/2019/2019onca609/2019onca609.html?autocompleteStr=2019%20ONCA%20609&amp;autocompletePos=1" TargetMode="External"/><Relationship Id="rId86" Type="http://schemas.openxmlformats.org/officeDocument/2006/relationships/hyperlink" Target="https://www.canlii.org/en/ca/sct/doc/2019/2019sctc1/2019sctc1.html?autocompleteStr=2019%20SCTC%201&amp;autocompletePos=1" TargetMode="External"/><Relationship Id="rId94" Type="http://schemas.openxmlformats.org/officeDocument/2006/relationships/hyperlink" Target="https://www.canlii.org/en/bc/bcsc/doc/2020/2020bcsc1325/2020bcsc1325.html?resultIndex=1" TargetMode="External"/><Relationship Id="rId99" Type="http://schemas.openxmlformats.org/officeDocument/2006/relationships/hyperlink" Target="https://canlii.ca/t/j8d65" TargetMode="External"/><Relationship Id="rId101" Type="http://schemas.openxmlformats.org/officeDocument/2006/relationships/hyperlink" Target="https://www.canlii.org/en/on/laws/stat/so-1998-c-1/latest/so-1998-c-1.html" TargetMode="External"/><Relationship Id="rId4" Type="http://schemas.openxmlformats.org/officeDocument/2006/relationships/settings" Target="settings.xml"/><Relationship Id="rId9" Type="http://schemas.openxmlformats.org/officeDocument/2006/relationships/hyperlink" Target="https://www.scc-csc.ca/case-dossier/info/sum-som-eng.aspx?cas=39799" TargetMode="External"/><Relationship Id="rId13" Type="http://schemas.openxmlformats.org/officeDocument/2006/relationships/hyperlink" Target="https://www.scc-csc.ca/case-dossier/info/sum-som-eng.aspx?cas=39838" TargetMode="External"/><Relationship Id="rId18" Type="http://schemas.openxmlformats.org/officeDocument/2006/relationships/hyperlink" Target="https://www.scc-csc.ca/case-dossier/info/sum-som-fra.aspx?cas=39860" TargetMode="External"/><Relationship Id="rId39" Type="http://schemas.openxmlformats.org/officeDocument/2006/relationships/hyperlink" Target="https://www.canlii.org/en/ca/fca/doc/2021/2021fca107/2021fca107.html?autocompleteStr=A-104-20&amp;autocompletePos=1" TargetMode="External"/><Relationship Id="rId109" Type="http://schemas.openxmlformats.org/officeDocument/2006/relationships/footer" Target="footer3.xml"/><Relationship Id="rId34" Type="http://schemas.openxmlformats.org/officeDocument/2006/relationships/hyperlink" Target="https://www.canlii.org/fr/ca/cfpi/doc/2019/2019cf1583/2019cf1583.html?autocompleteStr=2019%20cf%201583&amp;autocompletePos=1" TargetMode="External"/><Relationship Id="rId50" Type="http://schemas.openxmlformats.org/officeDocument/2006/relationships/hyperlink" Target="https://canlii.ca/t/jhhch" TargetMode="External"/><Relationship Id="rId55" Type="http://schemas.openxmlformats.org/officeDocument/2006/relationships/hyperlink" Target="https://canlii.ca/t/jh2pk" TargetMode="External"/><Relationship Id="rId76" Type="http://schemas.openxmlformats.org/officeDocument/2006/relationships/hyperlink" Target="https://www.canlii.org/en/nb/nbqb/doc/2020/2020nbqb201/2020nbqb201.html?autocompleteStr=Salterhttps://www.canlii.org/en/nb/nbqb/doc/2020/2020nbqb201/2020nbqb201.html?autocompleteStr=Salterio&amp;autocompletePos=1io&amp;autocompletePos=1" TargetMode="External"/><Relationship Id="rId97" Type="http://schemas.openxmlformats.org/officeDocument/2006/relationships/hyperlink" Target="https://www.canlii.org/en/on/laws/stat/so-1998-c-1/latest/so-1998-c-1.html"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canlii.org/fr/qc/qcca/doc/2021/2021qcca1310/2021qcca1310.html?autocompleteStr=2021%20qcca%201310&amp;autocompletePos=1" TargetMode="External"/><Relationship Id="rId92" Type="http://schemas.openxmlformats.org/officeDocument/2006/relationships/hyperlink" Target="https://www.canlii.org/en/bc/bcsc/doc/2020/2020bcsc1325/2020bcsc1325.html?result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96A4D-AD52-46A7-B82F-E5C28824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16175</Words>
  <Characters>92198</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108157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2022-03-01T19:47:00Z</dcterms:modified>
</cp:coreProperties>
</file>