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4A079E" w:rsidRDefault="000E391F" w:rsidP="000E391F">
      <w:pPr>
        <w:pStyle w:val="Header"/>
        <w:jc w:val="center"/>
        <w:rPr>
          <w:b/>
          <w:sz w:val="32"/>
          <w:szCs w:val="32"/>
        </w:rPr>
      </w:pPr>
      <w:r w:rsidRPr="004A079E">
        <w:rPr>
          <w:b/>
          <w:sz w:val="32"/>
          <w:szCs w:val="32"/>
        </w:rPr>
        <w:t>Supreme Court of Canada / Cour suprême du Canada</w:t>
      </w:r>
    </w:p>
    <w:p w:rsidR="000E391F" w:rsidRPr="004A079E" w:rsidRDefault="000E391F" w:rsidP="000E391F">
      <w:pPr>
        <w:widowControl w:val="0"/>
        <w:rPr>
          <w:sz w:val="20"/>
        </w:rPr>
      </w:pPr>
    </w:p>
    <w:p w:rsidR="000E391F" w:rsidRPr="004A079E" w:rsidRDefault="000E391F" w:rsidP="000E391F">
      <w:pPr>
        <w:widowControl w:val="0"/>
        <w:rPr>
          <w:i/>
          <w:sz w:val="20"/>
        </w:rPr>
      </w:pPr>
    </w:p>
    <w:p w:rsidR="006F2579" w:rsidRPr="004A079E" w:rsidRDefault="006F2579" w:rsidP="006F2579">
      <w:pPr>
        <w:widowControl w:val="0"/>
        <w:rPr>
          <w:i/>
          <w:sz w:val="20"/>
        </w:rPr>
      </w:pPr>
      <w:r w:rsidRPr="004A079E">
        <w:rPr>
          <w:i/>
          <w:sz w:val="20"/>
        </w:rPr>
        <w:t>(</w:t>
      </w:r>
      <w:r w:rsidR="003240B6" w:rsidRPr="004A079E">
        <w:rPr>
          <w:i/>
          <w:sz w:val="20"/>
        </w:rPr>
        <w:t>L</w:t>
      </w:r>
      <w:r w:rsidRPr="004A079E">
        <w:rPr>
          <w:i/>
          <w:sz w:val="20"/>
        </w:rPr>
        <w:t>e français suit)</w:t>
      </w:r>
    </w:p>
    <w:p w:rsidR="006F2579" w:rsidRPr="004A079E" w:rsidRDefault="006F2579" w:rsidP="006F2579">
      <w:pPr>
        <w:widowControl w:val="0"/>
        <w:rPr>
          <w:sz w:val="20"/>
        </w:rPr>
      </w:pPr>
    </w:p>
    <w:p w:rsidR="006F2579" w:rsidRPr="004A079E" w:rsidRDefault="00B07908" w:rsidP="006F2579">
      <w:pPr>
        <w:widowControl w:val="0"/>
        <w:jc w:val="center"/>
        <w:rPr>
          <w:b/>
          <w:szCs w:val="24"/>
        </w:rPr>
      </w:pPr>
      <w:r w:rsidRPr="004A079E">
        <w:rPr>
          <w:szCs w:val="24"/>
        </w:rPr>
        <w:fldChar w:fldCharType="begin"/>
      </w:r>
      <w:r w:rsidR="006F2579" w:rsidRPr="004A079E">
        <w:rPr>
          <w:szCs w:val="24"/>
        </w:rPr>
        <w:instrText xml:space="preserve"> SEQ CHAPTER \h \r 1</w:instrText>
      </w:r>
      <w:r w:rsidRPr="004A079E">
        <w:rPr>
          <w:szCs w:val="24"/>
        </w:rPr>
        <w:fldChar w:fldCharType="end"/>
      </w:r>
      <w:r w:rsidR="006F2579" w:rsidRPr="004A079E">
        <w:rPr>
          <w:b/>
          <w:szCs w:val="24"/>
        </w:rPr>
        <w:t>JUDGMENT</w:t>
      </w:r>
      <w:r w:rsidR="00B17AAC" w:rsidRPr="004A079E">
        <w:rPr>
          <w:b/>
          <w:szCs w:val="24"/>
        </w:rPr>
        <w:t>S</w:t>
      </w:r>
      <w:r w:rsidR="006F2579" w:rsidRPr="004A079E">
        <w:rPr>
          <w:b/>
          <w:szCs w:val="24"/>
        </w:rPr>
        <w:t xml:space="preserve"> TO B</w:t>
      </w:r>
      <w:r w:rsidR="00001846" w:rsidRPr="004A079E">
        <w:rPr>
          <w:b/>
          <w:szCs w:val="24"/>
        </w:rPr>
        <w:t>E RENDERED IN LE</w:t>
      </w:r>
      <w:r w:rsidR="00A0288A" w:rsidRPr="004A079E">
        <w:rPr>
          <w:b/>
          <w:szCs w:val="24"/>
        </w:rPr>
        <w:t>A</w:t>
      </w:r>
      <w:r w:rsidR="00001846" w:rsidRPr="004A079E">
        <w:rPr>
          <w:b/>
          <w:szCs w:val="24"/>
        </w:rPr>
        <w:t>VE APPLICATION</w:t>
      </w:r>
      <w:r w:rsidR="00511288" w:rsidRPr="004A079E">
        <w:rPr>
          <w:b/>
          <w:szCs w:val="24"/>
        </w:rPr>
        <w:t>S</w:t>
      </w:r>
    </w:p>
    <w:p w:rsidR="006F2579" w:rsidRPr="004A079E" w:rsidRDefault="006F2579" w:rsidP="006F2579">
      <w:pPr>
        <w:widowControl w:val="0"/>
        <w:rPr>
          <w:szCs w:val="24"/>
        </w:rPr>
      </w:pPr>
    </w:p>
    <w:p w:rsidR="006F2579" w:rsidRPr="004A079E" w:rsidRDefault="0001473D" w:rsidP="006F2579">
      <w:pPr>
        <w:widowControl w:val="0"/>
        <w:rPr>
          <w:szCs w:val="24"/>
        </w:rPr>
      </w:pPr>
      <w:r w:rsidRPr="004A079E">
        <w:rPr>
          <w:b/>
          <w:szCs w:val="24"/>
        </w:rPr>
        <w:t>March</w:t>
      </w:r>
      <w:r w:rsidR="00A15B66" w:rsidRPr="004A079E">
        <w:rPr>
          <w:b/>
          <w:szCs w:val="24"/>
        </w:rPr>
        <w:t xml:space="preserve"> </w:t>
      </w:r>
      <w:r w:rsidR="002D5F31" w:rsidRPr="004A079E">
        <w:rPr>
          <w:b/>
          <w:szCs w:val="24"/>
        </w:rPr>
        <w:t>2</w:t>
      </w:r>
      <w:r w:rsidR="00907F28" w:rsidRPr="004A079E">
        <w:rPr>
          <w:b/>
          <w:szCs w:val="24"/>
        </w:rPr>
        <w:t>8</w:t>
      </w:r>
      <w:r w:rsidR="004441C7" w:rsidRPr="004A079E">
        <w:rPr>
          <w:b/>
          <w:szCs w:val="24"/>
        </w:rPr>
        <w:t>,</w:t>
      </w:r>
      <w:r w:rsidR="006F2579" w:rsidRPr="004A079E">
        <w:rPr>
          <w:b/>
          <w:szCs w:val="24"/>
        </w:rPr>
        <w:t xml:space="preserve"> </w:t>
      </w:r>
      <w:r w:rsidR="0054689F" w:rsidRPr="004A079E">
        <w:rPr>
          <w:b/>
          <w:szCs w:val="24"/>
        </w:rPr>
        <w:t>20</w:t>
      </w:r>
      <w:r w:rsidR="00526754" w:rsidRPr="004A079E">
        <w:rPr>
          <w:b/>
          <w:szCs w:val="24"/>
        </w:rPr>
        <w:t>2</w:t>
      </w:r>
      <w:r w:rsidR="00644008" w:rsidRPr="004A079E">
        <w:rPr>
          <w:b/>
          <w:szCs w:val="24"/>
        </w:rPr>
        <w:t>2</w:t>
      </w:r>
    </w:p>
    <w:p w:rsidR="006F2579" w:rsidRPr="004A079E" w:rsidRDefault="00674F39" w:rsidP="006F2579">
      <w:pPr>
        <w:widowControl w:val="0"/>
        <w:rPr>
          <w:b/>
          <w:szCs w:val="24"/>
        </w:rPr>
      </w:pPr>
      <w:r w:rsidRPr="004A079E">
        <w:rPr>
          <w:b/>
          <w:szCs w:val="24"/>
        </w:rPr>
        <w:t>For immediate release</w:t>
      </w:r>
    </w:p>
    <w:p w:rsidR="006F2579" w:rsidRPr="004A079E" w:rsidRDefault="006F2579" w:rsidP="006F2579">
      <w:pPr>
        <w:widowControl w:val="0"/>
        <w:rPr>
          <w:szCs w:val="24"/>
        </w:rPr>
      </w:pPr>
    </w:p>
    <w:p w:rsidR="006F2579" w:rsidRPr="004A079E" w:rsidRDefault="006F2579" w:rsidP="006F2579">
      <w:pPr>
        <w:widowControl w:val="0"/>
        <w:rPr>
          <w:szCs w:val="24"/>
          <w:lang w:val="fr-CA"/>
        </w:rPr>
      </w:pPr>
      <w:r w:rsidRPr="004A079E">
        <w:rPr>
          <w:b/>
          <w:szCs w:val="24"/>
        </w:rPr>
        <w:t>OTTAWA</w:t>
      </w:r>
      <w:r w:rsidRPr="004A079E">
        <w:rPr>
          <w:szCs w:val="24"/>
        </w:rPr>
        <w:t xml:space="preserve"> – The Supreme Court of Canad</w:t>
      </w:r>
      <w:r w:rsidR="006246E4" w:rsidRPr="004A079E">
        <w:rPr>
          <w:szCs w:val="24"/>
        </w:rPr>
        <w:t>a</w:t>
      </w:r>
      <w:r w:rsidRPr="004A079E">
        <w:rPr>
          <w:szCs w:val="24"/>
        </w:rPr>
        <w:t xml:space="preserve"> announced today that judgment in the following </w:t>
      </w:r>
      <w:r w:rsidR="00DB6199" w:rsidRPr="004A079E">
        <w:rPr>
          <w:szCs w:val="24"/>
        </w:rPr>
        <w:t xml:space="preserve">leave applications </w:t>
      </w:r>
      <w:r w:rsidRPr="004A079E">
        <w:rPr>
          <w:szCs w:val="24"/>
        </w:rPr>
        <w:t>will be delivere</w:t>
      </w:r>
      <w:r w:rsidR="00CE2C5F" w:rsidRPr="004A079E">
        <w:rPr>
          <w:szCs w:val="24"/>
        </w:rPr>
        <w:t>d</w:t>
      </w:r>
      <w:r w:rsidRPr="004A079E">
        <w:rPr>
          <w:szCs w:val="24"/>
        </w:rPr>
        <w:t xml:space="preserve"> at 9:45 a.m. </w:t>
      </w:r>
      <w:r w:rsidR="00E05816" w:rsidRPr="004A079E">
        <w:rPr>
          <w:szCs w:val="24"/>
        </w:rPr>
        <w:t>E</w:t>
      </w:r>
      <w:r w:rsidR="00882B6B" w:rsidRPr="004A079E">
        <w:rPr>
          <w:szCs w:val="24"/>
        </w:rPr>
        <w:t>D</w:t>
      </w:r>
      <w:r w:rsidR="00E05816" w:rsidRPr="004A079E">
        <w:rPr>
          <w:szCs w:val="24"/>
        </w:rPr>
        <w:t>T</w:t>
      </w:r>
      <w:r w:rsidRPr="004A079E">
        <w:rPr>
          <w:szCs w:val="24"/>
        </w:rPr>
        <w:t xml:space="preserve"> on </w:t>
      </w:r>
      <w:r w:rsidR="00322A9C" w:rsidRPr="004A079E">
        <w:rPr>
          <w:szCs w:val="24"/>
        </w:rPr>
        <w:t>Thurs</w:t>
      </w:r>
      <w:r w:rsidR="00680A85" w:rsidRPr="004A079E">
        <w:rPr>
          <w:szCs w:val="24"/>
        </w:rPr>
        <w:t>day</w:t>
      </w:r>
      <w:r w:rsidRPr="004A079E">
        <w:rPr>
          <w:szCs w:val="24"/>
        </w:rPr>
        <w:t xml:space="preserve">, </w:t>
      </w:r>
      <w:r w:rsidR="00BA25C8" w:rsidRPr="004A079E">
        <w:rPr>
          <w:szCs w:val="24"/>
        </w:rPr>
        <w:t>March</w:t>
      </w:r>
      <w:r w:rsidR="00455912" w:rsidRPr="004A079E">
        <w:rPr>
          <w:szCs w:val="24"/>
        </w:rPr>
        <w:t xml:space="preserve"> </w:t>
      </w:r>
      <w:r w:rsidR="00907F28" w:rsidRPr="004A079E">
        <w:rPr>
          <w:szCs w:val="24"/>
        </w:rPr>
        <w:t>31</w:t>
      </w:r>
      <w:r w:rsidR="007E112F" w:rsidRPr="004A079E">
        <w:rPr>
          <w:szCs w:val="24"/>
        </w:rPr>
        <w:t>,</w:t>
      </w:r>
      <w:r w:rsidR="002F38D7" w:rsidRPr="004A079E">
        <w:rPr>
          <w:szCs w:val="24"/>
        </w:rPr>
        <w:t xml:space="preserve"> </w:t>
      </w:r>
      <w:r w:rsidR="006648D1" w:rsidRPr="004A079E">
        <w:rPr>
          <w:szCs w:val="24"/>
        </w:rPr>
        <w:t>20</w:t>
      </w:r>
      <w:r w:rsidR="00526754" w:rsidRPr="004A079E">
        <w:rPr>
          <w:szCs w:val="24"/>
        </w:rPr>
        <w:t>2</w:t>
      </w:r>
      <w:r w:rsidR="00644008" w:rsidRPr="004A079E">
        <w:rPr>
          <w:szCs w:val="24"/>
        </w:rPr>
        <w:t>2</w:t>
      </w:r>
      <w:r w:rsidRPr="004A079E">
        <w:rPr>
          <w:szCs w:val="24"/>
        </w:rPr>
        <w:t xml:space="preserve">. </w:t>
      </w:r>
      <w:r w:rsidRPr="004A079E">
        <w:rPr>
          <w:szCs w:val="24"/>
          <w:lang w:val="fr-CA"/>
        </w:rPr>
        <w:t>This list is subject to chang</w:t>
      </w:r>
      <w:r w:rsidR="00192F7F" w:rsidRPr="004A079E">
        <w:rPr>
          <w:szCs w:val="24"/>
          <w:lang w:val="fr-CA"/>
        </w:rPr>
        <w:t>e</w:t>
      </w:r>
      <w:r w:rsidRPr="004A079E">
        <w:rPr>
          <w:szCs w:val="24"/>
          <w:lang w:val="fr-CA"/>
        </w:rPr>
        <w:t>.</w:t>
      </w:r>
    </w:p>
    <w:p w:rsidR="00FF5AA4" w:rsidRPr="004A079E" w:rsidRDefault="00FF5AA4" w:rsidP="006F2579">
      <w:pPr>
        <w:widowControl w:val="0"/>
        <w:rPr>
          <w:szCs w:val="24"/>
          <w:lang w:val="fr-CA"/>
        </w:rPr>
      </w:pPr>
    </w:p>
    <w:p w:rsidR="00B43418" w:rsidRPr="004A079E" w:rsidRDefault="00B43418" w:rsidP="006F2579">
      <w:pPr>
        <w:widowControl w:val="0"/>
        <w:rPr>
          <w:szCs w:val="24"/>
          <w:lang w:val="fr-CA"/>
        </w:rPr>
      </w:pPr>
    </w:p>
    <w:p w:rsidR="006F2579" w:rsidRPr="004A079E" w:rsidRDefault="006F2579" w:rsidP="006F2579">
      <w:pPr>
        <w:widowControl w:val="0"/>
        <w:jc w:val="center"/>
        <w:rPr>
          <w:szCs w:val="24"/>
          <w:lang w:val="fr-CA"/>
        </w:rPr>
      </w:pPr>
      <w:r w:rsidRPr="004A079E">
        <w:rPr>
          <w:b/>
          <w:szCs w:val="24"/>
          <w:lang w:val="fr-CA"/>
        </w:rPr>
        <w:t>PROCHAIN</w:t>
      </w:r>
      <w:r w:rsidR="00B17AAC" w:rsidRPr="004A079E">
        <w:rPr>
          <w:b/>
          <w:szCs w:val="24"/>
          <w:lang w:val="fr-CA"/>
        </w:rPr>
        <w:t>S</w:t>
      </w:r>
      <w:r w:rsidRPr="004A079E">
        <w:rPr>
          <w:b/>
          <w:szCs w:val="24"/>
          <w:lang w:val="fr-CA"/>
        </w:rPr>
        <w:t xml:space="preserve"> JUGEMENT</w:t>
      </w:r>
      <w:r w:rsidR="00B17AAC" w:rsidRPr="004A079E">
        <w:rPr>
          <w:b/>
          <w:szCs w:val="24"/>
          <w:lang w:val="fr-CA"/>
        </w:rPr>
        <w:t>S</w:t>
      </w:r>
      <w:r w:rsidR="00001846" w:rsidRPr="004A079E">
        <w:rPr>
          <w:b/>
          <w:szCs w:val="24"/>
          <w:lang w:val="fr-CA"/>
        </w:rPr>
        <w:t xml:space="preserve"> SUR DEMANDE</w:t>
      </w:r>
      <w:r w:rsidR="00B17AAC" w:rsidRPr="004A079E">
        <w:rPr>
          <w:b/>
          <w:szCs w:val="24"/>
          <w:lang w:val="fr-CA"/>
        </w:rPr>
        <w:t>S</w:t>
      </w:r>
      <w:r w:rsidRPr="004A079E">
        <w:rPr>
          <w:b/>
          <w:szCs w:val="24"/>
          <w:lang w:val="fr-CA"/>
        </w:rPr>
        <w:t xml:space="preserve"> D’AUTORISATION</w:t>
      </w:r>
    </w:p>
    <w:p w:rsidR="006F2579" w:rsidRPr="004A079E" w:rsidRDefault="006F2579" w:rsidP="006F2579">
      <w:pPr>
        <w:widowControl w:val="0"/>
        <w:rPr>
          <w:szCs w:val="24"/>
          <w:lang w:val="fr-CA"/>
        </w:rPr>
      </w:pPr>
    </w:p>
    <w:p w:rsidR="006F2579" w:rsidRPr="004A079E" w:rsidRDefault="006F2579" w:rsidP="006F2579">
      <w:pPr>
        <w:widowControl w:val="0"/>
        <w:rPr>
          <w:szCs w:val="24"/>
          <w:lang w:val="fr-CA"/>
        </w:rPr>
      </w:pPr>
      <w:r w:rsidRPr="004A079E">
        <w:rPr>
          <w:b/>
          <w:szCs w:val="24"/>
          <w:lang w:val="fr-CA"/>
        </w:rPr>
        <w:t>Le</w:t>
      </w:r>
      <w:r w:rsidR="00957A76" w:rsidRPr="004A079E">
        <w:rPr>
          <w:b/>
          <w:szCs w:val="24"/>
          <w:lang w:val="fr-CA"/>
        </w:rPr>
        <w:t xml:space="preserve"> </w:t>
      </w:r>
      <w:r w:rsidR="002D5F31" w:rsidRPr="004A079E">
        <w:rPr>
          <w:b/>
          <w:szCs w:val="24"/>
          <w:lang w:val="fr-CA"/>
        </w:rPr>
        <w:t>2</w:t>
      </w:r>
      <w:r w:rsidR="00907F28" w:rsidRPr="004A079E">
        <w:rPr>
          <w:b/>
          <w:szCs w:val="24"/>
          <w:lang w:val="fr-CA"/>
        </w:rPr>
        <w:t>8</w:t>
      </w:r>
      <w:r w:rsidR="00075EC0" w:rsidRPr="004A079E">
        <w:rPr>
          <w:b/>
          <w:szCs w:val="24"/>
          <w:lang w:val="fr-CA"/>
        </w:rPr>
        <w:t xml:space="preserve"> </w:t>
      </w:r>
      <w:r w:rsidR="0001473D" w:rsidRPr="004A079E">
        <w:rPr>
          <w:b/>
          <w:szCs w:val="24"/>
          <w:lang w:val="fr-CA"/>
        </w:rPr>
        <w:t>mars</w:t>
      </w:r>
      <w:r w:rsidR="00A151D1" w:rsidRPr="004A079E">
        <w:rPr>
          <w:b/>
          <w:szCs w:val="24"/>
          <w:lang w:val="fr-CA"/>
        </w:rPr>
        <w:t xml:space="preserve"> 20</w:t>
      </w:r>
      <w:r w:rsidR="00526754" w:rsidRPr="004A079E">
        <w:rPr>
          <w:b/>
          <w:szCs w:val="24"/>
          <w:lang w:val="fr-CA"/>
        </w:rPr>
        <w:t>2</w:t>
      </w:r>
      <w:r w:rsidR="00644008" w:rsidRPr="004A079E">
        <w:rPr>
          <w:b/>
          <w:szCs w:val="24"/>
          <w:lang w:val="fr-CA"/>
        </w:rPr>
        <w:t>2</w:t>
      </w:r>
    </w:p>
    <w:p w:rsidR="006F2579" w:rsidRPr="004A079E" w:rsidRDefault="006F2579" w:rsidP="006F2579">
      <w:pPr>
        <w:widowControl w:val="0"/>
        <w:rPr>
          <w:b/>
          <w:szCs w:val="24"/>
          <w:lang w:val="fr-CA"/>
        </w:rPr>
      </w:pPr>
      <w:r w:rsidRPr="004A079E">
        <w:rPr>
          <w:b/>
          <w:szCs w:val="24"/>
          <w:lang w:val="fr-CA"/>
        </w:rPr>
        <w:t>Pour diffusion immédiate</w:t>
      </w:r>
    </w:p>
    <w:p w:rsidR="006F2579" w:rsidRPr="004A079E" w:rsidRDefault="006F2579" w:rsidP="006F2579">
      <w:pPr>
        <w:widowControl w:val="0"/>
        <w:rPr>
          <w:szCs w:val="24"/>
          <w:lang w:val="fr-CA"/>
        </w:rPr>
      </w:pPr>
    </w:p>
    <w:p w:rsidR="006F2579" w:rsidRPr="004A079E" w:rsidRDefault="006F2579" w:rsidP="006F2579">
      <w:pPr>
        <w:widowControl w:val="0"/>
        <w:rPr>
          <w:szCs w:val="24"/>
          <w:lang w:val="fr-CA"/>
        </w:rPr>
      </w:pPr>
      <w:r w:rsidRPr="004A079E">
        <w:rPr>
          <w:b/>
          <w:szCs w:val="24"/>
          <w:lang w:val="fr-CA"/>
        </w:rPr>
        <w:t>OTTAWA</w:t>
      </w:r>
      <w:r w:rsidRPr="004A079E">
        <w:rPr>
          <w:szCs w:val="24"/>
          <w:lang w:val="fr-CA"/>
        </w:rPr>
        <w:t xml:space="preserve"> – La Cour suprême du Canada annonce que jugement ser</w:t>
      </w:r>
      <w:r w:rsidR="004259F9" w:rsidRPr="004A079E">
        <w:rPr>
          <w:szCs w:val="24"/>
          <w:lang w:val="fr-CA"/>
        </w:rPr>
        <w:t>a</w:t>
      </w:r>
      <w:r w:rsidRPr="004A079E">
        <w:rPr>
          <w:szCs w:val="24"/>
          <w:lang w:val="fr-CA"/>
        </w:rPr>
        <w:t xml:space="preserve"> rendu dans l</w:t>
      </w:r>
      <w:r w:rsidR="008600ED" w:rsidRPr="004A079E">
        <w:rPr>
          <w:szCs w:val="24"/>
          <w:lang w:val="fr-CA"/>
        </w:rPr>
        <w:t>es</w:t>
      </w:r>
      <w:r w:rsidRPr="004A079E">
        <w:rPr>
          <w:szCs w:val="24"/>
          <w:lang w:val="fr-CA"/>
        </w:rPr>
        <w:t xml:space="preserve"> demande</w:t>
      </w:r>
      <w:r w:rsidR="008600ED" w:rsidRPr="004A079E">
        <w:rPr>
          <w:szCs w:val="24"/>
          <w:lang w:val="fr-CA"/>
        </w:rPr>
        <w:t>s</w:t>
      </w:r>
      <w:r w:rsidRPr="004A079E">
        <w:rPr>
          <w:szCs w:val="24"/>
          <w:lang w:val="fr-CA"/>
        </w:rPr>
        <w:t xml:space="preserve"> d</w:t>
      </w:r>
      <w:r w:rsidR="00001846" w:rsidRPr="004A079E">
        <w:rPr>
          <w:szCs w:val="24"/>
          <w:lang w:val="fr-CA"/>
        </w:rPr>
        <w:t>’autorisation suivante</w:t>
      </w:r>
      <w:r w:rsidR="008600ED" w:rsidRPr="004A079E">
        <w:rPr>
          <w:szCs w:val="24"/>
          <w:lang w:val="fr-CA"/>
        </w:rPr>
        <w:t>s</w:t>
      </w:r>
      <w:r w:rsidRPr="004A079E">
        <w:rPr>
          <w:szCs w:val="24"/>
          <w:lang w:val="fr-CA"/>
        </w:rPr>
        <w:t xml:space="preserve"> le </w:t>
      </w:r>
      <w:r w:rsidR="00322A9C" w:rsidRPr="004A079E">
        <w:rPr>
          <w:szCs w:val="24"/>
          <w:lang w:val="fr-CA"/>
        </w:rPr>
        <w:t>jeu</w:t>
      </w:r>
      <w:r w:rsidR="00680A85" w:rsidRPr="004A079E">
        <w:rPr>
          <w:szCs w:val="24"/>
          <w:lang w:val="fr-CA"/>
        </w:rPr>
        <w:t>di</w:t>
      </w:r>
      <w:r w:rsidRPr="004A079E">
        <w:rPr>
          <w:szCs w:val="24"/>
          <w:lang w:val="fr-CA"/>
        </w:rPr>
        <w:t xml:space="preserve"> </w:t>
      </w:r>
      <w:r w:rsidR="00907F28" w:rsidRPr="004A079E">
        <w:rPr>
          <w:szCs w:val="24"/>
          <w:lang w:val="fr-CA"/>
        </w:rPr>
        <w:t>31</w:t>
      </w:r>
      <w:r w:rsidR="009E0BD3" w:rsidRPr="004A079E">
        <w:rPr>
          <w:szCs w:val="24"/>
          <w:lang w:val="fr-CA"/>
        </w:rPr>
        <w:t xml:space="preserve"> </w:t>
      </w:r>
      <w:r w:rsidR="00BA25C8" w:rsidRPr="004A079E">
        <w:rPr>
          <w:szCs w:val="24"/>
          <w:lang w:val="fr-CA"/>
        </w:rPr>
        <w:t>mars</w:t>
      </w:r>
      <w:r w:rsidR="00694391" w:rsidRPr="004A079E">
        <w:rPr>
          <w:szCs w:val="24"/>
          <w:lang w:val="fr-CA"/>
        </w:rPr>
        <w:t xml:space="preserve"> 2</w:t>
      </w:r>
      <w:r w:rsidR="006648D1" w:rsidRPr="004A079E">
        <w:rPr>
          <w:szCs w:val="24"/>
          <w:lang w:val="fr-CA"/>
        </w:rPr>
        <w:t>0</w:t>
      </w:r>
      <w:r w:rsidR="00526754" w:rsidRPr="004A079E">
        <w:rPr>
          <w:szCs w:val="24"/>
          <w:lang w:val="fr-CA"/>
        </w:rPr>
        <w:t>2</w:t>
      </w:r>
      <w:r w:rsidR="00644008" w:rsidRPr="004A079E">
        <w:rPr>
          <w:szCs w:val="24"/>
          <w:lang w:val="fr-CA"/>
        </w:rPr>
        <w:t>2</w:t>
      </w:r>
      <w:r w:rsidRPr="004A079E">
        <w:rPr>
          <w:szCs w:val="24"/>
          <w:lang w:val="fr-CA"/>
        </w:rPr>
        <w:t xml:space="preserve">, à 9 h 45 </w:t>
      </w:r>
      <w:r w:rsidR="000627A2" w:rsidRPr="004A079E">
        <w:rPr>
          <w:szCs w:val="24"/>
          <w:lang w:val="fr-CA"/>
        </w:rPr>
        <w:t>H</w:t>
      </w:r>
      <w:r w:rsidR="00882B6B" w:rsidRPr="004A079E">
        <w:rPr>
          <w:szCs w:val="24"/>
          <w:lang w:val="fr-CA"/>
        </w:rPr>
        <w:t>A</w:t>
      </w:r>
      <w:r w:rsidRPr="004A079E">
        <w:rPr>
          <w:szCs w:val="24"/>
          <w:lang w:val="fr-CA"/>
        </w:rPr>
        <w:t>E. Cette liste est sujette à modification</w:t>
      </w:r>
      <w:r w:rsidR="00130ADB" w:rsidRPr="004A079E">
        <w:rPr>
          <w:szCs w:val="24"/>
          <w:lang w:val="fr-CA"/>
        </w:rPr>
        <w:t>s</w:t>
      </w:r>
      <w:r w:rsidRPr="004A079E">
        <w:rPr>
          <w:szCs w:val="24"/>
          <w:lang w:val="fr-CA"/>
        </w:rPr>
        <w:t>.</w:t>
      </w:r>
    </w:p>
    <w:p w:rsidR="0080556B" w:rsidRPr="004A079E" w:rsidRDefault="0080556B" w:rsidP="005F2A78">
      <w:pPr>
        <w:widowControl w:val="0"/>
        <w:tabs>
          <w:tab w:val="left" w:pos="3840"/>
        </w:tabs>
        <w:jc w:val="both"/>
        <w:rPr>
          <w:sz w:val="20"/>
          <w:lang w:val="fr-CA"/>
        </w:rPr>
      </w:pPr>
    </w:p>
    <w:p w:rsidR="00867C61" w:rsidRPr="004A079E" w:rsidRDefault="004A079E" w:rsidP="009B14F4">
      <w:pPr>
        <w:widowControl w:val="0"/>
        <w:jc w:val="both"/>
        <w:rPr>
          <w:sz w:val="20"/>
        </w:rPr>
      </w:pPr>
      <w:r w:rsidRPr="004A079E">
        <w:rPr>
          <w:sz w:val="20"/>
        </w:rPr>
        <w:pict>
          <v:rect id="_x0000_i1025" style="width:2in;height:1pt" o:hrpct="0" o:hralign="center" o:hrstd="t" o:hrnoshade="t" o:hr="t" fillcolor="black [3213]" stroked="f"/>
        </w:pict>
      </w:r>
    </w:p>
    <w:p w:rsidR="004A6E51" w:rsidRPr="004A079E" w:rsidRDefault="004A6E51" w:rsidP="0053032E">
      <w:pPr>
        <w:rPr>
          <w:sz w:val="20"/>
          <w:lang w:val="fr-CA"/>
        </w:rPr>
      </w:pPr>
    </w:p>
    <w:p w:rsidR="006520C3" w:rsidRPr="004A079E" w:rsidRDefault="006520C3" w:rsidP="006520C3">
      <w:pPr>
        <w:pStyle w:val="ListParagraph"/>
        <w:numPr>
          <w:ilvl w:val="0"/>
          <w:numId w:val="47"/>
        </w:numPr>
        <w:tabs>
          <w:tab w:val="left" w:pos="360"/>
        </w:tabs>
        <w:ind w:left="357" w:hanging="357"/>
        <w:rPr>
          <w:sz w:val="20"/>
        </w:rPr>
      </w:pPr>
      <w:r w:rsidRPr="004A079E">
        <w:rPr>
          <w:i/>
          <w:sz w:val="20"/>
          <w:lang w:val="fr-CA"/>
        </w:rPr>
        <w:t xml:space="preserve">Raymond Ouellet c. Ministre de l’emploi et de la solidarité sociale, et al. </w:t>
      </w:r>
      <w:r w:rsidRPr="004A079E">
        <w:rPr>
          <w:sz w:val="20"/>
        </w:rPr>
        <w:t xml:space="preserve">(Qc) (Civile) (Autorisation) </w:t>
      </w:r>
      <w:r w:rsidRPr="004A079E">
        <w:rPr>
          <w:rFonts w:eastAsia="Calibri"/>
          <w:sz w:val="20"/>
          <w:lang w:val="fr-CA"/>
        </w:rPr>
        <w:t>(</w:t>
      </w:r>
      <w:hyperlink r:id="rId8" w:history="1">
        <w:r w:rsidRPr="004A079E">
          <w:rPr>
            <w:rStyle w:val="Hyperlink"/>
            <w:rFonts w:eastAsia="Calibri"/>
            <w:sz w:val="20"/>
            <w:szCs w:val="20"/>
            <w:lang w:val="fr-CA"/>
          </w:rPr>
          <w:t>39</w:t>
        </w:r>
        <w:r w:rsidR="00621AE5" w:rsidRPr="004A079E">
          <w:rPr>
            <w:rStyle w:val="Hyperlink"/>
            <w:rFonts w:eastAsia="Calibri"/>
            <w:sz w:val="20"/>
            <w:szCs w:val="20"/>
            <w:lang w:val="fr-CA"/>
          </w:rPr>
          <w:t>880</w:t>
        </w:r>
      </w:hyperlink>
      <w:r w:rsidRPr="004A079E">
        <w:rPr>
          <w:rFonts w:eastAsia="Calibri"/>
          <w:sz w:val="20"/>
          <w:lang w:val="fr-CA"/>
        </w:rPr>
        <w:t>)</w:t>
      </w:r>
    </w:p>
    <w:p w:rsidR="006520C3" w:rsidRPr="004A079E" w:rsidRDefault="006520C3" w:rsidP="006520C3">
      <w:pPr>
        <w:tabs>
          <w:tab w:val="left" w:pos="360"/>
        </w:tabs>
        <w:ind w:left="357" w:hanging="357"/>
        <w:contextualSpacing/>
        <w:rPr>
          <w:sz w:val="20"/>
        </w:rPr>
      </w:pPr>
    </w:p>
    <w:p w:rsidR="006520C3" w:rsidRPr="004A079E" w:rsidRDefault="006520C3" w:rsidP="006520C3">
      <w:pPr>
        <w:pStyle w:val="ListParagraph"/>
        <w:numPr>
          <w:ilvl w:val="0"/>
          <w:numId w:val="47"/>
        </w:numPr>
        <w:tabs>
          <w:tab w:val="left" w:pos="360"/>
        </w:tabs>
        <w:ind w:left="357" w:hanging="357"/>
        <w:rPr>
          <w:i/>
          <w:sz w:val="20"/>
        </w:rPr>
      </w:pPr>
      <w:r w:rsidRPr="004A079E">
        <w:rPr>
          <w:i/>
          <w:sz w:val="20"/>
        </w:rPr>
        <w:t>MDS Inc., et al. v. Factory Mutual Insurance Company C.O.B. FM Global</w:t>
      </w:r>
      <w:r w:rsidRPr="004A079E">
        <w:rPr>
          <w:sz w:val="20"/>
        </w:rPr>
        <w:t xml:space="preserve"> (Ont.) (Civil) (By Leave)</w:t>
      </w:r>
      <w:r w:rsidRPr="004A079E">
        <w:rPr>
          <w:rFonts w:eastAsia="Calibri"/>
          <w:sz w:val="20"/>
          <w:lang w:val="fr-CA"/>
        </w:rPr>
        <w:t xml:space="preserve"> (</w:t>
      </w:r>
      <w:hyperlink r:id="rId9" w:history="1">
        <w:r w:rsidRPr="004A079E">
          <w:rPr>
            <w:rStyle w:val="Hyperlink"/>
            <w:rFonts w:eastAsia="Calibri"/>
            <w:sz w:val="20"/>
            <w:szCs w:val="20"/>
            <w:lang w:val="fr-CA"/>
          </w:rPr>
          <w:t>39</w:t>
        </w:r>
        <w:r w:rsidR="00621AE5" w:rsidRPr="004A079E">
          <w:rPr>
            <w:rStyle w:val="Hyperlink"/>
            <w:rFonts w:eastAsia="Calibri"/>
            <w:sz w:val="20"/>
            <w:szCs w:val="20"/>
            <w:lang w:val="fr-CA"/>
          </w:rPr>
          <w:t>890</w:t>
        </w:r>
      </w:hyperlink>
      <w:r w:rsidRPr="004A079E">
        <w:rPr>
          <w:rFonts w:eastAsia="Calibri"/>
          <w:sz w:val="20"/>
          <w:lang w:val="fr-CA"/>
        </w:rPr>
        <w:t>)</w:t>
      </w:r>
    </w:p>
    <w:p w:rsidR="006520C3" w:rsidRPr="004A079E" w:rsidRDefault="006520C3" w:rsidP="006520C3">
      <w:pPr>
        <w:tabs>
          <w:tab w:val="left" w:pos="360"/>
        </w:tabs>
        <w:ind w:left="357" w:hanging="357"/>
        <w:contextualSpacing/>
        <w:rPr>
          <w:sz w:val="20"/>
        </w:rPr>
      </w:pPr>
    </w:p>
    <w:p w:rsidR="006520C3" w:rsidRPr="004A079E" w:rsidRDefault="006520C3" w:rsidP="006520C3">
      <w:pPr>
        <w:pStyle w:val="ListParagraph"/>
        <w:numPr>
          <w:ilvl w:val="0"/>
          <w:numId w:val="47"/>
        </w:numPr>
        <w:tabs>
          <w:tab w:val="left" w:pos="360"/>
        </w:tabs>
        <w:ind w:left="357" w:hanging="357"/>
        <w:rPr>
          <w:sz w:val="20"/>
        </w:rPr>
      </w:pPr>
      <w:r w:rsidRPr="004A079E">
        <w:rPr>
          <w:i/>
          <w:sz w:val="20"/>
        </w:rPr>
        <w:t xml:space="preserve">Robert Ian Histed v. Law Society of Manitoba </w:t>
      </w:r>
      <w:r w:rsidRPr="004A079E">
        <w:rPr>
          <w:sz w:val="20"/>
        </w:rPr>
        <w:t xml:space="preserve">(Man.) (Civil) (By Leave) </w:t>
      </w:r>
      <w:r w:rsidRPr="004A079E">
        <w:rPr>
          <w:rFonts w:eastAsia="Calibri"/>
          <w:sz w:val="20"/>
        </w:rPr>
        <w:t>(</w:t>
      </w:r>
      <w:hyperlink r:id="rId10" w:history="1">
        <w:r w:rsidRPr="004A079E">
          <w:rPr>
            <w:rStyle w:val="Hyperlink"/>
            <w:rFonts w:eastAsia="Calibri"/>
            <w:sz w:val="20"/>
            <w:szCs w:val="20"/>
          </w:rPr>
          <w:t>39</w:t>
        </w:r>
        <w:r w:rsidR="00621AE5" w:rsidRPr="004A079E">
          <w:rPr>
            <w:rStyle w:val="Hyperlink"/>
            <w:rFonts w:eastAsia="Calibri"/>
            <w:sz w:val="20"/>
            <w:szCs w:val="20"/>
          </w:rPr>
          <w:t>894</w:t>
        </w:r>
      </w:hyperlink>
      <w:r w:rsidRPr="004A079E">
        <w:rPr>
          <w:rFonts w:eastAsia="Calibri"/>
          <w:sz w:val="20"/>
        </w:rPr>
        <w:t>)</w:t>
      </w:r>
    </w:p>
    <w:p w:rsidR="006520C3" w:rsidRPr="004A079E" w:rsidRDefault="006520C3" w:rsidP="006520C3">
      <w:pPr>
        <w:tabs>
          <w:tab w:val="left" w:pos="360"/>
        </w:tabs>
        <w:ind w:left="357" w:hanging="357"/>
        <w:contextualSpacing/>
        <w:rPr>
          <w:sz w:val="20"/>
        </w:rPr>
      </w:pPr>
    </w:p>
    <w:p w:rsidR="006520C3" w:rsidRPr="004A079E" w:rsidRDefault="006520C3" w:rsidP="006520C3">
      <w:pPr>
        <w:pStyle w:val="ListParagraph"/>
        <w:numPr>
          <w:ilvl w:val="0"/>
          <w:numId w:val="47"/>
        </w:numPr>
        <w:tabs>
          <w:tab w:val="left" w:pos="360"/>
        </w:tabs>
        <w:ind w:left="357" w:hanging="357"/>
        <w:rPr>
          <w:sz w:val="20"/>
        </w:rPr>
      </w:pPr>
      <w:r w:rsidRPr="004A079E">
        <w:rPr>
          <w:i/>
          <w:sz w:val="20"/>
        </w:rPr>
        <w:t>Matthew Christopher Hamm, et al. v. Attorney General of Canada</w:t>
      </w:r>
      <w:r w:rsidRPr="004A079E">
        <w:rPr>
          <w:sz w:val="20"/>
        </w:rPr>
        <w:t xml:space="preserve"> (Alta.) (Civil) (By Leave) </w:t>
      </w:r>
      <w:r w:rsidRPr="004A079E">
        <w:rPr>
          <w:rFonts w:eastAsia="Calibri"/>
          <w:sz w:val="20"/>
          <w:lang w:val="fr-CA"/>
        </w:rPr>
        <w:t>(</w:t>
      </w:r>
      <w:hyperlink r:id="rId11" w:history="1">
        <w:r w:rsidRPr="004A079E">
          <w:rPr>
            <w:rStyle w:val="Hyperlink"/>
            <w:rFonts w:eastAsia="Calibri"/>
            <w:sz w:val="20"/>
            <w:szCs w:val="20"/>
            <w:lang w:val="fr-CA"/>
          </w:rPr>
          <w:t>39</w:t>
        </w:r>
        <w:r w:rsidR="00621AE5" w:rsidRPr="004A079E">
          <w:rPr>
            <w:rStyle w:val="Hyperlink"/>
            <w:rFonts w:eastAsia="Calibri"/>
            <w:sz w:val="20"/>
            <w:szCs w:val="20"/>
            <w:lang w:val="fr-CA"/>
          </w:rPr>
          <w:t>933</w:t>
        </w:r>
      </w:hyperlink>
      <w:r w:rsidRPr="004A079E">
        <w:rPr>
          <w:rFonts w:eastAsia="Calibri"/>
          <w:sz w:val="20"/>
          <w:lang w:val="fr-CA"/>
        </w:rPr>
        <w:t>)</w:t>
      </w:r>
    </w:p>
    <w:p w:rsidR="0001473D" w:rsidRPr="004A079E" w:rsidRDefault="0001473D" w:rsidP="006520C3">
      <w:pPr>
        <w:ind w:left="357" w:hanging="357"/>
        <w:rPr>
          <w:sz w:val="20"/>
        </w:rPr>
      </w:pPr>
    </w:p>
    <w:p w:rsidR="0001473D" w:rsidRPr="004A079E" w:rsidRDefault="006520C3" w:rsidP="006520C3">
      <w:pPr>
        <w:pStyle w:val="ListParagraph"/>
        <w:numPr>
          <w:ilvl w:val="0"/>
          <w:numId w:val="47"/>
        </w:numPr>
        <w:ind w:left="357" w:hanging="357"/>
        <w:rPr>
          <w:sz w:val="20"/>
        </w:rPr>
      </w:pPr>
      <w:r w:rsidRPr="004A079E">
        <w:rPr>
          <w:i/>
          <w:sz w:val="20"/>
        </w:rPr>
        <w:t xml:space="preserve">J.R.L. v. Q.X. </w:t>
      </w:r>
      <w:r w:rsidRPr="004A079E">
        <w:rPr>
          <w:sz w:val="20"/>
        </w:rPr>
        <w:t xml:space="preserve">(B.C.) (Civil) (By Leave) </w:t>
      </w:r>
      <w:r w:rsidRPr="004A079E">
        <w:rPr>
          <w:rFonts w:eastAsia="Calibri"/>
          <w:sz w:val="20"/>
        </w:rPr>
        <w:t>(</w:t>
      </w:r>
      <w:hyperlink r:id="rId12" w:history="1">
        <w:r w:rsidR="00621AE5" w:rsidRPr="004A079E">
          <w:rPr>
            <w:rStyle w:val="Hyperlink"/>
            <w:rFonts w:eastAsia="Calibri"/>
            <w:sz w:val="20"/>
            <w:szCs w:val="20"/>
          </w:rPr>
          <w:t>40012</w:t>
        </w:r>
      </w:hyperlink>
      <w:r w:rsidRPr="004A079E">
        <w:rPr>
          <w:rFonts w:eastAsia="Calibri"/>
          <w:sz w:val="20"/>
        </w:rPr>
        <w:t>)</w:t>
      </w:r>
    </w:p>
    <w:p w:rsidR="00387DAF" w:rsidRPr="004A079E" w:rsidRDefault="00387DAF" w:rsidP="0053032E">
      <w:pPr>
        <w:rPr>
          <w:sz w:val="20"/>
        </w:rPr>
      </w:pPr>
    </w:p>
    <w:p w:rsidR="0057402C" w:rsidRPr="004A079E" w:rsidRDefault="004A079E" w:rsidP="0053032E">
      <w:pPr>
        <w:widowControl w:val="0"/>
        <w:jc w:val="both"/>
        <w:rPr>
          <w:sz w:val="20"/>
        </w:rPr>
      </w:pPr>
      <w:r w:rsidRPr="004A079E">
        <w:rPr>
          <w:sz w:val="20"/>
        </w:rPr>
        <w:pict>
          <v:rect id="_x0000_i1026" style="width:2in;height:1pt" o:hrpct="0" o:hralign="center" o:hrstd="t" o:hrnoshade="t" o:hr="t" fillcolor="black [3213]" stroked="f"/>
        </w:pict>
      </w:r>
    </w:p>
    <w:p w:rsidR="005A7B6B" w:rsidRPr="004A079E" w:rsidRDefault="005A7B6B"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93512" w:rsidRPr="004A079E">
        <w:tc>
          <w:tcPr>
            <w:tcW w:w="543" w:type="pct"/>
          </w:tcPr>
          <w:p w:rsidR="00693512" w:rsidRPr="004A079E" w:rsidRDefault="00693512" w:rsidP="00693512">
            <w:pPr>
              <w:jc w:val="both"/>
              <w:rPr>
                <w:sz w:val="20"/>
                <w:lang w:val="en-CA"/>
              </w:rPr>
            </w:pPr>
            <w:r w:rsidRPr="004A079E">
              <w:rPr>
                <w:rStyle w:val="SCCFileNumberChar"/>
                <w:sz w:val="20"/>
                <w:szCs w:val="20"/>
              </w:rPr>
              <w:t>39880</w:t>
            </w:r>
          </w:p>
        </w:tc>
        <w:tc>
          <w:tcPr>
            <w:tcW w:w="4457" w:type="pct"/>
            <w:gridSpan w:val="3"/>
          </w:tcPr>
          <w:p w:rsidR="00693512" w:rsidRPr="004A079E" w:rsidRDefault="00693512" w:rsidP="00693512">
            <w:pPr>
              <w:pStyle w:val="SCCLsocParty"/>
              <w:jc w:val="both"/>
              <w:rPr>
                <w:b/>
                <w:sz w:val="20"/>
                <w:szCs w:val="20"/>
                <w:lang w:val="en-CA"/>
              </w:rPr>
            </w:pPr>
            <w:r w:rsidRPr="004A079E">
              <w:rPr>
                <w:b/>
                <w:sz w:val="20"/>
                <w:szCs w:val="20"/>
                <w:lang w:val="en-CA"/>
              </w:rPr>
              <w:t>Raymond Ouellet v. Minister of Employment and Social Solidarity and Attorney General of Quebec</w:t>
            </w:r>
          </w:p>
          <w:p w:rsidR="00693512" w:rsidRPr="004A079E" w:rsidRDefault="00693512" w:rsidP="00693512">
            <w:pPr>
              <w:pStyle w:val="SCCLsocOtherPartySeparator"/>
              <w:rPr>
                <w:sz w:val="20"/>
                <w:szCs w:val="20"/>
                <w:lang w:val="en-CA"/>
              </w:rPr>
            </w:pPr>
            <w:r w:rsidRPr="004A079E">
              <w:rPr>
                <w:sz w:val="20"/>
                <w:szCs w:val="20"/>
                <w:lang w:val="en-CA"/>
              </w:rPr>
              <w:t>- and -</w:t>
            </w:r>
          </w:p>
          <w:p w:rsidR="00693512" w:rsidRPr="004A079E" w:rsidRDefault="00693512" w:rsidP="00693512">
            <w:pPr>
              <w:pStyle w:val="SCCLsocParty"/>
              <w:jc w:val="both"/>
              <w:rPr>
                <w:b/>
                <w:sz w:val="20"/>
                <w:szCs w:val="20"/>
                <w:lang w:val="en-CA"/>
              </w:rPr>
            </w:pPr>
            <w:r w:rsidRPr="004A079E">
              <w:rPr>
                <w:b/>
                <w:sz w:val="20"/>
                <w:szCs w:val="20"/>
                <w:lang w:val="en-CA"/>
              </w:rPr>
              <w:t>Administrative Tribunal of Québec (Social Affairs Division)</w:t>
            </w:r>
          </w:p>
          <w:p w:rsidR="00693512" w:rsidRPr="004A079E" w:rsidRDefault="00693512" w:rsidP="00693512">
            <w:pPr>
              <w:jc w:val="both"/>
              <w:rPr>
                <w:sz w:val="20"/>
                <w:lang w:val="en-CA"/>
              </w:rPr>
            </w:pPr>
            <w:r w:rsidRPr="004A079E">
              <w:rPr>
                <w:sz w:val="20"/>
                <w:lang w:val="en-CA"/>
              </w:rPr>
              <w:t>(Que.) (Civil) (By Leave)</w:t>
            </w:r>
          </w:p>
        </w:tc>
      </w:tr>
      <w:tr w:rsidR="00693512" w:rsidRPr="004A079E">
        <w:tc>
          <w:tcPr>
            <w:tcW w:w="5000" w:type="pct"/>
            <w:gridSpan w:val="4"/>
          </w:tcPr>
          <w:p w:rsidR="00693512" w:rsidRPr="004A079E" w:rsidRDefault="00693512" w:rsidP="00693512">
            <w:pPr>
              <w:jc w:val="both"/>
              <w:rPr>
                <w:sz w:val="20"/>
                <w:lang w:val="en-CA"/>
              </w:rPr>
            </w:pPr>
            <w:proofErr w:type="gramStart"/>
            <w:r w:rsidRPr="004A079E">
              <w:rPr>
                <w:sz w:val="20"/>
                <w:lang w:val="en-CA"/>
              </w:rPr>
              <w:t>Constitutional law ⸺ Charter of Rights ⸺ Discrimination ⸺ Social condition ⸺ Whether being recipient of last</w:t>
            </w:r>
            <w:r w:rsidRPr="004A079E">
              <w:rPr>
                <w:sz w:val="20"/>
                <w:lang w:val="en-CA"/>
              </w:rPr>
              <w:noBreakHyphen/>
              <w:t xml:space="preserve">resort assistance is analogous ground of discrimination under s. 15(1) of </w:t>
            </w:r>
            <w:r w:rsidRPr="004A079E">
              <w:rPr>
                <w:i/>
                <w:sz w:val="20"/>
                <w:lang w:val="en-CA"/>
              </w:rPr>
              <w:t>Canadian Charter</w:t>
            </w:r>
            <w:r w:rsidRPr="004A079E">
              <w:rPr>
                <w:sz w:val="20"/>
                <w:lang w:val="en-CA"/>
              </w:rPr>
              <w:t xml:space="preserve"> and/or ground of discrimination under s. 10 of </w:t>
            </w:r>
            <w:r w:rsidRPr="004A079E">
              <w:rPr>
                <w:i/>
                <w:sz w:val="20"/>
                <w:lang w:val="en-CA"/>
              </w:rPr>
              <w:t>Quebec Charter</w:t>
            </w:r>
            <w:r w:rsidRPr="004A079E">
              <w:rPr>
                <w:sz w:val="20"/>
                <w:lang w:val="en-CA"/>
              </w:rPr>
              <w:t xml:space="preserve"> (social condition) ⸺ Whether judges in appeal decision required level of proof higher than that required by case law in analyzing second step of s. 15(1) of </w:t>
            </w:r>
            <w:r w:rsidRPr="004A079E">
              <w:rPr>
                <w:i/>
                <w:sz w:val="20"/>
                <w:lang w:val="en-CA"/>
              </w:rPr>
              <w:t>Canadian Charter</w:t>
            </w:r>
            <w:r w:rsidRPr="004A079E">
              <w:rPr>
                <w:sz w:val="20"/>
                <w:lang w:val="en-CA"/>
              </w:rPr>
              <w:t xml:space="preserve"> and s. 10 of </w:t>
            </w:r>
            <w:r w:rsidRPr="004A079E">
              <w:rPr>
                <w:i/>
                <w:sz w:val="20"/>
                <w:lang w:val="en-CA"/>
              </w:rPr>
              <w:t>Quebec Charter</w:t>
            </w:r>
            <w:r w:rsidRPr="004A079E">
              <w:rPr>
                <w:sz w:val="20"/>
                <w:lang w:val="en-CA"/>
              </w:rPr>
              <w:t xml:space="preserve">, thereby imposing obligations that normally rest on government under s. 1 of </w:t>
            </w:r>
            <w:r w:rsidRPr="004A079E">
              <w:rPr>
                <w:i/>
                <w:sz w:val="20"/>
                <w:lang w:val="en-CA"/>
              </w:rPr>
              <w:t>Canadian Charter</w:t>
            </w:r>
            <w:r w:rsidRPr="004A079E">
              <w:rPr>
                <w:sz w:val="20"/>
                <w:lang w:val="en-CA"/>
              </w:rPr>
              <w:t xml:space="preserve"> and s. 9.1 of </w:t>
            </w:r>
            <w:r w:rsidRPr="004A079E">
              <w:rPr>
                <w:i/>
                <w:sz w:val="20"/>
                <w:lang w:val="en-CA"/>
              </w:rPr>
              <w:t>Quebec Charter</w:t>
            </w:r>
            <w:r w:rsidRPr="004A079E">
              <w:rPr>
                <w:sz w:val="20"/>
                <w:lang w:val="en-CA"/>
              </w:rPr>
              <w:t xml:space="preserve"> ⸺ Whether ss. 63 and 66 of IFAA must be declared to be of no force or effect and/or inapplicable in context of s. 106.3 of AQPP because they infringe right to equality provided for in Canadian and Quebec Charters ⸺ </w:t>
            </w:r>
            <w:r w:rsidRPr="004A079E">
              <w:rPr>
                <w:i/>
                <w:sz w:val="20"/>
                <w:lang w:val="en-CA"/>
              </w:rPr>
              <w:t>Canadian Charter of Rights and Freedoms</w:t>
            </w:r>
            <w:r w:rsidRPr="004A079E">
              <w:rPr>
                <w:sz w:val="20"/>
                <w:lang w:val="en-CA"/>
              </w:rPr>
              <w:t xml:space="preserve">, ss. 15(1) and 1 ⸺ </w:t>
            </w:r>
            <w:r w:rsidRPr="004A079E">
              <w:rPr>
                <w:i/>
                <w:sz w:val="20"/>
                <w:lang w:val="en-CA"/>
              </w:rPr>
              <w:t>Charter of human rights and freedoms</w:t>
            </w:r>
            <w:r w:rsidRPr="004A079E">
              <w:rPr>
                <w:sz w:val="20"/>
                <w:lang w:val="en-CA"/>
              </w:rPr>
              <w:t>, CQLR,</w:t>
            </w:r>
            <w:r w:rsidRPr="004A079E">
              <w:rPr>
                <w:sz w:val="20"/>
                <w:lang w:val="en-CA" w:eastAsia="fr-CA"/>
              </w:rPr>
              <w:t xml:space="preserve"> c. C</w:t>
            </w:r>
            <w:r w:rsidRPr="004A079E">
              <w:rPr>
                <w:sz w:val="20"/>
                <w:lang w:val="en-CA" w:eastAsia="fr-CA"/>
              </w:rPr>
              <w:noBreakHyphen/>
              <w:t xml:space="preserve">12, ss. 10 and 9.1 ⸺ </w:t>
            </w:r>
            <w:r w:rsidRPr="004A079E">
              <w:rPr>
                <w:i/>
                <w:sz w:val="20"/>
                <w:lang w:val="en-CA"/>
              </w:rPr>
              <w:t>Individual and Family Assistance Act</w:t>
            </w:r>
            <w:r w:rsidRPr="004A079E">
              <w:rPr>
                <w:sz w:val="20"/>
                <w:lang w:val="en-CA"/>
              </w:rPr>
              <w:t>, CQLR, c. A</w:t>
            </w:r>
            <w:r w:rsidRPr="004A079E">
              <w:rPr>
                <w:sz w:val="20"/>
                <w:lang w:val="en-CA"/>
              </w:rPr>
              <w:noBreakHyphen/>
              <w:t>13.1.1, ss. 63 and 66 ⸺</w:t>
            </w:r>
            <w:r w:rsidRPr="004A079E">
              <w:rPr>
                <w:i/>
                <w:sz w:val="20"/>
                <w:lang w:val="en-CA"/>
              </w:rPr>
              <w:t xml:space="preserve"> Act respecting the Québec Pension Plan</w:t>
            </w:r>
            <w:r w:rsidRPr="004A079E">
              <w:rPr>
                <w:sz w:val="20"/>
                <w:lang w:val="en-CA"/>
              </w:rPr>
              <w:t>, CQLR, c. R</w:t>
            </w:r>
            <w:r w:rsidRPr="004A079E">
              <w:rPr>
                <w:sz w:val="20"/>
                <w:lang w:val="en-CA"/>
              </w:rPr>
              <w:noBreakHyphen/>
              <w:t>9, s. 106.3.</w:t>
            </w:r>
            <w:proofErr w:type="gramEnd"/>
          </w:p>
        </w:tc>
      </w:tr>
      <w:tr w:rsidR="00693512" w:rsidRPr="004A079E">
        <w:tc>
          <w:tcPr>
            <w:tcW w:w="5000" w:type="pct"/>
            <w:gridSpan w:val="4"/>
          </w:tcPr>
          <w:p w:rsidR="00693512" w:rsidRPr="004A079E" w:rsidRDefault="00693512" w:rsidP="00693512">
            <w:pPr>
              <w:jc w:val="both"/>
              <w:rPr>
                <w:sz w:val="20"/>
                <w:lang w:val="en-CA"/>
              </w:rPr>
            </w:pPr>
          </w:p>
        </w:tc>
      </w:tr>
      <w:tr w:rsidR="00693512" w:rsidRPr="004A079E">
        <w:tc>
          <w:tcPr>
            <w:tcW w:w="5000" w:type="pct"/>
            <w:gridSpan w:val="4"/>
          </w:tcPr>
          <w:p w:rsidR="00693512" w:rsidRPr="004A079E" w:rsidRDefault="00693512" w:rsidP="00693512">
            <w:pPr>
              <w:jc w:val="both"/>
              <w:rPr>
                <w:sz w:val="20"/>
                <w:lang w:val="en-CA" w:eastAsia="fr-CA"/>
              </w:rPr>
            </w:pPr>
            <w:r w:rsidRPr="004A079E">
              <w:rPr>
                <w:sz w:val="20"/>
                <w:lang w:val="en-CA"/>
              </w:rPr>
              <w:lastRenderedPageBreak/>
              <w:t xml:space="preserve">The applicant, Raymond Ouellet, had been a recipient under a social assistance program since 2001. In December 2004, he reached the age of 60. In accordance with s. 106.3 of the </w:t>
            </w:r>
            <w:r w:rsidRPr="004A079E">
              <w:rPr>
                <w:i/>
                <w:sz w:val="20"/>
                <w:lang w:val="en-CA"/>
              </w:rPr>
              <w:t>Act respecting the Québec Pension Plan</w:t>
            </w:r>
            <w:r w:rsidRPr="004A079E">
              <w:rPr>
                <w:sz w:val="20"/>
                <w:lang w:val="en-CA"/>
              </w:rPr>
              <w:t xml:space="preserve">, he then qualified for the retirement pension provided for in that statute because he had contributed to the Québec Pension Plan. However, Mr. Ouellet chose not to apply for the payment immediately but rather to wait until he was 65 years old so that he could obtain a higher monthly pension. The respondent, the Minister of Employment and Social Solidarity, nonetheless required Mr. Ouellet to exercise his right to the retirement pension right away, failing which his social assistance benefits </w:t>
            </w:r>
            <w:proofErr w:type="gramStart"/>
            <w:r w:rsidRPr="004A079E">
              <w:rPr>
                <w:sz w:val="20"/>
                <w:lang w:val="en-CA"/>
              </w:rPr>
              <w:t>would be discontinued</w:t>
            </w:r>
            <w:proofErr w:type="gramEnd"/>
            <w:r w:rsidRPr="004A079E">
              <w:rPr>
                <w:sz w:val="20"/>
                <w:lang w:val="en-CA"/>
              </w:rPr>
              <w:t xml:space="preserve">. Because Mr. Ouellet refused to exercise his right, he </w:t>
            </w:r>
            <w:proofErr w:type="gramStart"/>
            <w:r w:rsidRPr="004A079E">
              <w:rPr>
                <w:sz w:val="20"/>
                <w:lang w:val="en-CA"/>
              </w:rPr>
              <w:t>was informed</w:t>
            </w:r>
            <w:proofErr w:type="gramEnd"/>
            <w:r w:rsidRPr="004A079E">
              <w:rPr>
                <w:sz w:val="20"/>
                <w:lang w:val="en-CA"/>
              </w:rPr>
              <w:t xml:space="preserve"> that his benefits would be terminated on April 1, 2007. He contested that decision through an application for administrative review, which </w:t>
            </w:r>
            <w:proofErr w:type="gramStart"/>
            <w:r w:rsidRPr="004A079E">
              <w:rPr>
                <w:sz w:val="20"/>
                <w:lang w:val="en-CA"/>
              </w:rPr>
              <w:t>was dismissed</w:t>
            </w:r>
            <w:proofErr w:type="gramEnd"/>
            <w:r w:rsidRPr="004A079E">
              <w:rPr>
                <w:sz w:val="20"/>
                <w:lang w:val="en-CA"/>
              </w:rPr>
              <w:t xml:space="preserve"> on April 4, 2007. He then turned to the Administrative Tribunal of Québec (ATQ) to challenge the validity of ss. 63 and 66 of the </w:t>
            </w:r>
            <w:r w:rsidRPr="004A079E">
              <w:rPr>
                <w:i/>
                <w:sz w:val="20"/>
                <w:lang w:val="en-CA"/>
              </w:rPr>
              <w:t>Individual and Family Assistance Act</w:t>
            </w:r>
            <w:r w:rsidRPr="004A079E">
              <w:rPr>
                <w:sz w:val="20"/>
                <w:lang w:val="en-CA"/>
              </w:rPr>
              <w:t xml:space="preserve"> under s. 15(1) of the </w:t>
            </w:r>
            <w:r w:rsidRPr="004A079E">
              <w:rPr>
                <w:i/>
                <w:sz w:val="20"/>
                <w:lang w:val="en-CA"/>
              </w:rPr>
              <w:t>Canadian Charter of Rights and Freedoms</w:t>
            </w:r>
            <w:r w:rsidRPr="004A079E">
              <w:rPr>
                <w:sz w:val="20"/>
                <w:lang w:val="en-CA"/>
              </w:rPr>
              <w:t xml:space="preserve"> and s. 10 of the </w:t>
            </w:r>
            <w:r w:rsidRPr="004A079E">
              <w:rPr>
                <w:i/>
                <w:sz w:val="20"/>
                <w:lang w:val="en-CA"/>
              </w:rPr>
              <w:t>Charter of human rights and freedoms</w:t>
            </w:r>
            <w:r w:rsidRPr="004A079E">
              <w:rPr>
                <w:sz w:val="20"/>
                <w:lang w:val="en-CA"/>
              </w:rPr>
              <w:t xml:space="preserve"> (</w:t>
            </w:r>
            <w:r w:rsidRPr="004A079E">
              <w:rPr>
                <w:i/>
                <w:sz w:val="20"/>
                <w:lang w:val="en-CA"/>
              </w:rPr>
              <w:t>Quebec Charter</w:t>
            </w:r>
            <w:r w:rsidRPr="004A079E">
              <w:rPr>
                <w:sz w:val="20"/>
                <w:lang w:val="en-CA"/>
              </w:rPr>
              <w:t xml:space="preserve">). On December 13, 2007, the ATQ ordered that the implementation of the administrative decision </w:t>
            </w:r>
            <w:proofErr w:type="gramStart"/>
            <w:r w:rsidRPr="004A079E">
              <w:rPr>
                <w:sz w:val="20"/>
                <w:lang w:val="en-CA"/>
              </w:rPr>
              <w:t>be stayed</w:t>
            </w:r>
            <w:proofErr w:type="gramEnd"/>
            <w:r w:rsidRPr="004A079E">
              <w:rPr>
                <w:sz w:val="20"/>
                <w:lang w:val="en-CA"/>
              </w:rPr>
              <w:t xml:space="preserve"> and that social assistance benefits be paid starting from April 5, 2007. On October 26, 2018, the ATQ dismissed </w:t>
            </w:r>
            <w:r w:rsidRPr="004A079E">
              <w:rPr>
                <w:sz w:val="20"/>
                <w:lang w:val="en-CA" w:eastAsia="fr-CA"/>
              </w:rPr>
              <w:t xml:space="preserve">Mr. Ouellet’s proceeding on the ground that even though social condition may be considered a ground of discrimination prohibited by s. 15(1) of the </w:t>
            </w:r>
            <w:r w:rsidRPr="004A079E">
              <w:rPr>
                <w:i/>
                <w:sz w:val="20"/>
                <w:lang w:val="en-CA" w:eastAsia="fr-CA"/>
              </w:rPr>
              <w:t>Canadian Charter</w:t>
            </w:r>
            <w:r w:rsidRPr="004A079E">
              <w:rPr>
                <w:sz w:val="20"/>
                <w:lang w:val="en-CA" w:eastAsia="fr-CA"/>
              </w:rPr>
              <w:t xml:space="preserve"> and is a ground clearly protected by s. 10 of the </w:t>
            </w:r>
            <w:r w:rsidRPr="004A079E">
              <w:rPr>
                <w:i/>
                <w:sz w:val="20"/>
                <w:lang w:val="en-CA" w:eastAsia="fr-CA"/>
              </w:rPr>
              <w:t>Quebec Charter</w:t>
            </w:r>
            <w:r w:rsidRPr="004A079E">
              <w:rPr>
                <w:sz w:val="20"/>
                <w:lang w:val="en-CA" w:eastAsia="fr-CA"/>
              </w:rPr>
              <w:t xml:space="preserve">, the provisions in issue do not infringe the rights protected by the Charters. The Superior Court dismissed the application for judicial review in part, and the Court of Appeal dismissed the appeal. </w:t>
            </w:r>
          </w:p>
          <w:p w:rsidR="00693512" w:rsidRPr="004A079E" w:rsidRDefault="00693512" w:rsidP="00693512">
            <w:pPr>
              <w:jc w:val="both"/>
              <w:rPr>
                <w:sz w:val="20"/>
                <w:lang w:val="en-CA"/>
              </w:rPr>
            </w:pPr>
          </w:p>
        </w:tc>
      </w:tr>
      <w:tr w:rsidR="00693512" w:rsidRPr="004A079E">
        <w:tc>
          <w:tcPr>
            <w:tcW w:w="2427" w:type="pct"/>
            <w:gridSpan w:val="2"/>
          </w:tcPr>
          <w:p w:rsidR="00693512" w:rsidRPr="004A079E" w:rsidRDefault="00693512" w:rsidP="00693512">
            <w:pPr>
              <w:jc w:val="both"/>
              <w:rPr>
                <w:sz w:val="20"/>
                <w:lang w:val="en-CA"/>
              </w:rPr>
            </w:pPr>
            <w:r w:rsidRPr="004A079E">
              <w:rPr>
                <w:sz w:val="20"/>
                <w:lang w:val="en-CA"/>
              </w:rPr>
              <w:t>November 9, 2020</w:t>
            </w:r>
          </w:p>
          <w:p w:rsidR="00693512" w:rsidRPr="004A079E" w:rsidRDefault="00693512" w:rsidP="00693512">
            <w:pPr>
              <w:jc w:val="both"/>
              <w:rPr>
                <w:sz w:val="20"/>
                <w:lang w:val="en-CA"/>
              </w:rPr>
            </w:pPr>
            <w:r w:rsidRPr="004A079E">
              <w:rPr>
                <w:sz w:val="20"/>
                <w:lang w:val="en-CA"/>
              </w:rPr>
              <w:t>Quebec Superior Court</w:t>
            </w:r>
          </w:p>
          <w:p w:rsidR="00693512" w:rsidRPr="004A079E" w:rsidRDefault="00693512" w:rsidP="00693512">
            <w:pPr>
              <w:jc w:val="both"/>
              <w:rPr>
                <w:sz w:val="20"/>
                <w:lang w:val="en-CA"/>
              </w:rPr>
            </w:pPr>
            <w:r w:rsidRPr="004A079E">
              <w:rPr>
                <w:sz w:val="20"/>
                <w:lang w:val="en-CA"/>
              </w:rPr>
              <w:t>(St</w:t>
            </w:r>
            <w:r w:rsidRPr="004A079E">
              <w:rPr>
                <w:sz w:val="20"/>
                <w:lang w:val="en-CA"/>
              </w:rPr>
              <w:noBreakHyphen/>
              <w:t>Pierre J.)</w:t>
            </w:r>
          </w:p>
          <w:p w:rsidR="00693512" w:rsidRPr="004A079E" w:rsidRDefault="004A079E" w:rsidP="00693512">
            <w:pPr>
              <w:jc w:val="both"/>
              <w:rPr>
                <w:sz w:val="20"/>
                <w:lang w:val="en-CA"/>
              </w:rPr>
            </w:pPr>
            <w:hyperlink r:id="rId13" w:history="1">
              <w:r w:rsidR="00693512" w:rsidRPr="004A079E">
                <w:rPr>
                  <w:rStyle w:val="Hyperlink"/>
                  <w:sz w:val="20"/>
                  <w:lang w:val="en-CA"/>
                </w:rPr>
                <w:t>2020 QCCS 4256</w:t>
              </w:r>
            </w:hyperlink>
          </w:p>
          <w:p w:rsidR="00693512" w:rsidRPr="004A079E" w:rsidRDefault="00693512" w:rsidP="00693512">
            <w:pPr>
              <w:jc w:val="both"/>
              <w:rPr>
                <w:sz w:val="20"/>
                <w:lang w:val="en-CA"/>
              </w:rPr>
            </w:pPr>
          </w:p>
        </w:tc>
        <w:tc>
          <w:tcPr>
            <w:tcW w:w="243" w:type="pct"/>
          </w:tcPr>
          <w:p w:rsidR="00693512" w:rsidRPr="004A079E" w:rsidRDefault="00693512" w:rsidP="00693512">
            <w:pPr>
              <w:jc w:val="both"/>
              <w:rPr>
                <w:sz w:val="20"/>
                <w:lang w:val="en-CA"/>
              </w:rPr>
            </w:pPr>
          </w:p>
        </w:tc>
        <w:tc>
          <w:tcPr>
            <w:tcW w:w="2330" w:type="pct"/>
          </w:tcPr>
          <w:p w:rsidR="00693512" w:rsidRPr="004A079E" w:rsidRDefault="00693512" w:rsidP="00693512">
            <w:pPr>
              <w:jc w:val="both"/>
              <w:rPr>
                <w:sz w:val="20"/>
                <w:lang w:val="en-CA"/>
              </w:rPr>
            </w:pPr>
            <w:r w:rsidRPr="004A079E">
              <w:rPr>
                <w:sz w:val="20"/>
                <w:lang w:val="en-CA"/>
              </w:rPr>
              <w:t xml:space="preserve">Application for judicial review allowed in part </w:t>
            </w:r>
          </w:p>
          <w:p w:rsidR="00693512" w:rsidRPr="004A079E" w:rsidRDefault="00693512" w:rsidP="00693512">
            <w:pPr>
              <w:jc w:val="both"/>
              <w:rPr>
                <w:sz w:val="20"/>
                <w:lang w:val="en-CA"/>
              </w:rPr>
            </w:pPr>
          </w:p>
        </w:tc>
      </w:tr>
      <w:tr w:rsidR="00693512" w:rsidRPr="004A079E">
        <w:tc>
          <w:tcPr>
            <w:tcW w:w="2427" w:type="pct"/>
            <w:gridSpan w:val="2"/>
          </w:tcPr>
          <w:p w:rsidR="00693512" w:rsidRPr="004A079E" w:rsidRDefault="00693512" w:rsidP="00693512">
            <w:pPr>
              <w:jc w:val="both"/>
              <w:rPr>
                <w:sz w:val="20"/>
                <w:lang w:val="en-CA"/>
              </w:rPr>
            </w:pPr>
            <w:r w:rsidRPr="004A079E">
              <w:rPr>
                <w:sz w:val="20"/>
                <w:lang w:val="en-CA"/>
              </w:rPr>
              <w:t>July 23, 2021</w:t>
            </w:r>
          </w:p>
          <w:p w:rsidR="00693512" w:rsidRPr="004A079E" w:rsidRDefault="00693512" w:rsidP="00693512">
            <w:pPr>
              <w:jc w:val="both"/>
              <w:rPr>
                <w:sz w:val="20"/>
                <w:lang w:val="en-CA"/>
              </w:rPr>
            </w:pPr>
            <w:r w:rsidRPr="004A079E">
              <w:rPr>
                <w:sz w:val="20"/>
                <w:lang w:val="en-CA"/>
              </w:rPr>
              <w:t>Quebec Court of Appeal (Montréal)</w:t>
            </w:r>
          </w:p>
          <w:p w:rsidR="00693512" w:rsidRPr="004A079E" w:rsidRDefault="00693512" w:rsidP="00693512">
            <w:pPr>
              <w:jc w:val="both"/>
              <w:rPr>
                <w:sz w:val="20"/>
                <w:lang w:val="en-CA"/>
              </w:rPr>
            </w:pPr>
            <w:r w:rsidRPr="004A079E">
              <w:rPr>
                <w:sz w:val="20"/>
                <w:lang w:val="en-CA"/>
              </w:rPr>
              <w:t>(Bich, Healy and Sansfaçon JJ.A.)</w:t>
            </w:r>
          </w:p>
          <w:p w:rsidR="00693512" w:rsidRPr="004A079E" w:rsidRDefault="004A079E" w:rsidP="00693512">
            <w:pPr>
              <w:jc w:val="both"/>
              <w:rPr>
                <w:sz w:val="20"/>
                <w:lang w:val="en-CA"/>
              </w:rPr>
            </w:pPr>
            <w:hyperlink r:id="rId14" w:history="1">
              <w:r w:rsidR="00693512" w:rsidRPr="004A079E">
                <w:rPr>
                  <w:rStyle w:val="Hyperlink"/>
                  <w:sz w:val="20"/>
                  <w:lang w:val="en-CA"/>
                </w:rPr>
                <w:t>2021 QCCA 1185</w:t>
              </w:r>
            </w:hyperlink>
          </w:p>
          <w:p w:rsidR="00693512" w:rsidRPr="004A079E" w:rsidRDefault="00693512" w:rsidP="00693512">
            <w:pPr>
              <w:jc w:val="both"/>
              <w:rPr>
                <w:sz w:val="20"/>
                <w:lang w:val="en-CA"/>
              </w:rPr>
            </w:pPr>
          </w:p>
        </w:tc>
        <w:tc>
          <w:tcPr>
            <w:tcW w:w="243" w:type="pct"/>
          </w:tcPr>
          <w:p w:rsidR="00693512" w:rsidRPr="004A079E" w:rsidRDefault="00693512" w:rsidP="00693512">
            <w:pPr>
              <w:jc w:val="both"/>
              <w:rPr>
                <w:sz w:val="20"/>
                <w:lang w:val="en-CA"/>
              </w:rPr>
            </w:pPr>
          </w:p>
        </w:tc>
        <w:tc>
          <w:tcPr>
            <w:tcW w:w="2330" w:type="pct"/>
          </w:tcPr>
          <w:p w:rsidR="00693512" w:rsidRPr="004A079E" w:rsidRDefault="00693512" w:rsidP="00693512">
            <w:pPr>
              <w:jc w:val="both"/>
              <w:rPr>
                <w:sz w:val="20"/>
                <w:lang w:val="en-CA"/>
              </w:rPr>
            </w:pPr>
            <w:r w:rsidRPr="004A079E">
              <w:rPr>
                <w:sz w:val="20"/>
                <w:lang w:val="en-CA"/>
              </w:rPr>
              <w:t>Motion for leave to appeal allowed and leave to appeal granted</w:t>
            </w:r>
          </w:p>
          <w:p w:rsidR="00693512" w:rsidRPr="004A079E" w:rsidRDefault="00693512" w:rsidP="00693512">
            <w:pPr>
              <w:jc w:val="both"/>
              <w:rPr>
                <w:sz w:val="20"/>
                <w:lang w:val="en-CA"/>
              </w:rPr>
            </w:pPr>
            <w:r w:rsidRPr="004A079E">
              <w:rPr>
                <w:sz w:val="20"/>
                <w:lang w:val="en-CA"/>
              </w:rPr>
              <w:t>Appeal dismissed</w:t>
            </w:r>
          </w:p>
          <w:p w:rsidR="00693512" w:rsidRPr="004A079E" w:rsidRDefault="00693512" w:rsidP="00693512">
            <w:pPr>
              <w:jc w:val="both"/>
              <w:rPr>
                <w:sz w:val="20"/>
                <w:lang w:val="en-CA"/>
              </w:rPr>
            </w:pPr>
          </w:p>
        </w:tc>
      </w:tr>
      <w:tr w:rsidR="00693512" w:rsidRPr="004A079E">
        <w:tc>
          <w:tcPr>
            <w:tcW w:w="2427" w:type="pct"/>
            <w:gridSpan w:val="2"/>
          </w:tcPr>
          <w:p w:rsidR="00693512" w:rsidRPr="004A079E" w:rsidRDefault="00693512" w:rsidP="00693512">
            <w:pPr>
              <w:jc w:val="both"/>
              <w:rPr>
                <w:sz w:val="20"/>
                <w:lang w:val="en-CA"/>
              </w:rPr>
            </w:pPr>
            <w:r w:rsidRPr="004A079E">
              <w:rPr>
                <w:sz w:val="20"/>
                <w:lang w:val="en-CA"/>
              </w:rPr>
              <w:t>September 28, 2021</w:t>
            </w:r>
          </w:p>
          <w:p w:rsidR="00693512" w:rsidRPr="004A079E" w:rsidRDefault="00693512" w:rsidP="00693512">
            <w:pPr>
              <w:jc w:val="both"/>
              <w:rPr>
                <w:sz w:val="20"/>
                <w:lang w:val="en-CA"/>
              </w:rPr>
            </w:pPr>
            <w:r w:rsidRPr="004A079E">
              <w:rPr>
                <w:sz w:val="20"/>
                <w:lang w:val="en-CA"/>
              </w:rPr>
              <w:t>Supreme Court of Canada</w:t>
            </w:r>
          </w:p>
        </w:tc>
        <w:tc>
          <w:tcPr>
            <w:tcW w:w="243" w:type="pct"/>
          </w:tcPr>
          <w:p w:rsidR="00693512" w:rsidRPr="004A079E" w:rsidRDefault="00693512" w:rsidP="00693512">
            <w:pPr>
              <w:jc w:val="both"/>
              <w:rPr>
                <w:sz w:val="20"/>
                <w:lang w:val="en-CA"/>
              </w:rPr>
            </w:pPr>
          </w:p>
        </w:tc>
        <w:tc>
          <w:tcPr>
            <w:tcW w:w="2330" w:type="pct"/>
          </w:tcPr>
          <w:p w:rsidR="00693512" w:rsidRPr="004A079E" w:rsidRDefault="00693512" w:rsidP="00693512">
            <w:pPr>
              <w:jc w:val="both"/>
              <w:rPr>
                <w:sz w:val="20"/>
                <w:lang w:val="en-CA"/>
              </w:rPr>
            </w:pPr>
            <w:r w:rsidRPr="004A079E">
              <w:rPr>
                <w:sz w:val="20"/>
                <w:lang w:val="en-CA"/>
              </w:rPr>
              <w:t>Application for leave to appeal filed</w:t>
            </w:r>
          </w:p>
          <w:p w:rsidR="00693512" w:rsidRPr="004A079E" w:rsidRDefault="00693512" w:rsidP="00693512">
            <w:pPr>
              <w:jc w:val="both"/>
              <w:rPr>
                <w:sz w:val="20"/>
                <w:lang w:val="en-CA"/>
              </w:rPr>
            </w:pPr>
          </w:p>
        </w:tc>
      </w:tr>
    </w:tbl>
    <w:p w:rsidR="00693512" w:rsidRPr="004A079E" w:rsidRDefault="00693512" w:rsidP="00693512">
      <w:pPr>
        <w:jc w:val="both"/>
        <w:rPr>
          <w:sz w:val="20"/>
          <w:lang w:val="en-CA"/>
        </w:rPr>
      </w:pPr>
    </w:p>
    <w:p w:rsidR="00693512" w:rsidRPr="004A079E" w:rsidRDefault="004A079E" w:rsidP="00693512">
      <w:pPr>
        <w:jc w:val="both"/>
        <w:rPr>
          <w:sz w:val="20"/>
          <w:lang w:val="en-CA"/>
        </w:rPr>
      </w:pPr>
      <w:r w:rsidRPr="004A079E">
        <w:rPr>
          <w:sz w:val="20"/>
        </w:rPr>
        <w:pict>
          <v:rect id="_x0000_i1027" style="width:2in;height:1pt" o:hrpct="0" o:hralign="center" o:hrstd="t" o:hrnoshade="t" o:hr="t" fillcolor="black [3213]" stroked="f"/>
        </w:pict>
      </w:r>
    </w:p>
    <w:p w:rsidR="00693512" w:rsidRPr="004A079E" w:rsidRDefault="00693512" w:rsidP="0069351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93512" w:rsidRPr="004A079E">
        <w:tc>
          <w:tcPr>
            <w:tcW w:w="543" w:type="pct"/>
          </w:tcPr>
          <w:p w:rsidR="00693512" w:rsidRPr="004A079E" w:rsidRDefault="00693512" w:rsidP="00693512">
            <w:pPr>
              <w:jc w:val="both"/>
              <w:rPr>
                <w:sz w:val="20"/>
              </w:rPr>
            </w:pPr>
            <w:r w:rsidRPr="004A079E">
              <w:rPr>
                <w:rStyle w:val="SCCFileNumberChar"/>
                <w:sz w:val="20"/>
                <w:szCs w:val="20"/>
              </w:rPr>
              <w:t>39880</w:t>
            </w:r>
          </w:p>
        </w:tc>
        <w:tc>
          <w:tcPr>
            <w:tcW w:w="4457" w:type="pct"/>
            <w:gridSpan w:val="3"/>
          </w:tcPr>
          <w:p w:rsidR="00693512" w:rsidRPr="004A079E" w:rsidRDefault="00693512" w:rsidP="00693512">
            <w:pPr>
              <w:pStyle w:val="SCCLsocParty"/>
              <w:jc w:val="both"/>
              <w:rPr>
                <w:b/>
                <w:sz w:val="20"/>
                <w:szCs w:val="20"/>
              </w:rPr>
            </w:pPr>
            <w:r w:rsidRPr="004A079E">
              <w:rPr>
                <w:b/>
                <w:sz w:val="20"/>
                <w:szCs w:val="20"/>
              </w:rPr>
              <w:t>Raymond Ouellet c. Ministre de l'emploi et de la solidarité sociale et Procureur général du Québec</w:t>
            </w:r>
          </w:p>
          <w:p w:rsidR="00693512" w:rsidRPr="004A079E" w:rsidRDefault="00693512" w:rsidP="00693512">
            <w:pPr>
              <w:pStyle w:val="SCCLsocOtherPartySeparator"/>
              <w:rPr>
                <w:sz w:val="20"/>
                <w:szCs w:val="20"/>
              </w:rPr>
            </w:pPr>
            <w:r w:rsidRPr="004A079E">
              <w:rPr>
                <w:sz w:val="20"/>
                <w:szCs w:val="20"/>
              </w:rPr>
              <w:t>- et -</w:t>
            </w:r>
          </w:p>
          <w:p w:rsidR="00693512" w:rsidRPr="004A079E" w:rsidRDefault="00693512" w:rsidP="00693512">
            <w:pPr>
              <w:pStyle w:val="SCCLsocParty"/>
              <w:jc w:val="both"/>
              <w:rPr>
                <w:b/>
                <w:sz w:val="20"/>
                <w:szCs w:val="20"/>
              </w:rPr>
            </w:pPr>
            <w:r w:rsidRPr="004A079E">
              <w:rPr>
                <w:b/>
                <w:sz w:val="20"/>
                <w:szCs w:val="20"/>
              </w:rPr>
              <w:t>Tribunal administratif du Québec (Section des affaires sociales)</w:t>
            </w:r>
          </w:p>
          <w:p w:rsidR="00693512" w:rsidRPr="004A079E" w:rsidRDefault="00693512" w:rsidP="00693512">
            <w:pPr>
              <w:jc w:val="both"/>
              <w:rPr>
                <w:sz w:val="20"/>
              </w:rPr>
            </w:pPr>
            <w:r w:rsidRPr="004A079E">
              <w:rPr>
                <w:sz w:val="20"/>
              </w:rPr>
              <w:t>(Qc) (Civile) (Autorisation)</w:t>
            </w:r>
          </w:p>
        </w:tc>
      </w:tr>
      <w:tr w:rsidR="00693512" w:rsidRPr="004A079E">
        <w:tc>
          <w:tcPr>
            <w:tcW w:w="5000" w:type="pct"/>
            <w:gridSpan w:val="4"/>
          </w:tcPr>
          <w:p w:rsidR="00693512" w:rsidRPr="004A079E" w:rsidRDefault="00693512" w:rsidP="00693512">
            <w:pPr>
              <w:jc w:val="both"/>
              <w:rPr>
                <w:sz w:val="20"/>
                <w:lang w:val="fr-CA"/>
              </w:rPr>
            </w:pPr>
            <w:r w:rsidRPr="004A079E">
              <w:rPr>
                <w:sz w:val="20"/>
                <w:lang w:val="fr-CA"/>
              </w:rPr>
              <w:t xml:space="preserve">Droit constitutionnel </w:t>
            </w:r>
            <w:r w:rsidRPr="004A079E">
              <w:rPr>
                <w:sz w:val="20"/>
              </w:rPr>
              <w:t>⸺</w:t>
            </w:r>
            <w:r w:rsidRPr="004A079E">
              <w:rPr>
                <w:sz w:val="20"/>
                <w:lang w:val="fr-CA"/>
              </w:rPr>
              <w:t xml:space="preserve"> Charte des droits </w:t>
            </w:r>
            <w:r w:rsidRPr="004A079E">
              <w:rPr>
                <w:sz w:val="20"/>
              </w:rPr>
              <w:t>⸺</w:t>
            </w:r>
            <w:r w:rsidRPr="004A079E">
              <w:rPr>
                <w:sz w:val="20"/>
                <w:lang w:val="fr-CA"/>
              </w:rPr>
              <w:t xml:space="preserve"> Discrimination </w:t>
            </w:r>
            <w:r w:rsidRPr="004A079E">
              <w:rPr>
                <w:sz w:val="20"/>
              </w:rPr>
              <w:t>⸺</w:t>
            </w:r>
            <w:r w:rsidRPr="004A079E">
              <w:rPr>
                <w:sz w:val="20"/>
                <w:lang w:val="fr-CA"/>
              </w:rPr>
              <w:t xml:space="preserve"> Condition sociale </w:t>
            </w:r>
            <w:r w:rsidRPr="004A079E">
              <w:rPr>
                <w:sz w:val="20"/>
              </w:rPr>
              <w:t>⸺</w:t>
            </w:r>
            <w:r w:rsidRPr="004A079E">
              <w:rPr>
                <w:sz w:val="20"/>
                <w:lang w:val="fr-CA"/>
              </w:rPr>
              <w:t xml:space="preserve"> Le fait d’être bénéficiaire d’aide de dernier recours constitue</w:t>
            </w:r>
            <w:r w:rsidRPr="004A079E">
              <w:rPr>
                <w:sz w:val="20"/>
                <w:lang w:val="fr-CA"/>
              </w:rPr>
              <w:noBreakHyphen/>
              <w:t>t</w:t>
            </w:r>
            <w:r w:rsidRPr="004A079E">
              <w:rPr>
                <w:sz w:val="20"/>
                <w:lang w:val="fr-CA"/>
              </w:rPr>
              <w:noBreakHyphen/>
              <w:t xml:space="preserve">il un motif analogue de discrimination au sens de l’art. 15(1) de la </w:t>
            </w:r>
            <w:r w:rsidRPr="004A079E">
              <w:rPr>
                <w:i/>
                <w:sz w:val="20"/>
                <w:lang w:val="fr-CA"/>
              </w:rPr>
              <w:t>Charte canadienne</w:t>
            </w:r>
            <w:r w:rsidRPr="004A079E">
              <w:rPr>
                <w:sz w:val="20"/>
                <w:lang w:val="fr-CA"/>
              </w:rPr>
              <w:t xml:space="preserve"> et/ou un motif de discrimination sous l’art. 10 de la </w:t>
            </w:r>
            <w:r w:rsidRPr="004A079E">
              <w:rPr>
                <w:i/>
                <w:sz w:val="20"/>
                <w:lang w:val="fr-CA"/>
              </w:rPr>
              <w:t>Charte québécoise</w:t>
            </w:r>
            <w:r w:rsidRPr="004A079E">
              <w:rPr>
                <w:sz w:val="20"/>
                <w:lang w:val="fr-CA"/>
              </w:rPr>
              <w:t xml:space="preserve"> (condition sociale)? </w:t>
            </w:r>
            <w:r w:rsidRPr="004A079E">
              <w:rPr>
                <w:sz w:val="20"/>
              </w:rPr>
              <w:t>⸺</w:t>
            </w:r>
            <w:r w:rsidRPr="004A079E">
              <w:rPr>
                <w:sz w:val="20"/>
                <w:lang w:val="fr-CA"/>
              </w:rPr>
              <w:t xml:space="preserve"> Les juges de la décision en appel ont</w:t>
            </w:r>
            <w:r w:rsidRPr="004A079E">
              <w:rPr>
                <w:sz w:val="20"/>
                <w:lang w:val="fr-CA"/>
              </w:rPr>
              <w:noBreakHyphen/>
              <w:t xml:space="preserve">ils exigé un niveau de preuve excédant les enseignements de la jurisprudence dans leur analyse du second volet de l’art. 15(1) de la </w:t>
            </w:r>
            <w:r w:rsidRPr="004A079E">
              <w:rPr>
                <w:i/>
                <w:sz w:val="20"/>
                <w:lang w:val="fr-CA"/>
              </w:rPr>
              <w:t>Charte canadienne</w:t>
            </w:r>
            <w:r w:rsidRPr="004A079E">
              <w:rPr>
                <w:sz w:val="20"/>
                <w:lang w:val="fr-CA"/>
              </w:rPr>
              <w:t xml:space="preserve"> et l’art. 10 de la </w:t>
            </w:r>
            <w:r w:rsidRPr="004A079E">
              <w:rPr>
                <w:i/>
                <w:sz w:val="20"/>
                <w:lang w:val="fr-CA"/>
              </w:rPr>
              <w:t>Charte québécoise</w:t>
            </w:r>
            <w:r w:rsidRPr="004A079E">
              <w:rPr>
                <w:sz w:val="20"/>
                <w:lang w:val="fr-CA"/>
              </w:rPr>
              <w:t xml:space="preserve">, imposant ainsi des obligations qui normalement incombaient au gouvernement sous l’art. 1 de la </w:t>
            </w:r>
            <w:r w:rsidRPr="004A079E">
              <w:rPr>
                <w:i/>
                <w:sz w:val="20"/>
                <w:lang w:val="fr-CA"/>
              </w:rPr>
              <w:t>Charte canadienne</w:t>
            </w:r>
            <w:r w:rsidRPr="004A079E">
              <w:rPr>
                <w:sz w:val="20"/>
                <w:lang w:val="fr-CA"/>
              </w:rPr>
              <w:t xml:space="preserve"> et l’art. 9.1 de la </w:t>
            </w:r>
            <w:r w:rsidRPr="004A079E">
              <w:rPr>
                <w:i/>
                <w:sz w:val="20"/>
                <w:lang w:val="fr-CA"/>
              </w:rPr>
              <w:t>Charte québécoise</w:t>
            </w:r>
            <w:r w:rsidRPr="004A079E">
              <w:rPr>
                <w:sz w:val="20"/>
                <w:lang w:val="fr-CA"/>
              </w:rPr>
              <w:t xml:space="preserve">? </w:t>
            </w:r>
            <w:r w:rsidRPr="004A079E">
              <w:rPr>
                <w:sz w:val="20"/>
              </w:rPr>
              <w:t>⸺</w:t>
            </w:r>
            <w:r w:rsidRPr="004A079E">
              <w:rPr>
                <w:sz w:val="20"/>
                <w:lang w:val="fr-CA"/>
              </w:rPr>
              <w:t xml:space="preserve"> Les art. 63 et 66 de la LAPF</w:t>
            </w:r>
            <w:r w:rsidRPr="004A079E">
              <w:rPr>
                <w:i/>
                <w:sz w:val="20"/>
                <w:lang w:val="fr-CA"/>
              </w:rPr>
              <w:t xml:space="preserve"> </w:t>
            </w:r>
            <w:r w:rsidRPr="004A079E">
              <w:rPr>
                <w:sz w:val="20"/>
                <w:lang w:val="fr-CA"/>
              </w:rPr>
              <w:t>doivent</w:t>
            </w:r>
            <w:r w:rsidRPr="004A079E">
              <w:rPr>
                <w:sz w:val="20"/>
                <w:lang w:val="fr-CA"/>
              </w:rPr>
              <w:noBreakHyphen/>
              <w:t xml:space="preserve">ils être déclarés inopérants et/ou inapplicables dans le contexte de l’art. 106.3 de la LRRQ, en raison de leur violation du droit à l’égalité prévu sous les chartes canadienne et québécoise? </w:t>
            </w:r>
            <w:r w:rsidRPr="004A079E">
              <w:rPr>
                <w:sz w:val="20"/>
              </w:rPr>
              <w:t>⸺</w:t>
            </w:r>
            <w:r w:rsidRPr="004A079E">
              <w:rPr>
                <w:sz w:val="20"/>
                <w:lang w:val="fr-CA"/>
              </w:rPr>
              <w:t xml:space="preserve"> </w:t>
            </w:r>
            <w:r w:rsidRPr="004A079E">
              <w:rPr>
                <w:i/>
                <w:sz w:val="20"/>
                <w:lang w:val="fr-CA"/>
              </w:rPr>
              <w:t>Charte canadienne des droits et libertés</w:t>
            </w:r>
            <w:r w:rsidRPr="004A079E">
              <w:rPr>
                <w:sz w:val="20"/>
                <w:lang w:val="fr-CA"/>
              </w:rPr>
              <w:t xml:space="preserve">, art. 15(1) et 1 </w:t>
            </w:r>
            <w:r w:rsidRPr="004A079E">
              <w:rPr>
                <w:sz w:val="20"/>
              </w:rPr>
              <w:t>⸺</w:t>
            </w:r>
            <w:r w:rsidRPr="004A079E">
              <w:rPr>
                <w:sz w:val="20"/>
                <w:lang w:val="fr-CA"/>
              </w:rPr>
              <w:t xml:space="preserve"> </w:t>
            </w:r>
            <w:r w:rsidRPr="004A079E">
              <w:rPr>
                <w:i/>
                <w:sz w:val="20"/>
                <w:lang w:val="fr-CA"/>
              </w:rPr>
              <w:t>Charte des droits et libertés de la personne,</w:t>
            </w:r>
            <w:r w:rsidRPr="004A079E">
              <w:rPr>
                <w:sz w:val="20"/>
                <w:lang w:val="fr-CA"/>
              </w:rPr>
              <w:t xml:space="preserve"> </w:t>
            </w:r>
            <w:r w:rsidRPr="004A079E">
              <w:rPr>
                <w:sz w:val="20"/>
                <w:lang w:val="fr-FR" w:eastAsia="fr-CA"/>
              </w:rPr>
              <w:t>RLRQ c. C</w:t>
            </w:r>
            <w:r w:rsidRPr="004A079E">
              <w:rPr>
                <w:sz w:val="20"/>
                <w:lang w:val="fr-FR" w:eastAsia="fr-CA"/>
              </w:rPr>
              <w:noBreakHyphen/>
              <w:t xml:space="preserve">12, art. 10 et 9.1 ⸺  </w:t>
            </w:r>
            <w:r w:rsidRPr="004A079E">
              <w:rPr>
                <w:i/>
                <w:sz w:val="20"/>
                <w:lang w:val="fr-CA"/>
              </w:rPr>
              <w:t>Loi sur l’aide aux personnes et aux familles</w:t>
            </w:r>
            <w:r w:rsidRPr="004A079E">
              <w:rPr>
                <w:sz w:val="20"/>
                <w:lang w:val="fr-CA"/>
              </w:rPr>
              <w:t>, RLRQ c. A</w:t>
            </w:r>
            <w:r w:rsidRPr="004A079E">
              <w:rPr>
                <w:sz w:val="20"/>
                <w:lang w:val="fr-CA"/>
              </w:rPr>
              <w:noBreakHyphen/>
              <w:t xml:space="preserve">13.1.1, art. 63 et 66 </w:t>
            </w:r>
            <w:r w:rsidRPr="004A079E">
              <w:rPr>
                <w:sz w:val="20"/>
              </w:rPr>
              <w:t>⸺</w:t>
            </w:r>
            <w:r w:rsidRPr="004A079E">
              <w:rPr>
                <w:i/>
                <w:sz w:val="20"/>
                <w:lang w:val="fr-CA"/>
              </w:rPr>
              <w:t xml:space="preserve"> Loi sur le régime de rentes du Québec</w:t>
            </w:r>
            <w:r w:rsidRPr="004A079E">
              <w:rPr>
                <w:sz w:val="20"/>
                <w:lang w:val="fr-CA"/>
              </w:rPr>
              <w:t>, RLRQ, c. R</w:t>
            </w:r>
            <w:r w:rsidRPr="004A079E">
              <w:rPr>
                <w:sz w:val="20"/>
                <w:lang w:val="fr-CA"/>
              </w:rPr>
              <w:noBreakHyphen/>
              <w:t>9, art. 106.3.</w:t>
            </w:r>
          </w:p>
        </w:tc>
      </w:tr>
      <w:tr w:rsidR="00693512" w:rsidRPr="004A079E">
        <w:tc>
          <w:tcPr>
            <w:tcW w:w="5000" w:type="pct"/>
            <w:gridSpan w:val="4"/>
          </w:tcPr>
          <w:p w:rsidR="00693512" w:rsidRPr="004A079E" w:rsidRDefault="00693512" w:rsidP="00693512">
            <w:pPr>
              <w:jc w:val="both"/>
              <w:rPr>
                <w:sz w:val="20"/>
                <w:lang w:val="fr-CA"/>
              </w:rPr>
            </w:pPr>
          </w:p>
        </w:tc>
      </w:tr>
      <w:tr w:rsidR="00693512" w:rsidRPr="004A079E">
        <w:tc>
          <w:tcPr>
            <w:tcW w:w="5000" w:type="pct"/>
            <w:gridSpan w:val="4"/>
          </w:tcPr>
          <w:p w:rsidR="00693512" w:rsidRPr="004A079E" w:rsidRDefault="00693512" w:rsidP="00693512">
            <w:pPr>
              <w:jc w:val="both"/>
              <w:rPr>
                <w:sz w:val="20"/>
                <w:lang w:val="fr-FR" w:eastAsia="fr-CA"/>
              </w:rPr>
            </w:pPr>
            <w:r w:rsidRPr="004A079E">
              <w:rPr>
                <w:sz w:val="20"/>
                <w:lang w:val="fr-CA"/>
              </w:rPr>
              <w:t xml:space="preserve">M. Raymond Ouellet, demandeur, est prestataire d'un programme d’aide sociale depuis 2001. En décembre 2004, il a atteint l’âge de 60 ans. Conformément à l’art. 106.3 de la </w:t>
            </w:r>
            <w:r w:rsidRPr="004A079E">
              <w:rPr>
                <w:i/>
                <w:sz w:val="20"/>
                <w:lang w:val="fr-CA"/>
              </w:rPr>
              <w:t>Loi sur le régime de rentes du Québec</w:t>
            </w:r>
            <w:r w:rsidRPr="004A079E">
              <w:rPr>
                <w:sz w:val="20"/>
                <w:lang w:val="fr-CA"/>
              </w:rPr>
              <w:t xml:space="preserve">, il devient alors admissible à la rente de retraite que prévoit cette loi puisqu’il a cotisé au régime des rentes du Québec. Toutefois, M. Ouellet a choisi de ne pas demander immédiatement le versement, mais plutôt d’attendre l’âge de 65 ans afin d’obtenir une rente mensuelle plus élevée. Toutefois, l’intimé, le ministre de l’Emploi et de la Solidarité sociale, a exigé de M. Ouellet qu’il exerce sans attendre son droit à la rente de retraite sans quoi, ses prestations d’aide sociale seront discontinuées. Comme M. Ouellet a refusé d’exercer son droit, il a été informé qu’il sera mis fin à ses </w:t>
            </w:r>
            <w:r w:rsidRPr="004A079E">
              <w:rPr>
                <w:sz w:val="20"/>
                <w:lang w:val="fr-CA"/>
              </w:rPr>
              <w:lastRenderedPageBreak/>
              <w:t>prestations le 1</w:t>
            </w:r>
            <w:r w:rsidRPr="004A079E">
              <w:rPr>
                <w:sz w:val="20"/>
                <w:vertAlign w:val="superscript"/>
                <w:lang w:val="fr-CA"/>
              </w:rPr>
              <w:t>er</w:t>
            </w:r>
            <w:r w:rsidRPr="004A079E">
              <w:rPr>
                <w:sz w:val="20"/>
                <w:lang w:val="fr-CA"/>
              </w:rPr>
              <w:t xml:space="preserve"> avril 2007. M. Ouellet a alors contesté cette décision par le biais d’une demande de révision administrative qui a été rejetée le 4 avril 2007. Par la suite, M. Ouellet s’est adressé au Tribunal administratif du Québec (TAQ) afin d’attaquer la validité des </w:t>
            </w:r>
            <w:proofErr w:type="gramStart"/>
            <w:r w:rsidRPr="004A079E">
              <w:rPr>
                <w:sz w:val="20"/>
                <w:lang w:val="fr-CA"/>
              </w:rPr>
              <w:t>art</w:t>
            </w:r>
            <w:proofErr w:type="gramEnd"/>
            <w:r w:rsidRPr="004A079E">
              <w:rPr>
                <w:sz w:val="20"/>
                <w:lang w:val="fr-CA"/>
              </w:rPr>
              <w:t xml:space="preserve">. 63 et 66 de la </w:t>
            </w:r>
            <w:r w:rsidRPr="004A079E">
              <w:rPr>
                <w:i/>
                <w:sz w:val="20"/>
                <w:lang w:val="fr-CA"/>
              </w:rPr>
              <w:t>Loi sur l’aide aux personnes et aux familles</w:t>
            </w:r>
            <w:r w:rsidRPr="004A079E">
              <w:rPr>
                <w:sz w:val="20"/>
                <w:lang w:val="fr-CA"/>
              </w:rPr>
              <w:t xml:space="preserve"> au regard </w:t>
            </w:r>
            <w:proofErr w:type="gramStart"/>
            <w:r w:rsidRPr="004A079E">
              <w:rPr>
                <w:sz w:val="20"/>
                <w:lang w:val="fr-CA"/>
              </w:rPr>
              <w:t>des art</w:t>
            </w:r>
            <w:proofErr w:type="gramEnd"/>
            <w:r w:rsidRPr="004A079E">
              <w:rPr>
                <w:sz w:val="20"/>
                <w:lang w:val="fr-CA"/>
              </w:rPr>
              <w:t xml:space="preserve">. 15(1) de la </w:t>
            </w:r>
            <w:r w:rsidRPr="004A079E">
              <w:rPr>
                <w:i/>
                <w:sz w:val="20"/>
                <w:lang w:val="fr-CA"/>
              </w:rPr>
              <w:t>Charte canadienne des droits et libertés</w:t>
            </w:r>
            <w:r w:rsidRPr="004A079E">
              <w:rPr>
                <w:sz w:val="20"/>
                <w:lang w:val="fr-CA"/>
              </w:rPr>
              <w:t xml:space="preserve"> et 10 de la </w:t>
            </w:r>
            <w:r w:rsidRPr="004A079E">
              <w:rPr>
                <w:i/>
                <w:sz w:val="20"/>
                <w:lang w:val="fr-CA"/>
              </w:rPr>
              <w:t xml:space="preserve">Charte des droits et libertés de la personne </w:t>
            </w:r>
            <w:r w:rsidRPr="004A079E">
              <w:rPr>
                <w:sz w:val="20"/>
                <w:lang w:val="fr-CA"/>
              </w:rPr>
              <w:t>(</w:t>
            </w:r>
            <w:r w:rsidRPr="004A079E">
              <w:rPr>
                <w:i/>
                <w:sz w:val="20"/>
                <w:lang w:val="fr-CA"/>
              </w:rPr>
              <w:t>Charte québécoise</w:t>
            </w:r>
            <w:r w:rsidRPr="004A079E">
              <w:rPr>
                <w:sz w:val="20"/>
                <w:lang w:val="fr-CA"/>
              </w:rPr>
              <w:t>)</w:t>
            </w:r>
            <w:r w:rsidRPr="004A079E">
              <w:rPr>
                <w:sz w:val="20"/>
                <w:lang w:val="fr-FR" w:eastAsia="fr-CA"/>
              </w:rPr>
              <w:t xml:space="preserve">. Le 13 décembre 2007, le TAQ a émis une ordonnance de suspension de l’exécution de la décision administration et a ordonné le versement des prestations d’aide sociale à compter du 5 avril 2007. Le 26 octobre 2018, le TAQ a rejeté le recours de M. Ouellet au motif que bien que la condition sociale puisse être considérée comme un motif de discrimination prohibé par l’art. 15(1) de la </w:t>
            </w:r>
            <w:r w:rsidRPr="004A079E">
              <w:rPr>
                <w:i/>
                <w:sz w:val="20"/>
                <w:lang w:val="fr-FR" w:eastAsia="fr-CA"/>
              </w:rPr>
              <w:t>Charte canadienne</w:t>
            </w:r>
            <w:r w:rsidRPr="004A079E">
              <w:rPr>
                <w:sz w:val="20"/>
                <w:lang w:val="fr-FR" w:eastAsia="fr-CA"/>
              </w:rPr>
              <w:t xml:space="preserve"> alors qu’il s’agit d’un motif clairement protégé par l’art. 10 de la </w:t>
            </w:r>
            <w:r w:rsidRPr="004A079E">
              <w:rPr>
                <w:i/>
                <w:sz w:val="20"/>
                <w:lang w:val="fr-FR" w:eastAsia="fr-CA"/>
              </w:rPr>
              <w:t>Charte québécoise</w:t>
            </w:r>
            <w:r w:rsidRPr="004A079E">
              <w:rPr>
                <w:sz w:val="20"/>
                <w:lang w:val="fr-FR" w:eastAsia="fr-CA"/>
              </w:rPr>
              <w:t xml:space="preserve">, les dispositions en litige ne constituent pas une violation des droits protégés par les chartes. La Cour supérieure a rejeté en partie le pourvoi en contrôle judiciaire et la Cour d’appel a rejeté l’appel. </w:t>
            </w:r>
          </w:p>
          <w:p w:rsidR="00693512" w:rsidRPr="004A079E" w:rsidRDefault="00693512" w:rsidP="00693512">
            <w:pPr>
              <w:jc w:val="both"/>
              <w:rPr>
                <w:sz w:val="20"/>
                <w:lang w:val="fr-CA"/>
              </w:rPr>
            </w:pPr>
          </w:p>
        </w:tc>
      </w:tr>
      <w:tr w:rsidR="00693512" w:rsidRPr="004A079E">
        <w:tc>
          <w:tcPr>
            <w:tcW w:w="2427" w:type="pct"/>
            <w:gridSpan w:val="2"/>
          </w:tcPr>
          <w:p w:rsidR="00693512" w:rsidRPr="004A079E" w:rsidRDefault="00693512" w:rsidP="00693512">
            <w:pPr>
              <w:jc w:val="both"/>
              <w:rPr>
                <w:sz w:val="20"/>
                <w:lang w:val="fr-CA"/>
              </w:rPr>
            </w:pPr>
            <w:r w:rsidRPr="004A079E">
              <w:rPr>
                <w:sz w:val="20"/>
                <w:lang w:val="fr-CA"/>
              </w:rPr>
              <w:lastRenderedPageBreak/>
              <w:t>Le 9 novembre 2020</w:t>
            </w:r>
          </w:p>
          <w:p w:rsidR="00693512" w:rsidRPr="004A079E" w:rsidRDefault="00693512" w:rsidP="00693512">
            <w:pPr>
              <w:jc w:val="both"/>
              <w:rPr>
                <w:sz w:val="20"/>
                <w:lang w:val="fr-CA"/>
              </w:rPr>
            </w:pPr>
            <w:r w:rsidRPr="004A079E">
              <w:rPr>
                <w:sz w:val="20"/>
                <w:lang w:val="fr-CA"/>
              </w:rPr>
              <w:t>Cour supérieure du Québec</w:t>
            </w:r>
          </w:p>
          <w:p w:rsidR="00693512" w:rsidRPr="004A079E" w:rsidRDefault="00693512" w:rsidP="00693512">
            <w:pPr>
              <w:jc w:val="both"/>
              <w:rPr>
                <w:sz w:val="20"/>
              </w:rPr>
            </w:pPr>
            <w:r w:rsidRPr="004A079E">
              <w:rPr>
                <w:sz w:val="20"/>
              </w:rPr>
              <w:t>(St</w:t>
            </w:r>
            <w:r w:rsidRPr="004A079E">
              <w:rPr>
                <w:sz w:val="20"/>
              </w:rPr>
              <w:noBreakHyphen/>
              <w:t>Pierre Marc)</w:t>
            </w:r>
          </w:p>
          <w:p w:rsidR="00693512" w:rsidRPr="004A079E" w:rsidRDefault="004A079E" w:rsidP="00693512">
            <w:pPr>
              <w:jc w:val="both"/>
              <w:rPr>
                <w:sz w:val="20"/>
              </w:rPr>
            </w:pPr>
            <w:hyperlink r:id="rId15" w:history="1">
              <w:r w:rsidR="00693512" w:rsidRPr="004A079E">
                <w:rPr>
                  <w:rStyle w:val="Hyperlink"/>
                  <w:sz w:val="20"/>
                </w:rPr>
                <w:t>2020 QCCS 4256</w:t>
              </w:r>
            </w:hyperlink>
          </w:p>
          <w:p w:rsidR="00693512" w:rsidRPr="004A079E" w:rsidRDefault="00693512" w:rsidP="00693512">
            <w:pPr>
              <w:jc w:val="both"/>
              <w:rPr>
                <w:sz w:val="20"/>
              </w:rPr>
            </w:pP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lang w:val="fr-CA"/>
              </w:rPr>
            </w:pPr>
            <w:r w:rsidRPr="004A079E">
              <w:rPr>
                <w:sz w:val="20"/>
                <w:lang w:val="fr-CA"/>
              </w:rPr>
              <w:t xml:space="preserve">Pourvoi en contrôle judiciaire accueilli en partie. </w:t>
            </w:r>
          </w:p>
          <w:p w:rsidR="00693512" w:rsidRPr="004A079E" w:rsidRDefault="00693512" w:rsidP="00693512">
            <w:pPr>
              <w:jc w:val="both"/>
              <w:rPr>
                <w:sz w:val="20"/>
                <w:lang w:val="fr-CA"/>
              </w:rPr>
            </w:pPr>
          </w:p>
        </w:tc>
      </w:tr>
      <w:tr w:rsidR="00693512" w:rsidRPr="004A079E">
        <w:tc>
          <w:tcPr>
            <w:tcW w:w="2427" w:type="pct"/>
            <w:gridSpan w:val="2"/>
          </w:tcPr>
          <w:p w:rsidR="00693512" w:rsidRPr="004A079E" w:rsidRDefault="00693512" w:rsidP="00693512">
            <w:pPr>
              <w:jc w:val="both"/>
              <w:rPr>
                <w:sz w:val="20"/>
                <w:lang w:val="fr-CA"/>
              </w:rPr>
            </w:pPr>
            <w:r w:rsidRPr="004A079E">
              <w:rPr>
                <w:sz w:val="20"/>
                <w:lang w:val="fr-CA"/>
              </w:rPr>
              <w:t>Le 23 juillet 2021</w:t>
            </w:r>
          </w:p>
          <w:p w:rsidR="00693512" w:rsidRPr="004A079E" w:rsidRDefault="00693512" w:rsidP="00693512">
            <w:pPr>
              <w:jc w:val="both"/>
              <w:rPr>
                <w:sz w:val="20"/>
                <w:lang w:val="fr-CA"/>
              </w:rPr>
            </w:pPr>
            <w:r w:rsidRPr="004A079E">
              <w:rPr>
                <w:sz w:val="20"/>
                <w:lang w:val="fr-CA"/>
              </w:rPr>
              <w:t>Cour d’appel du Québec (Montréal)</w:t>
            </w:r>
          </w:p>
          <w:p w:rsidR="00693512" w:rsidRPr="004A079E" w:rsidRDefault="00693512" w:rsidP="00693512">
            <w:pPr>
              <w:jc w:val="both"/>
              <w:rPr>
                <w:sz w:val="20"/>
                <w:lang w:val="fr-CA"/>
              </w:rPr>
            </w:pPr>
            <w:r w:rsidRPr="004A079E">
              <w:rPr>
                <w:sz w:val="20"/>
                <w:lang w:val="fr-CA"/>
              </w:rPr>
              <w:t>(Les juges Bich, Healy et Sansfaçon)</w:t>
            </w:r>
          </w:p>
          <w:p w:rsidR="00693512" w:rsidRPr="004A079E" w:rsidRDefault="004A079E" w:rsidP="00693512">
            <w:pPr>
              <w:jc w:val="both"/>
              <w:rPr>
                <w:sz w:val="20"/>
              </w:rPr>
            </w:pPr>
            <w:hyperlink r:id="rId16" w:history="1">
              <w:r w:rsidR="00693512" w:rsidRPr="004A079E">
                <w:rPr>
                  <w:rStyle w:val="Hyperlink"/>
                  <w:sz w:val="20"/>
                </w:rPr>
                <w:t>2021 QCCA 1185</w:t>
              </w:r>
            </w:hyperlink>
          </w:p>
          <w:p w:rsidR="00693512" w:rsidRPr="004A079E" w:rsidRDefault="00693512" w:rsidP="00693512">
            <w:pPr>
              <w:jc w:val="both"/>
              <w:rPr>
                <w:sz w:val="20"/>
              </w:rPr>
            </w:pP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lang w:val="fr-CA"/>
              </w:rPr>
            </w:pPr>
            <w:r w:rsidRPr="004A079E">
              <w:rPr>
                <w:sz w:val="20"/>
                <w:lang w:val="fr-CA"/>
              </w:rPr>
              <w:t>Requête en autorisation d’appel accueillie et permission en l’appeler accordée</w:t>
            </w:r>
          </w:p>
          <w:p w:rsidR="00693512" w:rsidRPr="004A079E" w:rsidRDefault="00693512" w:rsidP="00693512">
            <w:pPr>
              <w:jc w:val="both"/>
              <w:rPr>
                <w:sz w:val="20"/>
              </w:rPr>
            </w:pPr>
            <w:r w:rsidRPr="004A079E">
              <w:rPr>
                <w:sz w:val="20"/>
              </w:rPr>
              <w:t>Appel rejeté.</w:t>
            </w:r>
          </w:p>
          <w:p w:rsidR="00693512" w:rsidRPr="004A079E" w:rsidRDefault="00693512" w:rsidP="00693512">
            <w:pPr>
              <w:jc w:val="both"/>
              <w:rPr>
                <w:sz w:val="20"/>
              </w:rPr>
            </w:pPr>
          </w:p>
        </w:tc>
      </w:tr>
      <w:tr w:rsidR="00693512" w:rsidRPr="004A079E">
        <w:tc>
          <w:tcPr>
            <w:tcW w:w="2427" w:type="pct"/>
            <w:gridSpan w:val="2"/>
          </w:tcPr>
          <w:p w:rsidR="00693512" w:rsidRPr="004A079E" w:rsidRDefault="00693512" w:rsidP="00693512">
            <w:pPr>
              <w:jc w:val="both"/>
              <w:rPr>
                <w:sz w:val="20"/>
                <w:lang w:val="fr-CA"/>
              </w:rPr>
            </w:pPr>
            <w:r w:rsidRPr="004A079E">
              <w:rPr>
                <w:sz w:val="20"/>
                <w:lang w:val="fr-CA"/>
              </w:rPr>
              <w:t>Le 28 septembre 2021</w:t>
            </w:r>
          </w:p>
          <w:p w:rsidR="00693512" w:rsidRPr="004A079E" w:rsidRDefault="00693512" w:rsidP="00693512">
            <w:pPr>
              <w:jc w:val="both"/>
              <w:rPr>
                <w:sz w:val="20"/>
                <w:lang w:val="fr-CA"/>
              </w:rPr>
            </w:pPr>
            <w:r w:rsidRPr="004A079E">
              <w:rPr>
                <w:sz w:val="20"/>
                <w:lang w:val="fr-CA"/>
              </w:rPr>
              <w:t>Cour suprême du Canada</w:t>
            </w:r>
          </w:p>
        </w:tc>
        <w:tc>
          <w:tcPr>
            <w:tcW w:w="243" w:type="pct"/>
          </w:tcPr>
          <w:p w:rsidR="00693512" w:rsidRPr="004A079E" w:rsidRDefault="00693512" w:rsidP="00693512">
            <w:pPr>
              <w:jc w:val="both"/>
              <w:rPr>
                <w:sz w:val="20"/>
                <w:lang w:val="fr-CA"/>
              </w:rPr>
            </w:pPr>
          </w:p>
        </w:tc>
        <w:tc>
          <w:tcPr>
            <w:tcW w:w="2330" w:type="pct"/>
          </w:tcPr>
          <w:p w:rsidR="00693512" w:rsidRPr="004A079E" w:rsidRDefault="00693512" w:rsidP="00693512">
            <w:pPr>
              <w:jc w:val="both"/>
              <w:rPr>
                <w:sz w:val="20"/>
              </w:rPr>
            </w:pPr>
            <w:r w:rsidRPr="004A079E">
              <w:rPr>
                <w:sz w:val="20"/>
              </w:rPr>
              <w:t>Demande d'autorisation d'appel déposée</w:t>
            </w:r>
          </w:p>
          <w:p w:rsidR="00693512" w:rsidRPr="004A079E" w:rsidRDefault="00693512" w:rsidP="00693512">
            <w:pPr>
              <w:jc w:val="both"/>
              <w:rPr>
                <w:sz w:val="20"/>
              </w:rPr>
            </w:pPr>
          </w:p>
        </w:tc>
      </w:tr>
    </w:tbl>
    <w:p w:rsidR="00693512" w:rsidRPr="004A079E" w:rsidRDefault="00693512" w:rsidP="00693512">
      <w:pPr>
        <w:jc w:val="both"/>
        <w:rPr>
          <w:sz w:val="20"/>
        </w:rPr>
      </w:pPr>
    </w:p>
    <w:p w:rsidR="0001473D" w:rsidRPr="004A079E" w:rsidRDefault="004A079E" w:rsidP="00693512">
      <w:pPr>
        <w:widowControl w:val="0"/>
        <w:jc w:val="both"/>
        <w:rPr>
          <w:sz w:val="20"/>
          <w:lang w:val="fr-CA"/>
        </w:rPr>
      </w:pPr>
      <w:r w:rsidRPr="004A079E">
        <w:rPr>
          <w:sz w:val="20"/>
        </w:rPr>
        <w:pict>
          <v:rect id="_x0000_i1028" style="width:2in;height:1pt" o:hrpct="0" o:hralign="center" o:hrstd="t" o:hrnoshade="t" o:hr="t" fillcolor="black [3213]" stroked="f"/>
        </w:pict>
      </w:r>
    </w:p>
    <w:p w:rsidR="0001473D" w:rsidRPr="004A079E" w:rsidRDefault="0001473D" w:rsidP="0069351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93512" w:rsidRPr="004A079E" w:rsidTr="00E95A6A">
        <w:tc>
          <w:tcPr>
            <w:tcW w:w="543" w:type="pct"/>
          </w:tcPr>
          <w:p w:rsidR="00693512" w:rsidRPr="004A079E" w:rsidRDefault="00693512" w:rsidP="00693512">
            <w:pPr>
              <w:jc w:val="both"/>
              <w:rPr>
                <w:sz w:val="20"/>
              </w:rPr>
            </w:pPr>
            <w:r w:rsidRPr="004A079E">
              <w:rPr>
                <w:rStyle w:val="SCCFileNumberChar"/>
                <w:sz w:val="20"/>
                <w:szCs w:val="20"/>
              </w:rPr>
              <w:t>39890</w:t>
            </w:r>
          </w:p>
        </w:tc>
        <w:tc>
          <w:tcPr>
            <w:tcW w:w="4457" w:type="pct"/>
            <w:gridSpan w:val="3"/>
          </w:tcPr>
          <w:p w:rsidR="00693512" w:rsidRPr="004A079E" w:rsidRDefault="00693512" w:rsidP="00693512">
            <w:pPr>
              <w:pStyle w:val="SCCLsocParty"/>
              <w:jc w:val="both"/>
              <w:rPr>
                <w:b/>
                <w:sz w:val="20"/>
                <w:szCs w:val="20"/>
                <w:lang w:val="en-US"/>
              </w:rPr>
            </w:pPr>
            <w:r w:rsidRPr="004A079E">
              <w:rPr>
                <w:b/>
                <w:sz w:val="20"/>
                <w:szCs w:val="20"/>
                <w:lang w:val="en-US"/>
              </w:rPr>
              <w:t>MDS Inc., MDS (Canada) Inc. C.O.B. MDS Nordion v. Factory Mutual Insurance Company C.O.B. FM Global</w:t>
            </w:r>
          </w:p>
          <w:p w:rsidR="00693512" w:rsidRPr="004A079E" w:rsidRDefault="00693512" w:rsidP="00693512">
            <w:pPr>
              <w:jc w:val="both"/>
              <w:rPr>
                <w:sz w:val="20"/>
              </w:rPr>
            </w:pPr>
            <w:r w:rsidRPr="004A079E">
              <w:rPr>
                <w:sz w:val="20"/>
              </w:rPr>
              <w:t>(Ont.) (Civil) (By Leave)</w:t>
            </w:r>
          </w:p>
        </w:tc>
      </w:tr>
      <w:tr w:rsidR="00693512" w:rsidRPr="004A079E" w:rsidTr="00E95A6A">
        <w:tc>
          <w:tcPr>
            <w:tcW w:w="5000" w:type="pct"/>
            <w:gridSpan w:val="4"/>
          </w:tcPr>
          <w:p w:rsidR="00693512" w:rsidRPr="004A079E" w:rsidRDefault="00693512" w:rsidP="00693512">
            <w:pPr>
              <w:jc w:val="both"/>
              <w:rPr>
                <w:sz w:val="20"/>
              </w:rPr>
            </w:pPr>
            <w:r w:rsidRPr="004A079E">
              <w:rPr>
                <w:sz w:val="20"/>
              </w:rPr>
              <w:t>Insurance — Property insurance — All risks policy — Exclusions clauses and exceptions —Interpretation — How should Canadian courts interpret physical damage exclusions and resulting damage exceptions in a standard</w:t>
            </w:r>
            <w:r w:rsidRPr="004A079E">
              <w:rPr>
                <w:sz w:val="20"/>
              </w:rPr>
              <w:noBreakHyphen/>
              <w:t>form property and casualty insurance policy — Does the loss of an insured property’s functionality or use constitute resulting “physical damage” within the meaning of an “all</w:t>
            </w:r>
            <w:r w:rsidRPr="004A079E">
              <w:rPr>
                <w:sz w:val="20"/>
              </w:rPr>
              <w:noBreakHyphen/>
              <w:t>risk” policy.</w:t>
            </w:r>
          </w:p>
          <w:p w:rsidR="00693512" w:rsidRPr="004A079E" w:rsidRDefault="00693512" w:rsidP="00693512">
            <w:pPr>
              <w:jc w:val="both"/>
              <w:rPr>
                <w:sz w:val="20"/>
              </w:rPr>
            </w:pPr>
          </w:p>
        </w:tc>
      </w:tr>
      <w:tr w:rsidR="00693512" w:rsidRPr="004A079E" w:rsidTr="00E95A6A">
        <w:tc>
          <w:tcPr>
            <w:tcW w:w="5000" w:type="pct"/>
            <w:gridSpan w:val="4"/>
          </w:tcPr>
          <w:p w:rsidR="00693512" w:rsidRPr="004A079E" w:rsidRDefault="00693512" w:rsidP="00693512">
            <w:pPr>
              <w:jc w:val="both"/>
              <w:rPr>
                <w:color w:val="000000"/>
                <w:sz w:val="20"/>
              </w:rPr>
            </w:pPr>
            <w:r w:rsidRPr="004A079E">
              <w:rPr>
                <w:color w:val="000000"/>
                <w:sz w:val="20"/>
              </w:rPr>
              <w:t xml:space="preserve">The applicants are a global health science company and its Canadian subsidiary. In February 2006, they contracted to buy radioisotopes from Atomic Energy of Canada Limited, to be produced at its Nuclear Research Universal (NRU) reactor located in Chalk River, Ontario. The radioisotopes would be sold worldwide for cardiac imaging, cancer treatments, and sterilization of medical products. On May 14, 2009, heavy water containing radioactive tritium was found to be leaking through the calandria wall of the NRU reactor. The leak was caused by corrosion. The reactor was shut down for 15 months for repairs, and the applicants lost profits of approximately CA$121,248,000 from the loss of their supplier. The applicants submitted a claim for lost profits to the respondent </w:t>
            </w:r>
            <w:r w:rsidRPr="004A079E">
              <w:rPr>
                <w:sz w:val="20"/>
              </w:rPr>
              <w:t>i</w:t>
            </w:r>
            <w:r w:rsidRPr="004A079E">
              <w:rPr>
                <w:color w:val="000000"/>
                <w:sz w:val="20"/>
              </w:rPr>
              <w:t xml:space="preserve">nsurer under their all-risk insurance policy. The policy was a standard form covering all risks of physical loss or damage to property and contingent time element coverage resulting from a supplier’s business interruption. It excluded coverage for losses caused by </w:t>
            </w:r>
            <w:r w:rsidRPr="004A079E">
              <w:rPr>
                <w:i/>
                <w:color w:val="000000"/>
                <w:sz w:val="20"/>
              </w:rPr>
              <w:t>corrosion</w:t>
            </w:r>
            <w:r w:rsidRPr="004A079E">
              <w:rPr>
                <w:color w:val="000000"/>
                <w:sz w:val="20"/>
              </w:rPr>
              <w:t>, and the corrosion exclusion included an exception for resulting physical damage not excluded by the policy. The respondent denied coverage on the basis that the claim was excluded under the policy.</w:t>
            </w:r>
          </w:p>
          <w:p w:rsidR="00693512" w:rsidRPr="004A079E" w:rsidRDefault="00693512" w:rsidP="00693512">
            <w:pPr>
              <w:jc w:val="both"/>
              <w:rPr>
                <w:color w:val="000000"/>
                <w:sz w:val="20"/>
              </w:rPr>
            </w:pPr>
          </w:p>
          <w:p w:rsidR="00693512" w:rsidRPr="004A079E" w:rsidRDefault="00693512" w:rsidP="00693512">
            <w:pPr>
              <w:jc w:val="both"/>
              <w:rPr>
                <w:sz w:val="20"/>
              </w:rPr>
            </w:pPr>
            <w:r w:rsidRPr="004A079E">
              <w:rPr>
                <w:sz w:val="20"/>
              </w:rPr>
              <w:t xml:space="preserve">The Ontario Superior Court of Justice held that the applicant’s losses were covered under the policy. It found that the corrosion exclusion did not apply to unanticipated and fortuitous corrosion and that, had it applied, the exception for physical damage should be interpreted to include economic loss caused by the inability to use insured property, such as in this case. Therefore the applicants were entitled to recover to the limits of the Contingent Time Element coverage under its policy to the amount of US$25,000,000, plus prejudgment interest at the actual cost of borrowing. The Ontario Court of Appeal allowed the appeal, set aside the lower court judgment and denied coverage. </w:t>
            </w:r>
          </w:p>
          <w:p w:rsidR="00693512" w:rsidRPr="004A079E" w:rsidRDefault="00693512" w:rsidP="00693512">
            <w:pPr>
              <w:jc w:val="both"/>
              <w:rPr>
                <w:sz w:val="20"/>
              </w:rPr>
            </w:pPr>
          </w:p>
        </w:tc>
      </w:tr>
      <w:tr w:rsidR="00693512" w:rsidRPr="004A079E" w:rsidTr="00E95A6A">
        <w:tc>
          <w:tcPr>
            <w:tcW w:w="2427" w:type="pct"/>
            <w:gridSpan w:val="2"/>
          </w:tcPr>
          <w:p w:rsidR="00693512" w:rsidRPr="004A079E" w:rsidRDefault="00693512" w:rsidP="00693512">
            <w:pPr>
              <w:jc w:val="both"/>
              <w:rPr>
                <w:sz w:val="20"/>
              </w:rPr>
            </w:pPr>
            <w:r w:rsidRPr="004A079E">
              <w:rPr>
                <w:sz w:val="20"/>
              </w:rPr>
              <w:t>September 9, 2020</w:t>
            </w:r>
          </w:p>
          <w:p w:rsidR="00693512" w:rsidRPr="004A079E" w:rsidRDefault="00693512" w:rsidP="00693512">
            <w:pPr>
              <w:jc w:val="both"/>
              <w:rPr>
                <w:sz w:val="20"/>
              </w:rPr>
            </w:pPr>
            <w:r w:rsidRPr="004A079E">
              <w:rPr>
                <w:sz w:val="20"/>
              </w:rPr>
              <w:t>Ontario Superior Court of Justice</w:t>
            </w:r>
          </w:p>
          <w:p w:rsidR="00693512" w:rsidRPr="004A079E" w:rsidRDefault="00693512" w:rsidP="00693512">
            <w:pPr>
              <w:jc w:val="both"/>
              <w:rPr>
                <w:sz w:val="20"/>
              </w:rPr>
            </w:pPr>
            <w:r w:rsidRPr="004A079E">
              <w:rPr>
                <w:sz w:val="20"/>
              </w:rPr>
              <w:lastRenderedPageBreak/>
              <w:t>(Wilson J.)</w:t>
            </w:r>
          </w:p>
          <w:p w:rsidR="00693512" w:rsidRPr="004A079E" w:rsidRDefault="004A079E" w:rsidP="00693512">
            <w:pPr>
              <w:jc w:val="both"/>
              <w:rPr>
                <w:sz w:val="20"/>
              </w:rPr>
            </w:pPr>
            <w:hyperlink r:id="rId17" w:history="1">
              <w:r w:rsidR="00693512" w:rsidRPr="004A079E">
                <w:rPr>
                  <w:rStyle w:val="Hyperlink"/>
                  <w:sz w:val="20"/>
                </w:rPr>
                <w:t>2020 ONSC 1924</w:t>
              </w:r>
            </w:hyperlink>
            <w:r w:rsidR="00693512" w:rsidRPr="004A079E">
              <w:rPr>
                <w:sz w:val="20"/>
              </w:rPr>
              <w:t xml:space="preserve">; </w:t>
            </w:r>
            <w:hyperlink r:id="rId18" w:history="1">
              <w:r w:rsidR="00693512" w:rsidRPr="004A079E">
                <w:rPr>
                  <w:rStyle w:val="Hyperlink"/>
                  <w:sz w:val="20"/>
                </w:rPr>
                <w:t>2020 ONSC 4464</w:t>
              </w:r>
            </w:hyperlink>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rPr>
            </w:pPr>
            <w:r w:rsidRPr="004A079E">
              <w:rPr>
                <w:sz w:val="20"/>
              </w:rPr>
              <w:t xml:space="preserve">Applicants entitled to recover to the limits of the Contingent Time Element coverage under the </w:t>
            </w:r>
            <w:r w:rsidRPr="004A079E">
              <w:rPr>
                <w:sz w:val="20"/>
              </w:rPr>
              <w:lastRenderedPageBreak/>
              <w:t>insurance policy with the respondent to the amount of US$25,000,000.</w:t>
            </w:r>
          </w:p>
          <w:p w:rsidR="00693512" w:rsidRPr="004A079E" w:rsidRDefault="00693512" w:rsidP="00693512">
            <w:pPr>
              <w:jc w:val="both"/>
              <w:rPr>
                <w:sz w:val="20"/>
              </w:rPr>
            </w:pPr>
          </w:p>
        </w:tc>
      </w:tr>
      <w:tr w:rsidR="00693512" w:rsidRPr="004A079E" w:rsidTr="00E95A6A">
        <w:tc>
          <w:tcPr>
            <w:tcW w:w="2427" w:type="pct"/>
            <w:gridSpan w:val="2"/>
          </w:tcPr>
          <w:p w:rsidR="00693512" w:rsidRPr="004A079E" w:rsidRDefault="00693512" w:rsidP="00693512">
            <w:pPr>
              <w:jc w:val="both"/>
              <w:rPr>
                <w:sz w:val="20"/>
              </w:rPr>
            </w:pPr>
            <w:r w:rsidRPr="004A079E">
              <w:rPr>
                <w:sz w:val="20"/>
              </w:rPr>
              <w:lastRenderedPageBreak/>
              <w:t>September 3, 2021</w:t>
            </w:r>
          </w:p>
          <w:p w:rsidR="00693512" w:rsidRPr="004A079E" w:rsidRDefault="00693512" w:rsidP="00693512">
            <w:pPr>
              <w:jc w:val="both"/>
              <w:rPr>
                <w:sz w:val="20"/>
              </w:rPr>
            </w:pPr>
            <w:r w:rsidRPr="004A079E">
              <w:rPr>
                <w:sz w:val="20"/>
              </w:rPr>
              <w:t>Court of Appeal for Ontario</w:t>
            </w:r>
          </w:p>
          <w:p w:rsidR="00693512" w:rsidRPr="004A079E" w:rsidRDefault="00693512" w:rsidP="00693512">
            <w:pPr>
              <w:jc w:val="both"/>
              <w:rPr>
                <w:sz w:val="20"/>
              </w:rPr>
            </w:pPr>
            <w:r w:rsidRPr="004A079E">
              <w:rPr>
                <w:sz w:val="20"/>
              </w:rPr>
              <w:t xml:space="preserve">(Feldman, Harvison Young and Thorburn </w:t>
            </w:r>
          </w:p>
          <w:p w:rsidR="00693512" w:rsidRPr="004A079E" w:rsidRDefault="00693512" w:rsidP="00693512">
            <w:pPr>
              <w:jc w:val="both"/>
              <w:rPr>
                <w:sz w:val="20"/>
              </w:rPr>
            </w:pPr>
            <w:r w:rsidRPr="004A079E">
              <w:rPr>
                <w:sz w:val="20"/>
              </w:rPr>
              <w:t>JJ.A.)</w:t>
            </w:r>
          </w:p>
          <w:p w:rsidR="00693512" w:rsidRPr="004A079E" w:rsidRDefault="004A079E" w:rsidP="00693512">
            <w:pPr>
              <w:jc w:val="both"/>
              <w:rPr>
                <w:sz w:val="20"/>
              </w:rPr>
            </w:pPr>
            <w:hyperlink r:id="rId19" w:history="1">
              <w:r w:rsidR="00693512" w:rsidRPr="004A079E">
                <w:rPr>
                  <w:rStyle w:val="Hyperlink"/>
                  <w:sz w:val="20"/>
                </w:rPr>
                <w:t>2021 ONCA 594</w:t>
              </w:r>
            </w:hyperlink>
            <w:r w:rsidR="00693512" w:rsidRPr="004A079E">
              <w:rPr>
                <w:sz w:val="20"/>
              </w:rPr>
              <w:t>; C68300</w:t>
            </w:r>
          </w:p>
          <w:p w:rsidR="00693512" w:rsidRPr="004A079E" w:rsidRDefault="00693512" w:rsidP="00693512">
            <w:pPr>
              <w:jc w:val="both"/>
              <w:rPr>
                <w:sz w:val="20"/>
              </w:rPr>
            </w:pP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rPr>
            </w:pPr>
            <w:r w:rsidRPr="004A079E">
              <w:rPr>
                <w:sz w:val="20"/>
              </w:rPr>
              <w:t>Appeal allowed and lower court judgment set aside.</w:t>
            </w:r>
          </w:p>
          <w:p w:rsidR="00693512" w:rsidRPr="004A079E" w:rsidRDefault="00693512" w:rsidP="00693512">
            <w:pPr>
              <w:jc w:val="both"/>
              <w:rPr>
                <w:sz w:val="20"/>
              </w:rPr>
            </w:pPr>
          </w:p>
        </w:tc>
      </w:tr>
      <w:tr w:rsidR="00693512" w:rsidRPr="004A079E" w:rsidTr="00E95A6A">
        <w:tc>
          <w:tcPr>
            <w:tcW w:w="2427" w:type="pct"/>
            <w:gridSpan w:val="2"/>
          </w:tcPr>
          <w:p w:rsidR="00693512" w:rsidRPr="004A079E" w:rsidRDefault="00693512" w:rsidP="00693512">
            <w:pPr>
              <w:jc w:val="both"/>
              <w:rPr>
                <w:sz w:val="20"/>
              </w:rPr>
            </w:pPr>
            <w:r w:rsidRPr="004A079E">
              <w:rPr>
                <w:sz w:val="20"/>
              </w:rPr>
              <w:t>October 22, 2021</w:t>
            </w:r>
          </w:p>
          <w:p w:rsidR="00693512" w:rsidRPr="004A079E" w:rsidRDefault="00693512" w:rsidP="00693512">
            <w:pPr>
              <w:jc w:val="both"/>
              <w:rPr>
                <w:sz w:val="20"/>
              </w:rPr>
            </w:pPr>
            <w:r w:rsidRPr="004A079E">
              <w:rPr>
                <w:sz w:val="20"/>
              </w:rPr>
              <w:t>Supreme Court of Canada</w:t>
            </w: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rPr>
            </w:pPr>
            <w:r w:rsidRPr="004A079E">
              <w:rPr>
                <w:sz w:val="20"/>
              </w:rPr>
              <w:t>Application for leave to appeal filed.</w:t>
            </w:r>
          </w:p>
        </w:tc>
      </w:tr>
    </w:tbl>
    <w:p w:rsidR="00693512" w:rsidRPr="004A079E" w:rsidRDefault="00693512" w:rsidP="00693512">
      <w:pPr>
        <w:jc w:val="both"/>
        <w:rPr>
          <w:sz w:val="20"/>
        </w:rPr>
      </w:pPr>
    </w:p>
    <w:p w:rsidR="00693512" w:rsidRPr="004A079E" w:rsidRDefault="004A079E" w:rsidP="00693512">
      <w:pPr>
        <w:jc w:val="both"/>
        <w:rPr>
          <w:sz w:val="20"/>
        </w:rPr>
      </w:pPr>
      <w:r w:rsidRPr="004A079E">
        <w:rPr>
          <w:sz w:val="20"/>
        </w:rPr>
        <w:pict>
          <v:rect id="_x0000_i1029" style="width:2in;height:1pt" o:hrpct="0" o:hralign="center" o:hrstd="t" o:hrnoshade="t" o:hr="t" fillcolor="black [3213]" stroked="f"/>
        </w:pict>
      </w:r>
    </w:p>
    <w:p w:rsidR="00693512" w:rsidRPr="004A079E" w:rsidRDefault="00693512" w:rsidP="006935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93512" w:rsidRPr="004A079E" w:rsidTr="00E95A6A">
        <w:tc>
          <w:tcPr>
            <w:tcW w:w="543" w:type="pct"/>
          </w:tcPr>
          <w:p w:rsidR="00693512" w:rsidRPr="004A079E" w:rsidRDefault="00693512" w:rsidP="00693512">
            <w:pPr>
              <w:jc w:val="both"/>
              <w:rPr>
                <w:sz w:val="20"/>
              </w:rPr>
            </w:pPr>
            <w:r w:rsidRPr="004A079E">
              <w:rPr>
                <w:rStyle w:val="SCCFileNumberChar"/>
                <w:sz w:val="20"/>
                <w:szCs w:val="20"/>
              </w:rPr>
              <w:t>39890</w:t>
            </w:r>
          </w:p>
        </w:tc>
        <w:tc>
          <w:tcPr>
            <w:tcW w:w="4457" w:type="pct"/>
            <w:gridSpan w:val="3"/>
          </w:tcPr>
          <w:p w:rsidR="00693512" w:rsidRPr="004A079E" w:rsidRDefault="00693512" w:rsidP="00693512">
            <w:pPr>
              <w:pStyle w:val="SCCLsocParty"/>
              <w:jc w:val="both"/>
              <w:rPr>
                <w:b/>
                <w:sz w:val="20"/>
                <w:szCs w:val="20"/>
                <w:lang w:val="en-US"/>
              </w:rPr>
            </w:pPr>
            <w:r w:rsidRPr="004A079E">
              <w:rPr>
                <w:b/>
                <w:sz w:val="20"/>
                <w:szCs w:val="20"/>
                <w:lang w:val="en-US"/>
              </w:rPr>
              <w:t>MDS Inc., MDS (Canada) Inc. C.O.B. MDS Nordion c. Factory Mutual Insurance Company C.O.B. FM Global</w:t>
            </w:r>
          </w:p>
          <w:p w:rsidR="00693512" w:rsidRPr="004A079E" w:rsidRDefault="00693512" w:rsidP="00693512">
            <w:pPr>
              <w:jc w:val="both"/>
              <w:rPr>
                <w:sz w:val="20"/>
              </w:rPr>
            </w:pPr>
            <w:r w:rsidRPr="004A079E">
              <w:rPr>
                <w:sz w:val="20"/>
              </w:rPr>
              <w:t>(Ont.) (Civile) (Sur autorisation)</w:t>
            </w:r>
          </w:p>
        </w:tc>
      </w:tr>
      <w:tr w:rsidR="00693512" w:rsidRPr="004A079E" w:rsidTr="00E95A6A">
        <w:tc>
          <w:tcPr>
            <w:tcW w:w="5000" w:type="pct"/>
            <w:gridSpan w:val="4"/>
          </w:tcPr>
          <w:p w:rsidR="00693512" w:rsidRPr="004A079E" w:rsidRDefault="00693512" w:rsidP="00693512">
            <w:pPr>
              <w:jc w:val="both"/>
              <w:rPr>
                <w:sz w:val="20"/>
                <w:lang w:val="fr-CA"/>
              </w:rPr>
            </w:pPr>
            <w:r w:rsidRPr="004A079E">
              <w:rPr>
                <w:sz w:val="20"/>
                <w:lang w:val="fr-CA"/>
              </w:rPr>
              <w:t>Assurances — Assurances de biens — Police tous risques — Clauses d’exclusions et exceptions — Interprétation — Comment les tribunaux canadiens devraient-ils interpréter les exclusions pour dommages physiques et les exceptions pour les dommages qui en résultent dans une police d’assurance type de biens et de risques divers? — Est</w:t>
            </w:r>
            <w:r w:rsidRPr="004A079E">
              <w:rPr>
                <w:sz w:val="20"/>
                <w:lang w:val="fr-CA"/>
              </w:rPr>
              <w:noBreakHyphen/>
              <w:t>ce que la perte de fonctionnalité ou d’usage d’un bien assuré constitue un « dommage physique » qui en résulte au sens d’une police « tous risques »?</w:t>
            </w:r>
          </w:p>
          <w:p w:rsidR="00693512" w:rsidRPr="004A079E" w:rsidRDefault="00693512" w:rsidP="00693512">
            <w:pPr>
              <w:jc w:val="both"/>
              <w:rPr>
                <w:sz w:val="20"/>
                <w:lang w:val="fr-CA"/>
              </w:rPr>
            </w:pPr>
          </w:p>
        </w:tc>
      </w:tr>
      <w:tr w:rsidR="00693512" w:rsidRPr="004A079E" w:rsidTr="00E95A6A">
        <w:tc>
          <w:tcPr>
            <w:tcW w:w="5000" w:type="pct"/>
            <w:gridSpan w:val="4"/>
          </w:tcPr>
          <w:p w:rsidR="00693512" w:rsidRPr="004A079E" w:rsidRDefault="00693512" w:rsidP="00693512">
            <w:pPr>
              <w:jc w:val="both"/>
              <w:rPr>
                <w:sz w:val="20"/>
                <w:lang w:val="fr-CA"/>
              </w:rPr>
            </w:pPr>
            <w:r w:rsidRPr="004A079E">
              <w:rPr>
                <w:sz w:val="20"/>
                <w:lang w:val="fr-CA"/>
              </w:rPr>
              <w:t>Les demanderesses sont une entreprise mondiale de sciences de la santé et sa filiale canadienne. En février 2006, elles ont conclu un contrat d’achat de radio</w:t>
            </w:r>
            <w:r w:rsidRPr="004A079E">
              <w:rPr>
                <w:sz w:val="20"/>
                <w:lang w:val="fr-CA"/>
              </w:rPr>
              <w:noBreakHyphen/>
              <w:t>isotopes avec Énergie atomique du Canada limitée, des substances qui devaient être produites par le réacteur Nuclear Research Universal (NRU) situé à Chalk River, en Ontario. Les radio</w:t>
            </w:r>
            <w:r w:rsidRPr="004A079E">
              <w:rPr>
                <w:sz w:val="20"/>
                <w:lang w:val="fr-CA"/>
              </w:rPr>
              <w:noBreakHyphen/>
              <w:t xml:space="preserve">isotopes seraient vendus dans le monde entier pour l’imagerie cardiaque, des traitements contre le cancer et la stérilisation d’équipement médical. Le 14 mai 2009, une fuite d’eau lourde contenant du tritium radioactif a été découverte dans les parois de la cuve du réacteur NRU. La fuite était causée par la corrosion. Le réacteur a été fermé durant 15 mois pour qu’il soit réparé, et les demanderesses ont subi une perte de profits de quelque 121 248 000 $ CA en raison de la perte de leur fournisseur. Les demanderesses ont présenté une réclamation pour perte de profits auprès de la compagnie d’assurance intimée en application de leur police d’assurance tous risques. Il s’agissait d’une police type couvrant tous les risques de pertes ou de dommages physiques aux biens, ainsi que l’élément temporel éventuel découlant d’une interruption des activités d’un fournisseur. Elle excluait la couverture pour les pertes causées par la </w:t>
            </w:r>
            <w:r w:rsidRPr="004A079E">
              <w:rPr>
                <w:i/>
                <w:sz w:val="20"/>
                <w:lang w:val="fr-CA"/>
              </w:rPr>
              <w:t>corrosion</w:t>
            </w:r>
            <w:r w:rsidRPr="004A079E">
              <w:rPr>
                <w:sz w:val="20"/>
                <w:lang w:val="fr-CA"/>
              </w:rPr>
              <w:t>, et cette exclusion comprenait une exception pour les dommages physiques en résultant non exclus par la police. L’intimée a refusé d’indemniser les demanderesses en faisant valoir que la réclamation était exclue aux termes de la police.</w:t>
            </w:r>
          </w:p>
          <w:p w:rsidR="00693512" w:rsidRPr="004A079E" w:rsidRDefault="00693512" w:rsidP="00693512">
            <w:pPr>
              <w:jc w:val="both"/>
              <w:rPr>
                <w:color w:val="000000"/>
                <w:sz w:val="20"/>
                <w:lang w:val="fr-CA"/>
              </w:rPr>
            </w:pPr>
          </w:p>
          <w:p w:rsidR="00693512" w:rsidRPr="004A079E" w:rsidRDefault="00693512" w:rsidP="00693512">
            <w:pPr>
              <w:jc w:val="both"/>
              <w:rPr>
                <w:color w:val="000000"/>
                <w:sz w:val="20"/>
                <w:lang w:val="fr-CA"/>
              </w:rPr>
            </w:pPr>
            <w:r w:rsidRPr="004A079E">
              <w:rPr>
                <w:color w:val="000000"/>
                <w:sz w:val="20"/>
                <w:lang w:val="fr-CA"/>
              </w:rPr>
              <w:t>La Cour supérieure de justice de l’Ontario a conclu que les pertes des demanderesses étaient couvertes par la police. Selon elle, l’exclusion relative à la corrosion ne s’appliquait pas à la corrosion imprévue et fortuite et, si elle appliquait, l’exception pour dommage physique devrait être interprétée pour viser la perte financière causée par l’incapacité d’utiliser les biens assurés, comme en l’espèce. Les demanderesses avaient donc le droit d’être indemnisées à la hauteur de la couverture pour l’élément temporel éventuel prévu par sa police d’un montant de 25 000 000 $ US, plus l’intérêt avant jugement au taux réel d’emprunt. La Cour d’appel de l’Ontario a accueilli l’appel, annulé la décision de la cour d’instance inférieure et refusé de donner effet à la police.</w:t>
            </w:r>
          </w:p>
        </w:tc>
      </w:tr>
      <w:tr w:rsidR="00693512" w:rsidRPr="004A079E" w:rsidTr="00E95A6A">
        <w:tc>
          <w:tcPr>
            <w:tcW w:w="5000" w:type="pct"/>
            <w:gridSpan w:val="4"/>
          </w:tcPr>
          <w:p w:rsidR="00693512" w:rsidRPr="004A079E" w:rsidRDefault="00693512" w:rsidP="00693512">
            <w:pPr>
              <w:jc w:val="both"/>
              <w:rPr>
                <w:sz w:val="20"/>
                <w:lang w:val="fr-CA"/>
              </w:rPr>
            </w:pPr>
          </w:p>
        </w:tc>
      </w:tr>
      <w:tr w:rsidR="00693512" w:rsidRPr="004A079E" w:rsidTr="00E95A6A">
        <w:tc>
          <w:tcPr>
            <w:tcW w:w="2427" w:type="pct"/>
            <w:gridSpan w:val="2"/>
          </w:tcPr>
          <w:p w:rsidR="00693512" w:rsidRPr="004A079E" w:rsidRDefault="00693512" w:rsidP="00693512">
            <w:pPr>
              <w:jc w:val="both"/>
              <w:rPr>
                <w:sz w:val="20"/>
                <w:lang w:val="fr-CA"/>
              </w:rPr>
            </w:pPr>
            <w:r w:rsidRPr="004A079E">
              <w:rPr>
                <w:sz w:val="20"/>
                <w:lang w:val="fr-CA"/>
              </w:rPr>
              <w:t>9 septembre 2020</w:t>
            </w:r>
          </w:p>
          <w:p w:rsidR="00693512" w:rsidRPr="004A079E" w:rsidRDefault="00693512" w:rsidP="00693512">
            <w:pPr>
              <w:jc w:val="both"/>
              <w:rPr>
                <w:sz w:val="20"/>
                <w:lang w:val="fr-CA"/>
              </w:rPr>
            </w:pPr>
            <w:r w:rsidRPr="004A079E">
              <w:rPr>
                <w:sz w:val="20"/>
                <w:lang w:val="fr-CA"/>
              </w:rPr>
              <w:t>Cour supérieure de justice de l’Ontario</w:t>
            </w:r>
          </w:p>
          <w:p w:rsidR="00693512" w:rsidRPr="004A079E" w:rsidRDefault="00693512" w:rsidP="00693512">
            <w:pPr>
              <w:jc w:val="both"/>
              <w:rPr>
                <w:sz w:val="20"/>
              </w:rPr>
            </w:pPr>
            <w:r w:rsidRPr="004A079E">
              <w:rPr>
                <w:sz w:val="20"/>
              </w:rPr>
              <w:t>(Juge Wilson)</w:t>
            </w:r>
          </w:p>
          <w:p w:rsidR="00693512" w:rsidRPr="004A079E" w:rsidRDefault="004A079E" w:rsidP="00693512">
            <w:pPr>
              <w:jc w:val="both"/>
              <w:rPr>
                <w:sz w:val="20"/>
              </w:rPr>
            </w:pPr>
            <w:hyperlink r:id="rId20" w:history="1">
              <w:r w:rsidR="00693512" w:rsidRPr="004A079E">
                <w:rPr>
                  <w:rStyle w:val="Hyperlink"/>
                  <w:sz w:val="20"/>
                </w:rPr>
                <w:t>2020 ONSC 1924</w:t>
              </w:r>
            </w:hyperlink>
            <w:r w:rsidR="00693512" w:rsidRPr="004A079E">
              <w:rPr>
                <w:sz w:val="20"/>
              </w:rPr>
              <w:t xml:space="preserve">; </w:t>
            </w:r>
            <w:hyperlink r:id="rId21" w:history="1">
              <w:r w:rsidR="00693512" w:rsidRPr="004A079E">
                <w:rPr>
                  <w:rStyle w:val="Hyperlink"/>
                  <w:sz w:val="20"/>
                </w:rPr>
                <w:t>2020 ONSC 4464</w:t>
              </w:r>
            </w:hyperlink>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lang w:val="fr-CA"/>
              </w:rPr>
            </w:pPr>
            <w:r w:rsidRPr="004A079E">
              <w:rPr>
                <w:sz w:val="20"/>
                <w:lang w:val="fr-CA"/>
              </w:rPr>
              <w:t xml:space="preserve">Droit d’être indemnisées à la hauteur de </w:t>
            </w:r>
            <w:r w:rsidRPr="004A079E">
              <w:rPr>
                <w:color w:val="000000"/>
                <w:sz w:val="20"/>
                <w:lang w:val="fr-CA"/>
              </w:rPr>
              <w:t>la couverture pour l’élément temporel éventuel prévu par leur police conclue avec l’intimée d’un montant de 25 000 000 $ US reconnu aux demanderesses</w:t>
            </w:r>
          </w:p>
          <w:p w:rsidR="00693512" w:rsidRPr="004A079E" w:rsidRDefault="00693512" w:rsidP="00693512">
            <w:pPr>
              <w:jc w:val="both"/>
              <w:rPr>
                <w:sz w:val="20"/>
                <w:lang w:val="fr-CA"/>
              </w:rPr>
            </w:pPr>
          </w:p>
        </w:tc>
      </w:tr>
      <w:tr w:rsidR="00693512" w:rsidRPr="004A079E" w:rsidTr="00E95A6A">
        <w:tc>
          <w:tcPr>
            <w:tcW w:w="2427" w:type="pct"/>
            <w:gridSpan w:val="2"/>
          </w:tcPr>
          <w:p w:rsidR="00693512" w:rsidRPr="004A079E" w:rsidRDefault="00693512" w:rsidP="00693512">
            <w:pPr>
              <w:jc w:val="both"/>
              <w:rPr>
                <w:sz w:val="20"/>
                <w:lang w:val="fr-CA"/>
              </w:rPr>
            </w:pPr>
            <w:r w:rsidRPr="004A079E">
              <w:rPr>
                <w:sz w:val="20"/>
                <w:lang w:val="fr-CA"/>
              </w:rPr>
              <w:t>3 septembre 2021</w:t>
            </w:r>
          </w:p>
          <w:p w:rsidR="00693512" w:rsidRPr="004A079E" w:rsidRDefault="00693512" w:rsidP="00693512">
            <w:pPr>
              <w:jc w:val="both"/>
              <w:rPr>
                <w:sz w:val="20"/>
                <w:lang w:val="fr-CA"/>
              </w:rPr>
            </w:pPr>
            <w:r w:rsidRPr="004A079E">
              <w:rPr>
                <w:sz w:val="20"/>
                <w:lang w:val="fr-CA"/>
              </w:rPr>
              <w:t>Cour d’appel de l’Ontario</w:t>
            </w:r>
          </w:p>
          <w:p w:rsidR="00693512" w:rsidRPr="004A079E" w:rsidRDefault="00693512" w:rsidP="00693512">
            <w:pPr>
              <w:jc w:val="both"/>
              <w:rPr>
                <w:sz w:val="20"/>
                <w:lang w:val="fr-CA"/>
              </w:rPr>
            </w:pPr>
            <w:r w:rsidRPr="004A079E">
              <w:rPr>
                <w:sz w:val="20"/>
                <w:lang w:val="fr-CA"/>
              </w:rPr>
              <w:t>(Les juges Feldman, Harvison Young et Thorburn)</w:t>
            </w:r>
          </w:p>
          <w:p w:rsidR="00693512" w:rsidRPr="004A079E" w:rsidRDefault="004A079E" w:rsidP="00693512">
            <w:pPr>
              <w:jc w:val="both"/>
              <w:rPr>
                <w:sz w:val="20"/>
              </w:rPr>
            </w:pPr>
            <w:hyperlink r:id="rId22" w:history="1">
              <w:r w:rsidR="00693512" w:rsidRPr="004A079E">
                <w:rPr>
                  <w:rStyle w:val="Hyperlink"/>
                  <w:sz w:val="20"/>
                </w:rPr>
                <w:t>2021 ONCA 594</w:t>
              </w:r>
            </w:hyperlink>
            <w:r w:rsidR="00693512" w:rsidRPr="004A079E">
              <w:rPr>
                <w:sz w:val="20"/>
              </w:rPr>
              <w:t>; C68300</w:t>
            </w:r>
          </w:p>
          <w:p w:rsidR="00693512" w:rsidRPr="004A079E" w:rsidRDefault="00693512" w:rsidP="00693512">
            <w:pPr>
              <w:jc w:val="both"/>
              <w:rPr>
                <w:sz w:val="20"/>
              </w:rPr>
            </w:pP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lang w:val="fr-CA"/>
              </w:rPr>
            </w:pPr>
            <w:r w:rsidRPr="004A079E">
              <w:rPr>
                <w:sz w:val="20"/>
                <w:lang w:val="fr-CA"/>
              </w:rPr>
              <w:t>Appel accueilli et décision de la cour d’instance inférieure annulée</w:t>
            </w:r>
          </w:p>
          <w:p w:rsidR="00693512" w:rsidRPr="004A079E" w:rsidRDefault="00693512" w:rsidP="00693512">
            <w:pPr>
              <w:jc w:val="both"/>
              <w:rPr>
                <w:sz w:val="20"/>
                <w:lang w:val="fr-CA"/>
              </w:rPr>
            </w:pPr>
          </w:p>
        </w:tc>
      </w:tr>
      <w:tr w:rsidR="00693512" w:rsidRPr="004A079E" w:rsidTr="00E95A6A">
        <w:tc>
          <w:tcPr>
            <w:tcW w:w="2427" w:type="pct"/>
            <w:gridSpan w:val="2"/>
          </w:tcPr>
          <w:p w:rsidR="00693512" w:rsidRPr="004A079E" w:rsidRDefault="00693512" w:rsidP="00693512">
            <w:pPr>
              <w:jc w:val="both"/>
              <w:rPr>
                <w:sz w:val="20"/>
                <w:lang w:val="fr-CA"/>
              </w:rPr>
            </w:pPr>
            <w:r w:rsidRPr="004A079E">
              <w:rPr>
                <w:sz w:val="20"/>
                <w:lang w:val="fr-CA"/>
              </w:rPr>
              <w:lastRenderedPageBreak/>
              <w:t>22 octobre 2021</w:t>
            </w:r>
          </w:p>
          <w:p w:rsidR="00693512" w:rsidRPr="004A079E" w:rsidRDefault="00693512" w:rsidP="00693512">
            <w:pPr>
              <w:jc w:val="both"/>
              <w:rPr>
                <w:sz w:val="20"/>
                <w:lang w:val="fr-CA"/>
              </w:rPr>
            </w:pPr>
            <w:r w:rsidRPr="004A079E">
              <w:rPr>
                <w:sz w:val="20"/>
                <w:lang w:val="fr-CA"/>
              </w:rPr>
              <w:t>Cour suprême du Canada</w:t>
            </w:r>
          </w:p>
        </w:tc>
        <w:tc>
          <w:tcPr>
            <w:tcW w:w="243" w:type="pct"/>
          </w:tcPr>
          <w:p w:rsidR="00693512" w:rsidRPr="004A079E" w:rsidRDefault="00693512" w:rsidP="00693512">
            <w:pPr>
              <w:jc w:val="both"/>
              <w:rPr>
                <w:sz w:val="20"/>
                <w:lang w:val="fr-CA"/>
              </w:rPr>
            </w:pPr>
          </w:p>
        </w:tc>
        <w:tc>
          <w:tcPr>
            <w:tcW w:w="2330" w:type="pct"/>
          </w:tcPr>
          <w:p w:rsidR="00693512" w:rsidRPr="004A079E" w:rsidRDefault="00693512" w:rsidP="00693512">
            <w:pPr>
              <w:jc w:val="both"/>
              <w:rPr>
                <w:sz w:val="20"/>
              </w:rPr>
            </w:pPr>
            <w:r w:rsidRPr="004A079E">
              <w:rPr>
                <w:sz w:val="20"/>
              </w:rPr>
              <w:t>Demande d’autorisation d’appel déposée</w:t>
            </w:r>
          </w:p>
        </w:tc>
      </w:tr>
    </w:tbl>
    <w:p w:rsidR="00693512" w:rsidRPr="004A079E" w:rsidRDefault="00693512" w:rsidP="00693512">
      <w:pPr>
        <w:jc w:val="both"/>
        <w:rPr>
          <w:sz w:val="20"/>
        </w:rPr>
      </w:pPr>
    </w:p>
    <w:p w:rsidR="00693512" w:rsidRPr="004A079E" w:rsidRDefault="004A079E" w:rsidP="00693512">
      <w:pPr>
        <w:jc w:val="both"/>
        <w:rPr>
          <w:sz w:val="20"/>
          <w:lang w:val="fr-CA"/>
        </w:rPr>
      </w:pPr>
      <w:r w:rsidRPr="004A079E">
        <w:rPr>
          <w:sz w:val="20"/>
        </w:rPr>
        <w:pict>
          <v:rect id="_x0000_i1030" style="width:2in;height:1pt" o:hrpct="0" o:hralign="center" o:hrstd="t" o:hrnoshade="t" o:hr="t" fillcolor="black [3213]" stroked="f"/>
        </w:pict>
      </w:r>
    </w:p>
    <w:p w:rsidR="0001473D" w:rsidRPr="004A079E" w:rsidRDefault="0001473D" w:rsidP="0069351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93512" w:rsidRPr="004A079E" w:rsidTr="00E95A6A">
        <w:tc>
          <w:tcPr>
            <w:tcW w:w="543" w:type="pct"/>
          </w:tcPr>
          <w:p w:rsidR="00693512" w:rsidRPr="004A079E" w:rsidRDefault="00693512" w:rsidP="00693512">
            <w:pPr>
              <w:jc w:val="both"/>
              <w:rPr>
                <w:sz w:val="20"/>
              </w:rPr>
            </w:pPr>
            <w:r w:rsidRPr="004A079E">
              <w:rPr>
                <w:rStyle w:val="SCCFileNumberChar"/>
                <w:sz w:val="20"/>
                <w:szCs w:val="20"/>
              </w:rPr>
              <w:t>39894</w:t>
            </w:r>
          </w:p>
        </w:tc>
        <w:tc>
          <w:tcPr>
            <w:tcW w:w="4457" w:type="pct"/>
            <w:gridSpan w:val="3"/>
          </w:tcPr>
          <w:p w:rsidR="00693512" w:rsidRPr="004A079E" w:rsidRDefault="00693512" w:rsidP="00693512">
            <w:pPr>
              <w:pStyle w:val="SCCLsocParty"/>
              <w:jc w:val="both"/>
              <w:rPr>
                <w:b/>
                <w:sz w:val="20"/>
                <w:szCs w:val="20"/>
                <w:lang w:val="en-US"/>
              </w:rPr>
            </w:pPr>
            <w:r w:rsidRPr="004A079E">
              <w:rPr>
                <w:b/>
                <w:sz w:val="20"/>
                <w:szCs w:val="20"/>
                <w:lang w:val="en-US"/>
              </w:rPr>
              <w:t>Robert Ian Histed v. Law Society of Manitoba</w:t>
            </w:r>
          </w:p>
          <w:p w:rsidR="00693512" w:rsidRPr="004A079E" w:rsidRDefault="00693512" w:rsidP="00693512">
            <w:pPr>
              <w:jc w:val="both"/>
              <w:rPr>
                <w:sz w:val="20"/>
              </w:rPr>
            </w:pPr>
            <w:r w:rsidRPr="004A079E">
              <w:rPr>
                <w:sz w:val="20"/>
              </w:rPr>
              <w:t>(Man.) (Civil) (By Leave)</w:t>
            </w:r>
          </w:p>
        </w:tc>
      </w:tr>
      <w:tr w:rsidR="00693512" w:rsidRPr="004A079E" w:rsidTr="00E95A6A">
        <w:tc>
          <w:tcPr>
            <w:tcW w:w="5000" w:type="pct"/>
            <w:gridSpan w:val="4"/>
          </w:tcPr>
          <w:p w:rsidR="00693512" w:rsidRPr="004A079E" w:rsidRDefault="00693512" w:rsidP="00693512">
            <w:pPr>
              <w:pStyle w:val="SCCBanSummary"/>
              <w:rPr>
                <w:sz w:val="20"/>
                <w:szCs w:val="20"/>
              </w:rPr>
            </w:pPr>
            <w:r w:rsidRPr="004A079E">
              <w:rPr>
                <w:sz w:val="20"/>
                <w:szCs w:val="20"/>
              </w:rPr>
              <w:t>(Sealing order)</w:t>
            </w:r>
          </w:p>
          <w:p w:rsidR="00693512" w:rsidRPr="004A079E" w:rsidRDefault="00693512" w:rsidP="00693512">
            <w:pPr>
              <w:jc w:val="both"/>
              <w:rPr>
                <w:sz w:val="20"/>
              </w:rPr>
            </w:pPr>
          </w:p>
          <w:p w:rsidR="00693512" w:rsidRPr="004A079E" w:rsidRDefault="00693512" w:rsidP="00693512">
            <w:pPr>
              <w:jc w:val="both"/>
              <w:rPr>
                <w:sz w:val="20"/>
              </w:rPr>
            </w:pPr>
            <w:r w:rsidRPr="004A079E">
              <w:rPr>
                <w:sz w:val="20"/>
              </w:rPr>
              <w:t xml:space="preserve">Law of professions — Discipline — Barristers and solicitors — Law Society bringing disciplinary proceedings against lawyer based on lawyer’s allegations of prosecutorial misconduct against Crown counsel — Lawyer found guilty of professional misconduct by disciplinary tribunal — Whether a lawyer’s in court professional conduct is to be measured against the standard of reasonableness or correctness — Whether and the extent to which the law society’s power to punish a lawyer for incivility in defence of his client is subject to the rights and freedoms guaranteed to both lawyer and client under the </w:t>
            </w:r>
            <w:r w:rsidRPr="004A079E">
              <w:rPr>
                <w:i/>
                <w:sz w:val="20"/>
              </w:rPr>
              <w:t>Charter</w:t>
            </w:r>
            <w:r w:rsidRPr="004A079E">
              <w:rPr>
                <w:sz w:val="20"/>
              </w:rPr>
              <w:t xml:space="preserve"> — Whether it is an abuse of process, and a denial of an accused’s right to make full answer and defence, for the law society to collaterally attack ongoing criminal proceedings before the courts by harassing their lawyers with citations — Whether palpable errors of fact overrode the discipline panel’s findings of misconduct and led to the wrong result — Whether it is error in law for the law society to pronounce a lawyer’s speech to be professional misconduct without troubling to give reasons.</w:t>
            </w:r>
          </w:p>
        </w:tc>
      </w:tr>
      <w:tr w:rsidR="00693512" w:rsidRPr="004A079E" w:rsidTr="00E95A6A">
        <w:tc>
          <w:tcPr>
            <w:tcW w:w="5000" w:type="pct"/>
            <w:gridSpan w:val="4"/>
          </w:tcPr>
          <w:p w:rsidR="00693512" w:rsidRPr="004A079E" w:rsidRDefault="00693512" w:rsidP="00693512">
            <w:pPr>
              <w:jc w:val="both"/>
              <w:rPr>
                <w:sz w:val="20"/>
              </w:rPr>
            </w:pPr>
          </w:p>
        </w:tc>
      </w:tr>
      <w:tr w:rsidR="00693512" w:rsidRPr="004A079E" w:rsidTr="00E95A6A">
        <w:tc>
          <w:tcPr>
            <w:tcW w:w="5000" w:type="pct"/>
            <w:gridSpan w:val="4"/>
          </w:tcPr>
          <w:p w:rsidR="00693512" w:rsidRPr="004A079E" w:rsidRDefault="00693512" w:rsidP="00693512">
            <w:pPr>
              <w:jc w:val="both"/>
              <w:rPr>
                <w:sz w:val="20"/>
              </w:rPr>
            </w:pPr>
            <w:r w:rsidRPr="004A079E">
              <w:rPr>
                <w:sz w:val="20"/>
              </w:rPr>
              <w:t>The applicant is a lawyer who was charged with four counts of professional misconduct by the respondent, Law Society of Manitoba (“law society”), including failure to be courteous and civil and to act in good faith towards persons with whom he had dealings. The charges related to the applicant’s allegations of prosecutorial misconduct about a Crown attorney and the Assistant Deputy Attorney General (“Crown counsel”). The applicant’s allegations were made in correspondence with Crown counsel and the law society, and in court documents and oral submissions in the course of the applicant’s representation of a client. The discipline panel of the law society found that the applicant embellished and misrepresented his communications with the Crown and that he did not have adequate evidentiary basis for his claims against Crown counsel. It determined he breached his duty of civility, his duty to his client, and his duty to the court by misrepresenting facts in his briefs and oral argument. The Court of Appeal dismissed the applicant’s appeal.</w:t>
            </w:r>
          </w:p>
          <w:p w:rsidR="00693512" w:rsidRPr="004A079E" w:rsidRDefault="00693512" w:rsidP="00693512">
            <w:pPr>
              <w:jc w:val="both"/>
              <w:rPr>
                <w:sz w:val="20"/>
              </w:rPr>
            </w:pPr>
          </w:p>
        </w:tc>
      </w:tr>
      <w:tr w:rsidR="00693512" w:rsidRPr="004A079E" w:rsidTr="00E95A6A">
        <w:tc>
          <w:tcPr>
            <w:tcW w:w="2427" w:type="pct"/>
            <w:gridSpan w:val="2"/>
          </w:tcPr>
          <w:p w:rsidR="00693512" w:rsidRPr="004A079E" w:rsidRDefault="00693512" w:rsidP="00693512">
            <w:pPr>
              <w:jc w:val="both"/>
              <w:rPr>
                <w:sz w:val="20"/>
              </w:rPr>
            </w:pPr>
            <w:r w:rsidRPr="004A079E">
              <w:rPr>
                <w:sz w:val="20"/>
              </w:rPr>
              <w:t>December 13, 2019</w:t>
            </w:r>
          </w:p>
          <w:p w:rsidR="00693512" w:rsidRPr="004A079E" w:rsidRDefault="00693512" w:rsidP="00693512">
            <w:pPr>
              <w:jc w:val="both"/>
              <w:rPr>
                <w:sz w:val="20"/>
              </w:rPr>
            </w:pPr>
            <w:r w:rsidRPr="004A079E">
              <w:rPr>
                <w:sz w:val="20"/>
              </w:rPr>
              <w:t>Law Society of Manitoba</w:t>
            </w:r>
          </w:p>
          <w:p w:rsidR="00693512" w:rsidRPr="004A079E" w:rsidRDefault="00693512" w:rsidP="00693512">
            <w:pPr>
              <w:jc w:val="both"/>
              <w:rPr>
                <w:sz w:val="20"/>
              </w:rPr>
            </w:pPr>
            <w:r w:rsidRPr="004A079E">
              <w:rPr>
                <w:sz w:val="20"/>
              </w:rPr>
              <w:t>(Jacob P. Jansen, chair, and Richard Buchwald and Lynne McCarthy, discipline hearing panel)</w:t>
            </w:r>
          </w:p>
          <w:p w:rsidR="00693512" w:rsidRPr="004A079E" w:rsidRDefault="004A079E" w:rsidP="00693512">
            <w:pPr>
              <w:jc w:val="both"/>
              <w:rPr>
                <w:color w:val="000000"/>
                <w:sz w:val="20"/>
              </w:rPr>
            </w:pPr>
            <w:hyperlink r:id="rId23" w:history="1">
              <w:r w:rsidR="00693512" w:rsidRPr="004A079E">
                <w:rPr>
                  <w:rStyle w:val="Hyperlink"/>
                  <w:sz w:val="20"/>
                </w:rPr>
                <w:t>2019 MBLS 13</w:t>
              </w:r>
            </w:hyperlink>
          </w:p>
          <w:p w:rsidR="00693512" w:rsidRPr="004A079E" w:rsidRDefault="00693512" w:rsidP="00693512">
            <w:pPr>
              <w:jc w:val="both"/>
              <w:rPr>
                <w:sz w:val="20"/>
              </w:rPr>
            </w:pP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rPr>
            </w:pPr>
            <w:r w:rsidRPr="004A079E">
              <w:rPr>
                <w:sz w:val="20"/>
              </w:rPr>
              <w:t>Applicant convicted of four counts of professional misconduct</w:t>
            </w:r>
          </w:p>
          <w:p w:rsidR="00693512" w:rsidRPr="004A079E" w:rsidRDefault="00693512" w:rsidP="00693512">
            <w:pPr>
              <w:jc w:val="both"/>
              <w:rPr>
                <w:sz w:val="20"/>
              </w:rPr>
            </w:pPr>
          </w:p>
        </w:tc>
      </w:tr>
      <w:tr w:rsidR="00693512" w:rsidRPr="004A079E" w:rsidTr="00E95A6A">
        <w:tc>
          <w:tcPr>
            <w:tcW w:w="2427" w:type="pct"/>
            <w:gridSpan w:val="2"/>
          </w:tcPr>
          <w:p w:rsidR="00693512" w:rsidRPr="004A079E" w:rsidRDefault="00693512" w:rsidP="00693512">
            <w:pPr>
              <w:jc w:val="both"/>
              <w:rPr>
                <w:sz w:val="20"/>
              </w:rPr>
            </w:pPr>
            <w:r w:rsidRPr="004A079E">
              <w:rPr>
                <w:sz w:val="20"/>
              </w:rPr>
              <w:t>August 12, 2021</w:t>
            </w:r>
          </w:p>
          <w:p w:rsidR="00693512" w:rsidRPr="004A079E" w:rsidRDefault="00693512" w:rsidP="00693512">
            <w:pPr>
              <w:jc w:val="both"/>
              <w:rPr>
                <w:sz w:val="20"/>
              </w:rPr>
            </w:pPr>
            <w:r w:rsidRPr="004A079E">
              <w:rPr>
                <w:sz w:val="20"/>
              </w:rPr>
              <w:t>Court of Appeal of Manitoba</w:t>
            </w:r>
          </w:p>
          <w:p w:rsidR="00693512" w:rsidRPr="004A079E" w:rsidRDefault="00693512" w:rsidP="00693512">
            <w:pPr>
              <w:jc w:val="both"/>
              <w:rPr>
                <w:sz w:val="20"/>
              </w:rPr>
            </w:pPr>
            <w:r w:rsidRPr="004A079E">
              <w:rPr>
                <w:sz w:val="20"/>
              </w:rPr>
              <w:t>(Chartier C.J. and Mainella and Spivak JJ.A.) (</w:t>
            </w:r>
            <w:proofErr w:type="gramStart"/>
            <w:r w:rsidRPr="004A079E">
              <w:rPr>
                <w:sz w:val="20"/>
              </w:rPr>
              <w:t>file</w:t>
            </w:r>
            <w:proofErr w:type="gramEnd"/>
            <w:r w:rsidRPr="004A079E">
              <w:rPr>
                <w:sz w:val="20"/>
              </w:rPr>
              <w:t xml:space="preserve"> no. AI20</w:t>
            </w:r>
            <w:r w:rsidRPr="004A079E">
              <w:rPr>
                <w:sz w:val="20"/>
              </w:rPr>
              <w:noBreakHyphen/>
              <w:t>30</w:t>
            </w:r>
            <w:r w:rsidRPr="004A079E">
              <w:rPr>
                <w:sz w:val="20"/>
              </w:rPr>
              <w:noBreakHyphen/>
              <w:t>09454)</w:t>
            </w:r>
          </w:p>
          <w:p w:rsidR="00693512" w:rsidRPr="004A079E" w:rsidRDefault="004A079E" w:rsidP="00693512">
            <w:pPr>
              <w:jc w:val="both"/>
              <w:rPr>
                <w:sz w:val="20"/>
              </w:rPr>
            </w:pPr>
            <w:hyperlink r:id="rId24" w:history="1">
              <w:r w:rsidR="00693512" w:rsidRPr="004A079E">
                <w:rPr>
                  <w:rStyle w:val="Hyperlink"/>
                  <w:sz w:val="20"/>
                </w:rPr>
                <w:t>2021 MBCA 70</w:t>
              </w:r>
            </w:hyperlink>
            <w:r w:rsidR="00693512" w:rsidRPr="004A079E">
              <w:rPr>
                <w:sz w:val="20"/>
              </w:rPr>
              <w:t xml:space="preserve"> </w:t>
            </w:r>
          </w:p>
          <w:p w:rsidR="00693512" w:rsidRPr="004A079E" w:rsidRDefault="00693512" w:rsidP="00693512">
            <w:pPr>
              <w:jc w:val="both"/>
              <w:rPr>
                <w:sz w:val="20"/>
                <w:lang w:val="fr-CA"/>
              </w:rPr>
            </w:pPr>
          </w:p>
        </w:tc>
        <w:tc>
          <w:tcPr>
            <w:tcW w:w="243" w:type="pct"/>
          </w:tcPr>
          <w:p w:rsidR="00693512" w:rsidRPr="004A079E" w:rsidRDefault="00693512" w:rsidP="00693512">
            <w:pPr>
              <w:jc w:val="both"/>
              <w:rPr>
                <w:sz w:val="20"/>
                <w:lang w:val="fr-CA"/>
              </w:rPr>
            </w:pPr>
          </w:p>
        </w:tc>
        <w:tc>
          <w:tcPr>
            <w:tcW w:w="2330" w:type="pct"/>
          </w:tcPr>
          <w:p w:rsidR="00693512" w:rsidRPr="004A079E" w:rsidRDefault="00693512" w:rsidP="00693512">
            <w:pPr>
              <w:jc w:val="both"/>
              <w:rPr>
                <w:sz w:val="20"/>
              </w:rPr>
            </w:pPr>
            <w:r w:rsidRPr="004A079E">
              <w:rPr>
                <w:sz w:val="20"/>
              </w:rPr>
              <w:t xml:space="preserve">Appeal dismissed </w:t>
            </w:r>
          </w:p>
        </w:tc>
      </w:tr>
      <w:tr w:rsidR="00693512" w:rsidRPr="004A079E" w:rsidTr="00E95A6A">
        <w:tc>
          <w:tcPr>
            <w:tcW w:w="2427" w:type="pct"/>
            <w:gridSpan w:val="2"/>
          </w:tcPr>
          <w:p w:rsidR="00693512" w:rsidRPr="004A079E" w:rsidRDefault="00693512" w:rsidP="00693512">
            <w:pPr>
              <w:jc w:val="both"/>
              <w:rPr>
                <w:sz w:val="20"/>
              </w:rPr>
            </w:pPr>
            <w:r w:rsidRPr="004A079E">
              <w:rPr>
                <w:sz w:val="20"/>
              </w:rPr>
              <w:t>October 6, 2021</w:t>
            </w:r>
          </w:p>
          <w:p w:rsidR="00693512" w:rsidRPr="004A079E" w:rsidRDefault="00693512" w:rsidP="00693512">
            <w:pPr>
              <w:jc w:val="both"/>
              <w:rPr>
                <w:sz w:val="20"/>
              </w:rPr>
            </w:pPr>
            <w:r w:rsidRPr="004A079E">
              <w:rPr>
                <w:sz w:val="20"/>
              </w:rPr>
              <w:t>Supreme Court of Canada</w:t>
            </w: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rPr>
            </w:pPr>
            <w:r w:rsidRPr="004A079E">
              <w:rPr>
                <w:sz w:val="20"/>
              </w:rPr>
              <w:t>Application for leave to appeal filed</w:t>
            </w:r>
          </w:p>
          <w:p w:rsidR="00693512" w:rsidRPr="004A079E" w:rsidRDefault="00693512" w:rsidP="00693512">
            <w:pPr>
              <w:jc w:val="both"/>
              <w:rPr>
                <w:sz w:val="20"/>
              </w:rPr>
            </w:pPr>
          </w:p>
        </w:tc>
      </w:tr>
    </w:tbl>
    <w:p w:rsidR="00693512" w:rsidRPr="004A079E" w:rsidRDefault="00693512" w:rsidP="00693512">
      <w:pPr>
        <w:jc w:val="both"/>
        <w:rPr>
          <w:sz w:val="20"/>
        </w:rPr>
      </w:pPr>
    </w:p>
    <w:p w:rsidR="00693512" w:rsidRPr="004A079E" w:rsidRDefault="004A079E" w:rsidP="00693512">
      <w:pPr>
        <w:jc w:val="both"/>
        <w:rPr>
          <w:sz w:val="20"/>
        </w:rPr>
      </w:pPr>
      <w:r w:rsidRPr="004A079E">
        <w:rPr>
          <w:sz w:val="20"/>
        </w:rPr>
        <w:pict>
          <v:rect id="_x0000_i1031" style="width:2in;height:1pt" o:hrpct="0" o:hralign="center" o:hrstd="t" o:hrnoshade="t" o:hr="t" fillcolor="black [3213]" stroked="f"/>
        </w:pict>
      </w:r>
    </w:p>
    <w:p w:rsidR="00693512" w:rsidRPr="004A079E" w:rsidRDefault="00693512" w:rsidP="006935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93512" w:rsidRPr="004A079E" w:rsidTr="00E95A6A">
        <w:tc>
          <w:tcPr>
            <w:tcW w:w="543" w:type="pct"/>
          </w:tcPr>
          <w:p w:rsidR="00693512" w:rsidRPr="004A079E" w:rsidRDefault="00693512" w:rsidP="00693512">
            <w:pPr>
              <w:jc w:val="both"/>
              <w:rPr>
                <w:sz w:val="20"/>
              </w:rPr>
            </w:pPr>
            <w:r w:rsidRPr="004A079E">
              <w:rPr>
                <w:rStyle w:val="SCCFileNumberChar"/>
                <w:sz w:val="20"/>
                <w:szCs w:val="20"/>
              </w:rPr>
              <w:t>39894</w:t>
            </w:r>
          </w:p>
        </w:tc>
        <w:tc>
          <w:tcPr>
            <w:tcW w:w="4457" w:type="pct"/>
            <w:gridSpan w:val="3"/>
          </w:tcPr>
          <w:p w:rsidR="00693512" w:rsidRPr="004A079E" w:rsidRDefault="00693512" w:rsidP="00693512">
            <w:pPr>
              <w:pStyle w:val="SCCLsocParty"/>
              <w:jc w:val="both"/>
              <w:rPr>
                <w:b/>
                <w:sz w:val="20"/>
                <w:szCs w:val="20"/>
                <w:lang w:val="en-US"/>
              </w:rPr>
            </w:pPr>
            <w:r w:rsidRPr="004A079E">
              <w:rPr>
                <w:b/>
                <w:sz w:val="20"/>
                <w:szCs w:val="20"/>
                <w:lang w:val="en-US"/>
              </w:rPr>
              <w:t>Robert Ian Histed c. Law Society of Manitoba</w:t>
            </w:r>
          </w:p>
          <w:p w:rsidR="00693512" w:rsidRPr="004A079E" w:rsidRDefault="00693512" w:rsidP="00693512">
            <w:pPr>
              <w:jc w:val="both"/>
              <w:rPr>
                <w:sz w:val="20"/>
              </w:rPr>
            </w:pPr>
            <w:r w:rsidRPr="004A079E">
              <w:rPr>
                <w:sz w:val="20"/>
              </w:rPr>
              <w:t>(Man.) (Civile) (Sur autorisation)</w:t>
            </w:r>
          </w:p>
        </w:tc>
      </w:tr>
      <w:tr w:rsidR="00693512" w:rsidRPr="004A079E" w:rsidTr="00E95A6A">
        <w:tc>
          <w:tcPr>
            <w:tcW w:w="5000" w:type="pct"/>
            <w:gridSpan w:val="4"/>
          </w:tcPr>
          <w:p w:rsidR="00693512" w:rsidRPr="004A079E" w:rsidRDefault="00693512" w:rsidP="00693512">
            <w:pPr>
              <w:pStyle w:val="SCCBanSummary"/>
              <w:rPr>
                <w:sz w:val="20"/>
                <w:szCs w:val="20"/>
                <w:lang w:val="fr-CA"/>
              </w:rPr>
            </w:pPr>
            <w:r w:rsidRPr="004A079E">
              <w:rPr>
                <w:sz w:val="20"/>
                <w:szCs w:val="20"/>
                <w:lang w:val="fr-CA"/>
              </w:rPr>
              <w:t>(ordonnance de mise sous scellés)</w:t>
            </w:r>
          </w:p>
          <w:p w:rsidR="00693512" w:rsidRPr="004A079E" w:rsidRDefault="00693512" w:rsidP="00693512">
            <w:pPr>
              <w:jc w:val="both"/>
              <w:rPr>
                <w:sz w:val="20"/>
                <w:lang w:val="fr-CA"/>
              </w:rPr>
            </w:pPr>
          </w:p>
          <w:p w:rsidR="00693512" w:rsidRPr="004A079E" w:rsidRDefault="00693512" w:rsidP="00693512">
            <w:pPr>
              <w:jc w:val="both"/>
              <w:rPr>
                <w:sz w:val="20"/>
                <w:lang w:val="fr-CA"/>
              </w:rPr>
            </w:pPr>
            <w:r w:rsidRPr="004A079E">
              <w:rPr>
                <w:sz w:val="20"/>
                <w:lang w:val="fr-CA"/>
              </w:rPr>
              <w:t xml:space="preserve">Droit des professions — Discipline — Avocats et procureurs — Procédures disciplinaires intentées par le Barreau contre un avocat fondées sur les allégations d’inconduite qu’il a formulé contre un procureur de la Couronne — Avocat déclaré coupable de faute professionnelle par un tribunal disciplinaire — La conduite professionnelle d’un </w:t>
            </w:r>
            <w:r w:rsidRPr="004A079E">
              <w:rPr>
                <w:sz w:val="20"/>
                <w:lang w:val="fr-CA"/>
              </w:rPr>
              <w:lastRenderedPageBreak/>
              <w:t>avocat en cour doit</w:t>
            </w:r>
            <w:r w:rsidRPr="004A079E">
              <w:rPr>
                <w:sz w:val="20"/>
                <w:lang w:val="fr-CA"/>
              </w:rPr>
              <w:noBreakHyphen/>
              <w:t>elle être examinée en appliquant la norme de contrôle de la décision raisonnable ou celle de la décision correcte? — Le pouvoir du Barreau de sanctionner un avocat pour incivilité dans le cadre de la défense de son client est</w:t>
            </w:r>
            <w:r w:rsidRPr="004A079E">
              <w:rPr>
                <w:sz w:val="20"/>
                <w:lang w:val="fr-CA"/>
              </w:rPr>
              <w:noBreakHyphen/>
              <w:t xml:space="preserve">il assujetti aux droits et libertés garantis tant à l’avocat qu’à son client par la </w:t>
            </w:r>
            <w:r w:rsidRPr="004A079E">
              <w:rPr>
                <w:i/>
                <w:sz w:val="20"/>
                <w:lang w:val="fr-CA"/>
              </w:rPr>
              <w:t>Charte</w:t>
            </w:r>
            <w:r w:rsidRPr="004A079E">
              <w:rPr>
                <w:sz w:val="20"/>
                <w:lang w:val="fr-CA"/>
              </w:rPr>
              <w:t xml:space="preserve"> et, le cas échéant, dans quelle mesure? — Le fait pour un barreau de mener une attaque collatérale de procédures criminelles en cours devant les tribunaux en harcelant un avocat avec des citations à comparaître constitue</w:t>
            </w:r>
            <w:r w:rsidRPr="004A079E">
              <w:rPr>
                <w:sz w:val="20"/>
                <w:lang w:val="fr-CA"/>
              </w:rPr>
              <w:noBreakHyphen/>
              <w:t>t</w:t>
            </w:r>
            <w:r w:rsidRPr="004A079E">
              <w:rPr>
                <w:sz w:val="20"/>
                <w:lang w:val="fr-CA"/>
              </w:rPr>
              <w:noBreakHyphen/>
              <w:t>il un abus de procédure et un déni du droit de l’accusé défendu par l’avocat à une défense pleine et entière? — Des erreurs de fait manifestes ont</w:t>
            </w:r>
            <w:r w:rsidRPr="004A079E">
              <w:rPr>
                <w:sz w:val="20"/>
                <w:lang w:val="fr-CA"/>
              </w:rPr>
              <w:noBreakHyphen/>
              <w:t>elles invalidé les conclusions d’inconduite du comité disciplinaire et donné lieu à un résultat erroné? — Le fait pour le barreau de qualifier la parole d’un avocat de faute professionnelle sans se donner la peine de motiver sa décision constitue</w:t>
            </w:r>
            <w:r w:rsidRPr="004A079E">
              <w:rPr>
                <w:sz w:val="20"/>
                <w:lang w:val="fr-CA"/>
              </w:rPr>
              <w:noBreakHyphen/>
              <w:t>t</w:t>
            </w:r>
            <w:r w:rsidRPr="004A079E">
              <w:rPr>
                <w:sz w:val="20"/>
                <w:lang w:val="fr-CA"/>
              </w:rPr>
              <w:noBreakHyphen/>
              <w:t>il une erreur de droit?</w:t>
            </w:r>
          </w:p>
          <w:p w:rsidR="00693512" w:rsidRPr="004A079E" w:rsidRDefault="00693512" w:rsidP="00693512">
            <w:pPr>
              <w:jc w:val="both"/>
              <w:rPr>
                <w:sz w:val="20"/>
                <w:lang w:val="fr-CA"/>
              </w:rPr>
            </w:pPr>
          </w:p>
          <w:p w:rsidR="00693512" w:rsidRPr="004A079E" w:rsidRDefault="00693512" w:rsidP="00693512">
            <w:pPr>
              <w:jc w:val="both"/>
              <w:rPr>
                <w:sz w:val="20"/>
                <w:lang w:val="fr-CA"/>
              </w:rPr>
            </w:pPr>
            <w:r w:rsidRPr="004A079E">
              <w:rPr>
                <w:sz w:val="20"/>
                <w:lang w:val="fr-CA"/>
              </w:rPr>
              <w:t>Le demandeur, un avocat, a été accusé de quatre chefs de faute professionnelle par l’intimée, la Société du Barreau du Manitoba (« Barreau »), soit notamment d’avoir manqué de courtoisie et de civilité envers les personnes avec qui il traitait et de ne pas avoir agi de bonne foi à leur égard. Les accusations portaient sur les allégations formulées par le demandeur d’inconduite professionnelle du poursuivant relativement à un avocat de la Couronne et au sous</w:t>
            </w:r>
            <w:r w:rsidRPr="004A079E">
              <w:rPr>
                <w:sz w:val="20"/>
                <w:lang w:val="fr-CA"/>
              </w:rPr>
              <w:noBreakHyphen/>
              <w:t xml:space="preserve">procureur général adjoint (« avocat de la Couronne »). Les allégations du demandeur ont été formulées dans de la correspondance avec l’avocat de la Couronne et le Barreau, ainsi que dans des documents judiciaires et durant des plaidoiries orales faites dans le cadre de la représentation d’un de ses clients. Le comité disciplinaire du Barreau a conclu que le demandeur a embelli et faussement relaté ses communications avec la Couronne et que ses allégations contre l’avocat de la Couronne n’étaient pas suffisamment fondées par les éléments de preuve qu’il a présentés. Le comité a jugé qu’il avait contrevenu à son devoir de civilité, à son obligation envers son client, ainsi qu’à son devoir envers la cour en relatant faussement les faits dans ses mémoires et dans sa plaidoirie orale. La Cour d’appel a rejeté l’appel du demandeur. </w:t>
            </w:r>
          </w:p>
        </w:tc>
      </w:tr>
      <w:tr w:rsidR="00693512" w:rsidRPr="004A079E" w:rsidTr="00E95A6A">
        <w:tc>
          <w:tcPr>
            <w:tcW w:w="5000" w:type="pct"/>
            <w:gridSpan w:val="4"/>
          </w:tcPr>
          <w:p w:rsidR="00693512" w:rsidRPr="004A079E" w:rsidRDefault="00693512" w:rsidP="00693512">
            <w:pPr>
              <w:jc w:val="both"/>
              <w:rPr>
                <w:sz w:val="20"/>
                <w:lang w:val="fr-CA"/>
              </w:rPr>
            </w:pPr>
          </w:p>
        </w:tc>
      </w:tr>
      <w:tr w:rsidR="00693512" w:rsidRPr="004A079E" w:rsidTr="00E95A6A">
        <w:tc>
          <w:tcPr>
            <w:tcW w:w="2427" w:type="pct"/>
            <w:gridSpan w:val="2"/>
          </w:tcPr>
          <w:p w:rsidR="00693512" w:rsidRPr="004A079E" w:rsidRDefault="00693512" w:rsidP="00693512">
            <w:pPr>
              <w:jc w:val="both"/>
              <w:rPr>
                <w:sz w:val="20"/>
                <w:lang w:val="fr-CA"/>
              </w:rPr>
            </w:pPr>
            <w:r w:rsidRPr="004A079E">
              <w:rPr>
                <w:sz w:val="20"/>
                <w:lang w:val="fr-CA"/>
              </w:rPr>
              <w:t>13 décembre 2019</w:t>
            </w:r>
          </w:p>
          <w:p w:rsidR="00693512" w:rsidRPr="004A079E" w:rsidRDefault="00693512" w:rsidP="00693512">
            <w:pPr>
              <w:jc w:val="both"/>
              <w:rPr>
                <w:sz w:val="20"/>
                <w:lang w:val="fr-CA"/>
              </w:rPr>
            </w:pPr>
            <w:r w:rsidRPr="004A079E">
              <w:rPr>
                <w:sz w:val="20"/>
                <w:lang w:val="fr-CA"/>
              </w:rPr>
              <w:t>La Société du Barreau du Manitoba</w:t>
            </w:r>
          </w:p>
          <w:p w:rsidR="00693512" w:rsidRPr="004A079E" w:rsidRDefault="00693512" w:rsidP="00693512">
            <w:pPr>
              <w:jc w:val="both"/>
              <w:rPr>
                <w:sz w:val="20"/>
                <w:lang w:val="fr-CA"/>
              </w:rPr>
            </w:pPr>
            <w:r w:rsidRPr="004A079E">
              <w:rPr>
                <w:sz w:val="20"/>
                <w:lang w:val="fr-CA"/>
              </w:rPr>
              <w:t>(Jacob P. Jansen, président, et Richard Buchwald et Lynne McCarthy, membres du comité disciplinaire)</w:t>
            </w:r>
          </w:p>
          <w:p w:rsidR="00693512" w:rsidRPr="004A079E" w:rsidRDefault="004A079E" w:rsidP="00693512">
            <w:pPr>
              <w:jc w:val="both"/>
              <w:rPr>
                <w:color w:val="000000"/>
                <w:sz w:val="20"/>
                <w:lang w:val="fr-CA"/>
              </w:rPr>
            </w:pPr>
            <w:hyperlink r:id="rId25" w:history="1">
              <w:r w:rsidR="00693512" w:rsidRPr="004A079E">
                <w:rPr>
                  <w:rStyle w:val="Hyperlink"/>
                  <w:sz w:val="20"/>
                  <w:lang w:val="fr-CA"/>
                </w:rPr>
                <w:t>2019 MBLS 13</w:t>
              </w:r>
            </w:hyperlink>
          </w:p>
          <w:p w:rsidR="00693512" w:rsidRPr="004A079E" w:rsidRDefault="00693512" w:rsidP="00693512">
            <w:pPr>
              <w:jc w:val="both"/>
              <w:rPr>
                <w:sz w:val="20"/>
                <w:lang w:val="fr-CA"/>
              </w:rPr>
            </w:pPr>
          </w:p>
        </w:tc>
        <w:tc>
          <w:tcPr>
            <w:tcW w:w="243" w:type="pct"/>
          </w:tcPr>
          <w:p w:rsidR="00693512" w:rsidRPr="004A079E" w:rsidRDefault="00693512" w:rsidP="00693512">
            <w:pPr>
              <w:jc w:val="both"/>
              <w:rPr>
                <w:sz w:val="20"/>
                <w:lang w:val="fr-CA"/>
              </w:rPr>
            </w:pPr>
          </w:p>
        </w:tc>
        <w:tc>
          <w:tcPr>
            <w:tcW w:w="2330" w:type="pct"/>
          </w:tcPr>
          <w:p w:rsidR="00693512" w:rsidRPr="004A079E" w:rsidRDefault="00693512" w:rsidP="00693512">
            <w:pPr>
              <w:jc w:val="both"/>
              <w:rPr>
                <w:sz w:val="20"/>
                <w:lang w:val="fr-CA"/>
              </w:rPr>
            </w:pPr>
            <w:r w:rsidRPr="004A079E">
              <w:rPr>
                <w:sz w:val="20"/>
                <w:lang w:val="fr-CA"/>
              </w:rPr>
              <w:t xml:space="preserve">Demandeur trouvé coupable de quatre chefs de faute professionnelle </w:t>
            </w:r>
          </w:p>
          <w:p w:rsidR="00693512" w:rsidRPr="004A079E" w:rsidRDefault="00693512" w:rsidP="00693512">
            <w:pPr>
              <w:jc w:val="both"/>
              <w:rPr>
                <w:sz w:val="20"/>
                <w:lang w:val="fr-CA"/>
              </w:rPr>
            </w:pPr>
          </w:p>
        </w:tc>
      </w:tr>
      <w:tr w:rsidR="00693512" w:rsidRPr="004A079E" w:rsidTr="00E95A6A">
        <w:tc>
          <w:tcPr>
            <w:tcW w:w="2427" w:type="pct"/>
            <w:gridSpan w:val="2"/>
          </w:tcPr>
          <w:p w:rsidR="00693512" w:rsidRPr="004A079E" w:rsidRDefault="00693512" w:rsidP="00693512">
            <w:pPr>
              <w:jc w:val="both"/>
              <w:rPr>
                <w:sz w:val="20"/>
                <w:lang w:val="fr-CA"/>
              </w:rPr>
            </w:pPr>
            <w:r w:rsidRPr="004A079E">
              <w:rPr>
                <w:sz w:val="20"/>
                <w:lang w:val="fr-CA"/>
              </w:rPr>
              <w:t>12 août 2021</w:t>
            </w:r>
          </w:p>
          <w:p w:rsidR="00693512" w:rsidRPr="004A079E" w:rsidRDefault="00693512" w:rsidP="00693512">
            <w:pPr>
              <w:jc w:val="both"/>
              <w:rPr>
                <w:sz w:val="20"/>
                <w:lang w:val="fr-CA"/>
              </w:rPr>
            </w:pPr>
            <w:r w:rsidRPr="004A079E">
              <w:rPr>
                <w:sz w:val="20"/>
                <w:lang w:val="fr-CA"/>
              </w:rPr>
              <w:t>Cour d’appel du Manitoba</w:t>
            </w:r>
          </w:p>
          <w:p w:rsidR="00693512" w:rsidRPr="004A079E" w:rsidRDefault="00693512" w:rsidP="00693512">
            <w:pPr>
              <w:jc w:val="both"/>
              <w:rPr>
                <w:sz w:val="20"/>
                <w:lang w:val="fr-CA"/>
              </w:rPr>
            </w:pPr>
            <w:r w:rsidRPr="004A079E">
              <w:rPr>
                <w:sz w:val="20"/>
                <w:lang w:val="fr-CA"/>
              </w:rPr>
              <w:t>(Juge en chef Chartier et juges Mainella et Spivak) (Dossier n</w:t>
            </w:r>
            <w:r w:rsidRPr="004A079E">
              <w:rPr>
                <w:sz w:val="20"/>
                <w:vertAlign w:val="superscript"/>
                <w:lang w:val="fr-CA"/>
              </w:rPr>
              <w:t>o</w:t>
            </w:r>
            <w:r w:rsidRPr="004A079E">
              <w:rPr>
                <w:sz w:val="20"/>
                <w:lang w:val="fr-CA"/>
              </w:rPr>
              <w:t xml:space="preserve"> AI20</w:t>
            </w:r>
            <w:r w:rsidRPr="004A079E">
              <w:rPr>
                <w:sz w:val="20"/>
                <w:lang w:val="fr-CA"/>
              </w:rPr>
              <w:noBreakHyphen/>
              <w:t>30</w:t>
            </w:r>
            <w:r w:rsidRPr="004A079E">
              <w:rPr>
                <w:sz w:val="20"/>
                <w:lang w:val="fr-CA"/>
              </w:rPr>
              <w:noBreakHyphen/>
              <w:t>09454)</w:t>
            </w:r>
          </w:p>
          <w:p w:rsidR="00693512" w:rsidRPr="004A079E" w:rsidRDefault="004A079E" w:rsidP="00693512">
            <w:pPr>
              <w:jc w:val="both"/>
              <w:rPr>
                <w:sz w:val="20"/>
                <w:lang w:val="fr-CA"/>
              </w:rPr>
            </w:pPr>
            <w:hyperlink r:id="rId26" w:history="1">
              <w:r w:rsidR="00693512" w:rsidRPr="004A079E">
                <w:rPr>
                  <w:rStyle w:val="Hyperlink"/>
                  <w:sz w:val="20"/>
                  <w:lang w:val="fr-CA"/>
                </w:rPr>
                <w:t>2021 MBCA 70</w:t>
              </w:r>
            </w:hyperlink>
            <w:r w:rsidR="00693512" w:rsidRPr="004A079E">
              <w:rPr>
                <w:sz w:val="20"/>
                <w:lang w:val="fr-CA"/>
              </w:rPr>
              <w:t xml:space="preserve"> </w:t>
            </w:r>
          </w:p>
          <w:p w:rsidR="00693512" w:rsidRPr="004A079E" w:rsidRDefault="00693512" w:rsidP="00693512">
            <w:pPr>
              <w:jc w:val="both"/>
              <w:rPr>
                <w:sz w:val="20"/>
                <w:lang w:val="fr-CA"/>
              </w:rPr>
            </w:pPr>
          </w:p>
        </w:tc>
        <w:tc>
          <w:tcPr>
            <w:tcW w:w="243" w:type="pct"/>
          </w:tcPr>
          <w:p w:rsidR="00693512" w:rsidRPr="004A079E" w:rsidRDefault="00693512" w:rsidP="00693512">
            <w:pPr>
              <w:jc w:val="both"/>
              <w:rPr>
                <w:sz w:val="20"/>
                <w:lang w:val="fr-CA"/>
              </w:rPr>
            </w:pPr>
          </w:p>
        </w:tc>
        <w:tc>
          <w:tcPr>
            <w:tcW w:w="2330" w:type="pct"/>
          </w:tcPr>
          <w:p w:rsidR="00693512" w:rsidRPr="004A079E" w:rsidRDefault="00693512" w:rsidP="00693512">
            <w:pPr>
              <w:jc w:val="both"/>
              <w:rPr>
                <w:sz w:val="20"/>
              </w:rPr>
            </w:pPr>
            <w:r w:rsidRPr="004A079E">
              <w:rPr>
                <w:sz w:val="20"/>
              </w:rPr>
              <w:t xml:space="preserve">Appel rejeté </w:t>
            </w:r>
          </w:p>
        </w:tc>
      </w:tr>
      <w:tr w:rsidR="00693512" w:rsidRPr="004A079E" w:rsidTr="00E95A6A">
        <w:tc>
          <w:tcPr>
            <w:tcW w:w="2427" w:type="pct"/>
            <w:gridSpan w:val="2"/>
          </w:tcPr>
          <w:p w:rsidR="00693512" w:rsidRPr="004A079E" w:rsidRDefault="00693512" w:rsidP="00693512">
            <w:pPr>
              <w:jc w:val="both"/>
              <w:rPr>
                <w:sz w:val="20"/>
                <w:lang w:val="fr-CA"/>
              </w:rPr>
            </w:pPr>
            <w:r w:rsidRPr="004A079E">
              <w:rPr>
                <w:sz w:val="20"/>
                <w:lang w:val="fr-CA"/>
              </w:rPr>
              <w:t>6 octobre 2021</w:t>
            </w:r>
          </w:p>
          <w:p w:rsidR="00693512" w:rsidRPr="004A079E" w:rsidRDefault="00693512" w:rsidP="00693512">
            <w:pPr>
              <w:jc w:val="both"/>
              <w:rPr>
                <w:sz w:val="20"/>
                <w:lang w:val="fr-CA"/>
              </w:rPr>
            </w:pPr>
            <w:r w:rsidRPr="004A079E">
              <w:rPr>
                <w:sz w:val="20"/>
                <w:lang w:val="fr-CA"/>
              </w:rPr>
              <w:t>Cour suprême du Canada</w:t>
            </w:r>
          </w:p>
        </w:tc>
        <w:tc>
          <w:tcPr>
            <w:tcW w:w="243" w:type="pct"/>
          </w:tcPr>
          <w:p w:rsidR="00693512" w:rsidRPr="004A079E" w:rsidRDefault="00693512" w:rsidP="00693512">
            <w:pPr>
              <w:jc w:val="both"/>
              <w:rPr>
                <w:sz w:val="20"/>
                <w:lang w:val="fr-CA"/>
              </w:rPr>
            </w:pPr>
          </w:p>
        </w:tc>
        <w:tc>
          <w:tcPr>
            <w:tcW w:w="2330" w:type="pct"/>
          </w:tcPr>
          <w:p w:rsidR="00693512" w:rsidRPr="004A079E" w:rsidRDefault="00693512" w:rsidP="00693512">
            <w:pPr>
              <w:jc w:val="both"/>
              <w:rPr>
                <w:sz w:val="20"/>
              </w:rPr>
            </w:pPr>
            <w:r w:rsidRPr="004A079E">
              <w:rPr>
                <w:sz w:val="20"/>
              </w:rPr>
              <w:t>Demande d’autorisation d’appel déposée</w:t>
            </w:r>
          </w:p>
          <w:p w:rsidR="00693512" w:rsidRPr="004A079E" w:rsidRDefault="00693512" w:rsidP="00693512">
            <w:pPr>
              <w:jc w:val="both"/>
              <w:rPr>
                <w:sz w:val="20"/>
              </w:rPr>
            </w:pPr>
          </w:p>
        </w:tc>
      </w:tr>
    </w:tbl>
    <w:p w:rsidR="00693512" w:rsidRPr="004A079E" w:rsidRDefault="00693512" w:rsidP="00693512">
      <w:pPr>
        <w:jc w:val="both"/>
        <w:rPr>
          <w:sz w:val="20"/>
        </w:rPr>
      </w:pPr>
    </w:p>
    <w:p w:rsidR="00693512" w:rsidRPr="004A079E" w:rsidRDefault="004A079E" w:rsidP="00693512">
      <w:pPr>
        <w:jc w:val="both"/>
        <w:rPr>
          <w:sz w:val="20"/>
        </w:rPr>
      </w:pPr>
      <w:r w:rsidRPr="004A079E">
        <w:rPr>
          <w:sz w:val="20"/>
        </w:rPr>
        <w:pict>
          <v:rect id="_x0000_i1032" style="width:2in;height:1pt" o:hrpct="0" o:hralign="center" o:hrstd="t" o:hrnoshade="t" o:hr="t" fillcolor="black [3213]" stroked="f"/>
        </w:pict>
      </w:r>
    </w:p>
    <w:p w:rsidR="0001473D" w:rsidRPr="004A079E" w:rsidRDefault="0001473D" w:rsidP="0069351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93512" w:rsidRPr="004A079E" w:rsidTr="00E95A6A">
        <w:tc>
          <w:tcPr>
            <w:tcW w:w="543" w:type="pct"/>
          </w:tcPr>
          <w:p w:rsidR="00693512" w:rsidRPr="004A079E" w:rsidRDefault="00693512" w:rsidP="00693512">
            <w:pPr>
              <w:jc w:val="both"/>
              <w:rPr>
                <w:sz w:val="20"/>
              </w:rPr>
            </w:pPr>
            <w:r w:rsidRPr="004A079E">
              <w:rPr>
                <w:rStyle w:val="SCCFileNumberChar"/>
                <w:sz w:val="20"/>
                <w:szCs w:val="20"/>
              </w:rPr>
              <w:t>39933</w:t>
            </w:r>
          </w:p>
        </w:tc>
        <w:tc>
          <w:tcPr>
            <w:tcW w:w="4457" w:type="pct"/>
            <w:gridSpan w:val="3"/>
          </w:tcPr>
          <w:p w:rsidR="00693512" w:rsidRPr="004A079E" w:rsidRDefault="00693512" w:rsidP="00693512">
            <w:pPr>
              <w:pStyle w:val="SCCLsocParty"/>
              <w:jc w:val="both"/>
              <w:rPr>
                <w:b/>
                <w:sz w:val="20"/>
                <w:szCs w:val="20"/>
                <w:lang w:val="en-US"/>
              </w:rPr>
            </w:pPr>
            <w:r w:rsidRPr="004A079E">
              <w:rPr>
                <w:b/>
                <w:sz w:val="20"/>
                <w:szCs w:val="20"/>
                <w:lang w:val="en-US"/>
              </w:rPr>
              <w:t>Matthew Christopher Hamm, Shawn Curtis Keepness, Taylor James Tobin v. Attorney General of Canada</w:t>
            </w:r>
          </w:p>
          <w:p w:rsidR="00693512" w:rsidRPr="004A079E" w:rsidRDefault="00693512" w:rsidP="00693512">
            <w:pPr>
              <w:jc w:val="both"/>
              <w:rPr>
                <w:sz w:val="20"/>
              </w:rPr>
            </w:pPr>
            <w:r w:rsidRPr="004A079E">
              <w:rPr>
                <w:sz w:val="20"/>
              </w:rPr>
              <w:t>(Alta.) (Civil) (By Leave)</w:t>
            </w:r>
          </w:p>
        </w:tc>
      </w:tr>
      <w:tr w:rsidR="00693512" w:rsidRPr="004A079E" w:rsidTr="00E95A6A">
        <w:tc>
          <w:tcPr>
            <w:tcW w:w="5000" w:type="pct"/>
            <w:gridSpan w:val="4"/>
          </w:tcPr>
          <w:p w:rsidR="00693512" w:rsidRPr="004A079E" w:rsidRDefault="00693512" w:rsidP="00693512">
            <w:pPr>
              <w:jc w:val="both"/>
              <w:rPr>
                <w:sz w:val="20"/>
              </w:rPr>
            </w:pPr>
            <w:r w:rsidRPr="004A079E">
              <w:rPr>
                <w:sz w:val="20"/>
              </w:rPr>
              <w:t xml:space="preserve">Civil procedure — Stay — Proper common law test for a stay of one proceeding in favour of another — Factors courts should consider when granting a stay pursuant to statutory powers under provincial class proceedings legislation — Whether s. 14 of </w:t>
            </w:r>
            <w:r w:rsidRPr="004A079E">
              <w:rPr>
                <w:i/>
                <w:sz w:val="20"/>
              </w:rPr>
              <w:t>Class Proceedings Act</w:t>
            </w:r>
            <w:r w:rsidRPr="004A079E">
              <w:rPr>
                <w:sz w:val="20"/>
              </w:rPr>
              <w:t>, SA 2000, c. C</w:t>
            </w:r>
            <w:r w:rsidRPr="004A079E">
              <w:rPr>
                <w:sz w:val="20"/>
              </w:rPr>
              <w:noBreakHyphen/>
              <w:t xml:space="preserve">16.5, and its equivalents in other provinces apply to proposed class actions not yet certified or give </w:t>
            </w:r>
            <w:proofErr w:type="spellStart"/>
            <w:r w:rsidRPr="004A079E">
              <w:rPr>
                <w:sz w:val="20"/>
              </w:rPr>
              <w:t>courts</w:t>
            </w:r>
            <w:proofErr w:type="spellEnd"/>
            <w:r w:rsidRPr="004A079E">
              <w:rPr>
                <w:sz w:val="20"/>
              </w:rPr>
              <w:t xml:space="preserve"> jurisdiction to stay an action in one province in favour of a class proceeding in another province?</w:t>
            </w:r>
          </w:p>
        </w:tc>
      </w:tr>
      <w:tr w:rsidR="00693512" w:rsidRPr="004A079E" w:rsidTr="00E95A6A">
        <w:tc>
          <w:tcPr>
            <w:tcW w:w="5000" w:type="pct"/>
            <w:gridSpan w:val="4"/>
          </w:tcPr>
          <w:p w:rsidR="00693512" w:rsidRPr="004A079E" w:rsidRDefault="00693512" w:rsidP="00693512">
            <w:pPr>
              <w:jc w:val="both"/>
              <w:rPr>
                <w:sz w:val="20"/>
              </w:rPr>
            </w:pPr>
          </w:p>
          <w:p w:rsidR="00693512" w:rsidRPr="004A079E" w:rsidRDefault="00693512" w:rsidP="00693512">
            <w:pPr>
              <w:jc w:val="both"/>
              <w:rPr>
                <w:sz w:val="20"/>
              </w:rPr>
            </w:pPr>
            <w:r w:rsidRPr="004A079E">
              <w:rPr>
                <w:sz w:val="20"/>
              </w:rPr>
              <w:t xml:space="preserve">Mr. Hamm, Mr. Keepness and Mr. Tobin were held in administrative segregation in a federal institution. A </w:t>
            </w:r>
            <w:r w:rsidRPr="004A079E">
              <w:rPr>
                <w:i/>
                <w:sz w:val="20"/>
              </w:rPr>
              <w:t>habeas corpus</w:t>
            </w:r>
            <w:r w:rsidRPr="004A079E">
              <w:rPr>
                <w:sz w:val="20"/>
              </w:rPr>
              <w:t xml:space="preserve"> application found the detentions unreasonable and a breach of the duty of procedural fairness. They commenced a civil action for damages. The Attorney General applied for a stay of proceedings and argued the action overlaps with a class proceeding</w:t>
            </w:r>
            <w:r w:rsidRPr="004A079E">
              <w:rPr>
                <w:spacing w:val="-3"/>
                <w:sz w:val="20"/>
              </w:rPr>
              <w:t xml:space="preserve">. </w:t>
            </w:r>
            <w:r w:rsidRPr="004A079E">
              <w:rPr>
                <w:sz w:val="20"/>
              </w:rPr>
              <w:t>A Master in Chambers dismissed the application. The Court of Queen’s Bench allowed an appeal and imposed a stay. The Court of Appeal dismissed an appeal.</w:t>
            </w:r>
          </w:p>
        </w:tc>
      </w:tr>
      <w:tr w:rsidR="00693512" w:rsidRPr="004A079E" w:rsidTr="00E95A6A">
        <w:tc>
          <w:tcPr>
            <w:tcW w:w="5000" w:type="pct"/>
            <w:gridSpan w:val="4"/>
          </w:tcPr>
          <w:p w:rsidR="00693512" w:rsidRPr="004A079E" w:rsidRDefault="00693512" w:rsidP="00693512">
            <w:pPr>
              <w:jc w:val="both"/>
              <w:rPr>
                <w:sz w:val="20"/>
              </w:rPr>
            </w:pPr>
          </w:p>
        </w:tc>
      </w:tr>
      <w:tr w:rsidR="00693512" w:rsidRPr="004A079E" w:rsidTr="00E95A6A">
        <w:tc>
          <w:tcPr>
            <w:tcW w:w="2427" w:type="pct"/>
            <w:gridSpan w:val="2"/>
          </w:tcPr>
          <w:p w:rsidR="00693512" w:rsidRPr="004A079E" w:rsidRDefault="00693512" w:rsidP="00693512">
            <w:pPr>
              <w:widowControl w:val="0"/>
              <w:jc w:val="both"/>
              <w:rPr>
                <w:sz w:val="20"/>
              </w:rPr>
            </w:pPr>
            <w:r w:rsidRPr="004A079E">
              <w:rPr>
                <w:sz w:val="20"/>
              </w:rPr>
              <w:lastRenderedPageBreak/>
              <w:t>November 29, 2019</w:t>
            </w:r>
          </w:p>
          <w:p w:rsidR="00693512" w:rsidRPr="004A079E" w:rsidRDefault="00693512" w:rsidP="00693512">
            <w:pPr>
              <w:widowControl w:val="0"/>
              <w:jc w:val="both"/>
              <w:rPr>
                <w:sz w:val="20"/>
              </w:rPr>
            </w:pPr>
            <w:r w:rsidRPr="004A079E">
              <w:rPr>
                <w:sz w:val="20"/>
              </w:rPr>
              <w:t>(Master Schlosser)</w:t>
            </w:r>
          </w:p>
          <w:p w:rsidR="00693512" w:rsidRPr="004A079E" w:rsidRDefault="00693512" w:rsidP="00693512">
            <w:pPr>
              <w:widowControl w:val="0"/>
              <w:jc w:val="both"/>
              <w:rPr>
                <w:sz w:val="20"/>
              </w:rPr>
            </w:pPr>
            <w:r w:rsidRPr="004A079E">
              <w:rPr>
                <w:sz w:val="20"/>
              </w:rPr>
              <w:t xml:space="preserve">Court of Queen’s Bench of Alberta </w:t>
            </w:r>
          </w:p>
          <w:p w:rsidR="00693512" w:rsidRPr="004A079E" w:rsidRDefault="004A079E" w:rsidP="00693512">
            <w:pPr>
              <w:jc w:val="both"/>
              <w:rPr>
                <w:sz w:val="20"/>
              </w:rPr>
            </w:pPr>
            <w:hyperlink r:id="rId27" w:history="1">
              <w:r w:rsidR="00693512" w:rsidRPr="004A079E">
                <w:rPr>
                  <w:rStyle w:val="Hyperlink"/>
                  <w:sz w:val="20"/>
                </w:rPr>
                <w:t>2019 ABQB 913</w:t>
              </w:r>
            </w:hyperlink>
          </w:p>
          <w:p w:rsidR="00693512" w:rsidRPr="004A079E" w:rsidRDefault="00693512" w:rsidP="00693512">
            <w:pPr>
              <w:jc w:val="both"/>
              <w:rPr>
                <w:sz w:val="20"/>
              </w:rPr>
            </w:pP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rPr>
            </w:pPr>
            <w:r w:rsidRPr="004A079E">
              <w:rPr>
                <w:sz w:val="20"/>
              </w:rPr>
              <w:t>Application to stay proceedings dismissed</w:t>
            </w:r>
          </w:p>
        </w:tc>
      </w:tr>
      <w:tr w:rsidR="00693512" w:rsidRPr="004A079E" w:rsidTr="00E95A6A">
        <w:tc>
          <w:tcPr>
            <w:tcW w:w="2427" w:type="pct"/>
            <w:gridSpan w:val="2"/>
          </w:tcPr>
          <w:p w:rsidR="00693512" w:rsidRPr="004A079E" w:rsidRDefault="00693512" w:rsidP="00693512">
            <w:pPr>
              <w:jc w:val="both"/>
              <w:rPr>
                <w:sz w:val="20"/>
              </w:rPr>
            </w:pPr>
            <w:r w:rsidRPr="004A079E">
              <w:rPr>
                <w:sz w:val="20"/>
              </w:rPr>
              <w:t>December 8, 2020</w:t>
            </w:r>
          </w:p>
          <w:p w:rsidR="00693512" w:rsidRPr="004A079E" w:rsidRDefault="00693512" w:rsidP="00693512">
            <w:pPr>
              <w:jc w:val="both"/>
              <w:rPr>
                <w:sz w:val="20"/>
              </w:rPr>
            </w:pPr>
            <w:r w:rsidRPr="004A079E">
              <w:rPr>
                <w:sz w:val="20"/>
              </w:rPr>
              <w:t>Court of Queen’s Bench of Alberta</w:t>
            </w:r>
          </w:p>
          <w:p w:rsidR="00693512" w:rsidRPr="004A079E" w:rsidRDefault="00693512" w:rsidP="00693512">
            <w:pPr>
              <w:jc w:val="both"/>
              <w:rPr>
                <w:sz w:val="20"/>
              </w:rPr>
            </w:pPr>
            <w:r w:rsidRPr="004A079E">
              <w:rPr>
                <w:sz w:val="20"/>
              </w:rPr>
              <w:t>(Bercov J.)</w:t>
            </w:r>
          </w:p>
          <w:p w:rsidR="00693512" w:rsidRPr="004A079E" w:rsidRDefault="004A079E" w:rsidP="00693512">
            <w:pPr>
              <w:jc w:val="both"/>
              <w:rPr>
                <w:sz w:val="20"/>
              </w:rPr>
            </w:pPr>
            <w:hyperlink r:id="rId28" w:history="1">
              <w:r w:rsidR="00693512" w:rsidRPr="004A079E">
                <w:rPr>
                  <w:rStyle w:val="Hyperlink"/>
                  <w:sz w:val="20"/>
                </w:rPr>
                <w:t>2020 ABQB 765</w:t>
              </w:r>
            </w:hyperlink>
          </w:p>
          <w:p w:rsidR="00693512" w:rsidRPr="004A079E" w:rsidRDefault="00693512" w:rsidP="00693512">
            <w:pPr>
              <w:jc w:val="both"/>
              <w:rPr>
                <w:sz w:val="20"/>
              </w:rPr>
            </w:pP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rPr>
            </w:pPr>
            <w:r w:rsidRPr="004A079E">
              <w:rPr>
                <w:sz w:val="20"/>
              </w:rPr>
              <w:t>Appeal allowed, proceedings stayed</w:t>
            </w:r>
          </w:p>
          <w:p w:rsidR="00693512" w:rsidRPr="004A079E" w:rsidRDefault="00693512" w:rsidP="00693512">
            <w:pPr>
              <w:jc w:val="both"/>
              <w:rPr>
                <w:sz w:val="20"/>
              </w:rPr>
            </w:pPr>
          </w:p>
        </w:tc>
      </w:tr>
      <w:tr w:rsidR="00693512" w:rsidRPr="004A079E" w:rsidTr="00E95A6A">
        <w:tc>
          <w:tcPr>
            <w:tcW w:w="2427" w:type="pct"/>
            <w:gridSpan w:val="2"/>
          </w:tcPr>
          <w:p w:rsidR="00693512" w:rsidRPr="004A079E" w:rsidRDefault="00693512" w:rsidP="00693512">
            <w:pPr>
              <w:jc w:val="both"/>
              <w:rPr>
                <w:sz w:val="20"/>
              </w:rPr>
            </w:pPr>
            <w:r w:rsidRPr="004A079E">
              <w:rPr>
                <w:sz w:val="20"/>
              </w:rPr>
              <w:t>November 5, 2021</w:t>
            </w:r>
          </w:p>
          <w:p w:rsidR="00693512" w:rsidRPr="004A079E" w:rsidRDefault="00693512" w:rsidP="00693512">
            <w:pPr>
              <w:jc w:val="both"/>
              <w:rPr>
                <w:sz w:val="20"/>
              </w:rPr>
            </w:pPr>
            <w:r w:rsidRPr="004A079E">
              <w:rPr>
                <w:sz w:val="20"/>
              </w:rPr>
              <w:t>Court of Appeal of Alberta (Edmonton)</w:t>
            </w:r>
          </w:p>
          <w:p w:rsidR="00693512" w:rsidRPr="004A079E" w:rsidRDefault="00693512" w:rsidP="00693512">
            <w:pPr>
              <w:jc w:val="both"/>
              <w:rPr>
                <w:sz w:val="20"/>
              </w:rPr>
            </w:pPr>
            <w:r w:rsidRPr="004A079E">
              <w:rPr>
                <w:sz w:val="20"/>
              </w:rPr>
              <w:t>(Slatter, Schutz, Freehan JJ.A.)</w:t>
            </w:r>
          </w:p>
          <w:p w:rsidR="00693512" w:rsidRPr="004A079E" w:rsidRDefault="004A079E" w:rsidP="00693512">
            <w:pPr>
              <w:jc w:val="both"/>
              <w:rPr>
                <w:sz w:val="20"/>
              </w:rPr>
            </w:pPr>
            <w:hyperlink r:id="rId29" w:history="1">
              <w:r w:rsidR="00693512" w:rsidRPr="004A079E">
                <w:rPr>
                  <w:rStyle w:val="Hyperlink"/>
                  <w:sz w:val="20"/>
                </w:rPr>
                <w:t>2021 ABCA 329</w:t>
              </w:r>
            </w:hyperlink>
            <w:r w:rsidR="00693512" w:rsidRPr="004A079E">
              <w:rPr>
                <w:sz w:val="20"/>
              </w:rPr>
              <w:t xml:space="preserve">; </w:t>
            </w:r>
            <w:r w:rsidR="00693512" w:rsidRPr="004A079E">
              <w:rPr>
                <w:spacing w:val="-1"/>
                <w:sz w:val="20"/>
              </w:rPr>
              <w:t>2003</w:t>
            </w:r>
            <w:r w:rsidR="00693512" w:rsidRPr="004A079E">
              <w:rPr>
                <w:spacing w:val="-1"/>
                <w:sz w:val="20"/>
              </w:rPr>
              <w:noBreakHyphen/>
              <w:t>0231AC</w:t>
            </w:r>
          </w:p>
          <w:p w:rsidR="00693512" w:rsidRPr="004A079E" w:rsidRDefault="00693512" w:rsidP="00693512">
            <w:pPr>
              <w:jc w:val="both"/>
              <w:rPr>
                <w:sz w:val="20"/>
              </w:rPr>
            </w:pP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rPr>
            </w:pPr>
            <w:r w:rsidRPr="004A079E">
              <w:rPr>
                <w:sz w:val="20"/>
              </w:rPr>
              <w:t>Appeal dismissed</w:t>
            </w:r>
          </w:p>
          <w:p w:rsidR="00693512" w:rsidRPr="004A079E" w:rsidRDefault="00693512" w:rsidP="00693512">
            <w:pPr>
              <w:jc w:val="both"/>
              <w:rPr>
                <w:sz w:val="20"/>
              </w:rPr>
            </w:pPr>
          </w:p>
        </w:tc>
      </w:tr>
      <w:tr w:rsidR="00693512" w:rsidRPr="004A079E" w:rsidTr="00E95A6A">
        <w:tc>
          <w:tcPr>
            <w:tcW w:w="2427" w:type="pct"/>
            <w:gridSpan w:val="2"/>
          </w:tcPr>
          <w:p w:rsidR="00693512" w:rsidRPr="004A079E" w:rsidRDefault="00693512" w:rsidP="00693512">
            <w:pPr>
              <w:jc w:val="both"/>
              <w:rPr>
                <w:sz w:val="20"/>
              </w:rPr>
            </w:pPr>
            <w:r w:rsidRPr="004A079E">
              <w:rPr>
                <w:sz w:val="20"/>
              </w:rPr>
              <w:t>December 6, 2021</w:t>
            </w:r>
          </w:p>
          <w:p w:rsidR="00693512" w:rsidRPr="004A079E" w:rsidRDefault="00693512" w:rsidP="00693512">
            <w:pPr>
              <w:jc w:val="both"/>
              <w:rPr>
                <w:sz w:val="20"/>
              </w:rPr>
            </w:pPr>
            <w:r w:rsidRPr="004A079E">
              <w:rPr>
                <w:sz w:val="20"/>
              </w:rPr>
              <w:t>Supreme Court of Canada</w:t>
            </w: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rPr>
            </w:pPr>
            <w:r w:rsidRPr="004A079E">
              <w:rPr>
                <w:sz w:val="20"/>
              </w:rPr>
              <w:t>Application for leave to appeal filed</w:t>
            </w:r>
          </w:p>
          <w:p w:rsidR="00693512" w:rsidRPr="004A079E" w:rsidRDefault="00693512" w:rsidP="00693512">
            <w:pPr>
              <w:jc w:val="both"/>
              <w:rPr>
                <w:sz w:val="20"/>
              </w:rPr>
            </w:pPr>
          </w:p>
        </w:tc>
      </w:tr>
    </w:tbl>
    <w:p w:rsidR="00693512" w:rsidRPr="004A079E" w:rsidRDefault="00693512" w:rsidP="00693512">
      <w:pPr>
        <w:jc w:val="both"/>
        <w:rPr>
          <w:sz w:val="20"/>
        </w:rPr>
      </w:pPr>
    </w:p>
    <w:p w:rsidR="00693512" w:rsidRPr="004A079E" w:rsidRDefault="004A079E" w:rsidP="00693512">
      <w:pPr>
        <w:jc w:val="both"/>
        <w:rPr>
          <w:sz w:val="20"/>
        </w:rPr>
      </w:pPr>
      <w:r w:rsidRPr="004A079E">
        <w:rPr>
          <w:sz w:val="20"/>
        </w:rPr>
        <w:pict>
          <v:rect id="_x0000_i1033" style="width:2in;height:1pt" o:hrpct="0" o:hralign="center" o:hrstd="t" o:hrnoshade="t" o:hr="t" fillcolor="black [3213]" stroked="f"/>
        </w:pict>
      </w:r>
    </w:p>
    <w:p w:rsidR="00693512" w:rsidRPr="004A079E" w:rsidRDefault="00693512" w:rsidP="006935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93512" w:rsidRPr="004A079E" w:rsidTr="00E95A6A">
        <w:tc>
          <w:tcPr>
            <w:tcW w:w="543" w:type="pct"/>
          </w:tcPr>
          <w:p w:rsidR="00693512" w:rsidRPr="004A079E" w:rsidRDefault="00693512" w:rsidP="00693512">
            <w:pPr>
              <w:jc w:val="both"/>
              <w:rPr>
                <w:sz w:val="20"/>
              </w:rPr>
            </w:pPr>
            <w:r w:rsidRPr="004A079E">
              <w:rPr>
                <w:rStyle w:val="SCCFileNumberChar"/>
                <w:sz w:val="20"/>
                <w:szCs w:val="20"/>
              </w:rPr>
              <w:t>39933</w:t>
            </w:r>
          </w:p>
        </w:tc>
        <w:tc>
          <w:tcPr>
            <w:tcW w:w="4457" w:type="pct"/>
            <w:gridSpan w:val="3"/>
          </w:tcPr>
          <w:p w:rsidR="00693512" w:rsidRPr="004A079E" w:rsidRDefault="00693512" w:rsidP="00693512">
            <w:pPr>
              <w:pStyle w:val="SCCLsocParty"/>
              <w:jc w:val="both"/>
              <w:rPr>
                <w:b/>
                <w:sz w:val="20"/>
                <w:szCs w:val="20"/>
                <w:lang w:val="en-US"/>
              </w:rPr>
            </w:pPr>
            <w:r w:rsidRPr="004A079E">
              <w:rPr>
                <w:b/>
                <w:sz w:val="20"/>
                <w:szCs w:val="20"/>
                <w:lang w:val="en-US"/>
              </w:rPr>
              <w:t>Matthew Christopher Hamm, Shawn Curtis Keepness, Taylor James Tobin c. Attorney General of Canada</w:t>
            </w:r>
          </w:p>
          <w:p w:rsidR="00693512" w:rsidRPr="004A079E" w:rsidRDefault="00693512" w:rsidP="00693512">
            <w:pPr>
              <w:jc w:val="both"/>
              <w:rPr>
                <w:sz w:val="20"/>
              </w:rPr>
            </w:pPr>
            <w:r w:rsidRPr="004A079E">
              <w:rPr>
                <w:sz w:val="20"/>
              </w:rPr>
              <w:t>(Alb.) (Civile) (Sur autorisation)</w:t>
            </w:r>
          </w:p>
        </w:tc>
      </w:tr>
      <w:tr w:rsidR="00693512" w:rsidRPr="004A079E" w:rsidTr="00E95A6A">
        <w:tc>
          <w:tcPr>
            <w:tcW w:w="5000" w:type="pct"/>
            <w:gridSpan w:val="4"/>
          </w:tcPr>
          <w:p w:rsidR="00693512" w:rsidRPr="004A079E" w:rsidRDefault="00693512" w:rsidP="00693512">
            <w:pPr>
              <w:jc w:val="both"/>
              <w:rPr>
                <w:sz w:val="20"/>
                <w:lang w:val="fr-CA"/>
              </w:rPr>
            </w:pPr>
            <w:r w:rsidRPr="004A079E">
              <w:rPr>
                <w:sz w:val="20"/>
                <w:lang w:val="fr-CA"/>
              </w:rPr>
              <w:t xml:space="preserve">Procédure civile — Sursis — Test de common law approprié pour décider du sursis d’une procédure au profit d’une autre — Facteurs à prendre en considération par les tribunaux pour accorder un sursis en vertu de pouvoirs légaux prévus par la législation provinciale relative aux recours collectifs — L’art. 14 de la </w:t>
            </w:r>
            <w:r w:rsidRPr="004A079E">
              <w:rPr>
                <w:i/>
                <w:sz w:val="20"/>
                <w:lang w:val="fr-CA"/>
              </w:rPr>
              <w:t>Class Proceedings Act</w:t>
            </w:r>
            <w:r w:rsidRPr="004A079E">
              <w:rPr>
                <w:sz w:val="20"/>
                <w:lang w:val="fr-CA"/>
              </w:rPr>
              <w:t>, SA 2000, c. C</w:t>
            </w:r>
            <w:r w:rsidRPr="004A079E">
              <w:rPr>
                <w:sz w:val="20"/>
                <w:lang w:val="fr-CA"/>
              </w:rPr>
              <w:noBreakHyphen/>
              <w:t> 16.5, et les dispositions équivalentes des autres provinces s’appliquent-ils aux recours collectifs projetés qui ne sont pas encore certifiés ou confèrent</w:t>
            </w:r>
            <w:r w:rsidRPr="004A079E">
              <w:rPr>
                <w:sz w:val="20"/>
                <w:lang w:val="fr-CA"/>
              </w:rPr>
              <w:noBreakHyphen/>
              <w:t>ils aux tribunaux la compétence d’ordonner le sursis d’une action dans une province au profit d’un recours collectif intenté dans une autre province?</w:t>
            </w:r>
          </w:p>
          <w:p w:rsidR="00693512" w:rsidRPr="004A079E" w:rsidRDefault="00693512" w:rsidP="00693512">
            <w:pPr>
              <w:jc w:val="both"/>
              <w:rPr>
                <w:sz w:val="20"/>
                <w:lang w:val="fr-CA"/>
              </w:rPr>
            </w:pPr>
          </w:p>
        </w:tc>
      </w:tr>
      <w:tr w:rsidR="00693512" w:rsidRPr="004A079E" w:rsidTr="00E95A6A">
        <w:tc>
          <w:tcPr>
            <w:tcW w:w="5000" w:type="pct"/>
            <w:gridSpan w:val="4"/>
          </w:tcPr>
          <w:p w:rsidR="00693512" w:rsidRPr="004A079E" w:rsidRDefault="00693512" w:rsidP="00693512">
            <w:pPr>
              <w:jc w:val="both"/>
              <w:rPr>
                <w:sz w:val="20"/>
                <w:lang w:val="fr-CA"/>
              </w:rPr>
            </w:pPr>
            <w:r w:rsidRPr="004A079E">
              <w:rPr>
                <w:sz w:val="20"/>
                <w:lang w:val="fr-CA"/>
              </w:rPr>
              <w:t>M. Hamm, M. Keepness et M. Tobin ont été détenus en isolement préventif dans une institution fédérale. À la suite d’une demande d’</w:t>
            </w:r>
            <w:r w:rsidRPr="004A079E">
              <w:rPr>
                <w:i/>
                <w:sz w:val="20"/>
                <w:lang w:val="fr-CA"/>
              </w:rPr>
              <w:t>habeas corpus</w:t>
            </w:r>
            <w:r w:rsidRPr="004A079E">
              <w:rPr>
                <w:sz w:val="20"/>
                <w:lang w:val="fr-CA"/>
              </w:rPr>
              <w:t>, il a été jugé que leur détention était déraisonnable et contrevenait à l’obligation d’équité procédurale. Ils ont intenté un recours civil en dommages</w:t>
            </w:r>
            <w:r w:rsidRPr="004A079E">
              <w:rPr>
                <w:sz w:val="20"/>
                <w:lang w:val="fr-CA"/>
              </w:rPr>
              <w:noBreakHyphen/>
              <w:t>intérêts. Le procureur général a demandé le sursis des procédures et fait valoir que l’action chevauchait un recours collectif. Un conseiller-maître a rejeté la demande. La Cour du banc de la Reine a accueilli l’appel et ordonné le sursis. La Cour d’appel a rejeté l’appel.</w:t>
            </w:r>
          </w:p>
        </w:tc>
      </w:tr>
      <w:tr w:rsidR="00693512" w:rsidRPr="004A079E" w:rsidTr="00E95A6A">
        <w:tc>
          <w:tcPr>
            <w:tcW w:w="5000" w:type="pct"/>
            <w:gridSpan w:val="4"/>
          </w:tcPr>
          <w:p w:rsidR="00693512" w:rsidRPr="004A079E" w:rsidRDefault="00693512" w:rsidP="00693512">
            <w:pPr>
              <w:jc w:val="both"/>
              <w:rPr>
                <w:sz w:val="20"/>
                <w:lang w:val="fr-CA"/>
              </w:rPr>
            </w:pPr>
          </w:p>
        </w:tc>
      </w:tr>
      <w:tr w:rsidR="00693512" w:rsidRPr="004A079E" w:rsidTr="00E95A6A">
        <w:tc>
          <w:tcPr>
            <w:tcW w:w="2427" w:type="pct"/>
            <w:gridSpan w:val="2"/>
          </w:tcPr>
          <w:p w:rsidR="00693512" w:rsidRPr="004A079E" w:rsidRDefault="00693512" w:rsidP="00693512">
            <w:pPr>
              <w:widowControl w:val="0"/>
              <w:jc w:val="both"/>
              <w:rPr>
                <w:sz w:val="20"/>
                <w:lang w:val="fr-CA"/>
              </w:rPr>
            </w:pPr>
            <w:r w:rsidRPr="004A079E">
              <w:rPr>
                <w:sz w:val="20"/>
                <w:lang w:val="fr-CA"/>
              </w:rPr>
              <w:t>29 novembre 2019</w:t>
            </w:r>
          </w:p>
          <w:p w:rsidR="00693512" w:rsidRPr="004A079E" w:rsidRDefault="00693512" w:rsidP="00693512">
            <w:pPr>
              <w:widowControl w:val="0"/>
              <w:jc w:val="both"/>
              <w:rPr>
                <w:sz w:val="20"/>
                <w:lang w:val="fr-CA"/>
              </w:rPr>
            </w:pPr>
            <w:r w:rsidRPr="004A079E">
              <w:rPr>
                <w:sz w:val="20"/>
                <w:lang w:val="fr-CA"/>
              </w:rPr>
              <w:t>(Conseiller</w:t>
            </w:r>
            <w:r w:rsidRPr="004A079E">
              <w:rPr>
                <w:sz w:val="20"/>
                <w:lang w:val="fr-CA"/>
              </w:rPr>
              <w:noBreakHyphen/>
              <w:t>maître Schlosser)</w:t>
            </w:r>
          </w:p>
          <w:p w:rsidR="00693512" w:rsidRPr="004A079E" w:rsidRDefault="00693512" w:rsidP="00693512">
            <w:pPr>
              <w:widowControl w:val="0"/>
              <w:jc w:val="both"/>
              <w:rPr>
                <w:sz w:val="20"/>
                <w:lang w:val="fr-CA"/>
              </w:rPr>
            </w:pPr>
            <w:r w:rsidRPr="004A079E">
              <w:rPr>
                <w:sz w:val="20"/>
                <w:lang w:val="fr-CA"/>
              </w:rPr>
              <w:t xml:space="preserve">Cour du banc de la Reine de l’Alberta </w:t>
            </w:r>
          </w:p>
          <w:p w:rsidR="00693512" w:rsidRPr="004A079E" w:rsidRDefault="004A079E" w:rsidP="00693512">
            <w:pPr>
              <w:jc w:val="both"/>
              <w:rPr>
                <w:sz w:val="20"/>
              </w:rPr>
            </w:pPr>
            <w:hyperlink r:id="rId30" w:history="1">
              <w:r w:rsidR="00693512" w:rsidRPr="004A079E">
                <w:rPr>
                  <w:rStyle w:val="Hyperlink"/>
                  <w:sz w:val="20"/>
                </w:rPr>
                <w:t>2019 ABQB 913</w:t>
              </w:r>
            </w:hyperlink>
          </w:p>
          <w:p w:rsidR="00693512" w:rsidRPr="004A079E" w:rsidRDefault="00693512" w:rsidP="00693512">
            <w:pPr>
              <w:jc w:val="both"/>
              <w:rPr>
                <w:sz w:val="20"/>
              </w:rPr>
            </w:pP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lang w:val="fr-CA"/>
              </w:rPr>
            </w:pPr>
            <w:r w:rsidRPr="004A079E">
              <w:rPr>
                <w:sz w:val="20"/>
                <w:lang w:val="fr-CA"/>
              </w:rPr>
              <w:t>Demande de sursis des procédures rejetée</w:t>
            </w:r>
          </w:p>
        </w:tc>
      </w:tr>
      <w:tr w:rsidR="00693512" w:rsidRPr="004A079E" w:rsidTr="00E95A6A">
        <w:tc>
          <w:tcPr>
            <w:tcW w:w="2427" w:type="pct"/>
            <w:gridSpan w:val="2"/>
          </w:tcPr>
          <w:p w:rsidR="00693512" w:rsidRPr="004A079E" w:rsidRDefault="00693512" w:rsidP="00693512">
            <w:pPr>
              <w:jc w:val="both"/>
              <w:rPr>
                <w:sz w:val="20"/>
                <w:lang w:val="fr-CA"/>
              </w:rPr>
            </w:pPr>
            <w:r w:rsidRPr="004A079E">
              <w:rPr>
                <w:sz w:val="20"/>
                <w:lang w:val="fr-CA"/>
              </w:rPr>
              <w:t>8 décembre 2020</w:t>
            </w:r>
          </w:p>
          <w:p w:rsidR="00693512" w:rsidRPr="004A079E" w:rsidRDefault="00693512" w:rsidP="00693512">
            <w:pPr>
              <w:jc w:val="both"/>
              <w:rPr>
                <w:sz w:val="20"/>
                <w:lang w:val="fr-CA"/>
              </w:rPr>
            </w:pPr>
            <w:r w:rsidRPr="004A079E">
              <w:rPr>
                <w:sz w:val="20"/>
                <w:lang w:val="fr-CA"/>
              </w:rPr>
              <w:t>Cour du banc de la Reine de l’Alberta</w:t>
            </w:r>
          </w:p>
          <w:p w:rsidR="00693512" w:rsidRPr="004A079E" w:rsidRDefault="00693512" w:rsidP="00693512">
            <w:pPr>
              <w:jc w:val="both"/>
              <w:rPr>
                <w:sz w:val="20"/>
              </w:rPr>
            </w:pPr>
            <w:r w:rsidRPr="004A079E">
              <w:rPr>
                <w:sz w:val="20"/>
              </w:rPr>
              <w:t>(Juge Bercov)</w:t>
            </w:r>
          </w:p>
          <w:p w:rsidR="00693512" w:rsidRPr="004A079E" w:rsidRDefault="004A079E" w:rsidP="00693512">
            <w:pPr>
              <w:jc w:val="both"/>
              <w:rPr>
                <w:sz w:val="20"/>
              </w:rPr>
            </w:pPr>
            <w:hyperlink r:id="rId31" w:history="1">
              <w:r w:rsidR="00693512" w:rsidRPr="004A079E">
                <w:rPr>
                  <w:rStyle w:val="Hyperlink"/>
                  <w:sz w:val="20"/>
                </w:rPr>
                <w:t>2020 ABQB 765</w:t>
              </w:r>
            </w:hyperlink>
          </w:p>
          <w:p w:rsidR="00693512" w:rsidRPr="004A079E" w:rsidRDefault="00693512" w:rsidP="00693512">
            <w:pPr>
              <w:jc w:val="both"/>
              <w:rPr>
                <w:sz w:val="20"/>
              </w:rPr>
            </w:pP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lang w:val="fr-CA"/>
              </w:rPr>
            </w:pPr>
            <w:r w:rsidRPr="004A079E">
              <w:rPr>
                <w:sz w:val="20"/>
                <w:lang w:val="fr-CA"/>
              </w:rPr>
              <w:t>Appel accueilli, sursis des procédures ordonné</w:t>
            </w:r>
          </w:p>
          <w:p w:rsidR="00693512" w:rsidRPr="004A079E" w:rsidRDefault="00693512" w:rsidP="00693512">
            <w:pPr>
              <w:jc w:val="both"/>
              <w:rPr>
                <w:sz w:val="20"/>
                <w:lang w:val="fr-CA"/>
              </w:rPr>
            </w:pPr>
          </w:p>
        </w:tc>
      </w:tr>
      <w:tr w:rsidR="00693512" w:rsidRPr="004A079E" w:rsidTr="00E95A6A">
        <w:tc>
          <w:tcPr>
            <w:tcW w:w="2427" w:type="pct"/>
            <w:gridSpan w:val="2"/>
          </w:tcPr>
          <w:p w:rsidR="00693512" w:rsidRPr="004A079E" w:rsidRDefault="00693512" w:rsidP="00693512">
            <w:pPr>
              <w:jc w:val="both"/>
              <w:rPr>
                <w:sz w:val="20"/>
                <w:lang w:val="fr-CA"/>
              </w:rPr>
            </w:pPr>
            <w:r w:rsidRPr="004A079E">
              <w:rPr>
                <w:sz w:val="20"/>
                <w:lang w:val="fr-CA"/>
              </w:rPr>
              <w:t>5 novembre 2021</w:t>
            </w:r>
          </w:p>
          <w:p w:rsidR="00693512" w:rsidRPr="004A079E" w:rsidRDefault="00693512" w:rsidP="00693512">
            <w:pPr>
              <w:jc w:val="both"/>
              <w:rPr>
                <w:sz w:val="20"/>
                <w:lang w:val="fr-CA"/>
              </w:rPr>
            </w:pPr>
            <w:r w:rsidRPr="004A079E">
              <w:rPr>
                <w:sz w:val="20"/>
                <w:lang w:val="fr-CA"/>
              </w:rPr>
              <w:t>Cour d’appel de l’Alberta (Edmonton)</w:t>
            </w:r>
          </w:p>
          <w:p w:rsidR="00693512" w:rsidRPr="004A079E" w:rsidRDefault="00693512" w:rsidP="00693512">
            <w:pPr>
              <w:jc w:val="both"/>
              <w:rPr>
                <w:sz w:val="20"/>
              </w:rPr>
            </w:pPr>
            <w:r w:rsidRPr="004A079E">
              <w:rPr>
                <w:sz w:val="20"/>
              </w:rPr>
              <w:t>(Juges Slatter, Schutz et Freehan)</w:t>
            </w:r>
          </w:p>
          <w:p w:rsidR="00693512" w:rsidRPr="004A079E" w:rsidRDefault="004A079E" w:rsidP="00693512">
            <w:pPr>
              <w:jc w:val="both"/>
              <w:rPr>
                <w:sz w:val="20"/>
              </w:rPr>
            </w:pPr>
            <w:hyperlink r:id="rId32" w:history="1">
              <w:r w:rsidR="00693512" w:rsidRPr="004A079E">
                <w:rPr>
                  <w:rStyle w:val="Hyperlink"/>
                  <w:sz w:val="20"/>
                </w:rPr>
                <w:t>2021 ABCA 329</w:t>
              </w:r>
            </w:hyperlink>
            <w:r w:rsidR="00693512" w:rsidRPr="004A079E">
              <w:rPr>
                <w:sz w:val="20"/>
              </w:rPr>
              <w:t xml:space="preserve">; </w:t>
            </w:r>
            <w:r w:rsidR="00693512" w:rsidRPr="004A079E">
              <w:rPr>
                <w:spacing w:val="-1"/>
                <w:sz w:val="20"/>
              </w:rPr>
              <w:t>2003</w:t>
            </w:r>
            <w:r w:rsidR="00693512" w:rsidRPr="004A079E">
              <w:rPr>
                <w:spacing w:val="-1"/>
                <w:sz w:val="20"/>
              </w:rPr>
              <w:noBreakHyphen/>
              <w:t>0231AC</w:t>
            </w:r>
          </w:p>
          <w:p w:rsidR="00693512" w:rsidRPr="004A079E" w:rsidRDefault="00693512" w:rsidP="00693512">
            <w:pPr>
              <w:jc w:val="both"/>
              <w:rPr>
                <w:sz w:val="20"/>
              </w:rPr>
            </w:pP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rPr>
            </w:pPr>
            <w:r w:rsidRPr="004A079E">
              <w:rPr>
                <w:sz w:val="20"/>
              </w:rPr>
              <w:t>Appel rejeté</w:t>
            </w:r>
          </w:p>
        </w:tc>
      </w:tr>
      <w:tr w:rsidR="00693512" w:rsidRPr="004A079E" w:rsidTr="00E95A6A">
        <w:tc>
          <w:tcPr>
            <w:tcW w:w="2427" w:type="pct"/>
            <w:gridSpan w:val="2"/>
          </w:tcPr>
          <w:p w:rsidR="00693512" w:rsidRPr="004A079E" w:rsidRDefault="00693512" w:rsidP="00693512">
            <w:pPr>
              <w:jc w:val="both"/>
              <w:rPr>
                <w:sz w:val="20"/>
                <w:lang w:val="fr-CA"/>
              </w:rPr>
            </w:pPr>
            <w:r w:rsidRPr="004A079E">
              <w:rPr>
                <w:sz w:val="20"/>
                <w:lang w:val="fr-CA"/>
              </w:rPr>
              <w:t>6 décembre 2021</w:t>
            </w:r>
          </w:p>
          <w:p w:rsidR="00693512" w:rsidRPr="004A079E" w:rsidRDefault="00693512" w:rsidP="00693512">
            <w:pPr>
              <w:jc w:val="both"/>
              <w:rPr>
                <w:sz w:val="20"/>
                <w:lang w:val="fr-CA"/>
              </w:rPr>
            </w:pPr>
            <w:r w:rsidRPr="004A079E">
              <w:rPr>
                <w:sz w:val="20"/>
                <w:lang w:val="fr-CA"/>
              </w:rPr>
              <w:t>Cour suprême du Canada</w:t>
            </w:r>
          </w:p>
        </w:tc>
        <w:tc>
          <w:tcPr>
            <w:tcW w:w="243" w:type="pct"/>
          </w:tcPr>
          <w:p w:rsidR="00693512" w:rsidRPr="004A079E" w:rsidRDefault="00693512" w:rsidP="00693512">
            <w:pPr>
              <w:jc w:val="both"/>
              <w:rPr>
                <w:sz w:val="20"/>
                <w:lang w:val="fr-CA"/>
              </w:rPr>
            </w:pPr>
          </w:p>
        </w:tc>
        <w:tc>
          <w:tcPr>
            <w:tcW w:w="2330" w:type="pct"/>
          </w:tcPr>
          <w:p w:rsidR="00693512" w:rsidRPr="004A079E" w:rsidRDefault="00693512" w:rsidP="00693512">
            <w:pPr>
              <w:jc w:val="both"/>
              <w:rPr>
                <w:sz w:val="20"/>
              </w:rPr>
            </w:pPr>
            <w:r w:rsidRPr="004A079E">
              <w:rPr>
                <w:sz w:val="20"/>
              </w:rPr>
              <w:t>Demande d’autorisation d’appel déposée</w:t>
            </w:r>
          </w:p>
          <w:p w:rsidR="00693512" w:rsidRPr="004A079E" w:rsidRDefault="00693512" w:rsidP="00693512">
            <w:pPr>
              <w:jc w:val="both"/>
              <w:rPr>
                <w:sz w:val="20"/>
              </w:rPr>
            </w:pPr>
          </w:p>
        </w:tc>
      </w:tr>
    </w:tbl>
    <w:p w:rsidR="00693512" w:rsidRPr="004A079E" w:rsidRDefault="00693512" w:rsidP="00693512">
      <w:pPr>
        <w:jc w:val="both"/>
        <w:rPr>
          <w:sz w:val="20"/>
        </w:rPr>
      </w:pPr>
    </w:p>
    <w:p w:rsidR="00693512" w:rsidRPr="004A079E" w:rsidRDefault="004A079E" w:rsidP="00693512">
      <w:pPr>
        <w:jc w:val="both"/>
        <w:rPr>
          <w:sz w:val="20"/>
        </w:rPr>
      </w:pPr>
      <w:r w:rsidRPr="004A079E">
        <w:rPr>
          <w:sz w:val="20"/>
        </w:rPr>
        <w:pict>
          <v:rect id="_x0000_i1034" style="width:2in;height:1pt" o:hrpct="0" o:hralign="center" o:hrstd="t" o:hrnoshade="t" o:hr="t" fillcolor="black [3213]" stroked="f"/>
        </w:pict>
      </w:r>
    </w:p>
    <w:p w:rsidR="0001473D" w:rsidRPr="004A079E" w:rsidRDefault="0001473D" w:rsidP="0069351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93512" w:rsidRPr="004A079E" w:rsidTr="00E95A6A">
        <w:tc>
          <w:tcPr>
            <w:tcW w:w="543" w:type="pct"/>
          </w:tcPr>
          <w:p w:rsidR="00693512" w:rsidRPr="004A079E" w:rsidRDefault="00693512" w:rsidP="00693512">
            <w:pPr>
              <w:jc w:val="both"/>
              <w:rPr>
                <w:sz w:val="20"/>
              </w:rPr>
            </w:pPr>
            <w:r w:rsidRPr="004A079E">
              <w:rPr>
                <w:rStyle w:val="SCCFileNumberChar"/>
                <w:sz w:val="20"/>
                <w:szCs w:val="20"/>
              </w:rPr>
              <w:t>40012</w:t>
            </w:r>
          </w:p>
        </w:tc>
        <w:tc>
          <w:tcPr>
            <w:tcW w:w="4457" w:type="pct"/>
            <w:gridSpan w:val="3"/>
          </w:tcPr>
          <w:p w:rsidR="00693512" w:rsidRPr="004A079E" w:rsidRDefault="00693512" w:rsidP="00693512">
            <w:pPr>
              <w:pStyle w:val="SCCLsocParty"/>
              <w:jc w:val="both"/>
              <w:rPr>
                <w:b/>
                <w:sz w:val="20"/>
                <w:szCs w:val="20"/>
                <w:lang w:val="en-US"/>
              </w:rPr>
            </w:pPr>
            <w:r w:rsidRPr="004A079E">
              <w:rPr>
                <w:b/>
                <w:sz w:val="20"/>
                <w:szCs w:val="20"/>
                <w:lang w:val="en-US"/>
              </w:rPr>
              <w:t>J.R.L. v. Q.X.</w:t>
            </w:r>
          </w:p>
          <w:p w:rsidR="00693512" w:rsidRPr="004A079E" w:rsidRDefault="00693512" w:rsidP="00693512">
            <w:pPr>
              <w:jc w:val="both"/>
              <w:rPr>
                <w:sz w:val="20"/>
              </w:rPr>
            </w:pPr>
            <w:r w:rsidRPr="004A079E">
              <w:rPr>
                <w:sz w:val="20"/>
              </w:rPr>
              <w:t>(B.C.) (Civil) (By Leave)</w:t>
            </w:r>
          </w:p>
        </w:tc>
      </w:tr>
      <w:tr w:rsidR="00693512" w:rsidRPr="004A079E" w:rsidTr="00E95A6A">
        <w:tc>
          <w:tcPr>
            <w:tcW w:w="5000" w:type="pct"/>
            <w:gridSpan w:val="4"/>
          </w:tcPr>
          <w:p w:rsidR="00693512" w:rsidRPr="004A079E" w:rsidRDefault="00693512" w:rsidP="00693512">
            <w:pPr>
              <w:pStyle w:val="SCCBanSummary"/>
              <w:rPr>
                <w:sz w:val="20"/>
                <w:szCs w:val="20"/>
              </w:rPr>
            </w:pPr>
            <w:r w:rsidRPr="004A079E">
              <w:rPr>
                <w:sz w:val="20"/>
                <w:szCs w:val="20"/>
              </w:rPr>
              <w:t>(Publication ban on party)</w:t>
            </w:r>
          </w:p>
          <w:p w:rsidR="00693512" w:rsidRPr="004A079E" w:rsidRDefault="00693512" w:rsidP="00693512">
            <w:pPr>
              <w:jc w:val="both"/>
              <w:rPr>
                <w:sz w:val="20"/>
              </w:rPr>
            </w:pPr>
          </w:p>
          <w:p w:rsidR="00693512" w:rsidRPr="004A079E" w:rsidRDefault="00693512" w:rsidP="00693512">
            <w:pPr>
              <w:jc w:val="both"/>
              <w:rPr>
                <w:sz w:val="20"/>
              </w:rPr>
            </w:pPr>
            <w:r w:rsidRPr="004A079E">
              <w:rPr>
                <w:sz w:val="20"/>
              </w:rPr>
              <w:t>Family law — Custody — Spousal support — Application for extension of time to appeal dismissed —Whether family violence was correctly evaluated by the courts below — Whether 9 years of lump sum spousal support is a significant error.</w:t>
            </w:r>
          </w:p>
        </w:tc>
      </w:tr>
      <w:tr w:rsidR="00693512" w:rsidRPr="004A079E" w:rsidTr="00E95A6A">
        <w:tc>
          <w:tcPr>
            <w:tcW w:w="5000" w:type="pct"/>
            <w:gridSpan w:val="4"/>
          </w:tcPr>
          <w:p w:rsidR="00693512" w:rsidRPr="004A079E" w:rsidRDefault="00693512" w:rsidP="00693512">
            <w:pPr>
              <w:jc w:val="both"/>
              <w:rPr>
                <w:sz w:val="20"/>
              </w:rPr>
            </w:pPr>
          </w:p>
        </w:tc>
      </w:tr>
      <w:tr w:rsidR="00693512" w:rsidRPr="004A079E" w:rsidTr="00E95A6A">
        <w:tc>
          <w:tcPr>
            <w:tcW w:w="5000" w:type="pct"/>
            <w:gridSpan w:val="4"/>
          </w:tcPr>
          <w:p w:rsidR="00693512" w:rsidRPr="004A079E" w:rsidRDefault="00693512" w:rsidP="00693512">
            <w:pPr>
              <w:jc w:val="both"/>
              <w:rPr>
                <w:sz w:val="20"/>
              </w:rPr>
            </w:pPr>
            <w:r w:rsidRPr="004A079E">
              <w:rPr>
                <w:sz w:val="20"/>
              </w:rPr>
              <w:t xml:space="preserve">The parties were married in June 2010. They separated in November 2012. They have a child who was born in 2011. They have been engaged in family law proceedings since 2012, when the respondent filed for divorce and corollary relief. Following a trial, the Supreme Court of British Columbia issued a comprehensive order on the various issues, including on custody, parenting time and guardianship, and on spousal support. In 2018, the applicant’s application for an extension of time to appeal was dismissed. The applicant ultimately filed applications to appeal and appeals from orders of the Supreme Court of British Columbia in the litigation. The Court of Appeal dismissed his applications and appeal. </w:t>
            </w:r>
          </w:p>
          <w:p w:rsidR="00693512" w:rsidRPr="004A079E" w:rsidRDefault="00693512" w:rsidP="00693512">
            <w:pPr>
              <w:jc w:val="both"/>
              <w:rPr>
                <w:sz w:val="20"/>
              </w:rPr>
            </w:pPr>
          </w:p>
        </w:tc>
      </w:tr>
      <w:tr w:rsidR="00693512" w:rsidRPr="004A079E" w:rsidTr="00E95A6A">
        <w:tc>
          <w:tcPr>
            <w:tcW w:w="2427" w:type="pct"/>
            <w:gridSpan w:val="2"/>
          </w:tcPr>
          <w:p w:rsidR="00693512" w:rsidRPr="004A079E" w:rsidRDefault="00693512" w:rsidP="00693512">
            <w:pPr>
              <w:jc w:val="both"/>
              <w:rPr>
                <w:sz w:val="20"/>
              </w:rPr>
            </w:pPr>
            <w:r w:rsidRPr="004A079E">
              <w:rPr>
                <w:sz w:val="20"/>
              </w:rPr>
              <w:t>May 8, 2015</w:t>
            </w:r>
          </w:p>
          <w:p w:rsidR="00693512" w:rsidRPr="004A079E" w:rsidRDefault="00693512" w:rsidP="00693512">
            <w:pPr>
              <w:jc w:val="both"/>
              <w:rPr>
                <w:sz w:val="20"/>
              </w:rPr>
            </w:pPr>
            <w:r w:rsidRPr="004A079E">
              <w:rPr>
                <w:sz w:val="20"/>
              </w:rPr>
              <w:t>Supreme Court of British Columbia</w:t>
            </w:r>
          </w:p>
          <w:p w:rsidR="00693512" w:rsidRPr="004A079E" w:rsidRDefault="00693512" w:rsidP="00693512">
            <w:pPr>
              <w:jc w:val="both"/>
              <w:rPr>
                <w:sz w:val="20"/>
              </w:rPr>
            </w:pPr>
            <w:r w:rsidRPr="004A079E">
              <w:rPr>
                <w:sz w:val="20"/>
              </w:rPr>
              <w:t>(Loo J.)</w:t>
            </w:r>
          </w:p>
          <w:p w:rsidR="00693512" w:rsidRPr="004A079E" w:rsidRDefault="004A079E" w:rsidP="00693512">
            <w:pPr>
              <w:jc w:val="both"/>
              <w:rPr>
                <w:sz w:val="20"/>
              </w:rPr>
            </w:pPr>
            <w:hyperlink r:id="rId33" w:history="1">
              <w:r w:rsidR="00693512" w:rsidRPr="004A079E">
                <w:rPr>
                  <w:rStyle w:val="Hyperlink"/>
                  <w:sz w:val="20"/>
                </w:rPr>
                <w:t>2015 BCSC 763</w:t>
              </w:r>
            </w:hyperlink>
          </w:p>
          <w:p w:rsidR="00693512" w:rsidRPr="004A079E" w:rsidRDefault="00693512" w:rsidP="00693512">
            <w:pPr>
              <w:jc w:val="both"/>
              <w:rPr>
                <w:sz w:val="20"/>
              </w:rPr>
            </w:pP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rPr>
            </w:pPr>
            <w:r w:rsidRPr="004A079E">
              <w:rPr>
                <w:sz w:val="20"/>
              </w:rPr>
              <w:t>Comprehensive order issued to address custody of and access to the parties’ child, and child and spousal support.</w:t>
            </w:r>
          </w:p>
        </w:tc>
      </w:tr>
      <w:tr w:rsidR="00693512" w:rsidRPr="004A079E" w:rsidTr="00E95A6A">
        <w:tc>
          <w:tcPr>
            <w:tcW w:w="2427" w:type="pct"/>
            <w:gridSpan w:val="2"/>
          </w:tcPr>
          <w:p w:rsidR="00693512" w:rsidRPr="004A079E" w:rsidRDefault="00693512" w:rsidP="00693512">
            <w:pPr>
              <w:jc w:val="both"/>
              <w:rPr>
                <w:sz w:val="20"/>
              </w:rPr>
            </w:pPr>
            <w:r w:rsidRPr="004A079E">
              <w:rPr>
                <w:sz w:val="20"/>
              </w:rPr>
              <w:t>July 16, 2018</w:t>
            </w:r>
          </w:p>
          <w:p w:rsidR="00693512" w:rsidRPr="004A079E" w:rsidRDefault="00693512" w:rsidP="00693512">
            <w:pPr>
              <w:jc w:val="both"/>
              <w:rPr>
                <w:sz w:val="20"/>
              </w:rPr>
            </w:pPr>
            <w:r w:rsidRPr="004A079E">
              <w:rPr>
                <w:sz w:val="20"/>
              </w:rPr>
              <w:t xml:space="preserve">Court of Appeal for British Columbia </w:t>
            </w:r>
          </w:p>
          <w:p w:rsidR="00693512" w:rsidRPr="004A079E" w:rsidRDefault="00693512" w:rsidP="00693512">
            <w:pPr>
              <w:jc w:val="both"/>
              <w:rPr>
                <w:sz w:val="20"/>
              </w:rPr>
            </w:pPr>
            <w:r w:rsidRPr="004A079E">
              <w:rPr>
                <w:sz w:val="20"/>
              </w:rPr>
              <w:t>(Savage J.)</w:t>
            </w:r>
          </w:p>
          <w:p w:rsidR="00693512" w:rsidRPr="004A079E" w:rsidRDefault="004A079E" w:rsidP="00693512">
            <w:pPr>
              <w:jc w:val="both"/>
              <w:rPr>
                <w:sz w:val="20"/>
              </w:rPr>
            </w:pPr>
            <w:hyperlink r:id="rId34" w:history="1">
              <w:r w:rsidR="00693512" w:rsidRPr="004A079E">
                <w:rPr>
                  <w:rStyle w:val="Hyperlink"/>
                  <w:sz w:val="20"/>
                </w:rPr>
                <w:t>2018 BCCA 295</w:t>
              </w:r>
            </w:hyperlink>
            <w:r w:rsidR="00693512" w:rsidRPr="004A079E">
              <w:rPr>
                <w:sz w:val="20"/>
              </w:rPr>
              <w:t xml:space="preserve"> (Docket: CA45397) </w:t>
            </w:r>
          </w:p>
          <w:p w:rsidR="00693512" w:rsidRPr="004A079E" w:rsidRDefault="00693512" w:rsidP="00693512">
            <w:pPr>
              <w:jc w:val="both"/>
              <w:rPr>
                <w:sz w:val="20"/>
              </w:rPr>
            </w:pP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rPr>
            </w:pPr>
            <w:r w:rsidRPr="004A079E">
              <w:rPr>
                <w:sz w:val="20"/>
              </w:rPr>
              <w:t>Applicant’s application for an extension of time to appeal dismissed.</w:t>
            </w:r>
          </w:p>
          <w:p w:rsidR="00693512" w:rsidRPr="004A079E" w:rsidRDefault="00693512" w:rsidP="00693512">
            <w:pPr>
              <w:jc w:val="both"/>
              <w:rPr>
                <w:sz w:val="20"/>
              </w:rPr>
            </w:pPr>
          </w:p>
        </w:tc>
      </w:tr>
      <w:tr w:rsidR="00693512" w:rsidRPr="004A079E" w:rsidTr="00E95A6A">
        <w:tc>
          <w:tcPr>
            <w:tcW w:w="2427" w:type="pct"/>
            <w:gridSpan w:val="2"/>
          </w:tcPr>
          <w:p w:rsidR="00693512" w:rsidRPr="004A079E" w:rsidRDefault="00693512" w:rsidP="00693512">
            <w:pPr>
              <w:jc w:val="both"/>
              <w:rPr>
                <w:sz w:val="20"/>
              </w:rPr>
            </w:pPr>
            <w:r w:rsidRPr="004A079E">
              <w:rPr>
                <w:sz w:val="20"/>
              </w:rPr>
              <w:t>September 27, 2018</w:t>
            </w:r>
          </w:p>
          <w:p w:rsidR="00693512" w:rsidRPr="004A079E" w:rsidRDefault="00693512" w:rsidP="00693512">
            <w:pPr>
              <w:jc w:val="both"/>
              <w:rPr>
                <w:sz w:val="20"/>
              </w:rPr>
            </w:pPr>
            <w:r w:rsidRPr="004A079E">
              <w:rPr>
                <w:sz w:val="20"/>
              </w:rPr>
              <w:t>Supreme Court of British Columbia</w:t>
            </w:r>
          </w:p>
          <w:p w:rsidR="00693512" w:rsidRPr="004A079E" w:rsidRDefault="00693512" w:rsidP="00693512">
            <w:pPr>
              <w:jc w:val="both"/>
              <w:rPr>
                <w:sz w:val="20"/>
              </w:rPr>
            </w:pPr>
            <w:r w:rsidRPr="004A079E">
              <w:rPr>
                <w:sz w:val="20"/>
              </w:rPr>
              <w:t>(Weatherill J.)</w:t>
            </w:r>
          </w:p>
          <w:p w:rsidR="00693512" w:rsidRPr="004A079E" w:rsidRDefault="00693512" w:rsidP="00693512">
            <w:pPr>
              <w:jc w:val="both"/>
              <w:rPr>
                <w:sz w:val="20"/>
              </w:rPr>
            </w:pPr>
            <w:r w:rsidRPr="004A079E">
              <w:rPr>
                <w:sz w:val="20"/>
              </w:rPr>
              <w:t xml:space="preserve">Unreported (Docket: E123319) </w:t>
            </w:r>
          </w:p>
          <w:p w:rsidR="00693512" w:rsidRPr="004A079E" w:rsidRDefault="00693512" w:rsidP="00693512">
            <w:pPr>
              <w:jc w:val="both"/>
              <w:rPr>
                <w:sz w:val="20"/>
              </w:rPr>
            </w:pP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rPr>
            </w:pPr>
            <w:r w:rsidRPr="004A079E">
              <w:rPr>
                <w:sz w:val="20"/>
              </w:rPr>
              <w:t xml:space="preserve">Applicant’s applications to increase his parenting time and parental responsibilities and for publication ban and sealing order dismissed. Parenting schedule varied by consent. </w:t>
            </w:r>
          </w:p>
          <w:p w:rsidR="00693512" w:rsidRPr="004A079E" w:rsidRDefault="00693512" w:rsidP="00693512">
            <w:pPr>
              <w:jc w:val="both"/>
              <w:rPr>
                <w:sz w:val="20"/>
              </w:rPr>
            </w:pPr>
          </w:p>
        </w:tc>
      </w:tr>
      <w:tr w:rsidR="00693512" w:rsidRPr="004A079E" w:rsidTr="00E95A6A">
        <w:tc>
          <w:tcPr>
            <w:tcW w:w="2427" w:type="pct"/>
            <w:gridSpan w:val="2"/>
          </w:tcPr>
          <w:p w:rsidR="00693512" w:rsidRPr="004A079E" w:rsidRDefault="00693512" w:rsidP="00693512">
            <w:pPr>
              <w:jc w:val="both"/>
              <w:rPr>
                <w:sz w:val="20"/>
              </w:rPr>
            </w:pPr>
            <w:r w:rsidRPr="004A079E">
              <w:rPr>
                <w:sz w:val="20"/>
              </w:rPr>
              <w:t>December 1, 2020</w:t>
            </w:r>
          </w:p>
          <w:p w:rsidR="00693512" w:rsidRPr="004A079E" w:rsidRDefault="00693512" w:rsidP="00693512">
            <w:pPr>
              <w:jc w:val="both"/>
              <w:rPr>
                <w:sz w:val="20"/>
              </w:rPr>
            </w:pPr>
            <w:r w:rsidRPr="004A079E">
              <w:rPr>
                <w:sz w:val="20"/>
              </w:rPr>
              <w:t>Supreme Court of British Columbia</w:t>
            </w:r>
          </w:p>
          <w:p w:rsidR="00693512" w:rsidRPr="004A079E" w:rsidRDefault="00693512" w:rsidP="00693512">
            <w:pPr>
              <w:jc w:val="both"/>
              <w:rPr>
                <w:sz w:val="20"/>
              </w:rPr>
            </w:pPr>
            <w:r w:rsidRPr="004A079E">
              <w:rPr>
                <w:sz w:val="20"/>
              </w:rPr>
              <w:t>(Ker J.)</w:t>
            </w:r>
          </w:p>
          <w:p w:rsidR="00693512" w:rsidRPr="004A079E" w:rsidRDefault="004A079E" w:rsidP="00693512">
            <w:pPr>
              <w:jc w:val="both"/>
              <w:rPr>
                <w:sz w:val="20"/>
              </w:rPr>
            </w:pPr>
            <w:hyperlink r:id="rId35" w:history="1">
              <w:r w:rsidR="00693512" w:rsidRPr="004A079E">
                <w:rPr>
                  <w:rStyle w:val="Hyperlink"/>
                  <w:sz w:val="20"/>
                </w:rPr>
                <w:t>2020 BCSC 1875</w:t>
              </w:r>
            </w:hyperlink>
          </w:p>
          <w:p w:rsidR="00693512" w:rsidRPr="004A079E" w:rsidRDefault="00693512" w:rsidP="00693512">
            <w:pPr>
              <w:jc w:val="both"/>
              <w:rPr>
                <w:sz w:val="20"/>
              </w:rPr>
            </w:pP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rPr>
            </w:pPr>
            <w:r w:rsidRPr="004A079E">
              <w:rPr>
                <w:sz w:val="20"/>
              </w:rPr>
              <w:t>Applicant’s application to proceed by written submission to vary child and spousal support orders and to seek disclosure orders dismissed.</w:t>
            </w:r>
          </w:p>
        </w:tc>
      </w:tr>
      <w:tr w:rsidR="00693512" w:rsidRPr="004A079E" w:rsidTr="00E95A6A">
        <w:tc>
          <w:tcPr>
            <w:tcW w:w="2427" w:type="pct"/>
            <w:gridSpan w:val="2"/>
          </w:tcPr>
          <w:p w:rsidR="00693512" w:rsidRPr="004A079E" w:rsidRDefault="00693512" w:rsidP="00693512">
            <w:pPr>
              <w:jc w:val="both"/>
              <w:rPr>
                <w:sz w:val="20"/>
              </w:rPr>
            </w:pPr>
            <w:r w:rsidRPr="004A079E">
              <w:rPr>
                <w:sz w:val="20"/>
              </w:rPr>
              <w:t>May 27, 2021</w:t>
            </w:r>
          </w:p>
          <w:p w:rsidR="00693512" w:rsidRPr="004A079E" w:rsidRDefault="00693512" w:rsidP="00693512">
            <w:pPr>
              <w:jc w:val="both"/>
              <w:rPr>
                <w:sz w:val="20"/>
              </w:rPr>
            </w:pPr>
            <w:r w:rsidRPr="004A079E">
              <w:rPr>
                <w:sz w:val="20"/>
              </w:rPr>
              <w:t xml:space="preserve">Court of Appeal for British Columbia </w:t>
            </w:r>
          </w:p>
          <w:p w:rsidR="00693512" w:rsidRPr="004A079E" w:rsidRDefault="00693512" w:rsidP="00693512">
            <w:pPr>
              <w:jc w:val="both"/>
              <w:rPr>
                <w:sz w:val="20"/>
              </w:rPr>
            </w:pPr>
            <w:r w:rsidRPr="004A079E">
              <w:rPr>
                <w:sz w:val="20"/>
              </w:rPr>
              <w:t>(Fitch J.)</w:t>
            </w:r>
          </w:p>
          <w:p w:rsidR="00693512" w:rsidRPr="004A079E" w:rsidRDefault="004A079E" w:rsidP="00693512">
            <w:pPr>
              <w:jc w:val="both"/>
              <w:rPr>
                <w:sz w:val="20"/>
              </w:rPr>
            </w:pPr>
            <w:hyperlink r:id="rId36" w:history="1">
              <w:r w:rsidR="00693512" w:rsidRPr="004A079E">
                <w:rPr>
                  <w:rStyle w:val="Hyperlink"/>
                  <w:sz w:val="20"/>
                </w:rPr>
                <w:t>2021 BCCA 236</w:t>
              </w:r>
            </w:hyperlink>
            <w:r w:rsidR="00693512" w:rsidRPr="004A079E">
              <w:rPr>
                <w:sz w:val="20"/>
              </w:rPr>
              <w:t xml:space="preserve"> (Dockets: CA45397; CA45685; CA47146)</w:t>
            </w:r>
          </w:p>
          <w:p w:rsidR="00693512" w:rsidRPr="004A079E" w:rsidRDefault="00693512" w:rsidP="00693512">
            <w:pPr>
              <w:jc w:val="both"/>
              <w:rPr>
                <w:sz w:val="20"/>
              </w:rPr>
            </w:pP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rPr>
            </w:pPr>
            <w:r w:rsidRPr="004A079E">
              <w:rPr>
                <w:sz w:val="20"/>
              </w:rPr>
              <w:t xml:space="preserve">Applicant’s applications to reinstate his appeals from the trial judgment and from the judgment of September 27, 2018, dismissed. Applicant’s application to vary the Court of Appeal order of July 16, 2018, to be determined by a division of the Court of Appeal on the basis of the written submissions already filed. Respondent’s application to quash applicant’s notice of appeal filed from the order of December 1, 2020, dismissed. </w:t>
            </w:r>
          </w:p>
          <w:p w:rsidR="00693512" w:rsidRPr="004A079E" w:rsidRDefault="00693512" w:rsidP="00693512">
            <w:pPr>
              <w:jc w:val="both"/>
              <w:rPr>
                <w:sz w:val="20"/>
              </w:rPr>
            </w:pPr>
          </w:p>
        </w:tc>
      </w:tr>
      <w:tr w:rsidR="00693512" w:rsidRPr="004A079E" w:rsidTr="00E95A6A">
        <w:tc>
          <w:tcPr>
            <w:tcW w:w="2427" w:type="pct"/>
            <w:gridSpan w:val="2"/>
          </w:tcPr>
          <w:p w:rsidR="00693512" w:rsidRPr="004A079E" w:rsidRDefault="00693512" w:rsidP="00693512">
            <w:pPr>
              <w:jc w:val="both"/>
              <w:rPr>
                <w:sz w:val="20"/>
              </w:rPr>
            </w:pPr>
            <w:r w:rsidRPr="004A079E">
              <w:rPr>
                <w:sz w:val="20"/>
              </w:rPr>
              <w:t>October 26, 2021</w:t>
            </w:r>
          </w:p>
          <w:p w:rsidR="00693512" w:rsidRPr="004A079E" w:rsidRDefault="00693512" w:rsidP="00693512">
            <w:pPr>
              <w:jc w:val="both"/>
              <w:rPr>
                <w:sz w:val="20"/>
              </w:rPr>
            </w:pPr>
            <w:r w:rsidRPr="004A079E">
              <w:rPr>
                <w:sz w:val="20"/>
              </w:rPr>
              <w:t>Court of Appeal for British Columbia (Vancouver)</w:t>
            </w:r>
          </w:p>
          <w:p w:rsidR="00693512" w:rsidRPr="004A079E" w:rsidRDefault="00693512" w:rsidP="00693512">
            <w:pPr>
              <w:jc w:val="both"/>
              <w:rPr>
                <w:sz w:val="20"/>
              </w:rPr>
            </w:pPr>
            <w:r w:rsidRPr="004A079E">
              <w:rPr>
                <w:sz w:val="20"/>
              </w:rPr>
              <w:t>(Saunders, Fenlon and Grauer JJ.A.)</w:t>
            </w:r>
          </w:p>
          <w:p w:rsidR="00693512" w:rsidRPr="004A079E" w:rsidRDefault="004A079E" w:rsidP="00693512">
            <w:pPr>
              <w:jc w:val="both"/>
              <w:rPr>
                <w:sz w:val="20"/>
              </w:rPr>
            </w:pPr>
            <w:hyperlink r:id="rId37" w:history="1">
              <w:r w:rsidR="00693512" w:rsidRPr="004A079E">
                <w:rPr>
                  <w:rStyle w:val="Hyperlink"/>
                  <w:sz w:val="20"/>
                </w:rPr>
                <w:t>2021 BCCA 419</w:t>
              </w:r>
            </w:hyperlink>
            <w:r w:rsidR="00693512" w:rsidRPr="004A079E">
              <w:rPr>
                <w:sz w:val="20"/>
              </w:rPr>
              <w:t xml:space="preserve"> (Dockets: CA45397; CA45685; CA47146)</w:t>
            </w:r>
          </w:p>
          <w:p w:rsidR="00693512" w:rsidRPr="004A079E" w:rsidRDefault="00693512" w:rsidP="00693512">
            <w:pPr>
              <w:jc w:val="both"/>
              <w:rPr>
                <w:sz w:val="20"/>
              </w:rPr>
            </w:pP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rPr>
            </w:pPr>
            <w:r w:rsidRPr="004A079E">
              <w:rPr>
                <w:sz w:val="20"/>
              </w:rPr>
              <w:t>Applicant’s application to adduce fresh evidence dismissed. Applicant’s applications to vary the orders of July 16, 2018, and May 27, 2021, dismissed. Applicant’s appeal from the order of December 1, 2020, dismissed.</w:t>
            </w:r>
          </w:p>
        </w:tc>
      </w:tr>
      <w:tr w:rsidR="00693512" w:rsidRPr="004A079E" w:rsidTr="00E95A6A">
        <w:tc>
          <w:tcPr>
            <w:tcW w:w="2427" w:type="pct"/>
            <w:gridSpan w:val="2"/>
          </w:tcPr>
          <w:p w:rsidR="00693512" w:rsidRPr="004A079E" w:rsidRDefault="00693512" w:rsidP="00693512">
            <w:pPr>
              <w:jc w:val="both"/>
              <w:rPr>
                <w:sz w:val="20"/>
              </w:rPr>
            </w:pPr>
            <w:r w:rsidRPr="004A079E">
              <w:rPr>
                <w:sz w:val="20"/>
              </w:rPr>
              <w:t>December 29, 2021</w:t>
            </w:r>
          </w:p>
          <w:p w:rsidR="00693512" w:rsidRPr="004A079E" w:rsidRDefault="00693512" w:rsidP="00693512">
            <w:pPr>
              <w:jc w:val="both"/>
              <w:rPr>
                <w:sz w:val="20"/>
              </w:rPr>
            </w:pPr>
            <w:r w:rsidRPr="004A079E">
              <w:rPr>
                <w:sz w:val="20"/>
              </w:rPr>
              <w:t>Supreme Court of Canada</w:t>
            </w:r>
          </w:p>
        </w:tc>
        <w:tc>
          <w:tcPr>
            <w:tcW w:w="243" w:type="pct"/>
          </w:tcPr>
          <w:p w:rsidR="00693512" w:rsidRPr="004A079E" w:rsidRDefault="00693512" w:rsidP="00693512">
            <w:pPr>
              <w:jc w:val="both"/>
              <w:rPr>
                <w:sz w:val="20"/>
              </w:rPr>
            </w:pPr>
          </w:p>
        </w:tc>
        <w:tc>
          <w:tcPr>
            <w:tcW w:w="2330" w:type="pct"/>
          </w:tcPr>
          <w:p w:rsidR="00693512" w:rsidRPr="004A079E" w:rsidRDefault="00693512" w:rsidP="00693512">
            <w:pPr>
              <w:jc w:val="both"/>
              <w:rPr>
                <w:sz w:val="20"/>
              </w:rPr>
            </w:pPr>
            <w:r w:rsidRPr="004A079E">
              <w:rPr>
                <w:sz w:val="20"/>
              </w:rPr>
              <w:t>Application for leave to appeal filed.</w:t>
            </w:r>
          </w:p>
          <w:p w:rsidR="00693512" w:rsidRPr="004A079E" w:rsidRDefault="00693512" w:rsidP="00693512">
            <w:pPr>
              <w:jc w:val="both"/>
              <w:rPr>
                <w:sz w:val="20"/>
              </w:rPr>
            </w:pPr>
          </w:p>
        </w:tc>
      </w:tr>
    </w:tbl>
    <w:p w:rsidR="00693512" w:rsidRPr="004A079E" w:rsidRDefault="00693512" w:rsidP="00693512">
      <w:pPr>
        <w:jc w:val="both"/>
        <w:rPr>
          <w:sz w:val="20"/>
        </w:rPr>
      </w:pPr>
    </w:p>
    <w:p w:rsidR="00693512" w:rsidRPr="004A079E" w:rsidRDefault="004A079E" w:rsidP="00693512">
      <w:pPr>
        <w:jc w:val="both"/>
        <w:rPr>
          <w:sz w:val="20"/>
        </w:rPr>
      </w:pPr>
      <w:r w:rsidRPr="004A079E">
        <w:rPr>
          <w:sz w:val="20"/>
        </w:rPr>
        <w:pict>
          <v:rect id="_x0000_i1035" style="width:2in;height:1pt" o:hrpct="0" o:hralign="center" o:hrstd="t" o:hrnoshade="t" o:hr="t" fillcolor="black [3213]" stroked="f"/>
        </w:pict>
      </w:r>
    </w:p>
    <w:p w:rsidR="00693512" w:rsidRPr="004A079E" w:rsidRDefault="00693512" w:rsidP="006935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93512" w:rsidRPr="004A079E" w:rsidTr="001711AF">
        <w:tc>
          <w:tcPr>
            <w:tcW w:w="543" w:type="pct"/>
          </w:tcPr>
          <w:p w:rsidR="00693512" w:rsidRPr="004A079E" w:rsidRDefault="00693512" w:rsidP="00693512">
            <w:pPr>
              <w:jc w:val="both"/>
              <w:rPr>
                <w:sz w:val="20"/>
                <w:lang w:val="fr-CA"/>
              </w:rPr>
            </w:pPr>
            <w:r w:rsidRPr="004A079E">
              <w:rPr>
                <w:rStyle w:val="SCCFileNumberChar"/>
                <w:sz w:val="20"/>
                <w:szCs w:val="20"/>
                <w:lang w:val="fr-CA"/>
              </w:rPr>
              <w:t>40012</w:t>
            </w:r>
          </w:p>
        </w:tc>
        <w:tc>
          <w:tcPr>
            <w:tcW w:w="4457" w:type="pct"/>
            <w:gridSpan w:val="3"/>
          </w:tcPr>
          <w:p w:rsidR="00693512" w:rsidRPr="004A079E" w:rsidRDefault="00693512" w:rsidP="00693512">
            <w:pPr>
              <w:pStyle w:val="SCCLsocParty"/>
              <w:jc w:val="both"/>
              <w:rPr>
                <w:b/>
                <w:sz w:val="20"/>
                <w:szCs w:val="20"/>
              </w:rPr>
            </w:pPr>
            <w:r w:rsidRPr="004A079E">
              <w:rPr>
                <w:b/>
                <w:sz w:val="20"/>
                <w:szCs w:val="20"/>
              </w:rPr>
              <w:t>J.R.L. c. Q.X.</w:t>
            </w:r>
          </w:p>
          <w:p w:rsidR="00693512" w:rsidRPr="004A079E" w:rsidRDefault="00693512" w:rsidP="00693512">
            <w:pPr>
              <w:jc w:val="both"/>
              <w:rPr>
                <w:sz w:val="20"/>
                <w:lang w:val="fr-CA"/>
              </w:rPr>
            </w:pPr>
            <w:r w:rsidRPr="004A079E">
              <w:rPr>
                <w:sz w:val="20"/>
                <w:lang w:val="fr-CA"/>
              </w:rPr>
              <w:t>(C.</w:t>
            </w:r>
            <w:r w:rsidRPr="004A079E">
              <w:rPr>
                <w:sz w:val="20"/>
                <w:lang w:val="fr-CA"/>
              </w:rPr>
              <w:noBreakHyphen/>
              <w:t>B.) (Civile) (Autorisation)</w:t>
            </w:r>
          </w:p>
        </w:tc>
      </w:tr>
      <w:tr w:rsidR="00693512" w:rsidRPr="004A079E" w:rsidTr="001711AF">
        <w:tc>
          <w:tcPr>
            <w:tcW w:w="5000" w:type="pct"/>
            <w:gridSpan w:val="4"/>
          </w:tcPr>
          <w:p w:rsidR="00693512" w:rsidRPr="004A079E" w:rsidRDefault="00693512" w:rsidP="00693512">
            <w:pPr>
              <w:pStyle w:val="SCCBanSummary"/>
              <w:rPr>
                <w:sz w:val="20"/>
                <w:szCs w:val="20"/>
                <w:lang w:val="fr-CA"/>
              </w:rPr>
            </w:pPr>
            <w:r w:rsidRPr="004A079E">
              <w:rPr>
                <w:sz w:val="20"/>
                <w:szCs w:val="20"/>
                <w:lang w:val="fr-CA"/>
              </w:rPr>
              <w:t>(Ordonnance de non</w:t>
            </w:r>
            <w:r w:rsidRPr="004A079E">
              <w:rPr>
                <w:sz w:val="20"/>
                <w:szCs w:val="20"/>
                <w:lang w:val="fr-CA"/>
              </w:rPr>
              <w:noBreakHyphen/>
              <w:t>publication visant une partie)</w:t>
            </w:r>
          </w:p>
          <w:p w:rsidR="00693512" w:rsidRPr="004A079E" w:rsidRDefault="00693512" w:rsidP="00693512">
            <w:pPr>
              <w:jc w:val="both"/>
              <w:rPr>
                <w:sz w:val="20"/>
                <w:lang w:val="fr-CA"/>
              </w:rPr>
            </w:pPr>
          </w:p>
          <w:p w:rsidR="00693512" w:rsidRPr="004A079E" w:rsidRDefault="00693512" w:rsidP="00693512">
            <w:pPr>
              <w:jc w:val="both"/>
              <w:rPr>
                <w:sz w:val="20"/>
                <w:lang w:val="fr-CA"/>
              </w:rPr>
            </w:pPr>
            <w:r w:rsidRPr="004A079E">
              <w:rPr>
                <w:sz w:val="20"/>
                <w:lang w:val="fr-CA"/>
              </w:rPr>
              <w:t>Droit de la famille — Garde — Pension alimentaire pour le conjoint — Rejet de la demande de prorogation du délai pour interjeter appel — La violence familiale a</w:t>
            </w:r>
            <w:r w:rsidRPr="004A079E">
              <w:rPr>
                <w:sz w:val="20"/>
                <w:lang w:val="fr-CA"/>
              </w:rPr>
              <w:noBreakHyphen/>
              <w:t>t</w:t>
            </w:r>
            <w:r w:rsidRPr="004A079E">
              <w:rPr>
                <w:sz w:val="20"/>
                <w:lang w:val="fr-CA"/>
              </w:rPr>
              <w:noBreakHyphen/>
              <w:t>elle été correctement évaluée par les juridictions inférieures? — Une pension alimentaire forfaitaire de neuf ans accordée à la conjointe représente</w:t>
            </w:r>
            <w:r w:rsidRPr="004A079E">
              <w:rPr>
                <w:sz w:val="20"/>
                <w:lang w:val="fr-CA"/>
              </w:rPr>
              <w:noBreakHyphen/>
              <w:t>t-elle une erreur importante?</w:t>
            </w:r>
          </w:p>
        </w:tc>
      </w:tr>
      <w:tr w:rsidR="00693512" w:rsidRPr="004A079E" w:rsidTr="001711AF">
        <w:tc>
          <w:tcPr>
            <w:tcW w:w="5000" w:type="pct"/>
            <w:gridSpan w:val="4"/>
          </w:tcPr>
          <w:p w:rsidR="00693512" w:rsidRPr="004A079E" w:rsidRDefault="00693512" w:rsidP="00693512">
            <w:pPr>
              <w:jc w:val="both"/>
              <w:rPr>
                <w:sz w:val="20"/>
                <w:lang w:val="fr-CA"/>
              </w:rPr>
            </w:pPr>
          </w:p>
        </w:tc>
      </w:tr>
      <w:tr w:rsidR="00693512" w:rsidRPr="004A079E" w:rsidTr="001711AF">
        <w:tc>
          <w:tcPr>
            <w:tcW w:w="5000" w:type="pct"/>
            <w:gridSpan w:val="4"/>
          </w:tcPr>
          <w:p w:rsidR="00693512" w:rsidRPr="004A079E" w:rsidRDefault="00693512" w:rsidP="00693512">
            <w:pPr>
              <w:jc w:val="both"/>
              <w:rPr>
                <w:sz w:val="20"/>
                <w:lang w:val="fr-CA"/>
              </w:rPr>
            </w:pPr>
            <w:r w:rsidRPr="004A079E">
              <w:rPr>
                <w:sz w:val="20"/>
                <w:lang w:val="fr-CA"/>
              </w:rPr>
              <w:t>Les parties se sont mariées en juin 2010. Elles se sont séparées en novembre 2012. Elles ont un enfant né en 2011. Elles ont entamé des procédures en droit de la famille depuis 2012, quand la défenderesse a déposé une demande de divorce et de mesures accessoires. À la suite d’un procès, la Cour suprême de la Colombie</w:t>
            </w:r>
            <w:r w:rsidRPr="004A079E">
              <w:rPr>
                <w:sz w:val="20"/>
                <w:lang w:val="fr-CA"/>
              </w:rPr>
              <w:noBreakHyphen/>
              <w:t>Britannique a rendu une ordonnance globale sur plusieurs des questions, y compris la garde, le temps parental et la tutelle, et sur la pension alimentaire pour la conjointe. En 2018, la demande présentée par le demandeur en vue de la prorogation du délai pour interjeter appel a été rejetée. Le demandeur a en définitive présenté des demandes d’autorisation d’appel et des appels à l’encontre des ordonnances de la Cour suprême de la Colombie</w:t>
            </w:r>
            <w:r w:rsidRPr="004A079E">
              <w:rPr>
                <w:sz w:val="20"/>
                <w:lang w:val="fr-CA"/>
              </w:rPr>
              <w:noBreakHyphen/>
              <w:t>Britannique dans le litige. La Cour d’appel a rejeté ses demandes et son appel.</w:t>
            </w:r>
          </w:p>
          <w:p w:rsidR="00693512" w:rsidRPr="004A079E" w:rsidRDefault="00693512" w:rsidP="00693512">
            <w:pPr>
              <w:jc w:val="both"/>
              <w:rPr>
                <w:sz w:val="20"/>
                <w:lang w:val="fr-CA"/>
              </w:rPr>
            </w:pPr>
          </w:p>
        </w:tc>
      </w:tr>
      <w:tr w:rsidR="00693512" w:rsidRPr="004A079E" w:rsidTr="001711AF">
        <w:tc>
          <w:tcPr>
            <w:tcW w:w="2427" w:type="pct"/>
            <w:gridSpan w:val="2"/>
          </w:tcPr>
          <w:p w:rsidR="00693512" w:rsidRPr="004A079E" w:rsidRDefault="00693512" w:rsidP="00693512">
            <w:pPr>
              <w:jc w:val="both"/>
              <w:rPr>
                <w:sz w:val="20"/>
                <w:lang w:val="fr-CA"/>
              </w:rPr>
            </w:pPr>
            <w:r w:rsidRPr="004A079E">
              <w:rPr>
                <w:sz w:val="20"/>
                <w:lang w:val="fr-CA"/>
              </w:rPr>
              <w:t>8 mai 2015</w:t>
            </w:r>
          </w:p>
          <w:p w:rsidR="00693512" w:rsidRPr="004A079E" w:rsidRDefault="00693512" w:rsidP="00693512">
            <w:pPr>
              <w:jc w:val="both"/>
              <w:rPr>
                <w:sz w:val="20"/>
                <w:lang w:val="fr-CA"/>
              </w:rPr>
            </w:pPr>
            <w:r w:rsidRPr="004A079E">
              <w:rPr>
                <w:sz w:val="20"/>
                <w:lang w:val="fr-CA"/>
              </w:rPr>
              <w:t>Cour suprême de la Colombie</w:t>
            </w:r>
            <w:r w:rsidRPr="004A079E">
              <w:rPr>
                <w:sz w:val="20"/>
                <w:lang w:val="fr-CA"/>
              </w:rPr>
              <w:noBreakHyphen/>
              <w:t>Britannique</w:t>
            </w:r>
          </w:p>
          <w:p w:rsidR="00693512" w:rsidRPr="004A079E" w:rsidRDefault="00693512" w:rsidP="00693512">
            <w:pPr>
              <w:jc w:val="both"/>
              <w:rPr>
                <w:sz w:val="20"/>
                <w:lang w:val="fr-CA"/>
              </w:rPr>
            </w:pPr>
            <w:r w:rsidRPr="004A079E">
              <w:rPr>
                <w:sz w:val="20"/>
                <w:lang w:val="fr-CA"/>
              </w:rPr>
              <w:t>(juge Loo)</w:t>
            </w:r>
          </w:p>
          <w:p w:rsidR="00693512" w:rsidRPr="004A079E" w:rsidRDefault="004A079E" w:rsidP="00693512">
            <w:pPr>
              <w:jc w:val="both"/>
              <w:rPr>
                <w:sz w:val="20"/>
                <w:lang w:val="fr-CA"/>
              </w:rPr>
            </w:pPr>
            <w:hyperlink r:id="rId38" w:history="1">
              <w:r w:rsidR="00693512" w:rsidRPr="004A079E">
                <w:rPr>
                  <w:rStyle w:val="Hyperlink"/>
                  <w:sz w:val="20"/>
                  <w:lang w:val="fr-CA"/>
                </w:rPr>
                <w:t>2015 BCSC 763</w:t>
              </w:r>
            </w:hyperlink>
          </w:p>
          <w:p w:rsidR="00693512" w:rsidRPr="004A079E" w:rsidRDefault="00693512" w:rsidP="00693512">
            <w:pPr>
              <w:jc w:val="both"/>
              <w:rPr>
                <w:sz w:val="20"/>
                <w:lang w:val="fr-CA"/>
              </w:rPr>
            </w:pPr>
          </w:p>
        </w:tc>
        <w:tc>
          <w:tcPr>
            <w:tcW w:w="243" w:type="pct"/>
          </w:tcPr>
          <w:p w:rsidR="00693512" w:rsidRPr="004A079E" w:rsidRDefault="00693512" w:rsidP="00693512">
            <w:pPr>
              <w:jc w:val="both"/>
              <w:rPr>
                <w:sz w:val="20"/>
                <w:lang w:val="fr-CA"/>
              </w:rPr>
            </w:pPr>
          </w:p>
        </w:tc>
        <w:tc>
          <w:tcPr>
            <w:tcW w:w="2330" w:type="pct"/>
          </w:tcPr>
          <w:p w:rsidR="00693512" w:rsidRPr="004A079E" w:rsidRDefault="00693512" w:rsidP="00693512">
            <w:pPr>
              <w:jc w:val="both"/>
              <w:rPr>
                <w:sz w:val="20"/>
                <w:lang w:val="fr-CA"/>
              </w:rPr>
            </w:pPr>
            <w:r w:rsidRPr="004A079E">
              <w:rPr>
                <w:sz w:val="20"/>
                <w:lang w:val="fr-CA"/>
              </w:rPr>
              <w:t xml:space="preserve">Ordonnance globale rendue afin de régler les questions de garde et d’accès à l’enfant des parties, et de pension alimentaire pour l’enfant et pour la conjointe. </w:t>
            </w:r>
          </w:p>
        </w:tc>
      </w:tr>
      <w:tr w:rsidR="00693512" w:rsidRPr="004A079E" w:rsidTr="001711AF">
        <w:tc>
          <w:tcPr>
            <w:tcW w:w="2427" w:type="pct"/>
            <w:gridSpan w:val="2"/>
          </w:tcPr>
          <w:p w:rsidR="00693512" w:rsidRPr="004A079E" w:rsidRDefault="00693512" w:rsidP="00693512">
            <w:pPr>
              <w:jc w:val="both"/>
              <w:rPr>
                <w:sz w:val="20"/>
                <w:lang w:val="fr-CA"/>
              </w:rPr>
            </w:pPr>
            <w:r w:rsidRPr="004A079E">
              <w:rPr>
                <w:sz w:val="20"/>
                <w:lang w:val="fr-CA"/>
              </w:rPr>
              <w:t>16 juillet 2018</w:t>
            </w:r>
          </w:p>
          <w:p w:rsidR="00693512" w:rsidRPr="004A079E" w:rsidRDefault="00693512" w:rsidP="00693512">
            <w:pPr>
              <w:jc w:val="both"/>
              <w:rPr>
                <w:sz w:val="20"/>
                <w:lang w:val="fr-CA"/>
              </w:rPr>
            </w:pPr>
            <w:r w:rsidRPr="004A079E">
              <w:rPr>
                <w:sz w:val="20"/>
                <w:lang w:val="fr-CA"/>
              </w:rPr>
              <w:t>Cour d’appel de la Colombie</w:t>
            </w:r>
            <w:r w:rsidRPr="004A079E">
              <w:rPr>
                <w:sz w:val="20"/>
                <w:lang w:val="fr-CA"/>
              </w:rPr>
              <w:noBreakHyphen/>
              <w:t>Britannique</w:t>
            </w:r>
          </w:p>
          <w:p w:rsidR="00693512" w:rsidRPr="004A079E" w:rsidRDefault="00693512" w:rsidP="00693512">
            <w:pPr>
              <w:jc w:val="both"/>
              <w:rPr>
                <w:sz w:val="20"/>
                <w:lang w:val="fr-CA"/>
              </w:rPr>
            </w:pPr>
            <w:r w:rsidRPr="004A079E">
              <w:rPr>
                <w:sz w:val="20"/>
                <w:lang w:val="fr-CA"/>
              </w:rPr>
              <w:t>(juge Savage)</w:t>
            </w:r>
          </w:p>
          <w:p w:rsidR="00693512" w:rsidRPr="004A079E" w:rsidRDefault="004A079E" w:rsidP="00693512">
            <w:pPr>
              <w:jc w:val="both"/>
              <w:rPr>
                <w:sz w:val="20"/>
                <w:lang w:val="fr-CA"/>
              </w:rPr>
            </w:pPr>
            <w:hyperlink r:id="rId39" w:history="1">
              <w:r w:rsidR="00693512" w:rsidRPr="004A079E">
                <w:rPr>
                  <w:rStyle w:val="Hyperlink"/>
                  <w:sz w:val="20"/>
                  <w:lang w:val="fr-CA"/>
                </w:rPr>
                <w:t>2018 BCCA 295</w:t>
              </w:r>
            </w:hyperlink>
            <w:r w:rsidR="00693512" w:rsidRPr="004A079E">
              <w:rPr>
                <w:sz w:val="20"/>
                <w:lang w:val="fr-CA"/>
              </w:rPr>
              <w:t xml:space="preserve"> (Dossier : CA45397) </w:t>
            </w:r>
          </w:p>
          <w:p w:rsidR="00693512" w:rsidRPr="004A079E" w:rsidRDefault="00693512" w:rsidP="00693512">
            <w:pPr>
              <w:jc w:val="both"/>
              <w:rPr>
                <w:sz w:val="20"/>
                <w:lang w:val="fr-CA"/>
              </w:rPr>
            </w:pPr>
          </w:p>
        </w:tc>
        <w:tc>
          <w:tcPr>
            <w:tcW w:w="243" w:type="pct"/>
          </w:tcPr>
          <w:p w:rsidR="00693512" w:rsidRPr="004A079E" w:rsidRDefault="00693512" w:rsidP="00693512">
            <w:pPr>
              <w:jc w:val="both"/>
              <w:rPr>
                <w:sz w:val="20"/>
                <w:lang w:val="fr-CA"/>
              </w:rPr>
            </w:pPr>
          </w:p>
        </w:tc>
        <w:tc>
          <w:tcPr>
            <w:tcW w:w="2330" w:type="pct"/>
          </w:tcPr>
          <w:p w:rsidR="00693512" w:rsidRPr="004A079E" w:rsidRDefault="00693512" w:rsidP="00693512">
            <w:pPr>
              <w:jc w:val="both"/>
              <w:rPr>
                <w:sz w:val="20"/>
                <w:lang w:val="fr-CA"/>
              </w:rPr>
            </w:pPr>
            <w:r w:rsidRPr="004A079E">
              <w:rPr>
                <w:sz w:val="20"/>
                <w:lang w:val="fr-CA"/>
              </w:rPr>
              <w:t>Rejet de la demande du demandeur en vue de la prorogation du délai pour interjeter appel.</w:t>
            </w:r>
          </w:p>
          <w:p w:rsidR="00693512" w:rsidRPr="004A079E" w:rsidRDefault="00693512" w:rsidP="00693512">
            <w:pPr>
              <w:jc w:val="both"/>
              <w:rPr>
                <w:sz w:val="20"/>
                <w:lang w:val="fr-CA"/>
              </w:rPr>
            </w:pPr>
          </w:p>
        </w:tc>
      </w:tr>
      <w:tr w:rsidR="00693512" w:rsidRPr="004A079E" w:rsidTr="001711AF">
        <w:tc>
          <w:tcPr>
            <w:tcW w:w="2427" w:type="pct"/>
            <w:gridSpan w:val="2"/>
          </w:tcPr>
          <w:p w:rsidR="00693512" w:rsidRPr="004A079E" w:rsidRDefault="00693512" w:rsidP="00693512">
            <w:pPr>
              <w:jc w:val="both"/>
              <w:rPr>
                <w:sz w:val="20"/>
                <w:lang w:val="fr-CA"/>
              </w:rPr>
            </w:pPr>
            <w:r w:rsidRPr="004A079E">
              <w:rPr>
                <w:sz w:val="20"/>
                <w:lang w:val="fr-CA"/>
              </w:rPr>
              <w:t>27 septembre 2018</w:t>
            </w:r>
          </w:p>
          <w:p w:rsidR="00693512" w:rsidRPr="004A079E" w:rsidRDefault="00693512" w:rsidP="00693512">
            <w:pPr>
              <w:jc w:val="both"/>
              <w:rPr>
                <w:sz w:val="20"/>
                <w:lang w:val="fr-CA"/>
              </w:rPr>
            </w:pPr>
            <w:r w:rsidRPr="004A079E">
              <w:rPr>
                <w:sz w:val="20"/>
                <w:lang w:val="fr-CA"/>
              </w:rPr>
              <w:t>Cour suprême de la Colombie</w:t>
            </w:r>
            <w:r w:rsidRPr="004A079E">
              <w:rPr>
                <w:sz w:val="20"/>
                <w:lang w:val="fr-CA"/>
              </w:rPr>
              <w:noBreakHyphen/>
              <w:t>Britannique</w:t>
            </w:r>
          </w:p>
          <w:p w:rsidR="00693512" w:rsidRPr="004A079E" w:rsidRDefault="00693512" w:rsidP="00693512">
            <w:pPr>
              <w:jc w:val="both"/>
              <w:rPr>
                <w:sz w:val="20"/>
                <w:lang w:val="fr-CA"/>
              </w:rPr>
            </w:pPr>
            <w:r w:rsidRPr="004A079E">
              <w:rPr>
                <w:sz w:val="20"/>
                <w:lang w:val="fr-CA"/>
              </w:rPr>
              <w:t>(juge Weatherill)</w:t>
            </w:r>
          </w:p>
          <w:p w:rsidR="00693512" w:rsidRPr="004A079E" w:rsidRDefault="00693512" w:rsidP="00693512">
            <w:pPr>
              <w:jc w:val="both"/>
              <w:rPr>
                <w:sz w:val="20"/>
                <w:lang w:val="fr-CA"/>
              </w:rPr>
            </w:pPr>
            <w:r w:rsidRPr="004A079E">
              <w:rPr>
                <w:sz w:val="20"/>
                <w:lang w:val="fr-CA"/>
              </w:rPr>
              <w:t>Non</w:t>
            </w:r>
            <w:r w:rsidRPr="004A079E">
              <w:rPr>
                <w:sz w:val="20"/>
                <w:lang w:val="fr-CA"/>
              </w:rPr>
              <w:noBreakHyphen/>
              <w:t xml:space="preserve">publiée (Dossier : E123319) </w:t>
            </w:r>
          </w:p>
          <w:p w:rsidR="00693512" w:rsidRPr="004A079E" w:rsidRDefault="00693512" w:rsidP="00693512">
            <w:pPr>
              <w:jc w:val="both"/>
              <w:rPr>
                <w:sz w:val="20"/>
                <w:lang w:val="fr-CA"/>
              </w:rPr>
            </w:pPr>
          </w:p>
        </w:tc>
        <w:tc>
          <w:tcPr>
            <w:tcW w:w="243" w:type="pct"/>
          </w:tcPr>
          <w:p w:rsidR="00693512" w:rsidRPr="004A079E" w:rsidRDefault="00693512" w:rsidP="00693512">
            <w:pPr>
              <w:jc w:val="both"/>
              <w:rPr>
                <w:sz w:val="20"/>
                <w:lang w:val="fr-CA"/>
              </w:rPr>
            </w:pPr>
          </w:p>
        </w:tc>
        <w:tc>
          <w:tcPr>
            <w:tcW w:w="2330" w:type="pct"/>
          </w:tcPr>
          <w:p w:rsidR="00693512" w:rsidRPr="004A079E" w:rsidRDefault="00693512" w:rsidP="00693512">
            <w:pPr>
              <w:jc w:val="both"/>
              <w:rPr>
                <w:sz w:val="20"/>
                <w:lang w:val="fr-CA"/>
              </w:rPr>
            </w:pPr>
            <w:r w:rsidRPr="004A079E">
              <w:rPr>
                <w:sz w:val="20"/>
                <w:lang w:val="fr-CA"/>
              </w:rPr>
              <w:t>Rejet des demandes du demandeur en vue d’augmenter son temps parental et ses responsabilités parentales et d’obtenir une ordonnance de non</w:t>
            </w:r>
            <w:r w:rsidRPr="004A079E">
              <w:rPr>
                <w:sz w:val="20"/>
                <w:lang w:val="fr-CA"/>
              </w:rPr>
              <w:noBreakHyphen/>
              <w:t xml:space="preserve">publication et une ordonnance de mise sous scellés. Horaire parental modifié sur consentement. </w:t>
            </w:r>
          </w:p>
          <w:p w:rsidR="00693512" w:rsidRPr="004A079E" w:rsidRDefault="00693512" w:rsidP="00693512">
            <w:pPr>
              <w:jc w:val="both"/>
              <w:rPr>
                <w:sz w:val="20"/>
                <w:lang w:val="fr-CA"/>
              </w:rPr>
            </w:pPr>
          </w:p>
        </w:tc>
      </w:tr>
      <w:tr w:rsidR="00693512" w:rsidRPr="004A079E" w:rsidTr="001711AF">
        <w:tc>
          <w:tcPr>
            <w:tcW w:w="2427" w:type="pct"/>
            <w:gridSpan w:val="2"/>
          </w:tcPr>
          <w:p w:rsidR="00693512" w:rsidRPr="004A079E" w:rsidRDefault="00693512" w:rsidP="00693512">
            <w:pPr>
              <w:jc w:val="both"/>
              <w:rPr>
                <w:sz w:val="20"/>
                <w:lang w:val="fr-CA"/>
              </w:rPr>
            </w:pPr>
            <w:r w:rsidRPr="004A079E">
              <w:rPr>
                <w:sz w:val="20"/>
                <w:lang w:val="fr-CA"/>
              </w:rPr>
              <w:t>1</w:t>
            </w:r>
            <w:r w:rsidRPr="004A079E">
              <w:rPr>
                <w:sz w:val="20"/>
                <w:vertAlign w:val="superscript"/>
                <w:lang w:val="fr-CA"/>
              </w:rPr>
              <w:t>er</w:t>
            </w:r>
            <w:r w:rsidRPr="004A079E">
              <w:rPr>
                <w:sz w:val="20"/>
                <w:lang w:val="fr-CA"/>
              </w:rPr>
              <w:t xml:space="preserve"> décembre 2020</w:t>
            </w:r>
          </w:p>
          <w:p w:rsidR="00693512" w:rsidRPr="004A079E" w:rsidRDefault="00693512" w:rsidP="00693512">
            <w:pPr>
              <w:jc w:val="both"/>
              <w:rPr>
                <w:sz w:val="20"/>
                <w:lang w:val="fr-CA"/>
              </w:rPr>
            </w:pPr>
            <w:r w:rsidRPr="004A079E">
              <w:rPr>
                <w:sz w:val="20"/>
                <w:lang w:val="fr-CA"/>
              </w:rPr>
              <w:t>Cour suprême de la Colombie</w:t>
            </w:r>
            <w:r w:rsidRPr="004A079E">
              <w:rPr>
                <w:sz w:val="20"/>
                <w:lang w:val="fr-CA"/>
              </w:rPr>
              <w:noBreakHyphen/>
              <w:t>Britannique</w:t>
            </w:r>
          </w:p>
          <w:p w:rsidR="00693512" w:rsidRPr="004A079E" w:rsidRDefault="00693512" w:rsidP="00693512">
            <w:pPr>
              <w:jc w:val="both"/>
              <w:rPr>
                <w:sz w:val="20"/>
                <w:lang w:val="fr-CA"/>
              </w:rPr>
            </w:pPr>
            <w:r w:rsidRPr="004A079E">
              <w:rPr>
                <w:sz w:val="20"/>
                <w:lang w:val="fr-CA"/>
              </w:rPr>
              <w:t>(juge Ker)</w:t>
            </w:r>
          </w:p>
          <w:p w:rsidR="00693512" w:rsidRPr="004A079E" w:rsidRDefault="004A079E" w:rsidP="00693512">
            <w:pPr>
              <w:jc w:val="both"/>
              <w:rPr>
                <w:sz w:val="20"/>
                <w:lang w:val="fr-CA"/>
              </w:rPr>
            </w:pPr>
            <w:hyperlink r:id="rId40" w:history="1">
              <w:r w:rsidR="00693512" w:rsidRPr="004A079E">
                <w:rPr>
                  <w:rStyle w:val="Hyperlink"/>
                  <w:sz w:val="20"/>
                  <w:lang w:val="fr-CA"/>
                </w:rPr>
                <w:t>2020 BCSC 1875</w:t>
              </w:r>
            </w:hyperlink>
          </w:p>
          <w:p w:rsidR="00693512" w:rsidRPr="004A079E" w:rsidRDefault="00693512" w:rsidP="00693512">
            <w:pPr>
              <w:jc w:val="both"/>
              <w:rPr>
                <w:sz w:val="20"/>
                <w:lang w:val="fr-CA"/>
              </w:rPr>
            </w:pPr>
          </w:p>
        </w:tc>
        <w:tc>
          <w:tcPr>
            <w:tcW w:w="243" w:type="pct"/>
          </w:tcPr>
          <w:p w:rsidR="00693512" w:rsidRPr="004A079E" w:rsidRDefault="00693512" w:rsidP="00693512">
            <w:pPr>
              <w:tabs>
                <w:tab w:val="left" w:pos="416"/>
              </w:tabs>
              <w:jc w:val="both"/>
              <w:rPr>
                <w:sz w:val="20"/>
                <w:lang w:val="fr-CA"/>
              </w:rPr>
            </w:pPr>
          </w:p>
        </w:tc>
        <w:tc>
          <w:tcPr>
            <w:tcW w:w="2330" w:type="pct"/>
          </w:tcPr>
          <w:p w:rsidR="00693512" w:rsidRPr="004A079E" w:rsidRDefault="00693512" w:rsidP="00693512">
            <w:pPr>
              <w:jc w:val="both"/>
              <w:rPr>
                <w:sz w:val="20"/>
                <w:lang w:val="fr-CA"/>
              </w:rPr>
            </w:pPr>
            <w:r w:rsidRPr="004A079E">
              <w:rPr>
                <w:sz w:val="20"/>
                <w:lang w:val="fr-CA"/>
              </w:rPr>
              <w:t>Rejet de la demande du demandeur en vue de procéder par voie d’argumentation écrite pour modifier les ordonnances de pension alimentaire pour l’enfant et pour le conjoint et pour solliciter la communication des ordonnances.</w:t>
            </w:r>
          </w:p>
          <w:p w:rsidR="00693512" w:rsidRPr="004A079E" w:rsidRDefault="00693512" w:rsidP="00693512">
            <w:pPr>
              <w:jc w:val="both"/>
              <w:rPr>
                <w:sz w:val="20"/>
                <w:lang w:val="fr-CA"/>
              </w:rPr>
            </w:pPr>
          </w:p>
        </w:tc>
      </w:tr>
      <w:tr w:rsidR="00693512" w:rsidRPr="004A079E" w:rsidTr="001711AF">
        <w:tc>
          <w:tcPr>
            <w:tcW w:w="2427" w:type="pct"/>
            <w:gridSpan w:val="2"/>
          </w:tcPr>
          <w:p w:rsidR="00693512" w:rsidRPr="004A079E" w:rsidRDefault="00693512" w:rsidP="00693512">
            <w:pPr>
              <w:jc w:val="both"/>
              <w:rPr>
                <w:sz w:val="20"/>
                <w:lang w:val="fr-CA"/>
              </w:rPr>
            </w:pPr>
            <w:r w:rsidRPr="004A079E">
              <w:rPr>
                <w:sz w:val="20"/>
                <w:lang w:val="fr-CA"/>
              </w:rPr>
              <w:t>27 mai 2021</w:t>
            </w:r>
          </w:p>
          <w:p w:rsidR="00693512" w:rsidRPr="004A079E" w:rsidRDefault="00693512" w:rsidP="00693512">
            <w:pPr>
              <w:jc w:val="both"/>
              <w:rPr>
                <w:sz w:val="20"/>
                <w:lang w:val="fr-CA"/>
              </w:rPr>
            </w:pPr>
            <w:r w:rsidRPr="004A079E">
              <w:rPr>
                <w:sz w:val="20"/>
                <w:lang w:val="fr-CA"/>
              </w:rPr>
              <w:t>Cour d’appel de la Colombie</w:t>
            </w:r>
            <w:r w:rsidRPr="004A079E">
              <w:rPr>
                <w:sz w:val="20"/>
                <w:lang w:val="fr-CA"/>
              </w:rPr>
              <w:noBreakHyphen/>
              <w:t xml:space="preserve">Britannique </w:t>
            </w:r>
          </w:p>
          <w:p w:rsidR="00693512" w:rsidRPr="004A079E" w:rsidRDefault="00693512" w:rsidP="00693512">
            <w:pPr>
              <w:jc w:val="both"/>
              <w:rPr>
                <w:sz w:val="20"/>
                <w:lang w:val="fr-CA"/>
              </w:rPr>
            </w:pPr>
            <w:r w:rsidRPr="004A079E">
              <w:rPr>
                <w:sz w:val="20"/>
                <w:lang w:val="fr-CA"/>
              </w:rPr>
              <w:t>(juge Fitch)</w:t>
            </w:r>
          </w:p>
          <w:p w:rsidR="00693512" w:rsidRPr="004A079E" w:rsidRDefault="004A079E" w:rsidP="00693512">
            <w:pPr>
              <w:jc w:val="both"/>
              <w:rPr>
                <w:sz w:val="20"/>
                <w:lang w:val="fr-CA"/>
              </w:rPr>
            </w:pPr>
            <w:hyperlink r:id="rId41" w:history="1">
              <w:r w:rsidR="00693512" w:rsidRPr="004A079E">
                <w:rPr>
                  <w:rStyle w:val="Hyperlink"/>
                  <w:sz w:val="20"/>
                  <w:lang w:val="fr-CA"/>
                </w:rPr>
                <w:t>2021 BCCA 236</w:t>
              </w:r>
            </w:hyperlink>
            <w:r w:rsidR="00693512" w:rsidRPr="004A079E">
              <w:rPr>
                <w:sz w:val="20"/>
                <w:lang w:val="fr-CA"/>
              </w:rPr>
              <w:t xml:space="preserve"> (Dossiers : CA45397; CA45685; CA47146)</w:t>
            </w:r>
          </w:p>
          <w:p w:rsidR="00693512" w:rsidRPr="004A079E" w:rsidRDefault="00693512" w:rsidP="00693512">
            <w:pPr>
              <w:jc w:val="both"/>
              <w:rPr>
                <w:sz w:val="20"/>
                <w:lang w:val="fr-CA"/>
              </w:rPr>
            </w:pPr>
          </w:p>
        </w:tc>
        <w:tc>
          <w:tcPr>
            <w:tcW w:w="243" w:type="pct"/>
          </w:tcPr>
          <w:p w:rsidR="00693512" w:rsidRPr="004A079E" w:rsidRDefault="00693512" w:rsidP="00693512">
            <w:pPr>
              <w:jc w:val="both"/>
              <w:rPr>
                <w:sz w:val="20"/>
                <w:lang w:val="fr-CA"/>
              </w:rPr>
            </w:pPr>
          </w:p>
        </w:tc>
        <w:tc>
          <w:tcPr>
            <w:tcW w:w="2330" w:type="pct"/>
          </w:tcPr>
          <w:p w:rsidR="00693512" w:rsidRPr="004A079E" w:rsidRDefault="00693512" w:rsidP="00693512">
            <w:pPr>
              <w:jc w:val="both"/>
              <w:rPr>
                <w:sz w:val="20"/>
                <w:lang w:val="fr-CA"/>
              </w:rPr>
            </w:pPr>
            <w:r w:rsidRPr="004A079E">
              <w:rPr>
                <w:sz w:val="20"/>
                <w:lang w:val="fr-CA"/>
              </w:rPr>
              <w:t>Rejet des demandes du demandeur en vue de rétablir ses appels à l’encontre du jugement de première instance et du jugement du 27 septembre 2018. Demande du demandeur en vue de la modification de l’ordonnance de la Cour d’appel du 16 juillet 2018 devant être tranchée par une section de la Cour d’appel sur la base des argumentations écrites déjà déposées. Rejet de la demande de la défenderesse en vue de l’annulation de la vie d’appel du demandeur déposé à l’encontre de l’ordonnance du 1</w:t>
            </w:r>
            <w:r w:rsidRPr="004A079E">
              <w:rPr>
                <w:sz w:val="20"/>
                <w:vertAlign w:val="superscript"/>
                <w:lang w:val="fr-CA"/>
              </w:rPr>
              <w:t>er</w:t>
            </w:r>
            <w:r w:rsidRPr="004A079E">
              <w:rPr>
                <w:sz w:val="20"/>
                <w:lang w:val="fr-CA"/>
              </w:rPr>
              <w:t xml:space="preserve"> décembre 2020. </w:t>
            </w:r>
          </w:p>
          <w:p w:rsidR="00693512" w:rsidRPr="004A079E" w:rsidRDefault="00693512" w:rsidP="00693512">
            <w:pPr>
              <w:jc w:val="both"/>
              <w:rPr>
                <w:sz w:val="20"/>
                <w:lang w:val="fr-CA"/>
              </w:rPr>
            </w:pPr>
          </w:p>
        </w:tc>
      </w:tr>
      <w:tr w:rsidR="00693512" w:rsidRPr="004A079E" w:rsidTr="001711AF">
        <w:tc>
          <w:tcPr>
            <w:tcW w:w="2427" w:type="pct"/>
            <w:gridSpan w:val="2"/>
          </w:tcPr>
          <w:p w:rsidR="00693512" w:rsidRPr="004A079E" w:rsidRDefault="00693512" w:rsidP="00693512">
            <w:pPr>
              <w:jc w:val="both"/>
              <w:rPr>
                <w:sz w:val="20"/>
                <w:lang w:val="fr-CA"/>
              </w:rPr>
            </w:pPr>
            <w:r w:rsidRPr="004A079E">
              <w:rPr>
                <w:sz w:val="20"/>
                <w:lang w:val="fr-CA"/>
              </w:rPr>
              <w:t>26 octobre 2021</w:t>
            </w:r>
          </w:p>
          <w:p w:rsidR="00693512" w:rsidRPr="004A079E" w:rsidRDefault="00693512" w:rsidP="00693512">
            <w:pPr>
              <w:jc w:val="both"/>
              <w:rPr>
                <w:sz w:val="20"/>
                <w:lang w:val="fr-CA"/>
              </w:rPr>
            </w:pPr>
            <w:r w:rsidRPr="004A079E">
              <w:rPr>
                <w:sz w:val="20"/>
                <w:lang w:val="fr-CA"/>
              </w:rPr>
              <w:t>Cour d’appel de la Colombie</w:t>
            </w:r>
            <w:r w:rsidRPr="004A079E">
              <w:rPr>
                <w:sz w:val="20"/>
                <w:lang w:val="fr-CA"/>
              </w:rPr>
              <w:noBreakHyphen/>
              <w:t>Britannique (Vancouver)</w:t>
            </w:r>
          </w:p>
          <w:p w:rsidR="00693512" w:rsidRPr="004A079E" w:rsidRDefault="00693512" w:rsidP="00693512">
            <w:pPr>
              <w:jc w:val="both"/>
              <w:rPr>
                <w:sz w:val="20"/>
                <w:lang w:val="fr-CA"/>
              </w:rPr>
            </w:pPr>
            <w:r w:rsidRPr="004A079E">
              <w:rPr>
                <w:sz w:val="20"/>
                <w:lang w:val="fr-CA"/>
              </w:rPr>
              <w:lastRenderedPageBreak/>
              <w:t>(juges Saunders, Fenlon et Grauer)</w:t>
            </w:r>
          </w:p>
          <w:p w:rsidR="00693512" w:rsidRPr="004A079E" w:rsidRDefault="004A079E" w:rsidP="00693512">
            <w:pPr>
              <w:jc w:val="both"/>
              <w:rPr>
                <w:sz w:val="20"/>
                <w:lang w:val="fr-CA"/>
              </w:rPr>
            </w:pPr>
            <w:hyperlink r:id="rId42" w:history="1">
              <w:r w:rsidR="00693512" w:rsidRPr="004A079E">
                <w:rPr>
                  <w:rStyle w:val="Hyperlink"/>
                  <w:sz w:val="20"/>
                  <w:lang w:val="fr-CA"/>
                </w:rPr>
                <w:t>2021 BCCA 419</w:t>
              </w:r>
            </w:hyperlink>
            <w:r w:rsidR="00693512" w:rsidRPr="004A079E">
              <w:rPr>
                <w:sz w:val="20"/>
                <w:lang w:val="fr-CA"/>
              </w:rPr>
              <w:t xml:space="preserve"> (Dossiers : CA45397; CA45685; CA47146)</w:t>
            </w:r>
          </w:p>
          <w:p w:rsidR="00693512" w:rsidRPr="004A079E" w:rsidRDefault="00693512" w:rsidP="00693512">
            <w:pPr>
              <w:jc w:val="both"/>
              <w:rPr>
                <w:sz w:val="20"/>
                <w:lang w:val="fr-CA"/>
              </w:rPr>
            </w:pPr>
          </w:p>
        </w:tc>
        <w:tc>
          <w:tcPr>
            <w:tcW w:w="243" w:type="pct"/>
          </w:tcPr>
          <w:p w:rsidR="00693512" w:rsidRPr="004A079E" w:rsidRDefault="00693512" w:rsidP="00693512">
            <w:pPr>
              <w:jc w:val="both"/>
              <w:rPr>
                <w:sz w:val="20"/>
                <w:lang w:val="fr-CA"/>
              </w:rPr>
            </w:pPr>
          </w:p>
        </w:tc>
        <w:tc>
          <w:tcPr>
            <w:tcW w:w="2330" w:type="pct"/>
          </w:tcPr>
          <w:p w:rsidR="00693512" w:rsidRPr="004A079E" w:rsidRDefault="00693512" w:rsidP="00693512">
            <w:pPr>
              <w:jc w:val="both"/>
              <w:rPr>
                <w:sz w:val="20"/>
                <w:lang w:val="fr-CA"/>
              </w:rPr>
            </w:pPr>
            <w:r w:rsidRPr="004A079E">
              <w:rPr>
                <w:sz w:val="20"/>
                <w:lang w:val="fr-CA"/>
              </w:rPr>
              <w:t xml:space="preserve">Rejet de la demande du demandeur en vue de produire de nouveaux éléments de preuve. Rejet des demandes </w:t>
            </w:r>
            <w:r w:rsidRPr="004A079E">
              <w:rPr>
                <w:sz w:val="20"/>
                <w:lang w:val="fr-CA"/>
              </w:rPr>
              <w:lastRenderedPageBreak/>
              <w:t>du demandeur en vue de modifier les ordonnances du 16 juillet 2018 et du 27 mai 2021. Rejet de l’appel du demandeur interjeté à l’encontre de l’ordonnance du 1</w:t>
            </w:r>
            <w:r w:rsidRPr="004A079E">
              <w:rPr>
                <w:sz w:val="20"/>
                <w:vertAlign w:val="superscript"/>
                <w:lang w:val="fr-CA"/>
              </w:rPr>
              <w:t>er</w:t>
            </w:r>
            <w:r w:rsidRPr="004A079E">
              <w:rPr>
                <w:sz w:val="20"/>
                <w:lang w:val="fr-CA"/>
              </w:rPr>
              <w:t xml:space="preserve"> décembre 2020. </w:t>
            </w:r>
          </w:p>
          <w:p w:rsidR="00693512" w:rsidRPr="004A079E" w:rsidRDefault="00693512" w:rsidP="00693512">
            <w:pPr>
              <w:jc w:val="both"/>
              <w:rPr>
                <w:sz w:val="20"/>
                <w:lang w:val="fr-CA"/>
              </w:rPr>
            </w:pPr>
          </w:p>
        </w:tc>
      </w:tr>
      <w:tr w:rsidR="00693512" w:rsidRPr="004A079E" w:rsidTr="001711AF">
        <w:tc>
          <w:tcPr>
            <w:tcW w:w="2427" w:type="pct"/>
            <w:gridSpan w:val="2"/>
          </w:tcPr>
          <w:p w:rsidR="00693512" w:rsidRPr="004A079E" w:rsidRDefault="00693512" w:rsidP="00693512">
            <w:pPr>
              <w:jc w:val="both"/>
              <w:rPr>
                <w:sz w:val="20"/>
                <w:lang w:val="fr-CA"/>
              </w:rPr>
            </w:pPr>
            <w:r w:rsidRPr="004A079E">
              <w:rPr>
                <w:sz w:val="20"/>
                <w:lang w:val="fr-CA"/>
              </w:rPr>
              <w:lastRenderedPageBreak/>
              <w:t>29 décembre 2021</w:t>
            </w:r>
          </w:p>
          <w:p w:rsidR="00693512" w:rsidRPr="004A079E" w:rsidRDefault="00693512" w:rsidP="00693512">
            <w:pPr>
              <w:jc w:val="both"/>
              <w:rPr>
                <w:sz w:val="20"/>
                <w:lang w:val="fr-CA"/>
              </w:rPr>
            </w:pPr>
            <w:r w:rsidRPr="004A079E">
              <w:rPr>
                <w:sz w:val="20"/>
                <w:lang w:val="fr-CA"/>
              </w:rPr>
              <w:t>Cour suprême du Canada</w:t>
            </w:r>
          </w:p>
        </w:tc>
        <w:tc>
          <w:tcPr>
            <w:tcW w:w="243" w:type="pct"/>
          </w:tcPr>
          <w:p w:rsidR="00693512" w:rsidRPr="004A079E" w:rsidRDefault="00693512" w:rsidP="00693512">
            <w:pPr>
              <w:jc w:val="both"/>
              <w:rPr>
                <w:sz w:val="20"/>
                <w:lang w:val="fr-CA"/>
              </w:rPr>
            </w:pPr>
          </w:p>
        </w:tc>
        <w:tc>
          <w:tcPr>
            <w:tcW w:w="2330" w:type="pct"/>
          </w:tcPr>
          <w:p w:rsidR="00693512" w:rsidRPr="004A079E" w:rsidRDefault="00693512" w:rsidP="00693512">
            <w:pPr>
              <w:jc w:val="both"/>
              <w:rPr>
                <w:sz w:val="20"/>
                <w:lang w:val="fr-CA"/>
              </w:rPr>
            </w:pPr>
            <w:r w:rsidRPr="004A079E">
              <w:rPr>
                <w:sz w:val="20"/>
                <w:lang w:val="fr-CA"/>
              </w:rPr>
              <w:t>Dépôt de la demande d’autorisation d’appel.</w:t>
            </w:r>
          </w:p>
          <w:p w:rsidR="00693512" w:rsidRPr="004A079E" w:rsidRDefault="00693512" w:rsidP="00693512">
            <w:pPr>
              <w:jc w:val="both"/>
              <w:rPr>
                <w:sz w:val="20"/>
                <w:lang w:val="fr-CA"/>
              </w:rPr>
            </w:pPr>
          </w:p>
        </w:tc>
      </w:tr>
    </w:tbl>
    <w:p w:rsidR="00BA25C8" w:rsidRPr="004A079E" w:rsidRDefault="00BA25C8" w:rsidP="00350651">
      <w:pPr>
        <w:widowControl w:val="0"/>
        <w:jc w:val="both"/>
        <w:rPr>
          <w:sz w:val="20"/>
          <w:lang w:val="fr-CA"/>
        </w:rPr>
      </w:pPr>
    </w:p>
    <w:p w:rsidR="0028541A" w:rsidRPr="004A079E" w:rsidRDefault="004A079E" w:rsidP="00350651">
      <w:pPr>
        <w:widowControl w:val="0"/>
        <w:jc w:val="both"/>
        <w:rPr>
          <w:sz w:val="20"/>
        </w:rPr>
      </w:pPr>
      <w:r w:rsidRPr="004A079E">
        <w:rPr>
          <w:sz w:val="20"/>
        </w:rPr>
        <w:pict>
          <v:rect id="_x0000_i1036" style="width:2in;height:1pt" o:hrpct="0" o:hralign="center" o:hrstd="t" o:hrnoshade="t" o:hr="t" fillcolor="black [3213]" stroked="f"/>
        </w:pict>
      </w:r>
    </w:p>
    <w:p w:rsidR="00FD3FA0" w:rsidRPr="004A079E" w:rsidRDefault="00FD3FA0" w:rsidP="00350651">
      <w:pPr>
        <w:ind w:left="142" w:hanging="142"/>
        <w:jc w:val="both"/>
        <w:rPr>
          <w:sz w:val="20"/>
        </w:rPr>
      </w:pPr>
    </w:p>
    <w:p w:rsidR="008F2F11" w:rsidRPr="004A079E" w:rsidRDefault="008F2F11" w:rsidP="00350651">
      <w:pPr>
        <w:ind w:left="142" w:hanging="142"/>
        <w:jc w:val="both"/>
        <w:rPr>
          <w:sz w:val="20"/>
        </w:rPr>
      </w:pPr>
    </w:p>
    <w:p w:rsidR="008F2F11" w:rsidRPr="004A079E" w:rsidRDefault="008F2F11" w:rsidP="00350651">
      <w:pPr>
        <w:ind w:left="142" w:hanging="142"/>
        <w:jc w:val="both"/>
        <w:rPr>
          <w:sz w:val="20"/>
        </w:rPr>
      </w:pPr>
    </w:p>
    <w:p w:rsidR="00D3344A" w:rsidRPr="004A079E" w:rsidRDefault="00D3344A" w:rsidP="00D3344A">
      <w:pPr>
        <w:widowControl w:val="0"/>
        <w:outlineLvl w:val="0"/>
        <w:rPr>
          <w:sz w:val="20"/>
        </w:rPr>
      </w:pPr>
      <w:r w:rsidRPr="004A079E">
        <w:rPr>
          <w:sz w:val="20"/>
        </w:rPr>
        <w:t xml:space="preserve">Supreme Court of Canada / Cour suprême du </w:t>
      </w:r>
      <w:proofErr w:type="gramStart"/>
      <w:r w:rsidRPr="004A079E">
        <w:rPr>
          <w:sz w:val="20"/>
        </w:rPr>
        <w:t>Canad</w:t>
      </w:r>
      <w:r w:rsidR="00EE289F" w:rsidRPr="004A079E">
        <w:rPr>
          <w:sz w:val="20"/>
        </w:rPr>
        <w:t>a</w:t>
      </w:r>
      <w:r w:rsidRPr="004A079E">
        <w:rPr>
          <w:sz w:val="20"/>
        </w:rPr>
        <w:t xml:space="preserve"> :</w:t>
      </w:r>
      <w:proofErr w:type="gramEnd"/>
    </w:p>
    <w:p w:rsidR="00D3344A" w:rsidRPr="004A079E" w:rsidRDefault="004A079E" w:rsidP="00D3344A">
      <w:pPr>
        <w:widowControl w:val="0"/>
        <w:outlineLvl w:val="0"/>
        <w:rPr>
          <w:sz w:val="20"/>
          <w:u w:val="single"/>
        </w:rPr>
      </w:pPr>
      <w:hyperlink r:id="rId43" w:history="1">
        <w:r w:rsidR="009B7391" w:rsidRPr="004A079E">
          <w:rPr>
            <w:rStyle w:val="Hyperlink"/>
            <w:sz w:val="20"/>
          </w:rPr>
          <w:t>comments-commentaires@scc-csc.ca</w:t>
        </w:r>
      </w:hyperlink>
    </w:p>
    <w:p w:rsidR="00D3344A" w:rsidRPr="004A079E" w:rsidRDefault="0065588C" w:rsidP="00D3344A">
      <w:pPr>
        <w:widowControl w:val="0"/>
        <w:outlineLvl w:val="0"/>
        <w:rPr>
          <w:sz w:val="20"/>
        </w:rPr>
      </w:pPr>
      <w:r w:rsidRPr="004A079E">
        <w:rPr>
          <w:sz w:val="20"/>
        </w:rPr>
        <w:t>613-</w:t>
      </w:r>
      <w:r w:rsidR="00D3344A" w:rsidRPr="004A079E">
        <w:rPr>
          <w:sz w:val="20"/>
        </w:rPr>
        <w:t>995-4330</w:t>
      </w:r>
    </w:p>
    <w:p w:rsidR="00497B5E" w:rsidRPr="004A079E" w:rsidRDefault="00497B5E" w:rsidP="00497B5E">
      <w:pPr>
        <w:widowControl w:val="0"/>
        <w:rPr>
          <w:sz w:val="20"/>
        </w:rPr>
      </w:pPr>
    </w:p>
    <w:p w:rsidR="00F6251B" w:rsidRPr="007607A2" w:rsidRDefault="003F43E6" w:rsidP="00F6251B">
      <w:pPr>
        <w:pStyle w:val="Footer"/>
        <w:jc w:val="center"/>
        <w:rPr>
          <w:sz w:val="20"/>
        </w:rPr>
      </w:pPr>
      <w:r w:rsidRPr="004A079E">
        <w:rPr>
          <w:sz w:val="20"/>
        </w:rPr>
        <w:t>- 30 -</w:t>
      </w:r>
      <w:bookmarkStart w:id="0" w:name="_GoBack"/>
      <w:bookmarkEnd w:id="0"/>
    </w:p>
    <w:sectPr w:rsidR="00F6251B" w:rsidRPr="007607A2" w:rsidSect="00E62F93">
      <w:headerReference w:type="even" r:id="rId44"/>
      <w:headerReference w:type="default" r:id="rId45"/>
      <w:footerReference w:type="even" r:id="rId46"/>
      <w:footerReference w:type="default" r:id="rId47"/>
      <w:headerReference w:type="first" r:id="rId48"/>
      <w:footerReference w:type="first" r:id="rId4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75" w:rsidRDefault="004C5775" w:rsidP="0034178A">
      <w:r>
        <w:separator/>
      </w:r>
    </w:p>
  </w:endnote>
  <w:endnote w:type="continuationSeparator" w:id="0">
    <w:p w:rsidR="004C5775" w:rsidRDefault="004C577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Pr="009F77F0" w:rsidRDefault="004C577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75" w:rsidRDefault="004C5775" w:rsidP="0034178A">
      <w:r>
        <w:separator/>
      </w:r>
    </w:p>
  </w:footnote>
  <w:footnote w:type="continuationSeparator" w:id="0">
    <w:p w:rsidR="004C5775" w:rsidRDefault="004C577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300"/>
    <w:multiLevelType w:val="hybridMultilevel"/>
    <w:tmpl w:val="4BC0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D6B6E"/>
    <w:multiLevelType w:val="hybridMultilevel"/>
    <w:tmpl w:val="379E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1637B"/>
    <w:multiLevelType w:val="hybridMultilevel"/>
    <w:tmpl w:val="596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37B83"/>
    <w:multiLevelType w:val="hybridMultilevel"/>
    <w:tmpl w:val="CEB20C92"/>
    <w:lvl w:ilvl="0" w:tplc="CF1ABD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3" w15:restartNumberingAfterBreak="0">
    <w:nsid w:val="1C436523"/>
    <w:multiLevelType w:val="hybridMultilevel"/>
    <w:tmpl w:val="A96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20"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97D54"/>
    <w:multiLevelType w:val="hybridMultilevel"/>
    <w:tmpl w:val="7E2A92AA"/>
    <w:lvl w:ilvl="0" w:tplc="FF04CD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F41DB"/>
    <w:multiLevelType w:val="hybridMultilevel"/>
    <w:tmpl w:val="5FDC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66703"/>
    <w:multiLevelType w:val="hybridMultilevel"/>
    <w:tmpl w:val="9AC4D632"/>
    <w:lvl w:ilvl="0" w:tplc="FEFA6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544293"/>
    <w:multiLevelType w:val="hybridMultilevel"/>
    <w:tmpl w:val="8758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A32C7"/>
    <w:multiLevelType w:val="hybridMultilevel"/>
    <w:tmpl w:val="79EA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60A0A"/>
    <w:multiLevelType w:val="hybridMultilevel"/>
    <w:tmpl w:val="EBE6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77709"/>
    <w:multiLevelType w:val="hybridMultilevel"/>
    <w:tmpl w:val="F1B4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6"/>
  </w:num>
  <w:num w:numId="3">
    <w:abstractNumId w:val="6"/>
  </w:num>
  <w:num w:numId="4">
    <w:abstractNumId w:val="19"/>
  </w:num>
  <w:num w:numId="5">
    <w:abstractNumId w:val="34"/>
  </w:num>
  <w:num w:numId="6">
    <w:abstractNumId w:val="17"/>
  </w:num>
  <w:num w:numId="7">
    <w:abstractNumId w:val="15"/>
  </w:num>
  <w:num w:numId="8">
    <w:abstractNumId w:val="12"/>
  </w:num>
  <w:num w:numId="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7"/>
  </w:num>
  <w:num w:numId="12">
    <w:abstractNumId w:val="0"/>
  </w:num>
  <w:num w:numId="13">
    <w:abstractNumId w:val="36"/>
  </w:num>
  <w:num w:numId="14">
    <w:abstractNumId w:val="32"/>
  </w:num>
  <w:num w:numId="15">
    <w:abstractNumId w:val="25"/>
  </w:num>
  <w:num w:numId="16">
    <w:abstractNumId w:val="39"/>
  </w:num>
  <w:num w:numId="17">
    <w:abstractNumId w:val="18"/>
  </w:num>
  <w:num w:numId="18">
    <w:abstractNumId w:val="28"/>
  </w:num>
  <w:num w:numId="19">
    <w:abstractNumId w:val="44"/>
  </w:num>
  <w:num w:numId="20">
    <w:abstractNumId w:val="20"/>
  </w:num>
  <w:num w:numId="21">
    <w:abstractNumId w:val="5"/>
  </w:num>
  <w:num w:numId="22">
    <w:abstractNumId w:val="4"/>
  </w:num>
  <w:num w:numId="23">
    <w:abstractNumId w:val="30"/>
  </w:num>
  <w:num w:numId="24">
    <w:abstractNumId w:val="29"/>
  </w:num>
  <w:num w:numId="25">
    <w:abstractNumId w:val="45"/>
  </w:num>
  <w:num w:numId="26">
    <w:abstractNumId w:val="14"/>
  </w:num>
  <w:num w:numId="27">
    <w:abstractNumId w:val="16"/>
  </w:num>
  <w:num w:numId="28">
    <w:abstractNumId w:val="33"/>
  </w:num>
  <w:num w:numId="29">
    <w:abstractNumId w:val="31"/>
  </w:num>
  <w:num w:numId="30">
    <w:abstractNumId w:val="8"/>
  </w:num>
  <w:num w:numId="31">
    <w:abstractNumId w:val="38"/>
  </w:num>
  <w:num w:numId="32">
    <w:abstractNumId w:val="24"/>
  </w:num>
  <w:num w:numId="33">
    <w:abstractNumId w:val="7"/>
  </w:num>
  <w:num w:numId="34">
    <w:abstractNumId w:val="2"/>
  </w:num>
  <w:num w:numId="35">
    <w:abstractNumId w:val="10"/>
  </w:num>
  <w:num w:numId="36">
    <w:abstractNumId w:val="11"/>
  </w:num>
  <w:num w:numId="37">
    <w:abstractNumId w:val="35"/>
  </w:num>
  <w:num w:numId="38">
    <w:abstractNumId w:val="37"/>
  </w:num>
  <w:num w:numId="39">
    <w:abstractNumId w:val="9"/>
  </w:num>
  <w:num w:numId="40">
    <w:abstractNumId w:val="13"/>
  </w:num>
  <w:num w:numId="41">
    <w:abstractNumId w:val="23"/>
  </w:num>
  <w:num w:numId="42">
    <w:abstractNumId w:val="41"/>
  </w:num>
  <w:num w:numId="43">
    <w:abstractNumId w:val="42"/>
  </w:num>
  <w:num w:numId="44">
    <w:abstractNumId w:val="43"/>
  </w:num>
  <w:num w:numId="45">
    <w:abstractNumId w:val="22"/>
  </w:num>
  <w:num w:numId="46">
    <w:abstractNumId w:val="1"/>
  </w:num>
  <w:num w:numId="47">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1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79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AE5"/>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0C3"/>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512"/>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07F28"/>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3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fr/qc/qccs/doc/2020/2020qccs4256/2020qccs4256.pdf" TargetMode="External"/><Relationship Id="rId18" Type="http://schemas.openxmlformats.org/officeDocument/2006/relationships/hyperlink" Target="https://www.canlii.org/en/on/onsc/doc/2020/2020onsc4464/2020onsc4464.html" TargetMode="External"/><Relationship Id="rId26" Type="http://schemas.openxmlformats.org/officeDocument/2006/relationships/hyperlink" Target="https://www.canlii.org/en/mb/mbca/doc/2021/2021mbca70/2021mbca70.html" TargetMode="External"/><Relationship Id="rId39" Type="http://schemas.openxmlformats.org/officeDocument/2006/relationships/hyperlink" Target="https://www.canlii.org/en/bc/bcca/doc/2018/2018bcca295/2018bcca295.html" TargetMode="External"/><Relationship Id="rId3" Type="http://schemas.openxmlformats.org/officeDocument/2006/relationships/styles" Target="styles.xml"/><Relationship Id="rId21" Type="http://schemas.openxmlformats.org/officeDocument/2006/relationships/hyperlink" Target="https://www.canlii.org/en/on/onsc/doc/2020/2020onsc4464/2020onsc4464.html" TargetMode="External"/><Relationship Id="rId34" Type="http://schemas.openxmlformats.org/officeDocument/2006/relationships/hyperlink" Target="https://www.canlii.org/en/bc/bcca/doc/2018/2018bcca295/2018bcca295.html" TargetMode="External"/><Relationship Id="rId42" Type="http://schemas.openxmlformats.org/officeDocument/2006/relationships/hyperlink" Target="https://www.canlii.org/en/bc/bcca/doc/2021/2021bcca419/2021bcca419.htm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40012" TargetMode="External"/><Relationship Id="rId17" Type="http://schemas.openxmlformats.org/officeDocument/2006/relationships/hyperlink" Target="https://www.canlii.org/en/on/onsc/doc/2020/2020onsc1924/2020onsc1924.html" TargetMode="External"/><Relationship Id="rId25" Type="http://schemas.openxmlformats.org/officeDocument/2006/relationships/hyperlink" Target="https://www.canlii.org/en/mb/mbls/doc/2019/2019mbls13/2019mbls13.html" TargetMode="External"/><Relationship Id="rId33" Type="http://schemas.openxmlformats.org/officeDocument/2006/relationships/hyperlink" Target="https://www.canlii.org/en/bc/bcsc/doc/2015/2015bcsc763/2015bcsc763.html" TargetMode="External"/><Relationship Id="rId38" Type="http://schemas.openxmlformats.org/officeDocument/2006/relationships/hyperlink" Target="https://www.canlii.org/en/bc/bcsc/doc/2015/2015bcsc763/2015bcsc763.htm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nlii.org/fr/qc/qcca/doc/2021/2021qcca1185/2021qcca1185.pdf" TargetMode="External"/><Relationship Id="rId20" Type="http://schemas.openxmlformats.org/officeDocument/2006/relationships/hyperlink" Target="https://www.canlii.org/en/on/onsc/doc/2020/2020onsc1924/2020onsc1924.html" TargetMode="External"/><Relationship Id="rId29" Type="http://schemas.openxmlformats.org/officeDocument/2006/relationships/hyperlink" Target="https://www.canlii.org/en/ab/abca/doc/2021/2021abca329/2021abca329.html?resultIndex=1" TargetMode="External"/><Relationship Id="rId41" Type="http://schemas.openxmlformats.org/officeDocument/2006/relationships/hyperlink" Target="https://www.canlii.org/en/bc/bcca/doc/2021/2021bcca236/2021bcca23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933" TargetMode="External"/><Relationship Id="rId24" Type="http://schemas.openxmlformats.org/officeDocument/2006/relationships/hyperlink" Target="https://www.canlii.org/en/mb/mbca/doc/2021/2021mbca70/2021mbca70.html" TargetMode="External"/><Relationship Id="rId32" Type="http://schemas.openxmlformats.org/officeDocument/2006/relationships/hyperlink" Target="https://www.canlii.org/en/ab/abca/doc/2021/2021abca329/2021abca329.html?resultIndex=1" TargetMode="External"/><Relationship Id="rId37" Type="http://schemas.openxmlformats.org/officeDocument/2006/relationships/hyperlink" Target="https://www.canlii.org/en/bc/bcca/doc/2021/2021bcca419/2021bcca419.html" TargetMode="External"/><Relationship Id="rId40" Type="http://schemas.openxmlformats.org/officeDocument/2006/relationships/hyperlink" Target="https://www.canlii.org/en/bc/bcsc/doc/2020/2020bcsc1875/2020bcsc1875.htm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anlii.org/fr/qc/qccs/doc/2020/2020qccs4256/2020qccs4256.pdf" TargetMode="External"/><Relationship Id="rId23" Type="http://schemas.openxmlformats.org/officeDocument/2006/relationships/hyperlink" Target="https://www.canlii.org/en/mb/mbls/doc/2019/2019mbls13/2019mbls13.html" TargetMode="External"/><Relationship Id="rId28" Type="http://schemas.openxmlformats.org/officeDocument/2006/relationships/hyperlink" Target="https://www.canlii.org/en/ab/abqb/doc/2020/2020abqb765/2020abqb765.html?resultIndex=1" TargetMode="External"/><Relationship Id="rId36" Type="http://schemas.openxmlformats.org/officeDocument/2006/relationships/hyperlink" Target="https://www.canlii.org/en/bc/bcca/doc/2021/2021bcca236/2021bcca236.html" TargetMode="External"/><Relationship Id="rId49" Type="http://schemas.openxmlformats.org/officeDocument/2006/relationships/footer" Target="footer3.xml"/><Relationship Id="rId10" Type="http://schemas.openxmlformats.org/officeDocument/2006/relationships/hyperlink" Target="https://www.scc-csc.ca/case-dossier/info/sum-som-eng.aspx?cas=39894" TargetMode="External"/><Relationship Id="rId19" Type="http://schemas.openxmlformats.org/officeDocument/2006/relationships/hyperlink" Target="https://www.canlii.org/en/on/onca/doc/2021/2021onca594/2021onca594.html?autocompleteStr=MDS%20Inc&amp;autocompletePos=5" TargetMode="External"/><Relationship Id="rId31" Type="http://schemas.openxmlformats.org/officeDocument/2006/relationships/hyperlink" Target="https://www.canlii.org/en/ab/abqb/doc/2020/2020abqb765/2020abqb765.html?resultIndex=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39890" TargetMode="External"/><Relationship Id="rId14" Type="http://schemas.openxmlformats.org/officeDocument/2006/relationships/hyperlink" Target="https://www.canlii.org/fr/qc/qcca/doc/2021/2021qcca1185/2021qcca1185.pdf" TargetMode="External"/><Relationship Id="rId22" Type="http://schemas.openxmlformats.org/officeDocument/2006/relationships/hyperlink" Target="https://www.canlii.org/en/on/onca/doc/2021/2021onca594/2021onca594.html?autocompleteStr=MDS%20Inc&amp;autocompletePos=5" TargetMode="External"/><Relationship Id="rId27" Type="http://schemas.openxmlformats.org/officeDocument/2006/relationships/hyperlink" Target="https://www.canlii.org/en/ab/abqb/doc/2019/2019abqb913/2019abqb913.html?resultIndex=1" TargetMode="External"/><Relationship Id="rId30" Type="http://schemas.openxmlformats.org/officeDocument/2006/relationships/hyperlink" Target="https://www.canlii.org/en/ab/abqb/doc/2019/2019abqb913/2019abqb913.html?resultIndex=1" TargetMode="External"/><Relationship Id="rId35" Type="http://schemas.openxmlformats.org/officeDocument/2006/relationships/hyperlink" Target="https://www.canlii.org/en/bc/bcsc/doc/2020/2020bcsc1875/2020bcsc1875.html" TargetMode="External"/><Relationship Id="rId43" Type="http://schemas.openxmlformats.org/officeDocument/2006/relationships/hyperlink" Target="mailto:comments-commentaires@scc-csc.ca" TargetMode="External"/><Relationship Id="rId48" Type="http://schemas.openxmlformats.org/officeDocument/2006/relationships/header" Target="header3.xml"/><Relationship Id="rId8" Type="http://schemas.openxmlformats.org/officeDocument/2006/relationships/hyperlink" Target="https://www.scc-csc.ca/case-dossier/info/sum-som-fra.aspx?cas=39880"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D11B3-C9C2-4E5C-B6AA-D4679380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5117</Words>
  <Characters>29171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34220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2022-03-25T17:11:00Z</dcterms:modified>
</cp:coreProperties>
</file>