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671" w:rsidRPr="00E73900" w:rsidRDefault="00D01671" w:rsidP="00D01671">
      <w:pPr>
        <w:pStyle w:val="Header"/>
        <w:jc w:val="center"/>
        <w:rPr>
          <w:b/>
          <w:sz w:val="32"/>
        </w:rPr>
      </w:pPr>
      <w:r w:rsidRPr="00E73900">
        <w:rPr>
          <w:b/>
          <w:sz w:val="32"/>
        </w:rPr>
        <w:t>Supreme Court of Canada / Cour suprême du Canada</w:t>
      </w:r>
    </w:p>
    <w:p w:rsidR="00D01671" w:rsidRPr="00E73900" w:rsidRDefault="00D01671" w:rsidP="00D01671">
      <w:pPr>
        <w:widowControl w:val="0"/>
        <w:rPr>
          <w:i/>
        </w:rPr>
      </w:pPr>
    </w:p>
    <w:p w:rsidR="00D01671" w:rsidRPr="00E73900" w:rsidRDefault="00D01671" w:rsidP="00D01671">
      <w:pPr>
        <w:widowControl w:val="0"/>
        <w:rPr>
          <w:i/>
        </w:rPr>
      </w:pPr>
    </w:p>
    <w:p w:rsidR="006F2579" w:rsidRPr="00E73900" w:rsidRDefault="006F2579" w:rsidP="006F2579">
      <w:pPr>
        <w:widowControl w:val="0"/>
        <w:rPr>
          <w:i/>
          <w:sz w:val="20"/>
          <w:lang w:val="fr-CA"/>
        </w:rPr>
      </w:pPr>
      <w:r w:rsidRPr="00E73900">
        <w:rPr>
          <w:i/>
          <w:sz w:val="20"/>
          <w:lang w:val="fr-CA"/>
        </w:rPr>
        <w:t>(</w:t>
      </w:r>
      <w:r w:rsidR="00423943" w:rsidRPr="00E73900">
        <w:rPr>
          <w:i/>
          <w:sz w:val="20"/>
          <w:lang w:val="fr-CA"/>
        </w:rPr>
        <w:t>L</w:t>
      </w:r>
      <w:r w:rsidRPr="00E73900">
        <w:rPr>
          <w:i/>
          <w:sz w:val="20"/>
          <w:lang w:val="fr-CA"/>
        </w:rPr>
        <w:t>e français suit)</w:t>
      </w:r>
    </w:p>
    <w:p w:rsidR="006F2579" w:rsidRPr="00E73900" w:rsidRDefault="006F2579" w:rsidP="006F2579">
      <w:pPr>
        <w:widowControl w:val="0"/>
        <w:rPr>
          <w:lang w:val="fr-CA"/>
        </w:rPr>
      </w:pPr>
    </w:p>
    <w:p w:rsidR="006F2579" w:rsidRPr="00E73900" w:rsidRDefault="00F404D5" w:rsidP="006F2579">
      <w:pPr>
        <w:widowControl w:val="0"/>
        <w:jc w:val="center"/>
        <w:rPr>
          <w:b/>
          <w:lang w:val="fr-CA"/>
        </w:rPr>
      </w:pPr>
      <w:r w:rsidRPr="00E73900">
        <w:rPr>
          <w:b/>
          <w:lang w:val="fr-CA"/>
        </w:rPr>
        <w:t>AGENDA</w:t>
      </w:r>
    </w:p>
    <w:p w:rsidR="006F2579" w:rsidRPr="00E73900" w:rsidRDefault="006F2579" w:rsidP="006F2579">
      <w:pPr>
        <w:widowControl w:val="0"/>
        <w:rPr>
          <w:lang w:val="fr-CA"/>
        </w:rPr>
      </w:pPr>
    </w:p>
    <w:p w:rsidR="006F2579" w:rsidRPr="00E73900" w:rsidRDefault="00380A0F" w:rsidP="006F2579">
      <w:pPr>
        <w:widowControl w:val="0"/>
        <w:rPr>
          <w:b/>
          <w:lang w:val="fr-CA"/>
        </w:rPr>
      </w:pPr>
      <w:r w:rsidRPr="00E73900">
        <w:rPr>
          <w:b/>
          <w:lang w:val="fr-CA"/>
        </w:rPr>
        <w:t>April</w:t>
      </w:r>
      <w:r w:rsidR="00B205BF" w:rsidRPr="00E73900">
        <w:rPr>
          <w:b/>
          <w:lang w:val="fr-CA"/>
        </w:rPr>
        <w:t xml:space="preserve"> </w:t>
      </w:r>
      <w:r w:rsidRPr="00E73900">
        <w:rPr>
          <w:b/>
          <w:lang w:val="fr-CA"/>
        </w:rPr>
        <w:t>1</w:t>
      </w:r>
      <w:r w:rsidR="000E1CD6" w:rsidRPr="00E73900">
        <w:rPr>
          <w:b/>
          <w:lang w:val="fr-CA"/>
        </w:rPr>
        <w:t>, 20</w:t>
      </w:r>
      <w:r w:rsidR="00ED24DA" w:rsidRPr="00E73900">
        <w:rPr>
          <w:b/>
          <w:lang w:val="fr-CA"/>
        </w:rPr>
        <w:t>2</w:t>
      </w:r>
      <w:r w:rsidR="00E57045" w:rsidRPr="00E73900">
        <w:rPr>
          <w:b/>
          <w:lang w:val="fr-CA"/>
        </w:rPr>
        <w:t>2</w:t>
      </w:r>
    </w:p>
    <w:p w:rsidR="006F2579" w:rsidRPr="00E73900" w:rsidRDefault="006F2579" w:rsidP="006F2579">
      <w:pPr>
        <w:widowControl w:val="0"/>
        <w:rPr>
          <w:b/>
        </w:rPr>
      </w:pPr>
      <w:r w:rsidRPr="00E73900">
        <w:rPr>
          <w:b/>
        </w:rPr>
        <w:t>For immediate release</w:t>
      </w:r>
    </w:p>
    <w:p w:rsidR="006F2579" w:rsidRPr="00E73900" w:rsidRDefault="006F2579" w:rsidP="006F2579">
      <w:pPr>
        <w:widowControl w:val="0"/>
      </w:pPr>
    </w:p>
    <w:p w:rsidR="009010F1" w:rsidRPr="00E73900" w:rsidRDefault="006F2579" w:rsidP="009010F1">
      <w:pPr>
        <w:widowControl w:val="0"/>
      </w:pPr>
      <w:r w:rsidRPr="00E73900">
        <w:rPr>
          <w:b/>
        </w:rPr>
        <w:t>OTTAWA</w:t>
      </w:r>
      <w:r w:rsidRPr="00E73900">
        <w:t xml:space="preserve"> – </w:t>
      </w:r>
      <w:r w:rsidR="009010F1" w:rsidRPr="00E73900">
        <w:t>The Supreme Court of Canada announced today the list of appeals</w:t>
      </w:r>
      <w:r w:rsidR="00700E69" w:rsidRPr="00E73900">
        <w:t xml:space="preserve"> </w:t>
      </w:r>
      <w:r w:rsidR="009010F1" w:rsidRPr="00E73900">
        <w:t>that will be heard</w:t>
      </w:r>
      <w:r w:rsidR="00264572" w:rsidRPr="00E73900">
        <w:t xml:space="preserve"> </w:t>
      </w:r>
      <w:r w:rsidR="0053286F" w:rsidRPr="00E73900">
        <w:t xml:space="preserve">from </w:t>
      </w:r>
      <w:r w:rsidR="00380A0F" w:rsidRPr="00E73900">
        <w:t>April</w:t>
      </w:r>
      <w:r w:rsidR="0053286F" w:rsidRPr="00E73900">
        <w:t xml:space="preserve"> </w:t>
      </w:r>
      <w:r w:rsidR="007F522C" w:rsidRPr="00E73900">
        <w:t>1</w:t>
      </w:r>
      <w:r w:rsidR="00380A0F" w:rsidRPr="00E73900">
        <w:t>1</w:t>
      </w:r>
      <w:r w:rsidR="0053286F" w:rsidRPr="00E73900">
        <w:t xml:space="preserve"> t</w:t>
      </w:r>
      <w:r w:rsidR="007A4306" w:rsidRPr="00E73900">
        <w:t>o</w:t>
      </w:r>
      <w:r w:rsidR="0053286F" w:rsidRPr="00E73900">
        <w:t xml:space="preserve"> </w:t>
      </w:r>
      <w:r w:rsidR="00380A0F" w:rsidRPr="00E73900">
        <w:t>April</w:t>
      </w:r>
      <w:r w:rsidR="00980565" w:rsidRPr="00E73900">
        <w:t xml:space="preserve"> </w:t>
      </w:r>
      <w:r w:rsidR="007F522C" w:rsidRPr="00E73900">
        <w:t>2</w:t>
      </w:r>
      <w:r w:rsidR="00380A0F" w:rsidRPr="00E73900">
        <w:t>2</w:t>
      </w:r>
      <w:r w:rsidR="0053286F" w:rsidRPr="00E73900">
        <w:t>, 20</w:t>
      </w:r>
      <w:r w:rsidR="00ED24DA" w:rsidRPr="00E73900">
        <w:t>2</w:t>
      </w:r>
      <w:r w:rsidR="00645CF5" w:rsidRPr="00E73900">
        <w:t>2.</w:t>
      </w:r>
    </w:p>
    <w:p w:rsidR="00D32CC0" w:rsidRPr="00E73900" w:rsidRDefault="00D32CC0" w:rsidP="006F2579">
      <w:pPr>
        <w:widowControl w:val="0"/>
      </w:pPr>
    </w:p>
    <w:p w:rsidR="006A00B5" w:rsidRPr="00E73900" w:rsidRDefault="006A00B5" w:rsidP="006F2579">
      <w:pPr>
        <w:widowControl w:val="0"/>
      </w:pPr>
    </w:p>
    <w:p w:rsidR="006F2579" w:rsidRPr="00E73900" w:rsidRDefault="00F404D5" w:rsidP="006F2579">
      <w:pPr>
        <w:widowControl w:val="0"/>
        <w:jc w:val="center"/>
        <w:rPr>
          <w:lang w:val="fr-CA"/>
        </w:rPr>
      </w:pPr>
      <w:r w:rsidRPr="00E73900">
        <w:rPr>
          <w:b/>
          <w:lang w:val="fr-CA"/>
        </w:rPr>
        <w:t>CALENDRIER</w:t>
      </w:r>
    </w:p>
    <w:p w:rsidR="006F2579" w:rsidRPr="00E73900" w:rsidRDefault="006F2579" w:rsidP="006F2579">
      <w:pPr>
        <w:widowControl w:val="0"/>
        <w:rPr>
          <w:lang w:val="fr-CA"/>
        </w:rPr>
      </w:pPr>
    </w:p>
    <w:p w:rsidR="006F2579" w:rsidRPr="00E73900" w:rsidRDefault="006F2579" w:rsidP="006F2579">
      <w:pPr>
        <w:widowControl w:val="0"/>
        <w:rPr>
          <w:b/>
          <w:lang w:val="fr-CA"/>
        </w:rPr>
      </w:pPr>
      <w:r w:rsidRPr="00E73900">
        <w:rPr>
          <w:b/>
          <w:lang w:val="fr-CA"/>
        </w:rPr>
        <w:t xml:space="preserve">Le </w:t>
      </w:r>
      <w:r w:rsidR="00380A0F" w:rsidRPr="00E73900">
        <w:rPr>
          <w:b/>
          <w:lang w:val="fr-CA"/>
        </w:rPr>
        <w:t>1</w:t>
      </w:r>
      <w:r w:rsidR="00380A0F" w:rsidRPr="00E73900">
        <w:rPr>
          <w:b/>
          <w:vertAlign w:val="superscript"/>
          <w:lang w:val="fr-CA"/>
        </w:rPr>
        <w:t>er</w:t>
      </w:r>
      <w:r w:rsidR="00380A0F" w:rsidRPr="00E73900">
        <w:rPr>
          <w:b/>
          <w:lang w:val="fr-CA"/>
        </w:rPr>
        <w:t xml:space="preserve"> </w:t>
      </w:r>
      <w:r w:rsidR="007F522C" w:rsidRPr="00E73900">
        <w:rPr>
          <w:b/>
          <w:lang w:val="fr-CA"/>
        </w:rPr>
        <w:t>a</w:t>
      </w:r>
      <w:r w:rsidR="00380A0F" w:rsidRPr="00E73900">
        <w:rPr>
          <w:b/>
          <w:lang w:val="fr-CA"/>
        </w:rPr>
        <w:t>v</w:t>
      </w:r>
      <w:r w:rsidR="007F522C" w:rsidRPr="00E73900">
        <w:rPr>
          <w:b/>
          <w:lang w:val="fr-CA"/>
        </w:rPr>
        <w:t>r</w:t>
      </w:r>
      <w:r w:rsidR="00380A0F" w:rsidRPr="00E73900">
        <w:rPr>
          <w:b/>
          <w:lang w:val="fr-CA"/>
        </w:rPr>
        <w:t>il</w:t>
      </w:r>
      <w:r w:rsidR="006B24D0" w:rsidRPr="00E73900">
        <w:rPr>
          <w:b/>
          <w:lang w:val="fr-CA"/>
        </w:rPr>
        <w:t xml:space="preserve"> </w:t>
      </w:r>
      <w:r w:rsidRPr="00E73900">
        <w:rPr>
          <w:b/>
          <w:lang w:val="fr-CA"/>
        </w:rPr>
        <w:t>20</w:t>
      </w:r>
      <w:r w:rsidR="00ED24DA" w:rsidRPr="00E73900">
        <w:rPr>
          <w:b/>
          <w:lang w:val="fr-CA"/>
        </w:rPr>
        <w:t>2</w:t>
      </w:r>
      <w:r w:rsidR="00E57045" w:rsidRPr="00E73900">
        <w:rPr>
          <w:b/>
          <w:lang w:val="fr-CA"/>
        </w:rPr>
        <w:t>2</w:t>
      </w:r>
    </w:p>
    <w:p w:rsidR="006F2579" w:rsidRPr="00E73900" w:rsidRDefault="006F2579" w:rsidP="006F2579">
      <w:pPr>
        <w:widowControl w:val="0"/>
        <w:rPr>
          <w:lang w:val="fr-CA"/>
        </w:rPr>
      </w:pPr>
      <w:r w:rsidRPr="00E73900">
        <w:rPr>
          <w:b/>
          <w:lang w:val="fr-CA"/>
        </w:rPr>
        <w:t>Pour diffusion immédiate</w:t>
      </w:r>
    </w:p>
    <w:p w:rsidR="006F2579" w:rsidRPr="00E73900" w:rsidRDefault="006F2579" w:rsidP="006F2579">
      <w:pPr>
        <w:widowControl w:val="0"/>
        <w:rPr>
          <w:lang w:val="fr-CA"/>
        </w:rPr>
      </w:pPr>
    </w:p>
    <w:p w:rsidR="006F2579" w:rsidRPr="00E73900" w:rsidRDefault="006F2579" w:rsidP="006F2579">
      <w:pPr>
        <w:widowControl w:val="0"/>
        <w:rPr>
          <w:lang w:val="fr-CA"/>
        </w:rPr>
      </w:pPr>
      <w:r w:rsidRPr="00E73900">
        <w:rPr>
          <w:b/>
          <w:lang w:val="fr-CA"/>
        </w:rPr>
        <w:t>OTTAWA</w:t>
      </w:r>
      <w:r w:rsidRPr="00E73900">
        <w:rPr>
          <w:lang w:val="fr-CA"/>
        </w:rPr>
        <w:t xml:space="preserve"> – </w:t>
      </w:r>
      <w:r w:rsidR="009010F1" w:rsidRPr="00E73900">
        <w:rPr>
          <w:lang w:val="fr-CA"/>
        </w:rPr>
        <w:t xml:space="preserve">La Cour suprême du Canada a </w:t>
      </w:r>
      <w:r w:rsidR="00423943" w:rsidRPr="00E73900">
        <w:rPr>
          <w:lang w:val="fr-CA"/>
        </w:rPr>
        <w:t>annonc</w:t>
      </w:r>
      <w:r w:rsidR="00CE7AB4" w:rsidRPr="00E73900">
        <w:rPr>
          <w:lang w:val="fr-CA"/>
        </w:rPr>
        <w:t>é aujourd’hui la liste d</w:t>
      </w:r>
      <w:r w:rsidR="00163EC7" w:rsidRPr="00E73900">
        <w:rPr>
          <w:lang w:val="fr-CA"/>
        </w:rPr>
        <w:t xml:space="preserve">es </w:t>
      </w:r>
      <w:r w:rsidR="009010F1" w:rsidRPr="00E73900">
        <w:rPr>
          <w:lang w:val="fr-CA"/>
        </w:rPr>
        <w:t>appels</w:t>
      </w:r>
      <w:r w:rsidR="00700E69" w:rsidRPr="00E73900">
        <w:rPr>
          <w:lang w:val="fr-CA"/>
        </w:rPr>
        <w:t xml:space="preserve"> </w:t>
      </w:r>
      <w:r w:rsidR="009010F1" w:rsidRPr="00E73900">
        <w:rPr>
          <w:lang w:val="fr-CA"/>
        </w:rPr>
        <w:t xml:space="preserve">qui seront entendus </w:t>
      </w:r>
      <w:r w:rsidR="0053286F" w:rsidRPr="00E73900">
        <w:rPr>
          <w:lang w:val="fr-CA"/>
        </w:rPr>
        <w:t xml:space="preserve">du </w:t>
      </w:r>
      <w:r w:rsidR="007F522C" w:rsidRPr="00E73900">
        <w:rPr>
          <w:lang w:val="fr-CA"/>
        </w:rPr>
        <w:t>1</w:t>
      </w:r>
      <w:r w:rsidR="00380A0F" w:rsidRPr="00E73900">
        <w:rPr>
          <w:lang w:val="fr-CA"/>
        </w:rPr>
        <w:t>1</w:t>
      </w:r>
      <w:r w:rsidR="0053286F" w:rsidRPr="00E73900">
        <w:rPr>
          <w:lang w:val="fr-CA"/>
        </w:rPr>
        <w:t xml:space="preserve"> </w:t>
      </w:r>
      <w:r w:rsidR="007F522C" w:rsidRPr="00E73900">
        <w:rPr>
          <w:lang w:val="fr-CA"/>
        </w:rPr>
        <w:t>a</w:t>
      </w:r>
      <w:r w:rsidR="00380A0F" w:rsidRPr="00E73900">
        <w:rPr>
          <w:lang w:val="fr-CA"/>
        </w:rPr>
        <w:t>v</w:t>
      </w:r>
      <w:r w:rsidR="007F522C" w:rsidRPr="00E73900">
        <w:rPr>
          <w:lang w:val="fr-CA"/>
        </w:rPr>
        <w:t>r</w:t>
      </w:r>
      <w:r w:rsidR="00380A0F" w:rsidRPr="00E73900">
        <w:rPr>
          <w:lang w:val="fr-CA"/>
        </w:rPr>
        <w:t>il</w:t>
      </w:r>
      <w:r w:rsidR="0053286F" w:rsidRPr="00E73900">
        <w:rPr>
          <w:lang w:val="fr-CA"/>
        </w:rPr>
        <w:t xml:space="preserve"> au </w:t>
      </w:r>
      <w:r w:rsidR="007F522C" w:rsidRPr="00E73900">
        <w:rPr>
          <w:lang w:val="fr-CA"/>
        </w:rPr>
        <w:t>2</w:t>
      </w:r>
      <w:r w:rsidR="00380A0F" w:rsidRPr="00E73900">
        <w:rPr>
          <w:lang w:val="fr-CA"/>
        </w:rPr>
        <w:t>2</w:t>
      </w:r>
      <w:r w:rsidR="0053286F" w:rsidRPr="00E73900">
        <w:rPr>
          <w:lang w:val="fr-CA"/>
        </w:rPr>
        <w:t xml:space="preserve"> </w:t>
      </w:r>
      <w:r w:rsidR="007F522C" w:rsidRPr="00E73900">
        <w:rPr>
          <w:lang w:val="fr-CA"/>
        </w:rPr>
        <w:t>a</w:t>
      </w:r>
      <w:r w:rsidR="00380A0F" w:rsidRPr="00E73900">
        <w:rPr>
          <w:lang w:val="fr-CA"/>
        </w:rPr>
        <w:t>v</w:t>
      </w:r>
      <w:r w:rsidR="007F522C" w:rsidRPr="00E73900">
        <w:rPr>
          <w:lang w:val="fr-CA"/>
        </w:rPr>
        <w:t>r</w:t>
      </w:r>
      <w:r w:rsidR="00380A0F" w:rsidRPr="00E73900">
        <w:rPr>
          <w:lang w:val="fr-CA"/>
        </w:rPr>
        <w:t>il</w:t>
      </w:r>
      <w:r w:rsidR="00364285" w:rsidRPr="00E73900">
        <w:rPr>
          <w:lang w:val="fr-CA"/>
        </w:rPr>
        <w:t xml:space="preserve"> 20</w:t>
      </w:r>
      <w:r w:rsidR="00ED24DA" w:rsidRPr="00E73900">
        <w:rPr>
          <w:lang w:val="fr-CA"/>
        </w:rPr>
        <w:t>2</w:t>
      </w:r>
      <w:r w:rsidR="00645CF5" w:rsidRPr="00E73900">
        <w:rPr>
          <w:lang w:val="fr-CA"/>
        </w:rPr>
        <w:t>2.</w:t>
      </w:r>
    </w:p>
    <w:p w:rsidR="00D32CC0" w:rsidRPr="00E73900" w:rsidRDefault="00D32CC0" w:rsidP="006F2579">
      <w:pPr>
        <w:widowControl w:val="0"/>
        <w:rPr>
          <w:lang w:val="fr-CA"/>
        </w:rPr>
      </w:pPr>
    </w:p>
    <w:p w:rsidR="00493382" w:rsidRPr="00E73900" w:rsidRDefault="00A95C4C" w:rsidP="006F2579">
      <w:pPr>
        <w:widowControl w:val="0"/>
        <w:rPr>
          <w:lang w:val="fr-CA"/>
        </w:rPr>
      </w:pPr>
      <w:r>
        <w:rPr>
          <w:sz w:val="20"/>
        </w:rPr>
        <w:pict>
          <v:rect id="_x0000_i1025" style="width:2in;height:1pt" o:hrpct="0" o:hralign="center" o:hrstd="t" o:hrnoshade="t" o:hr="t" fillcolor="black [3213]" stroked="f"/>
        </w:pict>
      </w:r>
    </w:p>
    <w:p w:rsidR="004F46E6" w:rsidRPr="00E73900" w:rsidRDefault="004F46E6" w:rsidP="004F46E6">
      <w:pPr>
        <w:widowControl w:val="0"/>
        <w:rPr>
          <w:sz w:val="16"/>
          <w:szCs w:val="16"/>
        </w:rPr>
      </w:pPr>
    </w:p>
    <w:tbl>
      <w:tblPr>
        <w:tblW w:w="5149" w:type="pct"/>
        <w:tblCellMar>
          <w:top w:w="15" w:type="dxa"/>
          <w:left w:w="15" w:type="dxa"/>
          <w:bottom w:w="15" w:type="dxa"/>
          <w:right w:w="15" w:type="dxa"/>
        </w:tblCellMar>
        <w:tblLook w:val="04A0" w:firstRow="1" w:lastRow="0" w:firstColumn="1" w:lastColumn="0" w:noHBand="0" w:noVBand="1"/>
      </w:tblPr>
      <w:tblGrid>
        <w:gridCol w:w="2410"/>
        <w:gridCol w:w="7229"/>
      </w:tblGrid>
      <w:tr w:rsidR="004F1AF3" w:rsidRPr="0080636B" w:rsidTr="004F1AF3">
        <w:trPr>
          <w:trHeight w:val="561"/>
        </w:trPr>
        <w:tc>
          <w:tcPr>
            <w:tcW w:w="1250" w:type="pct"/>
            <w:shd w:val="clear" w:color="auto" w:fill="auto"/>
            <w:tcMar>
              <w:top w:w="0" w:type="dxa"/>
              <w:left w:w="45" w:type="dxa"/>
              <w:bottom w:w="0" w:type="dxa"/>
              <w:right w:w="45" w:type="dxa"/>
            </w:tcMar>
            <w:hideMark/>
          </w:tcPr>
          <w:p w:rsidR="004F1AF3" w:rsidRPr="00E73900" w:rsidRDefault="004F1AF3" w:rsidP="007655B2">
            <w:pPr>
              <w:widowControl w:val="0"/>
              <w:spacing w:after="120"/>
              <w:rPr>
                <w:b/>
                <w:sz w:val="20"/>
              </w:rPr>
            </w:pPr>
            <w:r w:rsidRPr="00E73900">
              <w:rPr>
                <w:b/>
                <w:sz w:val="20"/>
              </w:rPr>
              <w:t>DATE OF HEARING /</w:t>
            </w:r>
            <w:r w:rsidRPr="00E73900">
              <w:rPr>
                <w:b/>
                <w:sz w:val="20"/>
              </w:rPr>
              <w:br/>
              <w:t>DATE D’AUDITION</w:t>
            </w:r>
          </w:p>
        </w:tc>
        <w:tc>
          <w:tcPr>
            <w:tcW w:w="3750" w:type="pct"/>
            <w:shd w:val="clear" w:color="auto" w:fill="auto"/>
            <w:tcMar>
              <w:top w:w="0" w:type="dxa"/>
              <w:left w:w="45" w:type="dxa"/>
              <w:bottom w:w="0" w:type="dxa"/>
              <w:right w:w="45" w:type="dxa"/>
            </w:tcMar>
            <w:hideMark/>
          </w:tcPr>
          <w:p w:rsidR="004F1AF3" w:rsidRPr="00E73900" w:rsidRDefault="004F1AF3" w:rsidP="00A66695">
            <w:pPr>
              <w:widowControl w:val="0"/>
              <w:spacing w:after="120"/>
              <w:rPr>
                <w:b/>
                <w:sz w:val="20"/>
                <w:lang w:val="fr-CA"/>
              </w:rPr>
            </w:pPr>
            <w:r w:rsidRPr="00E73900">
              <w:rPr>
                <w:b/>
                <w:sz w:val="20"/>
                <w:lang w:val="fr-CA"/>
              </w:rPr>
              <w:t>NAME AND CASE NUMBER /</w:t>
            </w:r>
            <w:r w:rsidRPr="00E73900">
              <w:rPr>
                <w:b/>
                <w:sz w:val="20"/>
                <w:lang w:val="fr-CA"/>
              </w:rPr>
              <w:br/>
              <w:t>NOM DE LA CAUSE ET NUMÉRO</w:t>
            </w:r>
          </w:p>
        </w:tc>
      </w:tr>
      <w:tr w:rsidR="00292C0E" w:rsidRPr="00E73900" w:rsidTr="00E57045">
        <w:trPr>
          <w:trHeight w:val="259"/>
        </w:trPr>
        <w:tc>
          <w:tcPr>
            <w:tcW w:w="1250" w:type="pct"/>
            <w:shd w:val="clear" w:color="auto" w:fill="auto"/>
            <w:tcMar>
              <w:top w:w="0" w:type="dxa"/>
              <w:left w:w="45" w:type="dxa"/>
              <w:bottom w:w="0" w:type="dxa"/>
              <w:right w:w="45" w:type="dxa"/>
            </w:tcMar>
          </w:tcPr>
          <w:p w:rsidR="00292C0E" w:rsidRPr="00E73900" w:rsidRDefault="00292C0E" w:rsidP="00380A0F">
            <w:pPr>
              <w:rPr>
                <w:sz w:val="20"/>
              </w:rPr>
            </w:pPr>
            <w:r w:rsidRPr="00E73900">
              <w:rPr>
                <w:sz w:val="20"/>
              </w:rPr>
              <w:t>2022-0</w:t>
            </w:r>
            <w:r w:rsidR="00380A0F" w:rsidRPr="00E73900">
              <w:rPr>
                <w:sz w:val="20"/>
              </w:rPr>
              <w:t>4</w:t>
            </w:r>
            <w:r w:rsidRPr="00E73900">
              <w:rPr>
                <w:sz w:val="20"/>
              </w:rPr>
              <w:t>-</w:t>
            </w:r>
            <w:r w:rsidR="007F522C" w:rsidRPr="00E73900">
              <w:rPr>
                <w:sz w:val="20"/>
              </w:rPr>
              <w:t>1</w:t>
            </w:r>
            <w:r w:rsidR="00380A0F" w:rsidRPr="00E73900">
              <w:rPr>
                <w:sz w:val="20"/>
              </w:rPr>
              <w:t>2</w:t>
            </w:r>
          </w:p>
        </w:tc>
        <w:tc>
          <w:tcPr>
            <w:tcW w:w="3750" w:type="pct"/>
            <w:shd w:val="clear" w:color="auto" w:fill="auto"/>
            <w:tcMar>
              <w:top w:w="0" w:type="dxa"/>
              <w:left w:w="45" w:type="dxa"/>
              <w:bottom w:w="0" w:type="dxa"/>
              <w:right w:w="45" w:type="dxa"/>
            </w:tcMar>
          </w:tcPr>
          <w:p w:rsidR="00D32ACC" w:rsidRPr="00E73900" w:rsidRDefault="000D0BE2" w:rsidP="007F522C">
            <w:pPr>
              <w:spacing w:after="120"/>
              <w:rPr>
                <w:sz w:val="20"/>
              </w:rPr>
            </w:pPr>
            <w:r w:rsidRPr="00E73900">
              <w:rPr>
                <w:i/>
                <w:iCs/>
                <w:sz w:val="20"/>
              </w:rPr>
              <w:t>F. v. N. </w:t>
            </w:r>
            <w:r w:rsidRPr="00E73900">
              <w:rPr>
                <w:iCs/>
                <w:sz w:val="20"/>
              </w:rPr>
              <w:t>(Ont.) (Civil) (By Leave) (</w:t>
            </w:r>
            <w:hyperlink r:id="rId8" w:history="1">
              <w:r w:rsidRPr="00E73900">
                <w:rPr>
                  <w:rStyle w:val="Hyperlink"/>
                  <w:iCs/>
                  <w:sz w:val="20"/>
                </w:rPr>
                <w:t>39875</w:t>
              </w:r>
            </w:hyperlink>
            <w:r w:rsidRPr="00E73900">
              <w:rPr>
                <w:iCs/>
                <w:sz w:val="20"/>
              </w:rPr>
              <w:t>)</w:t>
            </w:r>
          </w:p>
        </w:tc>
      </w:tr>
      <w:tr w:rsidR="00292C0E" w:rsidRPr="00E73900" w:rsidTr="00E57045">
        <w:trPr>
          <w:trHeight w:val="237"/>
        </w:trPr>
        <w:tc>
          <w:tcPr>
            <w:tcW w:w="1250" w:type="pct"/>
            <w:shd w:val="clear" w:color="auto" w:fill="auto"/>
            <w:tcMar>
              <w:top w:w="0" w:type="dxa"/>
              <w:left w:w="45" w:type="dxa"/>
              <w:bottom w:w="0" w:type="dxa"/>
              <w:right w:w="45" w:type="dxa"/>
            </w:tcMar>
          </w:tcPr>
          <w:p w:rsidR="00292C0E" w:rsidRPr="00E73900" w:rsidRDefault="00292C0E" w:rsidP="00380A0F">
            <w:pPr>
              <w:rPr>
                <w:sz w:val="20"/>
              </w:rPr>
            </w:pPr>
            <w:r w:rsidRPr="00E73900">
              <w:rPr>
                <w:sz w:val="20"/>
              </w:rPr>
              <w:t>2022-0</w:t>
            </w:r>
            <w:r w:rsidR="00380A0F" w:rsidRPr="00E73900">
              <w:rPr>
                <w:sz w:val="20"/>
              </w:rPr>
              <w:t>4</w:t>
            </w:r>
            <w:r w:rsidR="007F522C" w:rsidRPr="00E73900">
              <w:rPr>
                <w:sz w:val="20"/>
              </w:rPr>
              <w:t>-1</w:t>
            </w:r>
            <w:r w:rsidR="00380A0F" w:rsidRPr="00E73900">
              <w:rPr>
                <w:sz w:val="20"/>
              </w:rPr>
              <w:t>9</w:t>
            </w:r>
          </w:p>
        </w:tc>
        <w:tc>
          <w:tcPr>
            <w:tcW w:w="3750" w:type="pct"/>
            <w:shd w:val="clear" w:color="auto" w:fill="auto"/>
            <w:tcMar>
              <w:top w:w="0" w:type="dxa"/>
              <w:left w:w="45" w:type="dxa"/>
              <w:bottom w:w="0" w:type="dxa"/>
              <w:right w:w="45" w:type="dxa"/>
            </w:tcMar>
          </w:tcPr>
          <w:p w:rsidR="00D32ACC" w:rsidRPr="00E73900" w:rsidRDefault="000D0BE2" w:rsidP="007F522C">
            <w:pPr>
              <w:spacing w:after="120"/>
              <w:rPr>
                <w:sz w:val="20"/>
              </w:rPr>
            </w:pPr>
            <w:r w:rsidRPr="00E73900">
              <w:rPr>
                <w:i/>
                <w:iCs/>
                <w:sz w:val="20"/>
              </w:rPr>
              <w:t>Andre Aaron Gerrard v. Her Majesty the Queen </w:t>
            </w:r>
            <w:r w:rsidRPr="00E73900">
              <w:rPr>
                <w:iCs/>
                <w:sz w:val="20"/>
              </w:rPr>
              <w:t>(N.S.) (Criminal) (As of Right) (</w:t>
            </w:r>
            <w:hyperlink r:id="rId9" w:history="1">
              <w:r w:rsidRPr="00E73900">
                <w:rPr>
                  <w:rStyle w:val="Hyperlink"/>
                  <w:iCs/>
                  <w:sz w:val="20"/>
                </w:rPr>
                <w:t>39874</w:t>
              </w:r>
            </w:hyperlink>
            <w:r w:rsidRPr="00E73900">
              <w:rPr>
                <w:iCs/>
                <w:sz w:val="20"/>
              </w:rPr>
              <w:t>)</w:t>
            </w:r>
          </w:p>
        </w:tc>
      </w:tr>
      <w:tr w:rsidR="00292C0E" w:rsidRPr="00E73900" w:rsidTr="005C7117">
        <w:trPr>
          <w:trHeight w:val="415"/>
        </w:trPr>
        <w:tc>
          <w:tcPr>
            <w:tcW w:w="1250" w:type="pct"/>
            <w:shd w:val="clear" w:color="auto" w:fill="auto"/>
            <w:tcMar>
              <w:top w:w="0" w:type="dxa"/>
              <w:left w:w="45" w:type="dxa"/>
              <w:bottom w:w="0" w:type="dxa"/>
              <w:right w:w="45" w:type="dxa"/>
            </w:tcMar>
          </w:tcPr>
          <w:p w:rsidR="00292C0E" w:rsidRPr="00E73900" w:rsidRDefault="00292C0E" w:rsidP="00380A0F">
            <w:pPr>
              <w:rPr>
                <w:sz w:val="20"/>
              </w:rPr>
            </w:pPr>
            <w:r w:rsidRPr="00E73900">
              <w:rPr>
                <w:sz w:val="20"/>
              </w:rPr>
              <w:t>2022-0</w:t>
            </w:r>
            <w:r w:rsidR="00380A0F" w:rsidRPr="00E73900">
              <w:rPr>
                <w:sz w:val="20"/>
              </w:rPr>
              <w:t>4</w:t>
            </w:r>
            <w:r w:rsidR="007F522C" w:rsidRPr="00E73900">
              <w:rPr>
                <w:sz w:val="20"/>
              </w:rPr>
              <w:t>-2</w:t>
            </w:r>
            <w:r w:rsidR="00380A0F" w:rsidRPr="00E73900">
              <w:rPr>
                <w:sz w:val="20"/>
              </w:rPr>
              <w:t>0</w:t>
            </w:r>
          </w:p>
        </w:tc>
        <w:tc>
          <w:tcPr>
            <w:tcW w:w="3750" w:type="pct"/>
            <w:shd w:val="clear" w:color="auto" w:fill="auto"/>
            <w:tcMar>
              <w:top w:w="0" w:type="dxa"/>
              <w:left w:w="45" w:type="dxa"/>
              <w:bottom w:w="0" w:type="dxa"/>
              <w:right w:w="45" w:type="dxa"/>
            </w:tcMar>
          </w:tcPr>
          <w:p w:rsidR="00292C0E" w:rsidRPr="00E73900" w:rsidRDefault="000D0BE2" w:rsidP="007F522C">
            <w:pPr>
              <w:spacing w:after="120"/>
              <w:rPr>
                <w:sz w:val="20"/>
              </w:rPr>
            </w:pPr>
            <w:r w:rsidRPr="00E73900">
              <w:rPr>
                <w:i/>
                <w:iCs/>
                <w:sz w:val="20"/>
              </w:rPr>
              <w:t>Nova Chemicals Corporation v. Dow Chemical Company, et al. </w:t>
            </w:r>
            <w:r w:rsidRPr="00E73900">
              <w:rPr>
                <w:iCs/>
                <w:sz w:val="20"/>
              </w:rPr>
              <w:t>(F.C.) (Civil) (By Leave) (</w:t>
            </w:r>
            <w:hyperlink r:id="rId10" w:history="1">
              <w:r w:rsidRPr="00E73900">
                <w:rPr>
                  <w:rStyle w:val="Hyperlink"/>
                  <w:iCs/>
                  <w:sz w:val="20"/>
                </w:rPr>
                <w:t>39439</w:t>
              </w:r>
            </w:hyperlink>
            <w:r w:rsidRPr="00E73900">
              <w:rPr>
                <w:iCs/>
                <w:sz w:val="20"/>
              </w:rPr>
              <w:t>)</w:t>
            </w:r>
          </w:p>
        </w:tc>
      </w:tr>
      <w:tr w:rsidR="00E57045" w:rsidRPr="00E73900" w:rsidTr="005C7117">
        <w:trPr>
          <w:trHeight w:val="415"/>
        </w:trPr>
        <w:tc>
          <w:tcPr>
            <w:tcW w:w="1250" w:type="pct"/>
            <w:shd w:val="clear" w:color="auto" w:fill="auto"/>
            <w:tcMar>
              <w:top w:w="0" w:type="dxa"/>
              <w:left w:w="45" w:type="dxa"/>
              <w:bottom w:w="0" w:type="dxa"/>
              <w:right w:w="45" w:type="dxa"/>
            </w:tcMar>
          </w:tcPr>
          <w:p w:rsidR="00E57045" w:rsidRPr="00E73900" w:rsidRDefault="00E57045" w:rsidP="00380A0F">
            <w:pPr>
              <w:rPr>
                <w:sz w:val="20"/>
              </w:rPr>
            </w:pPr>
            <w:r w:rsidRPr="00E73900">
              <w:rPr>
                <w:sz w:val="20"/>
              </w:rPr>
              <w:t>2022-0</w:t>
            </w:r>
            <w:r w:rsidR="00380A0F" w:rsidRPr="00E73900">
              <w:rPr>
                <w:sz w:val="20"/>
              </w:rPr>
              <w:t>4</w:t>
            </w:r>
            <w:r w:rsidR="007F522C" w:rsidRPr="00E73900">
              <w:rPr>
                <w:sz w:val="20"/>
              </w:rPr>
              <w:t>-2</w:t>
            </w:r>
            <w:r w:rsidR="00380A0F" w:rsidRPr="00E73900">
              <w:rPr>
                <w:sz w:val="20"/>
              </w:rPr>
              <w:t>1</w:t>
            </w:r>
          </w:p>
        </w:tc>
        <w:tc>
          <w:tcPr>
            <w:tcW w:w="3750" w:type="pct"/>
            <w:shd w:val="clear" w:color="auto" w:fill="auto"/>
            <w:tcMar>
              <w:top w:w="0" w:type="dxa"/>
              <w:left w:w="45" w:type="dxa"/>
              <w:bottom w:w="0" w:type="dxa"/>
              <w:right w:w="45" w:type="dxa"/>
            </w:tcMar>
          </w:tcPr>
          <w:p w:rsidR="00E57045" w:rsidRPr="00E73900" w:rsidRDefault="000D0BE2" w:rsidP="007F522C">
            <w:pPr>
              <w:spacing w:after="120"/>
              <w:rPr>
                <w:i/>
                <w:sz w:val="20"/>
              </w:rPr>
            </w:pPr>
            <w:r w:rsidRPr="00E73900">
              <w:rPr>
                <w:i/>
                <w:iCs/>
                <w:sz w:val="20"/>
              </w:rPr>
              <w:t>Her Majesty the Queen v. Anthony Raul Alas </w:t>
            </w:r>
            <w:r w:rsidRPr="00E73900">
              <w:rPr>
                <w:iCs/>
                <w:sz w:val="20"/>
              </w:rPr>
              <w:t>(Ont.) (Criminal) (As of Right) (</w:t>
            </w:r>
            <w:hyperlink r:id="rId11" w:history="1">
              <w:r w:rsidRPr="00E73900">
                <w:rPr>
                  <w:rStyle w:val="Hyperlink"/>
                  <w:iCs/>
                  <w:sz w:val="20"/>
                </w:rPr>
                <w:t>39654</w:t>
              </w:r>
            </w:hyperlink>
            <w:r w:rsidRPr="00E73900">
              <w:rPr>
                <w:iCs/>
                <w:sz w:val="20"/>
              </w:rPr>
              <w:t>)</w:t>
            </w:r>
          </w:p>
        </w:tc>
      </w:tr>
    </w:tbl>
    <w:p w:rsidR="00BE50C2" w:rsidRPr="00E73900" w:rsidRDefault="00BE50C2" w:rsidP="0048502A">
      <w:pPr>
        <w:widowControl w:val="0"/>
        <w:rPr>
          <w:sz w:val="20"/>
          <w:lang w:val="fr-CA"/>
        </w:rPr>
      </w:pPr>
    </w:p>
    <w:p w:rsidR="00EE4187" w:rsidRPr="00E73900" w:rsidRDefault="00EE4187" w:rsidP="00EE4187">
      <w:pPr>
        <w:widowControl w:val="0"/>
        <w:jc w:val="both"/>
        <w:rPr>
          <w:sz w:val="18"/>
          <w:szCs w:val="18"/>
        </w:rPr>
      </w:pPr>
      <w:r w:rsidRPr="00E73900">
        <w:rPr>
          <w:b/>
          <w:sz w:val="18"/>
          <w:szCs w:val="18"/>
        </w:rPr>
        <w:t>NOTE:</w:t>
      </w:r>
      <w:r w:rsidRPr="00E73900">
        <w:rPr>
          <w:sz w:val="18"/>
          <w:szCs w:val="18"/>
        </w:rPr>
        <w:t xml:space="preserve"> This agenda is subject to change. Hearings normally commence at 9:30 a.m.</w:t>
      </w:r>
      <w:r w:rsidR="00DF5D71" w:rsidRPr="00E73900">
        <w:rPr>
          <w:sz w:val="18"/>
          <w:szCs w:val="18"/>
        </w:rPr>
        <w:t xml:space="preserve"> ET</w:t>
      </w:r>
      <w:r w:rsidRPr="00E73900">
        <w:rPr>
          <w:sz w:val="18"/>
          <w:szCs w:val="18"/>
        </w:rPr>
        <w:t>; however, cases with multiple parties often commence at 9:00 a.m. Where two cases are scheduled on a given day, the second case may be heard immediately after the first one or at 2:00 p.m. Hearing dates and times should be confirmed with Registry staff at 613-996-8666.</w:t>
      </w:r>
    </w:p>
    <w:p w:rsidR="00EE4187" w:rsidRPr="00E73900" w:rsidRDefault="00EE4187" w:rsidP="00EE4187">
      <w:pPr>
        <w:widowControl w:val="0"/>
        <w:jc w:val="both"/>
        <w:rPr>
          <w:sz w:val="18"/>
          <w:szCs w:val="18"/>
        </w:rPr>
      </w:pPr>
    </w:p>
    <w:p w:rsidR="00EE4187" w:rsidRPr="00E73900" w:rsidRDefault="00EE4187" w:rsidP="00EE4187">
      <w:pPr>
        <w:jc w:val="both"/>
        <w:rPr>
          <w:sz w:val="18"/>
          <w:szCs w:val="18"/>
          <w:lang w:val="fr-CA"/>
        </w:rPr>
      </w:pPr>
      <w:r w:rsidRPr="00E73900">
        <w:rPr>
          <w:sz w:val="18"/>
          <w:szCs w:val="18"/>
          <w:lang w:val="fr-CA"/>
        </w:rPr>
        <w:t>Ce calendrier est sujet à modification. Les audiences débutent normalement à 9</w:t>
      </w:r>
      <w:r w:rsidR="00DF5D71" w:rsidRPr="00E73900">
        <w:rPr>
          <w:sz w:val="18"/>
          <w:szCs w:val="18"/>
          <w:lang w:val="fr-CA"/>
        </w:rPr>
        <w:t xml:space="preserve"> </w:t>
      </w:r>
      <w:r w:rsidRPr="00E73900">
        <w:rPr>
          <w:sz w:val="18"/>
          <w:szCs w:val="18"/>
          <w:lang w:val="fr-CA"/>
        </w:rPr>
        <w:t>h</w:t>
      </w:r>
      <w:r w:rsidR="00DF5D71" w:rsidRPr="00E73900">
        <w:rPr>
          <w:sz w:val="18"/>
          <w:szCs w:val="18"/>
          <w:lang w:val="fr-CA"/>
        </w:rPr>
        <w:t xml:space="preserve"> </w:t>
      </w:r>
      <w:r w:rsidRPr="00E73900">
        <w:rPr>
          <w:sz w:val="18"/>
          <w:szCs w:val="18"/>
          <w:lang w:val="fr-CA"/>
        </w:rPr>
        <w:t>30</w:t>
      </w:r>
      <w:r w:rsidR="00DF5D71" w:rsidRPr="00E73900">
        <w:rPr>
          <w:sz w:val="18"/>
          <w:szCs w:val="18"/>
          <w:lang w:val="fr-CA"/>
        </w:rPr>
        <w:t xml:space="preserve"> HE</w:t>
      </w:r>
      <w:r w:rsidRPr="00E73900">
        <w:rPr>
          <w:sz w:val="18"/>
          <w:szCs w:val="18"/>
          <w:lang w:val="fr-CA"/>
        </w:rPr>
        <w:t>; toutefois; l’audition des affaires concernant des parties multiples commence souvent à 9 h. Lorsque deux affaires doivent être entendues le même jour, l’audition de la deuxième affaire peut avoir lieu immédiatement après celle de la première ou encore à 14 h. La date et l’heure d’une audience doivent être confirmées auprès du personnel du greffe au 613-996-8666.</w:t>
      </w:r>
    </w:p>
    <w:p w:rsidR="00EE4187" w:rsidRPr="00E73900" w:rsidRDefault="00EE4187" w:rsidP="00EE4187">
      <w:pPr>
        <w:widowControl w:val="0"/>
        <w:jc w:val="both"/>
        <w:rPr>
          <w:sz w:val="20"/>
          <w:lang w:val="fr-CA"/>
        </w:rPr>
      </w:pPr>
    </w:p>
    <w:p w:rsidR="00493382" w:rsidRPr="00E73900" w:rsidRDefault="00A95C4C" w:rsidP="00EE4187">
      <w:pPr>
        <w:widowControl w:val="0"/>
        <w:jc w:val="both"/>
        <w:rPr>
          <w:sz w:val="20"/>
          <w:lang w:val="fr-CA"/>
        </w:rPr>
      </w:pPr>
      <w:r>
        <w:rPr>
          <w:sz w:val="20"/>
        </w:rPr>
        <w:pict>
          <v:rect id="_x0000_i1026" style="width:2in;height:1pt" o:hrpct="0" o:hralign="center" o:hrstd="t" o:hrnoshade="t" o:hr="t" fillcolor="black [3213]" stroked="f"/>
        </w:pict>
      </w:r>
    </w:p>
    <w:p w:rsidR="00380A0F" w:rsidRPr="00E73900" w:rsidRDefault="00380A0F" w:rsidP="006F04E4">
      <w:pPr>
        <w:widowControl w:val="0"/>
        <w:jc w:val="both"/>
        <w:rPr>
          <w:sz w:val="20"/>
        </w:rPr>
      </w:pPr>
    </w:p>
    <w:p w:rsidR="004119B1" w:rsidRPr="00E73900" w:rsidRDefault="004119B1" w:rsidP="004119B1">
      <w:pPr>
        <w:widowControl w:val="0"/>
        <w:ind w:left="709" w:hanging="709"/>
        <w:jc w:val="both"/>
        <w:rPr>
          <w:b/>
          <w:i/>
          <w:sz w:val="20"/>
          <w:lang w:val="en-CA"/>
        </w:rPr>
      </w:pPr>
      <w:r w:rsidRPr="00E73900">
        <w:rPr>
          <w:b/>
          <w:sz w:val="20"/>
          <w:lang w:val="en-CA"/>
        </w:rPr>
        <w:fldChar w:fldCharType="begin"/>
      </w:r>
      <w:r w:rsidRPr="00E73900">
        <w:rPr>
          <w:b/>
          <w:sz w:val="20"/>
        </w:rPr>
        <w:instrText xml:space="preserve"> SEQ CHAPTER \h \r 1</w:instrText>
      </w:r>
      <w:r w:rsidRPr="00E73900">
        <w:rPr>
          <w:b/>
          <w:sz w:val="20"/>
        </w:rPr>
        <w:fldChar w:fldCharType="end"/>
      </w:r>
      <w:r w:rsidRPr="00E73900">
        <w:rPr>
          <w:b/>
          <w:sz w:val="20"/>
          <w:lang w:val="en-CA"/>
        </w:rPr>
        <w:t>39875</w:t>
      </w:r>
      <w:r w:rsidRPr="00E73900">
        <w:rPr>
          <w:b/>
          <w:sz w:val="20"/>
          <w:lang w:val="en-CA"/>
        </w:rPr>
        <w:tab/>
      </w:r>
      <w:r w:rsidRPr="00E73900">
        <w:rPr>
          <w:b/>
          <w:i/>
          <w:sz w:val="20"/>
          <w:lang w:val="en-CA"/>
        </w:rPr>
        <w:t>F. v. N.</w:t>
      </w:r>
    </w:p>
    <w:p w:rsidR="004119B1" w:rsidRPr="00E73900" w:rsidRDefault="004119B1" w:rsidP="004119B1">
      <w:pPr>
        <w:widowControl w:val="0"/>
        <w:ind w:left="709" w:hanging="709"/>
        <w:jc w:val="both"/>
        <w:rPr>
          <w:sz w:val="20"/>
          <w:lang w:val="en-CA"/>
        </w:rPr>
      </w:pPr>
      <w:r w:rsidRPr="00E73900">
        <w:rPr>
          <w:sz w:val="20"/>
          <w:lang w:val="en-CA"/>
        </w:rPr>
        <w:tab/>
        <w:t>(Ontario) (Civil) (By leave)</w:t>
      </w:r>
    </w:p>
    <w:p w:rsidR="004119B1" w:rsidRPr="00E73900" w:rsidRDefault="004119B1" w:rsidP="004119B1">
      <w:pPr>
        <w:widowControl w:val="0"/>
        <w:jc w:val="both"/>
        <w:rPr>
          <w:sz w:val="20"/>
          <w:lang w:val="en-CA"/>
        </w:rPr>
      </w:pPr>
    </w:p>
    <w:p w:rsidR="004119B1" w:rsidRPr="00E73900" w:rsidRDefault="004119B1" w:rsidP="004119B1">
      <w:pPr>
        <w:widowControl w:val="0"/>
        <w:jc w:val="both"/>
        <w:rPr>
          <w:smallCaps/>
          <w:sz w:val="20"/>
          <w:lang w:val="en-CA"/>
        </w:rPr>
      </w:pPr>
      <w:r w:rsidRPr="00E73900">
        <w:rPr>
          <w:b/>
          <w:smallCaps/>
          <w:sz w:val="20"/>
          <w:lang w:val="en-CA"/>
        </w:rPr>
        <w:t>(</w:t>
      </w:r>
      <w:r w:rsidRPr="00E73900">
        <w:rPr>
          <w:smallCaps/>
          <w:sz w:val="20"/>
          <w:lang w:val="en-CA"/>
        </w:rPr>
        <w:t>Publication Ban)</w:t>
      </w:r>
    </w:p>
    <w:p w:rsidR="004119B1" w:rsidRPr="00E73900" w:rsidRDefault="004119B1" w:rsidP="004119B1">
      <w:pPr>
        <w:widowControl w:val="0"/>
        <w:jc w:val="both"/>
        <w:rPr>
          <w:sz w:val="20"/>
          <w:lang w:val="en-CA"/>
        </w:rPr>
      </w:pPr>
    </w:p>
    <w:p w:rsidR="004119B1" w:rsidRPr="00E73900" w:rsidRDefault="004119B1" w:rsidP="004119B1">
      <w:pPr>
        <w:widowControl w:val="0"/>
        <w:jc w:val="both"/>
        <w:rPr>
          <w:sz w:val="20"/>
        </w:rPr>
      </w:pPr>
      <w:r w:rsidRPr="00E73900">
        <w:rPr>
          <w:sz w:val="20"/>
        </w:rPr>
        <w:t>Family law – Custody – Parental authority – Courts – Jurisdiction – Mother leaving non-</w:t>
      </w:r>
      <w:r w:rsidRPr="00E73900">
        <w:rPr>
          <w:i/>
          <w:sz w:val="20"/>
        </w:rPr>
        <w:t>Hague Convention</w:t>
      </w:r>
      <w:r w:rsidRPr="00E73900">
        <w:rPr>
          <w:sz w:val="20"/>
        </w:rPr>
        <w:t xml:space="preserve"> country with children without father’s consent and retaining them in Ontario -  Did the majority of the Court of Appeal err by affirming the trial judge’s decision to decline jurisdiction pursuant to s. 23 of the </w:t>
      </w:r>
      <w:r w:rsidRPr="00E73900">
        <w:rPr>
          <w:i/>
          <w:sz w:val="20"/>
        </w:rPr>
        <w:t>CLRA</w:t>
      </w:r>
      <w:r w:rsidRPr="00E73900">
        <w:rPr>
          <w:sz w:val="20"/>
        </w:rPr>
        <w:t xml:space="preserve">? – What factors and to what extent should the “best interests of the child” principle inform </w:t>
      </w:r>
      <w:proofErr w:type="gramStart"/>
      <w:r w:rsidRPr="00E73900">
        <w:rPr>
          <w:sz w:val="20"/>
        </w:rPr>
        <w:t>a</w:t>
      </w:r>
      <w:proofErr w:type="gramEnd"/>
      <w:r w:rsidRPr="00E73900">
        <w:rPr>
          <w:sz w:val="20"/>
        </w:rPr>
        <w:t xml:space="preserve"> s. 23 analysis in determining the risk of serious harm? </w:t>
      </w:r>
      <w:r w:rsidRPr="00E73900">
        <w:rPr>
          <w:sz w:val="20"/>
        </w:rPr>
        <w:lastRenderedPageBreak/>
        <w:t xml:space="preserve">-  Did the majority of the Court of Appeal err by affirming the trial judge’s decision to return the children to the UAE pursuant to s. 40 of the </w:t>
      </w:r>
      <w:r w:rsidRPr="00E73900">
        <w:rPr>
          <w:i/>
          <w:sz w:val="20"/>
        </w:rPr>
        <w:t>CLRA</w:t>
      </w:r>
      <w:r w:rsidRPr="00E73900">
        <w:rPr>
          <w:sz w:val="20"/>
        </w:rPr>
        <w:t xml:space="preserve">? - How and to what extent should the “best interests of the child” principle inform the exercise of judicial discretion and available remedies under s. 40 of the </w:t>
      </w:r>
      <w:r w:rsidRPr="00E73900">
        <w:rPr>
          <w:i/>
          <w:sz w:val="20"/>
        </w:rPr>
        <w:t>CLRA</w:t>
      </w:r>
      <w:r w:rsidRPr="00E73900">
        <w:rPr>
          <w:sz w:val="20"/>
        </w:rPr>
        <w:t>?</w:t>
      </w:r>
    </w:p>
    <w:p w:rsidR="004119B1" w:rsidRPr="00E73900" w:rsidRDefault="004119B1" w:rsidP="004119B1">
      <w:pPr>
        <w:widowControl w:val="0"/>
        <w:jc w:val="both"/>
        <w:rPr>
          <w:sz w:val="20"/>
        </w:rPr>
      </w:pPr>
    </w:p>
    <w:p w:rsidR="004119B1" w:rsidRPr="00E73900" w:rsidRDefault="004119B1" w:rsidP="004119B1">
      <w:pPr>
        <w:widowControl w:val="0"/>
        <w:jc w:val="both"/>
        <w:rPr>
          <w:sz w:val="20"/>
        </w:rPr>
      </w:pPr>
      <w:r w:rsidRPr="00E73900">
        <w:rPr>
          <w:sz w:val="20"/>
        </w:rPr>
        <w:t>The appellant and her former husband, the respondent, were married in Pakistan in 2012.  They have two children under the age of five who are both Canadian citizens, as is the mother.  The father is a Pakistani citizen.   The parties resided in Dubai, United Arab Emirates (“UAE”) during the entire course of their marriage under a series of temporary residence visas directly linked to the father’s employment there. The mother and children were issued visas as dependents of the father, who had discretion over the renewal process.   The mother advised the father shortly after arriving in Canada with the children in June 2020 to visit with her family that she would not be returning to Dubai with the children.</w:t>
      </w:r>
    </w:p>
    <w:p w:rsidR="004119B1" w:rsidRPr="00E73900" w:rsidRDefault="004119B1" w:rsidP="004119B1">
      <w:pPr>
        <w:widowControl w:val="0"/>
        <w:jc w:val="both"/>
        <w:rPr>
          <w:sz w:val="20"/>
        </w:rPr>
      </w:pPr>
    </w:p>
    <w:p w:rsidR="000D0BE2" w:rsidRPr="00E73900" w:rsidRDefault="004119B1" w:rsidP="004119B1">
      <w:pPr>
        <w:widowControl w:val="0"/>
        <w:jc w:val="both"/>
        <w:rPr>
          <w:b/>
          <w:sz w:val="20"/>
        </w:rPr>
      </w:pPr>
      <w:r w:rsidRPr="00E73900">
        <w:rPr>
          <w:sz w:val="20"/>
        </w:rPr>
        <w:t xml:space="preserve">The father initiated proceedings for divorce in Dubai, and brought an application under s. 40 of the </w:t>
      </w:r>
      <w:r w:rsidRPr="00E73900">
        <w:rPr>
          <w:i/>
          <w:sz w:val="20"/>
        </w:rPr>
        <w:t>CLRA</w:t>
      </w:r>
      <w:r w:rsidRPr="00E73900">
        <w:rPr>
          <w:sz w:val="20"/>
        </w:rPr>
        <w:t xml:space="preserve"> for an order requiring the children to b</w:t>
      </w:r>
      <w:bookmarkStart w:id="0" w:name="_GoBack"/>
      <w:bookmarkEnd w:id="0"/>
      <w:r w:rsidRPr="00E73900">
        <w:rPr>
          <w:sz w:val="20"/>
        </w:rPr>
        <w:t xml:space="preserve">e returned to Dubai to have the matters of custody and access decided there, as the children’s habitual residence. The UAE is not a signatory country to the </w:t>
      </w:r>
      <w:r w:rsidRPr="00E73900">
        <w:rPr>
          <w:i/>
          <w:sz w:val="20"/>
        </w:rPr>
        <w:t>Hague Convention</w:t>
      </w:r>
      <w:r w:rsidRPr="00E73900">
        <w:rPr>
          <w:sz w:val="20"/>
        </w:rPr>
        <w:t xml:space="preserve">.  The father obtained a divorce from the court in Dubai and was also granted custody and guardianship of the children.  The mother did not participate in the proceedings in Dubai.  The mother asked the Ontario court to assume jurisdiction in this case under ss. 22 or 23 of the </w:t>
      </w:r>
      <w:r w:rsidRPr="00E73900">
        <w:rPr>
          <w:i/>
          <w:sz w:val="20"/>
        </w:rPr>
        <w:t xml:space="preserve">CLRA </w:t>
      </w:r>
      <w:r w:rsidRPr="00E73900">
        <w:rPr>
          <w:sz w:val="20"/>
        </w:rPr>
        <w:t>to decide the parenting issues.</w:t>
      </w:r>
    </w:p>
    <w:p w:rsidR="000D0BE2" w:rsidRPr="00E73900" w:rsidRDefault="000D0BE2" w:rsidP="000D0BE2">
      <w:pPr>
        <w:widowControl w:val="0"/>
        <w:jc w:val="both"/>
        <w:rPr>
          <w:sz w:val="20"/>
        </w:rPr>
      </w:pPr>
    </w:p>
    <w:p w:rsidR="000D0BE2" w:rsidRPr="00E73900" w:rsidRDefault="00A95C4C" w:rsidP="000D0BE2">
      <w:pPr>
        <w:widowControl w:val="0"/>
        <w:jc w:val="both"/>
        <w:rPr>
          <w:sz w:val="20"/>
        </w:rPr>
      </w:pPr>
      <w:r>
        <w:rPr>
          <w:sz w:val="20"/>
        </w:rPr>
        <w:pict>
          <v:rect id="_x0000_i1027" style="width:2in;height:1pt" o:hrpct="0" o:hralign="center" o:hrstd="t" o:hrnoshade="t" o:hr="t" fillcolor="black [3213]" stroked="f"/>
        </w:pict>
      </w:r>
    </w:p>
    <w:p w:rsidR="000D0BE2" w:rsidRPr="00E73900" w:rsidRDefault="000D0BE2" w:rsidP="00BC19AA">
      <w:pPr>
        <w:widowControl w:val="0"/>
        <w:jc w:val="both"/>
        <w:rPr>
          <w:sz w:val="20"/>
        </w:rPr>
      </w:pPr>
    </w:p>
    <w:p w:rsidR="00BC19AA" w:rsidRPr="00E73900" w:rsidRDefault="00BC19AA" w:rsidP="00BC19AA">
      <w:pPr>
        <w:widowControl w:val="0"/>
        <w:tabs>
          <w:tab w:val="left" w:pos="720"/>
        </w:tabs>
        <w:ind w:left="1440" w:hanging="1440"/>
        <w:jc w:val="both"/>
        <w:rPr>
          <w:b/>
          <w:i/>
          <w:sz w:val="20"/>
          <w:lang w:val="fr-CA"/>
        </w:rPr>
      </w:pPr>
      <w:r w:rsidRPr="00E73900">
        <w:rPr>
          <w:b/>
          <w:sz w:val="20"/>
          <w:lang w:val="en-CA"/>
        </w:rPr>
        <w:fldChar w:fldCharType="begin"/>
      </w:r>
      <w:r w:rsidRPr="00E73900">
        <w:rPr>
          <w:b/>
          <w:sz w:val="20"/>
          <w:lang w:val="fr-CA"/>
        </w:rPr>
        <w:instrText xml:space="preserve"> SEQ CHAPTER \h \r 1</w:instrText>
      </w:r>
      <w:r w:rsidRPr="00E73900">
        <w:rPr>
          <w:b/>
          <w:sz w:val="20"/>
        </w:rPr>
        <w:fldChar w:fldCharType="end"/>
      </w:r>
      <w:r w:rsidRPr="00E73900">
        <w:rPr>
          <w:b/>
          <w:sz w:val="20"/>
          <w:lang w:val="fr-CA"/>
        </w:rPr>
        <w:t>39875</w:t>
      </w:r>
      <w:r w:rsidRPr="00E73900">
        <w:rPr>
          <w:sz w:val="20"/>
          <w:lang w:val="fr-CA"/>
        </w:rPr>
        <w:tab/>
      </w:r>
      <w:r w:rsidRPr="00E73900">
        <w:rPr>
          <w:b/>
          <w:i/>
          <w:sz w:val="20"/>
          <w:lang w:val="fr-CA"/>
        </w:rPr>
        <w:t>F. c. N.</w:t>
      </w:r>
    </w:p>
    <w:p w:rsidR="00BC19AA" w:rsidRPr="00E73900" w:rsidRDefault="00BC19AA" w:rsidP="00BC19AA">
      <w:pPr>
        <w:widowControl w:val="0"/>
        <w:tabs>
          <w:tab w:val="left" w:pos="720"/>
        </w:tabs>
        <w:ind w:left="1440" w:hanging="1440"/>
        <w:jc w:val="both"/>
        <w:rPr>
          <w:sz w:val="20"/>
          <w:lang w:val="fr-CA"/>
        </w:rPr>
      </w:pPr>
      <w:r w:rsidRPr="00E73900">
        <w:rPr>
          <w:sz w:val="20"/>
          <w:lang w:val="fr-CA"/>
        </w:rPr>
        <w:tab/>
        <w:t>(Ontario) (Civile) (Autorisation)</w:t>
      </w:r>
    </w:p>
    <w:p w:rsidR="00BC19AA" w:rsidRPr="00E73900" w:rsidRDefault="00BC19AA" w:rsidP="00BC19AA">
      <w:pPr>
        <w:widowControl w:val="0"/>
        <w:jc w:val="both"/>
        <w:rPr>
          <w:sz w:val="20"/>
          <w:lang w:val="fr-CA"/>
        </w:rPr>
      </w:pPr>
    </w:p>
    <w:p w:rsidR="00BC19AA" w:rsidRPr="00E73900" w:rsidRDefault="00BC19AA" w:rsidP="00BC19AA">
      <w:pPr>
        <w:widowControl w:val="0"/>
        <w:jc w:val="both"/>
        <w:rPr>
          <w:smallCaps/>
          <w:sz w:val="20"/>
          <w:lang w:val="fr-CA"/>
        </w:rPr>
      </w:pPr>
      <w:r w:rsidRPr="00E73900">
        <w:rPr>
          <w:smallCaps/>
          <w:sz w:val="20"/>
          <w:lang w:val="fr-CA"/>
        </w:rPr>
        <w:t>(Interdiction de publication)</w:t>
      </w:r>
    </w:p>
    <w:p w:rsidR="00BC19AA" w:rsidRPr="00E73900" w:rsidRDefault="00BC19AA" w:rsidP="00BC19AA">
      <w:pPr>
        <w:widowControl w:val="0"/>
        <w:jc w:val="both"/>
        <w:rPr>
          <w:sz w:val="20"/>
          <w:lang w:val="fr-CA"/>
        </w:rPr>
      </w:pPr>
    </w:p>
    <w:p w:rsidR="00BC19AA" w:rsidRPr="00E73900" w:rsidRDefault="00BC19AA" w:rsidP="00BC19AA">
      <w:pPr>
        <w:widowControl w:val="0"/>
        <w:jc w:val="both"/>
        <w:rPr>
          <w:sz w:val="20"/>
          <w:lang w:val="fr-CA"/>
        </w:rPr>
      </w:pPr>
      <w:r w:rsidRPr="00E73900">
        <w:rPr>
          <w:sz w:val="20"/>
          <w:lang w:val="fr-CA"/>
        </w:rPr>
        <w:t>Droit de la famille — Garde — Autorité parentale — Tribunaux — Compétence — Mère quittant un pays non</w:t>
      </w:r>
      <w:r w:rsidRPr="00E73900">
        <w:rPr>
          <w:sz w:val="20"/>
          <w:lang w:val="fr-CA"/>
        </w:rPr>
        <w:noBreakHyphen/>
        <w:t xml:space="preserve">signataire de la </w:t>
      </w:r>
      <w:r w:rsidRPr="00E73900">
        <w:rPr>
          <w:i/>
          <w:sz w:val="20"/>
          <w:lang w:val="fr-CA"/>
        </w:rPr>
        <w:t xml:space="preserve">Convention de La Haye </w:t>
      </w:r>
      <w:r w:rsidRPr="00E73900">
        <w:rPr>
          <w:sz w:val="20"/>
          <w:lang w:val="fr-CA"/>
        </w:rPr>
        <w:t>avec les enfants, sans le consentement du père et les retenant en Ontario — Les juges majoritaires de la Cour d’appel ont</w:t>
      </w:r>
      <w:r w:rsidRPr="00E73900">
        <w:rPr>
          <w:sz w:val="20"/>
          <w:lang w:val="fr-CA"/>
        </w:rPr>
        <w:noBreakHyphen/>
        <w:t xml:space="preserve">ils erronément confirmé la décision du juge de première instance de décliner sa compétence, au titre de l’art. 23 de la </w:t>
      </w:r>
      <w:r w:rsidRPr="00E73900">
        <w:rPr>
          <w:i/>
          <w:sz w:val="20"/>
          <w:lang w:val="fr-CA"/>
        </w:rPr>
        <w:t>LRDE</w:t>
      </w:r>
      <w:r w:rsidRPr="00E73900">
        <w:rPr>
          <w:sz w:val="20"/>
          <w:lang w:val="fr-CA"/>
        </w:rPr>
        <w:t>? — Quels facteurs et quelle portée devraient être accordés au principe de « l’intérêt véritable de l’enfant » dans une analyse menée au titre de l’art. 23, lorsqu’il s’agit de déterminer le risque de préjudice grave causé à l’enfant? — Les juges majoritaires de la Cour d’appel ont</w:t>
      </w:r>
      <w:r w:rsidRPr="00E73900">
        <w:rPr>
          <w:sz w:val="20"/>
          <w:lang w:val="fr-CA"/>
        </w:rPr>
        <w:noBreakHyphen/>
        <w:t xml:space="preserve">ils erronément confirmé la décision du juge de première instance de renvoyer les enfants aux Émirats arabes unis, en application de l’art. 40 de la </w:t>
      </w:r>
      <w:r w:rsidRPr="00E73900">
        <w:rPr>
          <w:i/>
          <w:sz w:val="20"/>
          <w:lang w:val="fr-CA"/>
        </w:rPr>
        <w:t>LRDE</w:t>
      </w:r>
      <w:r w:rsidRPr="00E73900">
        <w:rPr>
          <w:sz w:val="20"/>
          <w:lang w:val="fr-CA"/>
        </w:rPr>
        <w:t>? — Comment le principe de « l’intérêt véritable de l’enfant » devrait</w:t>
      </w:r>
      <w:r w:rsidRPr="00E73900">
        <w:rPr>
          <w:sz w:val="20"/>
          <w:lang w:val="fr-CA"/>
        </w:rPr>
        <w:noBreakHyphen/>
        <w:t xml:space="preserve">il éclairer l’exercice du pouvoir discrétionnaire du tribunal, quelle en est la portée, et quelles sont les réparations offertes au titre de l’art. 40 de la </w:t>
      </w:r>
      <w:r w:rsidRPr="00E73900">
        <w:rPr>
          <w:i/>
          <w:sz w:val="20"/>
          <w:lang w:val="fr-CA"/>
        </w:rPr>
        <w:t>LRDE</w:t>
      </w:r>
      <w:r w:rsidRPr="00E73900">
        <w:rPr>
          <w:sz w:val="20"/>
          <w:lang w:val="fr-CA"/>
        </w:rPr>
        <w:t>?</w:t>
      </w:r>
    </w:p>
    <w:p w:rsidR="00BC19AA" w:rsidRPr="00E73900" w:rsidRDefault="00BC19AA" w:rsidP="00BC19AA">
      <w:pPr>
        <w:widowControl w:val="0"/>
        <w:jc w:val="both"/>
        <w:rPr>
          <w:sz w:val="20"/>
          <w:lang w:val="fr-CA"/>
        </w:rPr>
      </w:pPr>
    </w:p>
    <w:p w:rsidR="00BC19AA" w:rsidRPr="00E73900" w:rsidRDefault="00BC19AA" w:rsidP="00BC19AA">
      <w:pPr>
        <w:widowControl w:val="0"/>
        <w:jc w:val="both"/>
        <w:rPr>
          <w:sz w:val="20"/>
          <w:lang w:val="fr-CA"/>
        </w:rPr>
      </w:pPr>
      <w:r w:rsidRPr="00E73900">
        <w:rPr>
          <w:sz w:val="20"/>
          <w:lang w:val="fr-CA"/>
        </w:rPr>
        <w:t>L’appelante et son ex</w:t>
      </w:r>
      <w:r w:rsidRPr="00E73900">
        <w:rPr>
          <w:sz w:val="20"/>
          <w:lang w:val="fr-CA"/>
        </w:rPr>
        <w:noBreakHyphen/>
        <w:t>époux, l’intimé, se sont mariés au Pakistan, en 2012. Ils ont deux enfants âgés de moins de cinq ans qui sont tous les deux des citoyens canadiens, tout comme la mère. Le père est un citoyen pakistanais. Les parties ont résidé à Dubaï, aux Émirats arabes unis (ÉAU) pendant toute la durée de leur mariage, au titre des nombreux visas de résident temporaires directement liés à l’emploi du père dans ce pays</w:t>
      </w:r>
      <w:r w:rsidRPr="00E73900">
        <w:rPr>
          <w:sz w:val="20"/>
          <w:lang w:val="fr-CA"/>
        </w:rPr>
        <w:noBreakHyphen/>
        <w:t>là. La mère et les enfants ont obtenu des visas, en tant que personnes à charge du père, le processus de renouvellement des visas était laissé à la discrétion du père. Peu après son arrivée au Canada avec les enfants en juin 2020 pour rendre visite à sa famille, la mère a avisé le père qu’elle ne retournerait pas à Dubaï avec les enfants.</w:t>
      </w:r>
    </w:p>
    <w:p w:rsidR="00BC19AA" w:rsidRPr="00E73900" w:rsidRDefault="00BC19AA" w:rsidP="00BC19AA">
      <w:pPr>
        <w:widowControl w:val="0"/>
        <w:jc w:val="both"/>
        <w:rPr>
          <w:sz w:val="20"/>
          <w:lang w:val="fr-CA"/>
        </w:rPr>
      </w:pPr>
    </w:p>
    <w:p w:rsidR="00BC19AA" w:rsidRPr="00E73900" w:rsidRDefault="00BC19AA" w:rsidP="00BC19AA">
      <w:pPr>
        <w:widowControl w:val="0"/>
        <w:jc w:val="both"/>
        <w:rPr>
          <w:sz w:val="20"/>
          <w:lang w:val="fr-CA"/>
        </w:rPr>
      </w:pPr>
      <w:r w:rsidRPr="00E73900">
        <w:rPr>
          <w:sz w:val="20"/>
          <w:lang w:val="fr-CA"/>
        </w:rPr>
        <w:t xml:space="preserve">Le père a commencé une procédure de divorce à Dubaï et a présenté une requête au titre de l’art. 40 de la </w:t>
      </w:r>
      <w:r w:rsidRPr="00E73900">
        <w:rPr>
          <w:i/>
          <w:sz w:val="20"/>
          <w:lang w:val="fr-CA"/>
        </w:rPr>
        <w:t>LRDE</w:t>
      </w:r>
      <w:r w:rsidRPr="00E73900">
        <w:rPr>
          <w:sz w:val="20"/>
          <w:lang w:val="fr-CA"/>
        </w:rPr>
        <w:t xml:space="preserve">, en vue d’obtenir une ordonnance enjoignant le renvoi des enfants à Dubaï pour que les questions relatives à la garde et à l’accès y soit tranchées, car les enfants y ont leur résidence habituelle. Les ÉAU ne sont pas un pays signataire de la </w:t>
      </w:r>
      <w:r w:rsidRPr="00E73900">
        <w:rPr>
          <w:i/>
          <w:sz w:val="20"/>
          <w:lang w:val="fr-CA"/>
        </w:rPr>
        <w:t>Convention de La Haye</w:t>
      </w:r>
      <w:r w:rsidRPr="00E73900">
        <w:rPr>
          <w:sz w:val="20"/>
          <w:lang w:val="fr-CA"/>
        </w:rPr>
        <w:t xml:space="preserve">. Le père a obtenu le divorce auprès d’un tribunal de Dubaï ainsi que la garde et la tutelle des enfants. La mère n’a pas participé à la procédure à Dubaï. La mère a demandé à un tribunal de l’Ontario d’exercer sa compétence dans la cause, au titre </w:t>
      </w:r>
      <w:proofErr w:type="gramStart"/>
      <w:r w:rsidRPr="00E73900">
        <w:rPr>
          <w:sz w:val="20"/>
          <w:lang w:val="fr-CA"/>
        </w:rPr>
        <w:t>des art</w:t>
      </w:r>
      <w:proofErr w:type="gramEnd"/>
      <w:r w:rsidRPr="00E73900">
        <w:rPr>
          <w:sz w:val="20"/>
          <w:lang w:val="fr-CA"/>
        </w:rPr>
        <w:t xml:space="preserve">. 22 ou 23 de la </w:t>
      </w:r>
      <w:r w:rsidRPr="00E73900">
        <w:rPr>
          <w:i/>
          <w:sz w:val="20"/>
          <w:lang w:val="fr-CA"/>
        </w:rPr>
        <w:t>LRDE</w:t>
      </w:r>
      <w:r w:rsidRPr="00E73900">
        <w:rPr>
          <w:sz w:val="20"/>
          <w:lang w:val="fr-CA"/>
        </w:rPr>
        <w:t>, afin de statuer sur les questions parentales.</w:t>
      </w:r>
    </w:p>
    <w:p w:rsidR="000D0BE2" w:rsidRPr="00E73900" w:rsidRDefault="000D0BE2" w:rsidP="000D0BE2">
      <w:pPr>
        <w:widowControl w:val="0"/>
        <w:jc w:val="both"/>
        <w:rPr>
          <w:sz w:val="20"/>
          <w:lang w:val="fr-CA"/>
        </w:rPr>
      </w:pPr>
    </w:p>
    <w:p w:rsidR="000D0BE2" w:rsidRPr="00E73900" w:rsidRDefault="00A95C4C" w:rsidP="000D0BE2">
      <w:pPr>
        <w:widowControl w:val="0"/>
        <w:jc w:val="both"/>
        <w:rPr>
          <w:sz w:val="20"/>
        </w:rPr>
      </w:pPr>
      <w:r>
        <w:rPr>
          <w:sz w:val="20"/>
        </w:rPr>
        <w:pict>
          <v:rect id="_x0000_i1028" style="width:2in;height:1pt" o:hrpct="0" o:hralign="center" o:hrstd="t" o:hrnoshade="t" o:hr="t" fillcolor="black [3213]" stroked="f"/>
        </w:pict>
      </w:r>
    </w:p>
    <w:p w:rsidR="000D0BE2" w:rsidRPr="00E73900" w:rsidRDefault="000D0BE2" w:rsidP="000D0BE2">
      <w:pPr>
        <w:widowControl w:val="0"/>
        <w:jc w:val="both"/>
        <w:rPr>
          <w:sz w:val="20"/>
        </w:rPr>
      </w:pPr>
    </w:p>
    <w:bookmarkStart w:id="1" w:name="1"/>
    <w:bookmarkEnd w:id="1"/>
    <w:p w:rsidR="000D0BE2" w:rsidRPr="00E73900" w:rsidRDefault="000D0BE2" w:rsidP="000D0BE2">
      <w:pPr>
        <w:widowControl w:val="0"/>
        <w:ind w:left="709" w:hanging="709"/>
        <w:jc w:val="both"/>
        <w:rPr>
          <w:b/>
          <w:i/>
          <w:sz w:val="20"/>
          <w:lang w:val="en-CA"/>
        </w:rPr>
      </w:pPr>
      <w:r w:rsidRPr="00E73900">
        <w:rPr>
          <w:b/>
          <w:sz w:val="20"/>
          <w:lang w:val="en-CA"/>
        </w:rPr>
        <w:fldChar w:fldCharType="begin"/>
      </w:r>
      <w:r w:rsidRPr="00E73900">
        <w:rPr>
          <w:b/>
          <w:sz w:val="20"/>
        </w:rPr>
        <w:instrText xml:space="preserve"> SEQ CHAPTER \h \r 1</w:instrText>
      </w:r>
      <w:r w:rsidRPr="00E73900">
        <w:rPr>
          <w:b/>
          <w:sz w:val="20"/>
        </w:rPr>
        <w:fldChar w:fldCharType="end"/>
      </w:r>
      <w:r w:rsidRPr="00E73900">
        <w:rPr>
          <w:b/>
          <w:sz w:val="20"/>
          <w:lang w:val="en-CA"/>
        </w:rPr>
        <w:t>39874</w:t>
      </w:r>
      <w:r w:rsidRPr="00E73900">
        <w:rPr>
          <w:b/>
          <w:sz w:val="20"/>
          <w:lang w:val="en-CA"/>
        </w:rPr>
        <w:tab/>
      </w:r>
      <w:bookmarkStart w:id="2" w:name="3"/>
      <w:bookmarkEnd w:id="2"/>
      <w:r w:rsidRPr="00E73900">
        <w:rPr>
          <w:b/>
          <w:i/>
          <w:sz w:val="20"/>
          <w:lang w:val="en-CA"/>
        </w:rPr>
        <w:t>Andre Aaron Gerrard v. Her Majesty the Queen</w:t>
      </w:r>
    </w:p>
    <w:p w:rsidR="000D0BE2" w:rsidRPr="00E73900" w:rsidRDefault="000D0BE2" w:rsidP="000D0BE2">
      <w:pPr>
        <w:widowControl w:val="0"/>
        <w:ind w:left="709" w:hanging="709"/>
        <w:jc w:val="both"/>
        <w:rPr>
          <w:sz w:val="20"/>
          <w:lang w:val="en-CA"/>
        </w:rPr>
      </w:pPr>
      <w:r w:rsidRPr="00E73900">
        <w:rPr>
          <w:sz w:val="20"/>
          <w:lang w:val="en-CA"/>
        </w:rPr>
        <w:tab/>
        <w:t>(N.S.) (Criminal) (As of Right)</w:t>
      </w:r>
    </w:p>
    <w:p w:rsidR="000D0BE2" w:rsidRPr="00E73900" w:rsidRDefault="000D0BE2" w:rsidP="000D0BE2">
      <w:pPr>
        <w:widowControl w:val="0"/>
        <w:jc w:val="both"/>
        <w:rPr>
          <w:sz w:val="20"/>
          <w:lang w:val="en-CA"/>
        </w:rPr>
      </w:pPr>
      <w:bookmarkStart w:id="3" w:name="QuickMark_1"/>
      <w:bookmarkEnd w:id="3"/>
    </w:p>
    <w:p w:rsidR="000D0BE2" w:rsidRPr="00E73900" w:rsidRDefault="000D0BE2" w:rsidP="000D0BE2">
      <w:pPr>
        <w:widowControl w:val="0"/>
        <w:tabs>
          <w:tab w:val="right" w:pos="9792"/>
        </w:tabs>
        <w:kinsoku w:val="0"/>
        <w:overflowPunct w:val="0"/>
        <w:jc w:val="both"/>
        <w:textAlignment w:val="baseline"/>
        <w:rPr>
          <w:sz w:val="20"/>
        </w:rPr>
      </w:pPr>
      <w:r w:rsidRPr="00E73900">
        <w:rPr>
          <w:sz w:val="20"/>
        </w:rPr>
        <w:t xml:space="preserve">Criminal law — Evidence — Credibility — Whether the trial judge erred </w:t>
      </w:r>
      <w:r w:rsidRPr="00E73900">
        <w:rPr>
          <w:sz w:val="20"/>
          <w:lang w:val="en-CA"/>
        </w:rPr>
        <w:t>in her application of</w:t>
      </w:r>
      <w:r w:rsidRPr="00E73900">
        <w:rPr>
          <w:sz w:val="20"/>
        </w:rPr>
        <w:t xml:space="preserve"> the test in </w:t>
      </w:r>
      <w:r w:rsidRPr="00E73900">
        <w:rPr>
          <w:i/>
          <w:sz w:val="20"/>
        </w:rPr>
        <w:t>R. v. W</w:t>
      </w:r>
      <w:proofErr w:type="gramStart"/>
      <w:r w:rsidRPr="00E73900">
        <w:rPr>
          <w:i/>
          <w:sz w:val="20"/>
        </w:rPr>
        <w:t>.(</w:t>
      </w:r>
      <w:proofErr w:type="gramEnd"/>
      <w:r w:rsidRPr="00E73900">
        <w:rPr>
          <w:i/>
          <w:sz w:val="20"/>
        </w:rPr>
        <w:t>D.)</w:t>
      </w:r>
      <w:r w:rsidRPr="00E73900">
        <w:rPr>
          <w:sz w:val="20"/>
        </w:rPr>
        <w:t xml:space="preserve">, </w:t>
      </w:r>
      <w:r w:rsidRPr="00E73900">
        <w:rPr>
          <w:sz w:val="20"/>
        </w:rPr>
        <w:lastRenderedPageBreak/>
        <w:t>[1991] 1 S.C.R. 742 — Whether the trial judge erred in assessing the credibility</w:t>
      </w:r>
      <w:r w:rsidRPr="00E73900">
        <w:rPr>
          <w:sz w:val="20"/>
          <w:lang w:val="en-CA"/>
        </w:rPr>
        <w:t xml:space="preserve"> of the Crown witness, the complainant</w:t>
      </w:r>
      <w:r w:rsidRPr="00E73900">
        <w:rPr>
          <w:sz w:val="20"/>
        </w:rPr>
        <w:t>.</w:t>
      </w:r>
    </w:p>
    <w:p w:rsidR="000D0BE2" w:rsidRPr="00E73900" w:rsidRDefault="000D0BE2" w:rsidP="000D0BE2">
      <w:pPr>
        <w:widowControl w:val="0"/>
        <w:jc w:val="both"/>
        <w:rPr>
          <w:sz w:val="20"/>
          <w:lang w:val="en-CA"/>
        </w:rPr>
      </w:pPr>
    </w:p>
    <w:p w:rsidR="000D0BE2" w:rsidRPr="00E73900" w:rsidRDefault="000D0BE2" w:rsidP="000D0BE2">
      <w:pPr>
        <w:jc w:val="both"/>
        <w:rPr>
          <w:sz w:val="20"/>
        </w:rPr>
      </w:pPr>
      <w:r w:rsidRPr="00E73900">
        <w:rPr>
          <w:sz w:val="20"/>
        </w:rPr>
        <w:t xml:space="preserve">The appellant was convicted after trial before a judge alone of thirteen counts relating to various offences committed against his common-law spouse. Applying the principles set out in </w:t>
      </w:r>
      <w:r w:rsidRPr="00E73900">
        <w:rPr>
          <w:i/>
          <w:sz w:val="20"/>
        </w:rPr>
        <w:t>R. v. W</w:t>
      </w:r>
      <w:proofErr w:type="gramStart"/>
      <w:r w:rsidRPr="00E73900">
        <w:rPr>
          <w:i/>
          <w:sz w:val="20"/>
        </w:rPr>
        <w:t>.(</w:t>
      </w:r>
      <w:proofErr w:type="gramEnd"/>
      <w:r w:rsidRPr="00E73900">
        <w:rPr>
          <w:i/>
          <w:sz w:val="20"/>
        </w:rPr>
        <w:t>D.)</w:t>
      </w:r>
      <w:r w:rsidRPr="00E73900">
        <w:rPr>
          <w:sz w:val="20"/>
        </w:rPr>
        <w:t>, [1991] 1 S.C.R. 742, the trial judge concluded that the complainant had not been motivated to lie, and that the evidence did not give rise to such an inference. The trial judge accepted the complainant’s evidence and found that it did not raise a reasonable doubt, and she rejected the appellant’s evidence and concluded that it also did not raise a reasonable doubt.</w:t>
      </w:r>
    </w:p>
    <w:p w:rsidR="000D0BE2" w:rsidRPr="00E73900" w:rsidRDefault="000D0BE2" w:rsidP="000D0BE2">
      <w:pPr>
        <w:jc w:val="both"/>
        <w:rPr>
          <w:sz w:val="20"/>
        </w:rPr>
      </w:pPr>
    </w:p>
    <w:p w:rsidR="000D0BE2" w:rsidRPr="00E73900" w:rsidRDefault="000D0BE2" w:rsidP="000D0BE2">
      <w:pPr>
        <w:jc w:val="both"/>
        <w:rPr>
          <w:sz w:val="20"/>
        </w:rPr>
      </w:pPr>
      <w:r w:rsidRPr="00E73900">
        <w:rPr>
          <w:sz w:val="20"/>
        </w:rPr>
        <w:t xml:space="preserve">A majority of the Nova Scotia Court of Appeal dismissed the appellant’s appeal and upheld the convictions. In the majority’s view, the trial judge did not misapply </w:t>
      </w:r>
      <w:r w:rsidRPr="00E73900">
        <w:rPr>
          <w:i/>
          <w:sz w:val="20"/>
        </w:rPr>
        <w:t>W</w:t>
      </w:r>
      <w:proofErr w:type="gramStart"/>
      <w:r w:rsidRPr="00E73900">
        <w:rPr>
          <w:i/>
          <w:sz w:val="20"/>
        </w:rPr>
        <w:t>.(</w:t>
      </w:r>
      <w:proofErr w:type="gramEnd"/>
      <w:r w:rsidRPr="00E73900">
        <w:rPr>
          <w:i/>
          <w:sz w:val="20"/>
        </w:rPr>
        <w:t>D.)</w:t>
      </w:r>
      <w:r w:rsidRPr="00E73900">
        <w:rPr>
          <w:sz w:val="20"/>
        </w:rPr>
        <w:t xml:space="preserve"> and she did not err in assessing the complainant’s credibility. In dissent, Bryson J.A. would have allowed the appeal and ordered a new trial.</w:t>
      </w:r>
    </w:p>
    <w:p w:rsidR="000D0BE2" w:rsidRPr="00E73900" w:rsidRDefault="000D0BE2" w:rsidP="000D0BE2">
      <w:pPr>
        <w:jc w:val="both"/>
        <w:rPr>
          <w:sz w:val="20"/>
        </w:rPr>
      </w:pPr>
    </w:p>
    <w:p w:rsidR="000D0BE2" w:rsidRPr="00E73900" w:rsidRDefault="00A95C4C" w:rsidP="000D0BE2">
      <w:pPr>
        <w:jc w:val="both"/>
        <w:rPr>
          <w:sz w:val="20"/>
        </w:rPr>
      </w:pPr>
      <w:r>
        <w:rPr>
          <w:sz w:val="20"/>
        </w:rPr>
        <w:pict>
          <v:rect id="_x0000_i1029" style="width:2in;height:1pt" o:hrpct="0" o:hralign="center" o:hrstd="t" o:hrnoshade="t" o:hr="t" fillcolor="black [3213]" stroked="f"/>
        </w:pict>
      </w:r>
    </w:p>
    <w:p w:rsidR="000D0BE2" w:rsidRPr="00E73900" w:rsidRDefault="000D0BE2" w:rsidP="000D0BE2">
      <w:pPr>
        <w:jc w:val="both"/>
        <w:rPr>
          <w:sz w:val="20"/>
        </w:rPr>
      </w:pPr>
    </w:p>
    <w:p w:rsidR="000D0BE2" w:rsidRPr="00E73900" w:rsidRDefault="000D0BE2" w:rsidP="000D0BE2">
      <w:pPr>
        <w:widowControl w:val="0"/>
        <w:tabs>
          <w:tab w:val="left" w:pos="720"/>
        </w:tabs>
        <w:ind w:left="1440" w:hanging="1440"/>
        <w:jc w:val="both"/>
        <w:rPr>
          <w:b/>
          <w:i/>
          <w:sz w:val="20"/>
          <w:lang w:val="fr-CA"/>
        </w:rPr>
      </w:pPr>
      <w:r w:rsidRPr="00E73900">
        <w:rPr>
          <w:b/>
          <w:sz w:val="20"/>
          <w:lang w:val="en-CA"/>
        </w:rPr>
        <w:fldChar w:fldCharType="begin"/>
      </w:r>
      <w:r w:rsidRPr="00E73900">
        <w:rPr>
          <w:b/>
          <w:sz w:val="20"/>
          <w:lang w:val="fr-CA"/>
        </w:rPr>
        <w:instrText xml:space="preserve"> SEQ CHAPTER \h \r 1</w:instrText>
      </w:r>
      <w:r w:rsidRPr="00E73900">
        <w:rPr>
          <w:b/>
          <w:sz w:val="20"/>
        </w:rPr>
        <w:fldChar w:fldCharType="end"/>
      </w:r>
      <w:r w:rsidRPr="00E73900">
        <w:rPr>
          <w:b/>
          <w:sz w:val="20"/>
          <w:lang w:val="fr-CA"/>
        </w:rPr>
        <w:t>39874</w:t>
      </w:r>
      <w:r w:rsidRPr="00E73900">
        <w:rPr>
          <w:sz w:val="20"/>
          <w:lang w:val="fr-CA"/>
        </w:rPr>
        <w:tab/>
      </w:r>
      <w:r w:rsidRPr="00E73900">
        <w:rPr>
          <w:b/>
          <w:i/>
          <w:sz w:val="20"/>
          <w:lang w:val="fr-CA"/>
        </w:rPr>
        <w:t>Andre Aaron Gerrard c. Sa Majesté la Reine</w:t>
      </w:r>
    </w:p>
    <w:p w:rsidR="000D0BE2" w:rsidRPr="00E73900" w:rsidRDefault="000D0BE2" w:rsidP="000D0BE2">
      <w:pPr>
        <w:widowControl w:val="0"/>
        <w:tabs>
          <w:tab w:val="left" w:pos="720"/>
        </w:tabs>
        <w:ind w:left="1440" w:hanging="1440"/>
        <w:jc w:val="both"/>
        <w:rPr>
          <w:sz w:val="20"/>
          <w:lang w:val="fr-CA"/>
        </w:rPr>
      </w:pPr>
      <w:r w:rsidRPr="00E73900">
        <w:rPr>
          <w:sz w:val="20"/>
          <w:lang w:val="fr-CA"/>
        </w:rPr>
        <w:tab/>
        <w:t>(N.</w:t>
      </w:r>
      <w:r w:rsidRPr="00E73900">
        <w:rPr>
          <w:sz w:val="20"/>
          <w:lang w:val="fr-CA"/>
        </w:rPr>
        <w:noBreakHyphen/>
        <w:t>É.) (Criminelle) (De plein droit)</w:t>
      </w:r>
    </w:p>
    <w:p w:rsidR="000D0BE2" w:rsidRPr="00E73900" w:rsidRDefault="000D0BE2" w:rsidP="000D0BE2">
      <w:pPr>
        <w:widowControl w:val="0"/>
        <w:tabs>
          <w:tab w:val="right" w:pos="9792"/>
        </w:tabs>
        <w:kinsoku w:val="0"/>
        <w:overflowPunct w:val="0"/>
        <w:jc w:val="both"/>
        <w:textAlignment w:val="baseline"/>
        <w:rPr>
          <w:sz w:val="20"/>
          <w:lang w:val="fr-CA"/>
        </w:rPr>
      </w:pPr>
    </w:p>
    <w:p w:rsidR="000D0BE2" w:rsidRPr="00E73900" w:rsidRDefault="000D0BE2" w:rsidP="000D0BE2">
      <w:pPr>
        <w:widowControl w:val="0"/>
        <w:tabs>
          <w:tab w:val="right" w:pos="9792"/>
        </w:tabs>
        <w:kinsoku w:val="0"/>
        <w:overflowPunct w:val="0"/>
        <w:jc w:val="both"/>
        <w:textAlignment w:val="baseline"/>
        <w:rPr>
          <w:sz w:val="20"/>
          <w:lang w:val="fr-CA"/>
        </w:rPr>
      </w:pPr>
      <w:r w:rsidRPr="00E73900">
        <w:rPr>
          <w:sz w:val="20"/>
          <w:lang w:val="fr-CA"/>
        </w:rPr>
        <w:t xml:space="preserve">Droit criminel </w:t>
      </w:r>
      <w:r w:rsidRPr="00E73900">
        <w:rPr>
          <w:sz w:val="20"/>
          <w:lang w:val="fr-CA"/>
        </w:rPr>
        <w:noBreakHyphen/>
        <w:t xml:space="preserve"> Preuve </w:t>
      </w:r>
      <w:r w:rsidRPr="00E73900">
        <w:rPr>
          <w:sz w:val="20"/>
          <w:lang w:val="fr-CA"/>
        </w:rPr>
        <w:noBreakHyphen/>
        <w:t xml:space="preserve"> Crédibilité </w:t>
      </w:r>
      <w:r w:rsidRPr="00E73900">
        <w:rPr>
          <w:sz w:val="20"/>
          <w:lang w:val="fr-CA"/>
        </w:rPr>
        <w:noBreakHyphen/>
        <w:t xml:space="preserve"> La juge du procès a</w:t>
      </w:r>
      <w:r w:rsidRPr="00E73900">
        <w:rPr>
          <w:sz w:val="20"/>
          <w:lang w:val="fr-CA"/>
        </w:rPr>
        <w:noBreakHyphen/>
        <w:t>t</w:t>
      </w:r>
      <w:r w:rsidRPr="00E73900">
        <w:rPr>
          <w:sz w:val="20"/>
          <w:lang w:val="fr-CA"/>
        </w:rPr>
        <w:noBreakHyphen/>
        <w:t xml:space="preserve">elle fait erreur en appliquant le test énoncé dans l’arrêt </w:t>
      </w:r>
      <w:r w:rsidRPr="00E73900">
        <w:rPr>
          <w:i/>
          <w:sz w:val="20"/>
          <w:lang w:val="fr-CA"/>
        </w:rPr>
        <w:t>R. c. W</w:t>
      </w:r>
      <w:proofErr w:type="gramStart"/>
      <w:r w:rsidRPr="00E73900">
        <w:rPr>
          <w:i/>
          <w:sz w:val="20"/>
          <w:lang w:val="fr-CA"/>
        </w:rPr>
        <w:t>.(</w:t>
      </w:r>
      <w:proofErr w:type="gramEnd"/>
      <w:r w:rsidRPr="00E73900">
        <w:rPr>
          <w:i/>
          <w:sz w:val="20"/>
          <w:lang w:val="fr-CA"/>
        </w:rPr>
        <w:t>D.)</w:t>
      </w:r>
      <w:r w:rsidRPr="00E73900">
        <w:rPr>
          <w:sz w:val="20"/>
          <w:lang w:val="fr-CA"/>
        </w:rPr>
        <w:t xml:space="preserve">, [1991] 1 R.C.S. 742? </w:t>
      </w:r>
      <w:r w:rsidRPr="00E73900">
        <w:rPr>
          <w:sz w:val="20"/>
          <w:lang w:val="fr-CA"/>
        </w:rPr>
        <w:noBreakHyphen/>
        <w:t xml:space="preserve"> La juge du procès a</w:t>
      </w:r>
      <w:r w:rsidRPr="00E73900">
        <w:rPr>
          <w:sz w:val="20"/>
          <w:lang w:val="fr-CA"/>
        </w:rPr>
        <w:noBreakHyphen/>
        <w:t>t</w:t>
      </w:r>
      <w:r w:rsidRPr="00E73900">
        <w:rPr>
          <w:sz w:val="20"/>
          <w:lang w:val="fr-CA"/>
        </w:rPr>
        <w:noBreakHyphen/>
        <w:t>elle commis une erreur en évaluant la crédibilité du témoin de la Couronne, la plaignante?</w:t>
      </w:r>
    </w:p>
    <w:p w:rsidR="000D0BE2" w:rsidRPr="00E73900" w:rsidRDefault="000D0BE2" w:rsidP="000D0BE2">
      <w:pPr>
        <w:widowControl w:val="0"/>
        <w:jc w:val="both"/>
        <w:rPr>
          <w:sz w:val="20"/>
          <w:lang w:val="fr-CA"/>
        </w:rPr>
      </w:pPr>
    </w:p>
    <w:p w:rsidR="000D0BE2" w:rsidRPr="00E73900" w:rsidRDefault="000D0BE2" w:rsidP="000D0BE2">
      <w:pPr>
        <w:jc w:val="both"/>
        <w:rPr>
          <w:sz w:val="20"/>
          <w:lang w:val="fr-CA"/>
        </w:rPr>
      </w:pPr>
      <w:r w:rsidRPr="00E73900">
        <w:rPr>
          <w:sz w:val="20"/>
          <w:lang w:val="fr-CA"/>
        </w:rPr>
        <w:t xml:space="preserve">L’appelant a été déclaré coupable au terme d’un procès devant juge seul sur treize chefs d’accusation liés à diverses infractions commises contre sa conjointe de fait. Après avoir appliqué les principes formulés dans </w:t>
      </w:r>
      <w:r w:rsidRPr="00E73900">
        <w:rPr>
          <w:i/>
          <w:sz w:val="20"/>
          <w:lang w:val="fr-CA"/>
        </w:rPr>
        <w:t>R. c. W</w:t>
      </w:r>
      <w:proofErr w:type="gramStart"/>
      <w:r w:rsidRPr="00E73900">
        <w:rPr>
          <w:i/>
          <w:sz w:val="20"/>
          <w:lang w:val="fr-CA"/>
        </w:rPr>
        <w:t>.(</w:t>
      </w:r>
      <w:proofErr w:type="gramEnd"/>
      <w:r w:rsidRPr="00E73900">
        <w:rPr>
          <w:i/>
          <w:sz w:val="20"/>
          <w:lang w:val="fr-CA"/>
        </w:rPr>
        <w:t>D.)</w:t>
      </w:r>
      <w:r w:rsidRPr="00E73900">
        <w:rPr>
          <w:sz w:val="20"/>
          <w:lang w:val="fr-CA"/>
        </w:rPr>
        <w:t>, [1991] 1 R.C.S. 742, la juge du procès a conclu que la plaignante n’avait aucune raison de mentir, et que la preuve ne donnait pas lieu à une telle inférence. La juge du procès a accepté le témoignage de la plaignante, et statué qu’il ne soulevait aucun doute raisonnable, et elle a rejeté le témoignage de l’appelant et conclu qu’il ne soulevait aucun doute raisonnable.</w:t>
      </w:r>
    </w:p>
    <w:p w:rsidR="000D0BE2" w:rsidRPr="00E73900" w:rsidRDefault="000D0BE2" w:rsidP="000D0BE2">
      <w:pPr>
        <w:jc w:val="both"/>
        <w:rPr>
          <w:sz w:val="20"/>
          <w:lang w:val="fr-CA"/>
        </w:rPr>
      </w:pPr>
    </w:p>
    <w:p w:rsidR="000D0BE2" w:rsidRPr="00E73900" w:rsidRDefault="000D0BE2" w:rsidP="000D0BE2">
      <w:pPr>
        <w:jc w:val="both"/>
        <w:rPr>
          <w:sz w:val="20"/>
          <w:lang w:val="fr-CA"/>
        </w:rPr>
      </w:pPr>
      <w:r w:rsidRPr="00E73900">
        <w:rPr>
          <w:sz w:val="20"/>
          <w:lang w:val="fr-CA"/>
        </w:rPr>
        <w:t>Les juges majoritaires de la Cour d’appel de la Nouvelle</w:t>
      </w:r>
      <w:r w:rsidRPr="00E73900">
        <w:rPr>
          <w:sz w:val="20"/>
          <w:lang w:val="fr-CA"/>
        </w:rPr>
        <w:noBreakHyphen/>
        <w:t>Écosse ont rejeté l’appel de l’appelant et confirmé les déclarations de culpabilité. Selon elles, la juge du procès n’a pas mal appliqué l’arrêt </w:t>
      </w:r>
      <w:r w:rsidRPr="00E73900">
        <w:rPr>
          <w:i/>
          <w:sz w:val="20"/>
          <w:lang w:val="fr-CA"/>
        </w:rPr>
        <w:t>W</w:t>
      </w:r>
      <w:proofErr w:type="gramStart"/>
      <w:r w:rsidRPr="00E73900">
        <w:rPr>
          <w:i/>
          <w:sz w:val="20"/>
          <w:lang w:val="fr-CA"/>
        </w:rPr>
        <w:t>.(</w:t>
      </w:r>
      <w:proofErr w:type="gramEnd"/>
      <w:r w:rsidRPr="00E73900">
        <w:rPr>
          <w:i/>
          <w:sz w:val="20"/>
          <w:lang w:val="fr-CA"/>
        </w:rPr>
        <w:t>D.)</w:t>
      </w:r>
      <w:r w:rsidRPr="00E73900">
        <w:rPr>
          <w:sz w:val="20"/>
          <w:lang w:val="fr-CA"/>
        </w:rPr>
        <w:t>, et elle n’a pas commis d’erreur en évaluant la crédibilité de la plaignante. Le juge Bryson, dissident, aurait accueilli l’appel et ordonné la tenue d’un nouveau procès.</w:t>
      </w:r>
    </w:p>
    <w:p w:rsidR="000D0BE2" w:rsidRPr="00E73900" w:rsidRDefault="000D0BE2" w:rsidP="000D0BE2">
      <w:pPr>
        <w:jc w:val="both"/>
        <w:rPr>
          <w:sz w:val="20"/>
          <w:lang w:val="fr-CA"/>
        </w:rPr>
      </w:pPr>
    </w:p>
    <w:p w:rsidR="000D0BE2" w:rsidRPr="00E73900" w:rsidRDefault="00A95C4C" w:rsidP="000D0BE2">
      <w:pPr>
        <w:widowControl w:val="0"/>
        <w:jc w:val="both"/>
        <w:rPr>
          <w:sz w:val="20"/>
          <w:lang w:val="fr-CA"/>
        </w:rPr>
      </w:pPr>
      <w:r>
        <w:rPr>
          <w:sz w:val="20"/>
        </w:rPr>
        <w:pict>
          <v:rect id="_x0000_i1030" style="width:2in;height:1pt" o:hrpct="0" o:hralign="center" o:hrstd="t" o:hrnoshade="t" o:hr="t" fillcolor="black [3213]" stroked="f"/>
        </w:pict>
      </w:r>
    </w:p>
    <w:p w:rsidR="000D0BE2" w:rsidRPr="00E73900" w:rsidRDefault="000D0BE2" w:rsidP="000D0BE2">
      <w:pPr>
        <w:widowControl w:val="0"/>
        <w:jc w:val="both"/>
        <w:rPr>
          <w:sz w:val="20"/>
          <w:lang w:val="fr-CA"/>
        </w:rPr>
      </w:pPr>
    </w:p>
    <w:p w:rsidR="000D0BE2" w:rsidRPr="00E73900" w:rsidRDefault="000D0BE2" w:rsidP="000D0BE2">
      <w:pPr>
        <w:pStyle w:val="SCCLsocParty"/>
        <w:ind w:left="720" w:hanging="720"/>
        <w:jc w:val="both"/>
        <w:rPr>
          <w:b/>
          <w:i/>
          <w:sz w:val="20"/>
          <w:szCs w:val="20"/>
          <w:lang w:val="en-US"/>
        </w:rPr>
      </w:pPr>
      <w:r w:rsidRPr="00E73900">
        <w:rPr>
          <w:b/>
          <w:sz w:val="20"/>
          <w:szCs w:val="20"/>
        </w:rPr>
        <w:fldChar w:fldCharType="begin"/>
      </w:r>
      <w:r w:rsidRPr="00E73900">
        <w:rPr>
          <w:b/>
          <w:sz w:val="20"/>
          <w:szCs w:val="20"/>
          <w:lang w:val="en-US"/>
        </w:rPr>
        <w:instrText xml:space="preserve"> SEQ CHAPTER \h \r 1</w:instrText>
      </w:r>
      <w:r w:rsidRPr="00E73900">
        <w:rPr>
          <w:b/>
          <w:sz w:val="20"/>
          <w:szCs w:val="20"/>
        </w:rPr>
        <w:fldChar w:fldCharType="end"/>
      </w:r>
      <w:r w:rsidRPr="00E73900">
        <w:rPr>
          <w:b/>
          <w:sz w:val="20"/>
          <w:szCs w:val="20"/>
          <w:lang w:val="en-US"/>
        </w:rPr>
        <w:t>39439</w:t>
      </w:r>
      <w:r w:rsidRPr="00E73900">
        <w:rPr>
          <w:b/>
          <w:sz w:val="20"/>
          <w:szCs w:val="20"/>
          <w:lang w:val="en-US"/>
        </w:rPr>
        <w:tab/>
      </w:r>
      <w:r w:rsidRPr="00E73900">
        <w:rPr>
          <w:b/>
          <w:i/>
          <w:sz w:val="20"/>
          <w:szCs w:val="20"/>
          <w:lang w:val="en-US"/>
        </w:rPr>
        <w:t xml:space="preserve">Nova Chemicals Corporation v. The Dow Chemical Company, Dow Global </w:t>
      </w:r>
      <w:r w:rsidRPr="00E73900">
        <w:rPr>
          <w:b/>
          <w:i/>
          <w:sz w:val="20"/>
          <w:szCs w:val="20"/>
          <w:lang w:val="en-US"/>
        </w:rPr>
        <w:tab/>
        <w:t>Technologies Inc. and Dow Chemical Canada ULC</w:t>
      </w:r>
    </w:p>
    <w:p w:rsidR="000D0BE2" w:rsidRPr="00E73900" w:rsidRDefault="000D0BE2" w:rsidP="000D0BE2">
      <w:pPr>
        <w:widowControl w:val="0"/>
        <w:jc w:val="both"/>
        <w:rPr>
          <w:sz w:val="20"/>
          <w:lang w:val="en-CA"/>
        </w:rPr>
      </w:pPr>
      <w:r w:rsidRPr="00E73900">
        <w:rPr>
          <w:sz w:val="20"/>
          <w:lang w:val="en-CA"/>
        </w:rPr>
        <w:tab/>
        <w:t>(Federal Court of Appeal) (Civil) (By leave)</w:t>
      </w:r>
    </w:p>
    <w:p w:rsidR="000D0BE2" w:rsidRPr="00E73900" w:rsidRDefault="000D0BE2" w:rsidP="000D0BE2">
      <w:pPr>
        <w:widowControl w:val="0"/>
        <w:ind w:left="1440" w:hanging="1440"/>
        <w:jc w:val="both"/>
        <w:rPr>
          <w:sz w:val="20"/>
          <w:lang w:val="en-CA"/>
        </w:rPr>
      </w:pPr>
    </w:p>
    <w:p w:rsidR="000D0BE2" w:rsidRPr="00E73900" w:rsidRDefault="00E73900" w:rsidP="000D0BE2">
      <w:pPr>
        <w:widowControl w:val="0"/>
        <w:ind w:left="1440" w:hanging="1440"/>
        <w:jc w:val="both"/>
        <w:rPr>
          <w:sz w:val="20"/>
          <w:lang w:val="en-CA"/>
        </w:rPr>
      </w:pPr>
      <w:r w:rsidRPr="00E73900">
        <w:rPr>
          <w:smallCaps/>
          <w:sz w:val="20"/>
        </w:rPr>
        <w:t>(Sealing Order)</w:t>
      </w:r>
    </w:p>
    <w:p w:rsidR="000D0BE2" w:rsidRPr="00E73900" w:rsidRDefault="000D0BE2" w:rsidP="000D0BE2">
      <w:pPr>
        <w:widowControl w:val="0"/>
        <w:jc w:val="both"/>
        <w:rPr>
          <w:sz w:val="20"/>
          <w:lang w:val="en-CA"/>
        </w:rPr>
      </w:pPr>
    </w:p>
    <w:p w:rsidR="000D0BE2" w:rsidRPr="00E73900" w:rsidRDefault="000D0BE2" w:rsidP="000D0BE2">
      <w:pPr>
        <w:widowControl w:val="0"/>
        <w:jc w:val="both"/>
        <w:rPr>
          <w:sz w:val="20"/>
        </w:rPr>
      </w:pPr>
      <w:r w:rsidRPr="00E73900">
        <w:rPr>
          <w:sz w:val="20"/>
        </w:rPr>
        <w:t>Intellectual property - Patents - Medicines - Damages - Respondent seeking remedy of accounting of profits following determination applicant had infringed respondent’s patent - What is the proper conceptual approach to determining how to calculate a disgorgement of profits in the patent context? - Are “springboard profits” on products sold after patent expiry available at law?</w:t>
      </w:r>
    </w:p>
    <w:p w:rsidR="000D0BE2" w:rsidRPr="00E73900" w:rsidRDefault="000D0BE2" w:rsidP="000D0BE2">
      <w:pPr>
        <w:widowControl w:val="0"/>
        <w:jc w:val="both"/>
        <w:rPr>
          <w:sz w:val="20"/>
        </w:rPr>
      </w:pPr>
    </w:p>
    <w:p w:rsidR="000D0BE2" w:rsidRPr="00E73900" w:rsidRDefault="000D0BE2" w:rsidP="000D0BE2">
      <w:pPr>
        <w:jc w:val="both"/>
        <w:rPr>
          <w:sz w:val="20"/>
        </w:rPr>
      </w:pPr>
      <w:r w:rsidRPr="00E73900">
        <w:rPr>
          <w:sz w:val="20"/>
        </w:rPr>
        <w:t xml:space="preserve">In 2014, the Federal Court, in the liability phase of the trial, held that the respondents’ (collectively “Dow”) 705 Patent for fabricated products made from ethylene polymer blends was found to be valid and infringed by a product manufactured by Nova Chemicals Corporation (“Nova”). The 705 Patent issued in 2006 and expired on April 19, 2014. Dow was held to be entitled to damages under the </w:t>
      </w:r>
      <w:r w:rsidRPr="00E73900">
        <w:rPr>
          <w:i/>
          <w:sz w:val="20"/>
        </w:rPr>
        <w:t>Patent Act</w:t>
      </w:r>
      <w:r w:rsidRPr="00E73900">
        <w:rPr>
          <w:sz w:val="20"/>
        </w:rPr>
        <w:t>, R.S.C. 1985, c. P-4, and had to elect either an accounting of Nova’s profits or damages sustained by reason of Nova’s infringement under s. 55(1) of the Act. The quantum of that award was to be assessed by reference. Dow elected an accounting of profits. The reference judge was required to determine the manner in which damages payable to Dow pursuant to ss. 55(1) and 55(2) of the Act should be calculated. The principles articulated by the reference judge allowed for the calculation of the accounting of profits to be disgorged by Nova and made payable to Dow. That decision was upheld on appeal.</w:t>
      </w:r>
    </w:p>
    <w:p w:rsidR="000D0BE2" w:rsidRPr="00E73900" w:rsidRDefault="000D0BE2" w:rsidP="000D0BE2">
      <w:pPr>
        <w:jc w:val="both"/>
        <w:rPr>
          <w:sz w:val="20"/>
        </w:rPr>
      </w:pPr>
    </w:p>
    <w:p w:rsidR="000D0BE2" w:rsidRPr="00E73900" w:rsidRDefault="00A95C4C" w:rsidP="000D0BE2">
      <w:pPr>
        <w:jc w:val="both"/>
        <w:rPr>
          <w:sz w:val="20"/>
        </w:rPr>
      </w:pPr>
      <w:r>
        <w:rPr>
          <w:sz w:val="20"/>
        </w:rPr>
        <w:pict>
          <v:rect id="_x0000_i1031" style="width:2in;height:1pt" o:hrpct="0" o:hralign="center" o:hrstd="t" o:hrnoshade="t" o:hr="t" fillcolor="black [3213]" stroked="f"/>
        </w:pict>
      </w:r>
    </w:p>
    <w:p w:rsidR="000D0BE2" w:rsidRPr="00E73900" w:rsidRDefault="000D0BE2" w:rsidP="000D0BE2">
      <w:pPr>
        <w:jc w:val="both"/>
        <w:rPr>
          <w:sz w:val="20"/>
          <w:lang w:val="en-CA"/>
        </w:rPr>
      </w:pPr>
    </w:p>
    <w:p w:rsidR="002A1812" w:rsidRPr="00E73900" w:rsidRDefault="002A1812" w:rsidP="002A1812">
      <w:pPr>
        <w:pStyle w:val="SCCLsocParty"/>
        <w:ind w:left="720" w:hanging="720"/>
        <w:jc w:val="both"/>
        <w:rPr>
          <w:b/>
          <w:i/>
          <w:sz w:val="20"/>
          <w:szCs w:val="20"/>
          <w:lang w:val="en-US"/>
        </w:rPr>
      </w:pPr>
      <w:r w:rsidRPr="00E73900">
        <w:rPr>
          <w:rStyle w:val="SCCFileNumberChar"/>
          <w:sz w:val="20"/>
          <w:szCs w:val="20"/>
          <w:lang w:val="en-US"/>
        </w:rPr>
        <w:lastRenderedPageBreak/>
        <w:t>39439</w:t>
      </w:r>
      <w:r w:rsidRPr="00E73900">
        <w:rPr>
          <w:rStyle w:val="SCCFileNumberChar"/>
          <w:sz w:val="20"/>
          <w:szCs w:val="20"/>
          <w:lang w:val="en-US"/>
        </w:rPr>
        <w:tab/>
      </w:r>
      <w:r w:rsidRPr="00E73900">
        <w:rPr>
          <w:b/>
          <w:i/>
          <w:sz w:val="20"/>
          <w:szCs w:val="20"/>
          <w:lang w:val="en-US"/>
        </w:rPr>
        <w:t xml:space="preserve">Nova Chemicals Corporation c. The Dow Chemical Company, Dow Global Technologies Inc. </w:t>
      </w:r>
      <w:proofErr w:type="gramStart"/>
      <w:r w:rsidRPr="00E73900">
        <w:rPr>
          <w:b/>
          <w:i/>
          <w:sz w:val="20"/>
          <w:szCs w:val="20"/>
          <w:lang w:val="en-US"/>
        </w:rPr>
        <w:t>et</w:t>
      </w:r>
      <w:proofErr w:type="gramEnd"/>
      <w:r w:rsidRPr="00E73900">
        <w:rPr>
          <w:b/>
          <w:i/>
          <w:sz w:val="20"/>
          <w:szCs w:val="20"/>
          <w:lang w:val="en-US"/>
        </w:rPr>
        <w:t xml:space="preserve"> Dow Chemical Canada ULC</w:t>
      </w:r>
    </w:p>
    <w:p w:rsidR="000D0BE2" w:rsidRPr="00E73900" w:rsidRDefault="002A1812" w:rsidP="002A1812">
      <w:pPr>
        <w:ind w:firstLine="720"/>
        <w:jc w:val="both"/>
        <w:rPr>
          <w:sz w:val="20"/>
          <w:lang w:val="fr-CA"/>
        </w:rPr>
      </w:pPr>
      <w:r w:rsidRPr="00E73900">
        <w:rPr>
          <w:sz w:val="20"/>
          <w:lang w:val="fr-CA"/>
        </w:rPr>
        <w:t>(Cour d’appel fédérale) (Civile) (Sur autorisation)</w:t>
      </w:r>
    </w:p>
    <w:p w:rsidR="000D0BE2" w:rsidRPr="00E73900" w:rsidRDefault="000D0BE2" w:rsidP="000D0BE2">
      <w:pPr>
        <w:jc w:val="both"/>
        <w:rPr>
          <w:sz w:val="20"/>
          <w:lang w:val="fr-CA"/>
        </w:rPr>
      </w:pPr>
    </w:p>
    <w:p w:rsidR="002A1812" w:rsidRPr="00E73900" w:rsidRDefault="002A1812" w:rsidP="002A1812">
      <w:pPr>
        <w:pStyle w:val="SCCBanSummary"/>
        <w:rPr>
          <w:sz w:val="20"/>
          <w:szCs w:val="20"/>
          <w:lang w:val="fr-CA"/>
        </w:rPr>
      </w:pPr>
      <w:r w:rsidRPr="00E73900">
        <w:rPr>
          <w:sz w:val="20"/>
          <w:szCs w:val="20"/>
          <w:lang w:val="fr-CA"/>
        </w:rPr>
        <w:t>(Ordonnance de mise sous scellés)</w:t>
      </w:r>
    </w:p>
    <w:p w:rsidR="002A1812" w:rsidRPr="00E73900" w:rsidRDefault="002A1812" w:rsidP="002A1812">
      <w:pPr>
        <w:jc w:val="both"/>
        <w:rPr>
          <w:sz w:val="20"/>
          <w:lang w:val="fr-CA"/>
        </w:rPr>
      </w:pPr>
    </w:p>
    <w:p w:rsidR="000D0BE2" w:rsidRPr="00E73900" w:rsidRDefault="002A1812" w:rsidP="002A1812">
      <w:pPr>
        <w:jc w:val="both"/>
        <w:rPr>
          <w:sz w:val="20"/>
          <w:lang w:val="fr-CA"/>
        </w:rPr>
      </w:pPr>
      <w:r w:rsidRPr="00E73900">
        <w:rPr>
          <w:sz w:val="20"/>
          <w:lang w:val="fr-CA"/>
        </w:rPr>
        <w:t>Propriété intellectuelle - Brevets - Médicaments - Dommages</w:t>
      </w:r>
      <w:r w:rsidRPr="00E73900">
        <w:rPr>
          <w:sz w:val="20"/>
          <w:lang w:val="fr-CA"/>
        </w:rPr>
        <w:noBreakHyphen/>
        <w:t>intérêts - L’intimée sollicite la remise des profits à la suite d’un jugement portant que la demanderesse avait contrefait le brevet de l’intimée - Quelle est l’approche conceptuelle appropriée pour déterminer comment calculer la restitution des profits dans le contexte des brevets? - Le droit permet</w:t>
      </w:r>
      <w:r w:rsidRPr="00E73900">
        <w:rPr>
          <w:sz w:val="20"/>
          <w:lang w:val="fr-CA"/>
        </w:rPr>
        <w:noBreakHyphen/>
        <w:t>il les « bénéfices de rebond » sur les produits vendus après l’expiration d’un brevet?</w:t>
      </w:r>
    </w:p>
    <w:p w:rsidR="000D0BE2" w:rsidRPr="00E73900" w:rsidRDefault="000D0BE2" w:rsidP="000D0BE2">
      <w:pPr>
        <w:jc w:val="both"/>
        <w:rPr>
          <w:sz w:val="20"/>
          <w:lang w:val="fr-CA"/>
        </w:rPr>
      </w:pPr>
    </w:p>
    <w:p w:rsidR="002A1812" w:rsidRPr="00E73900" w:rsidRDefault="002A1812" w:rsidP="000D0BE2">
      <w:pPr>
        <w:jc w:val="both"/>
        <w:rPr>
          <w:sz w:val="20"/>
          <w:lang w:val="fr-CA"/>
        </w:rPr>
      </w:pPr>
      <w:r w:rsidRPr="00E73900">
        <w:rPr>
          <w:sz w:val="20"/>
          <w:lang w:val="fr-CA"/>
        </w:rPr>
        <w:t xml:space="preserve">En 2014, la Cour fédérale, dans la phase du procès ayant pour objet l’examen de la responsabilité, a statué que le brevet 705 des intimées (collectivement « Dow ») portant sur les articles produits à partir de mélanges de polymères éthyléniques avait été jugé valide et qu’il avait été contrefait par un produit fabriqué par Nova Chemicals Corporation (« Nova »). Le brevet 705 avait été émis en 2006 et est arrivé à échéance le 19 avril 2014. Le tribunal a statué que Dow avait droit à des dommages-intérêts en vertu de la </w:t>
      </w:r>
      <w:r w:rsidRPr="00E73900">
        <w:rPr>
          <w:i/>
          <w:sz w:val="20"/>
          <w:lang w:val="fr-CA"/>
        </w:rPr>
        <w:t>Loi sur les brevets</w:t>
      </w:r>
      <w:r w:rsidRPr="00E73900">
        <w:rPr>
          <w:sz w:val="20"/>
          <w:lang w:val="fr-CA"/>
        </w:rPr>
        <w:t>, L.R.C. 1985, ch. P</w:t>
      </w:r>
      <w:r w:rsidRPr="00E73900">
        <w:rPr>
          <w:sz w:val="20"/>
          <w:lang w:val="fr-CA"/>
        </w:rPr>
        <w:noBreakHyphen/>
        <w:t>4, et devait choisir entre la restitution des profits de Nova ou les dommages</w:t>
      </w:r>
      <w:r w:rsidRPr="00E73900">
        <w:rPr>
          <w:sz w:val="20"/>
          <w:lang w:val="fr-CA"/>
        </w:rPr>
        <w:noBreakHyphen/>
        <w:t>intérêts liés à la contrefaçon par Nova du brevet 705 en vertu du par. 55(1) de la Loi. Le montant de cet octroi devait être évalué par un renvoi. Dow a choisi la remise des profits. Le juge chargé du renvoi devait déterminer méthode de calcul des dommages-intérêts payables à Dow en vertu des par. 55(1) et 55(2) de la Loi. Les principes formulés par le juge chargé du renvoi ont permis de calculer la remise des profits à restituer par Nova et payables à Dow. Cette décision a été confirmée en appel.</w:t>
      </w:r>
    </w:p>
    <w:p w:rsidR="000D0BE2" w:rsidRPr="00E73900" w:rsidRDefault="000D0BE2" w:rsidP="000D0BE2">
      <w:pPr>
        <w:jc w:val="both"/>
        <w:rPr>
          <w:sz w:val="20"/>
          <w:lang w:val="fr-CA"/>
        </w:rPr>
      </w:pPr>
    </w:p>
    <w:p w:rsidR="000D0BE2" w:rsidRPr="00E73900" w:rsidRDefault="00A95C4C" w:rsidP="000D0BE2">
      <w:pPr>
        <w:widowControl w:val="0"/>
        <w:jc w:val="both"/>
        <w:rPr>
          <w:sz w:val="20"/>
          <w:lang w:val="fr-CA"/>
        </w:rPr>
      </w:pPr>
      <w:r>
        <w:rPr>
          <w:sz w:val="20"/>
        </w:rPr>
        <w:pict>
          <v:rect id="_x0000_i1032" style="width:2in;height:1pt" o:hrpct="0" o:hralign="center" o:hrstd="t" o:hrnoshade="t" o:hr="t" fillcolor="black [3213]" stroked="f"/>
        </w:pict>
      </w:r>
    </w:p>
    <w:p w:rsidR="00380A0F" w:rsidRPr="00E73900" w:rsidRDefault="00380A0F" w:rsidP="000D0BE2">
      <w:pPr>
        <w:widowControl w:val="0"/>
        <w:jc w:val="both"/>
        <w:rPr>
          <w:sz w:val="20"/>
        </w:rPr>
      </w:pPr>
    </w:p>
    <w:p w:rsidR="000D0BE2" w:rsidRPr="00E73900" w:rsidRDefault="000D0BE2" w:rsidP="000D0BE2">
      <w:pPr>
        <w:pStyle w:val="SCCLsocParty"/>
        <w:jc w:val="both"/>
        <w:rPr>
          <w:b/>
          <w:i/>
          <w:sz w:val="20"/>
          <w:szCs w:val="20"/>
          <w:lang w:val="en-CA"/>
        </w:rPr>
      </w:pPr>
      <w:r w:rsidRPr="00E73900">
        <w:rPr>
          <w:b/>
          <w:sz w:val="20"/>
          <w:szCs w:val="20"/>
          <w:lang w:val="en-CA"/>
        </w:rPr>
        <w:fldChar w:fldCharType="begin"/>
      </w:r>
      <w:r w:rsidRPr="00E73900">
        <w:rPr>
          <w:b/>
          <w:sz w:val="20"/>
          <w:szCs w:val="20"/>
          <w:lang w:val="en-US"/>
        </w:rPr>
        <w:instrText xml:space="preserve"> SEQ CHAPTER \h \r 1</w:instrText>
      </w:r>
      <w:r w:rsidRPr="00E73900">
        <w:rPr>
          <w:b/>
          <w:sz w:val="20"/>
          <w:szCs w:val="20"/>
        </w:rPr>
        <w:fldChar w:fldCharType="end"/>
      </w:r>
      <w:r w:rsidRPr="00E73900">
        <w:rPr>
          <w:b/>
          <w:sz w:val="20"/>
          <w:szCs w:val="20"/>
          <w:lang w:val="en-CA"/>
        </w:rPr>
        <w:t>39654</w:t>
      </w:r>
      <w:r w:rsidRPr="00E73900">
        <w:rPr>
          <w:b/>
          <w:sz w:val="20"/>
          <w:szCs w:val="20"/>
          <w:lang w:val="en-CA"/>
        </w:rPr>
        <w:tab/>
      </w:r>
      <w:r w:rsidRPr="00E73900">
        <w:rPr>
          <w:b/>
          <w:i/>
          <w:sz w:val="20"/>
          <w:szCs w:val="20"/>
          <w:lang w:val="en-CA"/>
        </w:rPr>
        <w:t>Her Majesty the Queen v. Anthony Raul Alas</w:t>
      </w:r>
    </w:p>
    <w:p w:rsidR="000D0BE2" w:rsidRPr="00E73900" w:rsidRDefault="000D0BE2" w:rsidP="000D0BE2">
      <w:pPr>
        <w:widowControl w:val="0"/>
        <w:jc w:val="both"/>
        <w:rPr>
          <w:sz w:val="20"/>
          <w:lang w:val="en-CA"/>
        </w:rPr>
      </w:pPr>
      <w:r w:rsidRPr="00E73900">
        <w:rPr>
          <w:sz w:val="20"/>
          <w:lang w:val="en-CA"/>
        </w:rPr>
        <w:tab/>
        <w:t>(Ont.) (Criminal) (As of Right)</w:t>
      </w:r>
    </w:p>
    <w:p w:rsidR="000D0BE2" w:rsidRPr="00E73900" w:rsidRDefault="000D0BE2" w:rsidP="000D0BE2">
      <w:pPr>
        <w:widowControl w:val="0"/>
        <w:jc w:val="both"/>
        <w:rPr>
          <w:sz w:val="20"/>
          <w:lang w:val="en-CA"/>
        </w:rPr>
      </w:pPr>
    </w:p>
    <w:p w:rsidR="000D0BE2" w:rsidRPr="00E73900" w:rsidRDefault="000D0BE2" w:rsidP="000D0BE2">
      <w:pPr>
        <w:widowControl w:val="0"/>
        <w:jc w:val="both"/>
        <w:rPr>
          <w:sz w:val="20"/>
          <w:lang w:val="en-CA"/>
        </w:rPr>
      </w:pPr>
      <w:r w:rsidRPr="00E73900">
        <w:rPr>
          <w:sz w:val="20"/>
          <w:lang w:val="en-CA"/>
        </w:rPr>
        <w:t>Criminal law - Defences - Provocation - Air of reality - Whether the majority of the Court of Appeal erred in finding that the trial judge should have put the defence of provocation to the jury.</w:t>
      </w:r>
    </w:p>
    <w:p w:rsidR="000D0BE2" w:rsidRPr="00E73900" w:rsidRDefault="000D0BE2" w:rsidP="000D0BE2">
      <w:pPr>
        <w:widowControl w:val="0"/>
        <w:jc w:val="both"/>
        <w:rPr>
          <w:sz w:val="20"/>
          <w:lang w:val="en-CA"/>
        </w:rPr>
      </w:pPr>
    </w:p>
    <w:p w:rsidR="000D0BE2" w:rsidRPr="00E73900" w:rsidRDefault="000D0BE2" w:rsidP="000D0BE2">
      <w:pPr>
        <w:jc w:val="both"/>
        <w:rPr>
          <w:sz w:val="20"/>
          <w:lang w:val="en-CA"/>
        </w:rPr>
      </w:pPr>
      <w:r w:rsidRPr="00E73900">
        <w:rPr>
          <w:sz w:val="20"/>
          <w:lang w:val="en-CA"/>
        </w:rPr>
        <w:t>The respondent was convicted by a jury of second-degree murder. At the pre-charge conference, both parties had agreed that there was no air of reality to a defence of provocation, and the trial judge ruled that the defence should not be put to the jury. The respondent appealed his conviction, alleging that the trial judge had erred in failing to open the defence of provocation. A majority of the Court of Appeal for Ontario held that provocation should have been put to the jury, set aside the conviction, and ordered a new trial. In dissent, MacPherson J.A. would have upheld the conviction.</w:t>
      </w:r>
    </w:p>
    <w:p w:rsidR="000D0BE2" w:rsidRPr="00E73900" w:rsidRDefault="000D0BE2" w:rsidP="000D0BE2">
      <w:pPr>
        <w:jc w:val="both"/>
        <w:rPr>
          <w:sz w:val="20"/>
          <w:lang w:val="en-CA"/>
        </w:rPr>
      </w:pPr>
    </w:p>
    <w:p w:rsidR="000D0BE2" w:rsidRPr="00E73900" w:rsidRDefault="00A95C4C" w:rsidP="000D0BE2">
      <w:pPr>
        <w:jc w:val="both"/>
        <w:rPr>
          <w:sz w:val="20"/>
          <w:lang w:val="en-CA"/>
        </w:rPr>
      </w:pPr>
      <w:r>
        <w:rPr>
          <w:sz w:val="20"/>
        </w:rPr>
        <w:pict>
          <v:rect id="_x0000_i1033" style="width:2in;height:1pt" o:hrpct="0" o:hralign="center" o:hrstd="t" o:hrnoshade="t" o:hr="t" fillcolor="black [3213]" stroked="f"/>
        </w:pict>
      </w:r>
    </w:p>
    <w:p w:rsidR="000D0BE2" w:rsidRPr="00E73900" w:rsidRDefault="000D0BE2" w:rsidP="000D0BE2">
      <w:pPr>
        <w:jc w:val="both"/>
        <w:rPr>
          <w:sz w:val="20"/>
          <w:lang w:val="en-CA"/>
        </w:rPr>
      </w:pPr>
    </w:p>
    <w:p w:rsidR="000D0BE2" w:rsidRPr="00E73900" w:rsidRDefault="000D0BE2" w:rsidP="000D0BE2">
      <w:pPr>
        <w:pStyle w:val="SCCLsocParty"/>
        <w:jc w:val="both"/>
        <w:rPr>
          <w:b/>
          <w:i/>
          <w:sz w:val="20"/>
          <w:szCs w:val="20"/>
        </w:rPr>
      </w:pPr>
      <w:r w:rsidRPr="00E73900">
        <w:rPr>
          <w:b/>
          <w:sz w:val="20"/>
          <w:szCs w:val="20"/>
        </w:rPr>
        <w:fldChar w:fldCharType="begin"/>
      </w:r>
      <w:r w:rsidRPr="00E73900">
        <w:rPr>
          <w:b/>
          <w:sz w:val="20"/>
          <w:szCs w:val="20"/>
        </w:rPr>
        <w:instrText xml:space="preserve"> SEQ CHAPTER \h \r 1</w:instrText>
      </w:r>
      <w:r w:rsidRPr="00E73900">
        <w:rPr>
          <w:b/>
          <w:sz w:val="20"/>
          <w:szCs w:val="20"/>
        </w:rPr>
        <w:fldChar w:fldCharType="end"/>
      </w:r>
      <w:r w:rsidRPr="00E73900">
        <w:rPr>
          <w:b/>
          <w:sz w:val="20"/>
          <w:szCs w:val="20"/>
        </w:rPr>
        <w:t>39654</w:t>
      </w:r>
      <w:r w:rsidRPr="00E73900">
        <w:rPr>
          <w:b/>
          <w:sz w:val="20"/>
          <w:szCs w:val="20"/>
        </w:rPr>
        <w:tab/>
      </w:r>
      <w:r w:rsidRPr="00E73900">
        <w:rPr>
          <w:b/>
          <w:i/>
          <w:sz w:val="20"/>
          <w:szCs w:val="20"/>
        </w:rPr>
        <w:t>Sa Majesté la Reine c. Anthony Raul Alas</w:t>
      </w:r>
    </w:p>
    <w:p w:rsidR="000D0BE2" w:rsidRPr="00E73900" w:rsidRDefault="000D0BE2" w:rsidP="000D0BE2">
      <w:pPr>
        <w:widowControl w:val="0"/>
        <w:jc w:val="both"/>
        <w:rPr>
          <w:sz w:val="20"/>
          <w:lang w:val="fr-CA"/>
        </w:rPr>
      </w:pPr>
      <w:r w:rsidRPr="00E73900">
        <w:rPr>
          <w:sz w:val="20"/>
          <w:lang w:val="fr-CA"/>
        </w:rPr>
        <w:tab/>
        <w:t>(Ont.) (Criminelle) (De plein droit)</w:t>
      </w:r>
    </w:p>
    <w:p w:rsidR="000D0BE2" w:rsidRPr="00E73900" w:rsidRDefault="000D0BE2" w:rsidP="000D0BE2">
      <w:pPr>
        <w:widowControl w:val="0"/>
        <w:jc w:val="both"/>
        <w:rPr>
          <w:sz w:val="20"/>
          <w:lang w:val="fr-CA"/>
        </w:rPr>
      </w:pPr>
    </w:p>
    <w:p w:rsidR="000D0BE2" w:rsidRPr="00E73900" w:rsidRDefault="000D0BE2" w:rsidP="000D0BE2">
      <w:pPr>
        <w:widowControl w:val="0"/>
        <w:jc w:val="both"/>
        <w:rPr>
          <w:sz w:val="20"/>
          <w:lang w:val="fr-CA"/>
        </w:rPr>
      </w:pPr>
      <w:r w:rsidRPr="00E73900">
        <w:rPr>
          <w:sz w:val="20"/>
          <w:lang w:val="fr-CA"/>
        </w:rPr>
        <w:t>Droit criminel - Moyens de défense - Provocation - Vraisemblance - La Cour d’appel a-t-elle commis une erreur en concluant à la majorité que le juge de première instance aurait dû soumettre le moyen de défense de provocation au jury?</w:t>
      </w:r>
    </w:p>
    <w:p w:rsidR="000D0BE2" w:rsidRPr="00E73900" w:rsidRDefault="000D0BE2" w:rsidP="000D0BE2">
      <w:pPr>
        <w:widowControl w:val="0"/>
        <w:jc w:val="both"/>
        <w:rPr>
          <w:sz w:val="20"/>
          <w:lang w:val="fr-CA"/>
        </w:rPr>
      </w:pPr>
    </w:p>
    <w:p w:rsidR="000D0BE2" w:rsidRPr="00E73900" w:rsidRDefault="000D0BE2" w:rsidP="000D0BE2">
      <w:pPr>
        <w:jc w:val="both"/>
        <w:rPr>
          <w:sz w:val="20"/>
          <w:lang w:val="fr-CA"/>
        </w:rPr>
      </w:pPr>
      <w:r w:rsidRPr="00E73900">
        <w:rPr>
          <w:sz w:val="20"/>
          <w:lang w:val="fr-CA"/>
        </w:rPr>
        <w:t>Un jury a reconnu l’intimé coupable de meurtre au deuxième degré. Lors de la conférence préalable à l’exposé, les parties ont toutes les deux convenus que la défense de provocation était dépourvue de vraisemblance, et le juge a conclu que la défense ne devrait pas être soumise au jury. L’intimé a porté sa déclaration de culpabilité en appel, faisant valoir que le juge de première instance avait commis une erreur en ne lui permettant pas d’invoquer la défense de provocation. La Cour d’appel de l’Ontario a jugé à la majorité que la défense de provocation aurait dû être soumise au jury, a annulé la déclaration de culpabilité et a ordonné la tenue d’un nouveau procès. Le juge MacPherson, dissident, aurait confirmé la déclaration de culpabilité.</w:t>
      </w:r>
    </w:p>
    <w:p w:rsidR="00380A0F" w:rsidRPr="00E73900" w:rsidRDefault="00380A0F" w:rsidP="006F04E4">
      <w:pPr>
        <w:widowControl w:val="0"/>
        <w:jc w:val="both"/>
        <w:rPr>
          <w:sz w:val="20"/>
          <w:lang w:val="fr-CA"/>
        </w:rPr>
      </w:pPr>
    </w:p>
    <w:p w:rsidR="00A9444F" w:rsidRPr="00E73900" w:rsidRDefault="00A95C4C" w:rsidP="006F04E4">
      <w:pPr>
        <w:widowControl w:val="0"/>
        <w:jc w:val="both"/>
        <w:rPr>
          <w:sz w:val="20"/>
        </w:rPr>
      </w:pPr>
      <w:r>
        <w:rPr>
          <w:sz w:val="20"/>
        </w:rPr>
        <w:pict>
          <v:rect id="_x0000_i1034" style="width:2in;height:1pt" o:hrpct="0" o:hralign="center" o:hrstd="t" o:hrnoshade="t" o:hr="t" fillcolor="black [3213]" stroked="f"/>
        </w:pict>
      </w:r>
    </w:p>
    <w:p w:rsidR="00680FDB" w:rsidRPr="00E73900" w:rsidRDefault="00680FDB" w:rsidP="006F2579">
      <w:pPr>
        <w:widowControl w:val="0"/>
        <w:outlineLvl w:val="0"/>
        <w:rPr>
          <w:sz w:val="20"/>
          <w:lang w:val="fr-CA"/>
        </w:rPr>
      </w:pPr>
    </w:p>
    <w:p w:rsidR="007371F4" w:rsidRPr="00E73900" w:rsidRDefault="007371F4" w:rsidP="00991060">
      <w:pPr>
        <w:jc w:val="both"/>
        <w:rPr>
          <w:sz w:val="20"/>
          <w:lang w:val="fr-CA"/>
        </w:rPr>
      </w:pPr>
    </w:p>
    <w:p w:rsidR="003F43E6" w:rsidRPr="00E73900" w:rsidRDefault="003F43E6" w:rsidP="006F2579">
      <w:pPr>
        <w:widowControl w:val="0"/>
        <w:outlineLvl w:val="0"/>
        <w:rPr>
          <w:sz w:val="20"/>
          <w:lang w:val="fr-CA"/>
        </w:rPr>
      </w:pPr>
    </w:p>
    <w:p w:rsidR="008A4B5A" w:rsidRPr="00E73900" w:rsidRDefault="008A4B5A" w:rsidP="008A4B5A">
      <w:pPr>
        <w:widowControl w:val="0"/>
        <w:outlineLvl w:val="0"/>
      </w:pPr>
      <w:r w:rsidRPr="00E73900">
        <w:lastRenderedPageBreak/>
        <w:t xml:space="preserve">Supreme Court of Canada / Cour suprême du </w:t>
      </w:r>
      <w:proofErr w:type="gramStart"/>
      <w:r w:rsidRPr="00E73900">
        <w:t>Canada :</w:t>
      </w:r>
      <w:proofErr w:type="gramEnd"/>
      <w:r w:rsidRPr="00E73900">
        <w:t xml:space="preserve"> </w:t>
      </w:r>
    </w:p>
    <w:p w:rsidR="008A4B5A" w:rsidRPr="00E73900" w:rsidRDefault="00A95C4C" w:rsidP="008A4B5A">
      <w:pPr>
        <w:widowControl w:val="0"/>
        <w:outlineLvl w:val="0"/>
        <w:rPr>
          <w:u w:val="single"/>
        </w:rPr>
      </w:pPr>
      <w:hyperlink r:id="rId12" w:history="1">
        <w:r w:rsidR="008A4B5A" w:rsidRPr="00E73900">
          <w:rPr>
            <w:rStyle w:val="Hyperlink"/>
          </w:rPr>
          <w:t>comments-commentaires@scc-csc.ca</w:t>
        </w:r>
      </w:hyperlink>
    </w:p>
    <w:p w:rsidR="008A4B5A" w:rsidRPr="00E73900" w:rsidRDefault="008A4B5A" w:rsidP="008A4B5A">
      <w:pPr>
        <w:widowControl w:val="0"/>
        <w:outlineLvl w:val="0"/>
      </w:pPr>
      <w:r w:rsidRPr="00E73900">
        <w:t>613-995-4330</w:t>
      </w:r>
    </w:p>
    <w:p w:rsidR="008A4B5A" w:rsidRPr="00E73900" w:rsidRDefault="008A4B5A" w:rsidP="008A4B5A">
      <w:pPr>
        <w:widowControl w:val="0"/>
        <w:rPr>
          <w:sz w:val="20"/>
        </w:rPr>
      </w:pPr>
    </w:p>
    <w:p w:rsidR="008A4B5A" w:rsidRPr="0003141B" w:rsidRDefault="008A4B5A" w:rsidP="008A4B5A">
      <w:pPr>
        <w:pStyle w:val="Footer"/>
        <w:jc w:val="center"/>
      </w:pPr>
      <w:r w:rsidRPr="00E73900">
        <w:t>- 30 -</w:t>
      </w:r>
    </w:p>
    <w:p w:rsidR="008A4B5A" w:rsidRPr="0003141B" w:rsidRDefault="008A4B5A" w:rsidP="008A4B5A">
      <w:pPr>
        <w:pStyle w:val="Footer"/>
        <w:jc w:val="center"/>
      </w:pPr>
    </w:p>
    <w:sectPr w:rsidR="008A4B5A" w:rsidRPr="0003141B" w:rsidSect="00A705DC">
      <w:headerReference w:type="even" r:id="rId13"/>
      <w:headerReference w:type="default" r:id="rId14"/>
      <w:footerReference w:type="even" r:id="rId15"/>
      <w:footerReference w:type="default" r:id="rId16"/>
      <w:headerReference w:type="first" r:id="rId17"/>
      <w:footerReference w:type="first" r:id="rId18"/>
      <w:pgSz w:w="12240" w:h="15840"/>
      <w:pgMar w:top="851" w:right="1440" w:bottom="1440" w:left="1440" w:header="567" w:footer="71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9E2" w:rsidRDefault="00E039E2" w:rsidP="0034178A">
      <w:r>
        <w:separator/>
      </w:r>
    </w:p>
  </w:endnote>
  <w:endnote w:type="continuationSeparator" w:id="0">
    <w:p w:rsidR="00E039E2" w:rsidRDefault="00E039E2"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0DC" w:rsidRDefault="009100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0DC" w:rsidRDefault="009100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0DC" w:rsidRDefault="009100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9E2" w:rsidRDefault="00E039E2" w:rsidP="0034178A">
      <w:r>
        <w:separator/>
      </w:r>
    </w:p>
  </w:footnote>
  <w:footnote w:type="continuationSeparator" w:id="0">
    <w:p w:rsidR="00E039E2" w:rsidRDefault="00E039E2"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0DC" w:rsidRDefault="009100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0DC" w:rsidRDefault="009100D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0DC" w:rsidRDefault="009100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D6E26"/>
    <w:multiLevelType w:val="hybridMultilevel"/>
    <w:tmpl w:val="F1A87F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A5D1B"/>
    <w:multiLevelType w:val="hybridMultilevel"/>
    <w:tmpl w:val="D36A477A"/>
    <w:lvl w:ilvl="0" w:tplc="8BB04BB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45326A"/>
    <w:multiLevelType w:val="hybridMultilevel"/>
    <w:tmpl w:val="033C6B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CDB6B8F"/>
    <w:multiLevelType w:val="hybridMultilevel"/>
    <w:tmpl w:val="6B52C162"/>
    <w:lvl w:ilvl="0" w:tplc="7F6606A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0114F"/>
    <w:multiLevelType w:val="hybridMultilevel"/>
    <w:tmpl w:val="916EB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920EE"/>
    <w:multiLevelType w:val="hybridMultilevel"/>
    <w:tmpl w:val="1C6A6FCA"/>
    <w:lvl w:ilvl="0" w:tplc="377AB6C8">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5F20A2A"/>
    <w:multiLevelType w:val="hybridMultilevel"/>
    <w:tmpl w:val="32E85F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659AB"/>
    <w:multiLevelType w:val="hybridMultilevel"/>
    <w:tmpl w:val="A1EC4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A040D7"/>
    <w:multiLevelType w:val="hybridMultilevel"/>
    <w:tmpl w:val="7272F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27B2D"/>
    <w:multiLevelType w:val="hybridMultilevel"/>
    <w:tmpl w:val="033C6B2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CA053A8"/>
    <w:multiLevelType w:val="hybridMultilevel"/>
    <w:tmpl w:val="1A78B2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D40B9"/>
    <w:multiLevelType w:val="hybridMultilevel"/>
    <w:tmpl w:val="5844B6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C3305C"/>
    <w:multiLevelType w:val="hybridMultilevel"/>
    <w:tmpl w:val="F5A69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6818D7"/>
    <w:multiLevelType w:val="hybridMultilevel"/>
    <w:tmpl w:val="5086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7045CD"/>
    <w:multiLevelType w:val="hybridMultilevel"/>
    <w:tmpl w:val="29E80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E571C8"/>
    <w:multiLevelType w:val="hybridMultilevel"/>
    <w:tmpl w:val="E1041C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A33274A"/>
    <w:multiLevelType w:val="hybridMultilevel"/>
    <w:tmpl w:val="3CB41D16"/>
    <w:lvl w:ilvl="0" w:tplc="19D8F65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B1562F"/>
    <w:multiLevelType w:val="hybridMultilevel"/>
    <w:tmpl w:val="520C0BCA"/>
    <w:lvl w:ilvl="0" w:tplc="0409000F">
      <w:start w:val="1"/>
      <w:numFmt w:val="decimal"/>
      <w:lvlText w:val="%1."/>
      <w:lvlJc w:val="left"/>
      <w:pPr>
        <w:ind w:left="720" w:hanging="360"/>
      </w:pPr>
    </w:lvl>
    <w:lvl w:ilvl="1" w:tplc="AE44FEFC">
      <w:start w:val="4"/>
      <w:numFmt w:val="bullet"/>
      <w:lvlText w:val="-"/>
      <w:lvlJc w:val="left"/>
      <w:pPr>
        <w:ind w:left="1440" w:hanging="360"/>
      </w:pPr>
      <w:rPr>
        <w:rFonts w:ascii="Times New Roman" w:eastAsia="Times New Roman" w:hAnsi="Times New Roman" w:cs="Times New Roman" w:hint="default"/>
        <w:b w:val="0"/>
        <w: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8062F2"/>
    <w:multiLevelType w:val="hybridMultilevel"/>
    <w:tmpl w:val="55BA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E179BC"/>
    <w:multiLevelType w:val="hybridMultilevel"/>
    <w:tmpl w:val="49A6D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0892BCE"/>
    <w:multiLevelType w:val="hybridMultilevel"/>
    <w:tmpl w:val="745ED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C041E2"/>
    <w:multiLevelType w:val="hybridMultilevel"/>
    <w:tmpl w:val="CB680FBC"/>
    <w:lvl w:ilvl="0" w:tplc="A4725882">
      <w:start w:val="1"/>
      <w:numFmt w:val="decimal"/>
      <w:lvlText w:val="%1."/>
      <w:lvlJc w:val="left"/>
      <w:pPr>
        <w:ind w:left="1080" w:hanging="72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22" w15:restartNumberingAfterBreak="0">
    <w:nsid w:val="34C514E8"/>
    <w:multiLevelType w:val="hybridMultilevel"/>
    <w:tmpl w:val="111CBC0A"/>
    <w:lvl w:ilvl="0" w:tplc="84FE6510">
      <w:start w:val="4"/>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D2C6E97"/>
    <w:multiLevelType w:val="hybridMultilevel"/>
    <w:tmpl w:val="7F5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B91094"/>
    <w:multiLevelType w:val="hybridMultilevel"/>
    <w:tmpl w:val="54D251FA"/>
    <w:lvl w:ilvl="0" w:tplc="15BE632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2A455EA"/>
    <w:multiLevelType w:val="hybridMultilevel"/>
    <w:tmpl w:val="2070E618"/>
    <w:lvl w:ilvl="0" w:tplc="B8C84AA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296085"/>
    <w:multiLevelType w:val="hybridMultilevel"/>
    <w:tmpl w:val="2EB09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AB2732"/>
    <w:multiLevelType w:val="hybridMultilevel"/>
    <w:tmpl w:val="7F5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E044AA"/>
    <w:multiLevelType w:val="hybridMultilevel"/>
    <w:tmpl w:val="BC9A1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CA34E0"/>
    <w:multiLevelType w:val="hybridMultilevel"/>
    <w:tmpl w:val="7BE80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C8013A"/>
    <w:multiLevelType w:val="hybridMultilevel"/>
    <w:tmpl w:val="7BC4A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605226"/>
    <w:multiLevelType w:val="hybridMultilevel"/>
    <w:tmpl w:val="95520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8C66994"/>
    <w:multiLevelType w:val="hybridMultilevel"/>
    <w:tmpl w:val="42CAC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502D3A"/>
    <w:multiLevelType w:val="hybridMultilevel"/>
    <w:tmpl w:val="7D48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2E07DB"/>
    <w:multiLevelType w:val="hybridMultilevel"/>
    <w:tmpl w:val="15165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5718E"/>
    <w:multiLevelType w:val="hybridMultilevel"/>
    <w:tmpl w:val="7F58F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F60926"/>
    <w:multiLevelType w:val="hybridMultilevel"/>
    <w:tmpl w:val="67AEF3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3A29B1"/>
    <w:multiLevelType w:val="hybridMultilevel"/>
    <w:tmpl w:val="9F061B80"/>
    <w:lvl w:ilvl="0" w:tplc="6010C9D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84174C"/>
    <w:multiLevelType w:val="hybridMultilevel"/>
    <w:tmpl w:val="CB62E4F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59E10F1"/>
    <w:multiLevelType w:val="hybridMultilevel"/>
    <w:tmpl w:val="1ED63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C40CC7"/>
    <w:multiLevelType w:val="hybridMultilevel"/>
    <w:tmpl w:val="C59EE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A86DAD"/>
    <w:multiLevelType w:val="hybridMultilevel"/>
    <w:tmpl w:val="8662C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DE7854"/>
    <w:multiLevelType w:val="hybridMultilevel"/>
    <w:tmpl w:val="E0524E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B6666"/>
    <w:multiLevelType w:val="hybridMultilevel"/>
    <w:tmpl w:val="86247D5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ED74281"/>
    <w:multiLevelType w:val="hybridMultilevel"/>
    <w:tmpl w:val="8D06836E"/>
    <w:lvl w:ilvl="0" w:tplc="802CA7B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F8736E3"/>
    <w:multiLevelType w:val="hybridMultilevel"/>
    <w:tmpl w:val="3F68FEF0"/>
    <w:lvl w:ilvl="0" w:tplc="CFAA4D2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E42A0E"/>
    <w:multiLevelType w:val="hybridMultilevel"/>
    <w:tmpl w:val="2A44FE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6"/>
  </w:num>
  <w:num w:numId="4">
    <w:abstractNumId w:val="14"/>
  </w:num>
  <w:num w:numId="5">
    <w:abstractNumId w:val="26"/>
  </w:num>
  <w:num w:numId="6">
    <w:abstractNumId w:val="0"/>
  </w:num>
  <w:num w:numId="7">
    <w:abstractNumId w:val="37"/>
  </w:num>
  <w:num w:numId="8">
    <w:abstractNumId w:val="42"/>
  </w:num>
  <w:num w:numId="9">
    <w:abstractNumId w:val="13"/>
  </w:num>
  <w:num w:numId="10">
    <w:abstractNumId w:val="10"/>
  </w:num>
  <w:num w:numId="11">
    <w:abstractNumId w:val="11"/>
  </w:num>
  <w:num w:numId="12">
    <w:abstractNumId w:val="28"/>
  </w:num>
  <w:num w:numId="13">
    <w:abstractNumId w:val="38"/>
  </w:num>
  <w:num w:numId="14">
    <w:abstractNumId w:val="5"/>
  </w:num>
  <w:num w:numId="15">
    <w:abstractNumId w:val="8"/>
  </w:num>
  <w:num w:numId="16">
    <w:abstractNumId w:val="46"/>
  </w:num>
  <w:num w:numId="17">
    <w:abstractNumId w:val="7"/>
  </w:num>
  <w:num w:numId="18">
    <w:abstractNumId w:val="39"/>
  </w:num>
  <w:num w:numId="19">
    <w:abstractNumId w:val="29"/>
  </w:num>
  <w:num w:numId="20">
    <w:abstractNumId w:val="18"/>
  </w:num>
  <w:num w:numId="21">
    <w:abstractNumId w:val="44"/>
  </w:num>
  <w:num w:numId="22">
    <w:abstractNumId w:val="19"/>
  </w:num>
  <w:num w:numId="23">
    <w:abstractNumId w:val="20"/>
  </w:num>
  <w:num w:numId="24">
    <w:abstractNumId w:val="34"/>
  </w:num>
  <w:num w:numId="25">
    <w:abstractNumId w:val="45"/>
  </w:num>
  <w:num w:numId="26">
    <w:abstractNumId w:val="12"/>
  </w:num>
  <w:num w:numId="27">
    <w:abstractNumId w:val="33"/>
  </w:num>
  <w:num w:numId="28">
    <w:abstractNumId w:val="15"/>
  </w:num>
  <w:num w:numId="29">
    <w:abstractNumId w:val="22"/>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num>
  <w:num w:numId="32">
    <w:abstractNumId w:val="21"/>
  </w:num>
  <w:num w:numId="33">
    <w:abstractNumId w:val="32"/>
  </w:num>
  <w:num w:numId="34">
    <w:abstractNumId w:val="4"/>
  </w:num>
  <w:num w:numId="35">
    <w:abstractNumId w:val="30"/>
  </w:num>
  <w:num w:numId="36">
    <w:abstractNumId w:val="24"/>
  </w:num>
  <w:num w:numId="37">
    <w:abstractNumId w:val="43"/>
  </w:num>
  <w:num w:numId="38">
    <w:abstractNumId w:val="9"/>
  </w:num>
  <w:num w:numId="39">
    <w:abstractNumId w:val="2"/>
  </w:num>
  <w:num w:numId="40">
    <w:abstractNumId w:val="40"/>
  </w:num>
  <w:num w:numId="41">
    <w:abstractNumId w:val="16"/>
  </w:num>
  <w:num w:numId="42">
    <w:abstractNumId w:val="3"/>
  </w:num>
  <w:num w:numId="43">
    <w:abstractNumId w:val="27"/>
  </w:num>
  <w:num w:numId="44">
    <w:abstractNumId w:val="35"/>
  </w:num>
  <w:num w:numId="45">
    <w:abstractNumId w:val="23"/>
  </w:num>
  <w:num w:numId="46">
    <w:abstractNumId w:val="25"/>
  </w:num>
  <w:num w:numId="47">
    <w:abstractNumId w:val="17"/>
  </w:num>
  <w:num w:numId="48">
    <w:abstractNumId w:val="3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9E2"/>
    <w:rsid w:val="00000FA6"/>
    <w:rsid w:val="000018E3"/>
    <w:rsid w:val="000043C3"/>
    <w:rsid w:val="00011BFB"/>
    <w:rsid w:val="000128A2"/>
    <w:rsid w:val="000136CC"/>
    <w:rsid w:val="00013B9D"/>
    <w:rsid w:val="00014C19"/>
    <w:rsid w:val="000164DB"/>
    <w:rsid w:val="00016CD1"/>
    <w:rsid w:val="00016D65"/>
    <w:rsid w:val="00020578"/>
    <w:rsid w:val="00020797"/>
    <w:rsid w:val="00020816"/>
    <w:rsid w:val="00020A29"/>
    <w:rsid w:val="0002267C"/>
    <w:rsid w:val="00024962"/>
    <w:rsid w:val="000276EE"/>
    <w:rsid w:val="0003141B"/>
    <w:rsid w:val="00033257"/>
    <w:rsid w:val="00033D1E"/>
    <w:rsid w:val="00033D28"/>
    <w:rsid w:val="00034A7F"/>
    <w:rsid w:val="00035790"/>
    <w:rsid w:val="00037AD3"/>
    <w:rsid w:val="00041B58"/>
    <w:rsid w:val="00042069"/>
    <w:rsid w:val="00043FDE"/>
    <w:rsid w:val="000470B9"/>
    <w:rsid w:val="00047CD6"/>
    <w:rsid w:val="00051DE6"/>
    <w:rsid w:val="000530B5"/>
    <w:rsid w:val="000577D9"/>
    <w:rsid w:val="000623CD"/>
    <w:rsid w:val="000627A2"/>
    <w:rsid w:val="00065F8F"/>
    <w:rsid w:val="00066570"/>
    <w:rsid w:val="00066B80"/>
    <w:rsid w:val="00067F50"/>
    <w:rsid w:val="0007009F"/>
    <w:rsid w:val="00070830"/>
    <w:rsid w:val="000775A9"/>
    <w:rsid w:val="00077E16"/>
    <w:rsid w:val="0008184B"/>
    <w:rsid w:val="00082444"/>
    <w:rsid w:val="000825A5"/>
    <w:rsid w:val="000843DB"/>
    <w:rsid w:val="000845B4"/>
    <w:rsid w:val="00084988"/>
    <w:rsid w:val="00085D13"/>
    <w:rsid w:val="00086629"/>
    <w:rsid w:val="00087124"/>
    <w:rsid w:val="00087808"/>
    <w:rsid w:val="00092C48"/>
    <w:rsid w:val="000941B1"/>
    <w:rsid w:val="00095627"/>
    <w:rsid w:val="000A0444"/>
    <w:rsid w:val="000A245A"/>
    <w:rsid w:val="000A260E"/>
    <w:rsid w:val="000A34A2"/>
    <w:rsid w:val="000A4311"/>
    <w:rsid w:val="000A50F9"/>
    <w:rsid w:val="000B163F"/>
    <w:rsid w:val="000B2456"/>
    <w:rsid w:val="000B2925"/>
    <w:rsid w:val="000B3FB0"/>
    <w:rsid w:val="000B679D"/>
    <w:rsid w:val="000B7258"/>
    <w:rsid w:val="000B754A"/>
    <w:rsid w:val="000C072B"/>
    <w:rsid w:val="000C0E20"/>
    <w:rsid w:val="000C182C"/>
    <w:rsid w:val="000C3667"/>
    <w:rsid w:val="000D0BE2"/>
    <w:rsid w:val="000D3129"/>
    <w:rsid w:val="000D4AE1"/>
    <w:rsid w:val="000E1CD6"/>
    <w:rsid w:val="000E35CD"/>
    <w:rsid w:val="000E50F2"/>
    <w:rsid w:val="000E5407"/>
    <w:rsid w:val="000E6037"/>
    <w:rsid w:val="000F4521"/>
    <w:rsid w:val="000F4C35"/>
    <w:rsid w:val="000F525E"/>
    <w:rsid w:val="000F70A0"/>
    <w:rsid w:val="000F74E8"/>
    <w:rsid w:val="00100CEE"/>
    <w:rsid w:val="00101E4B"/>
    <w:rsid w:val="001024DC"/>
    <w:rsid w:val="00102F8F"/>
    <w:rsid w:val="00105612"/>
    <w:rsid w:val="001068F5"/>
    <w:rsid w:val="00107219"/>
    <w:rsid w:val="00107866"/>
    <w:rsid w:val="00117AF3"/>
    <w:rsid w:val="0012101A"/>
    <w:rsid w:val="00121A9B"/>
    <w:rsid w:val="00122956"/>
    <w:rsid w:val="00122DFE"/>
    <w:rsid w:val="00123976"/>
    <w:rsid w:val="00124DEC"/>
    <w:rsid w:val="00131855"/>
    <w:rsid w:val="00132635"/>
    <w:rsid w:val="0013300E"/>
    <w:rsid w:val="00134190"/>
    <w:rsid w:val="001354E7"/>
    <w:rsid w:val="001368A7"/>
    <w:rsid w:val="00141200"/>
    <w:rsid w:val="0014243F"/>
    <w:rsid w:val="00142C72"/>
    <w:rsid w:val="00143310"/>
    <w:rsid w:val="00144111"/>
    <w:rsid w:val="0014705F"/>
    <w:rsid w:val="00147BE4"/>
    <w:rsid w:val="00147DE3"/>
    <w:rsid w:val="00150453"/>
    <w:rsid w:val="00151336"/>
    <w:rsid w:val="001543E0"/>
    <w:rsid w:val="00155A61"/>
    <w:rsid w:val="00155FD8"/>
    <w:rsid w:val="0015605D"/>
    <w:rsid w:val="001560EC"/>
    <w:rsid w:val="00162824"/>
    <w:rsid w:val="00163EC7"/>
    <w:rsid w:val="00171379"/>
    <w:rsid w:val="001716F7"/>
    <w:rsid w:val="001731CA"/>
    <w:rsid w:val="00173B3A"/>
    <w:rsid w:val="001740F8"/>
    <w:rsid w:val="00174655"/>
    <w:rsid w:val="0017579D"/>
    <w:rsid w:val="001764FA"/>
    <w:rsid w:val="00176790"/>
    <w:rsid w:val="001813C3"/>
    <w:rsid w:val="00181FBC"/>
    <w:rsid w:val="00182B77"/>
    <w:rsid w:val="00185355"/>
    <w:rsid w:val="0018573B"/>
    <w:rsid w:val="001866BF"/>
    <w:rsid w:val="00186884"/>
    <w:rsid w:val="0019030D"/>
    <w:rsid w:val="00190C7A"/>
    <w:rsid w:val="00190F7F"/>
    <w:rsid w:val="001947C1"/>
    <w:rsid w:val="00194F2A"/>
    <w:rsid w:val="001A06DE"/>
    <w:rsid w:val="001A1AE7"/>
    <w:rsid w:val="001A1C0F"/>
    <w:rsid w:val="001A2314"/>
    <w:rsid w:val="001A2F38"/>
    <w:rsid w:val="001A4547"/>
    <w:rsid w:val="001A48FB"/>
    <w:rsid w:val="001A562F"/>
    <w:rsid w:val="001B3EDD"/>
    <w:rsid w:val="001B4569"/>
    <w:rsid w:val="001B4C16"/>
    <w:rsid w:val="001B5D3B"/>
    <w:rsid w:val="001B68D3"/>
    <w:rsid w:val="001C0491"/>
    <w:rsid w:val="001C0C39"/>
    <w:rsid w:val="001C0E0C"/>
    <w:rsid w:val="001C2F21"/>
    <w:rsid w:val="001C4EE4"/>
    <w:rsid w:val="001C5E6C"/>
    <w:rsid w:val="001D0423"/>
    <w:rsid w:val="001D235D"/>
    <w:rsid w:val="001D2555"/>
    <w:rsid w:val="001E3BCD"/>
    <w:rsid w:val="001E4B57"/>
    <w:rsid w:val="001E52EA"/>
    <w:rsid w:val="001E590C"/>
    <w:rsid w:val="001F17C2"/>
    <w:rsid w:val="001F232F"/>
    <w:rsid w:val="001F27B1"/>
    <w:rsid w:val="001F5B11"/>
    <w:rsid w:val="001F7013"/>
    <w:rsid w:val="001F7120"/>
    <w:rsid w:val="00200F31"/>
    <w:rsid w:val="0020221F"/>
    <w:rsid w:val="00202729"/>
    <w:rsid w:val="00202A27"/>
    <w:rsid w:val="00203AEA"/>
    <w:rsid w:val="00204DE0"/>
    <w:rsid w:val="00205051"/>
    <w:rsid w:val="002069D6"/>
    <w:rsid w:val="0020794A"/>
    <w:rsid w:val="00207C7F"/>
    <w:rsid w:val="00212962"/>
    <w:rsid w:val="002129E1"/>
    <w:rsid w:val="00217135"/>
    <w:rsid w:val="0022132D"/>
    <w:rsid w:val="00222CAE"/>
    <w:rsid w:val="00223B83"/>
    <w:rsid w:val="00225A53"/>
    <w:rsid w:val="002264F4"/>
    <w:rsid w:val="00227D1A"/>
    <w:rsid w:val="00231427"/>
    <w:rsid w:val="00233057"/>
    <w:rsid w:val="00234A3D"/>
    <w:rsid w:val="002357ED"/>
    <w:rsid w:val="002407C6"/>
    <w:rsid w:val="00242F44"/>
    <w:rsid w:val="00244CDD"/>
    <w:rsid w:val="00245CA3"/>
    <w:rsid w:val="00245D73"/>
    <w:rsid w:val="002514CA"/>
    <w:rsid w:val="00252FDB"/>
    <w:rsid w:val="002567CD"/>
    <w:rsid w:val="002613AC"/>
    <w:rsid w:val="00261D3C"/>
    <w:rsid w:val="002620C3"/>
    <w:rsid w:val="00262C42"/>
    <w:rsid w:val="0026349D"/>
    <w:rsid w:val="00264549"/>
    <w:rsid w:val="00264572"/>
    <w:rsid w:val="00266E0E"/>
    <w:rsid w:val="002671CC"/>
    <w:rsid w:val="0026793A"/>
    <w:rsid w:val="00267F92"/>
    <w:rsid w:val="002709E7"/>
    <w:rsid w:val="00276C42"/>
    <w:rsid w:val="00280E55"/>
    <w:rsid w:val="002848CB"/>
    <w:rsid w:val="002858BA"/>
    <w:rsid w:val="0028662D"/>
    <w:rsid w:val="0028686B"/>
    <w:rsid w:val="002909AB"/>
    <w:rsid w:val="00292574"/>
    <w:rsid w:val="00292C0E"/>
    <w:rsid w:val="00292CB4"/>
    <w:rsid w:val="00292F81"/>
    <w:rsid w:val="002A1812"/>
    <w:rsid w:val="002A5245"/>
    <w:rsid w:val="002A55D1"/>
    <w:rsid w:val="002A5C41"/>
    <w:rsid w:val="002A652A"/>
    <w:rsid w:val="002A7390"/>
    <w:rsid w:val="002B5525"/>
    <w:rsid w:val="002C10D1"/>
    <w:rsid w:val="002C2254"/>
    <w:rsid w:val="002C793E"/>
    <w:rsid w:val="002C7E1E"/>
    <w:rsid w:val="002D0C49"/>
    <w:rsid w:val="002D16B9"/>
    <w:rsid w:val="002D2553"/>
    <w:rsid w:val="002D43A1"/>
    <w:rsid w:val="002D6680"/>
    <w:rsid w:val="002E261F"/>
    <w:rsid w:val="002E3092"/>
    <w:rsid w:val="002E3911"/>
    <w:rsid w:val="002E5BD3"/>
    <w:rsid w:val="002F06D0"/>
    <w:rsid w:val="002F0A56"/>
    <w:rsid w:val="002F0B78"/>
    <w:rsid w:val="002F3830"/>
    <w:rsid w:val="002F414C"/>
    <w:rsid w:val="002F4929"/>
    <w:rsid w:val="002F4D71"/>
    <w:rsid w:val="002F7DDE"/>
    <w:rsid w:val="002F7E97"/>
    <w:rsid w:val="003012A2"/>
    <w:rsid w:val="003063D0"/>
    <w:rsid w:val="00313652"/>
    <w:rsid w:val="00313A1F"/>
    <w:rsid w:val="003151B5"/>
    <w:rsid w:val="00315D98"/>
    <w:rsid w:val="003235CC"/>
    <w:rsid w:val="00325668"/>
    <w:rsid w:val="0032661A"/>
    <w:rsid w:val="00326DC1"/>
    <w:rsid w:val="0032742B"/>
    <w:rsid w:val="0033004B"/>
    <w:rsid w:val="00330371"/>
    <w:rsid w:val="0033241A"/>
    <w:rsid w:val="00332627"/>
    <w:rsid w:val="00335252"/>
    <w:rsid w:val="0033535C"/>
    <w:rsid w:val="00340D7B"/>
    <w:rsid w:val="00340E08"/>
    <w:rsid w:val="0034178A"/>
    <w:rsid w:val="00343C1E"/>
    <w:rsid w:val="003509E6"/>
    <w:rsid w:val="00350D51"/>
    <w:rsid w:val="00351946"/>
    <w:rsid w:val="00352802"/>
    <w:rsid w:val="003533BC"/>
    <w:rsid w:val="003535EF"/>
    <w:rsid w:val="00357C3B"/>
    <w:rsid w:val="00360FCE"/>
    <w:rsid w:val="003628ED"/>
    <w:rsid w:val="00362E82"/>
    <w:rsid w:val="00364001"/>
    <w:rsid w:val="00364285"/>
    <w:rsid w:val="00367B9A"/>
    <w:rsid w:val="0037013D"/>
    <w:rsid w:val="003706AA"/>
    <w:rsid w:val="00370C5B"/>
    <w:rsid w:val="003710CD"/>
    <w:rsid w:val="00372FD5"/>
    <w:rsid w:val="00376958"/>
    <w:rsid w:val="00377C17"/>
    <w:rsid w:val="00380A0F"/>
    <w:rsid w:val="00380B69"/>
    <w:rsid w:val="00380E76"/>
    <w:rsid w:val="0038431A"/>
    <w:rsid w:val="0038547C"/>
    <w:rsid w:val="00385A88"/>
    <w:rsid w:val="00387AF8"/>
    <w:rsid w:val="00390065"/>
    <w:rsid w:val="00393660"/>
    <w:rsid w:val="003940A4"/>
    <w:rsid w:val="003958AE"/>
    <w:rsid w:val="00395F63"/>
    <w:rsid w:val="00395FC2"/>
    <w:rsid w:val="0039624A"/>
    <w:rsid w:val="0039709D"/>
    <w:rsid w:val="00397213"/>
    <w:rsid w:val="003A00C9"/>
    <w:rsid w:val="003A0258"/>
    <w:rsid w:val="003A11C4"/>
    <w:rsid w:val="003A1F69"/>
    <w:rsid w:val="003A2770"/>
    <w:rsid w:val="003A5371"/>
    <w:rsid w:val="003A58BA"/>
    <w:rsid w:val="003B0718"/>
    <w:rsid w:val="003B1455"/>
    <w:rsid w:val="003B2312"/>
    <w:rsid w:val="003B2AC6"/>
    <w:rsid w:val="003B39D7"/>
    <w:rsid w:val="003B61F0"/>
    <w:rsid w:val="003B64B3"/>
    <w:rsid w:val="003B6E18"/>
    <w:rsid w:val="003B77CF"/>
    <w:rsid w:val="003B7E97"/>
    <w:rsid w:val="003C15F9"/>
    <w:rsid w:val="003C5F5E"/>
    <w:rsid w:val="003C6BB7"/>
    <w:rsid w:val="003D0A88"/>
    <w:rsid w:val="003D0BC8"/>
    <w:rsid w:val="003D27BD"/>
    <w:rsid w:val="003D3E2B"/>
    <w:rsid w:val="003D618C"/>
    <w:rsid w:val="003E2C4E"/>
    <w:rsid w:val="003E3957"/>
    <w:rsid w:val="003E569F"/>
    <w:rsid w:val="003E6AB5"/>
    <w:rsid w:val="003F17F0"/>
    <w:rsid w:val="003F1E6F"/>
    <w:rsid w:val="003F3BC1"/>
    <w:rsid w:val="003F43E6"/>
    <w:rsid w:val="003F566D"/>
    <w:rsid w:val="003F73EF"/>
    <w:rsid w:val="004000BE"/>
    <w:rsid w:val="00400236"/>
    <w:rsid w:val="004026BA"/>
    <w:rsid w:val="00403038"/>
    <w:rsid w:val="00405B84"/>
    <w:rsid w:val="0040709C"/>
    <w:rsid w:val="004116DA"/>
    <w:rsid w:val="004117D6"/>
    <w:rsid w:val="00411834"/>
    <w:rsid w:val="004119B1"/>
    <w:rsid w:val="004149DA"/>
    <w:rsid w:val="00416D4C"/>
    <w:rsid w:val="004171D3"/>
    <w:rsid w:val="0042157A"/>
    <w:rsid w:val="0042212F"/>
    <w:rsid w:val="00423943"/>
    <w:rsid w:val="00424581"/>
    <w:rsid w:val="00426976"/>
    <w:rsid w:val="00427F4F"/>
    <w:rsid w:val="00433C3E"/>
    <w:rsid w:val="004361AB"/>
    <w:rsid w:val="00436C0B"/>
    <w:rsid w:val="004375C1"/>
    <w:rsid w:val="0044348E"/>
    <w:rsid w:val="00444072"/>
    <w:rsid w:val="00445E2E"/>
    <w:rsid w:val="004511AB"/>
    <w:rsid w:val="004522B8"/>
    <w:rsid w:val="0045235F"/>
    <w:rsid w:val="004533F1"/>
    <w:rsid w:val="00453ABE"/>
    <w:rsid w:val="004542A8"/>
    <w:rsid w:val="004565C5"/>
    <w:rsid w:val="00456687"/>
    <w:rsid w:val="00460794"/>
    <w:rsid w:val="0046302E"/>
    <w:rsid w:val="00464FEE"/>
    <w:rsid w:val="004672B7"/>
    <w:rsid w:val="00467391"/>
    <w:rsid w:val="00472190"/>
    <w:rsid w:val="00474D9B"/>
    <w:rsid w:val="00476584"/>
    <w:rsid w:val="004771B0"/>
    <w:rsid w:val="00481888"/>
    <w:rsid w:val="00482589"/>
    <w:rsid w:val="004845C4"/>
    <w:rsid w:val="0048502A"/>
    <w:rsid w:val="0048604E"/>
    <w:rsid w:val="00490DDC"/>
    <w:rsid w:val="00491D60"/>
    <w:rsid w:val="00493382"/>
    <w:rsid w:val="00494394"/>
    <w:rsid w:val="00494CD1"/>
    <w:rsid w:val="004957BA"/>
    <w:rsid w:val="004970C9"/>
    <w:rsid w:val="00497B5E"/>
    <w:rsid w:val="004A224A"/>
    <w:rsid w:val="004A3074"/>
    <w:rsid w:val="004A7CEC"/>
    <w:rsid w:val="004B06E1"/>
    <w:rsid w:val="004B7AF8"/>
    <w:rsid w:val="004C0544"/>
    <w:rsid w:val="004C14B4"/>
    <w:rsid w:val="004C1A88"/>
    <w:rsid w:val="004C2585"/>
    <w:rsid w:val="004C281D"/>
    <w:rsid w:val="004C2E9D"/>
    <w:rsid w:val="004C4513"/>
    <w:rsid w:val="004C51E2"/>
    <w:rsid w:val="004C7FC6"/>
    <w:rsid w:val="004D3D9C"/>
    <w:rsid w:val="004E0B2F"/>
    <w:rsid w:val="004E1B3F"/>
    <w:rsid w:val="004E1BC8"/>
    <w:rsid w:val="004E337D"/>
    <w:rsid w:val="004F0EC9"/>
    <w:rsid w:val="004F1AF3"/>
    <w:rsid w:val="004F27DD"/>
    <w:rsid w:val="004F340E"/>
    <w:rsid w:val="004F40AB"/>
    <w:rsid w:val="004F431D"/>
    <w:rsid w:val="004F46E6"/>
    <w:rsid w:val="004F7301"/>
    <w:rsid w:val="00500E35"/>
    <w:rsid w:val="005012D5"/>
    <w:rsid w:val="00501C1A"/>
    <w:rsid w:val="005021F6"/>
    <w:rsid w:val="00502F3E"/>
    <w:rsid w:val="00503196"/>
    <w:rsid w:val="00504706"/>
    <w:rsid w:val="005103F9"/>
    <w:rsid w:val="00511E62"/>
    <w:rsid w:val="00515205"/>
    <w:rsid w:val="005208AC"/>
    <w:rsid w:val="00521EFA"/>
    <w:rsid w:val="00525B79"/>
    <w:rsid w:val="0053286F"/>
    <w:rsid w:val="00532EB0"/>
    <w:rsid w:val="00533C07"/>
    <w:rsid w:val="00535069"/>
    <w:rsid w:val="00535A60"/>
    <w:rsid w:val="005418C8"/>
    <w:rsid w:val="00542443"/>
    <w:rsid w:val="00542E05"/>
    <w:rsid w:val="00544481"/>
    <w:rsid w:val="00546DAD"/>
    <w:rsid w:val="005504F1"/>
    <w:rsid w:val="005542A1"/>
    <w:rsid w:val="00557DCC"/>
    <w:rsid w:val="005617DA"/>
    <w:rsid w:val="00561B18"/>
    <w:rsid w:val="005650AF"/>
    <w:rsid w:val="00566C79"/>
    <w:rsid w:val="00570169"/>
    <w:rsid w:val="00573172"/>
    <w:rsid w:val="00575F91"/>
    <w:rsid w:val="005812EF"/>
    <w:rsid w:val="0058351E"/>
    <w:rsid w:val="00583D6E"/>
    <w:rsid w:val="0058523D"/>
    <w:rsid w:val="00587914"/>
    <w:rsid w:val="005925EC"/>
    <w:rsid w:val="0059357E"/>
    <w:rsid w:val="00593612"/>
    <w:rsid w:val="0059611F"/>
    <w:rsid w:val="00597224"/>
    <w:rsid w:val="005A187E"/>
    <w:rsid w:val="005A1B7D"/>
    <w:rsid w:val="005A3592"/>
    <w:rsid w:val="005A4082"/>
    <w:rsid w:val="005A43B7"/>
    <w:rsid w:val="005A64AA"/>
    <w:rsid w:val="005B0703"/>
    <w:rsid w:val="005B0AAB"/>
    <w:rsid w:val="005B4EB8"/>
    <w:rsid w:val="005B529F"/>
    <w:rsid w:val="005C196C"/>
    <w:rsid w:val="005C2CA2"/>
    <w:rsid w:val="005C3064"/>
    <w:rsid w:val="005C3DE0"/>
    <w:rsid w:val="005C42FB"/>
    <w:rsid w:val="005C7117"/>
    <w:rsid w:val="005C7BBF"/>
    <w:rsid w:val="005D019B"/>
    <w:rsid w:val="005D1044"/>
    <w:rsid w:val="005D3069"/>
    <w:rsid w:val="005D3730"/>
    <w:rsid w:val="005D4016"/>
    <w:rsid w:val="005D4DBD"/>
    <w:rsid w:val="005E10A3"/>
    <w:rsid w:val="005E2D77"/>
    <w:rsid w:val="005E2F89"/>
    <w:rsid w:val="005E4F3B"/>
    <w:rsid w:val="005E73A1"/>
    <w:rsid w:val="005F0456"/>
    <w:rsid w:val="005F4197"/>
    <w:rsid w:val="005F5163"/>
    <w:rsid w:val="006005B0"/>
    <w:rsid w:val="00604007"/>
    <w:rsid w:val="006067DB"/>
    <w:rsid w:val="00610BC0"/>
    <w:rsid w:val="0061282A"/>
    <w:rsid w:val="006132AE"/>
    <w:rsid w:val="00615108"/>
    <w:rsid w:val="006167B8"/>
    <w:rsid w:val="006167C9"/>
    <w:rsid w:val="00621F03"/>
    <w:rsid w:val="00624469"/>
    <w:rsid w:val="00625B63"/>
    <w:rsid w:val="0063061F"/>
    <w:rsid w:val="00632A4A"/>
    <w:rsid w:val="00634573"/>
    <w:rsid w:val="00635A24"/>
    <w:rsid w:val="00636ADD"/>
    <w:rsid w:val="00636C1A"/>
    <w:rsid w:val="006406E5"/>
    <w:rsid w:val="00640B24"/>
    <w:rsid w:val="0064267F"/>
    <w:rsid w:val="006442C8"/>
    <w:rsid w:val="00644B38"/>
    <w:rsid w:val="00645CF5"/>
    <w:rsid w:val="0065124F"/>
    <w:rsid w:val="006514E6"/>
    <w:rsid w:val="00655090"/>
    <w:rsid w:val="00656E1D"/>
    <w:rsid w:val="0066013D"/>
    <w:rsid w:val="00664817"/>
    <w:rsid w:val="00664E1D"/>
    <w:rsid w:val="00666BA1"/>
    <w:rsid w:val="00670794"/>
    <w:rsid w:val="006721DF"/>
    <w:rsid w:val="00672A20"/>
    <w:rsid w:val="00674808"/>
    <w:rsid w:val="00674CE6"/>
    <w:rsid w:val="00677979"/>
    <w:rsid w:val="00680FDB"/>
    <w:rsid w:val="006829C1"/>
    <w:rsid w:val="00683770"/>
    <w:rsid w:val="006842FD"/>
    <w:rsid w:val="006849D2"/>
    <w:rsid w:val="00686A7E"/>
    <w:rsid w:val="00690509"/>
    <w:rsid w:val="00690963"/>
    <w:rsid w:val="00690B95"/>
    <w:rsid w:val="00690E2D"/>
    <w:rsid w:val="00693751"/>
    <w:rsid w:val="00693795"/>
    <w:rsid w:val="00693CE6"/>
    <w:rsid w:val="00695005"/>
    <w:rsid w:val="00696375"/>
    <w:rsid w:val="006965DF"/>
    <w:rsid w:val="006966C2"/>
    <w:rsid w:val="00697DD5"/>
    <w:rsid w:val="006A00B5"/>
    <w:rsid w:val="006A09A4"/>
    <w:rsid w:val="006A21CC"/>
    <w:rsid w:val="006A3856"/>
    <w:rsid w:val="006A4901"/>
    <w:rsid w:val="006A503A"/>
    <w:rsid w:val="006B10D7"/>
    <w:rsid w:val="006B1C34"/>
    <w:rsid w:val="006B24D0"/>
    <w:rsid w:val="006B293F"/>
    <w:rsid w:val="006B2BDD"/>
    <w:rsid w:val="006B3D5C"/>
    <w:rsid w:val="006B40C1"/>
    <w:rsid w:val="006B6A20"/>
    <w:rsid w:val="006C319F"/>
    <w:rsid w:val="006C4010"/>
    <w:rsid w:val="006C477E"/>
    <w:rsid w:val="006C5266"/>
    <w:rsid w:val="006D0F19"/>
    <w:rsid w:val="006D247F"/>
    <w:rsid w:val="006D3FB0"/>
    <w:rsid w:val="006D41DB"/>
    <w:rsid w:val="006D443D"/>
    <w:rsid w:val="006D5A96"/>
    <w:rsid w:val="006D614A"/>
    <w:rsid w:val="006D6B5E"/>
    <w:rsid w:val="006D7DA7"/>
    <w:rsid w:val="006E27D1"/>
    <w:rsid w:val="006E4B08"/>
    <w:rsid w:val="006E4EB7"/>
    <w:rsid w:val="006E7F81"/>
    <w:rsid w:val="006F04E4"/>
    <w:rsid w:val="006F248E"/>
    <w:rsid w:val="006F2579"/>
    <w:rsid w:val="006F409C"/>
    <w:rsid w:val="006F7688"/>
    <w:rsid w:val="00700E69"/>
    <w:rsid w:val="00701BB5"/>
    <w:rsid w:val="0070488F"/>
    <w:rsid w:val="00704CDE"/>
    <w:rsid w:val="0070582E"/>
    <w:rsid w:val="007226F3"/>
    <w:rsid w:val="007240C3"/>
    <w:rsid w:val="007243CC"/>
    <w:rsid w:val="007301CB"/>
    <w:rsid w:val="0073047B"/>
    <w:rsid w:val="00733EF3"/>
    <w:rsid w:val="00734E8D"/>
    <w:rsid w:val="007356BB"/>
    <w:rsid w:val="00735BED"/>
    <w:rsid w:val="0073666D"/>
    <w:rsid w:val="0073669E"/>
    <w:rsid w:val="0073707B"/>
    <w:rsid w:val="007371F4"/>
    <w:rsid w:val="00737D1D"/>
    <w:rsid w:val="00737F76"/>
    <w:rsid w:val="00741002"/>
    <w:rsid w:val="00741637"/>
    <w:rsid w:val="00744F24"/>
    <w:rsid w:val="007471FA"/>
    <w:rsid w:val="00747C5A"/>
    <w:rsid w:val="00751DE7"/>
    <w:rsid w:val="007572E3"/>
    <w:rsid w:val="00761E6B"/>
    <w:rsid w:val="007655B2"/>
    <w:rsid w:val="00766432"/>
    <w:rsid w:val="00766983"/>
    <w:rsid w:val="00767D92"/>
    <w:rsid w:val="007712C3"/>
    <w:rsid w:val="007736D0"/>
    <w:rsid w:val="00775F1C"/>
    <w:rsid w:val="00775FEC"/>
    <w:rsid w:val="007823D7"/>
    <w:rsid w:val="00782E96"/>
    <w:rsid w:val="00784088"/>
    <w:rsid w:val="00786937"/>
    <w:rsid w:val="0078776F"/>
    <w:rsid w:val="00795FC0"/>
    <w:rsid w:val="007975AC"/>
    <w:rsid w:val="007A10D6"/>
    <w:rsid w:val="007A14FC"/>
    <w:rsid w:val="007A3BD3"/>
    <w:rsid w:val="007A4306"/>
    <w:rsid w:val="007A5A11"/>
    <w:rsid w:val="007A667F"/>
    <w:rsid w:val="007A6F16"/>
    <w:rsid w:val="007A7F7F"/>
    <w:rsid w:val="007A7FD6"/>
    <w:rsid w:val="007B09DF"/>
    <w:rsid w:val="007B300E"/>
    <w:rsid w:val="007B567F"/>
    <w:rsid w:val="007B57E8"/>
    <w:rsid w:val="007B65D4"/>
    <w:rsid w:val="007C42C9"/>
    <w:rsid w:val="007C5323"/>
    <w:rsid w:val="007C5990"/>
    <w:rsid w:val="007C6187"/>
    <w:rsid w:val="007C67EE"/>
    <w:rsid w:val="007C7A8C"/>
    <w:rsid w:val="007D21B4"/>
    <w:rsid w:val="007D24AB"/>
    <w:rsid w:val="007D26B8"/>
    <w:rsid w:val="007D42D5"/>
    <w:rsid w:val="007D4BFC"/>
    <w:rsid w:val="007D6193"/>
    <w:rsid w:val="007D6B1C"/>
    <w:rsid w:val="007E0325"/>
    <w:rsid w:val="007E1AD7"/>
    <w:rsid w:val="007E3B55"/>
    <w:rsid w:val="007E6196"/>
    <w:rsid w:val="007E70BF"/>
    <w:rsid w:val="007E735A"/>
    <w:rsid w:val="007F0325"/>
    <w:rsid w:val="007F0D2E"/>
    <w:rsid w:val="007F0DF0"/>
    <w:rsid w:val="007F0F01"/>
    <w:rsid w:val="007F155F"/>
    <w:rsid w:val="007F1E21"/>
    <w:rsid w:val="007F22ED"/>
    <w:rsid w:val="007F3A38"/>
    <w:rsid w:val="007F4F42"/>
    <w:rsid w:val="007F522C"/>
    <w:rsid w:val="00800DF8"/>
    <w:rsid w:val="008021FD"/>
    <w:rsid w:val="008031DB"/>
    <w:rsid w:val="008036BE"/>
    <w:rsid w:val="00804FE6"/>
    <w:rsid w:val="00805636"/>
    <w:rsid w:val="0080636B"/>
    <w:rsid w:val="0080792B"/>
    <w:rsid w:val="00807EB6"/>
    <w:rsid w:val="008115B8"/>
    <w:rsid w:val="00812315"/>
    <w:rsid w:val="00814BC7"/>
    <w:rsid w:val="00815D1B"/>
    <w:rsid w:val="00816C1F"/>
    <w:rsid w:val="0082143F"/>
    <w:rsid w:val="0082254A"/>
    <w:rsid w:val="00822691"/>
    <w:rsid w:val="00823610"/>
    <w:rsid w:val="00823C10"/>
    <w:rsid w:val="00825565"/>
    <w:rsid w:val="0082608B"/>
    <w:rsid w:val="008267D6"/>
    <w:rsid w:val="0083380F"/>
    <w:rsid w:val="00835FCE"/>
    <w:rsid w:val="00836607"/>
    <w:rsid w:val="008368DE"/>
    <w:rsid w:val="008369F5"/>
    <w:rsid w:val="00840D33"/>
    <w:rsid w:val="008415C1"/>
    <w:rsid w:val="0084161A"/>
    <w:rsid w:val="00841962"/>
    <w:rsid w:val="00846002"/>
    <w:rsid w:val="00847EA5"/>
    <w:rsid w:val="008503F7"/>
    <w:rsid w:val="00850FFA"/>
    <w:rsid w:val="0085127E"/>
    <w:rsid w:val="00852898"/>
    <w:rsid w:val="00853C98"/>
    <w:rsid w:val="0085543E"/>
    <w:rsid w:val="00857902"/>
    <w:rsid w:val="008601E2"/>
    <w:rsid w:val="008613D7"/>
    <w:rsid w:val="00861CAB"/>
    <w:rsid w:val="00864CB6"/>
    <w:rsid w:val="00865274"/>
    <w:rsid w:val="00866A27"/>
    <w:rsid w:val="00866D43"/>
    <w:rsid w:val="0087081B"/>
    <w:rsid w:val="00874308"/>
    <w:rsid w:val="00877B13"/>
    <w:rsid w:val="00877E0F"/>
    <w:rsid w:val="00882F70"/>
    <w:rsid w:val="00883138"/>
    <w:rsid w:val="008836A7"/>
    <w:rsid w:val="0089173C"/>
    <w:rsid w:val="008A1084"/>
    <w:rsid w:val="008A3884"/>
    <w:rsid w:val="008A4ABF"/>
    <w:rsid w:val="008A4B5A"/>
    <w:rsid w:val="008A6DF0"/>
    <w:rsid w:val="008B0108"/>
    <w:rsid w:val="008B29C4"/>
    <w:rsid w:val="008B3670"/>
    <w:rsid w:val="008B4157"/>
    <w:rsid w:val="008B4A24"/>
    <w:rsid w:val="008B5AFF"/>
    <w:rsid w:val="008B5E0B"/>
    <w:rsid w:val="008B63D2"/>
    <w:rsid w:val="008B7CD2"/>
    <w:rsid w:val="008C12F3"/>
    <w:rsid w:val="008C653C"/>
    <w:rsid w:val="008D01E3"/>
    <w:rsid w:val="008D19DB"/>
    <w:rsid w:val="008D1AC8"/>
    <w:rsid w:val="008D7A42"/>
    <w:rsid w:val="008E14CF"/>
    <w:rsid w:val="008E226D"/>
    <w:rsid w:val="008E4D8A"/>
    <w:rsid w:val="008E7C23"/>
    <w:rsid w:val="008E7F8D"/>
    <w:rsid w:val="008F0D8D"/>
    <w:rsid w:val="008F2850"/>
    <w:rsid w:val="008F292E"/>
    <w:rsid w:val="008F302C"/>
    <w:rsid w:val="008F76D2"/>
    <w:rsid w:val="009010F1"/>
    <w:rsid w:val="009035A2"/>
    <w:rsid w:val="00904226"/>
    <w:rsid w:val="00904AA3"/>
    <w:rsid w:val="009079F7"/>
    <w:rsid w:val="009100DC"/>
    <w:rsid w:val="00923186"/>
    <w:rsid w:val="00924618"/>
    <w:rsid w:val="00930982"/>
    <w:rsid w:val="00933A45"/>
    <w:rsid w:val="009340AB"/>
    <w:rsid w:val="00934D03"/>
    <w:rsid w:val="00936084"/>
    <w:rsid w:val="00936192"/>
    <w:rsid w:val="0094028A"/>
    <w:rsid w:val="00942A08"/>
    <w:rsid w:val="00942CAD"/>
    <w:rsid w:val="00943363"/>
    <w:rsid w:val="00944CB7"/>
    <w:rsid w:val="009456CB"/>
    <w:rsid w:val="0094668A"/>
    <w:rsid w:val="00953F38"/>
    <w:rsid w:val="009540C6"/>
    <w:rsid w:val="00956067"/>
    <w:rsid w:val="00957921"/>
    <w:rsid w:val="00957C00"/>
    <w:rsid w:val="009619CF"/>
    <w:rsid w:val="0096755F"/>
    <w:rsid w:val="0097114B"/>
    <w:rsid w:val="0097127E"/>
    <w:rsid w:val="00971F36"/>
    <w:rsid w:val="0097588C"/>
    <w:rsid w:val="0097713E"/>
    <w:rsid w:val="00977C25"/>
    <w:rsid w:val="00980565"/>
    <w:rsid w:val="009807C9"/>
    <w:rsid w:val="0098122A"/>
    <w:rsid w:val="009816C8"/>
    <w:rsid w:val="009833CB"/>
    <w:rsid w:val="00983671"/>
    <w:rsid w:val="009837A3"/>
    <w:rsid w:val="009861EE"/>
    <w:rsid w:val="009879FE"/>
    <w:rsid w:val="0099216F"/>
    <w:rsid w:val="0099251E"/>
    <w:rsid w:val="00996373"/>
    <w:rsid w:val="00997705"/>
    <w:rsid w:val="00997838"/>
    <w:rsid w:val="009A1215"/>
    <w:rsid w:val="009A20E4"/>
    <w:rsid w:val="009A2448"/>
    <w:rsid w:val="009A488C"/>
    <w:rsid w:val="009A5727"/>
    <w:rsid w:val="009A6007"/>
    <w:rsid w:val="009A6F9E"/>
    <w:rsid w:val="009B0602"/>
    <w:rsid w:val="009B0987"/>
    <w:rsid w:val="009B140F"/>
    <w:rsid w:val="009B360B"/>
    <w:rsid w:val="009B38BC"/>
    <w:rsid w:val="009B4C4F"/>
    <w:rsid w:val="009B4EC5"/>
    <w:rsid w:val="009B50CC"/>
    <w:rsid w:val="009B67B3"/>
    <w:rsid w:val="009B739B"/>
    <w:rsid w:val="009C205F"/>
    <w:rsid w:val="009C2D99"/>
    <w:rsid w:val="009C3B2A"/>
    <w:rsid w:val="009C5124"/>
    <w:rsid w:val="009C5F2B"/>
    <w:rsid w:val="009C6454"/>
    <w:rsid w:val="009D1B33"/>
    <w:rsid w:val="009D2A49"/>
    <w:rsid w:val="009D2BFA"/>
    <w:rsid w:val="009D2D62"/>
    <w:rsid w:val="009D31CD"/>
    <w:rsid w:val="009D5DD2"/>
    <w:rsid w:val="009D7121"/>
    <w:rsid w:val="009E051F"/>
    <w:rsid w:val="009E3117"/>
    <w:rsid w:val="009E333D"/>
    <w:rsid w:val="009E52A8"/>
    <w:rsid w:val="009F0D41"/>
    <w:rsid w:val="009F161C"/>
    <w:rsid w:val="009F2F18"/>
    <w:rsid w:val="009F4EF8"/>
    <w:rsid w:val="009F4F1B"/>
    <w:rsid w:val="009F5872"/>
    <w:rsid w:val="00A00F88"/>
    <w:rsid w:val="00A01AAA"/>
    <w:rsid w:val="00A041C7"/>
    <w:rsid w:val="00A06B3C"/>
    <w:rsid w:val="00A104A0"/>
    <w:rsid w:val="00A11C56"/>
    <w:rsid w:val="00A12CC9"/>
    <w:rsid w:val="00A2060D"/>
    <w:rsid w:val="00A20EE9"/>
    <w:rsid w:val="00A216B7"/>
    <w:rsid w:val="00A24265"/>
    <w:rsid w:val="00A242EA"/>
    <w:rsid w:val="00A2504D"/>
    <w:rsid w:val="00A3383E"/>
    <w:rsid w:val="00A35E13"/>
    <w:rsid w:val="00A36C6C"/>
    <w:rsid w:val="00A37E1D"/>
    <w:rsid w:val="00A41B5E"/>
    <w:rsid w:val="00A42042"/>
    <w:rsid w:val="00A4281A"/>
    <w:rsid w:val="00A442A1"/>
    <w:rsid w:val="00A44802"/>
    <w:rsid w:val="00A466AC"/>
    <w:rsid w:val="00A50604"/>
    <w:rsid w:val="00A50E26"/>
    <w:rsid w:val="00A54818"/>
    <w:rsid w:val="00A60CA4"/>
    <w:rsid w:val="00A6164E"/>
    <w:rsid w:val="00A62285"/>
    <w:rsid w:val="00A632BC"/>
    <w:rsid w:val="00A63459"/>
    <w:rsid w:val="00A63E1C"/>
    <w:rsid w:val="00A70197"/>
    <w:rsid w:val="00A705DC"/>
    <w:rsid w:val="00A70AC5"/>
    <w:rsid w:val="00A721AA"/>
    <w:rsid w:val="00A73387"/>
    <w:rsid w:val="00A77E5F"/>
    <w:rsid w:val="00A801B6"/>
    <w:rsid w:val="00A8029C"/>
    <w:rsid w:val="00A80304"/>
    <w:rsid w:val="00A8033D"/>
    <w:rsid w:val="00A83260"/>
    <w:rsid w:val="00A8395A"/>
    <w:rsid w:val="00A83C7E"/>
    <w:rsid w:val="00A8418C"/>
    <w:rsid w:val="00A84DA1"/>
    <w:rsid w:val="00A86286"/>
    <w:rsid w:val="00A879BC"/>
    <w:rsid w:val="00A90CC7"/>
    <w:rsid w:val="00A9444F"/>
    <w:rsid w:val="00A95C4C"/>
    <w:rsid w:val="00A95CA8"/>
    <w:rsid w:val="00A960E9"/>
    <w:rsid w:val="00A9663A"/>
    <w:rsid w:val="00A97F93"/>
    <w:rsid w:val="00AA0E4D"/>
    <w:rsid w:val="00AA1E09"/>
    <w:rsid w:val="00AA2D6A"/>
    <w:rsid w:val="00AA3100"/>
    <w:rsid w:val="00AA68BF"/>
    <w:rsid w:val="00AB05C9"/>
    <w:rsid w:val="00AB16C9"/>
    <w:rsid w:val="00AB2A71"/>
    <w:rsid w:val="00AB2AAE"/>
    <w:rsid w:val="00AB2C0F"/>
    <w:rsid w:val="00AC0631"/>
    <w:rsid w:val="00AC16D4"/>
    <w:rsid w:val="00AC21C6"/>
    <w:rsid w:val="00AC3779"/>
    <w:rsid w:val="00AC4061"/>
    <w:rsid w:val="00AC6616"/>
    <w:rsid w:val="00AD0097"/>
    <w:rsid w:val="00AD020B"/>
    <w:rsid w:val="00AD0609"/>
    <w:rsid w:val="00AD52A6"/>
    <w:rsid w:val="00AD5B1D"/>
    <w:rsid w:val="00AD6AD0"/>
    <w:rsid w:val="00AE334A"/>
    <w:rsid w:val="00AE42F5"/>
    <w:rsid w:val="00AE4721"/>
    <w:rsid w:val="00AE4930"/>
    <w:rsid w:val="00AE6EB9"/>
    <w:rsid w:val="00AE747B"/>
    <w:rsid w:val="00AF1653"/>
    <w:rsid w:val="00AF654B"/>
    <w:rsid w:val="00B01CBE"/>
    <w:rsid w:val="00B02DE3"/>
    <w:rsid w:val="00B037AA"/>
    <w:rsid w:val="00B13787"/>
    <w:rsid w:val="00B1445B"/>
    <w:rsid w:val="00B145B3"/>
    <w:rsid w:val="00B15291"/>
    <w:rsid w:val="00B1644E"/>
    <w:rsid w:val="00B205BF"/>
    <w:rsid w:val="00B245B8"/>
    <w:rsid w:val="00B24ABA"/>
    <w:rsid w:val="00B25FB2"/>
    <w:rsid w:val="00B26753"/>
    <w:rsid w:val="00B30861"/>
    <w:rsid w:val="00B33FC9"/>
    <w:rsid w:val="00B34D2B"/>
    <w:rsid w:val="00B34E1F"/>
    <w:rsid w:val="00B35194"/>
    <w:rsid w:val="00B36686"/>
    <w:rsid w:val="00B36C97"/>
    <w:rsid w:val="00B37AAA"/>
    <w:rsid w:val="00B37C41"/>
    <w:rsid w:val="00B4078C"/>
    <w:rsid w:val="00B4191E"/>
    <w:rsid w:val="00B42393"/>
    <w:rsid w:val="00B42B27"/>
    <w:rsid w:val="00B42C6D"/>
    <w:rsid w:val="00B432E7"/>
    <w:rsid w:val="00B438C7"/>
    <w:rsid w:val="00B4516E"/>
    <w:rsid w:val="00B45B27"/>
    <w:rsid w:val="00B4724B"/>
    <w:rsid w:val="00B5139A"/>
    <w:rsid w:val="00B56011"/>
    <w:rsid w:val="00B56936"/>
    <w:rsid w:val="00B60699"/>
    <w:rsid w:val="00B6581A"/>
    <w:rsid w:val="00B66164"/>
    <w:rsid w:val="00B6639E"/>
    <w:rsid w:val="00B70890"/>
    <w:rsid w:val="00B74DA0"/>
    <w:rsid w:val="00B7733B"/>
    <w:rsid w:val="00B80F85"/>
    <w:rsid w:val="00B81FD8"/>
    <w:rsid w:val="00B83EBF"/>
    <w:rsid w:val="00B84F90"/>
    <w:rsid w:val="00B86E92"/>
    <w:rsid w:val="00B903B1"/>
    <w:rsid w:val="00B90F3B"/>
    <w:rsid w:val="00B9309E"/>
    <w:rsid w:val="00B93C6C"/>
    <w:rsid w:val="00B9752D"/>
    <w:rsid w:val="00BA01C1"/>
    <w:rsid w:val="00BA06FA"/>
    <w:rsid w:val="00BA0A23"/>
    <w:rsid w:val="00BA3460"/>
    <w:rsid w:val="00BA5E6C"/>
    <w:rsid w:val="00BA5F1E"/>
    <w:rsid w:val="00BA6DF2"/>
    <w:rsid w:val="00BA7782"/>
    <w:rsid w:val="00BB134D"/>
    <w:rsid w:val="00BB177D"/>
    <w:rsid w:val="00BC02D7"/>
    <w:rsid w:val="00BC0A42"/>
    <w:rsid w:val="00BC0C42"/>
    <w:rsid w:val="00BC19AA"/>
    <w:rsid w:val="00BC44FE"/>
    <w:rsid w:val="00BC45E1"/>
    <w:rsid w:val="00BC471A"/>
    <w:rsid w:val="00BC52D2"/>
    <w:rsid w:val="00BC6F58"/>
    <w:rsid w:val="00BC7BBF"/>
    <w:rsid w:val="00BC7DEF"/>
    <w:rsid w:val="00BD07C7"/>
    <w:rsid w:val="00BD14CE"/>
    <w:rsid w:val="00BD4652"/>
    <w:rsid w:val="00BD62A2"/>
    <w:rsid w:val="00BE037A"/>
    <w:rsid w:val="00BE048A"/>
    <w:rsid w:val="00BE0C9F"/>
    <w:rsid w:val="00BE17E6"/>
    <w:rsid w:val="00BE2D31"/>
    <w:rsid w:val="00BE50C2"/>
    <w:rsid w:val="00BE5134"/>
    <w:rsid w:val="00BE540B"/>
    <w:rsid w:val="00BE6576"/>
    <w:rsid w:val="00BF048F"/>
    <w:rsid w:val="00BF1FCA"/>
    <w:rsid w:val="00BF67CE"/>
    <w:rsid w:val="00C00650"/>
    <w:rsid w:val="00C021BB"/>
    <w:rsid w:val="00C03932"/>
    <w:rsid w:val="00C22E65"/>
    <w:rsid w:val="00C22EB5"/>
    <w:rsid w:val="00C23824"/>
    <w:rsid w:val="00C239B6"/>
    <w:rsid w:val="00C24FF6"/>
    <w:rsid w:val="00C264D9"/>
    <w:rsid w:val="00C26F6A"/>
    <w:rsid w:val="00C273F1"/>
    <w:rsid w:val="00C31354"/>
    <w:rsid w:val="00C319FB"/>
    <w:rsid w:val="00C31C5A"/>
    <w:rsid w:val="00C3269C"/>
    <w:rsid w:val="00C32BE0"/>
    <w:rsid w:val="00C342CA"/>
    <w:rsid w:val="00C34515"/>
    <w:rsid w:val="00C34D9A"/>
    <w:rsid w:val="00C36221"/>
    <w:rsid w:val="00C36C08"/>
    <w:rsid w:val="00C36FF2"/>
    <w:rsid w:val="00C412AD"/>
    <w:rsid w:val="00C419F7"/>
    <w:rsid w:val="00C4559D"/>
    <w:rsid w:val="00C45F01"/>
    <w:rsid w:val="00C4698C"/>
    <w:rsid w:val="00C46F75"/>
    <w:rsid w:val="00C474F5"/>
    <w:rsid w:val="00C5207F"/>
    <w:rsid w:val="00C52A9E"/>
    <w:rsid w:val="00C52D21"/>
    <w:rsid w:val="00C52D74"/>
    <w:rsid w:val="00C55ECF"/>
    <w:rsid w:val="00C56FD2"/>
    <w:rsid w:val="00C570F6"/>
    <w:rsid w:val="00C573B1"/>
    <w:rsid w:val="00C60E45"/>
    <w:rsid w:val="00C62C5C"/>
    <w:rsid w:val="00C64192"/>
    <w:rsid w:val="00C6485D"/>
    <w:rsid w:val="00C67747"/>
    <w:rsid w:val="00C7351D"/>
    <w:rsid w:val="00C752EB"/>
    <w:rsid w:val="00C75863"/>
    <w:rsid w:val="00C75878"/>
    <w:rsid w:val="00C76BBB"/>
    <w:rsid w:val="00C779D4"/>
    <w:rsid w:val="00C77C0E"/>
    <w:rsid w:val="00C82451"/>
    <w:rsid w:val="00C827D0"/>
    <w:rsid w:val="00C874C9"/>
    <w:rsid w:val="00C87B09"/>
    <w:rsid w:val="00C905F3"/>
    <w:rsid w:val="00C90E28"/>
    <w:rsid w:val="00C935F6"/>
    <w:rsid w:val="00C945F2"/>
    <w:rsid w:val="00C9788C"/>
    <w:rsid w:val="00C978B9"/>
    <w:rsid w:val="00C97C59"/>
    <w:rsid w:val="00CA0632"/>
    <w:rsid w:val="00CB1766"/>
    <w:rsid w:val="00CB1E90"/>
    <w:rsid w:val="00CB1F32"/>
    <w:rsid w:val="00CB233B"/>
    <w:rsid w:val="00CB3B10"/>
    <w:rsid w:val="00CB4831"/>
    <w:rsid w:val="00CB5DBA"/>
    <w:rsid w:val="00CB5FBD"/>
    <w:rsid w:val="00CB7F2D"/>
    <w:rsid w:val="00CC15E5"/>
    <w:rsid w:val="00CC27F8"/>
    <w:rsid w:val="00CC759C"/>
    <w:rsid w:val="00CD0363"/>
    <w:rsid w:val="00CD171A"/>
    <w:rsid w:val="00CD2265"/>
    <w:rsid w:val="00CD33A6"/>
    <w:rsid w:val="00CD4F9A"/>
    <w:rsid w:val="00CD76C6"/>
    <w:rsid w:val="00CE113C"/>
    <w:rsid w:val="00CE1D44"/>
    <w:rsid w:val="00CE6C1C"/>
    <w:rsid w:val="00CE7AB4"/>
    <w:rsid w:val="00CE7B3F"/>
    <w:rsid w:val="00CF0DE8"/>
    <w:rsid w:val="00CF0EF2"/>
    <w:rsid w:val="00CF732A"/>
    <w:rsid w:val="00D00533"/>
    <w:rsid w:val="00D00F03"/>
    <w:rsid w:val="00D01671"/>
    <w:rsid w:val="00D0250E"/>
    <w:rsid w:val="00D04F41"/>
    <w:rsid w:val="00D07526"/>
    <w:rsid w:val="00D1308F"/>
    <w:rsid w:val="00D2012A"/>
    <w:rsid w:val="00D207B2"/>
    <w:rsid w:val="00D240C0"/>
    <w:rsid w:val="00D24A6C"/>
    <w:rsid w:val="00D24CF6"/>
    <w:rsid w:val="00D25A76"/>
    <w:rsid w:val="00D26729"/>
    <w:rsid w:val="00D27075"/>
    <w:rsid w:val="00D308D8"/>
    <w:rsid w:val="00D32ACC"/>
    <w:rsid w:val="00D32CC0"/>
    <w:rsid w:val="00D3344A"/>
    <w:rsid w:val="00D34B11"/>
    <w:rsid w:val="00D363D8"/>
    <w:rsid w:val="00D36BE9"/>
    <w:rsid w:val="00D3722A"/>
    <w:rsid w:val="00D43F58"/>
    <w:rsid w:val="00D460AB"/>
    <w:rsid w:val="00D47829"/>
    <w:rsid w:val="00D53A7A"/>
    <w:rsid w:val="00D542A9"/>
    <w:rsid w:val="00D5501F"/>
    <w:rsid w:val="00D55807"/>
    <w:rsid w:val="00D56479"/>
    <w:rsid w:val="00D645E0"/>
    <w:rsid w:val="00D64AF5"/>
    <w:rsid w:val="00D64E5A"/>
    <w:rsid w:val="00D6599A"/>
    <w:rsid w:val="00D669A4"/>
    <w:rsid w:val="00D679CC"/>
    <w:rsid w:val="00D7143F"/>
    <w:rsid w:val="00D71856"/>
    <w:rsid w:val="00D7507B"/>
    <w:rsid w:val="00D752C1"/>
    <w:rsid w:val="00D7557F"/>
    <w:rsid w:val="00D758C9"/>
    <w:rsid w:val="00D75BC9"/>
    <w:rsid w:val="00D80AED"/>
    <w:rsid w:val="00D81AC4"/>
    <w:rsid w:val="00D81BB1"/>
    <w:rsid w:val="00D83C55"/>
    <w:rsid w:val="00D84F6A"/>
    <w:rsid w:val="00D86D3C"/>
    <w:rsid w:val="00D86E14"/>
    <w:rsid w:val="00D87443"/>
    <w:rsid w:val="00D90F27"/>
    <w:rsid w:val="00D90F8B"/>
    <w:rsid w:val="00D94393"/>
    <w:rsid w:val="00D95288"/>
    <w:rsid w:val="00D95F43"/>
    <w:rsid w:val="00D96AB8"/>
    <w:rsid w:val="00DA0FDC"/>
    <w:rsid w:val="00DA17B0"/>
    <w:rsid w:val="00DA2507"/>
    <w:rsid w:val="00DA2C00"/>
    <w:rsid w:val="00DA3325"/>
    <w:rsid w:val="00DA3C29"/>
    <w:rsid w:val="00DA50AD"/>
    <w:rsid w:val="00DA55C8"/>
    <w:rsid w:val="00DA5E1F"/>
    <w:rsid w:val="00DA6D82"/>
    <w:rsid w:val="00DB169C"/>
    <w:rsid w:val="00DB17EF"/>
    <w:rsid w:val="00DB180E"/>
    <w:rsid w:val="00DB27AF"/>
    <w:rsid w:val="00DB292F"/>
    <w:rsid w:val="00DB3966"/>
    <w:rsid w:val="00DB3F0F"/>
    <w:rsid w:val="00DB5A3F"/>
    <w:rsid w:val="00DC2AD7"/>
    <w:rsid w:val="00DC4A13"/>
    <w:rsid w:val="00DC64B4"/>
    <w:rsid w:val="00DD4632"/>
    <w:rsid w:val="00DD620A"/>
    <w:rsid w:val="00DD7F61"/>
    <w:rsid w:val="00DE11D6"/>
    <w:rsid w:val="00DF2C09"/>
    <w:rsid w:val="00DF3CA1"/>
    <w:rsid w:val="00DF5D71"/>
    <w:rsid w:val="00DF631D"/>
    <w:rsid w:val="00DF6C2D"/>
    <w:rsid w:val="00E010DC"/>
    <w:rsid w:val="00E02941"/>
    <w:rsid w:val="00E03081"/>
    <w:rsid w:val="00E039E2"/>
    <w:rsid w:val="00E059AD"/>
    <w:rsid w:val="00E05B90"/>
    <w:rsid w:val="00E06224"/>
    <w:rsid w:val="00E114D9"/>
    <w:rsid w:val="00E12244"/>
    <w:rsid w:val="00E134A9"/>
    <w:rsid w:val="00E150E0"/>
    <w:rsid w:val="00E2108D"/>
    <w:rsid w:val="00E21F9F"/>
    <w:rsid w:val="00E220EA"/>
    <w:rsid w:val="00E224EC"/>
    <w:rsid w:val="00E2288D"/>
    <w:rsid w:val="00E23054"/>
    <w:rsid w:val="00E237A8"/>
    <w:rsid w:val="00E25852"/>
    <w:rsid w:val="00E31BA9"/>
    <w:rsid w:val="00E337E8"/>
    <w:rsid w:val="00E34AA2"/>
    <w:rsid w:val="00E37FAF"/>
    <w:rsid w:val="00E40674"/>
    <w:rsid w:val="00E41878"/>
    <w:rsid w:val="00E41DB6"/>
    <w:rsid w:val="00E42B30"/>
    <w:rsid w:val="00E42DA2"/>
    <w:rsid w:val="00E45E6B"/>
    <w:rsid w:val="00E46932"/>
    <w:rsid w:val="00E47F5A"/>
    <w:rsid w:val="00E5097C"/>
    <w:rsid w:val="00E5361B"/>
    <w:rsid w:val="00E54925"/>
    <w:rsid w:val="00E57045"/>
    <w:rsid w:val="00E61C4E"/>
    <w:rsid w:val="00E64912"/>
    <w:rsid w:val="00E65318"/>
    <w:rsid w:val="00E65A41"/>
    <w:rsid w:val="00E710C9"/>
    <w:rsid w:val="00E724E4"/>
    <w:rsid w:val="00E73312"/>
    <w:rsid w:val="00E735D4"/>
    <w:rsid w:val="00E73900"/>
    <w:rsid w:val="00E73F4C"/>
    <w:rsid w:val="00E74D67"/>
    <w:rsid w:val="00E76051"/>
    <w:rsid w:val="00E76439"/>
    <w:rsid w:val="00E80317"/>
    <w:rsid w:val="00E858D9"/>
    <w:rsid w:val="00E862F4"/>
    <w:rsid w:val="00E87279"/>
    <w:rsid w:val="00E9032B"/>
    <w:rsid w:val="00E92DE1"/>
    <w:rsid w:val="00E97330"/>
    <w:rsid w:val="00EA132D"/>
    <w:rsid w:val="00EA5939"/>
    <w:rsid w:val="00EC0E72"/>
    <w:rsid w:val="00EC2028"/>
    <w:rsid w:val="00EC2317"/>
    <w:rsid w:val="00EC2990"/>
    <w:rsid w:val="00EC2A4D"/>
    <w:rsid w:val="00EC4FBB"/>
    <w:rsid w:val="00ED171C"/>
    <w:rsid w:val="00ED200B"/>
    <w:rsid w:val="00ED2353"/>
    <w:rsid w:val="00ED24DA"/>
    <w:rsid w:val="00ED2E12"/>
    <w:rsid w:val="00ED41A6"/>
    <w:rsid w:val="00ED4F03"/>
    <w:rsid w:val="00EE0B61"/>
    <w:rsid w:val="00EE173D"/>
    <w:rsid w:val="00EE24D6"/>
    <w:rsid w:val="00EE4187"/>
    <w:rsid w:val="00EE4497"/>
    <w:rsid w:val="00EE59C6"/>
    <w:rsid w:val="00EE76FA"/>
    <w:rsid w:val="00EF1864"/>
    <w:rsid w:val="00EF26B4"/>
    <w:rsid w:val="00EF30D9"/>
    <w:rsid w:val="00F02E36"/>
    <w:rsid w:val="00F04707"/>
    <w:rsid w:val="00F04ACD"/>
    <w:rsid w:val="00F06014"/>
    <w:rsid w:val="00F0603A"/>
    <w:rsid w:val="00F10869"/>
    <w:rsid w:val="00F110F6"/>
    <w:rsid w:val="00F11398"/>
    <w:rsid w:val="00F1160C"/>
    <w:rsid w:val="00F122E7"/>
    <w:rsid w:val="00F152B2"/>
    <w:rsid w:val="00F22AFE"/>
    <w:rsid w:val="00F265F6"/>
    <w:rsid w:val="00F2691B"/>
    <w:rsid w:val="00F27291"/>
    <w:rsid w:val="00F32569"/>
    <w:rsid w:val="00F33889"/>
    <w:rsid w:val="00F349BA"/>
    <w:rsid w:val="00F35C22"/>
    <w:rsid w:val="00F3701C"/>
    <w:rsid w:val="00F404D5"/>
    <w:rsid w:val="00F41337"/>
    <w:rsid w:val="00F4193B"/>
    <w:rsid w:val="00F41940"/>
    <w:rsid w:val="00F43C8D"/>
    <w:rsid w:val="00F44405"/>
    <w:rsid w:val="00F46255"/>
    <w:rsid w:val="00F476CF"/>
    <w:rsid w:val="00F5608F"/>
    <w:rsid w:val="00F60DAD"/>
    <w:rsid w:val="00F61E10"/>
    <w:rsid w:val="00F61F8E"/>
    <w:rsid w:val="00F63405"/>
    <w:rsid w:val="00F63943"/>
    <w:rsid w:val="00F64156"/>
    <w:rsid w:val="00F6581C"/>
    <w:rsid w:val="00F7226D"/>
    <w:rsid w:val="00F72880"/>
    <w:rsid w:val="00F74F81"/>
    <w:rsid w:val="00F76A83"/>
    <w:rsid w:val="00F76A93"/>
    <w:rsid w:val="00F8064E"/>
    <w:rsid w:val="00F83ED3"/>
    <w:rsid w:val="00F857B4"/>
    <w:rsid w:val="00F86C88"/>
    <w:rsid w:val="00F87535"/>
    <w:rsid w:val="00F9031B"/>
    <w:rsid w:val="00F962B4"/>
    <w:rsid w:val="00F96B69"/>
    <w:rsid w:val="00FA0210"/>
    <w:rsid w:val="00FA0464"/>
    <w:rsid w:val="00FA04D9"/>
    <w:rsid w:val="00FA1A10"/>
    <w:rsid w:val="00FA2115"/>
    <w:rsid w:val="00FA3AA3"/>
    <w:rsid w:val="00FA4D85"/>
    <w:rsid w:val="00FA5D62"/>
    <w:rsid w:val="00FA5F70"/>
    <w:rsid w:val="00FB08CC"/>
    <w:rsid w:val="00FB3686"/>
    <w:rsid w:val="00FB4545"/>
    <w:rsid w:val="00FB578C"/>
    <w:rsid w:val="00FB597D"/>
    <w:rsid w:val="00FC1A5C"/>
    <w:rsid w:val="00FC35F2"/>
    <w:rsid w:val="00FC39EA"/>
    <w:rsid w:val="00FC3A9F"/>
    <w:rsid w:val="00FD0CB3"/>
    <w:rsid w:val="00FD15AF"/>
    <w:rsid w:val="00FD2BEA"/>
    <w:rsid w:val="00FD2F1A"/>
    <w:rsid w:val="00FD5066"/>
    <w:rsid w:val="00FD7F01"/>
    <w:rsid w:val="00FE2775"/>
    <w:rsid w:val="00FE29DC"/>
    <w:rsid w:val="00FE44CF"/>
    <w:rsid w:val="00FE4721"/>
    <w:rsid w:val="00FE4D2A"/>
    <w:rsid w:val="00FE4FD0"/>
    <w:rsid w:val="00FE7FBE"/>
    <w:rsid w:val="00FF200A"/>
    <w:rsid w:val="00FF308B"/>
    <w:rsid w:val="00FF33D5"/>
    <w:rsid w:val="00FF3E7F"/>
    <w:rsid w:val="00FF3FF2"/>
    <w:rsid w:val="00FF61F0"/>
    <w:rsid w:val="00FF6251"/>
    <w:rsid w:val="00FF7EF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link w:val="SCCLsocParty"/>
    <w:rsid w:val="0002267C"/>
    <w:rPr>
      <w:rFonts w:ascii="Times New Roman" w:hAnsi="Times New Roman"/>
      <w:sz w:val="24"/>
      <w:szCs w:val="22"/>
      <w:lang w:val="fr-CA"/>
    </w:rPr>
  </w:style>
  <w:style w:type="character" w:styleId="FollowedHyperlink">
    <w:name w:val="FollowedHyperlink"/>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rsid w:val="00A2504D"/>
    <w:pPr>
      <w:jc w:val="both"/>
    </w:pPr>
    <w:rPr>
      <w:rFonts w:eastAsia="Calibri"/>
      <w:b/>
      <w:szCs w:val="22"/>
      <w:lang w:val="en-CA"/>
    </w:rPr>
  </w:style>
  <w:style w:type="character" w:customStyle="1" w:styleId="SCCFileNumberChar">
    <w:name w:val="SCC.FileNumber Char"/>
    <w:link w:val="SCCFileNumber"/>
    <w:rsid w:val="00A2504D"/>
    <w:rPr>
      <w:rFonts w:ascii="Times New Roman" w:hAnsi="Times New Roman"/>
      <w:b/>
      <w:sz w:val="24"/>
      <w:szCs w:val="22"/>
      <w:lang w:val="en-CA"/>
    </w:rPr>
  </w:style>
  <w:style w:type="paragraph" w:customStyle="1" w:styleId="SCCBanSummary">
    <w:name w:val="SCC.BanSummary"/>
    <w:basedOn w:val="Normal"/>
    <w:next w:val="Normal"/>
    <w:link w:val="SCCBanSummaryChar"/>
    <w:rsid w:val="00A2504D"/>
    <w:pPr>
      <w:jc w:val="both"/>
    </w:pPr>
    <w:rPr>
      <w:rFonts w:eastAsia="Calibri"/>
      <w:smallCaps/>
      <w:szCs w:val="22"/>
      <w:lang w:val="en-CA"/>
    </w:rPr>
  </w:style>
  <w:style w:type="character" w:customStyle="1" w:styleId="SCCBanSummaryChar">
    <w:name w:val="SCC.BanSummary Char"/>
    <w:link w:val="SCCBanSummary"/>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val="en-US"/>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eastAsia="en-US"/>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link w:val="PlainText"/>
    <w:uiPriority w:val="99"/>
    <w:semiHidden/>
    <w:rsid w:val="000627A2"/>
    <w:rPr>
      <w:rFonts w:ascii="Consolas" w:eastAsia="Times New Roman" w:hAnsi="Consolas"/>
      <w:sz w:val="21"/>
      <w:szCs w:val="21"/>
    </w:rPr>
  </w:style>
  <w:style w:type="paragraph" w:customStyle="1" w:styleId="SCCSsoc">
    <w:name w:val="SCC.Ssoc"/>
    <w:basedOn w:val="Normal"/>
    <w:next w:val="Normal"/>
    <w:link w:val="SCCSsocChar"/>
    <w:rsid w:val="000E1CD6"/>
    <w:rPr>
      <w:rFonts w:eastAsia="Calibri"/>
      <w:i/>
      <w:sz w:val="20"/>
      <w:lang w:val="en-CA"/>
    </w:rPr>
  </w:style>
  <w:style w:type="character" w:customStyle="1" w:styleId="SCCSsocChar">
    <w:name w:val="SCC.Ssoc Char"/>
    <w:link w:val="SCCSsoc"/>
    <w:rsid w:val="000E1CD6"/>
    <w:rPr>
      <w:rFonts w:ascii="Times New Roman" w:eastAsia="Calibri" w:hAnsi="Times New Roman" w:cs="Times New Roman"/>
      <w:i/>
      <w:lang w:val="en-CA"/>
    </w:rPr>
  </w:style>
  <w:style w:type="table" w:styleId="TableGrid">
    <w:name w:val="Table Grid"/>
    <w:basedOn w:val="TableNormal"/>
    <w:uiPriority w:val="59"/>
    <w:rsid w:val="00AC0631"/>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0775A9"/>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DD7F61"/>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TableNormal"/>
    <w:next w:val="TableGrid"/>
    <w:uiPriority w:val="59"/>
    <w:rsid w:val="00335252"/>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264572"/>
    <w:rPr>
      <w:rFonts w:ascii="Times New Roman" w:hAnsi="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30982"/>
    <w:rPr>
      <w:sz w:val="16"/>
      <w:szCs w:val="16"/>
    </w:rPr>
  </w:style>
  <w:style w:type="paragraph" w:styleId="CommentText">
    <w:name w:val="annotation text"/>
    <w:basedOn w:val="Normal"/>
    <w:link w:val="CommentTextChar"/>
    <w:uiPriority w:val="99"/>
    <w:semiHidden/>
    <w:unhideWhenUsed/>
    <w:rsid w:val="00930982"/>
    <w:rPr>
      <w:sz w:val="20"/>
    </w:rPr>
  </w:style>
  <w:style w:type="character" w:customStyle="1" w:styleId="CommentTextChar">
    <w:name w:val="Comment Text Char"/>
    <w:basedOn w:val="DefaultParagraphFont"/>
    <w:link w:val="CommentText"/>
    <w:uiPriority w:val="99"/>
    <w:semiHidden/>
    <w:rsid w:val="00930982"/>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930982"/>
    <w:rPr>
      <w:b/>
      <w:bCs/>
    </w:rPr>
  </w:style>
  <w:style w:type="character" w:customStyle="1" w:styleId="CommentSubjectChar">
    <w:name w:val="Comment Subject Char"/>
    <w:basedOn w:val="CommentTextChar"/>
    <w:link w:val="CommentSubject"/>
    <w:uiPriority w:val="99"/>
    <w:semiHidden/>
    <w:rsid w:val="00930982"/>
    <w:rPr>
      <w:rFonts w:ascii="Times New Roman" w:eastAsia="Times New Roman" w:hAnsi="Times New Roman"/>
      <w:b/>
      <w:bCs/>
      <w:lang w:val="en-US" w:eastAsia="en-US"/>
    </w:rPr>
  </w:style>
  <w:style w:type="table" w:customStyle="1" w:styleId="TableGrid4">
    <w:name w:val="Table Grid4"/>
    <w:basedOn w:val="TableNormal"/>
    <w:next w:val="TableGrid"/>
    <w:uiPriority w:val="59"/>
    <w:rsid w:val="00340E08"/>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ED2353"/>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next w:val="TableGrid"/>
    <w:uiPriority w:val="59"/>
    <w:rsid w:val="00F7226D"/>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B432E7"/>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59"/>
    <w:rsid w:val="00866D43"/>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9">
    <w:name w:val="Table Grid9"/>
    <w:basedOn w:val="TableNormal"/>
    <w:next w:val="TableGrid"/>
    <w:uiPriority w:val="59"/>
    <w:rsid w:val="006C319F"/>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0">
    <w:name w:val="Table Grid10"/>
    <w:basedOn w:val="TableNormal"/>
    <w:next w:val="TableGrid"/>
    <w:uiPriority w:val="59"/>
    <w:rsid w:val="00BE2D31"/>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2F0B78"/>
    <w:rPr>
      <w:rFonts w:ascii="Times New Roman" w:hAnsi="Times New Roman"/>
      <w:sz w:val="24"/>
      <w:szCs w:val="24"/>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sparanotopmargin2">
    <w:name w:val="ss_paranotopmargin2"/>
    <w:basedOn w:val="Normal"/>
    <w:rsid w:val="007E0325"/>
    <w:pPr>
      <w:spacing w:after="100" w:afterAutospacing="1"/>
    </w:pPr>
    <w:rPr>
      <w:szCs w:val="24"/>
    </w:rPr>
  </w:style>
  <w:style w:type="paragraph" w:customStyle="1" w:styleId="SCCLsocSubfileSeparator">
    <w:name w:val="SCC.Lsoc.SubfileSeparator"/>
    <w:basedOn w:val="Normal"/>
    <w:next w:val="Normal"/>
    <w:link w:val="SCCLsocSubfileSeparatorChar"/>
    <w:rsid w:val="007E0325"/>
    <w:pPr>
      <w:jc w:val="both"/>
    </w:pPr>
    <w:rPr>
      <w:rFonts w:eastAsiaTheme="minorHAnsi"/>
      <w:b/>
      <w:szCs w:val="24"/>
      <w:lang w:val="en-CA"/>
    </w:rPr>
  </w:style>
  <w:style w:type="character" w:customStyle="1" w:styleId="SCCLsocSubfileSeparatorChar">
    <w:name w:val="SCC.Lsoc.SubfileSeparator Char"/>
    <w:basedOn w:val="DefaultParagraphFont"/>
    <w:link w:val="SCCLsocSubfileSeparator"/>
    <w:rsid w:val="007E0325"/>
    <w:rPr>
      <w:rFonts w:ascii="Times New Roman" w:eastAsiaTheme="minorHAnsi" w:hAnsi="Times New Roman"/>
      <w:b/>
      <w:sz w:val="24"/>
      <w:szCs w:val="24"/>
      <w:lang w:eastAsia="en-US"/>
    </w:rPr>
  </w:style>
  <w:style w:type="paragraph" w:customStyle="1" w:styleId="SCCCaseDescriptor">
    <w:name w:val="SCC.CaseDescriptor"/>
    <w:basedOn w:val="Normal"/>
    <w:link w:val="SCCCaseDescriptorChar"/>
    <w:qFormat/>
    <w:rsid w:val="00A9444F"/>
    <w:rPr>
      <w:b/>
      <w:lang w:val="en-CA" w:eastAsia="en-CA"/>
    </w:rPr>
  </w:style>
  <w:style w:type="character" w:customStyle="1" w:styleId="SCCCaseDescriptorChar">
    <w:name w:val="SCC.CaseDescriptor Char"/>
    <w:basedOn w:val="DefaultParagraphFont"/>
    <w:link w:val="SCCCaseDescriptor"/>
    <w:rsid w:val="00A9444F"/>
    <w:rPr>
      <w:rFonts w:ascii="Times New Roman" w:eastAsia="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467363780">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c-csc.ca/case-dossier/info/sum-som-eng.aspx?cas=3987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ments-commentaires@scc-csc.ca"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c-csc.ca/case-dossier/info/sum-som-eng.aspx?cas=3965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c-csc.ca/case-dossier/info/sum-som-eng.aspx?cas=3943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cc-csc.ca/case-dossier/info/sum-som-eng.aspx?cas=39874"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F1FF44-D810-4BB6-AA7B-F31F3778C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2247</Words>
  <Characters>12808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15025</CharactersWithSpaces>
  <SharedDoc>false</SharedDoc>
  <HLinks>
    <vt:vector size="48" baseType="variant">
      <vt:variant>
        <vt:i4>3080249</vt:i4>
      </vt:variant>
      <vt:variant>
        <vt:i4>21</vt:i4>
      </vt:variant>
      <vt:variant>
        <vt:i4>0</vt:i4>
      </vt:variant>
      <vt:variant>
        <vt:i4>5</vt:i4>
      </vt:variant>
      <vt:variant>
        <vt:lpwstr>http://www.scc-csc.ca/news-nouv/rel-com/subs-abon-fra.aspx</vt:lpwstr>
      </vt:variant>
      <vt:variant>
        <vt:lpwstr/>
      </vt:variant>
      <vt:variant>
        <vt:i4>3342396</vt:i4>
      </vt:variant>
      <vt:variant>
        <vt:i4>18</vt:i4>
      </vt:variant>
      <vt:variant>
        <vt:i4>0</vt:i4>
      </vt:variant>
      <vt:variant>
        <vt:i4>5</vt:i4>
      </vt:variant>
      <vt:variant>
        <vt:lpwstr>http://www.scc-csc.ca/news-nouv/rel-com/subs-abon-eng.aspx</vt:lpwstr>
      </vt:variant>
      <vt:variant>
        <vt:lpwstr/>
      </vt:variant>
      <vt:variant>
        <vt:i4>3080213</vt:i4>
      </vt:variant>
      <vt:variant>
        <vt:i4>15</vt:i4>
      </vt:variant>
      <vt:variant>
        <vt:i4>0</vt:i4>
      </vt:variant>
      <vt:variant>
        <vt:i4>5</vt:i4>
      </vt:variant>
      <vt:variant>
        <vt:lpwstr>mailto:comments-commentaires@scc-csc.ca</vt:lpwstr>
      </vt:variant>
      <vt:variant>
        <vt:lpwstr/>
      </vt:variant>
      <vt:variant>
        <vt:i4>2883644</vt:i4>
      </vt:variant>
      <vt:variant>
        <vt:i4>12</vt:i4>
      </vt:variant>
      <vt:variant>
        <vt:i4>0</vt:i4>
      </vt:variant>
      <vt:variant>
        <vt:i4>5</vt:i4>
      </vt:variant>
      <vt:variant>
        <vt:lpwstr>http://www.scc-csc.ca/case-dossier/info/sum-som-eng.aspx?cas=36524</vt:lpwstr>
      </vt:variant>
      <vt:variant>
        <vt:lpwstr/>
      </vt:variant>
      <vt:variant>
        <vt:i4>2883645</vt:i4>
      </vt:variant>
      <vt:variant>
        <vt:i4>9</vt:i4>
      </vt:variant>
      <vt:variant>
        <vt:i4>0</vt:i4>
      </vt:variant>
      <vt:variant>
        <vt:i4>5</vt:i4>
      </vt:variant>
      <vt:variant>
        <vt:lpwstr>http://www.scc-csc.ca/case-dossier/info/sum-som-eng.aspx?cas=36435</vt:lpwstr>
      </vt:variant>
      <vt:variant>
        <vt:lpwstr/>
      </vt:variant>
      <vt:variant>
        <vt:i4>3473459</vt:i4>
      </vt:variant>
      <vt:variant>
        <vt:i4>6</vt:i4>
      </vt:variant>
      <vt:variant>
        <vt:i4>0</vt:i4>
      </vt:variant>
      <vt:variant>
        <vt:i4>5</vt:i4>
      </vt:variant>
      <vt:variant>
        <vt:lpwstr>http://www.scc-csc.ca/case-dossier/info/sum-som-fra.aspx?cas=36581</vt:lpwstr>
      </vt:variant>
      <vt:variant>
        <vt:lpwstr/>
      </vt:variant>
      <vt:variant>
        <vt:i4>2293818</vt:i4>
      </vt:variant>
      <vt:variant>
        <vt:i4>3</vt:i4>
      </vt:variant>
      <vt:variant>
        <vt:i4>0</vt:i4>
      </vt:variant>
      <vt:variant>
        <vt:i4>5</vt:i4>
      </vt:variant>
      <vt:variant>
        <vt:lpwstr>http://scc-csc.lexum.com/scc-csc/news/fr/item/5158/index.do</vt:lpwstr>
      </vt:variant>
      <vt:variant>
        <vt:lpwstr/>
      </vt:variant>
      <vt:variant>
        <vt:i4>4128825</vt:i4>
      </vt:variant>
      <vt:variant>
        <vt:i4>0</vt:i4>
      </vt:variant>
      <vt:variant>
        <vt:i4>0</vt:i4>
      </vt:variant>
      <vt:variant>
        <vt:i4>5</vt:i4>
      </vt:variant>
      <vt:variant>
        <vt:lpwstr>http://scc-csc.lexum.com/scc-csc/news/en/item/5158/index.do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2021-11-16T13:13:00Z</dcterms:created>
  <dcterms:modified xsi:type="dcterms:W3CDTF">2022-03-29T13:37:00Z</dcterms:modified>
</cp:coreProperties>
</file>