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D4291" w:rsidRDefault="003F43E6" w:rsidP="003F43E6">
      <w:pPr>
        <w:pStyle w:val="Header"/>
        <w:jc w:val="center"/>
        <w:rPr>
          <w:b/>
          <w:sz w:val="32"/>
        </w:rPr>
      </w:pPr>
      <w:r w:rsidRPr="000D4291">
        <w:rPr>
          <w:b/>
          <w:sz w:val="32"/>
        </w:rPr>
        <w:t>Supreme Court of Canada / Cour suprême du Canada</w:t>
      </w:r>
    </w:p>
    <w:p w:rsidR="003F43E6" w:rsidRPr="000D4291" w:rsidRDefault="003F43E6" w:rsidP="006F2579">
      <w:pPr>
        <w:widowControl w:val="0"/>
        <w:rPr>
          <w:i/>
        </w:rPr>
      </w:pPr>
    </w:p>
    <w:p w:rsidR="003F43E6" w:rsidRPr="000D4291" w:rsidRDefault="003F43E6" w:rsidP="006F2579">
      <w:pPr>
        <w:widowControl w:val="0"/>
        <w:rPr>
          <w:i/>
        </w:rPr>
      </w:pPr>
    </w:p>
    <w:p w:rsidR="006F2579" w:rsidRPr="000D4291" w:rsidRDefault="006F2579" w:rsidP="006F2579">
      <w:pPr>
        <w:widowControl w:val="0"/>
        <w:rPr>
          <w:i/>
          <w:sz w:val="20"/>
          <w:lang w:val="fr-CA"/>
        </w:rPr>
      </w:pPr>
      <w:r w:rsidRPr="000D4291">
        <w:rPr>
          <w:i/>
          <w:sz w:val="20"/>
          <w:lang w:val="fr-CA"/>
        </w:rPr>
        <w:t>(</w:t>
      </w:r>
      <w:r w:rsidR="008F3C5D" w:rsidRPr="000D4291">
        <w:rPr>
          <w:i/>
          <w:sz w:val="20"/>
          <w:lang w:val="fr-CA"/>
        </w:rPr>
        <w:t>L</w:t>
      </w:r>
      <w:r w:rsidRPr="000D4291">
        <w:rPr>
          <w:i/>
          <w:sz w:val="20"/>
          <w:lang w:val="fr-CA"/>
        </w:rPr>
        <w:t>e français suit)</w:t>
      </w:r>
    </w:p>
    <w:p w:rsidR="006F2579" w:rsidRPr="000D4291" w:rsidRDefault="006F2579" w:rsidP="006F2579">
      <w:pPr>
        <w:widowControl w:val="0"/>
        <w:rPr>
          <w:lang w:val="fr-CA"/>
        </w:rPr>
      </w:pPr>
    </w:p>
    <w:p w:rsidR="006F2579" w:rsidRPr="000D4291" w:rsidRDefault="00C007C3" w:rsidP="006F2579">
      <w:pPr>
        <w:widowControl w:val="0"/>
        <w:jc w:val="center"/>
        <w:rPr>
          <w:b/>
          <w:lang w:val="fr-CA"/>
        </w:rPr>
      </w:pPr>
      <w:r w:rsidRPr="000D4291">
        <w:fldChar w:fldCharType="begin"/>
      </w:r>
      <w:r w:rsidR="006F2579" w:rsidRPr="000D4291">
        <w:rPr>
          <w:lang w:val="fr-CA"/>
        </w:rPr>
        <w:instrText xml:space="preserve"> SEQ CHAPTER \h \r 1</w:instrText>
      </w:r>
      <w:r w:rsidRPr="000D4291">
        <w:fldChar w:fldCharType="end"/>
      </w:r>
      <w:r w:rsidR="002767DF" w:rsidRPr="000D4291">
        <w:rPr>
          <w:b/>
          <w:lang w:val="fr-CA"/>
        </w:rPr>
        <w:t xml:space="preserve">JUDGMENTS </w:t>
      </w:r>
      <w:r w:rsidR="004C4C26" w:rsidRPr="000D4291">
        <w:rPr>
          <w:b/>
          <w:lang w:val="fr-CA"/>
        </w:rPr>
        <w:t>IN LEAVE APPLICATION</w:t>
      </w:r>
      <w:r w:rsidR="002375D8" w:rsidRPr="000D4291">
        <w:rPr>
          <w:b/>
          <w:lang w:val="fr-CA"/>
        </w:rPr>
        <w:t>S</w:t>
      </w:r>
    </w:p>
    <w:p w:rsidR="006F2579" w:rsidRPr="000D4291" w:rsidRDefault="006F2579" w:rsidP="006F2579">
      <w:pPr>
        <w:widowControl w:val="0"/>
        <w:rPr>
          <w:b/>
          <w:lang w:val="fr-CA"/>
        </w:rPr>
      </w:pPr>
    </w:p>
    <w:p w:rsidR="006F2579" w:rsidRPr="000D4291" w:rsidRDefault="00367FD9" w:rsidP="006F2579">
      <w:pPr>
        <w:widowControl w:val="0"/>
      </w:pPr>
      <w:r w:rsidRPr="000D4291">
        <w:rPr>
          <w:b/>
        </w:rPr>
        <w:t>April</w:t>
      </w:r>
      <w:r w:rsidR="00C9475D" w:rsidRPr="000D4291">
        <w:rPr>
          <w:b/>
        </w:rPr>
        <w:t xml:space="preserve"> </w:t>
      </w:r>
      <w:r w:rsidR="00F97675" w:rsidRPr="000D4291">
        <w:rPr>
          <w:b/>
        </w:rPr>
        <w:t>21</w:t>
      </w:r>
      <w:r w:rsidR="00170148" w:rsidRPr="000D4291">
        <w:rPr>
          <w:b/>
        </w:rPr>
        <w:t>,</w:t>
      </w:r>
      <w:r w:rsidR="008825DB" w:rsidRPr="000D4291">
        <w:rPr>
          <w:b/>
        </w:rPr>
        <w:t xml:space="preserve"> </w:t>
      </w:r>
      <w:r w:rsidR="003C451D" w:rsidRPr="000D4291">
        <w:rPr>
          <w:b/>
        </w:rPr>
        <w:t>202</w:t>
      </w:r>
      <w:r w:rsidR="00540869" w:rsidRPr="000D4291">
        <w:rPr>
          <w:b/>
        </w:rPr>
        <w:t>2</w:t>
      </w:r>
    </w:p>
    <w:p w:rsidR="006F2579" w:rsidRPr="000D4291" w:rsidRDefault="006F2579" w:rsidP="006F2579">
      <w:pPr>
        <w:widowControl w:val="0"/>
        <w:rPr>
          <w:b/>
        </w:rPr>
      </w:pPr>
      <w:r w:rsidRPr="000D4291">
        <w:rPr>
          <w:b/>
        </w:rPr>
        <w:t>For immediate release</w:t>
      </w:r>
    </w:p>
    <w:p w:rsidR="006F2579" w:rsidRPr="000D4291" w:rsidRDefault="006F2579" w:rsidP="006F2579">
      <w:pPr>
        <w:widowControl w:val="0"/>
      </w:pPr>
    </w:p>
    <w:p w:rsidR="002767DF" w:rsidRPr="000D4291" w:rsidRDefault="002767DF" w:rsidP="002767DF">
      <w:pPr>
        <w:widowControl w:val="0"/>
      </w:pPr>
      <w:r w:rsidRPr="000D4291">
        <w:rPr>
          <w:b/>
        </w:rPr>
        <w:t>OTTAWA</w:t>
      </w:r>
      <w:r w:rsidRPr="000D4291">
        <w:t xml:space="preserve"> – The Suprem</w:t>
      </w:r>
      <w:r w:rsidR="00580213" w:rsidRPr="000D4291">
        <w:t>e</w:t>
      </w:r>
      <w:r w:rsidRPr="000D4291">
        <w:t xml:space="preserve"> Court of Canada has today deposited with the Registrar judgment</w:t>
      </w:r>
      <w:r w:rsidR="004D3B41" w:rsidRPr="000D4291">
        <w:t>s</w:t>
      </w:r>
      <w:r w:rsidRPr="000D4291">
        <w:t xml:space="preserve"> in the following </w:t>
      </w:r>
      <w:r w:rsidR="00063949" w:rsidRPr="000D4291">
        <w:t xml:space="preserve">leave </w:t>
      </w:r>
      <w:r w:rsidRPr="000D4291">
        <w:t>application</w:t>
      </w:r>
      <w:r w:rsidR="00CC044F" w:rsidRPr="000D4291">
        <w:t>s</w:t>
      </w:r>
      <w:r w:rsidRPr="000D4291">
        <w:t>.</w:t>
      </w:r>
    </w:p>
    <w:p w:rsidR="006F2579" w:rsidRPr="000D4291" w:rsidRDefault="006F2579" w:rsidP="006F2579">
      <w:pPr>
        <w:widowControl w:val="0"/>
      </w:pPr>
    </w:p>
    <w:p w:rsidR="006F2579" w:rsidRPr="000D4291" w:rsidRDefault="006F2579" w:rsidP="006F2579">
      <w:pPr>
        <w:widowControl w:val="0"/>
      </w:pPr>
    </w:p>
    <w:p w:rsidR="002767DF" w:rsidRPr="000D4291" w:rsidRDefault="002767DF" w:rsidP="002767DF">
      <w:pPr>
        <w:widowControl w:val="0"/>
        <w:jc w:val="center"/>
        <w:rPr>
          <w:lang w:val="fr-CA"/>
        </w:rPr>
      </w:pPr>
      <w:r w:rsidRPr="000D4291">
        <w:rPr>
          <w:b/>
          <w:lang w:val="fr-CA"/>
        </w:rPr>
        <w:t>JUGEMENT</w:t>
      </w:r>
      <w:r w:rsidR="004C4C26" w:rsidRPr="000D4291">
        <w:rPr>
          <w:b/>
          <w:lang w:val="fr-CA"/>
        </w:rPr>
        <w:t>S SUR DEMANDE</w:t>
      </w:r>
      <w:r w:rsidR="00CC044F" w:rsidRPr="000D4291">
        <w:rPr>
          <w:b/>
          <w:lang w:val="fr-CA"/>
        </w:rPr>
        <w:t>S</w:t>
      </w:r>
      <w:r w:rsidRPr="000D4291">
        <w:rPr>
          <w:b/>
          <w:lang w:val="fr-CA"/>
        </w:rPr>
        <w:t xml:space="preserve"> D’AUTORISATION</w:t>
      </w:r>
    </w:p>
    <w:p w:rsidR="006F2579" w:rsidRPr="000D4291" w:rsidRDefault="006F2579" w:rsidP="006F2579">
      <w:pPr>
        <w:widowControl w:val="0"/>
        <w:rPr>
          <w:lang w:val="fr-CA"/>
        </w:rPr>
      </w:pPr>
    </w:p>
    <w:p w:rsidR="006F2579" w:rsidRPr="000D4291" w:rsidRDefault="006F2579" w:rsidP="006F2579">
      <w:pPr>
        <w:widowControl w:val="0"/>
        <w:rPr>
          <w:lang w:val="fr-CA"/>
        </w:rPr>
      </w:pPr>
      <w:r w:rsidRPr="000D4291">
        <w:rPr>
          <w:b/>
          <w:lang w:val="fr-CA"/>
        </w:rPr>
        <w:t>Le</w:t>
      </w:r>
      <w:r w:rsidR="008825DB" w:rsidRPr="000D4291">
        <w:rPr>
          <w:b/>
          <w:lang w:val="fr-CA"/>
        </w:rPr>
        <w:t xml:space="preserve"> </w:t>
      </w:r>
      <w:r w:rsidR="00F97675" w:rsidRPr="000D4291">
        <w:rPr>
          <w:b/>
          <w:lang w:val="fr-CA"/>
        </w:rPr>
        <w:t>21</w:t>
      </w:r>
      <w:r w:rsidR="00C9475D" w:rsidRPr="000D4291">
        <w:rPr>
          <w:b/>
          <w:lang w:val="fr-CA"/>
        </w:rPr>
        <w:t xml:space="preserve"> </w:t>
      </w:r>
      <w:r w:rsidR="00B708E5" w:rsidRPr="000D4291">
        <w:rPr>
          <w:b/>
          <w:lang w:val="fr-CA"/>
        </w:rPr>
        <w:t>a</w:t>
      </w:r>
      <w:r w:rsidR="00367FD9" w:rsidRPr="000D4291">
        <w:rPr>
          <w:b/>
          <w:lang w:val="fr-CA"/>
        </w:rPr>
        <w:t>v</w:t>
      </w:r>
      <w:r w:rsidR="00B708E5" w:rsidRPr="000D4291">
        <w:rPr>
          <w:b/>
          <w:lang w:val="fr-CA"/>
        </w:rPr>
        <w:t>r</w:t>
      </w:r>
      <w:r w:rsidR="00367FD9" w:rsidRPr="000D4291">
        <w:rPr>
          <w:b/>
          <w:lang w:val="fr-CA"/>
        </w:rPr>
        <w:t>il</w:t>
      </w:r>
      <w:r w:rsidR="004E4B02" w:rsidRPr="000D4291">
        <w:rPr>
          <w:b/>
          <w:lang w:val="fr-CA"/>
        </w:rPr>
        <w:t xml:space="preserve"> </w:t>
      </w:r>
      <w:r w:rsidR="008825DB" w:rsidRPr="000D4291">
        <w:rPr>
          <w:b/>
          <w:lang w:val="fr-CA"/>
        </w:rPr>
        <w:t>20</w:t>
      </w:r>
      <w:r w:rsidR="00B44DF4" w:rsidRPr="000D4291">
        <w:rPr>
          <w:b/>
          <w:lang w:val="fr-CA"/>
        </w:rPr>
        <w:t>2</w:t>
      </w:r>
      <w:r w:rsidR="00540869" w:rsidRPr="000D4291">
        <w:rPr>
          <w:b/>
          <w:lang w:val="fr-CA"/>
        </w:rPr>
        <w:t>2</w:t>
      </w:r>
    </w:p>
    <w:p w:rsidR="006F2579" w:rsidRPr="000D4291" w:rsidRDefault="006F2579" w:rsidP="006F2579">
      <w:pPr>
        <w:widowControl w:val="0"/>
        <w:rPr>
          <w:b/>
          <w:lang w:val="fr-CA"/>
        </w:rPr>
      </w:pPr>
      <w:r w:rsidRPr="000D4291">
        <w:rPr>
          <w:b/>
          <w:lang w:val="fr-CA"/>
        </w:rPr>
        <w:t>Pour diffusion immédiate</w:t>
      </w:r>
    </w:p>
    <w:p w:rsidR="006F2579" w:rsidRPr="000D4291" w:rsidRDefault="006F2579" w:rsidP="006F2579">
      <w:pPr>
        <w:widowControl w:val="0"/>
        <w:rPr>
          <w:b/>
          <w:lang w:val="fr-CA"/>
        </w:rPr>
      </w:pPr>
    </w:p>
    <w:p w:rsidR="002767DF" w:rsidRPr="000D4291" w:rsidRDefault="002767DF" w:rsidP="002767DF">
      <w:pPr>
        <w:widowControl w:val="0"/>
        <w:rPr>
          <w:lang w:val="fr-CA"/>
        </w:rPr>
      </w:pPr>
      <w:r w:rsidRPr="000D4291">
        <w:rPr>
          <w:b/>
          <w:lang w:val="fr-CA"/>
        </w:rPr>
        <w:t>OTTAWA</w:t>
      </w:r>
      <w:r w:rsidRPr="000D4291">
        <w:rPr>
          <w:lang w:val="fr-CA"/>
        </w:rPr>
        <w:t xml:space="preserve"> – La Cour suprême du Canada a déposé aujourd’hui auprès du registraire les jugements dans </w:t>
      </w:r>
      <w:r w:rsidR="00CC044F" w:rsidRPr="000D4291">
        <w:rPr>
          <w:lang w:val="fr-CA"/>
        </w:rPr>
        <w:t>les</w:t>
      </w:r>
      <w:r w:rsidR="008C7CD9" w:rsidRPr="000D4291">
        <w:rPr>
          <w:lang w:val="fr-CA"/>
        </w:rPr>
        <w:t xml:space="preserve"> </w:t>
      </w:r>
      <w:r w:rsidR="004C4C26" w:rsidRPr="000D4291">
        <w:rPr>
          <w:lang w:val="fr-CA"/>
        </w:rPr>
        <w:t>demande</w:t>
      </w:r>
      <w:r w:rsidR="0088435A" w:rsidRPr="000D4291">
        <w:rPr>
          <w:lang w:val="fr-CA"/>
        </w:rPr>
        <w:t>s</w:t>
      </w:r>
      <w:r w:rsidRPr="000D4291">
        <w:rPr>
          <w:lang w:val="fr-CA"/>
        </w:rPr>
        <w:t xml:space="preserve"> d’au</w:t>
      </w:r>
      <w:r w:rsidR="00F24EF2" w:rsidRPr="000D4291">
        <w:rPr>
          <w:lang w:val="fr-CA"/>
        </w:rPr>
        <w:t xml:space="preserve">torisation </w:t>
      </w:r>
      <w:r w:rsidR="007F2922" w:rsidRPr="000D4291">
        <w:rPr>
          <w:lang w:val="fr-CA"/>
        </w:rPr>
        <w:t>sui</w:t>
      </w:r>
      <w:r w:rsidR="00F24EF2" w:rsidRPr="000D4291">
        <w:rPr>
          <w:lang w:val="fr-CA"/>
        </w:rPr>
        <w:t>v</w:t>
      </w:r>
      <w:r w:rsidR="007F2922" w:rsidRPr="000D4291">
        <w:rPr>
          <w:lang w:val="fr-CA"/>
        </w:rPr>
        <w:t>a</w:t>
      </w:r>
      <w:r w:rsidR="00F24EF2" w:rsidRPr="000D4291">
        <w:rPr>
          <w:lang w:val="fr-CA"/>
        </w:rPr>
        <w:t>nt</w:t>
      </w:r>
      <w:r w:rsidR="00C56657" w:rsidRPr="000D4291">
        <w:rPr>
          <w:lang w:val="fr-CA"/>
        </w:rPr>
        <w:t>s</w:t>
      </w:r>
      <w:r w:rsidR="00F24EF2" w:rsidRPr="000D4291">
        <w:rPr>
          <w:lang w:val="fr-CA"/>
        </w:rPr>
        <w:t>.</w:t>
      </w:r>
    </w:p>
    <w:p w:rsidR="00694BDA" w:rsidRPr="000D4291" w:rsidRDefault="00694BDA" w:rsidP="000B5274">
      <w:pPr>
        <w:jc w:val="both"/>
        <w:rPr>
          <w:sz w:val="20"/>
          <w:lang w:val="fr-CA"/>
        </w:rPr>
      </w:pPr>
    </w:p>
    <w:p w:rsidR="00DA0759" w:rsidRPr="000D4291" w:rsidRDefault="00DA56E4" w:rsidP="000B5274">
      <w:pPr>
        <w:jc w:val="both"/>
        <w:rPr>
          <w:sz w:val="20"/>
          <w:lang w:val="fr-CA"/>
        </w:rPr>
      </w:pPr>
      <w:r w:rsidRPr="000D4291">
        <w:rPr>
          <w:sz w:val="20"/>
        </w:rPr>
        <w:pict>
          <v:rect id="_x0000_i1025" style="width:2in;height:1pt" o:hrpct="0" o:hralign="center" o:hrstd="t" o:hrnoshade="t" o:hr="t" fillcolor="black [3213]" stroked="f"/>
        </w:pict>
      </w:r>
    </w:p>
    <w:p w:rsidR="003F4A5D" w:rsidRPr="000D4291" w:rsidRDefault="003F4A5D" w:rsidP="00431DE2">
      <w:pPr>
        <w:jc w:val="both"/>
        <w:rPr>
          <w:sz w:val="22"/>
          <w:szCs w:val="22"/>
        </w:rPr>
      </w:pPr>
    </w:p>
    <w:p w:rsidR="00431DE2" w:rsidRPr="000D4291" w:rsidRDefault="00431DE2" w:rsidP="00431DE2">
      <w:pPr>
        <w:jc w:val="both"/>
        <w:rPr>
          <w:b/>
          <w:sz w:val="22"/>
          <w:szCs w:val="22"/>
        </w:rPr>
      </w:pPr>
      <w:r w:rsidRPr="000D4291">
        <w:rPr>
          <w:b/>
          <w:sz w:val="22"/>
          <w:szCs w:val="22"/>
        </w:rPr>
        <w:t>DISMISSED / REJETÉE</w:t>
      </w:r>
      <w:r w:rsidR="001B1618" w:rsidRPr="000D4291">
        <w:rPr>
          <w:b/>
          <w:sz w:val="22"/>
          <w:szCs w:val="22"/>
        </w:rPr>
        <w:t>S</w:t>
      </w:r>
    </w:p>
    <w:p w:rsidR="00431DE2" w:rsidRPr="000D4291" w:rsidRDefault="00431DE2" w:rsidP="000B5274">
      <w:pPr>
        <w:jc w:val="both"/>
        <w:rPr>
          <w:sz w:val="20"/>
        </w:rPr>
      </w:pPr>
    </w:p>
    <w:p w:rsidR="001F5114" w:rsidRPr="000D4291" w:rsidRDefault="001F5114" w:rsidP="001F5114">
      <w:pPr>
        <w:rPr>
          <w:sz w:val="22"/>
          <w:szCs w:val="22"/>
        </w:rPr>
      </w:pPr>
      <w:r w:rsidRPr="000D4291">
        <w:rPr>
          <w:i/>
          <w:sz w:val="22"/>
          <w:szCs w:val="22"/>
        </w:rPr>
        <w:t xml:space="preserve">Ekens Azubuike v. Minister of Citizenship and Immigration </w:t>
      </w:r>
      <w:r w:rsidRPr="000D4291">
        <w:rPr>
          <w:sz w:val="22"/>
          <w:szCs w:val="22"/>
        </w:rPr>
        <w:t xml:space="preserve">(F.C.) (Civil) (By Leave) </w:t>
      </w:r>
      <w:r w:rsidRPr="000D4291">
        <w:rPr>
          <w:rFonts w:eastAsia="Calibri"/>
          <w:sz w:val="22"/>
          <w:szCs w:val="22"/>
        </w:rPr>
        <w:t>(</w:t>
      </w:r>
      <w:hyperlink r:id="rId8" w:history="1">
        <w:r w:rsidRPr="000D4291">
          <w:rPr>
            <w:rStyle w:val="Hyperlink"/>
            <w:rFonts w:eastAsia="Calibri"/>
            <w:sz w:val="22"/>
            <w:szCs w:val="22"/>
          </w:rPr>
          <w:t>39974</w:t>
        </w:r>
      </w:hyperlink>
      <w:r w:rsidRPr="000D4291">
        <w:rPr>
          <w:rFonts w:eastAsia="Calibri"/>
          <w:sz w:val="22"/>
          <w:szCs w:val="22"/>
        </w:rPr>
        <w:t>)</w:t>
      </w:r>
    </w:p>
    <w:p w:rsidR="00A30607" w:rsidRPr="000D4291" w:rsidRDefault="00A30607" w:rsidP="0035080B">
      <w:pPr>
        <w:widowControl w:val="0"/>
        <w:jc w:val="both"/>
        <w:rPr>
          <w:sz w:val="20"/>
        </w:rPr>
      </w:pPr>
    </w:p>
    <w:p w:rsidR="00872CB5" w:rsidRPr="000D4291" w:rsidRDefault="001F5114" w:rsidP="00872CB5">
      <w:pPr>
        <w:jc w:val="both"/>
        <w:rPr>
          <w:sz w:val="20"/>
        </w:rPr>
      </w:pPr>
      <w:r w:rsidRPr="000D4291">
        <w:rPr>
          <w:sz w:val="20"/>
        </w:rPr>
        <w:t>The application for leave to appeal from the direction of Rennie J.A. of the</w:t>
      </w:r>
      <w:bookmarkStart w:id="0" w:name="BM_1_"/>
      <w:bookmarkEnd w:id="0"/>
      <w:r w:rsidRPr="000D4291">
        <w:rPr>
          <w:sz w:val="20"/>
        </w:rPr>
        <w:t xml:space="preserve"> Federal Court of Appeal, dated May 3, 2021, is dismissed for want of jurisdiction.</w:t>
      </w:r>
    </w:p>
    <w:p w:rsidR="0035080B" w:rsidRPr="000D4291" w:rsidRDefault="0035080B" w:rsidP="00872CB5">
      <w:pPr>
        <w:jc w:val="both"/>
        <w:rPr>
          <w:sz w:val="20"/>
        </w:rPr>
      </w:pPr>
    </w:p>
    <w:p w:rsidR="00E67656" w:rsidRPr="000D4291" w:rsidRDefault="001F5114" w:rsidP="00872CB5">
      <w:pPr>
        <w:widowControl w:val="0"/>
        <w:jc w:val="both"/>
        <w:rPr>
          <w:sz w:val="20"/>
          <w:lang w:val="fr-CA"/>
        </w:rPr>
      </w:pPr>
      <w:r w:rsidRPr="000D4291">
        <w:rPr>
          <w:sz w:val="20"/>
          <w:lang w:val="fr-CA"/>
        </w:rPr>
        <w:t>La demande d’autorisation d’appel de la directive du juge Rennie de la Cour d’appel fédérale, daté du 3 mai 2021, est rejetée pour défaut de compétence.</w:t>
      </w:r>
    </w:p>
    <w:p w:rsidR="00872CB5" w:rsidRPr="000D4291" w:rsidRDefault="00872CB5" w:rsidP="00872CB5">
      <w:pPr>
        <w:widowControl w:val="0"/>
        <w:rPr>
          <w:sz w:val="20"/>
          <w:lang w:val="fr-CA"/>
        </w:rPr>
      </w:pPr>
    </w:p>
    <w:p w:rsidR="00BF66C0" w:rsidRPr="000D4291" w:rsidRDefault="00DA56E4" w:rsidP="00A30607">
      <w:pPr>
        <w:widowControl w:val="0"/>
        <w:rPr>
          <w:sz w:val="20"/>
          <w:lang w:val="fr-CA"/>
        </w:rPr>
      </w:pPr>
      <w:r w:rsidRPr="000D4291">
        <w:rPr>
          <w:sz w:val="20"/>
        </w:rPr>
        <w:pict>
          <v:rect id="_x0000_i1027" style="width:2in;height:1pt" o:hrpct="0" o:hralign="center" o:hrstd="t" o:hrnoshade="t" o:hr="t" fillcolor="black [3213]" stroked="f"/>
        </w:pict>
      </w:r>
    </w:p>
    <w:p w:rsidR="00367FD9" w:rsidRPr="000D4291" w:rsidRDefault="00367FD9" w:rsidP="0035080B">
      <w:pPr>
        <w:widowControl w:val="0"/>
        <w:rPr>
          <w:sz w:val="20"/>
          <w:lang w:val="fr-CA"/>
        </w:rPr>
      </w:pPr>
    </w:p>
    <w:p w:rsidR="001F5114" w:rsidRPr="000D4291" w:rsidRDefault="001F5114" w:rsidP="001F5114">
      <w:pPr>
        <w:rPr>
          <w:sz w:val="22"/>
          <w:szCs w:val="22"/>
        </w:rPr>
      </w:pPr>
      <w:r w:rsidRPr="000D4291">
        <w:rPr>
          <w:i/>
          <w:sz w:val="22"/>
          <w:szCs w:val="22"/>
        </w:rPr>
        <w:t>Stephen George Fraser v. Her Majesty the Queen</w:t>
      </w:r>
      <w:r w:rsidRPr="000D4291">
        <w:rPr>
          <w:sz w:val="22"/>
          <w:szCs w:val="22"/>
        </w:rPr>
        <w:t xml:space="preserve"> (B.C.) (Criminal) (By Leave) </w:t>
      </w:r>
      <w:r w:rsidRPr="000D4291">
        <w:rPr>
          <w:rFonts w:eastAsia="Calibri"/>
          <w:sz w:val="22"/>
          <w:szCs w:val="22"/>
        </w:rPr>
        <w:t>(</w:t>
      </w:r>
      <w:hyperlink r:id="rId9" w:history="1">
        <w:r w:rsidRPr="000D4291">
          <w:rPr>
            <w:rStyle w:val="Hyperlink"/>
            <w:rFonts w:eastAsia="Calibri"/>
            <w:sz w:val="22"/>
            <w:szCs w:val="22"/>
          </w:rPr>
          <w:t>40027</w:t>
        </w:r>
      </w:hyperlink>
      <w:r w:rsidRPr="000D4291">
        <w:rPr>
          <w:rFonts w:eastAsia="Calibri"/>
          <w:sz w:val="22"/>
          <w:szCs w:val="22"/>
        </w:rPr>
        <w:t>)</w:t>
      </w:r>
    </w:p>
    <w:p w:rsidR="00367FD9" w:rsidRPr="000D4291" w:rsidRDefault="00367FD9" w:rsidP="0035080B">
      <w:pPr>
        <w:widowControl w:val="0"/>
        <w:rPr>
          <w:sz w:val="20"/>
        </w:rPr>
      </w:pPr>
    </w:p>
    <w:p w:rsidR="001F5114" w:rsidRPr="000D4291" w:rsidRDefault="001F5114" w:rsidP="001F5114">
      <w:pPr>
        <w:jc w:val="both"/>
        <w:rPr>
          <w:sz w:val="20"/>
        </w:rPr>
      </w:pPr>
      <w:r w:rsidRPr="000D4291">
        <w:rPr>
          <w:sz w:val="20"/>
        </w:rPr>
        <w:t>The application for leave to appeal from the judgment of the Court of Appeal for British Columbia (Vancouver), Number CA46342, 2021 BCCA 432, dated November 16, 2021 is dismissed.</w:t>
      </w:r>
    </w:p>
    <w:p w:rsidR="00367FD9" w:rsidRPr="000D4291" w:rsidRDefault="00367FD9" w:rsidP="001F5114">
      <w:pPr>
        <w:widowControl w:val="0"/>
        <w:jc w:val="both"/>
        <w:rPr>
          <w:sz w:val="20"/>
        </w:rPr>
      </w:pPr>
    </w:p>
    <w:p w:rsidR="00367FD9" w:rsidRPr="000D4291" w:rsidRDefault="001F5114" w:rsidP="001F5114">
      <w:pPr>
        <w:widowControl w:val="0"/>
        <w:jc w:val="both"/>
        <w:rPr>
          <w:sz w:val="20"/>
          <w:lang w:val="fr-CA"/>
        </w:rPr>
      </w:pPr>
      <w:r w:rsidRPr="000D4291">
        <w:rPr>
          <w:sz w:val="20"/>
          <w:lang w:val="fr-CA"/>
        </w:rPr>
        <w:t>La demande d’autorisation d’appel de l’arrêt de la Cour d’appel de la Colombie-Britannique (Vancouver), numéro CA46342, 2021 BCCA 432, daté du 16 novembre 2021, est rejetée.</w:t>
      </w:r>
    </w:p>
    <w:p w:rsidR="00367FD9" w:rsidRPr="000D4291" w:rsidRDefault="00367FD9" w:rsidP="0035080B">
      <w:pPr>
        <w:widowControl w:val="0"/>
        <w:rPr>
          <w:sz w:val="20"/>
          <w:lang w:val="fr-CA"/>
        </w:rPr>
      </w:pPr>
    </w:p>
    <w:p w:rsidR="0035080B" w:rsidRPr="000D4291" w:rsidRDefault="00DA56E4" w:rsidP="0035080B">
      <w:pPr>
        <w:widowControl w:val="0"/>
        <w:rPr>
          <w:sz w:val="20"/>
          <w:lang w:val="fr-CA"/>
        </w:rPr>
      </w:pPr>
      <w:r w:rsidRPr="000D4291">
        <w:rPr>
          <w:sz w:val="20"/>
        </w:rPr>
        <w:pict>
          <v:rect id="_x0000_i1028" style="width:2in;height:1pt" o:hrpct="0" o:hralign="center" o:hrstd="t" o:hrnoshade="t" o:hr="t" fillcolor="black [3213]" stroked="f"/>
        </w:pict>
      </w:r>
    </w:p>
    <w:p w:rsidR="0035080B" w:rsidRPr="000D4291" w:rsidRDefault="0035080B" w:rsidP="0035080B">
      <w:pPr>
        <w:widowControl w:val="0"/>
        <w:rPr>
          <w:sz w:val="20"/>
        </w:rPr>
      </w:pPr>
    </w:p>
    <w:p w:rsidR="001F5114" w:rsidRPr="000D4291" w:rsidRDefault="001F5114" w:rsidP="001F5114">
      <w:pPr>
        <w:rPr>
          <w:sz w:val="22"/>
          <w:szCs w:val="22"/>
        </w:rPr>
      </w:pPr>
      <w:r w:rsidRPr="000D4291">
        <w:rPr>
          <w:i/>
          <w:sz w:val="22"/>
          <w:szCs w:val="22"/>
        </w:rPr>
        <w:t>Gershon (Jerry) Greif, in his capacity as liquidator of the estate of the late Tauba (Tusia) Magien v. Samuel Luft</w:t>
      </w:r>
      <w:r w:rsidRPr="000D4291">
        <w:rPr>
          <w:sz w:val="22"/>
          <w:szCs w:val="22"/>
        </w:rPr>
        <w:t xml:space="preserve"> (Que.) (Civil) (By Leave) </w:t>
      </w:r>
      <w:r w:rsidRPr="000D4291">
        <w:rPr>
          <w:rFonts w:eastAsia="Calibri"/>
          <w:sz w:val="22"/>
          <w:szCs w:val="22"/>
        </w:rPr>
        <w:t>(</w:t>
      </w:r>
      <w:hyperlink r:id="rId10" w:history="1">
        <w:r w:rsidRPr="000D4291">
          <w:rPr>
            <w:rStyle w:val="Hyperlink"/>
            <w:rFonts w:eastAsia="Calibri"/>
            <w:sz w:val="22"/>
            <w:szCs w:val="22"/>
          </w:rPr>
          <w:t>39912</w:t>
        </w:r>
      </w:hyperlink>
      <w:r w:rsidRPr="000D4291">
        <w:rPr>
          <w:rFonts w:eastAsia="Calibri"/>
          <w:sz w:val="22"/>
          <w:szCs w:val="22"/>
        </w:rPr>
        <w:t>)</w:t>
      </w:r>
    </w:p>
    <w:p w:rsidR="00B9373E" w:rsidRPr="000D4291" w:rsidRDefault="00B9373E" w:rsidP="00B708E5">
      <w:pPr>
        <w:widowControl w:val="0"/>
        <w:rPr>
          <w:sz w:val="20"/>
        </w:rPr>
      </w:pPr>
    </w:p>
    <w:p w:rsidR="001F5114" w:rsidRPr="000D4291" w:rsidRDefault="001F5114" w:rsidP="001F5114">
      <w:pPr>
        <w:jc w:val="both"/>
        <w:rPr>
          <w:sz w:val="20"/>
        </w:rPr>
      </w:pPr>
      <w:r w:rsidRPr="000D4291">
        <w:rPr>
          <w:sz w:val="20"/>
        </w:rPr>
        <w:t>The application for leave to appeal from the judgment of the Court of Appeal of Quebec (Montréal), Number 500-09-028229-193, 2021 QCCA 1387, dated September 14, 2021 is dismissed.</w:t>
      </w:r>
    </w:p>
    <w:p w:rsidR="00367FD9" w:rsidRPr="000D4291" w:rsidRDefault="00367FD9" w:rsidP="001F5114">
      <w:pPr>
        <w:widowControl w:val="0"/>
        <w:jc w:val="both"/>
        <w:rPr>
          <w:sz w:val="20"/>
        </w:rPr>
      </w:pPr>
    </w:p>
    <w:p w:rsidR="00367FD9" w:rsidRPr="000D4291" w:rsidRDefault="001F5114" w:rsidP="001F5114">
      <w:pPr>
        <w:widowControl w:val="0"/>
        <w:jc w:val="both"/>
        <w:rPr>
          <w:sz w:val="20"/>
          <w:lang w:val="fr-CA"/>
        </w:rPr>
      </w:pPr>
      <w:r w:rsidRPr="000D4291">
        <w:rPr>
          <w:sz w:val="20"/>
          <w:lang w:val="fr-CA"/>
        </w:rPr>
        <w:t>La demande d’autorisation d’appel de l’arrêt de la Cour d’appel du Québec (Montréal), numéro 500-09-028229-193, 2021 QCCA 1387, daté du 14 septembre 2021, est rejetée.</w:t>
      </w:r>
    </w:p>
    <w:p w:rsidR="00367FD9" w:rsidRPr="000D4291" w:rsidRDefault="00367FD9" w:rsidP="00B708E5">
      <w:pPr>
        <w:widowControl w:val="0"/>
        <w:rPr>
          <w:sz w:val="20"/>
          <w:lang w:val="fr-CA"/>
        </w:rPr>
      </w:pPr>
    </w:p>
    <w:p w:rsidR="00B708E5" w:rsidRPr="000D4291" w:rsidRDefault="00DA56E4" w:rsidP="00B708E5">
      <w:pPr>
        <w:widowControl w:val="0"/>
        <w:rPr>
          <w:sz w:val="20"/>
          <w:lang w:val="fr-CA"/>
        </w:rPr>
      </w:pPr>
      <w:r w:rsidRPr="000D4291">
        <w:rPr>
          <w:sz w:val="20"/>
        </w:rPr>
        <w:pict>
          <v:rect id="_x0000_i1029" style="width:2in;height:1pt" o:hrpct="0" o:hralign="center" o:hrstd="t" o:hrnoshade="t" o:hr="t" fillcolor="black [3213]" stroked="f"/>
        </w:pict>
      </w:r>
    </w:p>
    <w:p w:rsidR="00B708E5" w:rsidRPr="000D4291" w:rsidRDefault="00B708E5" w:rsidP="00B708E5">
      <w:pPr>
        <w:widowControl w:val="0"/>
        <w:rPr>
          <w:sz w:val="20"/>
        </w:rPr>
      </w:pPr>
    </w:p>
    <w:p w:rsidR="001F5114" w:rsidRPr="000D4291" w:rsidRDefault="001F5114" w:rsidP="001F5114">
      <w:pPr>
        <w:rPr>
          <w:sz w:val="22"/>
          <w:szCs w:val="22"/>
        </w:rPr>
      </w:pPr>
      <w:r w:rsidRPr="000D4291">
        <w:rPr>
          <w:i/>
          <w:sz w:val="22"/>
          <w:szCs w:val="22"/>
        </w:rPr>
        <w:t>Martin Green v. University of Winnipeg</w:t>
      </w:r>
      <w:r w:rsidRPr="000D4291">
        <w:rPr>
          <w:sz w:val="22"/>
          <w:szCs w:val="22"/>
        </w:rPr>
        <w:t xml:space="preserve"> (Man.) (Civil) (By Leave) </w:t>
      </w:r>
      <w:r w:rsidRPr="000D4291">
        <w:rPr>
          <w:rFonts w:eastAsia="Calibri"/>
          <w:sz w:val="22"/>
          <w:szCs w:val="22"/>
        </w:rPr>
        <w:t>(</w:t>
      </w:r>
      <w:hyperlink r:id="rId11" w:history="1">
        <w:r w:rsidRPr="000D4291">
          <w:rPr>
            <w:rStyle w:val="Hyperlink"/>
            <w:rFonts w:eastAsia="Calibri"/>
            <w:sz w:val="22"/>
            <w:szCs w:val="22"/>
          </w:rPr>
          <w:t>39999</w:t>
        </w:r>
      </w:hyperlink>
      <w:r w:rsidRPr="000D4291">
        <w:rPr>
          <w:rFonts w:eastAsia="Calibri"/>
          <w:sz w:val="22"/>
          <w:szCs w:val="22"/>
        </w:rPr>
        <w:t>)</w:t>
      </w:r>
    </w:p>
    <w:p w:rsidR="00B9373E" w:rsidRPr="000D4291" w:rsidRDefault="00B9373E" w:rsidP="00B708E5">
      <w:pPr>
        <w:widowControl w:val="0"/>
        <w:rPr>
          <w:sz w:val="20"/>
        </w:rPr>
      </w:pPr>
    </w:p>
    <w:p w:rsidR="001F5114" w:rsidRPr="000D4291" w:rsidRDefault="001F5114" w:rsidP="00DA56E4">
      <w:pPr>
        <w:jc w:val="both"/>
        <w:rPr>
          <w:sz w:val="20"/>
        </w:rPr>
      </w:pPr>
      <w:r w:rsidRPr="000D4291">
        <w:rPr>
          <w:sz w:val="20"/>
        </w:rPr>
        <w:t>The application for leave to appeal from the judgment of the Court of Appeal of Manitoba, Number AI18-30-09055, 2021 MBCA 60, dated June 10, 2021, is dismissed with costs.</w:t>
      </w:r>
    </w:p>
    <w:p w:rsidR="00367FD9" w:rsidRPr="000D4291" w:rsidRDefault="00367FD9" w:rsidP="00DA56E4">
      <w:pPr>
        <w:widowControl w:val="0"/>
        <w:jc w:val="both"/>
        <w:rPr>
          <w:sz w:val="20"/>
        </w:rPr>
      </w:pPr>
    </w:p>
    <w:p w:rsidR="00367FD9" w:rsidRPr="000D4291" w:rsidRDefault="00DA56E4" w:rsidP="00DA56E4">
      <w:pPr>
        <w:widowControl w:val="0"/>
        <w:jc w:val="both"/>
        <w:rPr>
          <w:sz w:val="20"/>
          <w:lang w:val="fr-CA"/>
        </w:rPr>
      </w:pPr>
      <w:r w:rsidRPr="000D4291">
        <w:rPr>
          <w:sz w:val="20"/>
          <w:lang w:val="fr-CA"/>
        </w:rPr>
        <w:t>La demande d’autorisation d’appel de l’arrêt de la Cour d’appel du Manitoba, numéro AI18-30-09055, 2021 MBCA 60, daté du 10 juin 2021, est rejetée avec dépens.</w:t>
      </w:r>
    </w:p>
    <w:p w:rsidR="00367FD9" w:rsidRPr="000D4291" w:rsidRDefault="00367FD9" w:rsidP="00B708E5">
      <w:pPr>
        <w:widowControl w:val="0"/>
        <w:rPr>
          <w:sz w:val="20"/>
          <w:lang w:val="fr-CA"/>
        </w:rPr>
      </w:pPr>
    </w:p>
    <w:p w:rsidR="00B708E5" w:rsidRPr="000D4291" w:rsidRDefault="00DA56E4" w:rsidP="00B708E5">
      <w:pPr>
        <w:widowControl w:val="0"/>
        <w:rPr>
          <w:sz w:val="20"/>
          <w:lang w:val="fr-CA"/>
        </w:rPr>
      </w:pPr>
      <w:r w:rsidRPr="000D4291">
        <w:rPr>
          <w:sz w:val="20"/>
        </w:rPr>
        <w:pict>
          <v:rect id="_x0000_i1030" style="width:2in;height:1pt" o:hrpct="0" o:hralign="center" o:hrstd="t" o:hrnoshade="t" o:hr="t" fillcolor="black [3213]" stroked="f"/>
        </w:pict>
      </w:r>
    </w:p>
    <w:p w:rsidR="00B708E5" w:rsidRPr="000D4291" w:rsidRDefault="00B708E5" w:rsidP="00B708E5">
      <w:pPr>
        <w:widowControl w:val="0"/>
        <w:rPr>
          <w:sz w:val="20"/>
        </w:rPr>
      </w:pPr>
    </w:p>
    <w:p w:rsidR="009C1038" w:rsidRPr="000D4291" w:rsidRDefault="009C1038" w:rsidP="009C1038">
      <w:pPr>
        <w:rPr>
          <w:color w:val="000000"/>
          <w:sz w:val="22"/>
          <w:szCs w:val="22"/>
        </w:rPr>
      </w:pPr>
      <w:r w:rsidRPr="000D4291">
        <w:rPr>
          <w:i/>
          <w:sz w:val="22"/>
          <w:szCs w:val="22"/>
        </w:rPr>
        <w:t>Martin Green v. Dave Bell, Lauralyn Cantor, Don Metz, Colin Russell, Jane Doe and University of Winnipeg</w:t>
      </w:r>
      <w:r w:rsidRPr="000D4291">
        <w:rPr>
          <w:sz w:val="22"/>
          <w:szCs w:val="22"/>
        </w:rPr>
        <w:t xml:space="preserve"> (Man.) (Civil) (By Leave) </w:t>
      </w:r>
      <w:r w:rsidRPr="000D4291">
        <w:rPr>
          <w:rFonts w:eastAsia="Calibri"/>
          <w:sz w:val="22"/>
          <w:szCs w:val="22"/>
        </w:rPr>
        <w:t>(</w:t>
      </w:r>
      <w:hyperlink r:id="rId12" w:history="1">
        <w:r w:rsidRPr="000D4291">
          <w:rPr>
            <w:rStyle w:val="Hyperlink"/>
            <w:rFonts w:eastAsia="Calibri"/>
            <w:sz w:val="22"/>
            <w:szCs w:val="22"/>
          </w:rPr>
          <w:t>40001</w:t>
        </w:r>
      </w:hyperlink>
      <w:r w:rsidRPr="000D4291">
        <w:rPr>
          <w:rFonts w:eastAsia="Calibri"/>
          <w:sz w:val="22"/>
          <w:szCs w:val="22"/>
        </w:rPr>
        <w:t>)</w:t>
      </w:r>
    </w:p>
    <w:p w:rsidR="00B9373E" w:rsidRPr="000D4291" w:rsidRDefault="00B9373E" w:rsidP="00B708E5">
      <w:pPr>
        <w:widowControl w:val="0"/>
        <w:rPr>
          <w:sz w:val="20"/>
        </w:rPr>
      </w:pPr>
    </w:p>
    <w:p w:rsidR="009C1038" w:rsidRPr="000D4291" w:rsidRDefault="009C1038" w:rsidP="009C1038">
      <w:pPr>
        <w:jc w:val="both"/>
        <w:rPr>
          <w:sz w:val="20"/>
        </w:rPr>
      </w:pPr>
      <w:r w:rsidRPr="000D4291">
        <w:rPr>
          <w:sz w:val="20"/>
        </w:rPr>
        <w:t>The application for leave to appeal from the judgment of the Court of Appeal of Manitoba, Number AI18-30-09054, 2021 MBCA 81, dated September 27, 2021, is dismissed with costs.</w:t>
      </w:r>
    </w:p>
    <w:p w:rsidR="00367FD9" w:rsidRPr="000D4291" w:rsidRDefault="00367FD9" w:rsidP="009C1038">
      <w:pPr>
        <w:widowControl w:val="0"/>
        <w:jc w:val="both"/>
        <w:rPr>
          <w:sz w:val="20"/>
        </w:rPr>
      </w:pPr>
    </w:p>
    <w:p w:rsidR="00367FD9" w:rsidRPr="000D4291" w:rsidRDefault="009C1038" w:rsidP="009C1038">
      <w:pPr>
        <w:widowControl w:val="0"/>
        <w:jc w:val="both"/>
        <w:rPr>
          <w:sz w:val="20"/>
          <w:lang w:val="fr-CA"/>
        </w:rPr>
      </w:pPr>
      <w:r w:rsidRPr="000D4291">
        <w:rPr>
          <w:sz w:val="20"/>
          <w:lang w:val="fr-CA"/>
        </w:rPr>
        <w:t>La demande d’autorisation d’appel de l’arrêt de la Cour d’appel du Manitoba, numéro AI18-30-09054, 2021 MBCA 81, daté du 27 septembre 2021, est rejetée avec dépens.</w:t>
      </w:r>
    </w:p>
    <w:p w:rsidR="00367FD9" w:rsidRPr="000D4291" w:rsidRDefault="00367FD9" w:rsidP="009576D4">
      <w:pPr>
        <w:widowControl w:val="0"/>
        <w:rPr>
          <w:sz w:val="20"/>
          <w:lang w:val="fr-CA"/>
        </w:rPr>
      </w:pPr>
    </w:p>
    <w:p w:rsidR="009576D4" w:rsidRPr="000D4291" w:rsidRDefault="00DA56E4" w:rsidP="009576D4">
      <w:pPr>
        <w:widowControl w:val="0"/>
        <w:rPr>
          <w:sz w:val="20"/>
          <w:lang w:val="fr-CA"/>
        </w:rPr>
      </w:pPr>
      <w:r w:rsidRPr="000D4291">
        <w:rPr>
          <w:sz w:val="20"/>
        </w:rPr>
        <w:pict>
          <v:rect id="_x0000_i1031" style="width:2in;height:1pt" o:hrpct="0" o:hralign="center" o:hrstd="t" o:hrnoshade="t" o:hr="t" fillcolor="black [3213]" stroked="f"/>
        </w:pict>
      </w:r>
    </w:p>
    <w:p w:rsidR="009576D4" w:rsidRPr="000D4291" w:rsidRDefault="009576D4" w:rsidP="009576D4">
      <w:pPr>
        <w:widowControl w:val="0"/>
        <w:rPr>
          <w:sz w:val="20"/>
        </w:rPr>
      </w:pPr>
    </w:p>
    <w:p w:rsidR="000D4291" w:rsidRPr="000D4291" w:rsidRDefault="000D4291" w:rsidP="000D4291">
      <w:pPr>
        <w:rPr>
          <w:color w:val="000000"/>
          <w:sz w:val="22"/>
          <w:szCs w:val="22"/>
        </w:rPr>
      </w:pPr>
      <w:r w:rsidRPr="000D4291">
        <w:rPr>
          <w:i/>
          <w:sz w:val="22"/>
          <w:szCs w:val="22"/>
        </w:rPr>
        <w:t>Vickea Sabourin and Robin Sabourin v. P &amp; C Lawfirm Management Inc.</w:t>
      </w:r>
      <w:r w:rsidRPr="000D4291">
        <w:rPr>
          <w:sz w:val="22"/>
          <w:szCs w:val="22"/>
        </w:rPr>
        <w:t xml:space="preserve"> (Alta.) (Civil) (By Leave) </w:t>
      </w:r>
      <w:r w:rsidRPr="000D4291">
        <w:rPr>
          <w:rFonts w:eastAsia="Calibri"/>
          <w:sz w:val="22"/>
          <w:szCs w:val="22"/>
        </w:rPr>
        <w:t>(</w:t>
      </w:r>
      <w:hyperlink r:id="rId13" w:history="1">
        <w:r w:rsidRPr="000D4291">
          <w:rPr>
            <w:rStyle w:val="Hyperlink"/>
            <w:rFonts w:eastAsia="Calibri"/>
            <w:sz w:val="22"/>
            <w:szCs w:val="22"/>
          </w:rPr>
          <w:t>40004</w:t>
        </w:r>
      </w:hyperlink>
      <w:r w:rsidRPr="000D4291">
        <w:rPr>
          <w:rFonts w:eastAsia="Calibri"/>
          <w:sz w:val="22"/>
          <w:szCs w:val="22"/>
        </w:rPr>
        <w:t>)</w:t>
      </w:r>
    </w:p>
    <w:p w:rsidR="00A4209E" w:rsidRPr="000D4291" w:rsidRDefault="00A4209E" w:rsidP="00A4209E">
      <w:pPr>
        <w:widowControl w:val="0"/>
        <w:rPr>
          <w:sz w:val="20"/>
        </w:rPr>
      </w:pPr>
    </w:p>
    <w:p w:rsidR="00367FD9" w:rsidRPr="000D4291" w:rsidRDefault="000D4291" w:rsidP="000D4291">
      <w:pPr>
        <w:widowControl w:val="0"/>
        <w:jc w:val="both"/>
        <w:rPr>
          <w:sz w:val="20"/>
        </w:rPr>
      </w:pPr>
      <w:r w:rsidRPr="000D4291">
        <w:rPr>
          <w:sz w:val="20"/>
        </w:rPr>
        <w:t>The motion for an extension of time to serve and file the application for leave to appeal is granted. The application for leave to appeal from the judgment of the Court of Appeal of Alberta (Edmonton), Number 1903-0207AC, 2020 ABCA 449, dated December 9, 2020, is dismissed with costs.</w:t>
      </w:r>
    </w:p>
    <w:p w:rsidR="002C390D" w:rsidRPr="000D4291" w:rsidRDefault="002C390D" w:rsidP="000D4291">
      <w:pPr>
        <w:widowControl w:val="0"/>
        <w:jc w:val="both"/>
        <w:rPr>
          <w:sz w:val="20"/>
        </w:rPr>
      </w:pPr>
    </w:p>
    <w:p w:rsidR="002C390D" w:rsidRPr="000D4291" w:rsidRDefault="000D4291" w:rsidP="000D4291">
      <w:pPr>
        <w:widowControl w:val="0"/>
        <w:jc w:val="both"/>
        <w:rPr>
          <w:sz w:val="20"/>
          <w:lang w:val="fr-CA"/>
        </w:rPr>
      </w:pPr>
      <w:r w:rsidRPr="000D4291">
        <w:rPr>
          <w:color w:val="000000"/>
          <w:sz w:val="20"/>
          <w:lang w:val="fr-CA"/>
        </w:rPr>
        <w:t>La requête en prorogation du délai de signification et de dépôt de la demande d’autorisation d’appel est accueillie.</w:t>
      </w:r>
      <w:r w:rsidRPr="000D4291">
        <w:rPr>
          <w:sz w:val="20"/>
          <w:lang w:val="fr-CA"/>
        </w:rPr>
        <w:t xml:space="preserve"> La demande d’autorisation d’appel de l’arrêt de la Cour d’appel de l’Alberta (Edmonton), numéro 1903-0207AC, 2020 ABCA 449, daté du 9 décembre 2020, est rejetée avec dépens.</w:t>
      </w:r>
    </w:p>
    <w:p w:rsidR="00367FD9" w:rsidRPr="000D4291" w:rsidRDefault="00367FD9" w:rsidP="00A4209E">
      <w:pPr>
        <w:widowControl w:val="0"/>
        <w:rPr>
          <w:sz w:val="20"/>
          <w:lang w:val="fr-CA"/>
        </w:rPr>
      </w:pPr>
    </w:p>
    <w:p w:rsidR="00A4209E" w:rsidRPr="000D4291" w:rsidRDefault="00DA56E4" w:rsidP="00A4209E">
      <w:pPr>
        <w:widowControl w:val="0"/>
        <w:rPr>
          <w:sz w:val="20"/>
          <w:lang w:val="fr-CA"/>
        </w:rPr>
      </w:pPr>
      <w:r w:rsidRPr="000D4291">
        <w:rPr>
          <w:sz w:val="20"/>
        </w:rPr>
        <w:pict>
          <v:rect id="_x0000_i1032" style="width:2in;height:1pt" o:hrpct="0" o:hralign="center" o:hrstd="t" o:hrnoshade="t" o:hr="t" fillcolor="black [3213]" stroked="f"/>
        </w:pict>
      </w:r>
    </w:p>
    <w:p w:rsidR="00A4209E" w:rsidRPr="000D4291" w:rsidRDefault="00A4209E" w:rsidP="00A4209E">
      <w:pPr>
        <w:widowControl w:val="0"/>
        <w:rPr>
          <w:sz w:val="20"/>
        </w:rPr>
      </w:pPr>
    </w:p>
    <w:p w:rsidR="000D4291" w:rsidRPr="000D4291" w:rsidRDefault="000D4291" w:rsidP="000D4291">
      <w:pPr>
        <w:rPr>
          <w:color w:val="000000"/>
          <w:sz w:val="22"/>
          <w:szCs w:val="22"/>
        </w:rPr>
      </w:pPr>
      <w:r w:rsidRPr="000D4291">
        <w:rPr>
          <w:i/>
          <w:sz w:val="22"/>
          <w:szCs w:val="22"/>
        </w:rPr>
        <w:t>Robert Lockhart personally and in his capacity as attorney for property of June Lockhart v. Barbara Lockhart personally and in her capacity as attorney for property of June Lockhart</w:t>
      </w:r>
      <w:r w:rsidRPr="000D4291">
        <w:rPr>
          <w:sz w:val="22"/>
          <w:szCs w:val="22"/>
        </w:rPr>
        <w:t xml:space="preserve"> (Ont.) (Civil) (By Leave) </w:t>
      </w:r>
      <w:r w:rsidRPr="000D4291">
        <w:rPr>
          <w:rFonts w:eastAsia="Calibri"/>
          <w:sz w:val="22"/>
          <w:szCs w:val="22"/>
        </w:rPr>
        <w:t>(</w:t>
      </w:r>
      <w:hyperlink r:id="rId14" w:history="1">
        <w:r w:rsidRPr="000D4291">
          <w:rPr>
            <w:rStyle w:val="Hyperlink"/>
            <w:rFonts w:eastAsia="Calibri"/>
            <w:sz w:val="22"/>
            <w:szCs w:val="22"/>
          </w:rPr>
          <w:t>40009</w:t>
        </w:r>
      </w:hyperlink>
      <w:r w:rsidRPr="000D4291">
        <w:rPr>
          <w:rFonts w:eastAsia="Calibri"/>
          <w:sz w:val="22"/>
          <w:szCs w:val="22"/>
        </w:rPr>
        <w:t>)</w:t>
      </w:r>
    </w:p>
    <w:p w:rsidR="00A4209E" w:rsidRPr="000D4291" w:rsidRDefault="00A4209E" w:rsidP="00A4209E">
      <w:pPr>
        <w:widowControl w:val="0"/>
        <w:rPr>
          <w:sz w:val="20"/>
        </w:rPr>
      </w:pPr>
    </w:p>
    <w:p w:rsidR="000D4291" w:rsidRPr="000D4291" w:rsidRDefault="000D4291" w:rsidP="000D4291">
      <w:pPr>
        <w:jc w:val="both"/>
        <w:rPr>
          <w:sz w:val="20"/>
        </w:rPr>
      </w:pPr>
      <w:r w:rsidRPr="000D4291">
        <w:rPr>
          <w:color w:val="000000"/>
          <w:sz w:val="20"/>
        </w:rPr>
        <w:t xml:space="preserve">The </w:t>
      </w:r>
      <w:r w:rsidRPr="000D4291">
        <w:rPr>
          <w:rStyle w:val="solexhl"/>
          <w:color w:val="000000"/>
          <w:sz w:val="20"/>
        </w:rPr>
        <w:t>motion</w:t>
      </w:r>
      <w:r w:rsidRPr="000D4291">
        <w:rPr>
          <w:sz w:val="20"/>
        </w:rPr>
        <w:t xml:space="preserve"> </w:t>
      </w:r>
      <w:r w:rsidRPr="000D4291">
        <w:rPr>
          <w:color w:val="000000"/>
          <w:sz w:val="20"/>
        </w:rPr>
        <w:t xml:space="preserve">for an </w:t>
      </w:r>
      <w:r w:rsidRPr="000D4291">
        <w:rPr>
          <w:rStyle w:val="solexhl"/>
          <w:color w:val="000000"/>
          <w:sz w:val="20"/>
        </w:rPr>
        <w:t>extension</w:t>
      </w:r>
      <w:r w:rsidRPr="000D4291">
        <w:rPr>
          <w:sz w:val="20"/>
        </w:rPr>
        <w:t xml:space="preserve"> </w:t>
      </w:r>
      <w:r w:rsidRPr="000D4291">
        <w:rPr>
          <w:color w:val="000000"/>
          <w:sz w:val="20"/>
        </w:rPr>
        <w:t xml:space="preserve">of time to serve and file the application for leave to appeal is </w:t>
      </w:r>
      <w:r w:rsidRPr="000D4291">
        <w:rPr>
          <w:rStyle w:val="solexhl"/>
          <w:color w:val="000000"/>
          <w:sz w:val="20"/>
        </w:rPr>
        <w:t>dismissed</w:t>
      </w:r>
      <w:r w:rsidRPr="000D4291">
        <w:rPr>
          <w:color w:val="000000"/>
          <w:sz w:val="20"/>
        </w:rPr>
        <w:t>.</w:t>
      </w:r>
      <w:r w:rsidRPr="000D4291">
        <w:rPr>
          <w:sz w:val="20"/>
        </w:rPr>
        <w:t xml:space="preserve"> </w:t>
      </w:r>
      <w:r w:rsidRPr="000D4291">
        <w:rPr>
          <w:color w:val="000000"/>
          <w:sz w:val="20"/>
        </w:rPr>
        <w:t xml:space="preserve">In any event, had the </w:t>
      </w:r>
      <w:r w:rsidRPr="000D4291">
        <w:rPr>
          <w:rStyle w:val="solexhl"/>
          <w:color w:val="000000"/>
          <w:sz w:val="20"/>
        </w:rPr>
        <w:t>motion</w:t>
      </w:r>
      <w:r w:rsidRPr="000D4291">
        <w:rPr>
          <w:sz w:val="20"/>
        </w:rPr>
        <w:t xml:space="preserve"> </w:t>
      </w:r>
      <w:r w:rsidRPr="000D4291">
        <w:rPr>
          <w:color w:val="000000"/>
          <w:sz w:val="20"/>
        </w:rPr>
        <w:t xml:space="preserve">for an </w:t>
      </w:r>
      <w:r w:rsidRPr="000D4291">
        <w:rPr>
          <w:rStyle w:val="solexhl"/>
          <w:color w:val="000000"/>
          <w:sz w:val="20"/>
        </w:rPr>
        <w:t>extension</w:t>
      </w:r>
      <w:r w:rsidRPr="000D4291">
        <w:rPr>
          <w:sz w:val="20"/>
        </w:rPr>
        <w:t xml:space="preserve"> </w:t>
      </w:r>
      <w:r w:rsidRPr="000D4291">
        <w:rPr>
          <w:color w:val="000000"/>
          <w:sz w:val="20"/>
        </w:rPr>
        <w:t>of time been granted,</w:t>
      </w:r>
      <w:r w:rsidRPr="000D4291">
        <w:rPr>
          <w:sz w:val="20"/>
        </w:rPr>
        <w:t xml:space="preserve"> the application for leave to appeal from the judgment of the Court of Appeal for Ontario, Number C68651, 2021 ONCA 329, dated May 19, 2021, would have been dismissed.</w:t>
      </w:r>
    </w:p>
    <w:p w:rsidR="000D4291" w:rsidRPr="000D4291" w:rsidRDefault="000D4291" w:rsidP="000D4291">
      <w:pPr>
        <w:jc w:val="both"/>
        <w:rPr>
          <w:sz w:val="20"/>
        </w:rPr>
      </w:pPr>
    </w:p>
    <w:p w:rsidR="00367FD9" w:rsidRPr="000D4291" w:rsidRDefault="000D4291" w:rsidP="000D4291">
      <w:pPr>
        <w:widowControl w:val="0"/>
        <w:jc w:val="both"/>
        <w:rPr>
          <w:sz w:val="20"/>
        </w:rPr>
      </w:pPr>
      <w:r w:rsidRPr="000D4291">
        <w:rPr>
          <w:sz w:val="20"/>
        </w:rPr>
        <w:t>Jamal J. took no part in the judgment.</w:t>
      </w:r>
    </w:p>
    <w:p w:rsidR="00367FD9" w:rsidRPr="000D4291" w:rsidRDefault="00367FD9" w:rsidP="000D4291">
      <w:pPr>
        <w:widowControl w:val="0"/>
        <w:jc w:val="both"/>
        <w:rPr>
          <w:sz w:val="20"/>
        </w:rPr>
      </w:pPr>
    </w:p>
    <w:p w:rsidR="000D4291" w:rsidRPr="000D4291" w:rsidRDefault="000D4291" w:rsidP="000D4291">
      <w:pPr>
        <w:jc w:val="both"/>
        <w:rPr>
          <w:sz w:val="20"/>
          <w:lang w:val="fr-CA"/>
        </w:rPr>
      </w:pPr>
      <w:r w:rsidRPr="000D4291">
        <w:rPr>
          <w:color w:val="000000"/>
          <w:sz w:val="20"/>
          <w:lang w:val="fr-CA"/>
        </w:rPr>
        <w:t>La requête en prorogation du délai de signification et de dépôt de la demande d’autorisation d’appel est rejetée. Quoi qu’il en soit, même si la requête en prorogation du délai avait été accueillie, l</w:t>
      </w:r>
      <w:r w:rsidRPr="000D4291">
        <w:rPr>
          <w:sz w:val="20"/>
          <w:lang w:val="fr-CA"/>
        </w:rPr>
        <w:t xml:space="preserve">a demande d’autorisation d’appel de l’arrêt de la Cour d’appel de l’Ontario, numéro C68651, 2021 ONCA 329, daté du 19 mai 2021, aurait été rejetée. </w:t>
      </w:r>
    </w:p>
    <w:p w:rsidR="000D4291" w:rsidRPr="000D4291" w:rsidRDefault="000D4291" w:rsidP="000D4291">
      <w:pPr>
        <w:jc w:val="both"/>
        <w:rPr>
          <w:sz w:val="20"/>
          <w:lang w:val="fr-CA"/>
        </w:rPr>
      </w:pPr>
    </w:p>
    <w:p w:rsidR="00367FD9" w:rsidRPr="000D4291" w:rsidRDefault="000D4291" w:rsidP="000D4291">
      <w:pPr>
        <w:widowControl w:val="0"/>
        <w:jc w:val="both"/>
        <w:rPr>
          <w:sz w:val="20"/>
          <w:lang w:val="fr-CA"/>
        </w:rPr>
      </w:pPr>
      <w:r w:rsidRPr="000D4291">
        <w:rPr>
          <w:sz w:val="20"/>
          <w:lang w:val="fr-CA"/>
        </w:rPr>
        <w:t>Le juge Jamal n’a pas participé au jugement.</w:t>
      </w:r>
    </w:p>
    <w:p w:rsidR="00B9373E" w:rsidRPr="000D4291" w:rsidRDefault="00B9373E" w:rsidP="00B708E5">
      <w:pPr>
        <w:widowControl w:val="0"/>
        <w:rPr>
          <w:sz w:val="20"/>
          <w:lang w:val="fr-CA"/>
        </w:rPr>
      </w:pPr>
    </w:p>
    <w:p w:rsidR="00B708E5" w:rsidRPr="000D4291" w:rsidRDefault="00DA56E4" w:rsidP="00B708E5">
      <w:pPr>
        <w:widowControl w:val="0"/>
        <w:rPr>
          <w:sz w:val="20"/>
          <w:lang w:val="fr-CA"/>
        </w:rPr>
      </w:pPr>
      <w:r w:rsidRPr="000D4291">
        <w:rPr>
          <w:sz w:val="20"/>
        </w:rPr>
        <w:pict>
          <v:rect id="_x0000_i1033" style="width:2in;height:1pt" o:hrpct="0" o:hralign="center" o:hrstd="t" o:hrnoshade="t" o:hr="t" fillcolor="black [3213]" stroked="f"/>
        </w:pict>
      </w:r>
    </w:p>
    <w:p w:rsidR="00B9373E" w:rsidRPr="000D4291" w:rsidRDefault="00B9373E" w:rsidP="00D3228D">
      <w:pPr>
        <w:ind w:left="357" w:hanging="357"/>
        <w:jc w:val="both"/>
        <w:rPr>
          <w:sz w:val="20"/>
          <w:lang w:val="fr-CA"/>
        </w:rPr>
      </w:pPr>
    </w:p>
    <w:p w:rsidR="00B9373E" w:rsidRPr="000D4291" w:rsidRDefault="00B9373E" w:rsidP="00D3228D">
      <w:pPr>
        <w:ind w:left="357" w:hanging="357"/>
        <w:jc w:val="both"/>
        <w:rPr>
          <w:sz w:val="20"/>
        </w:rPr>
      </w:pPr>
    </w:p>
    <w:p w:rsidR="00A30607" w:rsidRPr="000D4291" w:rsidRDefault="00A30607" w:rsidP="00D3228D">
      <w:pPr>
        <w:ind w:left="357" w:hanging="357"/>
        <w:jc w:val="both"/>
        <w:rPr>
          <w:sz w:val="20"/>
        </w:rPr>
      </w:pPr>
    </w:p>
    <w:p w:rsidR="00D3344A" w:rsidRPr="000D4291" w:rsidRDefault="00D3344A" w:rsidP="00D3344A">
      <w:pPr>
        <w:widowControl w:val="0"/>
        <w:outlineLvl w:val="0"/>
      </w:pPr>
      <w:r w:rsidRPr="000D4291">
        <w:t xml:space="preserve">Supreme Court of Canada / Cour suprême du </w:t>
      </w:r>
      <w:proofErr w:type="gramStart"/>
      <w:r w:rsidRPr="000D4291">
        <w:t>Canada :</w:t>
      </w:r>
      <w:proofErr w:type="gramEnd"/>
      <w:r w:rsidRPr="000D4291">
        <w:t xml:space="preserve"> </w:t>
      </w:r>
    </w:p>
    <w:p w:rsidR="00D3344A" w:rsidRPr="000D4291" w:rsidRDefault="00DA56E4" w:rsidP="00D3344A">
      <w:pPr>
        <w:widowControl w:val="0"/>
        <w:outlineLvl w:val="0"/>
        <w:rPr>
          <w:color w:val="0000FF"/>
          <w:u w:val="single"/>
        </w:rPr>
      </w:pPr>
      <w:hyperlink r:id="rId15" w:history="1">
        <w:r w:rsidR="00D3344A" w:rsidRPr="000D4291">
          <w:rPr>
            <w:rStyle w:val="Hyperlink"/>
          </w:rPr>
          <w:t>comments-commentaires@scc-csc.ca</w:t>
        </w:r>
      </w:hyperlink>
    </w:p>
    <w:p w:rsidR="00D3344A" w:rsidRPr="000D4291" w:rsidRDefault="00D3344A" w:rsidP="00D3344A">
      <w:pPr>
        <w:widowControl w:val="0"/>
        <w:outlineLvl w:val="0"/>
      </w:pPr>
      <w:r w:rsidRPr="000D4291">
        <w:t>(613) 995-4330</w:t>
      </w:r>
    </w:p>
    <w:p w:rsidR="00497B5E" w:rsidRPr="000D4291" w:rsidRDefault="00497B5E" w:rsidP="00497B5E">
      <w:pPr>
        <w:widowControl w:val="0"/>
        <w:rPr>
          <w:sz w:val="20"/>
        </w:rPr>
      </w:pPr>
    </w:p>
    <w:p w:rsidR="003F43E6" w:rsidRPr="000D4291" w:rsidRDefault="003F43E6" w:rsidP="00497B5E">
      <w:pPr>
        <w:widowControl w:val="0"/>
        <w:rPr>
          <w:sz w:val="20"/>
        </w:rPr>
      </w:pPr>
    </w:p>
    <w:p w:rsidR="00224F26" w:rsidRPr="00910AEC" w:rsidRDefault="003F43E6" w:rsidP="00DE0F77">
      <w:pPr>
        <w:pStyle w:val="Footer"/>
        <w:jc w:val="center"/>
      </w:pPr>
      <w:r w:rsidRPr="000D4291">
        <w:t>- 30</w:t>
      </w:r>
      <w:r w:rsidR="00312438" w:rsidRPr="000D4291">
        <w:t xml:space="preserve"> -</w:t>
      </w:r>
      <w:bookmarkStart w:id="1" w:name="_GoBack"/>
      <w:bookmarkEnd w:id="1"/>
    </w:p>
    <w:p w:rsidR="00C711D9" w:rsidRPr="00910AEC" w:rsidRDefault="00C711D9">
      <w:pPr>
        <w:pStyle w:val="Footer"/>
        <w:jc w:val="center"/>
      </w:pPr>
    </w:p>
    <w:sectPr w:rsidR="00C711D9" w:rsidRPr="00910AEC"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5"/>
  </w:num>
  <w:num w:numId="4">
    <w:abstractNumId w:val="21"/>
  </w:num>
  <w:num w:numId="5">
    <w:abstractNumId w:val="18"/>
  </w:num>
  <w:num w:numId="6">
    <w:abstractNumId w:val="9"/>
  </w:num>
  <w:num w:numId="7">
    <w:abstractNumId w:val="16"/>
  </w:num>
  <w:num w:numId="8">
    <w:abstractNumId w:val="13"/>
  </w:num>
  <w:num w:numId="9">
    <w:abstractNumId w:val="1"/>
  </w:num>
  <w:num w:numId="10">
    <w:abstractNumId w:val="11"/>
  </w:num>
  <w:num w:numId="11">
    <w:abstractNumId w:val="20"/>
  </w:num>
  <w:num w:numId="12">
    <w:abstractNumId w:val="12"/>
  </w:num>
  <w:num w:numId="13">
    <w:abstractNumId w:val="8"/>
  </w:num>
  <w:num w:numId="14">
    <w:abstractNumId w:val="10"/>
  </w:num>
  <w:num w:numId="15">
    <w:abstractNumId w:val="7"/>
  </w:num>
  <w:num w:numId="16">
    <w:abstractNumId w:val="14"/>
  </w:num>
  <w:num w:numId="17">
    <w:abstractNumId w:val="19"/>
  </w:num>
  <w:num w:numId="18">
    <w:abstractNumId w:val="15"/>
  </w:num>
  <w:num w:numId="19">
    <w:abstractNumId w:val="22"/>
  </w:num>
  <w:num w:numId="20">
    <w:abstractNumId w:val="0"/>
  </w:num>
  <w:num w:numId="21">
    <w:abstractNumId w:val="4"/>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90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974" TargetMode="External"/><Relationship Id="rId13" Type="http://schemas.openxmlformats.org/officeDocument/2006/relationships/hyperlink" Target="https://www.scc-csc.ca/case-dossier/info/sum-som-eng.aspx?cas=4000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400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999"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scc-csc.ca/case-dossier/info/sum-som-eng.aspx?cas=3991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027" TargetMode="External"/><Relationship Id="rId14" Type="http://schemas.openxmlformats.org/officeDocument/2006/relationships/hyperlink" Target="https://www.scc-csc.ca/case-dossier/info/sum-som-eng.aspx?cas=40009"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3E598-A009-4911-AF53-A1A76869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2022-04-19T12:49:00Z</dcterms:modified>
</cp:coreProperties>
</file>