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4B3343" w:rsidRDefault="00A41431" w:rsidP="00A41431">
      <w:pPr>
        <w:pStyle w:val="Header"/>
        <w:jc w:val="center"/>
        <w:rPr>
          <w:b/>
          <w:sz w:val="32"/>
        </w:rPr>
      </w:pPr>
      <w:r w:rsidRPr="004B3343">
        <w:rPr>
          <w:b/>
          <w:sz w:val="32"/>
        </w:rPr>
        <w:t>Supreme Court of Canada / Cour suprême du Canada</w:t>
      </w:r>
    </w:p>
    <w:p w:rsidR="00A41431" w:rsidRPr="004B3343" w:rsidRDefault="00A41431" w:rsidP="00A41431">
      <w:pPr>
        <w:widowControl w:val="0"/>
        <w:rPr>
          <w:i/>
        </w:rPr>
      </w:pPr>
    </w:p>
    <w:p w:rsidR="00A41431" w:rsidRPr="004B3343" w:rsidRDefault="00A41431" w:rsidP="00A41431">
      <w:pPr>
        <w:widowControl w:val="0"/>
        <w:rPr>
          <w:i/>
        </w:rPr>
      </w:pPr>
    </w:p>
    <w:p w:rsidR="00DF33A9" w:rsidRPr="004B3343" w:rsidRDefault="00DF33A9" w:rsidP="00DF33A9">
      <w:pPr>
        <w:widowControl w:val="0"/>
        <w:rPr>
          <w:i/>
          <w:sz w:val="20"/>
          <w:lang w:val="fr-CA"/>
        </w:rPr>
      </w:pPr>
      <w:r w:rsidRPr="004B3343">
        <w:rPr>
          <w:i/>
          <w:sz w:val="20"/>
          <w:lang w:val="fr-CA"/>
        </w:rPr>
        <w:t>(</w:t>
      </w:r>
      <w:r w:rsidR="00167C53" w:rsidRPr="004B3343">
        <w:rPr>
          <w:i/>
          <w:sz w:val="20"/>
          <w:lang w:val="fr-CA"/>
        </w:rPr>
        <w:t>Le</w:t>
      </w:r>
      <w:r w:rsidRPr="004B3343">
        <w:rPr>
          <w:i/>
          <w:sz w:val="20"/>
          <w:lang w:val="fr-CA"/>
        </w:rPr>
        <w:t xml:space="preserve"> français suit)</w:t>
      </w:r>
    </w:p>
    <w:p w:rsidR="00DF33A9" w:rsidRPr="004B3343" w:rsidRDefault="00DF33A9" w:rsidP="00DF33A9">
      <w:pPr>
        <w:widowControl w:val="0"/>
        <w:rPr>
          <w:lang w:val="fr-CA"/>
        </w:rPr>
      </w:pPr>
    </w:p>
    <w:p w:rsidR="00DF33A9" w:rsidRPr="004B3343" w:rsidRDefault="001E2235" w:rsidP="00DF33A9">
      <w:pPr>
        <w:widowControl w:val="0"/>
        <w:jc w:val="center"/>
        <w:rPr>
          <w:b/>
          <w:lang w:val="fr-CA"/>
        </w:rPr>
      </w:pPr>
      <w:r w:rsidRPr="004B3343">
        <w:fldChar w:fldCharType="begin"/>
      </w:r>
      <w:r w:rsidR="00DF33A9" w:rsidRPr="004B3343">
        <w:rPr>
          <w:lang w:val="fr-CA"/>
        </w:rPr>
        <w:instrText xml:space="preserve"> SEQ CHAPTER \h \r 1</w:instrText>
      </w:r>
      <w:r w:rsidRPr="004B3343">
        <w:fldChar w:fldCharType="end"/>
      </w:r>
      <w:r w:rsidR="00DF33A9" w:rsidRPr="004B3343">
        <w:rPr>
          <w:b/>
          <w:lang w:val="fr-CA"/>
        </w:rPr>
        <w:t>JUDGMENT</w:t>
      </w:r>
      <w:r w:rsidR="00FE28D6" w:rsidRPr="004B3343">
        <w:rPr>
          <w:b/>
          <w:lang w:val="fr-CA"/>
        </w:rPr>
        <w:t>S</w:t>
      </w:r>
      <w:r w:rsidR="00777096" w:rsidRPr="004B3343">
        <w:rPr>
          <w:b/>
          <w:lang w:val="fr-CA"/>
        </w:rPr>
        <w:t xml:space="preserve"> </w:t>
      </w:r>
      <w:r w:rsidR="00DF33A9" w:rsidRPr="004B3343">
        <w:rPr>
          <w:b/>
          <w:lang w:val="fr-CA"/>
        </w:rPr>
        <w:t>IN APPEA</w:t>
      </w:r>
      <w:r w:rsidR="00671A3B" w:rsidRPr="004B3343">
        <w:rPr>
          <w:b/>
          <w:lang w:val="fr-CA"/>
        </w:rPr>
        <w:t>L</w:t>
      </w:r>
      <w:r w:rsidR="00FE28D6" w:rsidRPr="004B3343">
        <w:rPr>
          <w:b/>
          <w:lang w:val="fr-CA"/>
        </w:rPr>
        <w:t>S</w:t>
      </w:r>
    </w:p>
    <w:p w:rsidR="00DF33A9" w:rsidRPr="004B3343" w:rsidRDefault="00DF33A9" w:rsidP="0050239F">
      <w:pPr>
        <w:widowControl w:val="0"/>
        <w:rPr>
          <w:lang w:val="fr-CA"/>
        </w:rPr>
      </w:pPr>
    </w:p>
    <w:p w:rsidR="00DF33A9" w:rsidRPr="004B3343" w:rsidRDefault="00DE17C5" w:rsidP="00DF33A9">
      <w:pPr>
        <w:widowControl w:val="0"/>
      </w:pPr>
      <w:r w:rsidRPr="004B3343">
        <w:rPr>
          <w:b/>
        </w:rPr>
        <w:t>May</w:t>
      </w:r>
      <w:r w:rsidR="006E047B" w:rsidRPr="004B3343">
        <w:rPr>
          <w:b/>
        </w:rPr>
        <w:t xml:space="preserve"> </w:t>
      </w:r>
      <w:r w:rsidRPr="004B3343">
        <w:rPr>
          <w:b/>
        </w:rPr>
        <w:t>13</w:t>
      </w:r>
      <w:r w:rsidR="00425D2C" w:rsidRPr="004B3343">
        <w:rPr>
          <w:b/>
        </w:rPr>
        <w:t>, 20</w:t>
      </w:r>
      <w:r w:rsidR="009C1BB4" w:rsidRPr="004B3343">
        <w:rPr>
          <w:b/>
        </w:rPr>
        <w:t>2</w:t>
      </w:r>
      <w:r w:rsidR="00381CFA" w:rsidRPr="004B3343">
        <w:rPr>
          <w:b/>
        </w:rPr>
        <w:t>2</w:t>
      </w:r>
    </w:p>
    <w:p w:rsidR="00DF33A9" w:rsidRPr="004B3343" w:rsidRDefault="00DF33A9" w:rsidP="00DF33A9">
      <w:pPr>
        <w:widowControl w:val="0"/>
        <w:rPr>
          <w:b/>
        </w:rPr>
      </w:pPr>
      <w:r w:rsidRPr="004B3343">
        <w:rPr>
          <w:b/>
        </w:rPr>
        <w:t>For immediate release</w:t>
      </w:r>
    </w:p>
    <w:p w:rsidR="00DF33A9" w:rsidRPr="004B3343" w:rsidRDefault="00DF33A9" w:rsidP="00DF33A9">
      <w:pPr>
        <w:widowControl w:val="0"/>
      </w:pPr>
    </w:p>
    <w:p w:rsidR="00DF33A9" w:rsidRPr="004B3343" w:rsidRDefault="00DF33A9" w:rsidP="00167C53">
      <w:pPr>
        <w:widowControl w:val="0"/>
      </w:pPr>
      <w:r w:rsidRPr="004B3343">
        <w:rPr>
          <w:b/>
        </w:rPr>
        <w:t>OTTAWA</w:t>
      </w:r>
      <w:r w:rsidRPr="004B3343">
        <w:t xml:space="preserve"> – The Suprem</w:t>
      </w:r>
      <w:r w:rsidR="00BE16ED" w:rsidRPr="004B3343">
        <w:t>e</w:t>
      </w:r>
      <w:r w:rsidRPr="004B3343">
        <w:t xml:space="preserve"> Court of Canada has today deposited with the Registrar </w:t>
      </w:r>
      <w:r w:rsidR="004972A6" w:rsidRPr="004B3343">
        <w:t>judgmen</w:t>
      </w:r>
      <w:r w:rsidR="00167671" w:rsidRPr="004B3343">
        <w:t>t</w:t>
      </w:r>
      <w:r w:rsidR="00FE28D6" w:rsidRPr="004B3343">
        <w:t>s</w:t>
      </w:r>
      <w:r w:rsidR="004972A6" w:rsidRPr="004B3343">
        <w:t xml:space="preserve"> in the following appeal</w:t>
      </w:r>
      <w:r w:rsidR="00FE28D6" w:rsidRPr="004B3343">
        <w:t>s</w:t>
      </w:r>
      <w:r w:rsidRPr="004B3343">
        <w:t>.</w:t>
      </w:r>
      <w:r w:rsidR="00167C53" w:rsidRPr="004B3343">
        <w:t xml:space="preserve"> </w:t>
      </w:r>
      <w:r w:rsidR="0050239F" w:rsidRPr="004B3343">
        <w:t xml:space="preserve">The </w:t>
      </w:r>
      <w:hyperlink r:id="rId7" w:history="1">
        <w:r w:rsidR="00A15DD5" w:rsidRPr="004B3343">
          <w:rPr>
            <w:rStyle w:val="Hyperlink"/>
          </w:rPr>
          <w:t>reasons for judgmen</w:t>
        </w:r>
        <w:r w:rsidR="00FE28D6" w:rsidRPr="004B3343">
          <w:rPr>
            <w:rStyle w:val="Hyperlink"/>
          </w:rPr>
          <w:t>ts</w:t>
        </w:r>
      </w:hyperlink>
      <w:r w:rsidR="00A15DD5" w:rsidRPr="004B3343">
        <w:t xml:space="preserve"> and the </w:t>
      </w:r>
      <w:hyperlink r:id="rId8" w:history="1">
        <w:r w:rsidR="00A15DD5" w:rsidRPr="004B3343">
          <w:rPr>
            <w:rStyle w:val="Hyperlink"/>
          </w:rPr>
          <w:t>Case</w:t>
        </w:r>
        <w:r w:rsidR="00F460B4">
          <w:rPr>
            <w:rStyle w:val="Hyperlink"/>
          </w:rPr>
          <w:t>s</w:t>
        </w:r>
        <w:r w:rsidR="00A15DD5" w:rsidRPr="004B3343">
          <w:rPr>
            <w:rStyle w:val="Hyperlink"/>
          </w:rPr>
          <w:t xml:space="preserve"> in Brief</w:t>
        </w:r>
      </w:hyperlink>
      <w:r w:rsidR="00A15DD5" w:rsidRPr="004B3343">
        <w:t xml:space="preserve"> will </w:t>
      </w:r>
      <w:r w:rsidRPr="004B3343">
        <w:t>be available shortly</w:t>
      </w:r>
      <w:r w:rsidR="006E047B" w:rsidRPr="004B3343">
        <w:rPr>
          <w:rStyle w:val="Hyperlink"/>
          <w:color w:val="auto"/>
          <w:u w:val="none"/>
        </w:rPr>
        <w:t>.</w:t>
      </w:r>
    </w:p>
    <w:p w:rsidR="00DA7E05" w:rsidRPr="004B3343" w:rsidRDefault="00DA7E05" w:rsidP="00DF33A9">
      <w:pPr>
        <w:widowControl w:val="0"/>
      </w:pPr>
    </w:p>
    <w:p w:rsidR="00AA2A9D" w:rsidRPr="004B3343" w:rsidRDefault="00AA2A9D" w:rsidP="00DF33A9">
      <w:pPr>
        <w:widowControl w:val="0"/>
      </w:pPr>
    </w:p>
    <w:p w:rsidR="00DF33A9" w:rsidRPr="004B3343" w:rsidRDefault="00DF33A9" w:rsidP="00DF33A9">
      <w:pPr>
        <w:widowControl w:val="0"/>
        <w:jc w:val="center"/>
        <w:rPr>
          <w:lang w:val="fr-CA"/>
        </w:rPr>
      </w:pPr>
      <w:r w:rsidRPr="004B3343">
        <w:rPr>
          <w:b/>
          <w:lang w:val="fr-CA"/>
        </w:rPr>
        <w:t>JUGEMENT</w:t>
      </w:r>
      <w:r w:rsidR="00FE28D6" w:rsidRPr="004B3343">
        <w:rPr>
          <w:b/>
          <w:lang w:val="fr-CA"/>
        </w:rPr>
        <w:t>S</w:t>
      </w:r>
      <w:r w:rsidRPr="004B3343">
        <w:rPr>
          <w:b/>
          <w:lang w:val="fr-CA"/>
        </w:rPr>
        <w:t xml:space="preserve"> SUR APPEL</w:t>
      </w:r>
      <w:r w:rsidR="00FE28D6" w:rsidRPr="004B3343">
        <w:rPr>
          <w:b/>
          <w:lang w:val="fr-CA"/>
        </w:rPr>
        <w:t>S</w:t>
      </w:r>
    </w:p>
    <w:p w:rsidR="00DF33A9" w:rsidRPr="004B3343" w:rsidRDefault="00DF33A9" w:rsidP="00DF33A9">
      <w:pPr>
        <w:widowControl w:val="0"/>
        <w:rPr>
          <w:lang w:val="fr-CA"/>
        </w:rPr>
      </w:pPr>
    </w:p>
    <w:p w:rsidR="00DF33A9" w:rsidRPr="004B3343" w:rsidRDefault="00DF33A9" w:rsidP="00DF33A9">
      <w:pPr>
        <w:widowControl w:val="0"/>
        <w:rPr>
          <w:lang w:val="fr-CA"/>
        </w:rPr>
      </w:pPr>
      <w:r w:rsidRPr="004B3343">
        <w:rPr>
          <w:b/>
          <w:lang w:val="fr-CA"/>
        </w:rPr>
        <w:t xml:space="preserve">Le </w:t>
      </w:r>
      <w:r w:rsidR="00DE17C5" w:rsidRPr="004B3343">
        <w:rPr>
          <w:b/>
          <w:lang w:val="fr-CA"/>
        </w:rPr>
        <w:t>13</w:t>
      </w:r>
      <w:r w:rsidR="008E1754" w:rsidRPr="004B3343">
        <w:rPr>
          <w:b/>
          <w:lang w:val="fr-CA"/>
        </w:rPr>
        <w:t xml:space="preserve"> </w:t>
      </w:r>
      <w:r w:rsidR="00DE17C5" w:rsidRPr="004B3343">
        <w:rPr>
          <w:b/>
          <w:lang w:val="fr-CA"/>
        </w:rPr>
        <w:t>mai</w:t>
      </w:r>
      <w:r w:rsidR="00BB1936" w:rsidRPr="004B3343">
        <w:rPr>
          <w:b/>
          <w:lang w:val="fr-CA"/>
        </w:rPr>
        <w:t xml:space="preserve"> </w:t>
      </w:r>
      <w:r w:rsidR="007B36C2" w:rsidRPr="004B3343">
        <w:rPr>
          <w:b/>
          <w:lang w:val="fr-CA"/>
        </w:rPr>
        <w:t>20</w:t>
      </w:r>
      <w:r w:rsidR="009C1BB4" w:rsidRPr="004B3343">
        <w:rPr>
          <w:b/>
          <w:lang w:val="fr-CA"/>
        </w:rPr>
        <w:t>2</w:t>
      </w:r>
      <w:r w:rsidR="00381CFA" w:rsidRPr="004B3343">
        <w:rPr>
          <w:b/>
          <w:lang w:val="fr-CA"/>
        </w:rPr>
        <w:t>2</w:t>
      </w:r>
      <w:bookmarkStart w:id="0" w:name="_GoBack"/>
      <w:bookmarkEnd w:id="0"/>
    </w:p>
    <w:p w:rsidR="00DF33A9" w:rsidRPr="004B3343" w:rsidRDefault="00DF33A9" w:rsidP="00DF33A9">
      <w:pPr>
        <w:widowControl w:val="0"/>
        <w:rPr>
          <w:b/>
          <w:lang w:val="fr-CA"/>
        </w:rPr>
      </w:pPr>
      <w:r w:rsidRPr="004B3343">
        <w:rPr>
          <w:b/>
          <w:lang w:val="fr-CA"/>
        </w:rPr>
        <w:t>Pour diffusion immédiate</w:t>
      </w:r>
    </w:p>
    <w:p w:rsidR="00DF33A9" w:rsidRPr="004B3343" w:rsidRDefault="00DF33A9" w:rsidP="00DF33A9">
      <w:pPr>
        <w:widowControl w:val="0"/>
        <w:rPr>
          <w:lang w:val="fr-CA"/>
        </w:rPr>
      </w:pPr>
    </w:p>
    <w:p w:rsidR="00DF33A9" w:rsidRPr="004B3343" w:rsidRDefault="00DF33A9" w:rsidP="00167C53">
      <w:pPr>
        <w:widowControl w:val="0"/>
        <w:rPr>
          <w:rStyle w:val="Hyperlink"/>
          <w:color w:val="auto"/>
          <w:u w:val="none"/>
          <w:lang w:val="fr-CA"/>
        </w:rPr>
      </w:pPr>
      <w:r w:rsidRPr="004B3343">
        <w:rPr>
          <w:b/>
          <w:lang w:val="fr-CA"/>
        </w:rPr>
        <w:t>OTTAWA</w:t>
      </w:r>
      <w:r w:rsidRPr="004B3343">
        <w:rPr>
          <w:lang w:val="fr-CA"/>
        </w:rPr>
        <w:t xml:space="preserve"> – La Cour suprême du Canada a déposé aujourd’hui auprès du registraire</w:t>
      </w:r>
      <w:r w:rsidR="004972A6" w:rsidRPr="004B3343">
        <w:rPr>
          <w:lang w:val="fr-CA"/>
        </w:rPr>
        <w:t xml:space="preserve"> le</w:t>
      </w:r>
      <w:r w:rsidR="00FE28D6" w:rsidRPr="004B3343">
        <w:rPr>
          <w:lang w:val="fr-CA"/>
        </w:rPr>
        <w:t>s</w:t>
      </w:r>
      <w:r w:rsidR="004972A6" w:rsidRPr="004B3343">
        <w:rPr>
          <w:lang w:val="fr-CA"/>
        </w:rPr>
        <w:t xml:space="preserve"> jugement</w:t>
      </w:r>
      <w:r w:rsidR="00FE28D6" w:rsidRPr="004B3343">
        <w:rPr>
          <w:lang w:val="fr-CA"/>
        </w:rPr>
        <w:t>s</w:t>
      </w:r>
      <w:r w:rsidR="004972A6" w:rsidRPr="004B3343">
        <w:rPr>
          <w:lang w:val="fr-CA"/>
        </w:rPr>
        <w:t xml:space="preserve"> dans l</w:t>
      </w:r>
      <w:r w:rsidR="00FE28D6" w:rsidRPr="004B3343">
        <w:rPr>
          <w:lang w:val="fr-CA"/>
        </w:rPr>
        <w:t xml:space="preserve">es </w:t>
      </w:r>
      <w:r w:rsidR="004972A6" w:rsidRPr="004B3343">
        <w:rPr>
          <w:lang w:val="fr-CA"/>
        </w:rPr>
        <w:t>appel</w:t>
      </w:r>
      <w:r w:rsidR="00FE28D6" w:rsidRPr="004B3343">
        <w:rPr>
          <w:lang w:val="fr-CA"/>
        </w:rPr>
        <w:t>s</w:t>
      </w:r>
      <w:r w:rsidR="004972A6" w:rsidRPr="004B3343">
        <w:rPr>
          <w:lang w:val="fr-CA"/>
        </w:rPr>
        <w:t xml:space="preserve"> suivant</w:t>
      </w:r>
      <w:r w:rsidR="00FE28D6" w:rsidRPr="004B3343">
        <w:rPr>
          <w:lang w:val="fr-CA"/>
        </w:rPr>
        <w:t>s</w:t>
      </w:r>
      <w:r w:rsidR="004972A6" w:rsidRPr="004B3343">
        <w:rPr>
          <w:lang w:val="fr-CA"/>
        </w:rPr>
        <w:t>.</w:t>
      </w:r>
      <w:r w:rsidR="00167C53" w:rsidRPr="004B3343">
        <w:rPr>
          <w:lang w:val="fr-CA"/>
        </w:rPr>
        <w:t xml:space="preserve"> </w:t>
      </w:r>
      <w:r w:rsidR="0050239F" w:rsidRPr="004B3343">
        <w:rPr>
          <w:lang w:val="fr-CA"/>
        </w:rPr>
        <w:t xml:space="preserve">Les </w:t>
      </w:r>
      <w:hyperlink r:id="rId9" w:history="1">
        <w:r w:rsidR="00A15DD5" w:rsidRPr="004B3343">
          <w:rPr>
            <w:rStyle w:val="Hyperlink"/>
            <w:lang w:val="fr-CA"/>
          </w:rPr>
          <w:t>motifs de jugemen</w:t>
        </w:r>
        <w:r w:rsidR="004E7590" w:rsidRPr="004B3343">
          <w:rPr>
            <w:rStyle w:val="Hyperlink"/>
            <w:lang w:val="fr-CA"/>
          </w:rPr>
          <w:t>ts</w:t>
        </w:r>
      </w:hyperlink>
      <w:r w:rsidR="00A15DD5" w:rsidRPr="004B3343">
        <w:rPr>
          <w:lang w:val="fr-CA"/>
        </w:rPr>
        <w:t xml:space="preserve"> et </w:t>
      </w:r>
      <w:hyperlink r:id="rId10" w:history="1">
        <w:r w:rsidR="00A15DD5" w:rsidRPr="004B3343">
          <w:rPr>
            <w:rStyle w:val="Hyperlink"/>
            <w:i/>
            <w:lang w:val="fr-CA"/>
          </w:rPr>
          <w:t>L</w:t>
        </w:r>
        <w:r w:rsidR="00F460B4">
          <w:rPr>
            <w:rStyle w:val="Hyperlink"/>
            <w:i/>
            <w:lang w:val="fr-CA"/>
          </w:rPr>
          <w:t>es</w:t>
        </w:r>
        <w:r w:rsidR="00A15DD5" w:rsidRPr="004B3343">
          <w:rPr>
            <w:rStyle w:val="Hyperlink"/>
            <w:i/>
            <w:lang w:val="fr-CA"/>
          </w:rPr>
          <w:t xml:space="preserve"> cause</w:t>
        </w:r>
        <w:r w:rsidR="00F460B4">
          <w:rPr>
            <w:rStyle w:val="Hyperlink"/>
            <w:i/>
            <w:lang w:val="fr-CA"/>
          </w:rPr>
          <w:t>s</w:t>
        </w:r>
        <w:r w:rsidR="00A15DD5" w:rsidRPr="004B3343">
          <w:rPr>
            <w:rStyle w:val="Hyperlink"/>
            <w:i/>
            <w:lang w:val="fr-CA"/>
          </w:rPr>
          <w:t xml:space="preserve"> en bref</w:t>
        </w:r>
      </w:hyperlink>
      <w:r w:rsidR="00A15DD5" w:rsidRPr="004B3343">
        <w:rPr>
          <w:lang w:val="fr-CA"/>
        </w:rPr>
        <w:t xml:space="preserve"> seront</w:t>
      </w:r>
      <w:r w:rsidR="0050239F" w:rsidRPr="004B3343">
        <w:rPr>
          <w:lang w:val="fr-CA"/>
        </w:rPr>
        <w:t xml:space="preserve"> </w:t>
      </w:r>
      <w:r w:rsidRPr="004B3343">
        <w:rPr>
          <w:lang w:val="fr-CA"/>
        </w:rPr>
        <w:t>disponibles sous peu</w:t>
      </w:r>
      <w:r w:rsidR="0050239F" w:rsidRPr="004B3343">
        <w:rPr>
          <w:lang w:val="fr-CA"/>
        </w:rPr>
        <w:t>.</w:t>
      </w:r>
    </w:p>
    <w:p w:rsidR="00DA7E05" w:rsidRPr="004B3343"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4B3343" w:rsidRDefault="00F460B4" w:rsidP="00DF33A9">
      <w:pPr>
        <w:tabs>
          <w:tab w:val="left" w:pos="720"/>
          <w:tab w:val="left" w:pos="1296"/>
          <w:tab w:val="left" w:pos="2160"/>
          <w:tab w:val="left" w:pos="2880"/>
          <w:tab w:val="left" w:pos="4320"/>
          <w:tab w:val="left" w:pos="10224"/>
          <w:tab w:val="left" w:pos="11376"/>
        </w:tabs>
        <w:jc w:val="both"/>
        <w:rPr>
          <w:szCs w:val="24"/>
          <w:lang w:val="fr-CA"/>
        </w:rPr>
      </w:pPr>
      <w:r>
        <w:rPr>
          <w:sz w:val="20"/>
        </w:rPr>
        <w:pict>
          <v:rect id="_x0000_i1025" style="width:2in;height:1pt" o:hrpct="0" o:hralign="center" o:hrstd="t" o:hrnoshade="t" o:hr="t" fillcolor="black [3213]" stroked="f"/>
        </w:pict>
      </w:r>
    </w:p>
    <w:p w:rsidR="00A579AD" w:rsidRPr="004B3343" w:rsidRDefault="00A579AD" w:rsidP="00A579AD">
      <w:pPr>
        <w:jc w:val="both"/>
        <w:outlineLvl w:val="0"/>
        <w:rPr>
          <w:sz w:val="20"/>
          <w:lang w:val="fr-CA"/>
        </w:rPr>
      </w:pPr>
    </w:p>
    <w:p w:rsidR="004B3343" w:rsidRPr="004B3343" w:rsidRDefault="004B3343" w:rsidP="004B3343">
      <w:pPr>
        <w:ind w:left="1440" w:hanging="1440"/>
        <w:jc w:val="both"/>
        <w:rPr>
          <w:rFonts w:eastAsiaTheme="minorHAnsi" w:cstheme="minorBidi"/>
          <w:sz w:val="20"/>
        </w:rPr>
      </w:pPr>
      <w:r w:rsidRPr="004B3343">
        <w:rPr>
          <w:b/>
          <w:sz w:val="20"/>
        </w:rPr>
        <w:fldChar w:fldCharType="begin"/>
      </w:r>
      <w:r w:rsidRPr="004B3343">
        <w:rPr>
          <w:b/>
          <w:sz w:val="20"/>
        </w:rPr>
        <w:instrText xml:space="preserve"> SEQ CHAPTER \h \r 1</w:instrText>
      </w:r>
      <w:r w:rsidRPr="004B3343">
        <w:rPr>
          <w:b/>
          <w:sz w:val="20"/>
        </w:rPr>
        <w:fldChar w:fldCharType="end"/>
      </w:r>
      <w:r w:rsidRPr="004B3343">
        <w:rPr>
          <w:b/>
          <w:sz w:val="20"/>
        </w:rPr>
        <w:t>39781</w:t>
      </w:r>
      <w:r w:rsidRPr="004B3343">
        <w:rPr>
          <w:color w:val="FF0000"/>
          <w:sz w:val="20"/>
        </w:rPr>
        <w:tab/>
      </w:r>
      <w:r w:rsidRPr="004B3343">
        <w:rPr>
          <w:b/>
          <w:iCs/>
          <w:sz w:val="20"/>
        </w:rPr>
        <w:t>Matthew Winston Brown v. Her Majesty The Queen - and - Attorney General of Canada, Attorney General of Ontario, Attorney General of Manitoba, Attorney General of British Columbia, Attorney General of Saskatchewan, Canadian Civil Liberties Association, Empowerment Council, Criminal Lawyers’ Association and Women’s Legal Education and Action Fund Inc.</w:t>
      </w:r>
      <w:r w:rsidRPr="004B3343">
        <w:rPr>
          <w:rFonts w:eastAsiaTheme="minorHAnsi" w:cstheme="minorBidi"/>
          <w:b/>
          <w:sz w:val="20"/>
        </w:rPr>
        <w:t xml:space="preserve"> </w:t>
      </w:r>
      <w:r w:rsidRPr="004B3343">
        <w:rPr>
          <w:rFonts w:eastAsiaTheme="minorHAnsi" w:cstheme="minorBidi"/>
          <w:iCs/>
          <w:sz w:val="20"/>
        </w:rPr>
        <w:t>(Alta.)</w:t>
      </w:r>
    </w:p>
    <w:p w:rsidR="004B3343" w:rsidRPr="004B3343" w:rsidRDefault="004B3343" w:rsidP="004B3343">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4B3343">
        <w:rPr>
          <w:rFonts w:eastAsiaTheme="minorHAnsi" w:cstheme="minorBidi"/>
          <w:b/>
          <w:sz w:val="20"/>
        </w:rPr>
        <w:t>2022 SCC 18 / 2022 CSC 18</w:t>
      </w:r>
    </w:p>
    <w:p w:rsidR="004B3343" w:rsidRPr="004B3343" w:rsidRDefault="004B3343" w:rsidP="004B3343">
      <w:pPr>
        <w:ind w:left="1440" w:hanging="1440"/>
        <w:jc w:val="both"/>
        <w:rPr>
          <w:sz w:val="20"/>
        </w:rPr>
      </w:pPr>
    </w:p>
    <w:p w:rsidR="004B3343" w:rsidRPr="004B3343" w:rsidRDefault="004B3343" w:rsidP="004B3343">
      <w:pPr>
        <w:ind w:left="1440" w:hanging="1440"/>
        <w:rPr>
          <w:sz w:val="20"/>
        </w:rPr>
      </w:pPr>
      <w:r w:rsidRPr="004B3343">
        <w:rPr>
          <w:sz w:val="20"/>
        </w:rPr>
        <w:t>Coram:</w:t>
      </w:r>
      <w:r w:rsidRPr="004B3343">
        <w:rPr>
          <w:sz w:val="20"/>
        </w:rPr>
        <w:tab/>
        <w:t>Wagner C.J. and Moldaver, Karakatsanis, Côté, Brown, Rowe, Martin, Kasirer and Jamal JJ.</w:t>
      </w:r>
    </w:p>
    <w:p w:rsidR="004B3343" w:rsidRPr="004B3343" w:rsidRDefault="004B3343" w:rsidP="004B3343">
      <w:pPr>
        <w:jc w:val="both"/>
        <w:rPr>
          <w:sz w:val="20"/>
        </w:rPr>
      </w:pPr>
    </w:p>
    <w:p w:rsidR="004B3343" w:rsidRPr="004B3343" w:rsidRDefault="004B3343" w:rsidP="004B3343">
      <w:pPr>
        <w:jc w:val="both"/>
        <w:rPr>
          <w:sz w:val="20"/>
        </w:rPr>
      </w:pPr>
      <w:r w:rsidRPr="004B3343">
        <w:rPr>
          <w:sz w:val="20"/>
        </w:rPr>
        <w:t xml:space="preserve">The appeal from the judgment of the Court of Appeal of Alberta (Calgary), Number 2001-0071A, </w:t>
      </w:r>
      <w:proofErr w:type="gramStart"/>
      <w:r w:rsidRPr="004B3343">
        <w:rPr>
          <w:sz w:val="20"/>
        </w:rPr>
        <w:t>2021</w:t>
      </w:r>
      <w:proofErr w:type="gramEnd"/>
      <w:r w:rsidRPr="004B3343">
        <w:rPr>
          <w:sz w:val="20"/>
        </w:rPr>
        <w:t xml:space="preserve"> ABCA 273, dated July 29, 2021, heard on November 9, 2021, is allowed. Section 33.1 of the </w:t>
      </w:r>
      <w:r w:rsidRPr="004B3343">
        <w:rPr>
          <w:i/>
          <w:sz w:val="20"/>
        </w:rPr>
        <w:t>Criminal Code</w:t>
      </w:r>
      <w:r w:rsidRPr="004B3343">
        <w:rPr>
          <w:sz w:val="20"/>
        </w:rPr>
        <w:t xml:space="preserve">, R.S.C. 1985, c. C-46, infringes ss. 7 and 11(d) of the </w:t>
      </w:r>
      <w:r w:rsidRPr="004B3343">
        <w:rPr>
          <w:i/>
          <w:sz w:val="20"/>
        </w:rPr>
        <w:t>Canadian Charter</w:t>
      </w:r>
      <w:r w:rsidRPr="004B3343">
        <w:rPr>
          <w:sz w:val="20"/>
        </w:rPr>
        <w:t xml:space="preserve"> </w:t>
      </w:r>
      <w:r w:rsidRPr="004B3343">
        <w:rPr>
          <w:i/>
          <w:sz w:val="20"/>
        </w:rPr>
        <w:t>of Rights and Freedoms</w:t>
      </w:r>
      <w:r w:rsidRPr="004B3343">
        <w:rPr>
          <w:sz w:val="20"/>
        </w:rPr>
        <w:t xml:space="preserve"> and the infringements are not justified under s. 1. Section 33.1 is declared unconstitutional and of no force or effect. The judgment of the Court of Appeal is set aside and the appellant’s acquittal on the count of unlawful break and enter of a dwelling house and committing aggravated assault therein is restored.</w:t>
      </w:r>
    </w:p>
    <w:p w:rsidR="004B3343" w:rsidRPr="004B3343" w:rsidRDefault="004B3343" w:rsidP="004B3343">
      <w:pPr>
        <w:jc w:val="both"/>
        <w:rPr>
          <w:sz w:val="20"/>
        </w:rPr>
      </w:pPr>
    </w:p>
    <w:p w:rsidR="004B3343" w:rsidRPr="004B3343" w:rsidRDefault="004B3343" w:rsidP="004B3343">
      <w:pPr>
        <w:jc w:val="both"/>
        <w:rPr>
          <w:sz w:val="20"/>
          <w:lang w:val="fr-CA"/>
        </w:rPr>
      </w:pPr>
      <w:r w:rsidRPr="004B3343">
        <w:rPr>
          <w:sz w:val="20"/>
          <w:lang w:val="fr-CA"/>
        </w:rPr>
        <w:t xml:space="preserve">L’appel interjeté contre l’arrêt de la Cour d’appel de l’Alberta (Calgary), numéro 2001-0071A, 2021 ABCA 273, daté du 29 juillet 2021, entendu le 9 novembre 2021, est accueilli. L’article 33.1 du </w:t>
      </w:r>
      <w:r w:rsidRPr="004B3343">
        <w:rPr>
          <w:i/>
          <w:sz w:val="20"/>
          <w:lang w:val="fr-CA"/>
        </w:rPr>
        <w:t>Code criminel</w:t>
      </w:r>
      <w:r w:rsidRPr="004B3343">
        <w:rPr>
          <w:sz w:val="20"/>
          <w:lang w:val="fr-CA"/>
        </w:rPr>
        <w:t xml:space="preserve">, L.R.C. 1985, c. C-46, contrevient à l’art. 7 et à l’al. 11(d) de la </w:t>
      </w:r>
      <w:r w:rsidRPr="004B3343">
        <w:rPr>
          <w:i/>
          <w:sz w:val="20"/>
          <w:lang w:val="fr-CA"/>
        </w:rPr>
        <w:t>Charte</w:t>
      </w:r>
      <w:r w:rsidRPr="004B3343">
        <w:rPr>
          <w:sz w:val="20"/>
          <w:lang w:val="fr-CA"/>
        </w:rPr>
        <w:t xml:space="preserve"> </w:t>
      </w:r>
      <w:r w:rsidRPr="004B3343">
        <w:rPr>
          <w:i/>
          <w:sz w:val="20"/>
          <w:lang w:val="fr-CA"/>
        </w:rPr>
        <w:t>canadienne des droits et libertés</w:t>
      </w:r>
      <w:r w:rsidRPr="004B3343">
        <w:rPr>
          <w:sz w:val="20"/>
          <w:lang w:val="fr-CA"/>
        </w:rPr>
        <w:t xml:space="preserve"> et les contraventions ne sont pas justifiées au regard de l’article premier. L’article 33.1 est déclaré inconstitutionnel et inopérant. Le jugement de la Cour d’appel est annulé et l’acquittement de l’accusé sur le chef d’accusation d’entrée par effraction dans une maison d’habitation et d’y avoir commis des voies de fait graves est rétabli.</w:t>
      </w:r>
    </w:p>
    <w:p w:rsidR="004B3343" w:rsidRPr="004B3343" w:rsidRDefault="004B3343" w:rsidP="004B3343">
      <w:pPr>
        <w:widowControl w:val="0"/>
        <w:jc w:val="both"/>
        <w:outlineLvl w:val="0"/>
        <w:rPr>
          <w:sz w:val="20"/>
          <w:lang w:val="fr-CA"/>
        </w:rPr>
      </w:pPr>
    </w:p>
    <w:p w:rsidR="004B3343" w:rsidRPr="004B3343" w:rsidRDefault="00F460B4" w:rsidP="00A579AD">
      <w:pPr>
        <w:jc w:val="both"/>
        <w:outlineLvl w:val="0"/>
        <w:rPr>
          <w:sz w:val="20"/>
          <w:lang w:val="fr-CA"/>
        </w:rPr>
      </w:pPr>
      <w:r>
        <w:rPr>
          <w:sz w:val="20"/>
        </w:rPr>
        <w:pict>
          <v:rect id="_x0000_i1026" style="width:2in;height:1pt" o:hrpct="0" o:hralign="center" o:hrstd="t" o:hrnoshade="t" o:hr="t" fillcolor="black [3213]" stroked="f"/>
        </w:pict>
      </w:r>
    </w:p>
    <w:p w:rsidR="004B3343" w:rsidRPr="004B3343" w:rsidRDefault="004B3343" w:rsidP="00A579AD">
      <w:pPr>
        <w:jc w:val="both"/>
        <w:outlineLvl w:val="0"/>
        <w:rPr>
          <w:sz w:val="20"/>
          <w:lang w:val="fr-CA"/>
        </w:rPr>
      </w:pPr>
    </w:p>
    <w:p w:rsidR="00224A6D" w:rsidRPr="004B3343" w:rsidRDefault="00A579AD" w:rsidP="00DE17C5">
      <w:pPr>
        <w:ind w:left="1440" w:hanging="1440"/>
        <w:jc w:val="both"/>
        <w:rPr>
          <w:rFonts w:eastAsiaTheme="minorHAnsi" w:cstheme="minorBidi"/>
          <w:sz w:val="20"/>
        </w:rPr>
      </w:pPr>
      <w:r w:rsidRPr="004B3343">
        <w:rPr>
          <w:b/>
          <w:sz w:val="20"/>
        </w:rPr>
        <w:fldChar w:fldCharType="begin"/>
      </w:r>
      <w:r w:rsidRPr="004B3343">
        <w:rPr>
          <w:b/>
          <w:sz w:val="20"/>
        </w:rPr>
        <w:instrText xml:space="preserve"> SEQ CHAPTER \h \r 1</w:instrText>
      </w:r>
      <w:r w:rsidRPr="004B3343">
        <w:rPr>
          <w:b/>
          <w:sz w:val="20"/>
        </w:rPr>
        <w:fldChar w:fldCharType="end"/>
      </w:r>
      <w:r w:rsidRPr="004B3343">
        <w:rPr>
          <w:b/>
          <w:sz w:val="20"/>
        </w:rPr>
        <w:t>3</w:t>
      </w:r>
      <w:r w:rsidR="00427CDA" w:rsidRPr="004B3343">
        <w:rPr>
          <w:b/>
          <w:sz w:val="20"/>
        </w:rPr>
        <w:t>9</w:t>
      </w:r>
      <w:r w:rsidR="00DE17C5" w:rsidRPr="004B3343">
        <w:rPr>
          <w:b/>
          <w:sz w:val="20"/>
        </w:rPr>
        <w:t>270</w:t>
      </w:r>
      <w:r w:rsidRPr="004B3343">
        <w:rPr>
          <w:color w:val="FF0000"/>
          <w:sz w:val="20"/>
        </w:rPr>
        <w:tab/>
      </w:r>
      <w:r w:rsidR="00DE17C5" w:rsidRPr="004B3343">
        <w:rPr>
          <w:b/>
          <w:sz w:val="20"/>
        </w:rPr>
        <w:t>Her Majesty The Queen</w:t>
      </w:r>
      <w:r w:rsidR="00FE28D6" w:rsidRPr="004B3343">
        <w:rPr>
          <w:b/>
          <w:iCs/>
          <w:sz w:val="20"/>
        </w:rPr>
        <w:t xml:space="preserve"> </w:t>
      </w:r>
      <w:r w:rsidR="00DE17C5" w:rsidRPr="004B3343">
        <w:rPr>
          <w:b/>
          <w:iCs/>
          <w:sz w:val="20"/>
        </w:rPr>
        <w:t>v</w:t>
      </w:r>
      <w:r w:rsidR="00FE28D6" w:rsidRPr="004B3343">
        <w:rPr>
          <w:b/>
          <w:iCs/>
          <w:sz w:val="20"/>
        </w:rPr>
        <w:t xml:space="preserve">. </w:t>
      </w:r>
      <w:r w:rsidR="00DE17C5" w:rsidRPr="004B3343">
        <w:rPr>
          <w:b/>
          <w:iCs/>
          <w:sz w:val="20"/>
        </w:rPr>
        <w:t>David Sullivan</w:t>
      </w:r>
      <w:r w:rsidR="00FE28D6" w:rsidRPr="004B3343">
        <w:rPr>
          <w:b/>
          <w:iCs/>
          <w:sz w:val="20"/>
        </w:rPr>
        <w:t xml:space="preserve"> </w:t>
      </w:r>
      <w:r w:rsidR="004B3343" w:rsidRPr="004B3343">
        <w:rPr>
          <w:b/>
          <w:iCs/>
          <w:sz w:val="20"/>
        </w:rPr>
        <w:t>–</w:t>
      </w:r>
      <w:r w:rsidR="00FE28D6" w:rsidRPr="004B3343">
        <w:rPr>
          <w:b/>
          <w:iCs/>
          <w:sz w:val="20"/>
        </w:rPr>
        <w:t xml:space="preserve"> </w:t>
      </w:r>
      <w:r w:rsidR="004B3343" w:rsidRPr="004B3343">
        <w:rPr>
          <w:b/>
          <w:iCs/>
          <w:sz w:val="20"/>
        </w:rPr>
        <w:t>AND BETWEEN</w:t>
      </w:r>
      <w:r w:rsidR="00FE28D6" w:rsidRPr="004B3343">
        <w:rPr>
          <w:b/>
          <w:iCs/>
          <w:sz w:val="20"/>
        </w:rPr>
        <w:t xml:space="preserve"> - </w:t>
      </w:r>
      <w:r w:rsidR="00DE17C5" w:rsidRPr="004B3343">
        <w:rPr>
          <w:b/>
          <w:iCs/>
          <w:sz w:val="20"/>
        </w:rPr>
        <w:t xml:space="preserve">Her Majesty The Queen v. Thomas Chan - and - </w:t>
      </w:r>
      <w:r w:rsidR="004B3343" w:rsidRPr="004B3343">
        <w:rPr>
          <w:b/>
          <w:iCs/>
          <w:sz w:val="20"/>
        </w:rPr>
        <w:t xml:space="preserve">Attorney General of Canada, Attorney General of Quebec, Attorney General of Manitoba, Attorney General of British Columbia, Attorney General of Saskatchewan, Attorney General of Alberta, British Columbia Civil Liberties Association, </w:t>
      </w:r>
      <w:r w:rsidR="004B3343" w:rsidRPr="004B3343">
        <w:rPr>
          <w:b/>
          <w:iCs/>
          <w:sz w:val="20"/>
        </w:rPr>
        <w:lastRenderedPageBreak/>
        <w:t>Empowerment Council, Systemic Advocates in Addictions and Mental Health, Criminal Lawyers’ Association (Ontario), Canadian Civil Liberties Association, Women’s Legal Education and Action Fund Inc. and Advocates for the Rule of Law</w:t>
      </w:r>
      <w:r w:rsidR="00EE3705" w:rsidRPr="004B3343">
        <w:rPr>
          <w:rFonts w:eastAsiaTheme="minorHAnsi" w:cstheme="minorBidi"/>
          <w:b/>
          <w:sz w:val="20"/>
        </w:rPr>
        <w:t xml:space="preserve"> </w:t>
      </w:r>
      <w:r w:rsidR="00224A6D" w:rsidRPr="004B3343">
        <w:rPr>
          <w:rFonts w:eastAsiaTheme="minorHAnsi" w:cstheme="minorBidi"/>
          <w:iCs/>
          <w:sz w:val="20"/>
        </w:rPr>
        <w:t>(</w:t>
      </w:r>
      <w:r w:rsidR="00DE17C5" w:rsidRPr="004B3343">
        <w:rPr>
          <w:rFonts w:eastAsiaTheme="minorHAnsi" w:cstheme="minorBidi"/>
          <w:iCs/>
          <w:sz w:val="20"/>
        </w:rPr>
        <w:t>Ont.</w:t>
      </w:r>
      <w:r w:rsidR="00224A6D" w:rsidRPr="004B3343">
        <w:rPr>
          <w:rFonts w:eastAsiaTheme="minorHAnsi" w:cstheme="minorBidi"/>
          <w:iCs/>
          <w:sz w:val="20"/>
        </w:rPr>
        <w:t>)</w:t>
      </w:r>
    </w:p>
    <w:p w:rsidR="00381CFA" w:rsidRPr="004B3343" w:rsidRDefault="00381CFA" w:rsidP="00381CFA">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4B3343">
        <w:rPr>
          <w:rFonts w:eastAsiaTheme="minorHAnsi" w:cstheme="minorBidi"/>
          <w:b/>
          <w:sz w:val="20"/>
        </w:rPr>
        <w:t>2022 SCC 1</w:t>
      </w:r>
      <w:r w:rsidR="004B3343" w:rsidRPr="004B3343">
        <w:rPr>
          <w:rFonts w:eastAsiaTheme="minorHAnsi" w:cstheme="minorBidi"/>
          <w:b/>
          <w:sz w:val="20"/>
        </w:rPr>
        <w:t>9</w:t>
      </w:r>
      <w:r w:rsidRPr="004B3343">
        <w:rPr>
          <w:rFonts w:eastAsiaTheme="minorHAnsi" w:cstheme="minorBidi"/>
          <w:b/>
          <w:sz w:val="20"/>
        </w:rPr>
        <w:t xml:space="preserve"> / 2022 CSC 1</w:t>
      </w:r>
      <w:r w:rsidR="004B3343" w:rsidRPr="004B3343">
        <w:rPr>
          <w:rFonts w:eastAsiaTheme="minorHAnsi" w:cstheme="minorBidi"/>
          <w:b/>
          <w:sz w:val="20"/>
        </w:rPr>
        <w:t>9</w:t>
      </w:r>
    </w:p>
    <w:p w:rsidR="00A579AD" w:rsidRPr="004B3343" w:rsidRDefault="00A579AD" w:rsidP="00A579AD">
      <w:pPr>
        <w:ind w:left="1440" w:hanging="1440"/>
        <w:jc w:val="both"/>
        <w:rPr>
          <w:sz w:val="20"/>
        </w:rPr>
      </w:pPr>
    </w:p>
    <w:p w:rsidR="00DE17C5" w:rsidRPr="004B3343" w:rsidRDefault="00DE17C5" w:rsidP="00DE17C5">
      <w:pPr>
        <w:ind w:left="1440" w:hanging="1440"/>
        <w:rPr>
          <w:sz w:val="20"/>
        </w:rPr>
      </w:pPr>
      <w:r w:rsidRPr="004B3343">
        <w:rPr>
          <w:sz w:val="20"/>
        </w:rPr>
        <w:t>Coram:</w:t>
      </w:r>
      <w:r w:rsidRPr="004B3343">
        <w:rPr>
          <w:sz w:val="20"/>
        </w:rPr>
        <w:tab/>
        <w:t>Wagner C.J. and Moldaver, Karakatsanis, Côté, Brown, Rowe, Martin, Kasirer and Jamal JJ.</w:t>
      </w:r>
    </w:p>
    <w:p w:rsidR="00A579AD" w:rsidRPr="004B3343" w:rsidRDefault="00A579AD" w:rsidP="00A579AD">
      <w:pPr>
        <w:jc w:val="both"/>
        <w:rPr>
          <w:sz w:val="20"/>
        </w:rPr>
      </w:pPr>
    </w:p>
    <w:p w:rsidR="00DE17C5" w:rsidRPr="004B3343" w:rsidRDefault="004B3343" w:rsidP="00DE17C5">
      <w:pPr>
        <w:jc w:val="both"/>
        <w:rPr>
          <w:sz w:val="20"/>
        </w:rPr>
      </w:pPr>
      <w:r w:rsidRPr="004B3343">
        <w:rPr>
          <w:sz w:val="20"/>
        </w:rPr>
        <w:t xml:space="preserve">The appeals from the judgment </w:t>
      </w:r>
      <w:bookmarkStart w:id="1" w:name="BM_1_"/>
      <w:bookmarkEnd w:id="1"/>
      <w:r w:rsidRPr="004B3343">
        <w:rPr>
          <w:sz w:val="20"/>
        </w:rPr>
        <w:t>of the Court of Appeal for Ontario, Numbers C64566 and C66588, 2020 ONCA 333, dated June 3, 2020, heard on October 12, 2021, are dismissed. The application for leave to cross-appeal by Thomas Chan is quashed for want of jurisdiction.</w:t>
      </w:r>
    </w:p>
    <w:p w:rsidR="00DE17C5" w:rsidRPr="004B3343" w:rsidRDefault="00DE17C5" w:rsidP="00A579AD">
      <w:pPr>
        <w:jc w:val="both"/>
        <w:rPr>
          <w:sz w:val="20"/>
        </w:rPr>
      </w:pPr>
    </w:p>
    <w:p w:rsidR="004B3343" w:rsidRPr="004B3343" w:rsidRDefault="004B3343" w:rsidP="004B3343">
      <w:pPr>
        <w:jc w:val="both"/>
        <w:rPr>
          <w:sz w:val="20"/>
          <w:lang w:val="fr-CA"/>
        </w:rPr>
      </w:pPr>
      <w:r w:rsidRPr="004B3343">
        <w:rPr>
          <w:sz w:val="20"/>
          <w:lang w:val="fr-CA"/>
        </w:rPr>
        <w:t>Les appels interjetés contre l’arrêt de la Cour d’appel de l’Ontario, numéros C64566 et C66588, 2020 ONCA 333, daté du 3 juin 2020, entendus le 12 octobre 2021, sont rejetés. La demande d’autorisation d’appel incident de Thomas Chan est cassée pour défaut de compétence.</w:t>
      </w:r>
    </w:p>
    <w:p w:rsidR="00A579AD" w:rsidRPr="004B3343" w:rsidRDefault="00A579AD" w:rsidP="00A579AD">
      <w:pPr>
        <w:widowControl w:val="0"/>
        <w:jc w:val="both"/>
        <w:outlineLvl w:val="0"/>
        <w:rPr>
          <w:sz w:val="20"/>
          <w:lang w:val="fr-CA"/>
        </w:rPr>
      </w:pPr>
    </w:p>
    <w:p w:rsidR="00B92F8C" w:rsidRPr="004B3343" w:rsidRDefault="00F460B4" w:rsidP="00A579AD">
      <w:pPr>
        <w:widowControl w:val="0"/>
        <w:jc w:val="both"/>
        <w:outlineLvl w:val="0"/>
        <w:rPr>
          <w:sz w:val="20"/>
          <w:lang w:val="fr-CA"/>
        </w:rPr>
      </w:pPr>
      <w:r>
        <w:rPr>
          <w:sz w:val="20"/>
        </w:rPr>
        <w:pict>
          <v:rect id="_x0000_i1027" style="width:2in;height:1pt" o:hrpct="0" o:hralign="center" o:hrstd="t" o:hrnoshade="t" o:hr="t" fillcolor="black [3213]" stroked="f"/>
        </w:pict>
      </w:r>
    </w:p>
    <w:p w:rsidR="004E7590" w:rsidRPr="004B3343" w:rsidRDefault="004E7590" w:rsidP="004E7590">
      <w:pPr>
        <w:widowControl w:val="0"/>
        <w:jc w:val="both"/>
        <w:outlineLvl w:val="0"/>
        <w:rPr>
          <w:sz w:val="20"/>
          <w:lang w:val="fr-CA"/>
        </w:rPr>
      </w:pPr>
    </w:p>
    <w:p w:rsidR="00A52DFE" w:rsidRPr="004B3343" w:rsidRDefault="00A52DFE" w:rsidP="00F71561">
      <w:pPr>
        <w:widowControl w:val="0"/>
        <w:jc w:val="both"/>
        <w:outlineLvl w:val="0"/>
        <w:rPr>
          <w:sz w:val="20"/>
          <w:lang w:val="fr-CA"/>
        </w:rPr>
      </w:pPr>
    </w:p>
    <w:p w:rsidR="00BD2FF5" w:rsidRPr="004B3343" w:rsidRDefault="00BD2FF5" w:rsidP="00F71561">
      <w:pPr>
        <w:widowControl w:val="0"/>
        <w:jc w:val="both"/>
        <w:outlineLvl w:val="0"/>
        <w:rPr>
          <w:sz w:val="20"/>
          <w:lang w:val="fr-CA"/>
        </w:rPr>
      </w:pPr>
    </w:p>
    <w:p w:rsidR="00DF33A9" w:rsidRPr="004B3343" w:rsidRDefault="00DF33A9" w:rsidP="00DF33A9">
      <w:pPr>
        <w:widowControl w:val="0"/>
        <w:outlineLvl w:val="0"/>
      </w:pPr>
      <w:r w:rsidRPr="004B3343">
        <w:t xml:space="preserve">Supreme Court of Canada / Cour suprême du </w:t>
      </w:r>
      <w:proofErr w:type="gramStart"/>
      <w:r w:rsidRPr="004B3343">
        <w:t>Canada :</w:t>
      </w:r>
      <w:proofErr w:type="gramEnd"/>
      <w:r w:rsidRPr="004B3343">
        <w:t xml:space="preserve"> </w:t>
      </w:r>
    </w:p>
    <w:p w:rsidR="00DF33A9" w:rsidRPr="004B3343" w:rsidRDefault="00F460B4" w:rsidP="00DF33A9">
      <w:pPr>
        <w:widowControl w:val="0"/>
        <w:outlineLvl w:val="0"/>
      </w:pPr>
      <w:hyperlink r:id="rId11" w:history="1">
        <w:r w:rsidR="00DF33A9" w:rsidRPr="004B3343">
          <w:rPr>
            <w:rStyle w:val="Hyperlink"/>
          </w:rPr>
          <w:t>comments-commentaires@scc-csc.ca</w:t>
        </w:r>
      </w:hyperlink>
    </w:p>
    <w:p w:rsidR="00DF33A9" w:rsidRPr="004B3343" w:rsidRDefault="00DF33A9" w:rsidP="00DF33A9">
      <w:pPr>
        <w:widowControl w:val="0"/>
        <w:outlineLvl w:val="0"/>
      </w:pPr>
      <w:r w:rsidRPr="004B3343">
        <w:t>(613) 995-4330</w:t>
      </w:r>
    </w:p>
    <w:p w:rsidR="00DF33A9" w:rsidRPr="004B3343" w:rsidRDefault="00DF33A9" w:rsidP="00DF33A9">
      <w:pPr>
        <w:widowControl w:val="0"/>
        <w:rPr>
          <w:sz w:val="20"/>
        </w:rPr>
      </w:pPr>
    </w:p>
    <w:p w:rsidR="00DF33A9" w:rsidRPr="004B3343" w:rsidRDefault="00DF33A9" w:rsidP="00DF33A9">
      <w:pPr>
        <w:widowControl w:val="0"/>
        <w:rPr>
          <w:sz w:val="20"/>
        </w:rPr>
      </w:pPr>
    </w:p>
    <w:p w:rsidR="00C12722" w:rsidRPr="009753CD" w:rsidRDefault="00DF33A9" w:rsidP="00456B0F">
      <w:pPr>
        <w:pStyle w:val="Footer"/>
        <w:jc w:val="center"/>
        <w:rPr>
          <w:lang w:val="en-CA"/>
        </w:rPr>
      </w:pPr>
      <w:r w:rsidRPr="004B3343">
        <w:rPr>
          <w:lang w:val="en-CA"/>
        </w:rPr>
        <w:t>- 30 -</w:t>
      </w:r>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23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0D67"/>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5972"/>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4A6D"/>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2B27"/>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1CFA"/>
    <w:rsid w:val="00382D2F"/>
    <w:rsid w:val="0038431A"/>
    <w:rsid w:val="0038547C"/>
    <w:rsid w:val="00385A88"/>
    <w:rsid w:val="00386DC5"/>
    <w:rsid w:val="00387AF8"/>
    <w:rsid w:val="00390065"/>
    <w:rsid w:val="00390322"/>
    <w:rsid w:val="00390770"/>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12A3"/>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CDA"/>
    <w:rsid w:val="00427F4F"/>
    <w:rsid w:val="00431A69"/>
    <w:rsid w:val="00433C3E"/>
    <w:rsid w:val="00436FF3"/>
    <w:rsid w:val="00440BAD"/>
    <w:rsid w:val="00440D9C"/>
    <w:rsid w:val="00444072"/>
    <w:rsid w:val="0044659F"/>
    <w:rsid w:val="00450B66"/>
    <w:rsid w:val="004511AB"/>
    <w:rsid w:val="0045235F"/>
    <w:rsid w:val="004533F1"/>
    <w:rsid w:val="00453ABE"/>
    <w:rsid w:val="00453E76"/>
    <w:rsid w:val="0045403F"/>
    <w:rsid w:val="0045411A"/>
    <w:rsid w:val="004542A8"/>
    <w:rsid w:val="00454F47"/>
    <w:rsid w:val="00454F52"/>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343"/>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5D5E"/>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0BC2"/>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3D01"/>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1754"/>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41A9"/>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E65"/>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11E"/>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24C"/>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6ED"/>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223"/>
    <w:rsid w:val="00C76BBB"/>
    <w:rsid w:val="00C76F3D"/>
    <w:rsid w:val="00C779D4"/>
    <w:rsid w:val="00C77C0E"/>
    <w:rsid w:val="00C8170D"/>
    <w:rsid w:val="00C8750D"/>
    <w:rsid w:val="00C920F3"/>
    <w:rsid w:val="00C935F6"/>
    <w:rsid w:val="00C96E43"/>
    <w:rsid w:val="00C9700E"/>
    <w:rsid w:val="00C9788C"/>
    <w:rsid w:val="00C97C59"/>
    <w:rsid w:val="00CA0F17"/>
    <w:rsid w:val="00CA21F6"/>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1EC5"/>
    <w:rsid w:val="00D0250E"/>
    <w:rsid w:val="00D0665D"/>
    <w:rsid w:val="00D07526"/>
    <w:rsid w:val="00D1308F"/>
    <w:rsid w:val="00D131D0"/>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17C5"/>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46B6"/>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50"/>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5FB5"/>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3705"/>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0B4"/>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08A9"/>
    <w:rsid w:val="00FE28D6"/>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3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2022-05-13T11:59:00Z</dcterms:modified>
</cp:coreProperties>
</file>