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7081D" w:rsidRDefault="000E391F" w:rsidP="000E391F">
      <w:pPr>
        <w:pStyle w:val="Header"/>
        <w:jc w:val="center"/>
        <w:rPr>
          <w:b/>
          <w:sz w:val="32"/>
          <w:szCs w:val="32"/>
        </w:rPr>
      </w:pPr>
      <w:r w:rsidRPr="0037081D">
        <w:rPr>
          <w:b/>
          <w:sz w:val="32"/>
          <w:szCs w:val="32"/>
        </w:rPr>
        <w:t>Supreme Court of Canada / Cour suprême du Canada</w:t>
      </w:r>
    </w:p>
    <w:p w:rsidR="000E391F" w:rsidRPr="0037081D" w:rsidRDefault="000E391F" w:rsidP="000E391F">
      <w:pPr>
        <w:widowControl w:val="0"/>
        <w:rPr>
          <w:sz w:val="20"/>
        </w:rPr>
      </w:pPr>
    </w:p>
    <w:p w:rsidR="000E391F" w:rsidRPr="0037081D" w:rsidRDefault="000E391F" w:rsidP="000E391F">
      <w:pPr>
        <w:widowControl w:val="0"/>
        <w:rPr>
          <w:i/>
          <w:sz w:val="20"/>
        </w:rPr>
      </w:pPr>
    </w:p>
    <w:p w:rsidR="006F2579" w:rsidRPr="0037081D" w:rsidRDefault="006F2579" w:rsidP="006F2579">
      <w:pPr>
        <w:widowControl w:val="0"/>
        <w:rPr>
          <w:i/>
          <w:sz w:val="20"/>
        </w:rPr>
      </w:pPr>
      <w:r w:rsidRPr="0037081D">
        <w:rPr>
          <w:i/>
          <w:sz w:val="20"/>
        </w:rPr>
        <w:t>(</w:t>
      </w:r>
      <w:r w:rsidR="003240B6" w:rsidRPr="0037081D">
        <w:rPr>
          <w:i/>
          <w:sz w:val="20"/>
        </w:rPr>
        <w:t>L</w:t>
      </w:r>
      <w:r w:rsidRPr="0037081D">
        <w:rPr>
          <w:i/>
          <w:sz w:val="20"/>
        </w:rPr>
        <w:t>e français suit)</w:t>
      </w:r>
    </w:p>
    <w:p w:rsidR="006F2579" w:rsidRPr="0037081D" w:rsidRDefault="006F2579" w:rsidP="006F2579">
      <w:pPr>
        <w:widowControl w:val="0"/>
        <w:rPr>
          <w:sz w:val="20"/>
        </w:rPr>
      </w:pPr>
    </w:p>
    <w:p w:rsidR="006F2579" w:rsidRPr="0037081D" w:rsidRDefault="00B07908" w:rsidP="006F2579">
      <w:pPr>
        <w:widowControl w:val="0"/>
        <w:jc w:val="center"/>
        <w:rPr>
          <w:b/>
          <w:szCs w:val="24"/>
        </w:rPr>
      </w:pPr>
      <w:r w:rsidRPr="0037081D">
        <w:rPr>
          <w:szCs w:val="24"/>
        </w:rPr>
        <w:fldChar w:fldCharType="begin"/>
      </w:r>
      <w:r w:rsidR="006F2579" w:rsidRPr="0037081D">
        <w:rPr>
          <w:szCs w:val="24"/>
        </w:rPr>
        <w:instrText xml:space="preserve"> SEQ CHAPTER \h \r 1</w:instrText>
      </w:r>
      <w:r w:rsidRPr="0037081D">
        <w:rPr>
          <w:szCs w:val="24"/>
        </w:rPr>
        <w:fldChar w:fldCharType="end"/>
      </w:r>
      <w:r w:rsidR="006F2579" w:rsidRPr="0037081D">
        <w:rPr>
          <w:b/>
          <w:szCs w:val="24"/>
        </w:rPr>
        <w:t>JUDGMENT</w:t>
      </w:r>
      <w:r w:rsidR="003D7A03" w:rsidRPr="0037081D">
        <w:rPr>
          <w:b/>
          <w:szCs w:val="24"/>
        </w:rPr>
        <w:t>S</w:t>
      </w:r>
      <w:r w:rsidR="006F2579" w:rsidRPr="0037081D">
        <w:rPr>
          <w:b/>
          <w:szCs w:val="24"/>
        </w:rPr>
        <w:t xml:space="preserve"> TO B</w:t>
      </w:r>
      <w:r w:rsidR="00001846" w:rsidRPr="0037081D">
        <w:rPr>
          <w:b/>
          <w:szCs w:val="24"/>
        </w:rPr>
        <w:t>E RENDERED IN LE</w:t>
      </w:r>
      <w:r w:rsidR="00A0288A" w:rsidRPr="0037081D">
        <w:rPr>
          <w:b/>
          <w:szCs w:val="24"/>
        </w:rPr>
        <w:t>A</w:t>
      </w:r>
      <w:r w:rsidR="00001846" w:rsidRPr="0037081D">
        <w:rPr>
          <w:b/>
          <w:szCs w:val="24"/>
        </w:rPr>
        <w:t>VE APPLICATION</w:t>
      </w:r>
      <w:r w:rsidR="003D7A03" w:rsidRPr="0037081D">
        <w:rPr>
          <w:b/>
          <w:szCs w:val="24"/>
        </w:rPr>
        <w:t>S</w:t>
      </w:r>
    </w:p>
    <w:p w:rsidR="006F2579" w:rsidRPr="0037081D" w:rsidRDefault="006F2579" w:rsidP="006F2579">
      <w:pPr>
        <w:widowControl w:val="0"/>
        <w:rPr>
          <w:szCs w:val="24"/>
        </w:rPr>
      </w:pPr>
    </w:p>
    <w:p w:rsidR="006F2579" w:rsidRPr="0037081D" w:rsidRDefault="009A4BCA" w:rsidP="006F2579">
      <w:pPr>
        <w:widowControl w:val="0"/>
        <w:rPr>
          <w:szCs w:val="24"/>
        </w:rPr>
      </w:pPr>
      <w:r w:rsidRPr="0037081D">
        <w:rPr>
          <w:b/>
          <w:szCs w:val="24"/>
        </w:rPr>
        <w:t>May</w:t>
      </w:r>
      <w:r w:rsidR="00A15B66" w:rsidRPr="0037081D">
        <w:rPr>
          <w:b/>
          <w:szCs w:val="24"/>
        </w:rPr>
        <w:t xml:space="preserve"> </w:t>
      </w:r>
      <w:r w:rsidR="00D76A1F" w:rsidRPr="0037081D">
        <w:rPr>
          <w:b/>
          <w:szCs w:val="24"/>
        </w:rPr>
        <w:t>16</w:t>
      </w:r>
      <w:r w:rsidR="004441C7" w:rsidRPr="0037081D">
        <w:rPr>
          <w:b/>
          <w:szCs w:val="24"/>
        </w:rPr>
        <w:t>,</w:t>
      </w:r>
      <w:r w:rsidR="006F2579" w:rsidRPr="0037081D">
        <w:rPr>
          <w:b/>
          <w:szCs w:val="24"/>
        </w:rPr>
        <w:t xml:space="preserve"> </w:t>
      </w:r>
      <w:r w:rsidR="0054689F" w:rsidRPr="0037081D">
        <w:rPr>
          <w:b/>
          <w:szCs w:val="24"/>
        </w:rPr>
        <w:t>20</w:t>
      </w:r>
      <w:r w:rsidR="00526754" w:rsidRPr="0037081D">
        <w:rPr>
          <w:b/>
          <w:szCs w:val="24"/>
        </w:rPr>
        <w:t>2</w:t>
      </w:r>
      <w:r w:rsidR="00644008" w:rsidRPr="0037081D">
        <w:rPr>
          <w:b/>
          <w:szCs w:val="24"/>
        </w:rPr>
        <w:t>2</w:t>
      </w:r>
    </w:p>
    <w:p w:rsidR="006F2579" w:rsidRPr="0037081D" w:rsidRDefault="00674F39" w:rsidP="006F2579">
      <w:pPr>
        <w:widowControl w:val="0"/>
        <w:rPr>
          <w:b/>
          <w:szCs w:val="24"/>
        </w:rPr>
      </w:pPr>
      <w:r w:rsidRPr="0037081D">
        <w:rPr>
          <w:b/>
          <w:szCs w:val="24"/>
        </w:rPr>
        <w:t>For immediate release</w:t>
      </w:r>
    </w:p>
    <w:p w:rsidR="006F2579" w:rsidRPr="0037081D" w:rsidRDefault="006F2579" w:rsidP="006F2579">
      <w:pPr>
        <w:widowControl w:val="0"/>
        <w:rPr>
          <w:szCs w:val="24"/>
        </w:rPr>
      </w:pPr>
    </w:p>
    <w:p w:rsidR="006F2579" w:rsidRPr="0037081D" w:rsidRDefault="006F2579" w:rsidP="006F2579">
      <w:pPr>
        <w:widowControl w:val="0"/>
        <w:rPr>
          <w:szCs w:val="24"/>
          <w:lang w:val="fr-CA"/>
        </w:rPr>
      </w:pPr>
      <w:r w:rsidRPr="0037081D">
        <w:rPr>
          <w:b/>
          <w:szCs w:val="24"/>
        </w:rPr>
        <w:t>OTTAWA</w:t>
      </w:r>
      <w:r w:rsidRPr="0037081D">
        <w:rPr>
          <w:szCs w:val="24"/>
        </w:rPr>
        <w:t xml:space="preserve"> – The Supreme Court of Canad</w:t>
      </w:r>
      <w:r w:rsidR="006246E4" w:rsidRPr="0037081D">
        <w:rPr>
          <w:szCs w:val="24"/>
        </w:rPr>
        <w:t>a</w:t>
      </w:r>
      <w:r w:rsidRPr="0037081D">
        <w:rPr>
          <w:szCs w:val="24"/>
        </w:rPr>
        <w:t xml:space="preserve"> announced today that judgment in the following </w:t>
      </w:r>
      <w:r w:rsidR="00DB6199" w:rsidRPr="0037081D">
        <w:rPr>
          <w:szCs w:val="24"/>
        </w:rPr>
        <w:t>leave application</w:t>
      </w:r>
      <w:r w:rsidR="003D7A03" w:rsidRPr="0037081D">
        <w:rPr>
          <w:szCs w:val="24"/>
        </w:rPr>
        <w:t>s</w:t>
      </w:r>
      <w:r w:rsidR="00DB6199" w:rsidRPr="0037081D">
        <w:rPr>
          <w:szCs w:val="24"/>
        </w:rPr>
        <w:t xml:space="preserve"> </w:t>
      </w:r>
      <w:r w:rsidRPr="0037081D">
        <w:rPr>
          <w:szCs w:val="24"/>
        </w:rPr>
        <w:t>will be delivere</w:t>
      </w:r>
      <w:r w:rsidR="00CE2C5F" w:rsidRPr="0037081D">
        <w:rPr>
          <w:szCs w:val="24"/>
        </w:rPr>
        <w:t>d</w:t>
      </w:r>
      <w:r w:rsidRPr="0037081D">
        <w:rPr>
          <w:szCs w:val="24"/>
        </w:rPr>
        <w:t xml:space="preserve"> at 9:45 a.m. </w:t>
      </w:r>
      <w:r w:rsidR="00E05816" w:rsidRPr="0037081D">
        <w:rPr>
          <w:szCs w:val="24"/>
        </w:rPr>
        <w:t>E</w:t>
      </w:r>
      <w:r w:rsidR="00882B6B" w:rsidRPr="0037081D">
        <w:rPr>
          <w:szCs w:val="24"/>
        </w:rPr>
        <w:t>D</w:t>
      </w:r>
      <w:r w:rsidR="00E05816" w:rsidRPr="0037081D">
        <w:rPr>
          <w:szCs w:val="24"/>
        </w:rPr>
        <w:t>T</w:t>
      </w:r>
      <w:r w:rsidRPr="0037081D">
        <w:rPr>
          <w:szCs w:val="24"/>
        </w:rPr>
        <w:t xml:space="preserve"> on </w:t>
      </w:r>
      <w:r w:rsidR="00322A9C" w:rsidRPr="0037081D">
        <w:rPr>
          <w:szCs w:val="24"/>
        </w:rPr>
        <w:t>Thurs</w:t>
      </w:r>
      <w:r w:rsidR="00680A85" w:rsidRPr="0037081D">
        <w:rPr>
          <w:szCs w:val="24"/>
        </w:rPr>
        <w:t>day</w:t>
      </w:r>
      <w:r w:rsidRPr="0037081D">
        <w:rPr>
          <w:szCs w:val="24"/>
        </w:rPr>
        <w:t xml:space="preserve">, </w:t>
      </w:r>
      <w:r w:rsidR="009A4BCA" w:rsidRPr="0037081D">
        <w:rPr>
          <w:szCs w:val="24"/>
        </w:rPr>
        <w:t>May</w:t>
      </w:r>
      <w:r w:rsidR="00455912" w:rsidRPr="0037081D">
        <w:rPr>
          <w:szCs w:val="24"/>
        </w:rPr>
        <w:t xml:space="preserve"> </w:t>
      </w:r>
      <w:r w:rsidR="00D76A1F" w:rsidRPr="0037081D">
        <w:rPr>
          <w:szCs w:val="24"/>
        </w:rPr>
        <w:t>19</w:t>
      </w:r>
      <w:r w:rsidR="007E112F" w:rsidRPr="0037081D">
        <w:rPr>
          <w:szCs w:val="24"/>
        </w:rPr>
        <w:t>,</w:t>
      </w:r>
      <w:r w:rsidR="002F38D7" w:rsidRPr="0037081D">
        <w:rPr>
          <w:szCs w:val="24"/>
        </w:rPr>
        <w:t xml:space="preserve"> </w:t>
      </w:r>
      <w:r w:rsidR="006648D1" w:rsidRPr="0037081D">
        <w:rPr>
          <w:szCs w:val="24"/>
        </w:rPr>
        <w:t>20</w:t>
      </w:r>
      <w:r w:rsidR="00526754" w:rsidRPr="0037081D">
        <w:rPr>
          <w:szCs w:val="24"/>
        </w:rPr>
        <w:t>2</w:t>
      </w:r>
      <w:r w:rsidR="00644008" w:rsidRPr="0037081D">
        <w:rPr>
          <w:szCs w:val="24"/>
        </w:rPr>
        <w:t>2</w:t>
      </w:r>
      <w:r w:rsidRPr="0037081D">
        <w:rPr>
          <w:szCs w:val="24"/>
        </w:rPr>
        <w:t xml:space="preserve">. </w:t>
      </w:r>
      <w:r w:rsidRPr="0037081D">
        <w:rPr>
          <w:szCs w:val="24"/>
          <w:lang w:val="fr-CA"/>
        </w:rPr>
        <w:t>This list is subject to chang</w:t>
      </w:r>
      <w:r w:rsidR="00192F7F" w:rsidRPr="0037081D">
        <w:rPr>
          <w:szCs w:val="24"/>
          <w:lang w:val="fr-CA"/>
        </w:rPr>
        <w:t>e</w:t>
      </w:r>
      <w:r w:rsidRPr="0037081D">
        <w:rPr>
          <w:szCs w:val="24"/>
          <w:lang w:val="fr-CA"/>
        </w:rPr>
        <w:t>.</w:t>
      </w:r>
    </w:p>
    <w:p w:rsidR="00FF5AA4" w:rsidRPr="0037081D" w:rsidRDefault="00FF5AA4" w:rsidP="006F2579">
      <w:pPr>
        <w:widowControl w:val="0"/>
        <w:rPr>
          <w:szCs w:val="24"/>
          <w:lang w:val="fr-CA"/>
        </w:rPr>
      </w:pPr>
    </w:p>
    <w:p w:rsidR="00B43418" w:rsidRPr="0037081D" w:rsidRDefault="00B43418" w:rsidP="006F2579">
      <w:pPr>
        <w:widowControl w:val="0"/>
        <w:rPr>
          <w:szCs w:val="24"/>
          <w:lang w:val="fr-CA"/>
        </w:rPr>
      </w:pPr>
    </w:p>
    <w:p w:rsidR="006F2579" w:rsidRPr="0037081D" w:rsidRDefault="006F2579" w:rsidP="006F2579">
      <w:pPr>
        <w:widowControl w:val="0"/>
        <w:jc w:val="center"/>
        <w:rPr>
          <w:szCs w:val="24"/>
          <w:lang w:val="fr-CA"/>
        </w:rPr>
      </w:pPr>
      <w:r w:rsidRPr="0037081D">
        <w:rPr>
          <w:b/>
          <w:szCs w:val="24"/>
          <w:lang w:val="fr-CA"/>
        </w:rPr>
        <w:t>PROCHAIN</w:t>
      </w:r>
      <w:r w:rsidR="003D7A03" w:rsidRPr="0037081D">
        <w:rPr>
          <w:b/>
          <w:szCs w:val="24"/>
          <w:lang w:val="fr-CA"/>
        </w:rPr>
        <w:t>S</w:t>
      </w:r>
      <w:r w:rsidRPr="0037081D">
        <w:rPr>
          <w:b/>
          <w:szCs w:val="24"/>
          <w:lang w:val="fr-CA"/>
        </w:rPr>
        <w:t xml:space="preserve"> JUGEMENT</w:t>
      </w:r>
      <w:r w:rsidR="003D7A03" w:rsidRPr="0037081D">
        <w:rPr>
          <w:b/>
          <w:szCs w:val="24"/>
          <w:lang w:val="fr-CA"/>
        </w:rPr>
        <w:t>S</w:t>
      </w:r>
      <w:r w:rsidR="00001846" w:rsidRPr="0037081D">
        <w:rPr>
          <w:b/>
          <w:szCs w:val="24"/>
          <w:lang w:val="fr-CA"/>
        </w:rPr>
        <w:t xml:space="preserve"> SUR DEMANDE</w:t>
      </w:r>
      <w:r w:rsidR="003D7A03" w:rsidRPr="0037081D">
        <w:rPr>
          <w:b/>
          <w:szCs w:val="24"/>
          <w:lang w:val="fr-CA"/>
        </w:rPr>
        <w:t>S</w:t>
      </w:r>
      <w:r w:rsidRPr="0037081D">
        <w:rPr>
          <w:b/>
          <w:szCs w:val="24"/>
          <w:lang w:val="fr-CA"/>
        </w:rPr>
        <w:t xml:space="preserve"> D’AUTORISATION</w:t>
      </w:r>
    </w:p>
    <w:p w:rsidR="006F2579" w:rsidRPr="0037081D" w:rsidRDefault="006F2579" w:rsidP="006F2579">
      <w:pPr>
        <w:widowControl w:val="0"/>
        <w:rPr>
          <w:szCs w:val="24"/>
          <w:lang w:val="fr-CA"/>
        </w:rPr>
      </w:pPr>
    </w:p>
    <w:p w:rsidR="006F2579" w:rsidRPr="0037081D" w:rsidRDefault="006F2579" w:rsidP="006F2579">
      <w:pPr>
        <w:widowControl w:val="0"/>
        <w:rPr>
          <w:szCs w:val="24"/>
          <w:lang w:val="fr-CA"/>
        </w:rPr>
      </w:pPr>
      <w:r w:rsidRPr="0037081D">
        <w:rPr>
          <w:b/>
          <w:szCs w:val="24"/>
          <w:lang w:val="fr-CA"/>
        </w:rPr>
        <w:t>Le</w:t>
      </w:r>
      <w:r w:rsidR="00957A76" w:rsidRPr="0037081D">
        <w:rPr>
          <w:b/>
          <w:szCs w:val="24"/>
          <w:lang w:val="fr-CA"/>
        </w:rPr>
        <w:t xml:space="preserve"> </w:t>
      </w:r>
      <w:r w:rsidR="00D76A1F" w:rsidRPr="0037081D">
        <w:rPr>
          <w:b/>
          <w:szCs w:val="24"/>
          <w:lang w:val="fr-CA"/>
        </w:rPr>
        <w:t>16</w:t>
      </w:r>
      <w:r w:rsidR="00075EC0" w:rsidRPr="0037081D">
        <w:rPr>
          <w:b/>
          <w:szCs w:val="24"/>
          <w:lang w:val="fr-CA"/>
        </w:rPr>
        <w:t xml:space="preserve"> </w:t>
      </w:r>
      <w:r w:rsidR="009A4BCA" w:rsidRPr="0037081D">
        <w:rPr>
          <w:b/>
          <w:szCs w:val="24"/>
          <w:lang w:val="fr-CA"/>
        </w:rPr>
        <w:t>mai</w:t>
      </w:r>
      <w:r w:rsidR="00A151D1" w:rsidRPr="0037081D">
        <w:rPr>
          <w:b/>
          <w:szCs w:val="24"/>
          <w:lang w:val="fr-CA"/>
        </w:rPr>
        <w:t xml:space="preserve"> 20</w:t>
      </w:r>
      <w:r w:rsidR="00526754" w:rsidRPr="0037081D">
        <w:rPr>
          <w:b/>
          <w:szCs w:val="24"/>
          <w:lang w:val="fr-CA"/>
        </w:rPr>
        <w:t>2</w:t>
      </w:r>
      <w:r w:rsidR="00644008" w:rsidRPr="0037081D">
        <w:rPr>
          <w:b/>
          <w:szCs w:val="24"/>
          <w:lang w:val="fr-CA"/>
        </w:rPr>
        <w:t>2</w:t>
      </w:r>
    </w:p>
    <w:p w:rsidR="006F2579" w:rsidRPr="0037081D" w:rsidRDefault="006F2579" w:rsidP="006F2579">
      <w:pPr>
        <w:widowControl w:val="0"/>
        <w:rPr>
          <w:b/>
          <w:szCs w:val="24"/>
          <w:lang w:val="fr-CA"/>
        </w:rPr>
      </w:pPr>
      <w:r w:rsidRPr="0037081D">
        <w:rPr>
          <w:b/>
          <w:szCs w:val="24"/>
          <w:lang w:val="fr-CA"/>
        </w:rPr>
        <w:t>Pour diffusion immédiate</w:t>
      </w:r>
    </w:p>
    <w:p w:rsidR="006F2579" w:rsidRPr="0037081D" w:rsidRDefault="006F2579" w:rsidP="006F2579">
      <w:pPr>
        <w:widowControl w:val="0"/>
        <w:rPr>
          <w:szCs w:val="24"/>
          <w:lang w:val="fr-CA"/>
        </w:rPr>
      </w:pPr>
    </w:p>
    <w:p w:rsidR="006F2579" w:rsidRPr="0037081D" w:rsidRDefault="006F2579" w:rsidP="006F2579">
      <w:pPr>
        <w:widowControl w:val="0"/>
        <w:rPr>
          <w:szCs w:val="24"/>
          <w:lang w:val="fr-CA"/>
        </w:rPr>
      </w:pPr>
      <w:r w:rsidRPr="0037081D">
        <w:rPr>
          <w:b/>
          <w:szCs w:val="24"/>
          <w:lang w:val="fr-CA"/>
        </w:rPr>
        <w:t>OTTAWA</w:t>
      </w:r>
      <w:r w:rsidRPr="0037081D">
        <w:rPr>
          <w:szCs w:val="24"/>
          <w:lang w:val="fr-CA"/>
        </w:rPr>
        <w:t xml:space="preserve"> – La Cour suprême du Canada annonce que jugement ser</w:t>
      </w:r>
      <w:r w:rsidR="004259F9" w:rsidRPr="0037081D">
        <w:rPr>
          <w:szCs w:val="24"/>
          <w:lang w:val="fr-CA"/>
        </w:rPr>
        <w:t>a</w:t>
      </w:r>
      <w:r w:rsidRPr="0037081D">
        <w:rPr>
          <w:szCs w:val="24"/>
          <w:lang w:val="fr-CA"/>
        </w:rPr>
        <w:t xml:space="preserve"> rendu dans l</w:t>
      </w:r>
      <w:r w:rsidR="003D7A03" w:rsidRPr="0037081D">
        <w:rPr>
          <w:szCs w:val="24"/>
          <w:lang w:val="fr-CA"/>
        </w:rPr>
        <w:t>es</w:t>
      </w:r>
      <w:r w:rsidRPr="0037081D">
        <w:rPr>
          <w:szCs w:val="24"/>
          <w:lang w:val="fr-CA"/>
        </w:rPr>
        <w:t xml:space="preserve"> demande</w:t>
      </w:r>
      <w:r w:rsidR="003D7A03" w:rsidRPr="0037081D">
        <w:rPr>
          <w:szCs w:val="24"/>
          <w:lang w:val="fr-CA"/>
        </w:rPr>
        <w:t>s</w:t>
      </w:r>
      <w:r w:rsidRPr="0037081D">
        <w:rPr>
          <w:szCs w:val="24"/>
          <w:lang w:val="fr-CA"/>
        </w:rPr>
        <w:t xml:space="preserve"> d</w:t>
      </w:r>
      <w:r w:rsidR="00001846" w:rsidRPr="0037081D">
        <w:rPr>
          <w:szCs w:val="24"/>
          <w:lang w:val="fr-CA"/>
        </w:rPr>
        <w:t>’autorisation suivante</w:t>
      </w:r>
      <w:r w:rsidR="003D7A03" w:rsidRPr="0037081D">
        <w:rPr>
          <w:szCs w:val="24"/>
          <w:lang w:val="fr-CA"/>
        </w:rPr>
        <w:t>s</w:t>
      </w:r>
      <w:r w:rsidRPr="0037081D">
        <w:rPr>
          <w:szCs w:val="24"/>
          <w:lang w:val="fr-CA"/>
        </w:rPr>
        <w:t xml:space="preserve"> le </w:t>
      </w:r>
      <w:r w:rsidR="00322A9C" w:rsidRPr="0037081D">
        <w:rPr>
          <w:szCs w:val="24"/>
          <w:lang w:val="fr-CA"/>
        </w:rPr>
        <w:t>jeu</w:t>
      </w:r>
      <w:r w:rsidR="00680A85" w:rsidRPr="0037081D">
        <w:rPr>
          <w:szCs w:val="24"/>
          <w:lang w:val="fr-CA"/>
        </w:rPr>
        <w:t>di</w:t>
      </w:r>
      <w:r w:rsidRPr="0037081D">
        <w:rPr>
          <w:szCs w:val="24"/>
          <w:lang w:val="fr-CA"/>
        </w:rPr>
        <w:t xml:space="preserve"> </w:t>
      </w:r>
      <w:r w:rsidR="00D76A1F" w:rsidRPr="0037081D">
        <w:rPr>
          <w:szCs w:val="24"/>
          <w:lang w:val="fr-CA"/>
        </w:rPr>
        <w:t>19</w:t>
      </w:r>
      <w:r w:rsidR="009E0BD3" w:rsidRPr="0037081D">
        <w:rPr>
          <w:szCs w:val="24"/>
          <w:lang w:val="fr-CA"/>
        </w:rPr>
        <w:t xml:space="preserve"> </w:t>
      </w:r>
      <w:r w:rsidR="009A4BCA" w:rsidRPr="0037081D">
        <w:rPr>
          <w:szCs w:val="24"/>
          <w:lang w:val="fr-CA"/>
        </w:rPr>
        <w:t>mai</w:t>
      </w:r>
      <w:r w:rsidR="00694391" w:rsidRPr="0037081D">
        <w:rPr>
          <w:szCs w:val="24"/>
          <w:lang w:val="fr-CA"/>
        </w:rPr>
        <w:t xml:space="preserve"> 2</w:t>
      </w:r>
      <w:r w:rsidR="006648D1" w:rsidRPr="0037081D">
        <w:rPr>
          <w:szCs w:val="24"/>
          <w:lang w:val="fr-CA"/>
        </w:rPr>
        <w:t>0</w:t>
      </w:r>
      <w:r w:rsidR="00526754" w:rsidRPr="0037081D">
        <w:rPr>
          <w:szCs w:val="24"/>
          <w:lang w:val="fr-CA"/>
        </w:rPr>
        <w:t>2</w:t>
      </w:r>
      <w:r w:rsidR="00644008" w:rsidRPr="0037081D">
        <w:rPr>
          <w:szCs w:val="24"/>
          <w:lang w:val="fr-CA"/>
        </w:rPr>
        <w:t>2</w:t>
      </w:r>
      <w:r w:rsidRPr="0037081D">
        <w:rPr>
          <w:szCs w:val="24"/>
          <w:lang w:val="fr-CA"/>
        </w:rPr>
        <w:t xml:space="preserve">, à 9 h 45 </w:t>
      </w:r>
      <w:r w:rsidR="000627A2" w:rsidRPr="0037081D">
        <w:rPr>
          <w:szCs w:val="24"/>
          <w:lang w:val="fr-CA"/>
        </w:rPr>
        <w:t>H</w:t>
      </w:r>
      <w:r w:rsidR="00882B6B" w:rsidRPr="0037081D">
        <w:rPr>
          <w:szCs w:val="24"/>
          <w:lang w:val="fr-CA"/>
        </w:rPr>
        <w:t>A</w:t>
      </w:r>
      <w:r w:rsidRPr="0037081D">
        <w:rPr>
          <w:szCs w:val="24"/>
          <w:lang w:val="fr-CA"/>
        </w:rPr>
        <w:t>E. Cette liste est sujette à modification</w:t>
      </w:r>
      <w:r w:rsidR="00130ADB" w:rsidRPr="0037081D">
        <w:rPr>
          <w:szCs w:val="24"/>
          <w:lang w:val="fr-CA"/>
        </w:rPr>
        <w:t>s</w:t>
      </w:r>
      <w:r w:rsidRPr="0037081D">
        <w:rPr>
          <w:szCs w:val="24"/>
          <w:lang w:val="fr-CA"/>
        </w:rPr>
        <w:t>.</w:t>
      </w:r>
    </w:p>
    <w:p w:rsidR="0080556B" w:rsidRPr="0037081D" w:rsidRDefault="0080556B" w:rsidP="005F2A78">
      <w:pPr>
        <w:widowControl w:val="0"/>
        <w:tabs>
          <w:tab w:val="left" w:pos="3840"/>
        </w:tabs>
        <w:jc w:val="both"/>
        <w:rPr>
          <w:sz w:val="20"/>
          <w:lang w:val="fr-CA"/>
        </w:rPr>
      </w:pPr>
    </w:p>
    <w:p w:rsidR="00867C61" w:rsidRPr="0037081D" w:rsidRDefault="00981880" w:rsidP="009B14F4">
      <w:pPr>
        <w:widowControl w:val="0"/>
        <w:jc w:val="both"/>
        <w:rPr>
          <w:sz w:val="20"/>
        </w:rPr>
      </w:pPr>
      <w:r>
        <w:rPr>
          <w:sz w:val="20"/>
        </w:rPr>
        <w:pict>
          <v:rect id="_x0000_i1025" style="width:2in;height:1pt" o:hrpct="0" o:hralign="center" o:hrstd="t" o:hrnoshade="t" o:hr="t" fillcolor="black [3213]" stroked="f"/>
        </w:pict>
      </w:r>
    </w:p>
    <w:p w:rsidR="004A6E51" w:rsidRPr="0037081D" w:rsidRDefault="004A6E51" w:rsidP="0053032E">
      <w:pPr>
        <w:rPr>
          <w:sz w:val="20"/>
          <w:lang w:val="fr-CA"/>
        </w:rPr>
      </w:pPr>
    </w:p>
    <w:p w:rsidR="00D76A1F" w:rsidRPr="0037081D" w:rsidRDefault="00D76A1F" w:rsidP="00D76A1F">
      <w:pPr>
        <w:pStyle w:val="ListParagraph"/>
        <w:numPr>
          <w:ilvl w:val="0"/>
          <w:numId w:val="50"/>
        </w:numPr>
        <w:ind w:left="357" w:hanging="357"/>
        <w:rPr>
          <w:sz w:val="20"/>
        </w:rPr>
      </w:pPr>
      <w:r w:rsidRPr="0037081D">
        <w:rPr>
          <w:i/>
          <w:sz w:val="20"/>
        </w:rPr>
        <w:t>Elizabeth Bernard v. Professional Institute of the Public Service of Canada</w:t>
      </w:r>
      <w:r w:rsidRPr="0037081D">
        <w:rPr>
          <w:sz w:val="20"/>
        </w:rPr>
        <w:t xml:space="preserve"> (F.C.) (Civil) (By Leave) (</w:t>
      </w:r>
      <w:hyperlink r:id="rId8" w:history="1">
        <w:r w:rsidRPr="0037081D">
          <w:rPr>
            <w:rStyle w:val="Hyperlink"/>
            <w:sz w:val="20"/>
            <w:szCs w:val="20"/>
          </w:rPr>
          <w:t>39</w:t>
        </w:r>
        <w:r w:rsidR="00A93604" w:rsidRPr="0037081D">
          <w:rPr>
            <w:rStyle w:val="Hyperlink"/>
            <w:sz w:val="20"/>
            <w:szCs w:val="20"/>
          </w:rPr>
          <w:t>792</w:t>
        </w:r>
      </w:hyperlink>
      <w:r w:rsidRPr="0037081D">
        <w:rPr>
          <w:sz w:val="20"/>
        </w:rPr>
        <w:t>)</w:t>
      </w:r>
    </w:p>
    <w:p w:rsidR="00D76A1F" w:rsidRPr="0037081D" w:rsidRDefault="00D76A1F" w:rsidP="00D76A1F">
      <w:pPr>
        <w:ind w:left="357" w:hanging="357"/>
        <w:rPr>
          <w:sz w:val="20"/>
        </w:rPr>
      </w:pPr>
    </w:p>
    <w:p w:rsidR="00D76A1F" w:rsidRPr="0037081D" w:rsidRDefault="00981880" w:rsidP="00D76A1F">
      <w:pPr>
        <w:pStyle w:val="ListParagraph"/>
        <w:numPr>
          <w:ilvl w:val="0"/>
          <w:numId w:val="50"/>
        </w:numPr>
        <w:ind w:left="357" w:hanging="357"/>
        <w:rPr>
          <w:sz w:val="20"/>
        </w:rPr>
      </w:pPr>
      <w:r>
        <w:rPr>
          <w:i/>
          <w:sz w:val="20"/>
        </w:rPr>
        <w:t>B.</w:t>
      </w:r>
      <w:r w:rsidR="00D76A1F" w:rsidRPr="0037081D">
        <w:rPr>
          <w:i/>
          <w:sz w:val="20"/>
        </w:rPr>
        <w:t>W. (Brad) Blair v. Premier Doug Ford</w:t>
      </w:r>
      <w:r w:rsidR="00A93604" w:rsidRPr="0037081D">
        <w:rPr>
          <w:sz w:val="20"/>
        </w:rPr>
        <w:t xml:space="preserve"> (Ont.) (Civil) (By Leave)</w:t>
      </w:r>
      <w:r w:rsidR="00D76A1F" w:rsidRPr="0037081D">
        <w:rPr>
          <w:sz w:val="20"/>
        </w:rPr>
        <w:t xml:space="preserve"> (</w:t>
      </w:r>
      <w:hyperlink r:id="rId9" w:history="1">
        <w:r w:rsidR="00A93604" w:rsidRPr="0037081D">
          <w:rPr>
            <w:rStyle w:val="Hyperlink"/>
            <w:sz w:val="20"/>
            <w:szCs w:val="20"/>
          </w:rPr>
          <w:t>40034</w:t>
        </w:r>
      </w:hyperlink>
      <w:r w:rsidR="00D76A1F" w:rsidRPr="0037081D">
        <w:rPr>
          <w:sz w:val="20"/>
        </w:rPr>
        <w:t>)</w:t>
      </w:r>
    </w:p>
    <w:p w:rsidR="00D76A1F" w:rsidRPr="0037081D" w:rsidRDefault="00D76A1F" w:rsidP="00D76A1F">
      <w:pPr>
        <w:ind w:left="357" w:hanging="357"/>
        <w:rPr>
          <w:sz w:val="20"/>
        </w:rPr>
      </w:pPr>
    </w:p>
    <w:p w:rsidR="00D76A1F" w:rsidRPr="0037081D" w:rsidRDefault="00D76A1F" w:rsidP="00D76A1F">
      <w:pPr>
        <w:pStyle w:val="ListParagraph"/>
        <w:numPr>
          <w:ilvl w:val="0"/>
          <w:numId w:val="50"/>
        </w:numPr>
        <w:ind w:left="357" w:hanging="357"/>
        <w:rPr>
          <w:sz w:val="20"/>
        </w:rPr>
      </w:pPr>
      <w:r w:rsidRPr="0037081D">
        <w:rPr>
          <w:i/>
          <w:sz w:val="20"/>
        </w:rPr>
        <w:t xml:space="preserve">Attorney General for Ontario v. Information and Privacy Commissioner of Ontario, </w:t>
      </w:r>
      <w:r w:rsidR="00A93604" w:rsidRPr="0037081D">
        <w:rPr>
          <w:i/>
          <w:sz w:val="20"/>
        </w:rPr>
        <w:t>et al.</w:t>
      </w:r>
      <w:r w:rsidRPr="0037081D">
        <w:rPr>
          <w:sz w:val="20"/>
        </w:rPr>
        <w:t xml:space="preserve"> (Ont.) (Civil) (By Leave) (</w:t>
      </w:r>
      <w:hyperlink r:id="rId10" w:history="1">
        <w:r w:rsidR="00A93604" w:rsidRPr="0037081D">
          <w:rPr>
            <w:rStyle w:val="Hyperlink"/>
            <w:sz w:val="20"/>
            <w:szCs w:val="20"/>
          </w:rPr>
          <w:t>40078</w:t>
        </w:r>
      </w:hyperlink>
      <w:r w:rsidRPr="0037081D">
        <w:rPr>
          <w:sz w:val="20"/>
        </w:rPr>
        <w:t>)</w:t>
      </w:r>
    </w:p>
    <w:p w:rsidR="00387DAF" w:rsidRPr="0037081D" w:rsidRDefault="00387DAF" w:rsidP="0053032E">
      <w:pPr>
        <w:rPr>
          <w:sz w:val="20"/>
        </w:rPr>
      </w:pPr>
    </w:p>
    <w:p w:rsidR="0057402C" w:rsidRPr="0037081D" w:rsidRDefault="00981880" w:rsidP="0053032E">
      <w:pPr>
        <w:widowControl w:val="0"/>
        <w:jc w:val="both"/>
        <w:rPr>
          <w:sz w:val="20"/>
        </w:rPr>
      </w:pPr>
      <w:r>
        <w:rPr>
          <w:sz w:val="20"/>
        </w:rPr>
        <w:pict>
          <v:rect id="_x0000_i1026" style="width:2in;height:1pt" o:hrpct="0" o:hralign="center" o:hrstd="t" o:hrnoshade="t" o:hr="t" fillcolor="black [3213]" stroked="f"/>
        </w:pict>
      </w:r>
    </w:p>
    <w:p w:rsidR="00D76A1F" w:rsidRPr="0037081D" w:rsidRDefault="00D76A1F" w:rsidP="00403CA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3604" w:rsidRPr="0037081D" w:rsidTr="00E95A6A">
        <w:tc>
          <w:tcPr>
            <w:tcW w:w="543" w:type="pct"/>
          </w:tcPr>
          <w:p w:rsidR="00A93604" w:rsidRPr="0037081D" w:rsidRDefault="00A93604" w:rsidP="00A93604">
            <w:pPr>
              <w:jc w:val="both"/>
              <w:rPr>
                <w:sz w:val="20"/>
              </w:rPr>
            </w:pPr>
            <w:r w:rsidRPr="0037081D">
              <w:rPr>
                <w:rStyle w:val="SCCFileNumberChar"/>
                <w:sz w:val="20"/>
                <w:szCs w:val="20"/>
              </w:rPr>
              <w:t>39792</w:t>
            </w:r>
          </w:p>
        </w:tc>
        <w:tc>
          <w:tcPr>
            <w:tcW w:w="4457" w:type="pct"/>
            <w:gridSpan w:val="3"/>
          </w:tcPr>
          <w:p w:rsidR="00A93604" w:rsidRPr="0037081D" w:rsidRDefault="00A93604" w:rsidP="00A93604">
            <w:pPr>
              <w:pStyle w:val="SCCLsocParty"/>
              <w:jc w:val="both"/>
              <w:rPr>
                <w:b/>
                <w:sz w:val="20"/>
                <w:szCs w:val="20"/>
                <w:lang w:val="en-US"/>
              </w:rPr>
            </w:pPr>
            <w:r w:rsidRPr="0037081D">
              <w:rPr>
                <w:b/>
                <w:sz w:val="20"/>
                <w:szCs w:val="20"/>
                <w:lang w:val="en-US"/>
              </w:rPr>
              <w:t>Elizabeth Bernard v. Professional Institute of the Public Service of Canada</w:t>
            </w:r>
          </w:p>
          <w:p w:rsidR="00A93604" w:rsidRPr="0037081D" w:rsidRDefault="00A93604" w:rsidP="00A93604">
            <w:pPr>
              <w:jc w:val="both"/>
              <w:rPr>
                <w:sz w:val="20"/>
              </w:rPr>
            </w:pPr>
            <w:r w:rsidRPr="0037081D">
              <w:rPr>
                <w:sz w:val="20"/>
              </w:rPr>
              <w:t>(F.C.) (Civil) (By Leave)</w:t>
            </w:r>
          </w:p>
        </w:tc>
      </w:tr>
      <w:tr w:rsidR="00A93604" w:rsidRPr="0037081D" w:rsidTr="00E95A6A">
        <w:tc>
          <w:tcPr>
            <w:tcW w:w="5000" w:type="pct"/>
            <w:gridSpan w:val="4"/>
          </w:tcPr>
          <w:p w:rsidR="00A93604" w:rsidRPr="0037081D" w:rsidRDefault="00A93604" w:rsidP="00A93604">
            <w:pPr>
              <w:jc w:val="both"/>
              <w:rPr>
                <w:sz w:val="20"/>
              </w:rPr>
            </w:pPr>
            <w:r w:rsidRPr="0037081D">
              <w:rPr>
                <w:i/>
                <w:sz w:val="20"/>
              </w:rPr>
              <w:t>Charter of Rights</w:t>
            </w:r>
            <w:r w:rsidRPr="0037081D">
              <w:rPr>
                <w:sz w:val="20"/>
              </w:rPr>
              <w:t xml:space="preserve"> — Freedom of expression — Labour law — Grievances — Applicant filing complaint against bargaining agent alleging it committed an unfair labour practice by denying her right to vote in a collective agreement ratification process — Whether Federal Public Sector Labour Relations Board failed to consider ss. 188(d) and (e) of the </w:t>
            </w:r>
            <w:r w:rsidRPr="0037081D">
              <w:rPr>
                <w:i/>
                <w:sz w:val="20"/>
              </w:rPr>
              <w:t>Federal Public Sector Labour Relations Act</w:t>
            </w:r>
            <w:r w:rsidRPr="0037081D">
              <w:rPr>
                <w:sz w:val="20"/>
              </w:rPr>
              <w:t xml:space="preserve"> in determining jurisdiction and made its decision in a manner that breached procedural fairness and natural justice — Whether Federal Court of Appeal exceeded its jurisdiction by dismissing the applicant’s motion without reading her motion record — Whether Federal Court of Appeal established a new, unreasonable and unreachable legal test for litigants who have been subjected to orders under s. 40 of the </w:t>
            </w:r>
            <w:r w:rsidRPr="0037081D">
              <w:rPr>
                <w:i/>
                <w:sz w:val="20"/>
              </w:rPr>
              <w:t>Federal Courts Act</w:t>
            </w:r>
            <w:r w:rsidRPr="0037081D">
              <w:rPr>
                <w:sz w:val="20"/>
              </w:rPr>
              <w:t xml:space="preserve"> without giving the Applicant an opportunity to make submissions— Whether subsection 40(5) of the </w:t>
            </w:r>
            <w:r w:rsidRPr="0037081D">
              <w:rPr>
                <w:i/>
                <w:sz w:val="20"/>
              </w:rPr>
              <w:t>Federal Courts Act</w:t>
            </w:r>
            <w:r w:rsidRPr="0037081D">
              <w:rPr>
                <w:sz w:val="20"/>
              </w:rPr>
              <w:t xml:space="preserve"> is unconstitutional and conflicts with the </w:t>
            </w:r>
            <w:r w:rsidRPr="0037081D">
              <w:rPr>
                <w:i/>
                <w:sz w:val="20"/>
              </w:rPr>
              <w:t>Supreme Court Act</w:t>
            </w:r>
            <w:r w:rsidRPr="0037081D">
              <w:rPr>
                <w:sz w:val="20"/>
              </w:rPr>
              <w:t xml:space="preserve"> and s. 2 of the </w:t>
            </w:r>
            <w:r w:rsidRPr="0037081D">
              <w:rPr>
                <w:i/>
                <w:sz w:val="20"/>
              </w:rPr>
              <w:t>Charter</w:t>
            </w:r>
            <w:r w:rsidRPr="0037081D">
              <w:rPr>
                <w:sz w:val="20"/>
              </w:rPr>
              <w:t>.</w:t>
            </w:r>
          </w:p>
        </w:tc>
      </w:tr>
      <w:tr w:rsidR="00A93604" w:rsidRPr="0037081D" w:rsidTr="00E95A6A">
        <w:tc>
          <w:tcPr>
            <w:tcW w:w="5000" w:type="pct"/>
            <w:gridSpan w:val="4"/>
          </w:tcPr>
          <w:p w:rsidR="00A93604" w:rsidRPr="0037081D" w:rsidRDefault="00A93604" w:rsidP="00A93604">
            <w:pPr>
              <w:jc w:val="both"/>
              <w:rPr>
                <w:sz w:val="20"/>
              </w:rPr>
            </w:pPr>
          </w:p>
          <w:p w:rsidR="00A93604" w:rsidRPr="0037081D" w:rsidRDefault="00A93604" w:rsidP="00A93604">
            <w:pPr>
              <w:jc w:val="both"/>
              <w:rPr>
                <w:sz w:val="20"/>
              </w:rPr>
            </w:pPr>
            <w:r w:rsidRPr="0037081D">
              <w:rPr>
                <w:sz w:val="20"/>
              </w:rPr>
              <w:t>The applicant is an employee in a bargaining unit of the Canada Revenue Agency (“CRA”). The Professional Institute of the Public Service of Canada (“PIPSC”) is the certified bargaining agent for her unit.  In December 2017, Ms. Bernard asked for a voting key to participate in a ratification vote on a tentative agreement reached between PIPSC and the CRA. She was advised by PIPSC that in order to receive a voting key, she would have to become a Regular member and was informed as to how to change her status. She declined to do so and filed an unfair labour practice complaint. That complaint was dismissed by the Federal Public Sector Labour Relations and Employment Board. The applicant’s appeal from that decision was dismissed.</w:t>
            </w:r>
          </w:p>
        </w:tc>
      </w:tr>
      <w:tr w:rsidR="00A93604" w:rsidRPr="0037081D" w:rsidTr="00E95A6A">
        <w:tc>
          <w:tcPr>
            <w:tcW w:w="5000" w:type="pct"/>
            <w:gridSpan w:val="4"/>
          </w:tcPr>
          <w:p w:rsidR="00A93604" w:rsidRPr="0037081D" w:rsidRDefault="00A93604" w:rsidP="00A93604">
            <w:pPr>
              <w:jc w:val="both"/>
              <w:rPr>
                <w:sz w:val="20"/>
              </w:rPr>
            </w:pPr>
          </w:p>
        </w:tc>
      </w:tr>
      <w:tr w:rsidR="00A93604" w:rsidRPr="0037081D" w:rsidTr="00E95A6A">
        <w:tc>
          <w:tcPr>
            <w:tcW w:w="2427" w:type="pct"/>
            <w:gridSpan w:val="2"/>
          </w:tcPr>
          <w:p w:rsidR="00A93604" w:rsidRPr="0037081D" w:rsidRDefault="00A93604" w:rsidP="00A93604">
            <w:pPr>
              <w:jc w:val="both"/>
              <w:rPr>
                <w:sz w:val="20"/>
              </w:rPr>
            </w:pPr>
            <w:r w:rsidRPr="0037081D">
              <w:rPr>
                <w:sz w:val="20"/>
              </w:rPr>
              <w:t>February 11, 2020</w:t>
            </w:r>
          </w:p>
          <w:p w:rsidR="00A93604" w:rsidRPr="0037081D" w:rsidRDefault="00A93604" w:rsidP="00A93604">
            <w:pPr>
              <w:jc w:val="both"/>
              <w:rPr>
                <w:sz w:val="20"/>
              </w:rPr>
            </w:pPr>
            <w:r w:rsidRPr="0037081D">
              <w:rPr>
                <w:sz w:val="20"/>
              </w:rPr>
              <w:t xml:space="preserve">Federal Public Sector Labour Relations and </w:t>
            </w:r>
          </w:p>
          <w:p w:rsidR="00A93604" w:rsidRPr="0037081D" w:rsidRDefault="00A93604" w:rsidP="00A93604">
            <w:pPr>
              <w:jc w:val="both"/>
              <w:rPr>
                <w:sz w:val="20"/>
              </w:rPr>
            </w:pPr>
            <w:r w:rsidRPr="0037081D">
              <w:rPr>
                <w:sz w:val="20"/>
              </w:rPr>
              <w:t>Employment Board</w:t>
            </w:r>
          </w:p>
          <w:p w:rsidR="00A93604" w:rsidRPr="0037081D" w:rsidRDefault="00A93604" w:rsidP="00A93604">
            <w:pPr>
              <w:jc w:val="both"/>
              <w:rPr>
                <w:sz w:val="20"/>
              </w:rPr>
            </w:pPr>
            <w:r w:rsidRPr="0037081D">
              <w:rPr>
                <w:sz w:val="20"/>
              </w:rPr>
              <w:t>(Orfald, Panel Member)</w:t>
            </w:r>
          </w:p>
          <w:p w:rsidR="00A93604" w:rsidRPr="0037081D" w:rsidRDefault="00981880" w:rsidP="00A93604">
            <w:pPr>
              <w:jc w:val="both"/>
              <w:rPr>
                <w:sz w:val="20"/>
              </w:rPr>
            </w:pPr>
            <w:hyperlink r:id="rId11" w:history="1">
              <w:r w:rsidR="00A93604" w:rsidRPr="0037081D">
                <w:rPr>
                  <w:rStyle w:val="Hyperlink"/>
                  <w:sz w:val="20"/>
                </w:rPr>
                <w:t>2020 FPSLREB 11</w:t>
              </w:r>
            </w:hyperlink>
          </w:p>
          <w:p w:rsidR="00A93604" w:rsidRPr="0037081D" w:rsidRDefault="00A93604" w:rsidP="00A93604">
            <w:pPr>
              <w:jc w:val="both"/>
              <w:rPr>
                <w:sz w:val="20"/>
              </w:rPr>
            </w:pPr>
          </w:p>
        </w:tc>
        <w:tc>
          <w:tcPr>
            <w:tcW w:w="243" w:type="pct"/>
          </w:tcPr>
          <w:p w:rsidR="00A93604" w:rsidRPr="0037081D" w:rsidRDefault="00A93604" w:rsidP="00A93604">
            <w:pPr>
              <w:jc w:val="both"/>
              <w:rPr>
                <w:sz w:val="20"/>
              </w:rPr>
            </w:pPr>
          </w:p>
        </w:tc>
        <w:tc>
          <w:tcPr>
            <w:tcW w:w="2330" w:type="pct"/>
          </w:tcPr>
          <w:p w:rsidR="00A93604" w:rsidRPr="0037081D" w:rsidRDefault="00A93604" w:rsidP="00A93604">
            <w:pPr>
              <w:jc w:val="both"/>
              <w:rPr>
                <w:sz w:val="20"/>
              </w:rPr>
            </w:pPr>
            <w:r w:rsidRPr="0037081D">
              <w:rPr>
                <w:sz w:val="20"/>
              </w:rPr>
              <w:t>Applicant’s unfair labour practice complaint dismissed</w:t>
            </w:r>
          </w:p>
          <w:p w:rsidR="00A93604" w:rsidRPr="0037081D" w:rsidRDefault="00A93604" w:rsidP="00A93604">
            <w:pPr>
              <w:jc w:val="both"/>
              <w:rPr>
                <w:sz w:val="20"/>
              </w:rPr>
            </w:pPr>
          </w:p>
          <w:p w:rsidR="00A93604" w:rsidRPr="0037081D" w:rsidRDefault="00A93604" w:rsidP="00A93604">
            <w:pPr>
              <w:jc w:val="both"/>
              <w:rPr>
                <w:sz w:val="20"/>
              </w:rPr>
            </w:pPr>
          </w:p>
        </w:tc>
      </w:tr>
      <w:tr w:rsidR="00A93604" w:rsidRPr="0037081D" w:rsidTr="00E95A6A">
        <w:tc>
          <w:tcPr>
            <w:tcW w:w="2427" w:type="pct"/>
            <w:gridSpan w:val="2"/>
          </w:tcPr>
          <w:p w:rsidR="00A93604" w:rsidRPr="0037081D" w:rsidRDefault="00A93604" w:rsidP="00A93604">
            <w:pPr>
              <w:jc w:val="both"/>
              <w:rPr>
                <w:sz w:val="20"/>
              </w:rPr>
            </w:pPr>
            <w:r w:rsidRPr="0037081D">
              <w:rPr>
                <w:sz w:val="20"/>
              </w:rPr>
              <w:t>December 9, 2020</w:t>
            </w:r>
          </w:p>
          <w:p w:rsidR="00A93604" w:rsidRPr="0037081D" w:rsidRDefault="00A93604" w:rsidP="00A93604">
            <w:pPr>
              <w:jc w:val="both"/>
              <w:rPr>
                <w:sz w:val="20"/>
              </w:rPr>
            </w:pPr>
            <w:r w:rsidRPr="0037081D">
              <w:rPr>
                <w:sz w:val="20"/>
              </w:rPr>
              <w:t>Federal Court of Appeal</w:t>
            </w:r>
          </w:p>
          <w:p w:rsidR="00A93604" w:rsidRPr="0037081D" w:rsidRDefault="00A93604" w:rsidP="00A93604">
            <w:pPr>
              <w:jc w:val="both"/>
              <w:rPr>
                <w:sz w:val="20"/>
              </w:rPr>
            </w:pPr>
            <w:r w:rsidRPr="0037081D">
              <w:rPr>
                <w:sz w:val="20"/>
              </w:rPr>
              <w:t>(Stratas J.A.)</w:t>
            </w:r>
          </w:p>
          <w:p w:rsidR="00A93604" w:rsidRPr="0037081D" w:rsidRDefault="00981880" w:rsidP="00A93604">
            <w:pPr>
              <w:jc w:val="both"/>
              <w:rPr>
                <w:sz w:val="20"/>
              </w:rPr>
            </w:pPr>
            <w:hyperlink r:id="rId12" w:history="1">
              <w:r w:rsidR="00A93604" w:rsidRPr="0037081D">
                <w:rPr>
                  <w:rStyle w:val="Hyperlink"/>
                  <w:sz w:val="20"/>
                </w:rPr>
                <w:t>2020 FCA 211</w:t>
              </w:r>
            </w:hyperlink>
          </w:p>
          <w:p w:rsidR="00A93604" w:rsidRPr="0037081D" w:rsidRDefault="00A93604" w:rsidP="00A93604">
            <w:pPr>
              <w:jc w:val="both"/>
              <w:rPr>
                <w:sz w:val="20"/>
              </w:rPr>
            </w:pPr>
          </w:p>
        </w:tc>
        <w:tc>
          <w:tcPr>
            <w:tcW w:w="243" w:type="pct"/>
          </w:tcPr>
          <w:p w:rsidR="00A93604" w:rsidRPr="0037081D" w:rsidRDefault="00A93604" w:rsidP="00A93604">
            <w:pPr>
              <w:jc w:val="both"/>
              <w:rPr>
                <w:sz w:val="20"/>
              </w:rPr>
            </w:pPr>
          </w:p>
        </w:tc>
        <w:tc>
          <w:tcPr>
            <w:tcW w:w="2330" w:type="pct"/>
          </w:tcPr>
          <w:p w:rsidR="00A93604" w:rsidRPr="0037081D" w:rsidRDefault="00A93604" w:rsidP="00A93604">
            <w:pPr>
              <w:jc w:val="both"/>
              <w:rPr>
                <w:sz w:val="20"/>
              </w:rPr>
            </w:pPr>
            <w:r w:rsidRPr="0037081D">
              <w:rPr>
                <w:sz w:val="20"/>
              </w:rPr>
              <w:t>Applicant’s application for leave to appeal dismissed</w:t>
            </w:r>
          </w:p>
          <w:p w:rsidR="00A93604" w:rsidRPr="0037081D" w:rsidRDefault="00A93604" w:rsidP="00A93604">
            <w:pPr>
              <w:jc w:val="both"/>
              <w:rPr>
                <w:sz w:val="20"/>
              </w:rPr>
            </w:pPr>
          </w:p>
        </w:tc>
      </w:tr>
      <w:tr w:rsidR="00A93604" w:rsidRPr="0037081D" w:rsidTr="00E95A6A">
        <w:tc>
          <w:tcPr>
            <w:tcW w:w="2427" w:type="pct"/>
            <w:gridSpan w:val="2"/>
          </w:tcPr>
          <w:p w:rsidR="00A93604" w:rsidRPr="0037081D" w:rsidRDefault="00A93604" w:rsidP="00A93604">
            <w:pPr>
              <w:jc w:val="both"/>
              <w:rPr>
                <w:sz w:val="20"/>
              </w:rPr>
            </w:pPr>
            <w:r w:rsidRPr="0037081D">
              <w:rPr>
                <w:sz w:val="20"/>
              </w:rPr>
              <w:t>February 8, 2021</w:t>
            </w:r>
          </w:p>
          <w:p w:rsidR="00A93604" w:rsidRPr="0037081D" w:rsidRDefault="00A93604" w:rsidP="00A93604">
            <w:pPr>
              <w:jc w:val="both"/>
              <w:rPr>
                <w:sz w:val="20"/>
              </w:rPr>
            </w:pPr>
            <w:r w:rsidRPr="0037081D">
              <w:rPr>
                <w:sz w:val="20"/>
              </w:rPr>
              <w:t>Supreme Court of Canada</w:t>
            </w:r>
          </w:p>
        </w:tc>
        <w:tc>
          <w:tcPr>
            <w:tcW w:w="243" w:type="pct"/>
          </w:tcPr>
          <w:p w:rsidR="00A93604" w:rsidRPr="0037081D" w:rsidRDefault="00A93604" w:rsidP="00A93604">
            <w:pPr>
              <w:jc w:val="both"/>
              <w:rPr>
                <w:sz w:val="20"/>
              </w:rPr>
            </w:pPr>
          </w:p>
        </w:tc>
        <w:tc>
          <w:tcPr>
            <w:tcW w:w="2330" w:type="pct"/>
          </w:tcPr>
          <w:p w:rsidR="00A93604" w:rsidRPr="0037081D" w:rsidRDefault="00A93604" w:rsidP="00A93604">
            <w:pPr>
              <w:jc w:val="both"/>
              <w:rPr>
                <w:sz w:val="20"/>
              </w:rPr>
            </w:pPr>
            <w:r w:rsidRPr="0037081D">
              <w:rPr>
                <w:sz w:val="20"/>
              </w:rPr>
              <w:t>Application for leave to appeal filed</w:t>
            </w:r>
          </w:p>
          <w:p w:rsidR="00A93604" w:rsidRPr="0037081D" w:rsidRDefault="00A93604" w:rsidP="00A93604">
            <w:pPr>
              <w:jc w:val="both"/>
              <w:rPr>
                <w:sz w:val="20"/>
              </w:rPr>
            </w:pPr>
          </w:p>
        </w:tc>
      </w:tr>
    </w:tbl>
    <w:p w:rsidR="00A93604" w:rsidRPr="0037081D" w:rsidRDefault="00A93604" w:rsidP="00A93604">
      <w:pPr>
        <w:jc w:val="both"/>
        <w:rPr>
          <w:sz w:val="20"/>
        </w:rPr>
      </w:pPr>
    </w:p>
    <w:p w:rsidR="00A93604" w:rsidRPr="0037081D" w:rsidRDefault="00981880" w:rsidP="00A93604">
      <w:pPr>
        <w:jc w:val="both"/>
        <w:rPr>
          <w:sz w:val="20"/>
        </w:rPr>
      </w:pPr>
      <w:r>
        <w:rPr>
          <w:sz w:val="20"/>
        </w:rPr>
        <w:pict>
          <v:rect id="_x0000_i1027" style="width:2in;height:1pt" o:hrpct="0" o:hralign="center" o:hrstd="t" o:hrnoshade="t" o:hr="t" fillcolor="black [3213]" stroked="f"/>
        </w:pict>
      </w:r>
    </w:p>
    <w:p w:rsidR="00A93604" w:rsidRPr="0037081D" w:rsidRDefault="00A93604" w:rsidP="00A936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3604" w:rsidRPr="00981880" w:rsidTr="00E95A6A">
        <w:tc>
          <w:tcPr>
            <w:tcW w:w="543" w:type="pct"/>
          </w:tcPr>
          <w:p w:rsidR="00A93604" w:rsidRPr="0037081D" w:rsidRDefault="00A93604" w:rsidP="00A93604">
            <w:pPr>
              <w:jc w:val="both"/>
              <w:rPr>
                <w:sz w:val="20"/>
                <w:lang w:val="fr-CA"/>
              </w:rPr>
            </w:pPr>
            <w:r w:rsidRPr="0037081D">
              <w:rPr>
                <w:rStyle w:val="SCCFileNumberChar"/>
                <w:sz w:val="20"/>
                <w:szCs w:val="20"/>
                <w:lang w:val="fr-CA"/>
              </w:rPr>
              <w:t>39792</w:t>
            </w:r>
          </w:p>
        </w:tc>
        <w:tc>
          <w:tcPr>
            <w:tcW w:w="4457" w:type="pct"/>
            <w:gridSpan w:val="3"/>
          </w:tcPr>
          <w:p w:rsidR="00A93604" w:rsidRPr="0037081D" w:rsidRDefault="00A93604" w:rsidP="00A93604">
            <w:pPr>
              <w:pStyle w:val="SCCLsocParty"/>
              <w:jc w:val="both"/>
              <w:rPr>
                <w:b/>
                <w:sz w:val="20"/>
                <w:szCs w:val="20"/>
              </w:rPr>
            </w:pPr>
            <w:r w:rsidRPr="0037081D">
              <w:rPr>
                <w:b/>
                <w:sz w:val="20"/>
                <w:szCs w:val="20"/>
              </w:rPr>
              <w:t>Elizabeth Bernard c. Institut professionnel de la fonction publique du Canada</w:t>
            </w:r>
          </w:p>
          <w:p w:rsidR="00A93604" w:rsidRPr="0037081D" w:rsidRDefault="00A93604" w:rsidP="00A93604">
            <w:pPr>
              <w:jc w:val="both"/>
              <w:rPr>
                <w:sz w:val="20"/>
                <w:lang w:val="fr-CA"/>
              </w:rPr>
            </w:pPr>
            <w:r w:rsidRPr="0037081D">
              <w:rPr>
                <w:sz w:val="20"/>
                <w:lang w:val="fr-CA"/>
              </w:rPr>
              <w:t>(C.F.) (Civile) (Sur autorisation)</w:t>
            </w:r>
          </w:p>
        </w:tc>
      </w:tr>
      <w:tr w:rsidR="00A93604" w:rsidRPr="00981880" w:rsidTr="00E95A6A">
        <w:tc>
          <w:tcPr>
            <w:tcW w:w="5000" w:type="pct"/>
            <w:gridSpan w:val="4"/>
          </w:tcPr>
          <w:p w:rsidR="00A93604" w:rsidRPr="0037081D" w:rsidRDefault="00A93604" w:rsidP="00A93604">
            <w:pPr>
              <w:jc w:val="both"/>
              <w:rPr>
                <w:sz w:val="20"/>
                <w:lang w:val="fr-CA"/>
              </w:rPr>
            </w:pPr>
            <w:r w:rsidRPr="0037081D">
              <w:rPr>
                <w:i/>
                <w:sz w:val="20"/>
                <w:lang w:val="fr-CA"/>
              </w:rPr>
              <w:t>Charte des droits</w:t>
            </w:r>
            <w:r w:rsidRPr="0037081D">
              <w:rPr>
                <w:sz w:val="20"/>
                <w:lang w:val="fr-CA"/>
              </w:rPr>
              <w:t xml:space="preserve"> — Liberté d’expression — Droit du travail — Griefs — La demanderesse a déposé une plainte contre l’agent négociateur alléguant qu’il a commis une pratique déloyale de travail en lui refusant le droit de vote dans le cadre du processus de ratification d’une convention collective — La Commission des relations de travail dans le secteur public fédéral a</w:t>
            </w:r>
            <w:r w:rsidRPr="0037081D">
              <w:rPr>
                <w:sz w:val="20"/>
                <w:lang w:val="fr-CA"/>
              </w:rPr>
              <w:noBreakHyphen/>
              <w:t>t</w:t>
            </w:r>
            <w:r w:rsidRPr="0037081D">
              <w:rPr>
                <w:sz w:val="20"/>
                <w:lang w:val="fr-CA"/>
              </w:rPr>
              <w:noBreakHyphen/>
              <w:t xml:space="preserve">elle omis de tenir compte des alinéas 188d) et e) de la </w:t>
            </w:r>
            <w:r w:rsidRPr="0037081D">
              <w:rPr>
                <w:i/>
                <w:sz w:val="20"/>
                <w:lang w:val="fr-CA"/>
              </w:rPr>
              <w:t>Loi sur les relations de travail dans le secteur public fédéral</w:t>
            </w:r>
            <w:r w:rsidRPr="0037081D">
              <w:rPr>
                <w:sz w:val="20"/>
                <w:lang w:val="fr-CA"/>
              </w:rPr>
              <w:t xml:space="preserve"> pour décider de la compétence et rendu sa décision de manière à porter atteinte à l’équité procédurale et à la justice naturelle ? — La Cour d’appel </w:t>
            </w:r>
            <w:proofErr w:type="gramStart"/>
            <w:r w:rsidRPr="0037081D">
              <w:rPr>
                <w:sz w:val="20"/>
                <w:lang w:val="fr-CA"/>
              </w:rPr>
              <w:t>fédérale</w:t>
            </w:r>
            <w:proofErr w:type="gramEnd"/>
            <w:r w:rsidRPr="0037081D">
              <w:rPr>
                <w:sz w:val="20"/>
                <w:lang w:val="fr-CA"/>
              </w:rPr>
              <w:t xml:space="preserve"> a</w:t>
            </w:r>
            <w:r w:rsidRPr="0037081D">
              <w:rPr>
                <w:sz w:val="20"/>
                <w:lang w:val="fr-CA"/>
              </w:rPr>
              <w:noBreakHyphen/>
              <w:t>t</w:t>
            </w:r>
            <w:r w:rsidRPr="0037081D">
              <w:rPr>
                <w:sz w:val="20"/>
                <w:lang w:val="fr-CA"/>
              </w:rPr>
              <w:noBreakHyphen/>
              <w:t>elle outrepassé sa compétence en rejetant la requête de la demanderesse sans lire son dossier de requête ? — La Cour d’appel fédérale a</w:t>
            </w:r>
            <w:r w:rsidRPr="0037081D">
              <w:rPr>
                <w:sz w:val="20"/>
                <w:lang w:val="fr-CA"/>
              </w:rPr>
              <w:noBreakHyphen/>
              <w:t>t</w:t>
            </w:r>
            <w:r w:rsidRPr="0037081D">
              <w:rPr>
                <w:sz w:val="20"/>
                <w:lang w:val="fr-CA"/>
              </w:rPr>
              <w:noBreakHyphen/>
              <w:t xml:space="preserve">elle établi un nouveau critère juridique déraisonnable et impossible à respecter relativement aux plaideurs qui font l’objet d’ordonnances au titre de l’art. 40 de la </w:t>
            </w:r>
            <w:r w:rsidRPr="0037081D">
              <w:rPr>
                <w:i/>
                <w:sz w:val="20"/>
                <w:lang w:val="fr-CA"/>
              </w:rPr>
              <w:t>Loi sur les Cours fédérales</w:t>
            </w:r>
            <w:r w:rsidRPr="0037081D">
              <w:rPr>
                <w:sz w:val="20"/>
                <w:lang w:val="fr-CA"/>
              </w:rPr>
              <w:t xml:space="preserve"> sans donner l’occasion à la demanderesse de présenter des observations ? — Le paragraphe 40(5) de la </w:t>
            </w:r>
            <w:r w:rsidRPr="0037081D">
              <w:rPr>
                <w:i/>
                <w:sz w:val="20"/>
                <w:lang w:val="fr-CA"/>
              </w:rPr>
              <w:t>Loi sur les Cours fédérales</w:t>
            </w:r>
            <w:r w:rsidRPr="0037081D">
              <w:rPr>
                <w:sz w:val="20"/>
                <w:lang w:val="fr-CA"/>
              </w:rPr>
              <w:t xml:space="preserve"> est</w:t>
            </w:r>
            <w:r w:rsidRPr="0037081D">
              <w:rPr>
                <w:sz w:val="20"/>
                <w:lang w:val="fr-CA"/>
              </w:rPr>
              <w:noBreakHyphen/>
              <w:t>il inconstitutionnel et va</w:t>
            </w:r>
            <w:r w:rsidRPr="0037081D">
              <w:rPr>
                <w:sz w:val="20"/>
                <w:lang w:val="fr-CA"/>
              </w:rPr>
              <w:noBreakHyphen/>
              <w:t>t</w:t>
            </w:r>
            <w:r w:rsidRPr="0037081D">
              <w:rPr>
                <w:sz w:val="20"/>
                <w:lang w:val="fr-CA"/>
              </w:rPr>
              <w:noBreakHyphen/>
              <w:t xml:space="preserve">il à l’encontre de la </w:t>
            </w:r>
            <w:r w:rsidRPr="0037081D">
              <w:rPr>
                <w:i/>
                <w:sz w:val="20"/>
                <w:lang w:val="fr-CA"/>
              </w:rPr>
              <w:t>Loi sur la Cour suprême</w:t>
            </w:r>
            <w:r w:rsidRPr="0037081D">
              <w:rPr>
                <w:sz w:val="20"/>
                <w:lang w:val="fr-CA"/>
              </w:rPr>
              <w:t xml:space="preserve"> et l’art. 2 de la </w:t>
            </w:r>
            <w:r w:rsidRPr="0037081D">
              <w:rPr>
                <w:i/>
                <w:sz w:val="20"/>
                <w:lang w:val="fr-CA"/>
              </w:rPr>
              <w:t>Charte </w:t>
            </w:r>
            <w:r w:rsidRPr="0037081D">
              <w:rPr>
                <w:sz w:val="20"/>
                <w:lang w:val="fr-CA"/>
              </w:rPr>
              <w:t>?</w:t>
            </w:r>
          </w:p>
        </w:tc>
      </w:tr>
      <w:tr w:rsidR="00A93604" w:rsidRPr="00981880" w:rsidTr="00E95A6A">
        <w:tc>
          <w:tcPr>
            <w:tcW w:w="5000" w:type="pct"/>
            <w:gridSpan w:val="4"/>
          </w:tcPr>
          <w:p w:rsidR="00A93604" w:rsidRPr="0037081D" w:rsidRDefault="00A93604" w:rsidP="00A93604">
            <w:pPr>
              <w:jc w:val="both"/>
              <w:rPr>
                <w:sz w:val="20"/>
                <w:lang w:val="fr-CA"/>
              </w:rPr>
            </w:pPr>
          </w:p>
          <w:p w:rsidR="00A93604" w:rsidRPr="0037081D" w:rsidRDefault="00A93604" w:rsidP="00A93604">
            <w:pPr>
              <w:jc w:val="both"/>
              <w:rPr>
                <w:sz w:val="20"/>
                <w:lang w:val="fr-CA"/>
              </w:rPr>
            </w:pPr>
            <w:r w:rsidRPr="0037081D">
              <w:rPr>
                <w:sz w:val="20"/>
                <w:lang w:val="fr-CA"/>
              </w:rPr>
              <w:t>La demanderesse est une employée qui fait partie de l’unité de négociation de l’Agence du revenu du Canada (« l'ARC »). L’Institut professionnel de la fonction publique du Canada (« l’IPFPC ») est l’agent négociateur accrédité de son unité. En décembre 2017, Mme Bernard a demandé une clé de vote pour pouvoir participer au vote de ratification d’une entente provisoire conclue entre l’IPFPC et l’ARC.</w:t>
            </w:r>
            <w:r w:rsidRPr="0037081D">
              <w:rPr>
                <w:rFonts w:ascii="Lucida Bright" w:hAnsi="Lucida Bright"/>
                <w:color w:val="000000"/>
                <w:sz w:val="20"/>
                <w:lang w:val="fr-CA"/>
              </w:rPr>
              <w:t xml:space="preserve"> </w:t>
            </w:r>
            <w:r w:rsidRPr="0037081D">
              <w:rPr>
                <w:sz w:val="20"/>
                <w:lang w:val="fr-CA"/>
              </w:rPr>
              <w:t>L’IPFPC lui a indiqué que, pour recevoir une clé de vote, elle devait devenir membre titulaire, et il l’a informée de la façon de modifier son statut. Elle a refusé de le faire et a déposé une plainte de pratique déloyale de travail. Cette plainte a été rejetée par la Commission des relations de travail et de l’emploi dans le secteur public fédéral. L’appel interjeté par la demanderesse contre cette décision a été rejeté.</w:t>
            </w:r>
          </w:p>
        </w:tc>
      </w:tr>
      <w:tr w:rsidR="00A93604" w:rsidRPr="00981880" w:rsidTr="00E95A6A">
        <w:tc>
          <w:tcPr>
            <w:tcW w:w="5000" w:type="pct"/>
            <w:gridSpan w:val="4"/>
          </w:tcPr>
          <w:p w:rsidR="00A93604" w:rsidRPr="0037081D" w:rsidRDefault="00A93604" w:rsidP="00A93604">
            <w:pPr>
              <w:jc w:val="both"/>
              <w:rPr>
                <w:sz w:val="20"/>
                <w:lang w:val="fr-CA"/>
              </w:rPr>
            </w:pPr>
          </w:p>
        </w:tc>
      </w:tr>
      <w:tr w:rsidR="00A93604" w:rsidRPr="00981880" w:rsidTr="00E95A6A">
        <w:tc>
          <w:tcPr>
            <w:tcW w:w="2427" w:type="pct"/>
            <w:gridSpan w:val="2"/>
          </w:tcPr>
          <w:p w:rsidR="00A93604" w:rsidRPr="0037081D" w:rsidRDefault="00A93604" w:rsidP="00A93604">
            <w:pPr>
              <w:jc w:val="both"/>
              <w:rPr>
                <w:sz w:val="20"/>
                <w:lang w:val="fr-CA"/>
              </w:rPr>
            </w:pPr>
            <w:r w:rsidRPr="0037081D">
              <w:rPr>
                <w:sz w:val="20"/>
                <w:lang w:val="fr-CA"/>
              </w:rPr>
              <w:t>11 février 2020</w:t>
            </w:r>
          </w:p>
          <w:p w:rsidR="00A93604" w:rsidRPr="0037081D" w:rsidRDefault="00A93604" w:rsidP="00A93604">
            <w:pPr>
              <w:jc w:val="both"/>
              <w:rPr>
                <w:sz w:val="20"/>
                <w:lang w:val="fr-CA"/>
              </w:rPr>
            </w:pPr>
            <w:r w:rsidRPr="0037081D">
              <w:rPr>
                <w:sz w:val="20"/>
                <w:lang w:val="fr-CA"/>
              </w:rPr>
              <w:t>Commission des relations de travail et de l’emploi dans le secteur public fédéral</w:t>
            </w:r>
          </w:p>
          <w:p w:rsidR="00A93604" w:rsidRPr="0037081D" w:rsidRDefault="00A93604" w:rsidP="00A93604">
            <w:pPr>
              <w:jc w:val="both"/>
              <w:rPr>
                <w:sz w:val="20"/>
                <w:lang w:val="fr-CA"/>
              </w:rPr>
            </w:pPr>
            <w:r w:rsidRPr="0037081D">
              <w:rPr>
                <w:sz w:val="20"/>
                <w:lang w:val="fr-CA"/>
              </w:rPr>
              <w:t>(commissaire Orfald)</w:t>
            </w:r>
          </w:p>
          <w:p w:rsidR="00A93604" w:rsidRPr="0037081D" w:rsidRDefault="00981880" w:rsidP="00A93604">
            <w:pPr>
              <w:jc w:val="both"/>
              <w:rPr>
                <w:sz w:val="20"/>
                <w:lang w:val="fr-CA"/>
              </w:rPr>
            </w:pPr>
            <w:hyperlink r:id="rId13" w:history="1">
              <w:r w:rsidR="00A93604" w:rsidRPr="0037081D">
                <w:rPr>
                  <w:rStyle w:val="Hyperlink"/>
                  <w:sz w:val="20"/>
                  <w:lang w:val="fr-CA"/>
                </w:rPr>
                <w:t>2020 CRTESPF 11</w:t>
              </w:r>
            </w:hyperlink>
          </w:p>
          <w:p w:rsidR="00A93604" w:rsidRPr="0037081D" w:rsidRDefault="00A93604" w:rsidP="00A93604">
            <w:pPr>
              <w:jc w:val="both"/>
              <w:rPr>
                <w:sz w:val="20"/>
                <w:lang w:val="fr-CA"/>
              </w:rPr>
            </w:pPr>
          </w:p>
        </w:tc>
        <w:tc>
          <w:tcPr>
            <w:tcW w:w="243" w:type="pct"/>
          </w:tcPr>
          <w:p w:rsidR="00A93604" w:rsidRPr="0037081D" w:rsidRDefault="00A93604" w:rsidP="00A93604">
            <w:pPr>
              <w:jc w:val="both"/>
              <w:rPr>
                <w:sz w:val="20"/>
                <w:lang w:val="fr-CA"/>
              </w:rPr>
            </w:pPr>
          </w:p>
        </w:tc>
        <w:tc>
          <w:tcPr>
            <w:tcW w:w="2330" w:type="pct"/>
          </w:tcPr>
          <w:p w:rsidR="00A93604" w:rsidRPr="0037081D" w:rsidRDefault="00A93604" w:rsidP="00A93604">
            <w:pPr>
              <w:jc w:val="both"/>
              <w:rPr>
                <w:sz w:val="20"/>
                <w:lang w:val="fr-CA"/>
              </w:rPr>
            </w:pPr>
            <w:r w:rsidRPr="0037081D">
              <w:rPr>
                <w:sz w:val="20"/>
                <w:lang w:val="fr-CA"/>
              </w:rPr>
              <w:t>La plainte de pratique déloyale de travail présentée par la demanderesse est rejetée.</w:t>
            </w:r>
          </w:p>
          <w:p w:rsidR="00A93604" w:rsidRPr="0037081D" w:rsidRDefault="00A93604" w:rsidP="00A93604">
            <w:pPr>
              <w:jc w:val="both"/>
              <w:rPr>
                <w:sz w:val="20"/>
                <w:lang w:val="fr-CA"/>
              </w:rPr>
            </w:pPr>
          </w:p>
          <w:p w:rsidR="00A93604" w:rsidRPr="0037081D" w:rsidRDefault="00A93604" w:rsidP="00A93604">
            <w:pPr>
              <w:jc w:val="both"/>
              <w:rPr>
                <w:sz w:val="20"/>
                <w:lang w:val="fr-CA"/>
              </w:rPr>
            </w:pPr>
          </w:p>
        </w:tc>
      </w:tr>
      <w:tr w:rsidR="00A93604" w:rsidRPr="00981880" w:rsidTr="00E95A6A">
        <w:tc>
          <w:tcPr>
            <w:tcW w:w="2427" w:type="pct"/>
            <w:gridSpan w:val="2"/>
          </w:tcPr>
          <w:p w:rsidR="00A93604" w:rsidRPr="0037081D" w:rsidRDefault="00A93604" w:rsidP="00A93604">
            <w:pPr>
              <w:jc w:val="both"/>
              <w:rPr>
                <w:sz w:val="20"/>
                <w:lang w:val="fr-CA"/>
              </w:rPr>
            </w:pPr>
            <w:r w:rsidRPr="0037081D">
              <w:rPr>
                <w:sz w:val="20"/>
                <w:lang w:val="fr-CA"/>
              </w:rPr>
              <w:t>9 décembre 2020</w:t>
            </w:r>
          </w:p>
          <w:p w:rsidR="00A93604" w:rsidRPr="0037081D" w:rsidRDefault="00A93604" w:rsidP="00A93604">
            <w:pPr>
              <w:jc w:val="both"/>
              <w:rPr>
                <w:sz w:val="20"/>
                <w:lang w:val="fr-CA"/>
              </w:rPr>
            </w:pPr>
            <w:r w:rsidRPr="0037081D">
              <w:rPr>
                <w:sz w:val="20"/>
                <w:lang w:val="fr-CA"/>
              </w:rPr>
              <w:t xml:space="preserve">Cour d’appel fédérale </w:t>
            </w:r>
          </w:p>
          <w:p w:rsidR="00A93604" w:rsidRPr="0037081D" w:rsidRDefault="00A93604" w:rsidP="00A93604">
            <w:pPr>
              <w:jc w:val="both"/>
              <w:rPr>
                <w:sz w:val="20"/>
                <w:lang w:val="fr-CA"/>
              </w:rPr>
            </w:pPr>
            <w:r w:rsidRPr="0037081D">
              <w:rPr>
                <w:sz w:val="20"/>
                <w:lang w:val="fr-CA"/>
              </w:rPr>
              <w:t>(juge Stratas)</w:t>
            </w:r>
          </w:p>
          <w:p w:rsidR="00A93604" w:rsidRPr="0037081D" w:rsidRDefault="00981880" w:rsidP="00A93604">
            <w:pPr>
              <w:jc w:val="both"/>
              <w:rPr>
                <w:sz w:val="20"/>
                <w:lang w:val="fr-CA"/>
              </w:rPr>
            </w:pPr>
            <w:hyperlink r:id="rId14" w:history="1">
              <w:r w:rsidR="00A93604" w:rsidRPr="0037081D">
                <w:rPr>
                  <w:rStyle w:val="Hyperlink"/>
                  <w:sz w:val="20"/>
                  <w:lang w:val="fr-CA"/>
                </w:rPr>
                <w:t>2020 CAF 211</w:t>
              </w:r>
            </w:hyperlink>
          </w:p>
          <w:p w:rsidR="00A93604" w:rsidRPr="0037081D" w:rsidRDefault="00A93604" w:rsidP="00A93604">
            <w:pPr>
              <w:jc w:val="both"/>
              <w:rPr>
                <w:sz w:val="20"/>
                <w:lang w:val="fr-CA"/>
              </w:rPr>
            </w:pPr>
          </w:p>
        </w:tc>
        <w:tc>
          <w:tcPr>
            <w:tcW w:w="243" w:type="pct"/>
          </w:tcPr>
          <w:p w:rsidR="00A93604" w:rsidRPr="0037081D" w:rsidRDefault="00A93604" w:rsidP="00A93604">
            <w:pPr>
              <w:jc w:val="both"/>
              <w:rPr>
                <w:sz w:val="20"/>
                <w:lang w:val="fr-CA"/>
              </w:rPr>
            </w:pPr>
          </w:p>
        </w:tc>
        <w:tc>
          <w:tcPr>
            <w:tcW w:w="2330" w:type="pct"/>
          </w:tcPr>
          <w:p w:rsidR="00A93604" w:rsidRPr="0037081D" w:rsidRDefault="00A93604" w:rsidP="00A93604">
            <w:pPr>
              <w:jc w:val="both"/>
              <w:rPr>
                <w:sz w:val="20"/>
                <w:lang w:val="fr-CA"/>
              </w:rPr>
            </w:pPr>
            <w:r w:rsidRPr="0037081D">
              <w:rPr>
                <w:sz w:val="20"/>
                <w:lang w:val="fr-CA"/>
              </w:rPr>
              <w:t>La demande d’autorisation d’appel présentée par la demanderesse est rejetée.</w:t>
            </w:r>
          </w:p>
          <w:p w:rsidR="00A93604" w:rsidRPr="0037081D" w:rsidRDefault="00A93604" w:rsidP="00A93604">
            <w:pPr>
              <w:jc w:val="both"/>
              <w:rPr>
                <w:sz w:val="20"/>
                <w:lang w:val="fr-CA"/>
              </w:rPr>
            </w:pPr>
          </w:p>
        </w:tc>
      </w:tr>
      <w:tr w:rsidR="00A93604" w:rsidRPr="00981880" w:rsidTr="00E95A6A">
        <w:tc>
          <w:tcPr>
            <w:tcW w:w="2427" w:type="pct"/>
            <w:gridSpan w:val="2"/>
          </w:tcPr>
          <w:p w:rsidR="00A93604" w:rsidRPr="0037081D" w:rsidRDefault="00A93604" w:rsidP="00A93604">
            <w:pPr>
              <w:jc w:val="both"/>
              <w:rPr>
                <w:sz w:val="20"/>
                <w:lang w:val="fr-CA"/>
              </w:rPr>
            </w:pPr>
            <w:r w:rsidRPr="0037081D">
              <w:rPr>
                <w:sz w:val="20"/>
                <w:lang w:val="fr-CA"/>
              </w:rPr>
              <w:t>8 février 2021</w:t>
            </w:r>
          </w:p>
          <w:p w:rsidR="00A93604" w:rsidRPr="0037081D" w:rsidRDefault="00A93604" w:rsidP="00A93604">
            <w:pPr>
              <w:jc w:val="both"/>
              <w:rPr>
                <w:sz w:val="20"/>
                <w:lang w:val="fr-CA"/>
              </w:rPr>
            </w:pPr>
            <w:r w:rsidRPr="0037081D">
              <w:rPr>
                <w:sz w:val="20"/>
                <w:lang w:val="fr-CA"/>
              </w:rPr>
              <w:t>Cour suprême du Canada</w:t>
            </w:r>
          </w:p>
        </w:tc>
        <w:tc>
          <w:tcPr>
            <w:tcW w:w="243" w:type="pct"/>
          </w:tcPr>
          <w:p w:rsidR="00A93604" w:rsidRPr="0037081D" w:rsidRDefault="00A93604" w:rsidP="00A93604">
            <w:pPr>
              <w:jc w:val="both"/>
              <w:rPr>
                <w:sz w:val="20"/>
                <w:lang w:val="fr-CA"/>
              </w:rPr>
            </w:pPr>
          </w:p>
        </w:tc>
        <w:tc>
          <w:tcPr>
            <w:tcW w:w="2330" w:type="pct"/>
          </w:tcPr>
          <w:p w:rsidR="00A93604" w:rsidRPr="0037081D" w:rsidRDefault="00A93604" w:rsidP="00A93604">
            <w:pPr>
              <w:jc w:val="both"/>
              <w:rPr>
                <w:sz w:val="20"/>
                <w:lang w:val="fr-CA"/>
              </w:rPr>
            </w:pPr>
            <w:r w:rsidRPr="0037081D">
              <w:rPr>
                <w:sz w:val="20"/>
                <w:lang w:val="fr-CA"/>
              </w:rPr>
              <w:t>La demande d’autorisation d’appel est présentée.</w:t>
            </w:r>
          </w:p>
          <w:p w:rsidR="00A93604" w:rsidRPr="0037081D" w:rsidRDefault="00A93604" w:rsidP="00A93604">
            <w:pPr>
              <w:jc w:val="both"/>
              <w:rPr>
                <w:sz w:val="20"/>
                <w:lang w:val="fr-CA"/>
              </w:rPr>
            </w:pPr>
          </w:p>
        </w:tc>
      </w:tr>
    </w:tbl>
    <w:p w:rsidR="00A93604" w:rsidRPr="0037081D" w:rsidRDefault="00A93604" w:rsidP="00A93604">
      <w:pPr>
        <w:jc w:val="both"/>
        <w:rPr>
          <w:sz w:val="20"/>
          <w:lang w:val="fr-CA"/>
        </w:rPr>
      </w:pPr>
    </w:p>
    <w:p w:rsidR="00A93604" w:rsidRPr="0037081D" w:rsidRDefault="00981880" w:rsidP="00A93604">
      <w:pPr>
        <w:widowControl w:val="0"/>
        <w:jc w:val="both"/>
        <w:rPr>
          <w:sz w:val="20"/>
          <w:lang w:val="fr-CA"/>
        </w:rPr>
      </w:pPr>
      <w:r>
        <w:rPr>
          <w:sz w:val="20"/>
        </w:rPr>
        <w:pict>
          <v:rect id="_x0000_i1028" style="width:2in;height:1pt" o:hrpct="0" o:hralign="center" o:hrstd="t" o:hrnoshade="t" o:hr="t" fillcolor="black [3213]" stroked="f"/>
        </w:pict>
      </w:r>
    </w:p>
    <w:p w:rsidR="00A93604" w:rsidRPr="0037081D" w:rsidRDefault="00A93604" w:rsidP="00A93604">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93604" w:rsidRPr="0037081D" w:rsidTr="00D427E0">
        <w:trPr>
          <w:gridAfter w:val="1"/>
          <w:wAfter w:w="48" w:type="pct"/>
        </w:trPr>
        <w:tc>
          <w:tcPr>
            <w:tcW w:w="538" w:type="pct"/>
          </w:tcPr>
          <w:p w:rsidR="00A93604" w:rsidRPr="0037081D" w:rsidRDefault="00A93604" w:rsidP="00A93604">
            <w:pPr>
              <w:jc w:val="both"/>
              <w:rPr>
                <w:sz w:val="20"/>
              </w:rPr>
            </w:pPr>
            <w:r w:rsidRPr="0037081D">
              <w:rPr>
                <w:rStyle w:val="SCCFileNumberChar"/>
                <w:sz w:val="20"/>
                <w:szCs w:val="20"/>
              </w:rPr>
              <w:t>40034</w:t>
            </w:r>
          </w:p>
        </w:tc>
        <w:tc>
          <w:tcPr>
            <w:tcW w:w="4414" w:type="pct"/>
            <w:gridSpan w:val="3"/>
          </w:tcPr>
          <w:p w:rsidR="00A93604" w:rsidRPr="0037081D" w:rsidRDefault="00981880" w:rsidP="00A93604">
            <w:pPr>
              <w:pStyle w:val="SCCLsocParty"/>
              <w:jc w:val="both"/>
              <w:rPr>
                <w:b/>
                <w:sz w:val="20"/>
                <w:szCs w:val="20"/>
                <w:lang w:val="en-US"/>
              </w:rPr>
            </w:pPr>
            <w:r>
              <w:rPr>
                <w:b/>
                <w:sz w:val="20"/>
                <w:szCs w:val="20"/>
                <w:lang w:val="en-US"/>
              </w:rPr>
              <w:t>B</w:t>
            </w:r>
            <w:r w:rsidR="00A93604" w:rsidRPr="0037081D">
              <w:rPr>
                <w:b/>
                <w:sz w:val="20"/>
                <w:szCs w:val="20"/>
                <w:lang w:val="en-US"/>
              </w:rPr>
              <w:t>.W. (Brad) Blair v. Premier Doug Ford</w:t>
            </w:r>
          </w:p>
          <w:p w:rsidR="00A93604" w:rsidRPr="0037081D" w:rsidRDefault="00A93604" w:rsidP="00A93604">
            <w:pPr>
              <w:jc w:val="both"/>
              <w:rPr>
                <w:sz w:val="20"/>
              </w:rPr>
            </w:pPr>
            <w:r w:rsidRPr="0037081D">
              <w:rPr>
                <w:sz w:val="20"/>
              </w:rPr>
              <w:t>(Ont.) (Civil) (By Leave)</w:t>
            </w:r>
          </w:p>
        </w:tc>
      </w:tr>
      <w:tr w:rsidR="00A93604" w:rsidRPr="0037081D" w:rsidTr="00D427E0">
        <w:trPr>
          <w:gridAfter w:val="1"/>
          <w:wAfter w:w="48" w:type="pct"/>
        </w:trPr>
        <w:tc>
          <w:tcPr>
            <w:tcW w:w="4952" w:type="pct"/>
            <w:gridSpan w:val="4"/>
          </w:tcPr>
          <w:p w:rsidR="00A93604" w:rsidRPr="0037081D" w:rsidRDefault="00A93604" w:rsidP="00A93604">
            <w:pPr>
              <w:jc w:val="both"/>
              <w:rPr>
                <w:sz w:val="20"/>
              </w:rPr>
            </w:pPr>
            <w:r w:rsidRPr="0037081D">
              <w:rPr>
                <w:sz w:val="20"/>
              </w:rPr>
              <w:t xml:space="preserve">Courts — Dismissal of proceeding that limits debate — Freedom of expression — Proper interpretation and application of Ontario’s framework for dismissal of strategic lawsuits against public participation (SLAPPs) — Applicant suing respondent for defamation — Respondent moving for dismissal of lawsuit as a SLAPP — Courts below dismissing defamation action — Whether s. 137.1(4)(b) of the Courts of Justice Act and the equivalent provision in British Columbia, properly interpreted, require a court to consider whether dismissing a plaintiff’s defamation action could have a chilling effect on the expressive activity of the plaintiff or others when deciding whether the public interest in permitting the plaintiff’s action to proceed outweighs the public interest in protecting the defendant’s expression — If so, how should courts weigh the concern that dismissing a defamation action could have a chilling effect on the expressive activity of the plaintiff or others against the public interest in protecting the defendant’s expression? — How should courts resolve this issue when the defendant’s expression was made in attack against a whistleblower? — </w:t>
            </w:r>
            <w:r w:rsidRPr="0037081D">
              <w:rPr>
                <w:i/>
                <w:sz w:val="20"/>
              </w:rPr>
              <w:t>Courts of Justice Act</w:t>
            </w:r>
            <w:r w:rsidRPr="0037081D">
              <w:rPr>
                <w:sz w:val="20"/>
              </w:rPr>
              <w:t>, R.S.O. 1990, c. C. 43, s. 137.1.</w:t>
            </w:r>
          </w:p>
        </w:tc>
      </w:tr>
      <w:tr w:rsidR="00A93604" w:rsidRPr="0037081D" w:rsidTr="00D427E0">
        <w:trPr>
          <w:gridAfter w:val="1"/>
          <w:wAfter w:w="48" w:type="pct"/>
        </w:trPr>
        <w:tc>
          <w:tcPr>
            <w:tcW w:w="4952" w:type="pct"/>
            <w:gridSpan w:val="4"/>
          </w:tcPr>
          <w:p w:rsidR="00A93604" w:rsidRPr="0037081D" w:rsidRDefault="00A93604" w:rsidP="00A93604">
            <w:pPr>
              <w:jc w:val="both"/>
              <w:rPr>
                <w:sz w:val="20"/>
              </w:rPr>
            </w:pPr>
          </w:p>
        </w:tc>
      </w:tr>
      <w:tr w:rsidR="00A93604" w:rsidRPr="0037081D" w:rsidTr="00D427E0">
        <w:trPr>
          <w:gridAfter w:val="1"/>
          <w:wAfter w:w="48" w:type="pct"/>
        </w:trPr>
        <w:tc>
          <w:tcPr>
            <w:tcW w:w="4952" w:type="pct"/>
            <w:gridSpan w:val="4"/>
          </w:tcPr>
          <w:p w:rsidR="00A93604" w:rsidRPr="0037081D" w:rsidRDefault="00A93604" w:rsidP="00A93604">
            <w:pPr>
              <w:jc w:val="both"/>
              <w:rPr>
                <w:sz w:val="20"/>
              </w:rPr>
            </w:pPr>
            <w:r w:rsidRPr="0037081D">
              <w:rPr>
                <w:sz w:val="20"/>
              </w:rPr>
              <w:t xml:space="preserve">In November 2018, the Premier of Ontario, the respondent, Doug Ford, announced that a new Commissioner for the Ontario Provincial Police (“OPP”) would be appointed; the applicant, Brad Blair, was acting as Interim Commissioner at the time and was not chosen for the position. In December 2018, Mr. Blair sent a letter on official OPP letterhead to the provincial Ombudsman, and released a copy to the public, alleging several improprieties in the appointment process for the new OPP Commissioner. In December 2018 and January 2019, Mr. Ford made three statements to the media in which he appeared to suggest that Mr. Blair had “broken” or “breached” the </w:t>
            </w:r>
            <w:r w:rsidRPr="0037081D">
              <w:rPr>
                <w:i/>
                <w:sz w:val="20"/>
              </w:rPr>
              <w:t>Police Services Act</w:t>
            </w:r>
            <w:r w:rsidRPr="0037081D">
              <w:rPr>
                <w:sz w:val="20"/>
              </w:rPr>
              <w:t xml:space="preserve">, R.S.O. 1990, c. P. 15. In March 2019, Mr. Blair sued Mr. Ford for defamation, on the basis of the three statements, seeking damages in the amount of $5 million. In response, Mr. Ford brought a motion to dismiss the defamation action, pursuant to s. 137.1 of the </w:t>
            </w:r>
            <w:r w:rsidRPr="0037081D">
              <w:rPr>
                <w:i/>
                <w:sz w:val="20"/>
              </w:rPr>
              <w:t>Courts of Justice Act</w:t>
            </w:r>
            <w:r w:rsidRPr="0037081D">
              <w:rPr>
                <w:sz w:val="20"/>
              </w:rPr>
              <w:t xml:space="preserve">, R.S.O. 1990, c. C. 43, a provision designed to allow for the early dismissal of “strategic litigation against public participation” (“SLAPP” lawsuits). </w:t>
            </w:r>
          </w:p>
          <w:p w:rsidR="00A93604" w:rsidRPr="0037081D" w:rsidRDefault="00A93604" w:rsidP="00A93604">
            <w:pPr>
              <w:jc w:val="both"/>
              <w:rPr>
                <w:sz w:val="20"/>
              </w:rPr>
            </w:pPr>
          </w:p>
          <w:p w:rsidR="00A93604" w:rsidRPr="0037081D" w:rsidRDefault="00A93604" w:rsidP="00A93604">
            <w:pPr>
              <w:jc w:val="both"/>
              <w:rPr>
                <w:sz w:val="20"/>
              </w:rPr>
            </w:pPr>
            <w:r w:rsidRPr="0037081D">
              <w:rPr>
                <w:sz w:val="20"/>
              </w:rPr>
              <w:t xml:space="preserve">The motion judge at the Superior Court of Justice granted Mr. Ford’s motion, and dismissed Mr. Blair’s defamation lawsuit against him. The Court of Appeal unanimously upheld this decision. </w:t>
            </w:r>
          </w:p>
          <w:p w:rsidR="00A93604" w:rsidRPr="0037081D" w:rsidRDefault="00A93604" w:rsidP="00A93604">
            <w:pPr>
              <w:jc w:val="both"/>
              <w:rPr>
                <w:sz w:val="20"/>
              </w:rPr>
            </w:pPr>
          </w:p>
        </w:tc>
      </w:tr>
      <w:tr w:rsidR="00A93604" w:rsidRPr="0037081D" w:rsidTr="00D427E0">
        <w:tblPrEx>
          <w:tblCellMar>
            <w:bottom w:w="0" w:type="dxa"/>
          </w:tblCellMar>
        </w:tblPrEx>
        <w:tc>
          <w:tcPr>
            <w:tcW w:w="2367" w:type="pct"/>
            <w:gridSpan w:val="2"/>
          </w:tcPr>
          <w:p w:rsidR="00A93604" w:rsidRPr="0037081D" w:rsidRDefault="00A93604" w:rsidP="00A93604">
            <w:pPr>
              <w:jc w:val="both"/>
              <w:rPr>
                <w:sz w:val="20"/>
              </w:rPr>
            </w:pPr>
            <w:r w:rsidRPr="0037081D">
              <w:rPr>
                <w:sz w:val="20"/>
              </w:rPr>
              <w:t>December 15, 2020</w:t>
            </w:r>
          </w:p>
          <w:p w:rsidR="00A93604" w:rsidRPr="0037081D" w:rsidRDefault="00A93604" w:rsidP="00A93604">
            <w:pPr>
              <w:jc w:val="both"/>
              <w:rPr>
                <w:sz w:val="20"/>
              </w:rPr>
            </w:pPr>
            <w:r w:rsidRPr="0037081D">
              <w:rPr>
                <w:sz w:val="20"/>
              </w:rPr>
              <w:t>Ontario Superior Court of Justice</w:t>
            </w:r>
          </w:p>
          <w:p w:rsidR="00A93604" w:rsidRPr="0037081D" w:rsidRDefault="00A93604" w:rsidP="00A93604">
            <w:pPr>
              <w:jc w:val="both"/>
              <w:rPr>
                <w:sz w:val="20"/>
              </w:rPr>
            </w:pPr>
            <w:r w:rsidRPr="0037081D">
              <w:rPr>
                <w:sz w:val="20"/>
              </w:rPr>
              <w:t>(Belobaba J.)</w:t>
            </w:r>
          </w:p>
          <w:p w:rsidR="00A93604" w:rsidRPr="0037081D" w:rsidRDefault="00981880" w:rsidP="00A93604">
            <w:pPr>
              <w:jc w:val="both"/>
              <w:rPr>
                <w:sz w:val="20"/>
              </w:rPr>
            </w:pPr>
            <w:hyperlink r:id="rId15" w:history="1">
              <w:r w:rsidR="00A93604" w:rsidRPr="0037081D">
                <w:rPr>
                  <w:rStyle w:val="Hyperlink"/>
                  <w:sz w:val="20"/>
                </w:rPr>
                <w:t>2020 ONSC 7100</w:t>
              </w:r>
            </w:hyperlink>
          </w:p>
          <w:p w:rsidR="00A93604" w:rsidRPr="0037081D" w:rsidRDefault="00A93604" w:rsidP="00A93604">
            <w:pPr>
              <w:jc w:val="both"/>
              <w:rPr>
                <w:sz w:val="20"/>
              </w:rPr>
            </w:pPr>
          </w:p>
        </w:tc>
        <w:tc>
          <w:tcPr>
            <w:tcW w:w="267" w:type="pct"/>
          </w:tcPr>
          <w:p w:rsidR="00A93604" w:rsidRPr="0037081D" w:rsidRDefault="00A93604" w:rsidP="00A93604">
            <w:pPr>
              <w:jc w:val="both"/>
              <w:rPr>
                <w:sz w:val="20"/>
              </w:rPr>
            </w:pPr>
          </w:p>
        </w:tc>
        <w:tc>
          <w:tcPr>
            <w:tcW w:w="2366" w:type="pct"/>
            <w:gridSpan w:val="2"/>
          </w:tcPr>
          <w:p w:rsidR="00A93604" w:rsidRPr="0037081D" w:rsidRDefault="00A93604" w:rsidP="00A93604">
            <w:pPr>
              <w:jc w:val="both"/>
              <w:rPr>
                <w:sz w:val="20"/>
              </w:rPr>
            </w:pPr>
            <w:r w:rsidRPr="0037081D">
              <w:rPr>
                <w:sz w:val="20"/>
              </w:rPr>
              <w:t>Ford’s motion for dismissal of Blair’s defamation action against Ford — granted;</w:t>
            </w:r>
          </w:p>
          <w:p w:rsidR="00A93604" w:rsidRPr="0037081D" w:rsidRDefault="00A93604" w:rsidP="00A93604">
            <w:pPr>
              <w:jc w:val="both"/>
              <w:rPr>
                <w:sz w:val="20"/>
              </w:rPr>
            </w:pPr>
            <w:r w:rsidRPr="0037081D">
              <w:rPr>
                <w:sz w:val="20"/>
              </w:rPr>
              <w:t>Blair’s defamation action — dismissed</w:t>
            </w:r>
          </w:p>
          <w:p w:rsidR="00A93604" w:rsidRPr="0037081D" w:rsidRDefault="00A93604" w:rsidP="00A93604">
            <w:pPr>
              <w:jc w:val="both"/>
              <w:rPr>
                <w:sz w:val="20"/>
              </w:rPr>
            </w:pPr>
          </w:p>
        </w:tc>
      </w:tr>
      <w:tr w:rsidR="00A93604" w:rsidRPr="0037081D" w:rsidTr="00D427E0">
        <w:tblPrEx>
          <w:tblCellMar>
            <w:bottom w:w="0" w:type="dxa"/>
          </w:tblCellMar>
        </w:tblPrEx>
        <w:tc>
          <w:tcPr>
            <w:tcW w:w="2367" w:type="pct"/>
            <w:gridSpan w:val="2"/>
          </w:tcPr>
          <w:p w:rsidR="00A93604" w:rsidRPr="0037081D" w:rsidRDefault="00A93604" w:rsidP="00A93604">
            <w:pPr>
              <w:jc w:val="both"/>
              <w:rPr>
                <w:sz w:val="20"/>
              </w:rPr>
            </w:pPr>
            <w:r w:rsidRPr="0037081D">
              <w:rPr>
                <w:sz w:val="20"/>
              </w:rPr>
              <w:t>November 25, 2021</w:t>
            </w:r>
          </w:p>
          <w:p w:rsidR="00A93604" w:rsidRPr="0037081D" w:rsidRDefault="00A93604" w:rsidP="00A93604">
            <w:pPr>
              <w:jc w:val="both"/>
              <w:rPr>
                <w:sz w:val="20"/>
              </w:rPr>
            </w:pPr>
            <w:r w:rsidRPr="0037081D">
              <w:rPr>
                <w:sz w:val="20"/>
              </w:rPr>
              <w:t>Court of Appeal for Ontario</w:t>
            </w:r>
          </w:p>
          <w:p w:rsidR="00A93604" w:rsidRPr="0037081D" w:rsidRDefault="00A93604" w:rsidP="00A93604">
            <w:pPr>
              <w:jc w:val="both"/>
              <w:rPr>
                <w:sz w:val="20"/>
              </w:rPr>
            </w:pPr>
            <w:r w:rsidRPr="0037081D">
              <w:rPr>
                <w:sz w:val="20"/>
              </w:rPr>
              <w:t>(Benotto, Miller and Sossin JJ.A.)</w:t>
            </w:r>
          </w:p>
          <w:p w:rsidR="00A93604" w:rsidRPr="0037081D" w:rsidRDefault="00981880" w:rsidP="00A93604">
            <w:pPr>
              <w:jc w:val="both"/>
              <w:rPr>
                <w:sz w:val="20"/>
              </w:rPr>
            </w:pPr>
            <w:hyperlink r:id="rId16" w:history="1">
              <w:r w:rsidR="00A93604" w:rsidRPr="0037081D">
                <w:rPr>
                  <w:rStyle w:val="Hyperlink"/>
                  <w:sz w:val="20"/>
                </w:rPr>
                <w:t>2021 ONCA 841</w:t>
              </w:r>
            </w:hyperlink>
            <w:r w:rsidR="00A93604" w:rsidRPr="0037081D">
              <w:rPr>
                <w:sz w:val="20"/>
              </w:rPr>
              <w:t xml:space="preserve"> </w:t>
            </w:r>
          </w:p>
          <w:p w:rsidR="00A93604" w:rsidRPr="0037081D" w:rsidRDefault="00A93604" w:rsidP="00A93604">
            <w:pPr>
              <w:jc w:val="both"/>
              <w:rPr>
                <w:sz w:val="20"/>
              </w:rPr>
            </w:pPr>
          </w:p>
        </w:tc>
        <w:tc>
          <w:tcPr>
            <w:tcW w:w="267" w:type="pct"/>
          </w:tcPr>
          <w:p w:rsidR="00A93604" w:rsidRPr="0037081D" w:rsidRDefault="00A93604" w:rsidP="00A93604">
            <w:pPr>
              <w:jc w:val="both"/>
              <w:rPr>
                <w:sz w:val="20"/>
              </w:rPr>
            </w:pPr>
          </w:p>
        </w:tc>
        <w:tc>
          <w:tcPr>
            <w:tcW w:w="2366" w:type="pct"/>
            <w:gridSpan w:val="2"/>
          </w:tcPr>
          <w:p w:rsidR="00A93604" w:rsidRPr="0037081D" w:rsidRDefault="00A93604" w:rsidP="00A93604">
            <w:pPr>
              <w:jc w:val="both"/>
              <w:rPr>
                <w:sz w:val="20"/>
              </w:rPr>
            </w:pPr>
            <w:r w:rsidRPr="0037081D">
              <w:rPr>
                <w:sz w:val="20"/>
              </w:rPr>
              <w:t>Blair’s appeal from dismissal of action — dismissed</w:t>
            </w:r>
          </w:p>
          <w:p w:rsidR="00A93604" w:rsidRPr="0037081D" w:rsidRDefault="00A93604" w:rsidP="00A93604">
            <w:pPr>
              <w:jc w:val="both"/>
              <w:rPr>
                <w:sz w:val="20"/>
              </w:rPr>
            </w:pPr>
          </w:p>
          <w:p w:rsidR="00A93604" w:rsidRPr="0037081D" w:rsidRDefault="00A93604" w:rsidP="00A93604">
            <w:pPr>
              <w:jc w:val="both"/>
              <w:rPr>
                <w:sz w:val="20"/>
              </w:rPr>
            </w:pPr>
          </w:p>
          <w:p w:rsidR="00A93604" w:rsidRPr="0037081D" w:rsidRDefault="00A93604" w:rsidP="00A93604">
            <w:pPr>
              <w:jc w:val="both"/>
              <w:rPr>
                <w:sz w:val="20"/>
              </w:rPr>
            </w:pPr>
          </w:p>
        </w:tc>
      </w:tr>
      <w:tr w:rsidR="00A93604" w:rsidRPr="0037081D" w:rsidTr="00D427E0">
        <w:tblPrEx>
          <w:tblCellMar>
            <w:bottom w:w="0" w:type="dxa"/>
          </w:tblCellMar>
        </w:tblPrEx>
        <w:tc>
          <w:tcPr>
            <w:tcW w:w="2367" w:type="pct"/>
            <w:gridSpan w:val="2"/>
          </w:tcPr>
          <w:p w:rsidR="00A93604" w:rsidRPr="0037081D" w:rsidRDefault="00A93604" w:rsidP="00A93604">
            <w:pPr>
              <w:jc w:val="both"/>
              <w:rPr>
                <w:sz w:val="20"/>
              </w:rPr>
            </w:pPr>
            <w:r w:rsidRPr="0037081D">
              <w:rPr>
                <w:sz w:val="20"/>
              </w:rPr>
              <w:t>January 24, 2022</w:t>
            </w:r>
          </w:p>
          <w:p w:rsidR="00A93604" w:rsidRPr="0037081D" w:rsidRDefault="00A93604" w:rsidP="00A93604">
            <w:pPr>
              <w:jc w:val="both"/>
              <w:rPr>
                <w:sz w:val="20"/>
              </w:rPr>
            </w:pPr>
            <w:r w:rsidRPr="0037081D">
              <w:rPr>
                <w:sz w:val="20"/>
              </w:rPr>
              <w:t>Supreme Court of Canada</w:t>
            </w:r>
          </w:p>
        </w:tc>
        <w:tc>
          <w:tcPr>
            <w:tcW w:w="267" w:type="pct"/>
          </w:tcPr>
          <w:p w:rsidR="00A93604" w:rsidRPr="0037081D" w:rsidRDefault="00A93604" w:rsidP="00A93604">
            <w:pPr>
              <w:jc w:val="both"/>
              <w:rPr>
                <w:sz w:val="20"/>
              </w:rPr>
            </w:pPr>
          </w:p>
        </w:tc>
        <w:tc>
          <w:tcPr>
            <w:tcW w:w="2366" w:type="pct"/>
            <w:gridSpan w:val="2"/>
          </w:tcPr>
          <w:p w:rsidR="00A93604" w:rsidRPr="0037081D" w:rsidRDefault="00A93604" w:rsidP="00A93604">
            <w:pPr>
              <w:jc w:val="both"/>
              <w:rPr>
                <w:sz w:val="20"/>
              </w:rPr>
            </w:pPr>
            <w:r w:rsidRPr="0037081D">
              <w:rPr>
                <w:sz w:val="20"/>
              </w:rPr>
              <w:t>Application for leave to appeal filed by Blair</w:t>
            </w:r>
          </w:p>
          <w:p w:rsidR="00A93604" w:rsidRPr="0037081D" w:rsidRDefault="00A93604" w:rsidP="00A93604">
            <w:pPr>
              <w:jc w:val="both"/>
              <w:rPr>
                <w:sz w:val="20"/>
              </w:rPr>
            </w:pPr>
          </w:p>
        </w:tc>
      </w:tr>
    </w:tbl>
    <w:p w:rsidR="00A93604" w:rsidRPr="0037081D" w:rsidRDefault="00A93604" w:rsidP="00A93604">
      <w:pPr>
        <w:jc w:val="both"/>
        <w:rPr>
          <w:sz w:val="20"/>
        </w:rPr>
      </w:pPr>
    </w:p>
    <w:p w:rsidR="00A93604" w:rsidRPr="0037081D" w:rsidRDefault="00981880" w:rsidP="00A93604">
      <w:pPr>
        <w:jc w:val="both"/>
        <w:rPr>
          <w:sz w:val="20"/>
        </w:rPr>
      </w:pPr>
      <w:r>
        <w:rPr>
          <w:sz w:val="20"/>
        </w:rPr>
        <w:pict>
          <v:rect id="_x0000_i1029" style="width:2in;height:1pt" o:hrpct="0" o:hralign="center" o:hrstd="t" o:hrnoshade="t" o:hr="t" fillcolor="black [3213]" stroked="f"/>
        </w:pict>
      </w:r>
    </w:p>
    <w:p w:rsidR="00A93604" w:rsidRPr="0037081D" w:rsidRDefault="00A93604" w:rsidP="00A9360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93604" w:rsidRPr="0037081D" w:rsidTr="00D427E0">
        <w:trPr>
          <w:gridAfter w:val="1"/>
          <w:wAfter w:w="48" w:type="pct"/>
        </w:trPr>
        <w:tc>
          <w:tcPr>
            <w:tcW w:w="538" w:type="pct"/>
          </w:tcPr>
          <w:p w:rsidR="00A93604" w:rsidRPr="0037081D" w:rsidRDefault="00A93604" w:rsidP="00A93604">
            <w:pPr>
              <w:jc w:val="both"/>
              <w:rPr>
                <w:sz w:val="20"/>
                <w:lang w:val="fr-CA"/>
              </w:rPr>
            </w:pPr>
            <w:r w:rsidRPr="0037081D">
              <w:rPr>
                <w:rStyle w:val="SCCFileNumberChar"/>
                <w:sz w:val="20"/>
                <w:szCs w:val="20"/>
                <w:lang w:val="fr-CA"/>
              </w:rPr>
              <w:t>40034</w:t>
            </w:r>
          </w:p>
        </w:tc>
        <w:tc>
          <w:tcPr>
            <w:tcW w:w="4414" w:type="pct"/>
            <w:gridSpan w:val="3"/>
          </w:tcPr>
          <w:p w:rsidR="00A93604" w:rsidRPr="0037081D" w:rsidRDefault="00981880" w:rsidP="00A93604">
            <w:pPr>
              <w:pStyle w:val="SCCLsocParty"/>
              <w:jc w:val="both"/>
              <w:rPr>
                <w:b/>
                <w:sz w:val="20"/>
                <w:szCs w:val="20"/>
              </w:rPr>
            </w:pPr>
            <w:r>
              <w:rPr>
                <w:b/>
                <w:sz w:val="20"/>
                <w:szCs w:val="20"/>
              </w:rPr>
              <w:t>B</w:t>
            </w:r>
            <w:bookmarkStart w:id="0" w:name="_GoBack"/>
            <w:bookmarkEnd w:id="0"/>
            <w:r w:rsidR="00A93604" w:rsidRPr="0037081D">
              <w:rPr>
                <w:b/>
                <w:sz w:val="20"/>
                <w:szCs w:val="20"/>
              </w:rPr>
              <w:t>.W. (Brad) Blair c. Le premier ministre Doug Ford</w:t>
            </w:r>
          </w:p>
          <w:p w:rsidR="00A93604" w:rsidRPr="0037081D" w:rsidRDefault="00A93604" w:rsidP="00A93604">
            <w:pPr>
              <w:jc w:val="both"/>
              <w:rPr>
                <w:sz w:val="20"/>
                <w:lang w:val="fr-CA"/>
              </w:rPr>
            </w:pPr>
            <w:r w:rsidRPr="0037081D">
              <w:rPr>
                <w:sz w:val="20"/>
                <w:lang w:val="fr-CA"/>
              </w:rPr>
              <w:t>(Ont.) (Civile) (Sur autorisation)</w:t>
            </w:r>
          </w:p>
        </w:tc>
      </w:tr>
      <w:tr w:rsidR="00A93604" w:rsidRPr="00981880" w:rsidTr="00D427E0">
        <w:trPr>
          <w:gridAfter w:val="1"/>
          <w:wAfter w:w="48" w:type="pct"/>
        </w:trPr>
        <w:tc>
          <w:tcPr>
            <w:tcW w:w="4952" w:type="pct"/>
            <w:gridSpan w:val="4"/>
          </w:tcPr>
          <w:p w:rsidR="00A93604" w:rsidRPr="0037081D" w:rsidRDefault="00A93604" w:rsidP="00A93604">
            <w:pPr>
              <w:jc w:val="both"/>
              <w:rPr>
                <w:sz w:val="20"/>
                <w:lang w:val="fr-CA"/>
              </w:rPr>
            </w:pPr>
            <w:r w:rsidRPr="0037081D">
              <w:rPr>
                <w:sz w:val="20"/>
                <w:lang w:val="fr-CA"/>
              </w:rPr>
              <w:t>Tribunaux — Rejet d’une instance limitant les débats — Liberté d’expression — L'interprétation et l'application justes du cadre d’analyse ontarien relatif au rejet des poursuites stratégiques contre la mobilisation publique (poursuites</w:t>
            </w:r>
            <w:r w:rsidRPr="0037081D">
              <w:rPr>
                <w:sz w:val="20"/>
                <w:lang w:val="fr-CA"/>
              </w:rPr>
              <w:noBreakHyphen/>
              <w:t>bâillons ou SLAPP) — Le demandeur a intenté une action en diffamation contre l’intimé — L’intimé a demandé le rejet de l’action au motif qu’il s’agit d’une poursuite</w:t>
            </w:r>
            <w:r w:rsidRPr="0037081D">
              <w:rPr>
                <w:sz w:val="20"/>
                <w:lang w:val="fr-CA"/>
              </w:rPr>
              <w:noBreakHyphen/>
              <w:t xml:space="preserve">bâillon — Les tribunaux inférieurs ont rejeté l’action en diffamation — Interprétés de façon juste, l’alinéa 137.1(4)b) de la </w:t>
            </w:r>
            <w:r w:rsidRPr="0037081D">
              <w:rPr>
                <w:i/>
                <w:sz w:val="20"/>
                <w:lang w:val="fr-CA"/>
              </w:rPr>
              <w:t>Loi sur les tribunaux judiciaires</w:t>
            </w:r>
            <w:r w:rsidRPr="0037081D">
              <w:rPr>
                <w:sz w:val="20"/>
                <w:lang w:val="fr-CA"/>
              </w:rPr>
              <w:t xml:space="preserve"> et la disposition équivalente en Colombie</w:t>
            </w:r>
            <w:r w:rsidRPr="0037081D">
              <w:rPr>
                <w:sz w:val="20"/>
                <w:lang w:val="fr-CA"/>
              </w:rPr>
              <w:noBreakHyphen/>
              <w:t>Britannique obligent</w:t>
            </w:r>
            <w:r w:rsidRPr="0037081D">
              <w:rPr>
                <w:sz w:val="20"/>
                <w:lang w:val="fr-CA"/>
              </w:rPr>
              <w:noBreakHyphen/>
              <w:t>ils les tribunaux à tenir compte de la question de savoir si le rejet de l’action en diffamation d’un demandeur pourrait avoir un effet paralysant sur les activités expressives de ce dernier ou d’autres personnes lorsque les tribunaux décident si l’intérêt public que revêt la poursuite de l’action du demandeur l’emporte sur l’intérêt public qui réside dans la protection de l’expression du défendeur ? — Dans l’affirmative, comment les tribunaux devraient</w:t>
            </w:r>
            <w:r w:rsidRPr="0037081D">
              <w:rPr>
                <w:sz w:val="20"/>
                <w:lang w:val="fr-CA"/>
              </w:rPr>
              <w:noBreakHyphen/>
              <w:t xml:space="preserve">ils mettre en balance la préoccupation à savoir que le rejet d’une action en diffamation pourrait avoir un effet paralysant sur les activités expressives du demandeur ou d’autres personnes par </w:t>
            </w:r>
            <w:r w:rsidRPr="0037081D">
              <w:rPr>
                <w:sz w:val="20"/>
                <w:lang w:val="fr-CA"/>
              </w:rPr>
              <w:lastRenderedPageBreak/>
              <w:t>rapport à l’intérêt public dans la protection de l’expression du défendeur ? — Comment les tribunaux devraient</w:t>
            </w:r>
            <w:r w:rsidRPr="0037081D">
              <w:rPr>
                <w:sz w:val="20"/>
                <w:lang w:val="fr-CA"/>
              </w:rPr>
              <w:noBreakHyphen/>
              <w:t xml:space="preserve">ils régler cette question lorsque l’expression du défendeur a été faite en attaque à l’encontre d’un dénonciateur ? — </w:t>
            </w:r>
            <w:r w:rsidRPr="0037081D">
              <w:rPr>
                <w:i/>
                <w:sz w:val="20"/>
                <w:lang w:val="fr-CA"/>
              </w:rPr>
              <w:t>Loi sur les tribunaux judiciaires</w:t>
            </w:r>
            <w:r w:rsidRPr="0037081D">
              <w:rPr>
                <w:sz w:val="20"/>
                <w:lang w:val="fr-CA"/>
              </w:rPr>
              <w:t>, L.R.O. 1990, c. C. 43, art. 137.1</w:t>
            </w:r>
          </w:p>
        </w:tc>
      </w:tr>
      <w:tr w:rsidR="00A93604" w:rsidRPr="00981880" w:rsidTr="00D427E0">
        <w:trPr>
          <w:gridAfter w:val="1"/>
          <w:wAfter w:w="48" w:type="pct"/>
        </w:trPr>
        <w:tc>
          <w:tcPr>
            <w:tcW w:w="4952" w:type="pct"/>
            <w:gridSpan w:val="4"/>
          </w:tcPr>
          <w:p w:rsidR="00A93604" w:rsidRPr="0037081D" w:rsidRDefault="00A93604" w:rsidP="00A93604">
            <w:pPr>
              <w:jc w:val="both"/>
              <w:rPr>
                <w:sz w:val="20"/>
                <w:lang w:val="fr-CA"/>
              </w:rPr>
            </w:pPr>
          </w:p>
        </w:tc>
      </w:tr>
      <w:tr w:rsidR="00A93604" w:rsidRPr="0037081D" w:rsidTr="00D427E0">
        <w:trPr>
          <w:gridAfter w:val="1"/>
          <w:wAfter w:w="48" w:type="pct"/>
        </w:trPr>
        <w:tc>
          <w:tcPr>
            <w:tcW w:w="4952" w:type="pct"/>
            <w:gridSpan w:val="4"/>
          </w:tcPr>
          <w:p w:rsidR="00A93604" w:rsidRPr="0037081D" w:rsidRDefault="00A93604" w:rsidP="00A93604">
            <w:pPr>
              <w:jc w:val="both"/>
              <w:rPr>
                <w:sz w:val="20"/>
                <w:lang w:val="fr-CA"/>
              </w:rPr>
            </w:pPr>
            <w:r w:rsidRPr="0037081D">
              <w:rPr>
                <w:sz w:val="20"/>
                <w:lang w:val="fr-CA"/>
              </w:rPr>
              <w:t>En novembre 2018, le premier ministre de l’Ontario, l’intimé, Doug Ford, a annoncé qu’un nouveau commissaire de la Police provinciale de l’Ontario (« PPO ») serait nommé; le demandeur, Brad Blair, qui agissant à titre de commissaire par intérim à ce moment</w:t>
            </w:r>
            <w:r w:rsidRPr="0037081D">
              <w:rPr>
                <w:sz w:val="20"/>
                <w:lang w:val="fr-CA"/>
              </w:rPr>
              <w:noBreakHyphen/>
              <w:t>là, n’a pas été choisi pour le poste. En décembre 2018, M. Blair a envoyé une lettre sur papier à en</w:t>
            </w:r>
            <w:r w:rsidRPr="0037081D">
              <w:rPr>
                <w:sz w:val="20"/>
                <w:lang w:val="fr-CA"/>
              </w:rPr>
              <w:noBreakHyphen/>
              <w:t xml:space="preserve">tête officiel de la PPO à l’ombudsman provincial, et en a diffusé une copie au public, dans laquelle il allègue qu’il y a eu plusieurs irrégularités dans le cadre du processus de nomination du nouveau commissaire de la PPO. En décembre 2018 et en janvier 2019, M. Ford a fait trois déclarations aux médias par lesquelles il a paru laisser entendre que M. Blair avait « enfreint » ou « violé » la </w:t>
            </w:r>
            <w:r w:rsidRPr="0037081D">
              <w:rPr>
                <w:i/>
                <w:sz w:val="20"/>
                <w:lang w:val="fr-CA"/>
              </w:rPr>
              <w:t>Loi sur les services policiers</w:t>
            </w:r>
            <w:r w:rsidRPr="0037081D">
              <w:rPr>
                <w:sz w:val="20"/>
                <w:lang w:val="fr-CA"/>
              </w:rPr>
              <w:t xml:space="preserve">, L.R.O. 1990, c. P. 15. En mars 2019, M. Blair a intenté une action en diffamation contre M. Ford, sur la base des trois déclarations, sollicitant des dommages-intérêts de 5 millions de dollars. En réponse, M. Ford a présenté une motion visant à faire rejeter l’action en diffamation, en application de l’art. 137.1 de la </w:t>
            </w:r>
            <w:r w:rsidRPr="0037081D">
              <w:rPr>
                <w:i/>
                <w:sz w:val="20"/>
                <w:lang w:val="fr-CA"/>
              </w:rPr>
              <w:t>Loi sur les tribunaux judiciaires</w:t>
            </w:r>
            <w:r w:rsidRPr="0037081D">
              <w:rPr>
                <w:sz w:val="20"/>
                <w:lang w:val="fr-CA"/>
              </w:rPr>
              <w:t>, L.R.O. 1990, c. C. 43, une disposition qui a pour effet de permettre le rejet hâtif de « poursuites stratégiques contre la mobilisation publique » (poursuites</w:t>
            </w:r>
            <w:r w:rsidRPr="0037081D">
              <w:rPr>
                <w:sz w:val="20"/>
                <w:lang w:val="fr-CA"/>
              </w:rPr>
              <w:noBreakHyphen/>
              <w:t>bâillons ou « SLAPP »).</w:t>
            </w:r>
          </w:p>
          <w:p w:rsidR="00A93604" w:rsidRPr="0037081D" w:rsidRDefault="00A93604" w:rsidP="00A93604">
            <w:pPr>
              <w:jc w:val="both"/>
              <w:rPr>
                <w:sz w:val="20"/>
                <w:lang w:val="fr-CA"/>
              </w:rPr>
            </w:pPr>
          </w:p>
          <w:p w:rsidR="00A93604" w:rsidRPr="0037081D" w:rsidRDefault="00A93604" w:rsidP="00A93604">
            <w:pPr>
              <w:jc w:val="both"/>
              <w:rPr>
                <w:sz w:val="20"/>
                <w:lang w:val="fr-CA"/>
              </w:rPr>
            </w:pPr>
            <w:r w:rsidRPr="0037081D">
              <w:rPr>
                <w:sz w:val="20"/>
                <w:lang w:val="fr-CA"/>
              </w:rPr>
              <w:t xml:space="preserve">Le juge de la Cour supérieure de justice saisi de la motion a accueilli la motion de M. Ford, et a rejeté l’action en diffamation intentée par M. Blair contre lui. La Cour d’appel, à l’unanimité, a confirmé la décision. </w:t>
            </w:r>
          </w:p>
          <w:p w:rsidR="00A93604" w:rsidRPr="0037081D" w:rsidRDefault="00A93604" w:rsidP="00A93604">
            <w:pPr>
              <w:jc w:val="both"/>
              <w:rPr>
                <w:sz w:val="20"/>
                <w:lang w:val="fr-CA"/>
              </w:rPr>
            </w:pPr>
          </w:p>
        </w:tc>
      </w:tr>
      <w:tr w:rsidR="00A93604" w:rsidRPr="00981880" w:rsidTr="00D427E0">
        <w:tblPrEx>
          <w:tblCellMar>
            <w:bottom w:w="0" w:type="dxa"/>
          </w:tblCellMar>
        </w:tblPrEx>
        <w:tc>
          <w:tcPr>
            <w:tcW w:w="2367" w:type="pct"/>
            <w:gridSpan w:val="2"/>
          </w:tcPr>
          <w:p w:rsidR="00A93604" w:rsidRPr="0037081D" w:rsidRDefault="00A93604" w:rsidP="00A93604">
            <w:pPr>
              <w:jc w:val="both"/>
              <w:rPr>
                <w:sz w:val="20"/>
                <w:lang w:val="fr-CA"/>
              </w:rPr>
            </w:pPr>
            <w:r w:rsidRPr="0037081D">
              <w:rPr>
                <w:sz w:val="20"/>
                <w:lang w:val="fr-CA"/>
              </w:rPr>
              <w:t>15 décembre 2020</w:t>
            </w:r>
          </w:p>
          <w:p w:rsidR="00A93604" w:rsidRPr="0037081D" w:rsidRDefault="00A93604" w:rsidP="00A93604">
            <w:pPr>
              <w:jc w:val="both"/>
              <w:rPr>
                <w:sz w:val="20"/>
                <w:lang w:val="fr-CA"/>
              </w:rPr>
            </w:pPr>
            <w:r w:rsidRPr="0037081D">
              <w:rPr>
                <w:sz w:val="20"/>
                <w:lang w:val="fr-CA"/>
              </w:rPr>
              <w:t>Cour supérieure de justice de l’Ontario</w:t>
            </w:r>
          </w:p>
          <w:p w:rsidR="00A93604" w:rsidRPr="0037081D" w:rsidRDefault="00A93604" w:rsidP="00A93604">
            <w:pPr>
              <w:jc w:val="both"/>
              <w:rPr>
                <w:sz w:val="20"/>
                <w:lang w:val="fr-CA"/>
              </w:rPr>
            </w:pPr>
            <w:r w:rsidRPr="0037081D">
              <w:rPr>
                <w:sz w:val="20"/>
                <w:lang w:val="fr-CA"/>
              </w:rPr>
              <w:t>(juge Belobaba)</w:t>
            </w:r>
          </w:p>
          <w:p w:rsidR="00A93604" w:rsidRPr="0037081D" w:rsidRDefault="00981880" w:rsidP="00A93604">
            <w:pPr>
              <w:jc w:val="both"/>
              <w:rPr>
                <w:sz w:val="20"/>
                <w:lang w:val="fr-CA"/>
              </w:rPr>
            </w:pPr>
            <w:hyperlink r:id="rId17" w:history="1">
              <w:r w:rsidR="00A93604" w:rsidRPr="0037081D">
                <w:rPr>
                  <w:rStyle w:val="Hyperlink"/>
                  <w:sz w:val="20"/>
                  <w:lang w:val="fr-CA"/>
                </w:rPr>
                <w:t>2020 ONSC 7100</w:t>
              </w:r>
            </w:hyperlink>
            <w:r w:rsidR="00A93604" w:rsidRPr="0037081D">
              <w:rPr>
                <w:sz w:val="20"/>
                <w:lang w:val="fr-CA"/>
              </w:rPr>
              <w:t xml:space="preserve"> </w:t>
            </w:r>
          </w:p>
          <w:p w:rsidR="00A93604" w:rsidRPr="0037081D" w:rsidRDefault="00A93604" w:rsidP="00A93604">
            <w:pPr>
              <w:jc w:val="both"/>
              <w:rPr>
                <w:sz w:val="20"/>
                <w:lang w:val="fr-CA"/>
              </w:rPr>
            </w:pPr>
          </w:p>
        </w:tc>
        <w:tc>
          <w:tcPr>
            <w:tcW w:w="267" w:type="pct"/>
          </w:tcPr>
          <w:p w:rsidR="00A93604" w:rsidRPr="0037081D" w:rsidRDefault="00A93604" w:rsidP="00A93604">
            <w:pPr>
              <w:jc w:val="both"/>
              <w:rPr>
                <w:sz w:val="20"/>
                <w:lang w:val="fr-CA"/>
              </w:rPr>
            </w:pPr>
          </w:p>
        </w:tc>
        <w:tc>
          <w:tcPr>
            <w:tcW w:w="2366" w:type="pct"/>
            <w:gridSpan w:val="2"/>
          </w:tcPr>
          <w:p w:rsidR="00A93604" w:rsidRPr="0037081D" w:rsidRDefault="00A93604" w:rsidP="00A93604">
            <w:pPr>
              <w:jc w:val="both"/>
              <w:rPr>
                <w:sz w:val="20"/>
                <w:lang w:val="fr-CA"/>
              </w:rPr>
            </w:pPr>
            <w:r w:rsidRPr="0037081D">
              <w:rPr>
                <w:sz w:val="20"/>
                <w:lang w:val="fr-CA"/>
              </w:rPr>
              <w:t>La motion présentée par M. Ford en rejet de l’action en diffamation intentée par M. Blair contre M. Ford est accueillie;</w:t>
            </w:r>
          </w:p>
          <w:p w:rsidR="00A93604" w:rsidRPr="0037081D" w:rsidRDefault="00A93604" w:rsidP="00A93604">
            <w:pPr>
              <w:jc w:val="both"/>
              <w:rPr>
                <w:sz w:val="20"/>
                <w:lang w:val="fr-CA"/>
              </w:rPr>
            </w:pPr>
            <w:r w:rsidRPr="0037081D">
              <w:rPr>
                <w:sz w:val="20"/>
                <w:lang w:val="fr-CA"/>
              </w:rPr>
              <w:t>L’action en diffamation intentée par M. Blair est rejetée.</w:t>
            </w:r>
          </w:p>
          <w:p w:rsidR="00A93604" w:rsidRPr="0037081D" w:rsidRDefault="00A93604" w:rsidP="00A93604">
            <w:pPr>
              <w:jc w:val="both"/>
              <w:rPr>
                <w:sz w:val="20"/>
                <w:lang w:val="fr-CA"/>
              </w:rPr>
            </w:pPr>
          </w:p>
        </w:tc>
      </w:tr>
      <w:tr w:rsidR="00A93604" w:rsidRPr="00981880" w:rsidTr="00D427E0">
        <w:tblPrEx>
          <w:tblCellMar>
            <w:bottom w:w="0" w:type="dxa"/>
          </w:tblCellMar>
        </w:tblPrEx>
        <w:tc>
          <w:tcPr>
            <w:tcW w:w="2367" w:type="pct"/>
            <w:gridSpan w:val="2"/>
          </w:tcPr>
          <w:p w:rsidR="00A93604" w:rsidRPr="0037081D" w:rsidRDefault="00A93604" w:rsidP="00A93604">
            <w:pPr>
              <w:jc w:val="both"/>
              <w:rPr>
                <w:sz w:val="20"/>
                <w:lang w:val="fr-CA"/>
              </w:rPr>
            </w:pPr>
            <w:r w:rsidRPr="0037081D">
              <w:rPr>
                <w:sz w:val="20"/>
                <w:lang w:val="fr-CA"/>
              </w:rPr>
              <w:t>25 novembre 2021</w:t>
            </w:r>
          </w:p>
          <w:p w:rsidR="00A93604" w:rsidRPr="0037081D" w:rsidRDefault="00A93604" w:rsidP="00A93604">
            <w:pPr>
              <w:jc w:val="both"/>
              <w:rPr>
                <w:sz w:val="20"/>
                <w:lang w:val="fr-CA"/>
              </w:rPr>
            </w:pPr>
            <w:r w:rsidRPr="0037081D">
              <w:rPr>
                <w:sz w:val="20"/>
                <w:lang w:val="fr-CA"/>
              </w:rPr>
              <w:t>Cour d’appel de l’Ontario</w:t>
            </w:r>
          </w:p>
          <w:p w:rsidR="00A93604" w:rsidRPr="0037081D" w:rsidRDefault="00A93604" w:rsidP="00A93604">
            <w:pPr>
              <w:jc w:val="both"/>
              <w:rPr>
                <w:sz w:val="20"/>
                <w:lang w:val="fr-CA"/>
              </w:rPr>
            </w:pPr>
            <w:r w:rsidRPr="0037081D">
              <w:rPr>
                <w:sz w:val="20"/>
                <w:lang w:val="fr-CA"/>
              </w:rPr>
              <w:t>(juges Benotto, Miller et Sossin)</w:t>
            </w:r>
          </w:p>
          <w:p w:rsidR="00A93604" w:rsidRPr="0037081D" w:rsidRDefault="00981880" w:rsidP="00A93604">
            <w:pPr>
              <w:jc w:val="both"/>
              <w:rPr>
                <w:sz w:val="20"/>
                <w:lang w:val="fr-CA"/>
              </w:rPr>
            </w:pPr>
            <w:hyperlink r:id="rId18" w:history="1">
              <w:r w:rsidR="00A93604" w:rsidRPr="0037081D">
                <w:rPr>
                  <w:rStyle w:val="Hyperlink"/>
                  <w:sz w:val="20"/>
                  <w:lang w:val="fr-CA"/>
                </w:rPr>
                <w:t>2021 ONCA 841</w:t>
              </w:r>
            </w:hyperlink>
            <w:r w:rsidR="00A93604" w:rsidRPr="0037081D">
              <w:rPr>
                <w:sz w:val="20"/>
                <w:lang w:val="fr-CA"/>
              </w:rPr>
              <w:t xml:space="preserve"> </w:t>
            </w:r>
          </w:p>
          <w:p w:rsidR="00A93604" w:rsidRPr="0037081D" w:rsidRDefault="00A93604" w:rsidP="00A93604">
            <w:pPr>
              <w:jc w:val="both"/>
              <w:rPr>
                <w:sz w:val="20"/>
                <w:lang w:val="fr-CA"/>
              </w:rPr>
            </w:pPr>
          </w:p>
        </w:tc>
        <w:tc>
          <w:tcPr>
            <w:tcW w:w="267" w:type="pct"/>
          </w:tcPr>
          <w:p w:rsidR="00A93604" w:rsidRPr="0037081D" w:rsidRDefault="00A93604" w:rsidP="00A93604">
            <w:pPr>
              <w:jc w:val="both"/>
              <w:rPr>
                <w:sz w:val="20"/>
                <w:lang w:val="fr-CA"/>
              </w:rPr>
            </w:pPr>
          </w:p>
        </w:tc>
        <w:tc>
          <w:tcPr>
            <w:tcW w:w="2366" w:type="pct"/>
            <w:gridSpan w:val="2"/>
          </w:tcPr>
          <w:p w:rsidR="00A93604" w:rsidRPr="0037081D" w:rsidRDefault="00A93604" w:rsidP="00A93604">
            <w:pPr>
              <w:jc w:val="both"/>
              <w:rPr>
                <w:sz w:val="20"/>
                <w:lang w:val="fr-CA"/>
              </w:rPr>
            </w:pPr>
            <w:r w:rsidRPr="0037081D">
              <w:rPr>
                <w:sz w:val="20"/>
                <w:lang w:val="fr-CA"/>
              </w:rPr>
              <w:t xml:space="preserve">L’appel de M. Blair de la décision rejetant l’action est </w:t>
            </w:r>
            <w:proofErr w:type="gramStart"/>
            <w:r w:rsidRPr="0037081D">
              <w:rPr>
                <w:sz w:val="20"/>
                <w:lang w:val="fr-CA"/>
              </w:rPr>
              <w:t>rejeté</w:t>
            </w:r>
            <w:proofErr w:type="gramEnd"/>
            <w:r w:rsidRPr="0037081D">
              <w:rPr>
                <w:sz w:val="20"/>
                <w:lang w:val="fr-CA"/>
              </w:rPr>
              <w:t>.</w:t>
            </w:r>
          </w:p>
          <w:p w:rsidR="00A93604" w:rsidRPr="0037081D" w:rsidRDefault="00A93604" w:rsidP="00A93604">
            <w:pPr>
              <w:jc w:val="both"/>
              <w:rPr>
                <w:sz w:val="20"/>
                <w:lang w:val="fr-CA"/>
              </w:rPr>
            </w:pPr>
          </w:p>
          <w:p w:rsidR="00A93604" w:rsidRPr="0037081D" w:rsidRDefault="00A93604" w:rsidP="00A93604">
            <w:pPr>
              <w:jc w:val="both"/>
              <w:rPr>
                <w:sz w:val="20"/>
                <w:lang w:val="fr-CA"/>
              </w:rPr>
            </w:pPr>
          </w:p>
          <w:p w:rsidR="00A93604" w:rsidRPr="0037081D" w:rsidRDefault="00A93604" w:rsidP="00A93604">
            <w:pPr>
              <w:jc w:val="both"/>
              <w:rPr>
                <w:sz w:val="20"/>
                <w:lang w:val="fr-CA"/>
              </w:rPr>
            </w:pPr>
          </w:p>
        </w:tc>
      </w:tr>
      <w:tr w:rsidR="00A93604" w:rsidRPr="00981880" w:rsidTr="00D427E0">
        <w:tblPrEx>
          <w:tblCellMar>
            <w:bottom w:w="0" w:type="dxa"/>
          </w:tblCellMar>
        </w:tblPrEx>
        <w:tc>
          <w:tcPr>
            <w:tcW w:w="2367" w:type="pct"/>
            <w:gridSpan w:val="2"/>
          </w:tcPr>
          <w:p w:rsidR="00A93604" w:rsidRPr="0037081D" w:rsidRDefault="00A93604" w:rsidP="00A93604">
            <w:pPr>
              <w:jc w:val="both"/>
              <w:rPr>
                <w:sz w:val="20"/>
                <w:lang w:val="fr-CA"/>
              </w:rPr>
            </w:pPr>
            <w:r w:rsidRPr="0037081D">
              <w:rPr>
                <w:sz w:val="20"/>
                <w:lang w:val="fr-CA"/>
              </w:rPr>
              <w:t>24 janvier 2022</w:t>
            </w:r>
          </w:p>
          <w:p w:rsidR="00A93604" w:rsidRPr="0037081D" w:rsidRDefault="00A93604" w:rsidP="00A93604">
            <w:pPr>
              <w:jc w:val="both"/>
              <w:rPr>
                <w:sz w:val="20"/>
                <w:lang w:val="fr-CA"/>
              </w:rPr>
            </w:pPr>
            <w:r w:rsidRPr="0037081D">
              <w:rPr>
                <w:sz w:val="20"/>
                <w:lang w:val="fr-CA"/>
              </w:rPr>
              <w:t>Cour suprême du Canada</w:t>
            </w:r>
          </w:p>
        </w:tc>
        <w:tc>
          <w:tcPr>
            <w:tcW w:w="267" w:type="pct"/>
          </w:tcPr>
          <w:p w:rsidR="00A93604" w:rsidRPr="0037081D" w:rsidRDefault="00A93604" w:rsidP="00A93604">
            <w:pPr>
              <w:jc w:val="both"/>
              <w:rPr>
                <w:sz w:val="20"/>
                <w:lang w:val="fr-CA"/>
              </w:rPr>
            </w:pPr>
          </w:p>
        </w:tc>
        <w:tc>
          <w:tcPr>
            <w:tcW w:w="2366" w:type="pct"/>
            <w:gridSpan w:val="2"/>
          </w:tcPr>
          <w:p w:rsidR="00A93604" w:rsidRPr="0037081D" w:rsidRDefault="00A93604" w:rsidP="0037081D">
            <w:pPr>
              <w:jc w:val="both"/>
              <w:rPr>
                <w:sz w:val="20"/>
                <w:lang w:val="fr-CA"/>
              </w:rPr>
            </w:pPr>
            <w:r w:rsidRPr="0037081D">
              <w:rPr>
                <w:sz w:val="20"/>
                <w:lang w:val="fr-CA"/>
              </w:rPr>
              <w:t>La demande d’autorisation d’appel est présentée par M. Blair.</w:t>
            </w:r>
          </w:p>
        </w:tc>
      </w:tr>
    </w:tbl>
    <w:p w:rsidR="00A93604" w:rsidRPr="0037081D" w:rsidRDefault="00A93604" w:rsidP="00A93604">
      <w:pPr>
        <w:jc w:val="both"/>
        <w:rPr>
          <w:sz w:val="20"/>
          <w:lang w:val="fr-CA"/>
        </w:rPr>
      </w:pPr>
    </w:p>
    <w:p w:rsidR="00A93604" w:rsidRPr="0037081D" w:rsidRDefault="00981880" w:rsidP="00A93604">
      <w:pPr>
        <w:jc w:val="both"/>
        <w:rPr>
          <w:sz w:val="20"/>
          <w:lang w:val="fr-CA"/>
        </w:rPr>
      </w:pPr>
      <w:r>
        <w:rPr>
          <w:sz w:val="20"/>
        </w:rPr>
        <w:pict>
          <v:rect id="_x0000_i1030" style="width:2in;height:1pt" o:hrpct="0" o:hralign="center" o:hrstd="t" o:hrnoshade="t" o:hr="t" fillcolor="black [3213]" stroked="f"/>
        </w:pict>
      </w:r>
    </w:p>
    <w:p w:rsidR="00A93604" w:rsidRPr="0037081D" w:rsidRDefault="00A93604" w:rsidP="00A9360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A93604" w:rsidRPr="0037081D" w:rsidTr="00E95A6A">
        <w:tc>
          <w:tcPr>
            <w:tcW w:w="543" w:type="pct"/>
          </w:tcPr>
          <w:p w:rsidR="00A93604" w:rsidRPr="0037081D" w:rsidRDefault="00A93604" w:rsidP="00A93604">
            <w:pPr>
              <w:jc w:val="both"/>
              <w:rPr>
                <w:sz w:val="20"/>
              </w:rPr>
            </w:pPr>
            <w:r w:rsidRPr="0037081D">
              <w:rPr>
                <w:rStyle w:val="SCCFileNumberChar"/>
                <w:sz w:val="20"/>
                <w:szCs w:val="20"/>
              </w:rPr>
              <w:t>40078</w:t>
            </w:r>
          </w:p>
        </w:tc>
        <w:tc>
          <w:tcPr>
            <w:tcW w:w="4457" w:type="pct"/>
            <w:gridSpan w:val="3"/>
          </w:tcPr>
          <w:p w:rsidR="00A93604" w:rsidRPr="0037081D" w:rsidRDefault="00A93604" w:rsidP="00A93604">
            <w:pPr>
              <w:pStyle w:val="SCCLsocParty"/>
              <w:jc w:val="both"/>
              <w:rPr>
                <w:b/>
                <w:sz w:val="20"/>
                <w:szCs w:val="20"/>
                <w:lang w:val="en-US"/>
              </w:rPr>
            </w:pPr>
            <w:r w:rsidRPr="0037081D">
              <w:rPr>
                <w:b/>
                <w:sz w:val="20"/>
                <w:szCs w:val="20"/>
                <w:lang w:val="en-US"/>
              </w:rPr>
              <w:t>Attorney General for Ontario v. Information and Privacy Commissioner, Canadian Broadcasting Corporation</w:t>
            </w:r>
          </w:p>
          <w:p w:rsidR="00A93604" w:rsidRPr="0037081D" w:rsidRDefault="00A93604" w:rsidP="00A93604">
            <w:pPr>
              <w:jc w:val="both"/>
              <w:rPr>
                <w:sz w:val="20"/>
              </w:rPr>
            </w:pPr>
            <w:r w:rsidRPr="0037081D">
              <w:rPr>
                <w:sz w:val="20"/>
              </w:rPr>
              <w:t>(Ont.) (Civil) (By Leave)</w:t>
            </w:r>
          </w:p>
        </w:tc>
      </w:tr>
      <w:tr w:rsidR="00A93604" w:rsidRPr="0037081D" w:rsidTr="00E95A6A">
        <w:tc>
          <w:tcPr>
            <w:tcW w:w="5000" w:type="pct"/>
            <w:gridSpan w:val="4"/>
          </w:tcPr>
          <w:p w:rsidR="00A93604" w:rsidRPr="0037081D" w:rsidRDefault="00A93604" w:rsidP="00A93604">
            <w:pPr>
              <w:pStyle w:val="SCCBanSummary"/>
              <w:rPr>
                <w:sz w:val="20"/>
                <w:szCs w:val="20"/>
              </w:rPr>
            </w:pPr>
            <w:r w:rsidRPr="0037081D">
              <w:rPr>
                <w:sz w:val="20"/>
                <w:szCs w:val="20"/>
              </w:rPr>
              <w:t>(Sealing order) (Certain information not available to the public)</w:t>
            </w:r>
          </w:p>
          <w:p w:rsidR="00A93604" w:rsidRPr="0037081D" w:rsidRDefault="00A93604" w:rsidP="00A93604">
            <w:pPr>
              <w:jc w:val="both"/>
              <w:rPr>
                <w:sz w:val="20"/>
              </w:rPr>
            </w:pPr>
          </w:p>
        </w:tc>
      </w:tr>
      <w:tr w:rsidR="00A93604" w:rsidRPr="0037081D" w:rsidTr="00E95A6A">
        <w:tc>
          <w:tcPr>
            <w:tcW w:w="5000" w:type="pct"/>
            <w:gridSpan w:val="4"/>
          </w:tcPr>
          <w:p w:rsidR="00A93604" w:rsidRPr="0037081D" w:rsidRDefault="00A93604" w:rsidP="00A93604">
            <w:pPr>
              <w:jc w:val="both"/>
              <w:rPr>
                <w:sz w:val="20"/>
              </w:rPr>
            </w:pPr>
            <w:r w:rsidRPr="0037081D">
              <w:rPr>
                <w:sz w:val="20"/>
              </w:rPr>
              <w:t xml:space="preserve">Access to Information — Access to records — Exemptions — Cabinet records — Mandate letters — Whether confidential communications in respect of policy initiatives and development, prepared by the Premier of Ontario for his Cabinet ministers, are protected by the Cabinet records exemption — </w:t>
            </w:r>
            <w:r w:rsidRPr="0037081D">
              <w:rPr>
                <w:i/>
                <w:sz w:val="20"/>
              </w:rPr>
              <w:t>Freedom of Information and Protection of Privacy Act</w:t>
            </w:r>
            <w:r w:rsidRPr="0037081D">
              <w:rPr>
                <w:sz w:val="20"/>
              </w:rPr>
              <w:t xml:space="preserve">, R.S.O. 1990, c. F. 31, s. 12(1) (the </w:t>
            </w:r>
            <w:r w:rsidRPr="0037081D">
              <w:rPr>
                <w:i/>
                <w:sz w:val="20"/>
              </w:rPr>
              <w:t>Act</w:t>
            </w:r>
            <w:r w:rsidRPr="0037081D">
              <w:rPr>
                <w:sz w:val="20"/>
              </w:rPr>
              <w:t>).</w:t>
            </w:r>
          </w:p>
          <w:p w:rsidR="0037081D" w:rsidRPr="0037081D" w:rsidRDefault="0037081D" w:rsidP="00A93604">
            <w:pPr>
              <w:jc w:val="both"/>
              <w:rPr>
                <w:sz w:val="20"/>
              </w:rPr>
            </w:pPr>
          </w:p>
        </w:tc>
      </w:tr>
      <w:tr w:rsidR="00A93604" w:rsidRPr="0037081D" w:rsidTr="00E95A6A">
        <w:tc>
          <w:tcPr>
            <w:tcW w:w="5000" w:type="pct"/>
            <w:gridSpan w:val="4"/>
          </w:tcPr>
          <w:p w:rsidR="00A93604" w:rsidRPr="0037081D" w:rsidRDefault="00A93604" w:rsidP="00A93604">
            <w:pPr>
              <w:jc w:val="both"/>
              <w:rPr>
                <w:sz w:val="20"/>
              </w:rPr>
            </w:pPr>
            <w:r w:rsidRPr="0037081D">
              <w:rPr>
                <w:sz w:val="20"/>
              </w:rPr>
              <w:t xml:space="preserve">A journalist with the CBC made an application under the </w:t>
            </w:r>
            <w:r w:rsidRPr="0037081D">
              <w:rPr>
                <w:i/>
                <w:sz w:val="20"/>
              </w:rPr>
              <w:t>Act</w:t>
            </w:r>
            <w:r w:rsidRPr="0037081D">
              <w:rPr>
                <w:sz w:val="20"/>
              </w:rPr>
              <w:t xml:space="preserve"> for disclosure of the mandate letters addressed from the Premier of Ontario to each minister setting out’s the Premier’s policy priorities for the minister’s mandate. The Cabinet Office opposed the disclosure on the basis of s. 12(1) of the </w:t>
            </w:r>
            <w:r w:rsidRPr="0037081D">
              <w:rPr>
                <w:i/>
                <w:sz w:val="20"/>
              </w:rPr>
              <w:t>Act</w:t>
            </w:r>
            <w:r w:rsidRPr="0037081D">
              <w:rPr>
                <w:sz w:val="20"/>
              </w:rPr>
              <w:t>, the introductory language of which provides that a government head shall refuse to disclose a record where the disclosure would reveal the substance of deliberations of the Executive Council or its committees.</w:t>
            </w:r>
          </w:p>
          <w:p w:rsidR="00A93604" w:rsidRPr="0037081D" w:rsidRDefault="00A93604" w:rsidP="00A93604">
            <w:pPr>
              <w:jc w:val="both"/>
              <w:rPr>
                <w:sz w:val="20"/>
              </w:rPr>
            </w:pPr>
          </w:p>
          <w:p w:rsidR="00A93604" w:rsidRPr="0037081D" w:rsidRDefault="00A93604" w:rsidP="00A93604">
            <w:pPr>
              <w:jc w:val="both"/>
              <w:rPr>
                <w:sz w:val="20"/>
              </w:rPr>
            </w:pPr>
            <w:r w:rsidRPr="0037081D">
              <w:rPr>
                <w:sz w:val="20"/>
              </w:rPr>
              <w:t>In Order PO</w:t>
            </w:r>
            <w:r w:rsidRPr="0037081D">
              <w:rPr>
                <w:sz w:val="20"/>
              </w:rPr>
              <w:noBreakHyphen/>
              <w:t xml:space="preserve">3973, the Information and Privacy Commissioner of Ontario ordered disclosure of the mandate letters to the CBC. He determined that a record not listed at subparagraphs (a) to (f) will qualify under the opening words of s. 12(1) if the context or other information would permit accurate inferences to be drawn as to actual Cabinet deliberations at a specific Cabinet meeting. The words do not encompass the outcome of the deliberative process, such as policy choices. The Commissioner found that Cabinet Office must provide sufficient evidence to establish a </w:t>
            </w:r>
            <w:r w:rsidRPr="0037081D">
              <w:rPr>
                <w:sz w:val="20"/>
              </w:rPr>
              <w:lastRenderedPageBreak/>
              <w:t xml:space="preserve">linkage between the content of the record and the actual substance of Cabinet deliberations, and concluded that </w:t>
            </w:r>
            <w:proofErr w:type="gramStart"/>
            <w:r w:rsidRPr="0037081D">
              <w:rPr>
                <w:sz w:val="20"/>
              </w:rPr>
              <w:t>neither the content and</w:t>
            </w:r>
            <w:proofErr w:type="gramEnd"/>
            <w:r w:rsidRPr="0037081D">
              <w:rPr>
                <w:sz w:val="20"/>
              </w:rPr>
              <w:t xml:space="preserve"> context of the letters nor the evidence and representations of Cabinet Office met the test under section 12(1). The Ontario Superior Court of Justice dismissed the applicant’s application for judicial review and the Court of Appeal for Ontario dismissed the appeal, with Lauwers J.A. dissenting.</w:t>
            </w:r>
          </w:p>
          <w:p w:rsidR="00A93604" w:rsidRPr="0037081D" w:rsidRDefault="00A93604" w:rsidP="00A93604">
            <w:pPr>
              <w:jc w:val="both"/>
              <w:rPr>
                <w:sz w:val="20"/>
              </w:rPr>
            </w:pPr>
          </w:p>
        </w:tc>
      </w:tr>
      <w:tr w:rsidR="00A93604" w:rsidRPr="0037081D" w:rsidTr="00116B5D">
        <w:tc>
          <w:tcPr>
            <w:tcW w:w="2476" w:type="pct"/>
            <w:gridSpan w:val="2"/>
          </w:tcPr>
          <w:p w:rsidR="00A93604" w:rsidRPr="0037081D" w:rsidRDefault="00A93604" w:rsidP="00A93604">
            <w:pPr>
              <w:jc w:val="both"/>
              <w:rPr>
                <w:sz w:val="20"/>
              </w:rPr>
            </w:pPr>
            <w:r w:rsidRPr="0037081D">
              <w:rPr>
                <w:sz w:val="20"/>
              </w:rPr>
              <w:lastRenderedPageBreak/>
              <w:t>August 27, 2020</w:t>
            </w:r>
          </w:p>
          <w:p w:rsidR="00A93604" w:rsidRPr="0037081D" w:rsidRDefault="00A93604" w:rsidP="00A93604">
            <w:pPr>
              <w:jc w:val="both"/>
              <w:rPr>
                <w:sz w:val="20"/>
              </w:rPr>
            </w:pPr>
            <w:r w:rsidRPr="0037081D">
              <w:rPr>
                <w:sz w:val="20"/>
              </w:rPr>
              <w:t>Ontario Superior Court of Justice</w:t>
            </w:r>
          </w:p>
          <w:p w:rsidR="00A93604" w:rsidRPr="0037081D" w:rsidRDefault="00A93604" w:rsidP="00A93604">
            <w:pPr>
              <w:jc w:val="both"/>
              <w:rPr>
                <w:sz w:val="20"/>
              </w:rPr>
            </w:pPr>
            <w:r w:rsidRPr="0037081D">
              <w:rPr>
                <w:sz w:val="20"/>
              </w:rPr>
              <w:t>(Swinton, Penny and Kristjanson JJ.)</w:t>
            </w:r>
          </w:p>
          <w:p w:rsidR="00A93604" w:rsidRPr="0037081D" w:rsidRDefault="00981880" w:rsidP="00A93604">
            <w:pPr>
              <w:jc w:val="both"/>
              <w:rPr>
                <w:sz w:val="20"/>
              </w:rPr>
            </w:pPr>
            <w:hyperlink r:id="rId19" w:history="1">
              <w:r w:rsidR="00A93604" w:rsidRPr="0037081D">
                <w:rPr>
                  <w:rStyle w:val="Hyperlink"/>
                  <w:sz w:val="20"/>
                </w:rPr>
                <w:t>2020 ONSC 5085</w:t>
              </w:r>
            </w:hyperlink>
          </w:p>
          <w:p w:rsidR="00A93604" w:rsidRPr="0037081D" w:rsidRDefault="00A93604" w:rsidP="00A93604">
            <w:pPr>
              <w:jc w:val="both"/>
              <w:rPr>
                <w:sz w:val="20"/>
              </w:rPr>
            </w:pPr>
          </w:p>
        </w:tc>
        <w:tc>
          <w:tcPr>
            <w:tcW w:w="194" w:type="pct"/>
          </w:tcPr>
          <w:p w:rsidR="00A93604" w:rsidRPr="0037081D" w:rsidRDefault="00A93604" w:rsidP="00A93604">
            <w:pPr>
              <w:jc w:val="both"/>
              <w:rPr>
                <w:sz w:val="20"/>
              </w:rPr>
            </w:pPr>
          </w:p>
        </w:tc>
        <w:tc>
          <w:tcPr>
            <w:tcW w:w="2330" w:type="pct"/>
          </w:tcPr>
          <w:p w:rsidR="00A93604" w:rsidRPr="0037081D" w:rsidRDefault="00A93604" w:rsidP="00A93604">
            <w:pPr>
              <w:jc w:val="both"/>
              <w:rPr>
                <w:sz w:val="20"/>
              </w:rPr>
            </w:pPr>
            <w:r w:rsidRPr="0037081D">
              <w:rPr>
                <w:sz w:val="20"/>
              </w:rPr>
              <w:t>Application for judicial review dismissed.</w:t>
            </w:r>
          </w:p>
          <w:p w:rsidR="00A93604" w:rsidRPr="0037081D" w:rsidRDefault="00A93604" w:rsidP="00A93604">
            <w:pPr>
              <w:jc w:val="both"/>
              <w:rPr>
                <w:sz w:val="20"/>
              </w:rPr>
            </w:pPr>
          </w:p>
          <w:p w:rsidR="00A93604" w:rsidRPr="0037081D" w:rsidRDefault="00A93604" w:rsidP="00A93604">
            <w:pPr>
              <w:jc w:val="both"/>
              <w:rPr>
                <w:sz w:val="20"/>
              </w:rPr>
            </w:pPr>
          </w:p>
        </w:tc>
      </w:tr>
      <w:tr w:rsidR="00A93604" w:rsidRPr="0037081D" w:rsidTr="00116B5D">
        <w:tc>
          <w:tcPr>
            <w:tcW w:w="2476" w:type="pct"/>
            <w:gridSpan w:val="2"/>
          </w:tcPr>
          <w:p w:rsidR="00A93604" w:rsidRPr="0037081D" w:rsidRDefault="00A93604" w:rsidP="00A93604">
            <w:pPr>
              <w:jc w:val="both"/>
              <w:rPr>
                <w:sz w:val="20"/>
              </w:rPr>
            </w:pPr>
            <w:r w:rsidRPr="0037081D">
              <w:rPr>
                <w:sz w:val="20"/>
              </w:rPr>
              <w:t>January 26, 2022</w:t>
            </w:r>
          </w:p>
          <w:p w:rsidR="00A93604" w:rsidRPr="0037081D" w:rsidRDefault="00A93604" w:rsidP="00A93604">
            <w:pPr>
              <w:jc w:val="both"/>
              <w:rPr>
                <w:sz w:val="20"/>
              </w:rPr>
            </w:pPr>
            <w:r w:rsidRPr="0037081D">
              <w:rPr>
                <w:sz w:val="20"/>
              </w:rPr>
              <w:t>Court of Appeal for Ontario</w:t>
            </w:r>
          </w:p>
          <w:p w:rsidR="00A93604" w:rsidRPr="0037081D" w:rsidRDefault="00A93604" w:rsidP="00A93604">
            <w:pPr>
              <w:jc w:val="both"/>
              <w:rPr>
                <w:sz w:val="20"/>
              </w:rPr>
            </w:pPr>
            <w:r w:rsidRPr="0037081D">
              <w:rPr>
                <w:sz w:val="20"/>
              </w:rPr>
              <w:t>(Gillese, Lauwers (dissenting) and Sossin JJ.A.)</w:t>
            </w:r>
          </w:p>
          <w:p w:rsidR="00A93604" w:rsidRPr="0037081D" w:rsidRDefault="00981880" w:rsidP="00A93604">
            <w:pPr>
              <w:jc w:val="both"/>
              <w:rPr>
                <w:sz w:val="20"/>
              </w:rPr>
            </w:pPr>
            <w:hyperlink r:id="rId20" w:history="1">
              <w:r w:rsidR="00A93604" w:rsidRPr="0037081D">
                <w:rPr>
                  <w:rStyle w:val="Hyperlink"/>
                  <w:sz w:val="20"/>
                </w:rPr>
                <w:t>2022 ONCA 74</w:t>
              </w:r>
            </w:hyperlink>
            <w:r w:rsidR="00A93604" w:rsidRPr="0037081D">
              <w:rPr>
                <w:sz w:val="20"/>
              </w:rPr>
              <w:t>; C69150</w:t>
            </w:r>
          </w:p>
          <w:p w:rsidR="00A93604" w:rsidRPr="0037081D" w:rsidRDefault="00A93604" w:rsidP="00A93604">
            <w:pPr>
              <w:jc w:val="both"/>
              <w:rPr>
                <w:sz w:val="20"/>
              </w:rPr>
            </w:pPr>
          </w:p>
        </w:tc>
        <w:tc>
          <w:tcPr>
            <w:tcW w:w="194" w:type="pct"/>
          </w:tcPr>
          <w:p w:rsidR="00A93604" w:rsidRPr="0037081D" w:rsidRDefault="00A93604" w:rsidP="00A93604">
            <w:pPr>
              <w:jc w:val="both"/>
              <w:rPr>
                <w:sz w:val="20"/>
              </w:rPr>
            </w:pPr>
          </w:p>
        </w:tc>
        <w:tc>
          <w:tcPr>
            <w:tcW w:w="2330" w:type="pct"/>
          </w:tcPr>
          <w:p w:rsidR="00A93604" w:rsidRPr="0037081D" w:rsidRDefault="00A93604" w:rsidP="00A93604">
            <w:pPr>
              <w:jc w:val="both"/>
              <w:rPr>
                <w:sz w:val="20"/>
              </w:rPr>
            </w:pPr>
            <w:r w:rsidRPr="0037081D">
              <w:rPr>
                <w:sz w:val="20"/>
              </w:rPr>
              <w:t>Appeal dismissed.</w:t>
            </w:r>
          </w:p>
          <w:p w:rsidR="00A93604" w:rsidRPr="0037081D" w:rsidRDefault="00A93604" w:rsidP="00A93604">
            <w:pPr>
              <w:jc w:val="both"/>
              <w:rPr>
                <w:sz w:val="20"/>
              </w:rPr>
            </w:pPr>
          </w:p>
        </w:tc>
      </w:tr>
      <w:tr w:rsidR="00A93604" w:rsidRPr="0037081D" w:rsidTr="00116B5D">
        <w:tc>
          <w:tcPr>
            <w:tcW w:w="2476" w:type="pct"/>
            <w:gridSpan w:val="2"/>
          </w:tcPr>
          <w:p w:rsidR="00A93604" w:rsidRPr="0037081D" w:rsidRDefault="00A93604" w:rsidP="00A93604">
            <w:pPr>
              <w:jc w:val="both"/>
              <w:rPr>
                <w:sz w:val="20"/>
              </w:rPr>
            </w:pPr>
            <w:r w:rsidRPr="0037081D">
              <w:rPr>
                <w:sz w:val="20"/>
              </w:rPr>
              <w:t>March 28, 2022</w:t>
            </w:r>
          </w:p>
          <w:p w:rsidR="00A93604" w:rsidRPr="0037081D" w:rsidRDefault="00A93604" w:rsidP="00A93604">
            <w:pPr>
              <w:jc w:val="both"/>
              <w:rPr>
                <w:sz w:val="20"/>
              </w:rPr>
            </w:pPr>
            <w:r w:rsidRPr="0037081D">
              <w:rPr>
                <w:sz w:val="20"/>
              </w:rPr>
              <w:t>Supreme Court of Canada</w:t>
            </w:r>
          </w:p>
        </w:tc>
        <w:tc>
          <w:tcPr>
            <w:tcW w:w="194" w:type="pct"/>
          </w:tcPr>
          <w:p w:rsidR="00A93604" w:rsidRPr="0037081D" w:rsidRDefault="00A93604" w:rsidP="00A93604">
            <w:pPr>
              <w:jc w:val="both"/>
              <w:rPr>
                <w:sz w:val="20"/>
              </w:rPr>
            </w:pPr>
          </w:p>
        </w:tc>
        <w:tc>
          <w:tcPr>
            <w:tcW w:w="2330" w:type="pct"/>
          </w:tcPr>
          <w:p w:rsidR="00A93604" w:rsidRPr="0037081D" w:rsidRDefault="00A93604" w:rsidP="00A93604">
            <w:pPr>
              <w:jc w:val="both"/>
              <w:rPr>
                <w:sz w:val="20"/>
              </w:rPr>
            </w:pPr>
            <w:r w:rsidRPr="0037081D">
              <w:rPr>
                <w:sz w:val="20"/>
              </w:rPr>
              <w:t>Application for leave to appeal filed.</w:t>
            </w:r>
          </w:p>
        </w:tc>
      </w:tr>
    </w:tbl>
    <w:p w:rsidR="00A93604" w:rsidRPr="0037081D" w:rsidRDefault="00A93604" w:rsidP="00A93604">
      <w:pPr>
        <w:jc w:val="both"/>
        <w:rPr>
          <w:sz w:val="20"/>
        </w:rPr>
      </w:pPr>
    </w:p>
    <w:p w:rsidR="00A93604" w:rsidRPr="0037081D" w:rsidRDefault="00981880" w:rsidP="00A93604">
      <w:pPr>
        <w:jc w:val="both"/>
        <w:rPr>
          <w:sz w:val="20"/>
        </w:rPr>
      </w:pPr>
      <w:r>
        <w:rPr>
          <w:sz w:val="20"/>
        </w:rPr>
        <w:pict>
          <v:rect id="_x0000_i1031" style="width:2in;height:1pt" o:hrpct="0" o:hralign="center" o:hrstd="t" o:hrnoshade="t" o:hr="t" fillcolor="black [3213]" stroked="f"/>
        </w:pict>
      </w:r>
    </w:p>
    <w:p w:rsidR="00A93604" w:rsidRPr="0037081D" w:rsidRDefault="00A93604" w:rsidP="00A936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584"/>
        <w:gridCol w:w="360"/>
        <w:gridCol w:w="4320"/>
      </w:tblGrid>
      <w:tr w:rsidR="00A93604" w:rsidRPr="0037081D" w:rsidTr="00E95A6A">
        <w:tc>
          <w:tcPr>
            <w:tcW w:w="543" w:type="pct"/>
          </w:tcPr>
          <w:p w:rsidR="00A93604" w:rsidRPr="0037081D" w:rsidRDefault="00A93604" w:rsidP="00A93604">
            <w:pPr>
              <w:jc w:val="both"/>
              <w:rPr>
                <w:sz w:val="20"/>
                <w:lang w:val="fr-CA"/>
              </w:rPr>
            </w:pPr>
            <w:r w:rsidRPr="0037081D">
              <w:rPr>
                <w:rStyle w:val="SCCFileNumberChar"/>
                <w:sz w:val="20"/>
                <w:szCs w:val="20"/>
                <w:lang w:val="fr-CA"/>
              </w:rPr>
              <w:t>40078</w:t>
            </w:r>
          </w:p>
        </w:tc>
        <w:tc>
          <w:tcPr>
            <w:tcW w:w="4457" w:type="pct"/>
            <w:gridSpan w:val="3"/>
          </w:tcPr>
          <w:p w:rsidR="00A93604" w:rsidRPr="0037081D" w:rsidRDefault="00A93604" w:rsidP="00A93604">
            <w:pPr>
              <w:pStyle w:val="SCCLsocParty"/>
              <w:jc w:val="both"/>
              <w:rPr>
                <w:b/>
                <w:sz w:val="20"/>
                <w:szCs w:val="20"/>
              </w:rPr>
            </w:pPr>
            <w:r w:rsidRPr="0037081D">
              <w:rPr>
                <w:b/>
                <w:sz w:val="20"/>
                <w:szCs w:val="20"/>
              </w:rPr>
              <w:t>Procureur général de l’Ontario c. Commissaire à l’information et à la protection de la vie privée, Société Radio-Canada</w:t>
            </w:r>
          </w:p>
          <w:p w:rsidR="00A93604" w:rsidRPr="0037081D" w:rsidRDefault="00A93604" w:rsidP="00A93604">
            <w:pPr>
              <w:jc w:val="both"/>
              <w:rPr>
                <w:sz w:val="20"/>
                <w:lang w:val="fr-CA"/>
              </w:rPr>
            </w:pPr>
            <w:r w:rsidRPr="0037081D">
              <w:rPr>
                <w:sz w:val="20"/>
                <w:lang w:val="fr-CA"/>
              </w:rPr>
              <w:t>(Ont.) (Civile) (Sur autorisation)</w:t>
            </w:r>
          </w:p>
        </w:tc>
      </w:tr>
      <w:tr w:rsidR="00A93604" w:rsidRPr="00981880" w:rsidTr="00E95A6A">
        <w:tc>
          <w:tcPr>
            <w:tcW w:w="5000" w:type="pct"/>
            <w:gridSpan w:val="4"/>
          </w:tcPr>
          <w:p w:rsidR="00A93604" w:rsidRDefault="00A93604" w:rsidP="00FA44B8">
            <w:pPr>
              <w:jc w:val="both"/>
              <w:rPr>
                <w:smallCaps/>
                <w:sz w:val="20"/>
                <w:lang w:val="fr-CA"/>
              </w:rPr>
            </w:pPr>
            <w:r w:rsidRPr="0037081D">
              <w:rPr>
                <w:smallCaps/>
                <w:sz w:val="20"/>
                <w:lang w:val="fr-CA"/>
              </w:rPr>
              <w:t>(Ordonnance de mise sous scellés) (Le public n’est pas autorisé à prendre connaissance de certains renseignements)</w:t>
            </w:r>
          </w:p>
          <w:p w:rsidR="00FA44B8" w:rsidRPr="0037081D" w:rsidRDefault="00FA44B8" w:rsidP="00FA44B8">
            <w:pPr>
              <w:jc w:val="both"/>
              <w:rPr>
                <w:sz w:val="20"/>
                <w:lang w:val="fr-CA"/>
              </w:rPr>
            </w:pPr>
          </w:p>
        </w:tc>
      </w:tr>
      <w:tr w:rsidR="00A93604" w:rsidRPr="0037081D" w:rsidTr="00E95A6A">
        <w:tc>
          <w:tcPr>
            <w:tcW w:w="5000" w:type="pct"/>
            <w:gridSpan w:val="4"/>
          </w:tcPr>
          <w:p w:rsidR="00A93604" w:rsidRPr="0037081D" w:rsidRDefault="00A93604" w:rsidP="00A93604">
            <w:pPr>
              <w:jc w:val="both"/>
              <w:rPr>
                <w:sz w:val="20"/>
                <w:lang w:val="fr-CA"/>
              </w:rPr>
            </w:pPr>
            <w:r w:rsidRPr="0037081D">
              <w:rPr>
                <w:sz w:val="20"/>
                <w:lang w:val="fr-CA"/>
              </w:rPr>
              <w:t>Accès à l’information — Accès à des documents — Exceptions — Documents du Conseil des ministres — Lettres de mandat — Les communications confidentielles relatives aux initiatives en matière de politiques et à l’élaboration de celles</w:t>
            </w:r>
            <w:r w:rsidRPr="0037081D">
              <w:rPr>
                <w:sz w:val="20"/>
                <w:lang w:val="fr-CA"/>
              </w:rPr>
              <w:noBreakHyphen/>
              <w:t>ci, préparées par le premier ministre de l’Ontario à l’intention de son Conseil des ministres, sont</w:t>
            </w:r>
            <w:r w:rsidRPr="0037081D">
              <w:rPr>
                <w:sz w:val="20"/>
                <w:lang w:val="fr-CA"/>
              </w:rPr>
              <w:noBreakHyphen/>
              <w:t xml:space="preserve">elles protégées par l’exception relative aux documents du Conseil des ministres ? — </w:t>
            </w:r>
            <w:r w:rsidRPr="0037081D">
              <w:rPr>
                <w:i/>
                <w:sz w:val="20"/>
                <w:lang w:val="fr-CA"/>
              </w:rPr>
              <w:t>Loi sur l’accès à l’information et la protection de la vie privée</w:t>
            </w:r>
            <w:r w:rsidRPr="0037081D">
              <w:rPr>
                <w:sz w:val="20"/>
                <w:lang w:val="fr-CA"/>
              </w:rPr>
              <w:t xml:space="preserve">, L.R.O. 1990, chap. F. 31, par. 12(1) (la </w:t>
            </w:r>
            <w:r w:rsidRPr="0037081D">
              <w:rPr>
                <w:i/>
                <w:sz w:val="20"/>
                <w:lang w:val="fr-CA"/>
              </w:rPr>
              <w:t>Loi</w:t>
            </w:r>
            <w:r w:rsidRPr="0037081D">
              <w:rPr>
                <w:sz w:val="20"/>
                <w:lang w:val="fr-CA"/>
              </w:rPr>
              <w:t>).</w:t>
            </w:r>
          </w:p>
          <w:p w:rsidR="0037081D" w:rsidRPr="0037081D" w:rsidRDefault="0037081D" w:rsidP="00A93604">
            <w:pPr>
              <w:jc w:val="both"/>
              <w:rPr>
                <w:sz w:val="20"/>
                <w:lang w:val="fr-CA"/>
              </w:rPr>
            </w:pPr>
          </w:p>
        </w:tc>
      </w:tr>
      <w:tr w:rsidR="00A93604" w:rsidRPr="00981880" w:rsidTr="00E95A6A">
        <w:tc>
          <w:tcPr>
            <w:tcW w:w="5000" w:type="pct"/>
            <w:gridSpan w:val="4"/>
          </w:tcPr>
          <w:p w:rsidR="00A93604" w:rsidRPr="0037081D" w:rsidRDefault="00A93604" w:rsidP="00A93604">
            <w:pPr>
              <w:jc w:val="both"/>
              <w:rPr>
                <w:sz w:val="20"/>
                <w:lang w:val="fr-CA"/>
              </w:rPr>
            </w:pPr>
            <w:r w:rsidRPr="0037081D">
              <w:rPr>
                <w:sz w:val="20"/>
                <w:lang w:val="fr-CA"/>
              </w:rPr>
              <w:t xml:space="preserve">Un journaliste de la SRC a présenté une demande conformément à la </w:t>
            </w:r>
            <w:r w:rsidRPr="0037081D">
              <w:rPr>
                <w:i/>
                <w:sz w:val="20"/>
                <w:lang w:val="fr-CA"/>
              </w:rPr>
              <w:t>Loi</w:t>
            </w:r>
            <w:r w:rsidRPr="0037081D">
              <w:rPr>
                <w:sz w:val="20"/>
                <w:lang w:val="fr-CA"/>
              </w:rPr>
              <w:t xml:space="preserve"> visant la communication des lettres de mandat que le premier ministre de l’Ontario a adressé à chacun des ministres, établissant les priorités en matière de politiques de ce dernier en ce qui a trait aux mandats de ceux</w:t>
            </w:r>
            <w:r w:rsidRPr="0037081D">
              <w:rPr>
                <w:sz w:val="20"/>
                <w:lang w:val="fr-CA"/>
              </w:rPr>
              <w:noBreakHyphen/>
              <w:t xml:space="preserve">ci. Le Bureau du Conseil des ministres s’est opposé à cette communication au titre du par. 12(1) de la </w:t>
            </w:r>
            <w:r w:rsidRPr="0037081D">
              <w:rPr>
                <w:i/>
                <w:sz w:val="20"/>
                <w:lang w:val="fr-CA"/>
              </w:rPr>
              <w:t>Loi</w:t>
            </w:r>
            <w:r w:rsidRPr="0037081D">
              <w:rPr>
                <w:sz w:val="20"/>
                <w:lang w:val="fr-CA"/>
              </w:rPr>
              <w:t>, dont le texte introductif prévoit que la personne responsable au gouvernement refusera de divulguer un document qui aurait pour effet de révéler l’objet des délibérations du Conseil exécutif ou de ses comités.</w:t>
            </w:r>
          </w:p>
          <w:p w:rsidR="00A93604" w:rsidRPr="0037081D" w:rsidRDefault="00A93604" w:rsidP="00A93604">
            <w:pPr>
              <w:jc w:val="both"/>
              <w:rPr>
                <w:sz w:val="20"/>
                <w:lang w:val="fr-CA"/>
              </w:rPr>
            </w:pPr>
          </w:p>
          <w:p w:rsidR="00A93604" w:rsidRPr="0037081D" w:rsidRDefault="00A93604" w:rsidP="00A93604">
            <w:pPr>
              <w:jc w:val="both"/>
              <w:rPr>
                <w:sz w:val="20"/>
                <w:lang w:val="fr-CA"/>
              </w:rPr>
            </w:pPr>
            <w:r w:rsidRPr="0037081D">
              <w:rPr>
                <w:sz w:val="20"/>
                <w:lang w:val="fr-CA"/>
              </w:rPr>
              <w:t>Dans l’ordonnance PO</w:t>
            </w:r>
            <w:r w:rsidRPr="0037081D">
              <w:rPr>
                <w:sz w:val="20"/>
                <w:lang w:val="fr-CA"/>
              </w:rPr>
              <w:noBreakHyphen/>
              <w:t>3973, le commissaire à l’information et à la protection de la vie privée de l’Ontario a ordonné la communication des lettres de mandat à la SRC. Il a conclu que l’énoncé liminaire du par. 12(1) pourrait viser des documents qui ne sont pas énumérés aux alinéas a) à f) si le contexte ou d’autres renseignements permettaient de tirer des conclusions exactes quant aux véritables délibérations du Conseil des ministres lors d’une réunion spécifique des membres de celui</w:t>
            </w:r>
            <w:r w:rsidRPr="0037081D">
              <w:rPr>
                <w:sz w:val="20"/>
                <w:lang w:val="fr-CA"/>
              </w:rPr>
              <w:noBreakHyphen/>
              <w:t>ci. Cet énoncé n’englobe pas les résultats du processus de délibération, tels les choix de politiques. Le commissaire a estimé que le Bureau du Conseil des ministres doit produire suffisamment d’éléments de preuve pour établir un lien entre le contenu du document et l’objet véritable des délibérations du Conseil des ministres, et a conclu que ni le contenu ou le contexte des lettres, ni les éléments de preuve ou les observations présentées par le Bureau du Conseil des ministres satisfaisaient au critère prévu au titre du par. 12(1). La Cour supérieure de justice de l’Ontario a rejeté la demande de contrôle judiciaire présentée par le demandeur et la Cour d’appel de l’Ontario a rejeté l’appel, le juge Lauwers dissident.</w:t>
            </w:r>
          </w:p>
          <w:p w:rsidR="00A93604" w:rsidRPr="0037081D" w:rsidRDefault="00A93604" w:rsidP="00A93604">
            <w:pPr>
              <w:jc w:val="both"/>
              <w:rPr>
                <w:sz w:val="20"/>
                <w:lang w:val="fr-CA"/>
              </w:rPr>
            </w:pPr>
          </w:p>
        </w:tc>
      </w:tr>
      <w:tr w:rsidR="00A93604" w:rsidRPr="00981880" w:rsidTr="00116B5D">
        <w:tc>
          <w:tcPr>
            <w:tcW w:w="2476" w:type="pct"/>
            <w:gridSpan w:val="2"/>
          </w:tcPr>
          <w:p w:rsidR="00A93604" w:rsidRPr="0037081D" w:rsidRDefault="00A93604" w:rsidP="00A93604">
            <w:pPr>
              <w:jc w:val="both"/>
              <w:rPr>
                <w:sz w:val="20"/>
                <w:lang w:val="fr-CA"/>
              </w:rPr>
            </w:pPr>
            <w:r w:rsidRPr="0037081D">
              <w:rPr>
                <w:sz w:val="20"/>
                <w:lang w:val="fr-CA"/>
              </w:rPr>
              <w:t>27 août 2020</w:t>
            </w:r>
          </w:p>
          <w:p w:rsidR="00A93604" w:rsidRPr="0037081D" w:rsidRDefault="00A93604" w:rsidP="00A93604">
            <w:pPr>
              <w:jc w:val="both"/>
              <w:rPr>
                <w:sz w:val="20"/>
                <w:lang w:val="fr-CA"/>
              </w:rPr>
            </w:pPr>
            <w:r w:rsidRPr="0037081D">
              <w:rPr>
                <w:sz w:val="20"/>
                <w:lang w:val="fr-CA"/>
              </w:rPr>
              <w:t xml:space="preserve">Cour supérieure de justice de l’Ontario </w:t>
            </w:r>
          </w:p>
          <w:p w:rsidR="00A93604" w:rsidRPr="0037081D" w:rsidRDefault="00A93604" w:rsidP="00A93604">
            <w:pPr>
              <w:jc w:val="both"/>
              <w:rPr>
                <w:sz w:val="20"/>
                <w:lang w:val="fr-CA"/>
              </w:rPr>
            </w:pPr>
            <w:r w:rsidRPr="0037081D">
              <w:rPr>
                <w:sz w:val="20"/>
                <w:lang w:val="fr-CA"/>
              </w:rPr>
              <w:t>(juges Swinton, Penny et Kristjanson)</w:t>
            </w:r>
          </w:p>
          <w:p w:rsidR="00A93604" w:rsidRPr="0037081D" w:rsidRDefault="00981880" w:rsidP="00A93604">
            <w:pPr>
              <w:jc w:val="both"/>
              <w:rPr>
                <w:sz w:val="20"/>
                <w:lang w:val="fr-CA"/>
              </w:rPr>
            </w:pPr>
            <w:hyperlink r:id="rId21" w:history="1">
              <w:r w:rsidR="00A93604" w:rsidRPr="0037081D">
                <w:rPr>
                  <w:rStyle w:val="Hyperlink"/>
                  <w:sz w:val="20"/>
                  <w:lang w:val="fr-CA"/>
                </w:rPr>
                <w:t>2020 ONSC 5085</w:t>
              </w:r>
            </w:hyperlink>
          </w:p>
          <w:p w:rsidR="00A93604" w:rsidRPr="0037081D" w:rsidRDefault="00A93604" w:rsidP="00A93604">
            <w:pPr>
              <w:jc w:val="both"/>
              <w:rPr>
                <w:sz w:val="20"/>
                <w:lang w:val="fr-CA"/>
              </w:rPr>
            </w:pPr>
          </w:p>
        </w:tc>
        <w:tc>
          <w:tcPr>
            <w:tcW w:w="194" w:type="pct"/>
          </w:tcPr>
          <w:p w:rsidR="00A93604" w:rsidRPr="0037081D" w:rsidRDefault="00A93604" w:rsidP="00A93604">
            <w:pPr>
              <w:jc w:val="both"/>
              <w:rPr>
                <w:sz w:val="20"/>
                <w:lang w:val="fr-CA"/>
              </w:rPr>
            </w:pPr>
          </w:p>
        </w:tc>
        <w:tc>
          <w:tcPr>
            <w:tcW w:w="2330" w:type="pct"/>
          </w:tcPr>
          <w:p w:rsidR="00A93604" w:rsidRPr="0037081D" w:rsidRDefault="00A93604" w:rsidP="00A93604">
            <w:pPr>
              <w:jc w:val="both"/>
              <w:rPr>
                <w:sz w:val="20"/>
                <w:lang w:val="fr-CA"/>
              </w:rPr>
            </w:pPr>
            <w:r w:rsidRPr="0037081D">
              <w:rPr>
                <w:sz w:val="20"/>
                <w:lang w:val="fr-CA"/>
              </w:rPr>
              <w:t>La demande de contrôle judiciaire est rejetée.</w:t>
            </w:r>
          </w:p>
          <w:p w:rsidR="00A93604" w:rsidRPr="0037081D" w:rsidRDefault="00A93604" w:rsidP="00A93604">
            <w:pPr>
              <w:jc w:val="both"/>
              <w:rPr>
                <w:sz w:val="20"/>
                <w:lang w:val="fr-CA"/>
              </w:rPr>
            </w:pPr>
          </w:p>
          <w:p w:rsidR="00A93604" w:rsidRPr="0037081D" w:rsidRDefault="00A93604" w:rsidP="00A93604">
            <w:pPr>
              <w:jc w:val="both"/>
              <w:rPr>
                <w:sz w:val="20"/>
                <w:lang w:val="fr-CA"/>
              </w:rPr>
            </w:pPr>
          </w:p>
        </w:tc>
      </w:tr>
      <w:tr w:rsidR="00A93604" w:rsidRPr="0037081D" w:rsidTr="00116B5D">
        <w:tc>
          <w:tcPr>
            <w:tcW w:w="2476" w:type="pct"/>
            <w:gridSpan w:val="2"/>
          </w:tcPr>
          <w:p w:rsidR="00A93604" w:rsidRPr="0037081D" w:rsidRDefault="00A93604" w:rsidP="00A93604">
            <w:pPr>
              <w:jc w:val="both"/>
              <w:rPr>
                <w:sz w:val="20"/>
                <w:lang w:val="fr-CA"/>
              </w:rPr>
            </w:pPr>
            <w:r w:rsidRPr="0037081D">
              <w:rPr>
                <w:sz w:val="20"/>
                <w:lang w:val="fr-CA"/>
              </w:rPr>
              <w:lastRenderedPageBreak/>
              <w:t>26 janvier 2022</w:t>
            </w:r>
          </w:p>
          <w:p w:rsidR="00A93604" w:rsidRPr="0037081D" w:rsidRDefault="00A93604" w:rsidP="00A93604">
            <w:pPr>
              <w:jc w:val="both"/>
              <w:rPr>
                <w:sz w:val="20"/>
                <w:lang w:val="fr-CA"/>
              </w:rPr>
            </w:pPr>
            <w:r w:rsidRPr="0037081D">
              <w:rPr>
                <w:sz w:val="20"/>
                <w:lang w:val="fr-CA"/>
              </w:rPr>
              <w:t>Cour d’appel de l’Ontario</w:t>
            </w:r>
          </w:p>
          <w:p w:rsidR="00A93604" w:rsidRPr="0037081D" w:rsidRDefault="00A93604" w:rsidP="00A93604">
            <w:pPr>
              <w:jc w:val="both"/>
              <w:rPr>
                <w:sz w:val="20"/>
                <w:lang w:val="fr-CA"/>
              </w:rPr>
            </w:pPr>
            <w:r w:rsidRPr="0037081D">
              <w:rPr>
                <w:sz w:val="20"/>
                <w:lang w:val="fr-CA"/>
              </w:rPr>
              <w:t>(juges Gillese, Lauwers (dissident) et Sossin)</w:t>
            </w:r>
          </w:p>
          <w:p w:rsidR="00A93604" w:rsidRPr="0037081D" w:rsidRDefault="00981880" w:rsidP="00A93604">
            <w:pPr>
              <w:jc w:val="both"/>
              <w:rPr>
                <w:sz w:val="20"/>
                <w:lang w:val="fr-CA"/>
              </w:rPr>
            </w:pPr>
            <w:hyperlink r:id="rId22" w:history="1">
              <w:r w:rsidR="00A93604" w:rsidRPr="0037081D">
                <w:rPr>
                  <w:rStyle w:val="Hyperlink"/>
                  <w:sz w:val="20"/>
                  <w:lang w:val="fr-CA"/>
                </w:rPr>
                <w:t>2022 ONCA 74</w:t>
              </w:r>
            </w:hyperlink>
            <w:r w:rsidR="00A93604" w:rsidRPr="0037081D">
              <w:rPr>
                <w:sz w:val="20"/>
                <w:lang w:val="fr-CA"/>
              </w:rPr>
              <w:t>; C69150</w:t>
            </w:r>
          </w:p>
          <w:p w:rsidR="00A93604" w:rsidRPr="0037081D" w:rsidRDefault="00A93604" w:rsidP="00A93604">
            <w:pPr>
              <w:jc w:val="both"/>
              <w:rPr>
                <w:sz w:val="20"/>
                <w:lang w:val="fr-CA"/>
              </w:rPr>
            </w:pPr>
          </w:p>
        </w:tc>
        <w:tc>
          <w:tcPr>
            <w:tcW w:w="194" w:type="pct"/>
          </w:tcPr>
          <w:p w:rsidR="00A93604" w:rsidRPr="0037081D" w:rsidRDefault="00A93604" w:rsidP="00A93604">
            <w:pPr>
              <w:jc w:val="both"/>
              <w:rPr>
                <w:sz w:val="20"/>
                <w:lang w:val="fr-CA"/>
              </w:rPr>
            </w:pPr>
          </w:p>
        </w:tc>
        <w:tc>
          <w:tcPr>
            <w:tcW w:w="2330" w:type="pct"/>
          </w:tcPr>
          <w:p w:rsidR="00A93604" w:rsidRPr="0037081D" w:rsidRDefault="00A93604" w:rsidP="00A93604">
            <w:pPr>
              <w:jc w:val="both"/>
              <w:rPr>
                <w:sz w:val="20"/>
                <w:lang w:val="fr-CA"/>
              </w:rPr>
            </w:pPr>
            <w:r w:rsidRPr="0037081D">
              <w:rPr>
                <w:sz w:val="20"/>
                <w:lang w:val="fr-CA"/>
              </w:rPr>
              <w:t>L’appel est rejeté.</w:t>
            </w:r>
          </w:p>
          <w:p w:rsidR="00A93604" w:rsidRPr="0037081D" w:rsidRDefault="00A93604" w:rsidP="00A93604">
            <w:pPr>
              <w:jc w:val="both"/>
              <w:rPr>
                <w:sz w:val="20"/>
                <w:lang w:val="fr-CA"/>
              </w:rPr>
            </w:pPr>
          </w:p>
        </w:tc>
      </w:tr>
      <w:tr w:rsidR="00A93604" w:rsidRPr="00981880" w:rsidTr="00116B5D">
        <w:tc>
          <w:tcPr>
            <w:tcW w:w="2476" w:type="pct"/>
            <w:gridSpan w:val="2"/>
          </w:tcPr>
          <w:p w:rsidR="00A93604" w:rsidRPr="0037081D" w:rsidRDefault="00A93604" w:rsidP="00A93604">
            <w:pPr>
              <w:jc w:val="both"/>
              <w:rPr>
                <w:sz w:val="20"/>
                <w:lang w:val="fr-CA"/>
              </w:rPr>
            </w:pPr>
            <w:r w:rsidRPr="0037081D">
              <w:rPr>
                <w:sz w:val="20"/>
                <w:lang w:val="fr-CA"/>
              </w:rPr>
              <w:t>28 mars 2022</w:t>
            </w:r>
          </w:p>
          <w:p w:rsidR="00A93604" w:rsidRPr="0037081D" w:rsidRDefault="00A93604" w:rsidP="00A93604">
            <w:pPr>
              <w:jc w:val="both"/>
              <w:rPr>
                <w:sz w:val="20"/>
                <w:lang w:val="fr-CA"/>
              </w:rPr>
            </w:pPr>
            <w:r w:rsidRPr="0037081D">
              <w:rPr>
                <w:sz w:val="20"/>
                <w:lang w:val="fr-CA"/>
              </w:rPr>
              <w:t>Cour suprême du Canada</w:t>
            </w:r>
          </w:p>
        </w:tc>
        <w:tc>
          <w:tcPr>
            <w:tcW w:w="194" w:type="pct"/>
          </w:tcPr>
          <w:p w:rsidR="00A93604" w:rsidRPr="0037081D" w:rsidRDefault="00A93604" w:rsidP="00A93604">
            <w:pPr>
              <w:jc w:val="both"/>
              <w:rPr>
                <w:sz w:val="20"/>
                <w:lang w:val="fr-CA"/>
              </w:rPr>
            </w:pPr>
          </w:p>
        </w:tc>
        <w:tc>
          <w:tcPr>
            <w:tcW w:w="2330" w:type="pct"/>
          </w:tcPr>
          <w:p w:rsidR="00A93604" w:rsidRPr="0037081D" w:rsidRDefault="00A93604" w:rsidP="00A93604">
            <w:pPr>
              <w:jc w:val="both"/>
              <w:rPr>
                <w:sz w:val="20"/>
                <w:lang w:val="fr-CA"/>
              </w:rPr>
            </w:pPr>
            <w:r w:rsidRPr="0037081D">
              <w:rPr>
                <w:sz w:val="20"/>
                <w:lang w:val="fr-CA"/>
              </w:rPr>
              <w:t>La demande d’autorisation d’appel est présentée.</w:t>
            </w:r>
          </w:p>
        </w:tc>
      </w:tr>
    </w:tbl>
    <w:p w:rsidR="00403CA6" w:rsidRPr="0037081D" w:rsidRDefault="00403CA6" w:rsidP="00403CA6">
      <w:pPr>
        <w:jc w:val="both"/>
        <w:rPr>
          <w:sz w:val="20"/>
          <w:lang w:val="fr-CA"/>
        </w:rPr>
      </w:pPr>
    </w:p>
    <w:p w:rsidR="0001473D" w:rsidRPr="0037081D" w:rsidRDefault="00981880" w:rsidP="00BE597E">
      <w:pPr>
        <w:widowControl w:val="0"/>
        <w:jc w:val="both"/>
        <w:rPr>
          <w:sz w:val="20"/>
        </w:rPr>
      </w:pPr>
      <w:r>
        <w:rPr>
          <w:sz w:val="20"/>
        </w:rPr>
        <w:pict>
          <v:rect id="_x0000_i1032" style="width:2in;height:1pt" o:hrpct="0" o:hralign="center" o:hrstd="t" o:hrnoshade="t" o:hr="t" fillcolor="black [3213]" stroked="f"/>
        </w:pict>
      </w:r>
    </w:p>
    <w:p w:rsidR="00FD3FA0" w:rsidRPr="0037081D" w:rsidRDefault="00FD3FA0" w:rsidP="00350651">
      <w:pPr>
        <w:ind w:left="142" w:hanging="142"/>
        <w:jc w:val="both"/>
        <w:rPr>
          <w:sz w:val="20"/>
        </w:rPr>
      </w:pPr>
    </w:p>
    <w:p w:rsidR="008F2F11" w:rsidRPr="0037081D" w:rsidRDefault="008F2F11" w:rsidP="00350651">
      <w:pPr>
        <w:ind w:left="142" w:hanging="142"/>
        <w:jc w:val="both"/>
        <w:rPr>
          <w:sz w:val="20"/>
        </w:rPr>
      </w:pPr>
    </w:p>
    <w:p w:rsidR="008F2F11" w:rsidRPr="0037081D" w:rsidRDefault="008F2F11" w:rsidP="00350651">
      <w:pPr>
        <w:ind w:left="142" w:hanging="142"/>
        <w:jc w:val="both"/>
        <w:rPr>
          <w:sz w:val="20"/>
        </w:rPr>
      </w:pPr>
    </w:p>
    <w:p w:rsidR="00D3344A" w:rsidRPr="0037081D" w:rsidRDefault="00D3344A" w:rsidP="00D3344A">
      <w:pPr>
        <w:widowControl w:val="0"/>
        <w:outlineLvl w:val="0"/>
        <w:rPr>
          <w:sz w:val="20"/>
        </w:rPr>
      </w:pPr>
      <w:r w:rsidRPr="0037081D">
        <w:rPr>
          <w:sz w:val="20"/>
        </w:rPr>
        <w:t xml:space="preserve">Supreme Court of Canada / Cour suprême du </w:t>
      </w:r>
      <w:proofErr w:type="gramStart"/>
      <w:r w:rsidRPr="0037081D">
        <w:rPr>
          <w:sz w:val="20"/>
        </w:rPr>
        <w:t>Canad</w:t>
      </w:r>
      <w:r w:rsidR="00EE289F" w:rsidRPr="0037081D">
        <w:rPr>
          <w:sz w:val="20"/>
        </w:rPr>
        <w:t>a</w:t>
      </w:r>
      <w:r w:rsidRPr="0037081D">
        <w:rPr>
          <w:sz w:val="20"/>
        </w:rPr>
        <w:t xml:space="preserve"> :</w:t>
      </w:r>
      <w:proofErr w:type="gramEnd"/>
    </w:p>
    <w:p w:rsidR="00D3344A" w:rsidRPr="0037081D" w:rsidRDefault="00981880" w:rsidP="00D3344A">
      <w:pPr>
        <w:widowControl w:val="0"/>
        <w:outlineLvl w:val="0"/>
        <w:rPr>
          <w:sz w:val="20"/>
          <w:u w:val="single"/>
        </w:rPr>
      </w:pPr>
      <w:hyperlink r:id="rId23" w:history="1">
        <w:r w:rsidR="009B7391" w:rsidRPr="0037081D">
          <w:rPr>
            <w:rStyle w:val="Hyperlink"/>
            <w:sz w:val="20"/>
          </w:rPr>
          <w:t>comments-commentaires@scc-csc.ca</w:t>
        </w:r>
      </w:hyperlink>
    </w:p>
    <w:p w:rsidR="00D3344A" w:rsidRPr="0037081D" w:rsidRDefault="0065588C" w:rsidP="00D3344A">
      <w:pPr>
        <w:widowControl w:val="0"/>
        <w:outlineLvl w:val="0"/>
        <w:rPr>
          <w:sz w:val="20"/>
        </w:rPr>
      </w:pPr>
      <w:r w:rsidRPr="0037081D">
        <w:rPr>
          <w:sz w:val="20"/>
        </w:rPr>
        <w:t>613-</w:t>
      </w:r>
      <w:r w:rsidR="00D3344A" w:rsidRPr="0037081D">
        <w:rPr>
          <w:sz w:val="20"/>
        </w:rPr>
        <w:t>995-4330</w:t>
      </w:r>
    </w:p>
    <w:p w:rsidR="00497B5E" w:rsidRPr="0037081D" w:rsidRDefault="00497B5E" w:rsidP="00497B5E">
      <w:pPr>
        <w:widowControl w:val="0"/>
        <w:rPr>
          <w:sz w:val="20"/>
        </w:rPr>
      </w:pPr>
    </w:p>
    <w:p w:rsidR="00F6251B" w:rsidRPr="007607A2" w:rsidRDefault="003F43E6" w:rsidP="00F6251B">
      <w:pPr>
        <w:pStyle w:val="Footer"/>
        <w:jc w:val="center"/>
        <w:rPr>
          <w:sz w:val="20"/>
        </w:rPr>
      </w:pPr>
      <w:r w:rsidRPr="0037081D">
        <w:rPr>
          <w:sz w:val="20"/>
        </w:rPr>
        <w:t>- 30 -</w:t>
      </w:r>
    </w:p>
    <w:sectPr w:rsidR="00F6251B" w:rsidRPr="007607A2" w:rsidSect="00E62F93">
      <w:headerReference w:type="even" r:id="rId24"/>
      <w:headerReference w:type="default" r:id="rId25"/>
      <w:footerReference w:type="even" r:id="rId26"/>
      <w:footerReference w:type="default" r:id="rId27"/>
      <w:headerReference w:type="first" r:id="rId28"/>
      <w:footerReference w:type="first" r:id="rId2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75" w:rsidRDefault="004C5775" w:rsidP="0034178A">
      <w:r>
        <w:separator/>
      </w:r>
    </w:p>
  </w:endnote>
  <w:endnote w:type="continuationSeparator" w:id="0">
    <w:p w:rsidR="004C5775" w:rsidRDefault="004C577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Pr="009F77F0" w:rsidRDefault="004C577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75" w:rsidRDefault="004C5775" w:rsidP="0034178A">
      <w:r>
        <w:separator/>
      </w:r>
    </w:p>
  </w:footnote>
  <w:footnote w:type="continuationSeparator" w:id="0">
    <w:p w:rsidR="004C5775" w:rsidRDefault="004C577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75" w:rsidRDefault="004C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44F6D"/>
    <w:multiLevelType w:val="hybridMultilevel"/>
    <w:tmpl w:val="A362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861DA"/>
    <w:multiLevelType w:val="hybridMultilevel"/>
    <w:tmpl w:val="1FCC4B42"/>
    <w:lvl w:ilvl="0" w:tplc="C08C3874">
      <w:start w:val="7"/>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159C1"/>
    <w:multiLevelType w:val="hybridMultilevel"/>
    <w:tmpl w:val="F49A8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E04C4"/>
    <w:multiLevelType w:val="hybridMultilevel"/>
    <w:tmpl w:val="F86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5"/>
  </w:num>
  <w:num w:numId="3">
    <w:abstractNumId w:val="6"/>
  </w:num>
  <w:num w:numId="4">
    <w:abstractNumId w:val="19"/>
  </w:num>
  <w:num w:numId="5">
    <w:abstractNumId w:val="36"/>
  </w:num>
  <w:num w:numId="6">
    <w:abstractNumId w:val="17"/>
  </w:num>
  <w:num w:numId="7">
    <w:abstractNumId w:val="15"/>
  </w:num>
  <w:num w:numId="8">
    <w:abstractNumId w:val="12"/>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0"/>
  </w:num>
  <w:num w:numId="13">
    <w:abstractNumId w:val="39"/>
  </w:num>
  <w:num w:numId="14">
    <w:abstractNumId w:val="34"/>
  </w:num>
  <w:num w:numId="15">
    <w:abstractNumId w:val="24"/>
  </w:num>
  <w:num w:numId="16">
    <w:abstractNumId w:val="42"/>
  </w:num>
  <w:num w:numId="17">
    <w:abstractNumId w:val="18"/>
  </w:num>
  <w:num w:numId="18">
    <w:abstractNumId w:val="29"/>
  </w:num>
  <w:num w:numId="19">
    <w:abstractNumId w:val="47"/>
  </w:num>
  <w:num w:numId="20">
    <w:abstractNumId w:val="20"/>
  </w:num>
  <w:num w:numId="21">
    <w:abstractNumId w:val="5"/>
  </w:num>
  <w:num w:numId="22">
    <w:abstractNumId w:val="4"/>
  </w:num>
  <w:num w:numId="23">
    <w:abstractNumId w:val="31"/>
  </w:num>
  <w:num w:numId="24">
    <w:abstractNumId w:val="30"/>
  </w:num>
  <w:num w:numId="25">
    <w:abstractNumId w:val="48"/>
  </w:num>
  <w:num w:numId="26">
    <w:abstractNumId w:val="14"/>
  </w:num>
  <w:num w:numId="27">
    <w:abstractNumId w:val="16"/>
  </w:num>
  <w:num w:numId="28">
    <w:abstractNumId w:val="35"/>
  </w:num>
  <w:num w:numId="29">
    <w:abstractNumId w:val="33"/>
  </w:num>
  <w:num w:numId="30">
    <w:abstractNumId w:val="8"/>
  </w:num>
  <w:num w:numId="31">
    <w:abstractNumId w:val="41"/>
  </w:num>
  <w:num w:numId="32">
    <w:abstractNumId w:val="23"/>
  </w:num>
  <w:num w:numId="33">
    <w:abstractNumId w:val="7"/>
  </w:num>
  <w:num w:numId="34">
    <w:abstractNumId w:val="2"/>
  </w:num>
  <w:num w:numId="35">
    <w:abstractNumId w:val="10"/>
  </w:num>
  <w:num w:numId="36">
    <w:abstractNumId w:val="11"/>
  </w:num>
  <w:num w:numId="37">
    <w:abstractNumId w:val="38"/>
  </w:num>
  <w:num w:numId="38">
    <w:abstractNumId w:val="40"/>
  </w:num>
  <w:num w:numId="39">
    <w:abstractNumId w:val="9"/>
  </w:num>
  <w:num w:numId="40">
    <w:abstractNumId w:val="13"/>
  </w:num>
  <w:num w:numId="41">
    <w:abstractNumId w:val="22"/>
  </w:num>
  <w:num w:numId="42">
    <w:abstractNumId w:val="44"/>
  </w:num>
  <w:num w:numId="43">
    <w:abstractNumId w:val="45"/>
  </w:num>
  <w:num w:numId="44">
    <w:abstractNumId w:val="46"/>
  </w:num>
  <w:num w:numId="45">
    <w:abstractNumId w:val="21"/>
  </w:num>
  <w:num w:numId="46">
    <w:abstractNumId w:val="1"/>
  </w:num>
  <w:num w:numId="47">
    <w:abstractNumId w:val="28"/>
  </w:num>
  <w:num w:numId="48">
    <w:abstractNumId w:val="37"/>
  </w:num>
  <w:num w:numId="49">
    <w:abstractNumId w:val="27"/>
  </w:num>
  <w:num w:numId="5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3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1D"/>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D7A03"/>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880"/>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604"/>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4B8"/>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2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92" TargetMode="External"/><Relationship Id="rId13" Type="http://schemas.openxmlformats.org/officeDocument/2006/relationships/hyperlink" Target="https://www.canlii.org/fr/ca/crtefp/doc/2020/2020crtespf11/2020crtespf11.html" TargetMode="External"/><Relationship Id="rId18" Type="http://schemas.openxmlformats.org/officeDocument/2006/relationships/hyperlink" Target="https://www.canlii.org/en/on/onca/doc/2021/2021onca841/2021onca841.html?autocompleteStr=BLAIR%20V%20ford&amp;autocompletePos=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anlii.org/en/on/onscdc/doc/2020/2020onsc5085/2020onsc5085.html" TargetMode="External"/><Relationship Id="rId7" Type="http://schemas.openxmlformats.org/officeDocument/2006/relationships/endnotes" Target="endnotes.xml"/><Relationship Id="rId12" Type="http://schemas.openxmlformats.org/officeDocument/2006/relationships/hyperlink" Target="https://canlii.ca/t/jc2vd" TargetMode="External"/><Relationship Id="rId17" Type="http://schemas.openxmlformats.org/officeDocument/2006/relationships/hyperlink" Target="https://www.canlii.org/en/on/onsc/doc/2020/2020onsc7100/2020onsc7100.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nlii.org/en/on/onca/doc/2021/2021onca841/2021onca841.html?autocompleteStr=BLAIR%20V%20ford&amp;autocompletePos=3" TargetMode="External"/><Relationship Id="rId20" Type="http://schemas.openxmlformats.org/officeDocument/2006/relationships/hyperlink" Target="https://www.canlii.org/en/on/onca/doc/2022/2022onca74/2022onca74.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5xv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nlii.org/en/on/onsc/doc/2020/2020onsc7100/2020onsc7100.html"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s://www.scc-csc.ca/case-dossier/info/sum-som-eng.aspx?cas=40078" TargetMode="External"/><Relationship Id="rId19" Type="http://schemas.openxmlformats.org/officeDocument/2006/relationships/hyperlink" Target="https://www.canlii.org/en/on/onscdc/doc/2020/2020onsc5085/2020onsc5085.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034" TargetMode="External"/><Relationship Id="rId14" Type="http://schemas.openxmlformats.org/officeDocument/2006/relationships/hyperlink" Target="https://www.canlii.org/fr/ca/caf/doc/2020/2020caf211/2020caf211.html" TargetMode="External"/><Relationship Id="rId22" Type="http://schemas.openxmlformats.org/officeDocument/2006/relationships/hyperlink" Target="https://www.canlii.org/en/on/onca/doc/2022/2022onca74/2022onca74.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AA86-9ABA-4F85-ABE6-215539FF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2022-05-17T11:39:00Z</dcterms:modified>
</cp:coreProperties>
</file>