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A4FBE" w:rsidRDefault="003F43E6" w:rsidP="003F43E6">
      <w:pPr>
        <w:pStyle w:val="Header"/>
        <w:jc w:val="center"/>
        <w:rPr>
          <w:b/>
          <w:sz w:val="32"/>
        </w:rPr>
      </w:pPr>
      <w:r w:rsidRPr="000A4FBE">
        <w:rPr>
          <w:b/>
          <w:sz w:val="32"/>
        </w:rPr>
        <w:t>Supreme Court of Canada / Cour suprême du Canada</w:t>
      </w:r>
    </w:p>
    <w:p w:rsidR="003F43E6" w:rsidRPr="000A4FBE" w:rsidRDefault="003F43E6" w:rsidP="006F2579">
      <w:pPr>
        <w:widowControl w:val="0"/>
        <w:rPr>
          <w:i/>
        </w:rPr>
      </w:pPr>
    </w:p>
    <w:p w:rsidR="003F43E6" w:rsidRPr="000A4FBE" w:rsidRDefault="003F43E6" w:rsidP="006F2579">
      <w:pPr>
        <w:widowControl w:val="0"/>
        <w:rPr>
          <w:i/>
        </w:rPr>
      </w:pPr>
    </w:p>
    <w:p w:rsidR="006F2579" w:rsidRPr="000A4FBE" w:rsidRDefault="006F2579" w:rsidP="006F2579">
      <w:pPr>
        <w:widowControl w:val="0"/>
        <w:rPr>
          <w:i/>
          <w:sz w:val="20"/>
          <w:lang w:val="fr-CA"/>
        </w:rPr>
      </w:pPr>
      <w:r w:rsidRPr="000A4FBE">
        <w:rPr>
          <w:i/>
          <w:sz w:val="20"/>
          <w:lang w:val="fr-CA"/>
        </w:rPr>
        <w:t>(</w:t>
      </w:r>
      <w:r w:rsidR="008F3C5D" w:rsidRPr="000A4FBE">
        <w:rPr>
          <w:i/>
          <w:sz w:val="20"/>
          <w:lang w:val="fr-CA"/>
        </w:rPr>
        <w:t>L</w:t>
      </w:r>
      <w:r w:rsidRPr="000A4FBE">
        <w:rPr>
          <w:i/>
          <w:sz w:val="20"/>
          <w:lang w:val="fr-CA"/>
        </w:rPr>
        <w:t>e français suit)</w:t>
      </w:r>
    </w:p>
    <w:p w:rsidR="006F2579" w:rsidRPr="000A4FBE" w:rsidRDefault="006F2579" w:rsidP="006F2579">
      <w:pPr>
        <w:widowControl w:val="0"/>
        <w:rPr>
          <w:lang w:val="fr-CA"/>
        </w:rPr>
      </w:pPr>
    </w:p>
    <w:p w:rsidR="006F2579" w:rsidRPr="000A4FBE" w:rsidRDefault="00C007C3" w:rsidP="006F2579">
      <w:pPr>
        <w:widowControl w:val="0"/>
        <w:jc w:val="center"/>
        <w:rPr>
          <w:b/>
          <w:lang w:val="fr-CA"/>
        </w:rPr>
      </w:pPr>
      <w:r w:rsidRPr="000A4FBE">
        <w:fldChar w:fldCharType="begin"/>
      </w:r>
      <w:r w:rsidR="006F2579" w:rsidRPr="000A4FBE">
        <w:rPr>
          <w:lang w:val="fr-CA"/>
        </w:rPr>
        <w:instrText xml:space="preserve"> SEQ CHAPTER \h \r 1</w:instrText>
      </w:r>
      <w:r w:rsidRPr="000A4FBE">
        <w:fldChar w:fldCharType="end"/>
      </w:r>
      <w:r w:rsidR="002767DF" w:rsidRPr="000A4FBE">
        <w:rPr>
          <w:b/>
          <w:lang w:val="fr-CA"/>
        </w:rPr>
        <w:t xml:space="preserve">JUDGMENTS </w:t>
      </w:r>
      <w:r w:rsidR="004C4C26" w:rsidRPr="000A4FBE">
        <w:rPr>
          <w:b/>
          <w:lang w:val="fr-CA"/>
        </w:rPr>
        <w:t>IN LEAVE APPLICATION</w:t>
      </w:r>
      <w:r w:rsidR="002375D8" w:rsidRPr="000A4FBE">
        <w:rPr>
          <w:b/>
          <w:lang w:val="fr-CA"/>
        </w:rPr>
        <w:t>S</w:t>
      </w:r>
    </w:p>
    <w:p w:rsidR="006F2579" w:rsidRPr="000A4FBE" w:rsidRDefault="006F2579" w:rsidP="006F2579">
      <w:pPr>
        <w:widowControl w:val="0"/>
        <w:rPr>
          <w:b/>
          <w:lang w:val="fr-CA"/>
        </w:rPr>
      </w:pPr>
    </w:p>
    <w:p w:rsidR="006F2579" w:rsidRPr="000A4FBE" w:rsidRDefault="00C16206" w:rsidP="006F2579">
      <w:pPr>
        <w:widowControl w:val="0"/>
      </w:pPr>
      <w:r w:rsidRPr="000A4FBE">
        <w:rPr>
          <w:b/>
        </w:rPr>
        <w:t>May</w:t>
      </w:r>
      <w:r w:rsidR="00C9475D" w:rsidRPr="000A4FBE">
        <w:rPr>
          <w:b/>
        </w:rPr>
        <w:t xml:space="preserve"> </w:t>
      </w:r>
      <w:r w:rsidRPr="000A4FBE">
        <w:rPr>
          <w:b/>
        </w:rPr>
        <w:t>1</w:t>
      </w:r>
      <w:r w:rsidR="00E03F01" w:rsidRPr="000A4FBE">
        <w:rPr>
          <w:b/>
        </w:rPr>
        <w:t>9</w:t>
      </w:r>
      <w:r w:rsidR="00170148" w:rsidRPr="000A4FBE">
        <w:rPr>
          <w:b/>
        </w:rPr>
        <w:t>,</w:t>
      </w:r>
      <w:r w:rsidR="008825DB" w:rsidRPr="000A4FBE">
        <w:rPr>
          <w:b/>
        </w:rPr>
        <w:t xml:space="preserve"> </w:t>
      </w:r>
      <w:r w:rsidR="003C451D" w:rsidRPr="000A4FBE">
        <w:rPr>
          <w:b/>
        </w:rPr>
        <w:t>202</w:t>
      </w:r>
      <w:r w:rsidR="00540869" w:rsidRPr="000A4FBE">
        <w:rPr>
          <w:b/>
        </w:rPr>
        <w:t>2</w:t>
      </w:r>
    </w:p>
    <w:p w:rsidR="006F2579" w:rsidRPr="000A4FBE" w:rsidRDefault="006F2579" w:rsidP="006F2579">
      <w:pPr>
        <w:widowControl w:val="0"/>
        <w:rPr>
          <w:b/>
        </w:rPr>
      </w:pPr>
      <w:r w:rsidRPr="000A4FBE">
        <w:rPr>
          <w:b/>
        </w:rPr>
        <w:t>For immediate release</w:t>
      </w:r>
    </w:p>
    <w:p w:rsidR="006F2579" w:rsidRPr="000A4FBE" w:rsidRDefault="006F2579" w:rsidP="006F2579">
      <w:pPr>
        <w:widowControl w:val="0"/>
      </w:pPr>
    </w:p>
    <w:p w:rsidR="002767DF" w:rsidRPr="000A4FBE" w:rsidRDefault="002767DF" w:rsidP="002767DF">
      <w:pPr>
        <w:widowControl w:val="0"/>
      </w:pPr>
      <w:r w:rsidRPr="000A4FBE">
        <w:rPr>
          <w:b/>
        </w:rPr>
        <w:t>OTTAWA</w:t>
      </w:r>
      <w:r w:rsidRPr="000A4FBE">
        <w:t xml:space="preserve"> – The Suprem</w:t>
      </w:r>
      <w:r w:rsidR="00580213" w:rsidRPr="000A4FBE">
        <w:t>e</w:t>
      </w:r>
      <w:r w:rsidRPr="000A4FBE">
        <w:t xml:space="preserve"> Court of Canada has today deposited with the Registrar judgment</w:t>
      </w:r>
      <w:r w:rsidR="004D3B41" w:rsidRPr="000A4FBE">
        <w:t>s</w:t>
      </w:r>
      <w:r w:rsidRPr="000A4FBE">
        <w:t xml:space="preserve"> in the following </w:t>
      </w:r>
      <w:r w:rsidR="00063949" w:rsidRPr="000A4FBE">
        <w:t xml:space="preserve">leave </w:t>
      </w:r>
      <w:r w:rsidRPr="000A4FBE">
        <w:t>application</w:t>
      </w:r>
      <w:r w:rsidR="00CC044F" w:rsidRPr="000A4FBE">
        <w:t>s</w:t>
      </w:r>
      <w:r w:rsidRPr="000A4FBE">
        <w:t>.</w:t>
      </w:r>
    </w:p>
    <w:p w:rsidR="006F2579" w:rsidRPr="000A4FBE" w:rsidRDefault="006F2579" w:rsidP="006F2579">
      <w:pPr>
        <w:widowControl w:val="0"/>
      </w:pPr>
    </w:p>
    <w:p w:rsidR="006F2579" w:rsidRPr="000A4FBE" w:rsidRDefault="006F2579" w:rsidP="006F2579">
      <w:pPr>
        <w:widowControl w:val="0"/>
      </w:pPr>
    </w:p>
    <w:p w:rsidR="002767DF" w:rsidRPr="000A4FBE" w:rsidRDefault="002767DF" w:rsidP="002767DF">
      <w:pPr>
        <w:widowControl w:val="0"/>
        <w:jc w:val="center"/>
        <w:rPr>
          <w:lang w:val="fr-CA"/>
        </w:rPr>
      </w:pPr>
      <w:r w:rsidRPr="000A4FBE">
        <w:rPr>
          <w:b/>
          <w:lang w:val="fr-CA"/>
        </w:rPr>
        <w:t>JUGEMENT</w:t>
      </w:r>
      <w:r w:rsidR="004C4C26" w:rsidRPr="000A4FBE">
        <w:rPr>
          <w:b/>
          <w:lang w:val="fr-CA"/>
        </w:rPr>
        <w:t>S SUR DEMANDE</w:t>
      </w:r>
      <w:r w:rsidR="00CC044F" w:rsidRPr="000A4FBE">
        <w:rPr>
          <w:b/>
          <w:lang w:val="fr-CA"/>
        </w:rPr>
        <w:t>S</w:t>
      </w:r>
      <w:r w:rsidRPr="000A4FBE">
        <w:rPr>
          <w:b/>
          <w:lang w:val="fr-CA"/>
        </w:rPr>
        <w:t xml:space="preserve"> D’AUTORISATION</w:t>
      </w:r>
    </w:p>
    <w:p w:rsidR="006F2579" w:rsidRPr="000A4FBE" w:rsidRDefault="006F2579" w:rsidP="006F2579">
      <w:pPr>
        <w:widowControl w:val="0"/>
        <w:rPr>
          <w:lang w:val="fr-CA"/>
        </w:rPr>
      </w:pPr>
    </w:p>
    <w:p w:rsidR="006F2579" w:rsidRPr="000A4FBE" w:rsidRDefault="006F2579" w:rsidP="006F2579">
      <w:pPr>
        <w:widowControl w:val="0"/>
        <w:rPr>
          <w:lang w:val="fr-CA"/>
        </w:rPr>
      </w:pPr>
      <w:r w:rsidRPr="000A4FBE">
        <w:rPr>
          <w:b/>
          <w:lang w:val="fr-CA"/>
        </w:rPr>
        <w:t>Le</w:t>
      </w:r>
      <w:r w:rsidR="008825DB" w:rsidRPr="000A4FBE">
        <w:rPr>
          <w:b/>
          <w:lang w:val="fr-CA"/>
        </w:rPr>
        <w:t xml:space="preserve"> </w:t>
      </w:r>
      <w:r w:rsidR="00C16206" w:rsidRPr="000A4FBE">
        <w:rPr>
          <w:b/>
          <w:lang w:val="fr-CA"/>
        </w:rPr>
        <w:t>1</w:t>
      </w:r>
      <w:r w:rsidR="00E03F01" w:rsidRPr="000A4FBE">
        <w:rPr>
          <w:b/>
          <w:lang w:val="fr-CA"/>
        </w:rPr>
        <w:t>9</w:t>
      </w:r>
      <w:r w:rsidR="00C9475D" w:rsidRPr="000A4FBE">
        <w:rPr>
          <w:b/>
          <w:lang w:val="fr-CA"/>
        </w:rPr>
        <w:t xml:space="preserve"> </w:t>
      </w:r>
      <w:r w:rsidR="00C16206" w:rsidRPr="000A4FBE">
        <w:rPr>
          <w:b/>
          <w:lang w:val="fr-CA"/>
        </w:rPr>
        <w:t xml:space="preserve">mai </w:t>
      </w:r>
      <w:r w:rsidR="008825DB" w:rsidRPr="000A4FBE">
        <w:rPr>
          <w:b/>
          <w:lang w:val="fr-CA"/>
        </w:rPr>
        <w:t>20</w:t>
      </w:r>
      <w:r w:rsidR="00B44DF4" w:rsidRPr="000A4FBE">
        <w:rPr>
          <w:b/>
          <w:lang w:val="fr-CA"/>
        </w:rPr>
        <w:t>2</w:t>
      </w:r>
      <w:r w:rsidR="00540869" w:rsidRPr="000A4FBE">
        <w:rPr>
          <w:b/>
          <w:lang w:val="fr-CA"/>
        </w:rPr>
        <w:t>2</w:t>
      </w:r>
    </w:p>
    <w:p w:rsidR="006F2579" w:rsidRPr="000A4FBE" w:rsidRDefault="006F2579" w:rsidP="006F2579">
      <w:pPr>
        <w:widowControl w:val="0"/>
        <w:rPr>
          <w:b/>
          <w:lang w:val="fr-CA"/>
        </w:rPr>
      </w:pPr>
      <w:r w:rsidRPr="000A4FBE">
        <w:rPr>
          <w:b/>
          <w:lang w:val="fr-CA"/>
        </w:rPr>
        <w:t>Pour diffusion immédiate</w:t>
      </w:r>
    </w:p>
    <w:p w:rsidR="006F2579" w:rsidRPr="000A4FBE" w:rsidRDefault="006F2579" w:rsidP="006F2579">
      <w:pPr>
        <w:widowControl w:val="0"/>
        <w:rPr>
          <w:b/>
          <w:lang w:val="fr-CA"/>
        </w:rPr>
      </w:pPr>
    </w:p>
    <w:p w:rsidR="002767DF" w:rsidRPr="000A4FBE" w:rsidRDefault="002767DF" w:rsidP="002767DF">
      <w:pPr>
        <w:widowControl w:val="0"/>
        <w:rPr>
          <w:lang w:val="fr-CA"/>
        </w:rPr>
      </w:pPr>
      <w:r w:rsidRPr="000A4FBE">
        <w:rPr>
          <w:b/>
          <w:lang w:val="fr-CA"/>
        </w:rPr>
        <w:t>OTTAWA</w:t>
      </w:r>
      <w:r w:rsidRPr="000A4FBE">
        <w:rPr>
          <w:lang w:val="fr-CA"/>
        </w:rPr>
        <w:t xml:space="preserve"> – La Cour suprême du Canada a déposé aujourd’hui auprès du registraire les jugements dans </w:t>
      </w:r>
      <w:r w:rsidR="00CC044F" w:rsidRPr="000A4FBE">
        <w:rPr>
          <w:lang w:val="fr-CA"/>
        </w:rPr>
        <w:t>les</w:t>
      </w:r>
      <w:r w:rsidR="008C7CD9" w:rsidRPr="000A4FBE">
        <w:rPr>
          <w:lang w:val="fr-CA"/>
        </w:rPr>
        <w:t xml:space="preserve"> </w:t>
      </w:r>
      <w:r w:rsidR="004C4C26" w:rsidRPr="000A4FBE">
        <w:rPr>
          <w:lang w:val="fr-CA"/>
        </w:rPr>
        <w:t>demande</w:t>
      </w:r>
      <w:r w:rsidR="0088435A" w:rsidRPr="000A4FBE">
        <w:rPr>
          <w:lang w:val="fr-CA"/>
        </w:rPr>
        <w:t>s</w:t>
      </w:r>
      <w:r w:rsidRPr="000A4FBE">
        <w:rPr>
          <w:lang w:val="fr-CA"/>
        </w:rPr>
        <w:t xml:space="preserve"> d’au</w:t>
      </w:r>
      <w:r w:rsidR="00F24EF2" w:rsidRPr="000A4FBE">
        <w:rPr>
          <w:lang w:val="fr-CA"/>
        </w:rPr>
        <w:t xml:space="preserve">torisation </w:t>
      </w:r>
      <w:r w:rsidR="007F2922" w:rsidRPr="000A4FBE">
        <w:rPr>
          <w:lang w:val="fr-CA"/>
        </w:rPr>
        <w:t>sui</w:t>
      </w:r>
      <w:r w:rsidR="00F24EF2" w:rsidRPr="000A4FBE">
        <w:rPr>
          <w:lang w:val="fr-CA"/>
        </w:rPr>
        <w:t>v</w:t>
      </w:r>
      <w:r w:rsidR="007F2922" w:rsidRPr="000A4FBE">
        <w:rPr>
          <w:lang w:val="fr-CA"/>
        </w:rPr>
        <w:t>a</w:t>
      </w:r>
      <w:r w:rsidR="00F24EF2" w:rsidRPr="000A4FBE">
        <w:rPr>
          <w:lang w:val="fr-CA"/>
        </w:rPr>
        <w:t>nt</w:t>
      </w:r>
      <w:r w:rsidR="00007B5E" w:rsidRPr="000A4FBE">
        <w:rPr>
          <w:lang w:val="fr-CA"/>
        </w:rPr>
        <w:t>e</w:t>
      </w:r>
      <w:r w:rsidR="00C56657" w:rsidRPr="000A4FBE">
        <w:rPr>
          <w:lang w:val="fr-CA"/>
        </w:rPr>
        <w:t>s</w:t>
      </w:r>
      <w:r w:rsidR="00F24EF2" w:rsidRPr="000A4FBE">
        <w:rPr>
          <w:lang w:val="fr-CA"/>
        </w:rPr>
        <w:t>.</w:t>
      </w:r>
    </w:p>
    <w:p w:rsidR="00694BDA" w:rsidRPr="000A4FBE" w:rsidRDefault="00694BDA" w:rsidP="000B5274">
      <w:pPr>
        <w:jc w:val="both"/>
        <w:rPr>
          <w:sz w:val="20"/>
          <w:lang w:val="fr-CA"/>
        </w:rPr>
      </w:pPr>
    </w:p>
    <w:p w:rsidR="00DA0759" w:rsidRPr="000A4FBE" w:rsidRDefault="00BF669B" w:rsidP="000B5274">
      <w:pPr>
        <w:jc w:val="both"/>
        <w:rPr>
          <w:sz w:val="20"/>
          <w:lang w:val="fr-CA"/>
        </w:rPr>
      </w:pPr>
      <w:r>
        <w:rPr>
          <w:sz w:val="20"/>
        </w:rPr>
        <w:pict>
          <v:rect id="_x0000_i1025" style="width:2in;height:1pt" o:hrpct="0" o:hralign="center" o:hrstd="t" o:hrnoshade="t" o:hr="t" fillcolor="black [3213]" stroked="f"/>
        </w:pict>
      </w:r>
    </w:p>
    <w:p w:rsidR="003F4A5D" w:rsidRPr="000A4FBE" w:rsidRDefault="003F4A5D" w:rsidP="00431DE2">
      <w:pPr>
        <w:jc w:val="both"/>
        <w:rPr>
          <w:sz w:val="22"/>
          <w:szCs w:val="22"/>
        </w:rPr>
      </w:pPr>
    </w:p>
    <w:p w:rsidR="00413447" w:rsidRPr="000A4FBE" w:rsidRDefault="00413447" w:rsidP="00413447">
      <w:pPr>
        <w:jc w:val="both"/>
        <w:rPr>
          <w:b/>
          <w:sz w:val="22"/>
          <w:szCs w:val="22"/>
        </w:rPr>
      </w:pPr>
      <w:r w:rsidRPr="000A4FBE">
        <w:rPr>
          <w:b/>
          <w:sz w:val="22"/>
          <w:szCs w:val="22"/>
        </w:rPr>
        <w:t>GRANTED / ACCORDÉE</w:t>
      </w:r>
    </w:p>
    <w:p w:rsidR="009820B2" w:rsidRPr="000A4FBE" w:rsidRDefault="009820B2" w:rsidP="009820B2">
      <w:pPr>
        <w:jc w:val="both"/>
        <w:rPr>
          <w:sz w:val="20"/>
        </w:rPr>
      </w:pPr>
    </w:p>
    <w:p w:rsidR="000A4FBE" w:rsidRPr="000A4FBE" w:rsidRDefault="000A4FBE" w:rsidP="000A4FBE">
      <w:pPr>
        <w:rPr>
          <w:sz w:val="22"/>
          <w:szCs w:val="22"/>
        </w:rPr>
      </w:pPr>
      <w:r w:rsidRPr="000A4FBE">
        <w:rPr>
          <w:i/>
          <w:sz w:val="22"/>
          <w:szCs w:val="22"/>
        </w:rPr>
        <w:t>Attorney General for Ontario v. Information and Privacy Commissioner of Ontario and Canadian Broadcasting Corporation</w:t>
      </w:r>
      <w:r w:rsidRPr="000A4FBE">
        <w:rPr>
          <w:sz w:val="22"/>
          <w:szCs w:val="22"/>
        </w:rPr>
        <w:t xml:space="preserve"> (Ont.) (Civil) (By Leave) (</w:t>
      </w:r>
      <w:hyperlink r:id="rId8" w:history="1">
        <w:r w:rsidRPr="000A4FBE">
          <w:rPr>
            <w:rStyle w:val="Hyperlink"/>
            <w:sz w:val="22"/>
            <w:szCs w:val="22"/>
          </w:rPr>
          <w:t>40078</w:t>
        </w:r>
      </w:hyperlink>
      <w:r w:rsidRPr="000A4FBE">
        <w:rPr>
          <w:sz w:val="22"/>
          <w:szCs w:val="22"/>
        </w:rPr>
        <w:t>)</w:t>
      </w:r>
    </w:p>
    <w:p w:rsidR="00E03F01" w:rsidRPr="000A4FBE" w:rsidRDefault="00E03F01" w:rsidP="009820B2">
      <w:pPr>
        <w:jc w:val="both"/>
        <w:rPr>
          <w:sz w:val="20"/>
        </w:rPr>
      </w:pPr>
    </w:p>
    <w:p w:rsidR="000A4FBE" w:rsidRPr="000A4FBE" w:rsidRDefault="000A4FBE" w:rsidP="000A4FBE">
      <w:pPr>
        <w:jc w:val="both"/>
        <w:rPr>
          <w:sz w:val="20"/>
        </w:rPr>
      </w:pPr>
      <w:r w:rsidRPr="000A4FBE">
        <w:rPr>
          <w:sz w:val="20"/>
        </w:rPr>
        <w:t>The motion to expedite the application for leave to appeal is granted. The application for leave to appeal from the judgment of the Court of Appeal for Ontario, Number C69150, 2022 ONCA 74, dated January 26, 2022, is granted with costs in the cause.</w:t>
      </w:r>
    </w:p>
    <w:p w:rsidR="00E03F01" w:rsidRPr="000A4FBE" w:rsidRDefault="00E03F01" w:rsidP="009820B2">
      <w:pPr>
        <w:jc w:val="both"/>
        <w:rPr>
          <w:sz w:val="20"/>
        </w:rPr>
      </w:pPr>
    </w:p>
    <w:p w:rsidR="00E03F01" w:rsidRPr="000A4FBE" w:rsidRDefault="000A4FBE" w:rsidP="009820B2">
      <w:pPr>
        <w:jc w:val="both"/>
        <w:rPr>
          <w:sz w:val="20"/>
          <w:lang w:val="fr-CA"/>
        </w:rPr>
      </w:pPr>
      <w:r w:rsidRPr="000A4FBE">
        <w:rPr>
          <w:color w:val="000000"/>
          <w:sz w:val="20"/>
          <w:lang w:val="fr-CA"/>
        </w:rPr>
        <w:t xml:space="preserve">La requête visant à accélérer la procédure de la demande d’autorisation d’appel est accueillie. </w:t>
      </w:r>
      <w:r w:rsidRPr="000A4FBE">
        <w:rPr>
          <w:sz w:val="20"/>
          <w:lang w:val="fr-CA"/>
        </w:rPr>
        <w:t>La demande d’autorisation d’appel de l’arrêt de la Cour d’appel de l’Ontario, numéro C69150, 2022 ONCA 74, daté du 26 janvier 2022, est accueillie avec dépens suivant l’issue de la cause.</w:t>
      </w:r>
    </w:p>
    <w:p w:rsidR="009820B2" w:rsidRPr="000A4FBE" w:rsidRDefault="009820B2" w:rsidP="009820B2">
      <w:pPr>
        <w:jc w:val="both"/>
        <w:rPr>
          <w:sz w:val="20"/>
          <w:lang w:val="fr-CA"/>
        </w:rPr>
      </w:pPr>
    </w:p>
    <w:p w:rsidR="00413447" w:rsidRPr="000A4FBE" w:rsidRDefault="00BF669B" w:rsidP="009820B2">
      <w:pPr>
        <w:jc w:val="both"/>
        <w:rPr>
          <w:sz w:val="22"/>
          <w:szCs w:val="22"/>
        </w:rPr>
      </w:pPr>
      <w:r>
        <w:rPr>
          <w:sz w:val="20"/>
        </w:rPr>
        <w:pict>
          <v:rect id="_x0000_i1026" style="width:2in;height:1pt" o:hrpct="0" o:hralign="center" o:hrstd="t" o:hrnoshade="t" o:hr="t" fillcolor="black [3213]" stroked="f"/>
        </w:pict>
      </w:r>
    </w:p>
    <w:p w:rsidR="00BA0622" w:rsidRPr="000A4FBE" w:rsidRDefault="00BA0622" w:rsidP="00BA0622">
      <w:pPr>
        <w:jc w:val="both"/>
        <w:rPr>
          <w:sz w:val="22"/>
          <w:szCs w:val="22"/>
        </w:rPr>
      </w:pPr>
    </w:p>
    <w:p w:rsidR="00431DE2" w:rsidRPr="000A4FBE" w:rsidRDefault="00431DE2" w:rsidP="00431DE2">
      <w:pPr>
        <w:jc w:val="both"/>
        <w:rPr>
          <w:b/>
          <w:sz w:val="22"/>
          <w:szCs w:val="22"/>
        </w:rPr>
      </w:pPr>
      <w:r w:rsidRPr="000A4FBE">
        <w:rPr>
          <w:b/>
          <w:sz w:val="22"/>
          <w:szCs w:val="22"/>
        </w:rPr>
        <w:t>DISMISSED / REJETÉE</w:t>
      </w:r>
      <w:r w:rsidR="001B1618" w:rsidRPr="000A4FBE">
        <w:rPr>
          <w:b/>
          <w:sz w:val="22"/>
          <w:szCs w:val="22"/>
        </w:rPr>
        <w:t>S</w:t>
      </w:r>
    </w:p>
    <w:p w:rsidR="00431DE2" w:rsidRPr="000A4FBE" w:rsidRDefault="00431DE2" w:rsidP="000B5274">
      <w:pPr>
        <w:jc w:val="both"/>
        <w:rPr>
          <w:sz w:val="20"/>
        </w:rPr>
      </w:pPr>
    </w:p>
    <w:p w:rsidR="000A4FBE" w:rsidRPr="000A4FBE" w:rsidRDefault="000A4FBE" w:rsidP="000A4FBE">
      <w:pPr>
        <w:rPr>
          <w:sz w:val="22"/>
          <w:szCs w:val="22"/>
        </w:rPr>
      </w:pPr>
      <w:r w:rsidRPr="000A4FBE">
        <w:rPr>
          <w:i/>
          <w:sz w:val="22"/>
          <w:szCs w:val="22"/>
        </w:rPr>
        <w:t>Elizabeth Bernard v. Professional Institute of the Public Service of Canada</w:t>
      </w:r>
      <w:r w:rsidRPr="000A4FBE">
        <w:rPr>
          <w:sz w:val="22"/>
          <w:szCs w:val="22"/>
        </w:rPr>
        <w:t xml:space="preserve"> (F.C.) (Civil) (By Leave) (</w:t>
      </w:r>
      <w:hyperlink r:id="rId9" w:history="1">
        <w:r w:rsidRPr="000A4FBE">
          <w:rPr>
            <w:rStyle w:val="Hyperlink"/>
            <w:sz w:val="22"/>
            <w:szCs w:val="22"/>
          </w:rPr>
          <w:t>39792</w:t>
        </w:r>
      </w:hyperlink>
      <w:r w:rsidRPr="000A4FBE">
        <w:rPr>
          <w:sz w:val="22"/>
          <w:szCs w:val="22"/>
        </w:rPr>
        <w:t>)</w:t>
      </w:r>
    </w:p>
    <w:p w:rsidR="00A30607" w:rsidRPr="000A4FBE" w:rsidRDefault="00A30607" w:rsidP="0035080B">
      <w:pPr>
        <w:widowControl w:val="0"/>
        <w:jc w:val="both"/>
        <w:rPr>
          <w:sz w:val="20"/>
        </w:rPr>
      </w:pPr>
    </w:p>
    <w:p w:rsidR="000A4FBE" w:rsidRPr="000A4FBE" w:rsidRDefault="000A4FBE" w:rsidP="000A4FBE">
      <w:pPr>
        <w:jc w:val="both"/>
        <w:rPr>
          <w:sz w:val="20"/>
        </w:rPr>
      </w:pPr>
      <w:r w:rsidRPr="000A4FBE">
        <w:rPr>
          <w:color w:val="000000"/>
          <w:sz w:val="20"/>
        </w:rPr>
        <w:t xml:space="preserve">The </w:t>
      </w:r>
      <w:r w:rsidRPr="000A4FBE">
        <w:rPr>
          <w:rStyle w:val="solexhl"/>
          <w:color w:val="000000"/>
          <w:sz w:val="20"/>
        </w:rPr>
        <w:t>motion</w:t>
      </w:r>
      <w:r w:rsidRPr="000A4FBE">
        <w:rPr>
          <w:sz w:val="20"/>
        </w:rPr>
        <w:t xml:space="preserve"> </w:t>
      </w:r>
      <w:r w:rsidRPr="000A4FBE">
        <w:rPr>
          <w:color w:val="000000"/>
          <w:sz w:val="20"/>
        </w:rPr>
        <w:t xml:space="preserve">for an </w:t>
      </w:r>
      <w:r w:rsidRPr="000A4FBE">
        <w:rPr>
          <w:rStyle w:val="solexhl"/>
          <w:color w:val="000000"/>
          <w:sz w:val="20"/>
        </w:rPr>
        <w:t>extension</w:t>
      </w:r>
      <w:r w:rsidRPr="000A4FBE">
        <w:rPr>
          <w:sz w:val="20"/>
        </w:rPr>
        <w:t xml:space="preserve"> </w:t>
      </w:r>
      <w:r w:rsidRPr="000A4FBE">
        <w:rPr>
          <w:color w:val="000000"/>
          <w:sz w:val="20"/>
        </w:rPr>
        <w:t xml:space="preserve">of time to serve and file the application for leave to appeal is </w:t>
      </w:r>
      <w:r w:rsidRPr="000A4FBE">
        <w:rPr>
          <w:rStyle w:val="solexhl"/>
          <w:color w:val="000000"/>
          <w:sz w:val="20"/>
        </w:rPr>
        <w:t>dismissed</w:t>
      </w:r>
      <w:r w:rsidRPr="000A4FBE">
        <w:rPr>
          <w:color w:val="000000"/>
          <w:sz w:val="20"/>
        </w:rPr>
        <w:t>.</w:t>
      </w:r>
      <w:r w:rsidRPr="000A4FBE">
        <w:rPr>
          <w:sz w:val="20"/>
        </w:rPr>
        <w:t xml:space="preserve"> In any event, had the motion for an extension of time been granted, the application for leave to appeal from the judgment of the</w:t>
      </w:r>
      <w:bookmarkStart w:id="0" w:name="BM_1_"/>
      <w:bookmarkEnd w:id="0"/>
      <w:r w:rsidRPr="000A4FBE">
        <w:rPr>
          <w:sz w:val="20"/>
        </w:rPr>
        <w:t xml:space="preserve"> Federal Court of Appeal, Number 20-A-12, 2020 FCA 211, dated December 9, 2020, would have been dismissed.</w:t>
      </w:r>
    </w:p>
    <w:p w:rsidR="0035080B" w:rsidRPr="000A4FBE" w:rsidRDefault="0035080B" w:rsidP="00872CB5">
      <w:pPr>
        <w:jc w:val="both"/>
        <w:rPr>
          <w:sz w:val="20"/>
        </w:rPr>
      </w:pPr>
    </w:p>
    <w:p w:rsidR="00E67656" w:rsidRPr="000A4FBE" w:rsidRDefault="000A4FBE" w:rsidP="00872CB5">
      <w:pPr>
        <w:widowControl w:val="0"/>
        <w:jc w:val="both"/>
        <w:rPr>
          <w:sz w:val="20"/>
          <w:lang w:val="fr-CA"/>
        </w:rPr>
      </w:pPr>
      <w:r w:rsidRPr="000A4FBE">
        <w:rPr>
          <w:color w:val="000000"/>
          <w:sz w:val="20"/>
          <w:lang w:val="fr-CA"/>
        </w:rPr>
        <w:t>La requête en prorogation du délai de signification et de dépôt de la demande d’autorisation d’appel est rejetée. Quoi qu’il en soit, même si la requête en prorogation du délai avait été accueillie,</w:t>
      </w:r>
      <w:r w:rsidRPr="000A4FBE">
        <w:rPr>
          <w:sz w:val="20"/>
          <w:lang w:val="fr-CA"/>
        </w:rPr>
        <w:t xml:space="preserve"> la demande d’autorisation d’appel de l’arrêt de la Cour d’appel fédérale, numéro 20-A-12, 2020 CAF 211, daté du 9 décembre 2020, aurait été rejetée.</w:t>
      </w:r>
    </w:p>
    <w:p w:rsidR="00872CB5" w:rsidRPr="000A4FBE" w:rsidRDefault="00872CB5" w:rsidP="00872CB5">
      <w:pPr>
        <w:widowControl w:val="0"/>
        <w:rPr>
          <w:sz w:val="20"/>
          <w:lang w:val="fr-CA"/>
        </w:rPr>
      </w:pPr>
    </w:p>
    <w:p w:rsidR="00BF66C0" w:rsidRPr="000A4FBE" w:rsidRDefault="00BF669B" w:rsidP="00A30607">
      <w:pPr>
        <w:widowControl w:val="0"/>
        <w:rPr>
          <w:sz w:val="20"/>
          <w:lang w:val="fr-CA"/>
        </w:rPr>
      </w:pPr>
      <w:r>
        <w:rPr>
          <w:sz w:val="20"/>
        </w:rPr>
        <w:pict>
          <v:rect id="_x0000_i1027" style="width:2in;height:1pt" o:hrpct="0" o:hralign="center" o:hrstd="t" o:hrnoshade="t" o:hr="t" fillcolor="black [3213]" stroked="f"/>
        </w:pict>
      </w:r>
    </w:p>
    <w:p w:rsidR="00367FD9" w:rsidRPr="000A4FBE" w:rsidRDefault="00367FD9" w:rsidP="0035080B">
      <w:pPr>
        <w:widowControl w:val="0"/>
        <w:rPr>
          <w:sz w:val="20"/>
          <w:lang w:val="fr-CA"/>
        </w:rPr>
      </w:pPr>
    </w:p>
    <w:p w:rsidR="000A4FBE" w:rsidRPr="000A4FBE" w:rsidRDefault="00BF669B" w:rsidP="000A4FBE">
      <w:pPr>
        <w:rPr>
          <w:sz w:val="22"/>
          <w:szCs w:val="22"/>
        </w:rPr>
      </w:pPr>
      <w:r>
        <w:rPr>
          <w:i/>
          <w:sz w:val="22"/>
          <w:szCs w:val="22"/>
        </w:rPr>
        <w:lastRenderedPageBreak/>
        <w:t>B</w:t>
      </w:r>
      <w:bookmarkStart w:id="1" w:name="_GoBack"/>
      <w:bookmarkEnd w:id="1"/>
      <w:r w:rsidR="000A4FBE" w:rsidRPr="000A4FBE">
        <w:rPr>
          <w:i/>
          <w:sz w:val="22"/>
          <w:szCs w:val="22"/>
        </w:rPr>
        <w:t>.W. (Brad) Blair v. Premier Doug Ford</w:t>
      </w:r>
      <w:r w:rsidR="000A4FBE" w:rsidRPr="000A4FBE">
        <w:rPr>
          <w:sz w:val="22"/>
          <w:szCs w:val="22"/>
        </w:rPr>
        <w:t xml:space="preserve"> (Ont.) (Civil) (By Leave) (</w:t>
      </w:r>
      <w:hyperlink r:id="rId10" w:history="1">
        <w:r w:rsidR="000A4FBE" w:rsidRPr="000A4FBE">
          <w:rPr>
            <w:rStyle w:val="Hyperlink"/>
            <w:sz w:val="22"/>
            <w:szCs w:val="22"/>
          </w:rPr>
          <w:t>40034</w:t>
        </w:r>
      </w:hyperlink>
      <w:r w:rsidR="000A4FBE" w:rsidRPr="000A4FBE">
        <w:rPr>
          <w:sz w:val="22"/>
          <w:szCs w:val="22"/>
        </w:rPr>
        <w:t>)</w:t>
      </w:r>
    </w:p>
    <w:p w:rsidR="009820B2" w:rsidRPr="000A4FBE" w:rsidRDefault="009820B2" w:rsidP="009820B2">
      <w:pPr>
        <w:widowControl w:val="0"/>
        <w:rPr>
          <w:sz w:val="20"/>
        </w:rPr>
      </w:pPr>
    </w:p>
    <w:p w:rsidR="000A4FBE" w:rsidRPr="000A4FBE" w:rsidRDefault="000A4FBE" w:rsidP="000A4FBE">
      <w:pPr>
        <w:jc w:val="both"/>
        <w:rPr>
          <w:sz w:val="20"/>
        </w:rPr>
      </w:pPr>
      <w:r w:rsidRPr="000A4FBE">
        <w:rPr>
          <w:sz w:val="20"/>
        </w:rPr>
        <w:t>The application for leave to appeal from the judgment of the Court of Appeal for Ontario, Number C68965, 2021 ONCA 841, dated November 25, 2021, is dismissed with costs.</w:t>
      </w:r>
    </w:p>
    <w:p w:rsidR="00E03F01" w:rsidRPr="000A4FBE" w:rsidRDefault="00E03F01" w:rsidP="000A4FBE">
      <w:pPr>
        <w:widowControl w:val="0"/>
        <w:jc w:val="both"/>
        <w:rPr>
          <w:sz w:val="20"/>
        </w:rPr>
      </w:pPr>
    </w:p>
    <w:p w:rsidR="00E03F01" w:rsidRPr="000A4FBE" w:rsidRDefault="000A4FBE" w:rsidP="000A4FBE">
      <w:pPr>
        <w:widowControl w:val="0"/>
        <w:jc w:val="both"/>
        <w:rPr>
          <w:sz w:val="20"/>
          <w:lang w:val="fr-CA"/>
        </w:rPr>
      </w:pPr>
      <w:r w:rsidRPr="000A4FBE">
        <w:rPr>
          <w:sz w:val="20"/>
          <w:lang w:val="fr-CA"/>
        </w:rPr>
        <w:t>La demande d’autorisation d’appel de l’arrêt de la Cour d’appel de l’Ontario, numéro C68965, 2021 ONCA 841, daté du 25 novembre 2021, est rejetée avec dépens.</w:t>
      </w:r>
    </w:p>
    <w:p w:rsidR="00E03F01" w:rsidRPr="000A4FBE" w:rsidRDefault="00E03F01" w:rsidP="009820B2">
      <w:pPr>
        <w:widowControl w:val="0"/>
        <w:rPr>
          <w:sz w:val="20"/>
          <w:lang w:val="fr-CA"/>
        </w:rPr>
      </w:pPr>
    </w:p>
    <w:p w:rsidR="009820B2" w:rsidRPr="000A4FBE" w:rsidRDefault="00BF669B" w:rsidP="009820B2">
      <w:pPr>
        <w:widowControl w:val="0"/>
        <w:rPr>
          <w:sz w:val="20"/>
          <w:lang w:val="fr-CA"/>
        </w:rPr>
      </w:pPr>
      <w:r>
        <w:rPr>
          <w:sz w:val="20"/>
        </w:rPr>
        <w:pict>
          <v:rect id="_x0000_i1028" style="width:2in;height:1pt" o:hrpct="0" o:hralign="center" o:hrstd="t" o:hrnoshade="t" o:hr="t" fillcolor="black [3213]" stroked="f"/>
        </w:pict>
      </w:r>
    </w:p>
    <w:p w:rsidR="00E03F01" w:rsidRPr="000A4FBE" w:rsidRDefault="00E03F01" w:rsidP="00B708E5">
      <w:pPr>
        <w:widowControl w:val="0"/>
        <w:rPr>
          <w:sz w:val="20"/>
        </w:rPr>
      </w:pPr>
    </w:p>
    <w:p w:rsidR="00E03F01" w:rsidRPr="000A4FBE" w:rsidRDefault="00E03F01" w:rsidP="00B708E5">
      <w:pPr>
        <w:widowControl w:val="0"/>
        <w:rPr>
          <w:sz w:val="20"/>
        </w:rPr>
      </w:pPr>
    </w:p>
    <w:p w:rsidR="00A30607" w:rsidRPr="000A4FBE" w:rsidRDefault="00A30607" w:rsidP="00D3228D">
      <w:pPr>
        <w:ind w:left="357" w:hanging="357"/>
        <w:jc w:val="both"/>
        <w:rPr>
          <w:sz w:val="20"/>
        </w:rPr>
      </w:pPr>
    </w:p>
    <w:p w:rsidR="00D3344A" w:rsidRPr="000A4FBE" w:rsidRDefault="00D3344A" w:rsidP="00D3344A">
      <w:pPr>
        <w:widowControl w:val="0"/>
        <w:outlineLvl w:val="0"/>
      </w:pPr>
      <w:r w:rsidRPr="000A4FBE">
        <w:t xml:space="preserve">Supreme Court of Canada / Cour suprême du </w:t>
      </w:r>
      <w:proofErr w:type="gramStart"/>
      <w:r w:rsidRPr="000A4FBE">
        <w:t>Canada :</w:t>
      </w:r>
      <w:proofErr w:type="gramEnd"/>
      <w:r w:rsidRPr="000A4FBE">
        <w:t xml:space="preserve"> </w:t>
      </w:r>
    </w:p>
    <w:p w:rsidR="00D3344A" w:rsidRPr="000A4FBE" w:rsidRDefault="00BF669B" w:rsidP="00D3344A">
      <w:pPr>
        <w:widowControl w:val="0"/>
        <w:outlineLvl w:val="0"/>
        <w:rPr>
          <w:color w:val="0000FF"/>
          <w:u w:val="single"/>
        </w:rPr>
      </w:pPr>
      <w:hyperlink r:id="rId11" w:history="1">
        <w:r w:rsidR="00D3344A" w:rsidRPr="000A4FBE">
          <w:rPr>
            <w:rStyle w:val="Hyperlink"/>
          </w:rPr>
          <w:t>comments-commentaires@scc-csc.ca</w:t>
        </w:r>
      </w:hyperlink>
    </w:p>
    <w:p w:rsidR="00D3344A" w:rsidRPr="000A4FBE" w:rsidRDefault="00D3344A" w:rsidP="00D3344A">
      <w:pPr>
        <w:widowControl w:val="0"/>
        <w:outlineLvl w:val="0"/>
      </w:pPr>
      <w:r w:rsidRPr="000A4FBE">
        <w:t>(613) 995-4330</w:t>
      </w:r>
    </w:p>
    <w:p w:rsidR="00497B5E" w:rsidRPr="000A4FBE" w:rsidRDefault="00497B5E" w:rsidP="00497B5E">
      <w:pPr>
        <w:widowControl w:val="0"/>
        <w:rPr>
          <w:sz w:val="20"/>
        </w:rPr>
      </w:pPr>
    </w:p>
    <w:p w:rsidR="003F43E6" w:rsidRPr="000A4FBE" w:rsidRDefault="003F43E6" w:rsidP="00497B5E">
      <w:pPr>
        <w:widowControl w:val="0"/>
        <w:rPr>
          <w:sz w:val="20"/>
        </w:rPr>
      </w:pPr>
    </w:p>
    <w:p w:rsidR="00224F26" w:rsidRPr="00910AEC" w:rsidRDefault="003F43E6" w:rsidP="00DE0F77">
      <w:pPr>
        <w:pStyle w:val="Footer"/>
        <w:jc w:val="center"/>
      </w:pPr>
      <w:r w:rsidRPr="000A4FBE">
        <w:t>- 30</w:t>
      </w:r>
      <w:r w:rsidR="00312438" w:rsidRPr="000A4FBE">
        <w:t xml:space="preserve"> -</w:t>
      </w:r>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159C1"/>
    <w:multiLevelType w:val="hybridMultilevel"/>
    <w:tmpl w:val="F49A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23"/>
  </w:num>
  <w:num w:numId="5">
    <w:abstractNumId w:val="18"/>
  </w:num>
  <w:num w:numId="6">
    <w:abstractNumId w:val="9"/>
  </w:num>
  <w:num w:numId="7">
    <w:abstractNumId w:val="16"/>
  </w:num>
  <w:num w:numId="8">
    <w:abstractNumId w:val="13"/>
  </w:num>
  <w:num w:numId="9">
    <w:abstractNumId w:val="1"/>
  </w:num>
  <w:num w:numId="10">
    <w:abstractNumId w:val="11"/>
  </w:num>
  <w:num w:numId="11">
    <w:abstractNumId w:val="22"/>
  </w:num>
  <w:num w:numId="12">
    <w:abstractNumId w:val="12"/>
  </w:num>
  <w:num w:numId="13">
    <w:abstractNumId w:val="8"/>
  </w:num>
  <w:num w:numId="14">
    <w:abstractNumId w:val="10"/>
  </w:num>
  <w:num w:numId="15">
    <w:abstractNumId w:val="7"/>
  </w:num>
  <w:num w:numId="16">
    <w:abstractNumId w:val="14"/>
  </w:num>
  <w:num w:numId="17">
    <w:abstractNumId w:val="19"/>
  </w:num>
  <w:num w:numId="18">
    <w:abstractNumId w:val="15"/>
  </w:num>
  <w:num w:numId="19">
    <w:abstractNumId w:val="24"/>
  </w:num>
  <w:num w:numId="20">
    <w:abstractNumId w:val="0"/>
  </w:num>
  <w:num w:numId="21">
    <w:abstractNumId w:val="4"/>
  </w:num>
  <w:num w:numId="22">
    <w:abstractNumId w:val="3"/>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4FBE"/>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1476"/>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9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7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400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79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ABB1-0BC7-4B94-A665-91B3115E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2022-05-17T11:41:00Z</dcterms:modified>
</cp:coreProperties>
</file>