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B78DC" w:rsidRDefault="000E391F" w:rsidP="000E391F">
      <w:pPr>
        <w:pStyle w:val="Header"/>
        <w:jc w:val="center"/>
        <w:rPr>
          <w:b/>
          <w:sz w:val="32"/>
          <w:szCs w:val="32"/>
        </w:rPr>
      </w:pPr>
      <w:r w:rsidRPr="00AB78DC">
        <w:rPr>
          <w:b/>
          <w:sz w:val="32"/>
          <w:szCs w:val="32"/>
        </w:rPr>
        <w:t>Supreme Court of Canada / Cour suprême du Canada</w:t>
      </w:r>
    </w:p>
    <w:p w:rsidR="000E391F" w:rsidRPr="00AB78DC" w:rsidRDefault="000E391F" w:rsidP="000E391F">
      <w:pPr>
        <w:widowControl w:val="0"/>
        <w:rPr>
          <w:sz w:val="20"/>
        </w:rPr>
      </w:pPr>
    </w:p>
    <w:p w:rsidR="000E391F" w:rsidRPr="00AB78DC" w:rsidRDefault="000E391F" w:rsidP="000E391F">
      <w:pPr>
        <w:widowControl w:val="0"/>
        <w:rPr>
          <w:i/>
          <w:sz w:val="20"/>
        </w:rPr>
      </w:pPr>
    </w:p>
    <w:p w:rsidR="006F2579" w:rsidRPr="00AB78DC" w:rsidRDefault="006F2579" w:rsidP="006F2579">
      <w:pPr>
        <w:widowControl w:val="0"/>
        <w:rPr>
          <w:i/>
          <w:sz w:val="20"/>
        </w:rPr>
      </w:pPr>
      <w:r w:rsidRPr="00AB78DC">
        <w:rPr>
          <w:i/>
          <w:sz w:val="20"/>
        </w:rPr>
        <w:t>(</w:t>
      </w:r>
      <w:r w:rsidR="003240B6" w:rsidRPr="00AB78DC">
        <w:rPr>
          <w:i/>
          <w:sz w:val="20"/>
        </w:rPr>
        <w:t>L</w:t>
      </w:r>
      <w:r w:rsidRPr="00AB78DC">
        <w:rPr>
          <w:i/>
          <w:sz w:val="20"/>
        </w:rPr>
        <w:t>e français suit)</w:t>
      </w:r>
    </w:p>
    <w:p w:rsidR="006F2579" w:rsidRPr="00AB78DC" w:rsidRDefault="006F2579" w:rsidP="006F2579">
      <w:pPr>
        <w:widowControl w:val="0"/>
        <w:rPr>
          <w:sz w:val="20"/>
        </w:rPr>
      </w:pPr>
    </w:p>
    <w:p w:rsidR="006F2579" w:rsidRPr="00AB78DC" w:rsidRDefault="00B07908" w:rsidP="006F2579">
      <w:pPr>
        <w:widowControl w:val="0"/>
        <w:jc w:val="center"/>
        <w:rPr>
          <w:b/>
          <w:szCs w:val="24"/>
        </w:rPr>
      </w:pPr>
      <w:r w:rsidRPr="00AB78DC">
        <w:rPr>
          <w:szCs w:val="24"/>
        </w:rPr>
        <w:fldChar w:fldCharType="begin"/>
      </w:r>
      <w:r w:rsidR="006F2579" w:rsidRPr="00AB78DC">
        <w:rPr>
          <w:szCs w:val="24"/>
        </w:rPr>
        <w:instrText xml:space="preserve"> SEQ CHAPTER \h \r 1</w:instrText>
      </w:r>
      <w:r w:rsidRPr="00AB78DC">
        <w:rPr>
          <w:szCs w:val="24"/>
        </w:rPr>
        <w:fldChar w:fldCharType="end"/>
      </w:r>
      <w:r w:rsidR="006F2579" w:rsidRPr="00AB78DC">
        <w:rPr>
          <w:b/>
          <w:szCs w:val="24"/>
        </w:rPr>
        <w:t>JUDGMENT</w:t>
      </w:r>
      <w:r w:rsidR="004F5491" w:rsidRPr="00AB78DC">
        <w:rPr>
          <w:b/>
          <w:szCs w:val="24"/>
        </w:rPr>
        <w:t>S</w:t>
      </w:r>
      <w:r w:rsidR="006F2579" w:rsidRPr="00AB78DC">
        <w:rPr>
          <w:b/>
          <w:szCs w:val="24"/>
        </w:rPr>
        <w:t xml:space="preserve"> TO B</w:t>
      </w:r>
      <w:r w:rsidR="00001846" w:rsidRPr="00AB78DC">
        <w:rPr>
          <w:b/>
          <w:szCs w:val="24"/>
        </w:rPr>
        <w:t>E RENDERED IN LE</w:t>
      </w:r>
      <w:r w:rsidR="00A0288A" w:rsidRPr="00AB78DC">
        <w:rPr>
          <w:b/>
          <w:szCs w:val="24"/>
        </w:rPr>
        <w:t>A</w:t>
      </w:r>
      <w:r w:rsidR="00001846" w:rsidRPr="00AB78DC">
        <w:rPr>
          <w:b/>
          <w:szCs w:val="24"/>
        </w:rPr>
        <w:t>VE APPLICATION</w:t>
      </w:r>
      <w:r w:rsidR="004F5491" w:rsidRPr="00AB78DC">
        <w:rPr>
          <w:b/>
          <w:szCs w:val="24"/>
        </w:rPr>
        <w:t>S</w:t>
      </w:r>
    </w:p>
    <w:p w:rsidR="006F2579" w:rsidRPr="00AB78DC" w:rsidRDefault="006F2579" w:rsidP="006F2579">
      <w:pPr>
        <w:widowControl w:val="0"/>
        <w:rPr>
          <w:szCs w:val="24"/>
        </w:rPr>
      </w:pPr>
    </w:p>
    <w:p w:rsidR="006F2579" w:rsidRPr="00AB78DC" w:rsidRDefault="00474965" w:rsidP="006F2579">
      <w:pPr>
        <w:widowControl w:val="0"/>
        <w:rPr>
          <w:szCs w:val="24"/>
        </w:rPr>
      </w:pPr>
      <w:r w:rsidRPr="00AB78DC">
        <w:rPr>
          <w:b/>
          <w:szCs w:val="24"/>
        </w:rPr>
        <w:t>June</w:t>
      </w:r>
      <w:r w:rsidR="00A15B66" w:rsidRPr="00AB78DC">
        <w:rPr>
          <w:b/>
          <w:szCs w:val="24"/>
        </w:rPr>
        <w:t xml:space="preserve"> </w:t>
      </w:r>
      <w:r w:rsidRPr="00AB78DC">
        <w:rPr>
          <w:b/>
          <w:szCs w:val="24"/>
        </w:rPr>
        <w:t>2</w:t>
      </w:r>
      <w:r w:rsidR="000A1CAC" w:rsidRPr="00AB78DC">
        <w:rPr>
          <w:b/>
          <w:szCs w:val="24"/>
        </w:rPr>
        <w:t>7</w:t>
      </w:r>
      <w:r w:rsidR="004441C7" w:rsidRPr="00AB78DC">
        <w:rPr>
          <w:b/>
          <w:szCs w:val="24"/>
        </w:rPr>
        <w:t>,</w:t>
      </w:r>
      <w:r w:rsidR="006F2579" w:rsidRPr="00AB78DC">
        <w:rPr>
          <w:b/>
          <w:szCs w:val="24"/>
        </w:rPr>
        <w:t xml:space="preserve"> </w:t>
      </w:r>
      <w:r w:rsidR="0054689F" w:rsidRPr="00AB78DC">
        <w:rPr>
          <w:b/>
          <w:szCs w:val="24"/>
        </w:rPr>
        <w:t>20</w:t>
      </w:r>
      <w:r w:rsidR="00526754" w:rsidRPr="00AB78DC">
        <w:rPr>
          <w:b/>
          <w:szCs w:val="24"/>
        </w:rPr>
        <w:t>2</w:t>
      </w:r>
      <w:r w:rsidR="00644008" w:rsidRPr="00AB78DC">
        <w:rPr>
          <w:b/>
          <w:szCs w:val="24"/>
        </w:rPr>
        <w:t>2</w:t>
      </w:r>
    </w:p>
    <w:p w:rsidR="006F2579" w:rsidRPr="00AB78DC" w:rsidRDefault="00674F39" w:rsidP="006F2579">
      <w:pPr>
        <w:widowControl w:val="0"/>
        <w:rPr>
          <w:b/>
          <w:szCs w:val="24"/>
        </w:rPr>
      </w:pPr>
      <w:r w:rsidRPr="00AB78DC">
        <w:rPr>
          <w:b/>
          <w:szCs w:val="24"/>
        </w:rPr>
        <w:t>For immediate release</w:t>
      </w:r>
    </w:p>
    <w:p w:rsidR="006F2579" w:rsidRPr="00AB78DC" w:rsidRDefault="006F2579" w:rsidP="006F2579">
      <w:pPr>
        <w:widowControl w:val="0"/>
        <w:rPr>
          <w:szCs w:val="24"/>
        </w:rPr>
      </w:pPr>
    </w:p>
    <w:p w:rsidR="006F2579" w:rsidRPr="00AB78DC" w:rsidRDefault="006F2579" w:rsidP="006F2579">
      <w:pPr>
        <w:widowControl w:val="0"/>
        <w:rPr>
          <w:szCs w:val="24"/>
          <w:lang w:val="fr-CA"/>
        </w:rPr>
      </w:pPr>
      <w:r w:rsidRPr="00AB78DC">
        <w:rPr>
          <w:b/>
          <w:szCs w:val="24"/>
        </w:rPr>
        <w:t>OTTAWA</w:t>
      </w:r>
      <w:r w:rsidRPr="00AB78DC">
        <w:rPr>
          <w:szCs w:val="24"/>
        </w:rPr>
        <w:t xml:space="preserve"> – The Supreme Court of Canad</w:t>
      </w:r>
      <w:r w:rsidR="006246E4" w:rsidRPr="00AB78DC">
        <w:rPr>
          <w:szCs w:val="24"/>
        </w:rPr>
        <w:t>a</w:t>
      </w:r>
      <w:r w:rsidRPr="00AB78DC">
        <w:rPr>
          <w:szCs w:val="24"/>
        </w:rPr>
        <w:t xml:space="preserve"> announced today that judgment in the following </w:t>
      </w:r>
      <w:r w:rsidR="00DB6199" w:rsidRPr="00AB78DC">
        <w:rPr>
          <w:szCs w:val="24"/>
        </w:rPr>
        <w:t>leave application</w:t>
      </w:r>
      <w:r w:rsidR="004F5491" w:rsidRPr="00AB78DC">
        <w:rPr>
          <w:szCs w:val="24"/>
        </w:rPr>
        <w:t>s</w:t>
      </w:r>
      <w:r w:rsidR="00DB6199" w:rsidRPr="00AB78DC">
        <w:rPr>
          <w:szCs w:val="24"/>
        </w:rPr>
        <w:t xml:space="preserve"> </w:t>
      </w:r>
      <w:r w:rsidRPr="00AB78DC">
        <w:rPr>
          <w:szCs w:val="24"/>
        </w:rPr>
        <w:t>will be delivere</w:t>
      </w:r>
      <w:r w:rsidR="00CE2C5F" w:rsidRPr="00AB78DC">
        <w:rPr>
          <w:szCs w:val="24"/>
        </w:rPr>
        <w:t>d</w:t>
      </w:r>
      <w:r w:rsidRPr="00AB78DC">
        <w:rPr>
          <w:szCs w:val="24"/>
        </w:rPr>
        <w:t xml:space="preserve"> at 9:45 a.m. </w:t>
      </w:r>
      <w:r w:rsidR="00E05816" w:rsidRPr="00AB78DC">
        <w:rPr>
          <w:szCs w:val="24"/>
        </w:rPr>
        <w:t>E</w:t>
      </w:r>
      <w:r w:rsidR="00882B6B" w:rsidRPr="00AB78DC">
        <w:rPr>
          <w:szCs w:val="24"/>
        </w:rPr>
        <w:t>D</w:t>
      </w:r>
      <w:r w:rsidR="00E05816" w:rsidRPr="00AB78DC">
        <w:rPr>
          <w:szCs w:val="24"/>
        </w:rPr>
        <w:t>T</w:t>
      </w:r>
      <w:r w:rsidRPr="00AB78DC">
        <w:rPr>
          <w:szCs w:val="24"/>
        </w:rPr>
        <w:t xml:space="preserve"> on </w:t>
      </w:r>
      <w:r w:rsidR="00322A9C" w:rsidRPr="00AB78DC">
        <w:rPr>
          <w:szCs w:val="24"/>
        </w:rPr>
        <w:t>Thurs</w:t>
      </w:r>
      <w:r w:rsidR="00680A85" w:rsidRPr="00AB78DC">
        <w:rPr>
          <w:szCs w:val="24"/>
        </w:rPr>
        <w:t>day</w:t>
      </w:r>
      <w:r w:rsidRPr="00AB78DC">
        <w:rPr>
          <w:szCs w:val="24"/>
        </w:rPr>
        <w:t xml:space="preserve">, </w:t>
      </w:r>
      <w:r w:rsidR="00092955" w:rsidRPr="00AB78DC">
        <w:rPr>
          <w:szCs w:val="24"/>
        </w:rPr>
        <w:t>June</w:t>
      </w:r>
      <w:r w:rsidR="00455912" w:rsidRPr="00AB78DC">
        <w:rPr>
          <w:szCs w:val="24"/>
        </w:rPr>
        <w:t xml:space="preserve"> </w:t>
      </w:r>
      <w:r w:rsidR="00474965" w:rsidRPr="00AB78DC">
        <w:rPr>
          <w:szCs w:val="24"/>
        </w:rPr>
        <w:t>3</w:t>
      </w:r>
      <w:r w:rsidR="000A1CAC" w:rsidRPr="00AB78DC">
        <w:rPr>
          <w:szCs w:val="24"/>
        </w:rPr>
        <w:t>0</w:t>
      </w:r>
      <w:r w:rsidR="007E112F" w:rsidRPr="00AB78DC">
        <w:rPr>
          <w:szCs w:val="24"/>
        </w:rPr>
        <w:t>,</w:t>
      </w:r>
      <w:r w:rsidR="002F38D7" w:rsidRPr="00AB78DC">
        <w:rPr>
          <w:szCs w:val="24"/>
        </w:rPr>
        <w:t xml:space="preserve"> </w:t>
      </w:r>
      <w:r w:rsidR="006648D1" w:rsidRPr="00AB78DC">
        <w:rPr>
          <w:szCs w:val="24"/>
        </w:rPr>
        <w:t>20</w:t>
      </w:r>
      <w:r w:rsidR="00526754" w:rsidRPr="00AB78DC">
        <w:rPr>
          <w:szCs w:val="24"/>
        </w:rPr>
        <w:t>2</w:t>
      </w:r>
      <w:r w:rsidR="00644008" w:rsidRPr="00AB78DC">
        <w:rPr>
          <w:szCs w:val="24"/>
        </w:rPr>
        <w:t>2</w:t>
      </w:r>
      <w:r w:rsidRPr="00AB78DC">
        <w:rPr>
          <w:szCs w:val="24"/>
        </w:rPr>
        <w:t xml:space="preserve">. </w:t>
      </w:r>
      <w:r w:rsidRPr="00AB78DC">
        <w:rPr>
          <w:szCs w:val="24"/>
          <w:lang w:val="fr-CA"/>
        </w:rPr>
        <w:t>This list is subject to chang</w:t>
      </w:r>
      <w:r w:rsidR="00192F7F" w:rsidRPr="00AB78DC">
        <w:rPr>
          <w:szCs w:val="24"/>
          <w:lang w:val="fr-CA"/>
        </w:rPr>
        <w:t>e</w:t>
      </w:r>
      <w:r w:rsidRPr="00AB78DC">
        <w:rPr>
          <w:szCs w:val="24"/>
          <w:lang w:val="fr-CA"/>
        </w:rPr>
        <w:t>.</w:t>
      </w:r>
    </w:p>
    <w:p w:rsidR="00FF5AA4" w:rsidRPr="00AB78DC" w:rsidRDefault="00FF5AA4" w:rsidP="006F2579">
      <w:pPr>
        <w:widowControl w:val="0"/>
        <w:rPr>
          <w:szCs w:val="24"/>
          <w:lang w:val="fr-CA"/>
        </w:rPr>
      </w:pPr>
    </w:p>
    <w:p w:rsidR="00B43418" w:rsidRPr="00AB78DC" w:rsidRDefault="00B43418" w:rsidP="006F2579">
      <w:pPr>
        <w:widowControl w:val="0"/>
        <w:rPr>
          <w:szCs w:val="24"/>
          <w:lang w:val="fr-CA"/>
        </w:rPr>
      </w:pPr>
    </w:p>
    <w:p w:rsidR="006F2579" w:rsidRPr="00AB78DC" w:rsidRDefault="006F2579" w:rsidP="006F2579">
      <w:pPr>
        <w:widowControl w:val="0"/>
        <w:jc w:val="center"/>
        <w:rPr>
          <w:szCs w:val="24"/>
          <w:lang w:val="fr-CA"/>
        </w:rPr>
      </w:pPr>
      <w:r w:rsidRPr="00AB78DC">
        <w:rPr>
          <w:b/>
          <w:szCs w:val="24"/>
          <w:lang w:val="fr-CA"/>
        </w:rPr>
        <w:t>PROCHAIN</w:t>
      </w:r>
      <w:r w:rsidR="004F5491" w:rsidRPr="00AB78DC">
        <w:rPr>
          <w:b/>
          <w:szCs w:val="24"/>
          <w:lang w:val="fr-CA"/>
        </w:rPr>
        <w:t>S</w:t>
      </w:r>
      <w:r w:rsidRPr="00AB78DC">
        <w:rPr>
          <w:b/>
          <w:szCs w:val="24"/>
          <w:lang w:val="fr-CA"/>
        </w:rPr>
        <w:t xml:space="preserve"> JUGEMENT</w:t>
      </w:r>
      <w:r w:rsidR="004F5491" w:rsidRPr="00AB78DC">
        <w:rPr>
          <w:b/>
          <w:szCs w:val="24"/>
          <w:lang w:val="fr-CA"/>
        </w:rPr>
        <w:t>S</w:t>
      </w:r>
      <w:r w:rsidR="00001846" w:rsidRPr="00AB78DC">
        <w:rPr>
          <w:b/>
          <w:szCs w:val="24"/>
          <w:lang w:val="fr-CA"/>
        </w:rPr>
        <w:t xml:space="preserve"> SUR DEMANDE</w:t>
      </w:r>
      <w:r w:rsidR="004F5491" w:rsidRPr="00AB78DC">
        <w:rPr>
          <w:b/>
          <w:szCs w:val="24"/>
          <w:lang w:val="fr-CA"/>
        </w:rPr>
        <w:t>S</w:t>
      </w:r>
      <w:r w:rsidRPr="00AB78DC">
        <w:rPr>
          <w:b/>
          <w:szCs w:val="24"/>
          <w:lang w:val="fr-CA"/>
        </w:rPr>
        <w:t xml:space="preserve"> D’AUTORISATION</w:t>
      </w:r>
    </w:p>
    <w:p w:rsidR="006F2579" w:rsidRPr="00AB78DC" w:rsidRDefault="006F2579" w:rsidP="006F2579">
      <w:pPr>
        <w:widowControl w:val="0"/>
        <w:rPr>
          <w:szCs w:val="24"/>
          <w:lang w:val="fr-CA"/>
        </w:rPr>
      </w:pPr>
    </w:p>
    <w:p w:rsidR="006F2579" w:rsidRPr="00AB78DC" w:rsidRDefault="006F2579" w:rsidP="006F2579">
      <w:pPr>
        <w:widowControl w:val="0"/>
        <w:rPr>
          <w:szCs w:val="24"/>
          <w:lang w:val="fr-CA"/>
        </w:rPr>
      </w:pPr>
      <w:r w:rsidRPr="00AB78DC">
        <w:rPr>
          <w:b/>
          <w:szCs w:val="24"/>
          <w:lang w:val="fr-CA"/>
        </w:rPr>
        <w:t>Le</w:t>
      </w:r>
      <w:r w:rsidR="00957A76" w:rsidRPr="00AB78DC">
        <w:rPr>
          <w:b/>
          <w:szCs w:val="24"/>
          <w:lang w:val="fr-CA"/>
        </w:rPr>
        <w:t xml:space="preserve"> </w:t>
      </w:r>
      <w:r w:rsidR="00474965" w:rsidRPr="00AB78DC">
        <w:rPr>
          <w:b/>
          <w:szCs w:val="24"/>
          <w:lang w:val="fr-CA"/>
        </w:rPr>
        <w:t>2</w:t>
      </w:r>
      <w:r w:rsidR="000A1CAC" w:rsidRPr="00AB78DC">
        <w:rPr>
          <w:b/>
          <w:szCs w:val="24"/>
          <w:lang w:val="fr-CA"/>
        </w:rPr>
        <w:t>7</w:t>
      </w:r>
      <w:r w:rsidR="00075EC0" w:rsidRPr="00AB78DC">
        <w:rPr>
          <w:b/>
          <w:szCs w:val="24"/>
          <w:lang w:val="fr-CA"/>
        </w:rPr>
        <w:t xml:space="preserve"> </w:t>
      </w:r>
      <w:r w:rsidR="00474965" w:rsidRPr="00AB78DC">
        <w:rPr>
          <w:b/>
          <w:szCs w:val="24"/>
          <w:lang w:val="fr-CA"/>
        </w:rPr>
        <w:t>juin</w:t>
      </w:r>
      <w:r w:rsidR="00A151D1" w:rsidRPr="00AB78DC">
        <w:rPr>
          <w:b/>
          <w:szCs w:val="24"/>
          <w:lang w:val="fr-CA"/>
        </w:rPr>
        <w:t xml:space="preserve"> 20</w:t>
      </w:r>
      <w:r w:rsidR="00526754" w:rsidRPr="00AB78DC">
        <w:rPr>
          <w:b/>
          <w:szCs w:val="24"/>
          <w:lang w:val="fr-CA"/>
        </w:rPr>
        <w:t>2</w:t>
      </w:r>
      <w:r w:rsidR="00644008" w:rsidRPr="00AB78DC">
        <w:rPr>
          <w:b/>
          <w:szCs w:val="24"/>
          <w:lang w:val="fr-CA"/>
        </w:rPr>
        <w:t>2</w:t>
      </w:r>
    </w:p>
    <w:p w:rsidR="006F2579" w:rsidRPr="00AB78DC" w:rsidRDefault="006F2579" w:rsidP="006F2579">
      <w:pPr>
        <w:widowControl w:val="0"/>
        <w:rPr>
          <w:b/>
          <w:szCs w:val="24"/>
          <w:lang w:val="fr-CA"/>
        </w:rPr>
      </w:pPr>
      <w:r w:rsidRPr="00AB78DC">
        <w:rPr>
          <w:b/>
          <w:szCs w:val="24"/>
          <w:lang w:val="fr-CA"/>
        </w:rPr>
        <w:t>Pour diffusion immédiate</w:t>
      </w:r>
    </w:p>
    <w:p w:rsidR="006F2579" w:rsidRPr="00AB78DC" w:rsidRDefault="006F2579" w:rsidP="006F2579">
      <w:pPr>
        <w:widowControl w:val="0"/>
        <w:rPr>
          <w:szCs w:val="24"/>
          <w:lang w:val="fr-CA"/>
        </w:rPr>
      </w:pPr>
    </w:p>
    <w:p w:rsidR="006F2579" w:rsidRPr="00AB78DC" w:rsidRDefault="006F2579" w:rsidP="006F2579">
      <w:pPr>
        <w:widowControl w:val="0"/>
        <w:rPr>
          <w:szCs w:val="24"/>
          <w:lang w:val="fr-CA"/>
        </w:rPr>
      </w:pPr>
      <w:r w:rsidRPr="00AB78DC">
        <w:rPr>
          <w:b/>
          <w:szCs w:val="24"/>
          <w:lang w:val="fr-CA"/>
        </w:rPr>
        <w:t>OTTAWA</w:t>
      </w:r>
      <w:r w:rsidRPr="00AB78DC">
        <w:rPr>
          <w:szCs w:val="24"/>
          <w:lang w:val="fr-CA"/>
        </w:rPr>
        <w:t xml:space="preserve"> – La Cour suprême du Canada annonce que jugement ser</w:t>
      </w:r>
      <w:r w:rsidR="004259F9" w:rsidRPr="00AB78DC">
        <w:rPr>
          <w:szCs w:val="24"/>
          <w:lang w:val="fr-CA"/>
        </w:rPr>
        <w:t>a</w:t>
      </w:r>
      <w:r w:rsidRPr="00AB78DC">
        <w:rPr>
          <w:szCs w:val="24"/>
          <w:lang w:val="fr-CA"/>
        </w:rPr>
        <w:t xml:space="preserve"> rendu dans l</w:t>
      </w:r>
      <w:r w:rsidR="004F5491" w:rsidRPr="00AB78DC">
        <w:rPr>
          <w:szCs w:val="24"/>
          <w:lang w:val="fr-CA"/>
        </w:rPr>
        <w:t>es</w:t>
      </w:r>
      <w:r w:rsidRPr="00AB78DC">
        <w:rPr>
          <w:szCs w:val="24"/>
          <w:lang w:val="fr-CA"/>
        </w:rPr>
        <w:t xml:space="preserve"> demande</w:t>
      </w:r>
      <w:r w:rsidR="004F5491" w:rsidRPr="00AB78DC">
        <w:rPr>
          <w:szCs w:val="24"/>
          <w:lang w:val="fr-CA"/>
        </w:rPr>
        <w:t>s</w:t>
      </w:r>
      <w:r w:rsidRPr="00AB78DC">
        <w:rPr>
          <w:szCs w:val="24"/>
          <w:lang w:val="fr-CA"/>
        </w:rPr>
        <w:t xml:space="preserve"> d</w:t>
      </w:r>
      <w:r w:rsidR="00001846" w:rsidRPr="00AB78DC">
        <w:rPr>
          <w:szCs w:val="24"/>
          <w:lang w:val="fr-CA"/>
        </w:rPr>
        <w:t>’autorisation suivante</w:t>
      </w:r>
      <w:r w:rsidR="004F5491" w:rsidRPr="00AB78DC">
        <w:rPr>
          <w:szCs w:val="24"/>
          <w:lang w:val="fr-CA"/>
        </w:rPr>
        <w:t>s</w:t>
      </w:r>
      <w:r w:rsidRPr="00AB78DC">
        <w:rPr>
          <w:szCs w:val="24"/>
          <w:lang w:val="fr-CA"/>
        </w:rPr>
        <w:t xml:space="preserve"> le </w:t>
      </w:r>
      <w:r w:rsidR="00322A9C" w:rsidRPr="00AB78DC">
        <w:rPr>
          <w:szCs w:val="24"/>
          <w:lang w:val="fr-CA"/>
        </w:rPr>
        <w:t>jeu</w:t>
      </w:r>
      <w:r w:rsidR="00680A85" w:rsidRPr="00AB78DC">
        <w:rPr>
          <w:szCs w:val="24"/>
          <w:lang w:val="fr-CA"/>
        </w:rPr>
        <w:t>di</w:t>
      </w:r>
      <w:r w:rsidRPr="00AB78DC">
        <w:rPr>
          <w:szCs w:val="24"/>
          <w:lang w:val="fr-CA"/>
        </w:rPr>
        <w:t xml:space="preserve"> </w:t>
      </w:r>
      <w:r w:rsidR="00474965" w:rsidRPr="00AB78DC">
        <w:rPr>
          <w:szCs w:val="24"/>
          <w:lang w:val="fr-CA"/>
        </w:rPr>
        <w:t>3</w:t>
      </w:r>
      <w:r w:rsidR="000A1CAC" w:rsidRPr="00AB78DC">
        <w:rPr>
          <w:szCs w:val="24"/>
          <w:lang w:val="fr-CA"/>
        </w:rPr>
        <w:t>0</w:t>
      </w:r>
      <w:r w:rsidR="009E0BD3" w:rsidRPr="00AB78DC">
        <w:rPr>
          <w:szCs w:val="24"/>
          <w:lang w:val="fr-CA"/>
        </w:rPr>
        <w:t xml:space="preserve"> </w:t>
      </w:r>
      <w:r w:rsidR="00092955" w:rsidRPr="00AB78DC">
        <w:rPr>
          <w:szCs w:val="24"/>
          <w:lang w:val="fr-CA"/>
        </w:rPr>
        <w:t>juin</w:t>
      </w:r>
      <w:r w:rsidR="00694391" w:rsidRPr="00AB78DC">
        <w:rPr>
          <w:szCs w:val="24"/>
          <w:lang w:val="fr-CA"/>
        </w:rPr>
        <w:t xml:space="preserve"> 2</w:t>
      </w:r>
      <w:r w:rsidR="006648D1" w:rsidRPr="00AB78DC">
        <w:rPr>
          <w:szCs w:val="24"/>
          <w:lang w:val="fr-CA"/>
        </w:rPr>
        <w:t>0</w:t>
      </w:r>
      <w:r w:rsidR="00526754" w:rsidRPr="00AB78DC">
        <w:rPr>
          <w:szCs w:val="24"/>
          <w:lang w:val="fr-CA"/>
        </w:rPr>
        <w:t>2</w:t>
      </w:r>
      <w:r w:rsidR="00644008" w:rsidRPr="00AB78DC">
        <w:rPr>
          <w:szCs w:val="24"/>
          <w:lang w:val="fr-CA"/>
        </w:rPr>
        <w:t>2</w:t>
      </w:r>
      <w:r w:rsidRPr="00AB78DC">
        <w:rPr>
          <w:szCs w:val="24"/>
          <w:lang w:val="fr-CA"/>
        </w:rPr>
        <w:t xml:space="preserve">, à 9 h 45 </w:t>
      </w:r>
      <w:r w:rsidR="000627A2" w:rsidRPr="00AB78DC">
        <w:rPr>
          <w:szCs w:val="24"/>
          <w:lang w:val="fr-CA"/>
        </w:rPr>
        <w:t>H</w:t>
      </w:r>
      <w:r w:rsidR="00882B6B" w:rsidRPr="00AB78DC">
        <w:rPr>
          <w:szCs w:val="24"/>
          <w:lang w:val="fr-CA"/>
        </w:rPr>
        <w:t>A</w:t>
      </w:r>
      <w:r w:rsidRPr="00AB78DC">
        <w:rPr>
          <w:szCs w:val="24"/>
          <w:lang w:val="fr-CA"/>
        </w:rPr>
        <w:t>E. Cette liste est sujette à modification</w:t>
      </w:r>
      <w:r w:rsidR="00130ADB" w:rsidRPr="00AB78DC">
        <w:rPr>
          <w:szCs w:val="24"/>
          <w:lang w:val="fr-CA"/>
        </w:rPr>
        <w:t>s</w:t>
      </w:r>
      <w:r w:rsidRPr="00AB78DC">
        <w:rPr>
          <w:szCs w:val="24"/>
          <w:lang w:val="fr-CA"/>
        </w:rPr>
        <w:t>.</w:t>
      </w:r>
    </w:p>
    <w:p w:rsidR="0080556B" w:rsidRPr="00AB78DC" w:rsidRDefault="0080556B" w:rsidP="005F2A78">
      <w:pPr>
        <w:widowControl w:val="0"/>
        <w:tabs>
          <w:tab w:val="left" w:pos="3840"/>
        </w:tabs>
        <w:jc w:val="both"/>
        <w:rPr>
          <w:sz w:val="20"/>
          <w:lang w:val="fr-CA"/>
        </w:rPr>
      </w:pPr>
    </w:p>
    <w:p w:rsidR="00867C61" w:rsidRPr="00AB78DC" w:rsidRDefault="00AB78DC" w:rsidP="009B14F4">
      <w:pPr>
        <w:widowControl w:val="0"/>
        <w:jc w:val="both"/>
        <w:rPr>
          <w:sz w:val="20"/>
        </w:rPr>
      </w:pPr>
      <w:r w:rsidRPr="00AB78DC">
        <w:rPr>
          <w:sz w:val="20"/>
        </w:rPr>
        <w:pict>
          <v:rect id="_x0000_i1025" style="width:2in;height:1pt" o:hrpct="0" o:hralign="center" o:hrstd="t" o:hrnoshade="t" o:hr="t" fillcolor="black [3213]" stroked="f"/>
        </w:pict>
      </w:r>
    </w:p>
    <w:p w:rsidR="004A6E51" w:rsidRPr="00AB78DC" w:rsidRDefault="004A6E51" w:rsidP="0053032E">
      <w:pPr>
        <w:rPr>
          <w:sz w:val="20"/>
          <w:lang w:val="fr-CA"/>
        </w:rPr>
      </w:pPr>
    </w:p>
    <w:p w:rsidR="00094E90" w:rsidRPr="00AB78DC" w:rsidRDefault="00094E90" w:rsidP="00094E90">
      <w:pPr>
        <w:pStyle w:val="ListParagraph"/>
        <w:numPr>
          <w:ilvl w:val="0"/>
          <w:numId w:val="7"/>
        </w:numPr>
        <w:ind w:left="357" w:hanging="357"/>
        <w:rPr>
          <w:sz w:val="20"/>
        </w:rPr>
      </w:pPr>
      <w:r w:rsidRPr="00AB78DC">
        <w:rPr>
          <w:i/>
          <w:sz w:val="20"/>
        </w:rPr>
        <w:t xml:space="preserve">Reza Moazami v. Her Majesty the Queen </w:t>
      </w:r>
      <w:r w:rsidRPr="00AB78DC">
        <w:rPr>
          <w:sz w:val="20"/>
        </w:rPr>
        <w:t>(B.C.) (Criminal) (By Leave) (</w:t>
      </w:r>
      <w:hyperlink r:id="rId8" w:history="1">
        <w:r w:rsidRPr="00AB78DC">
          <w:rPr>
            <w:rStyle w:val="Hyperlink"/>
            <w:sz w:val="20"/>
            <w:szCs w:val="20"/>
          </w:rPr>
          <w:t>400</w:t>
        </w:r>
        <w:r w:rsidR="008C098D" w:rsidRPr="00AB78DC">
          <w:rPr>
            <w:rStyle w:val="Hyperlink"/>
            <w:sz w:val="20"/>
            <w:szCs w:val="20"/>
          </w:rPr>
          <w:t>86</w:t>
        </w:r>
      </w:hyperlink>
      <w:r w:rsidRPr="00AB78DC">
        <w:rPr>
          <w:sz w:val="20"/>
        </w:rPr>
        <w:t>)</w:t>
      </w:r>
    </w:p>
    <w:p w:rsidR="00094E90" w:rsidRPr="00AB78DC" w:rsidRDefault="00094E90" w:rsidP="00094E90">
      <w:pPr>
        <w:pStyle w:val="ListParagraph"/>
        <w:ind w:left="357" w:hanging="357"/>
        <w:rPr>
          <w:sz w:val="20"/>
          <w:szCs w:val="20"/>
        </w:rPr>
      </w:pPr>
    </w:p>
    <w:p w:rsidR="00094E90" w:rsidRPr="00AB78DC" w:rsidRDefault="00094E90" w:rsidP="00094E90">
      <w:pPr>
        <w:pStyle w:val="ListParagraph"/>
        <w:numPr>
          <w:ilvl w:val="0"/>
          <w:numId w:val="7"/>
        </w:numPr>
        <w:ind w:left="357" w:hanging="357"/>
        <w:rPr>
          <w:sz w:val="20"/>
        </w:rPr>
      </w:pPr>
      <w:r w:rsidRPr="00AB78DC">
        <w:rPr>
          <w:i/>
          <w:sz w:val="20"/>
        </w:rPr>
        <w:t xml:space="preserve">FORCOMP Forestry Consulting Ltd., </w:t>
      </w:r>
      <w:r w:rsidR="008C098D" w:rsidRPr="00AB78DC">
        <w:rPr>
          <w:i/>
          <w:sz w:val="20"/>
        </w:rPr>
        <w:t>et al.</w:t>
      </w:r>
      <w:r w:rsidRPr="00AB78DC">
        <w:rPr>
          <w:i/>
          <w:sz w:val="20"/>
        </w:rPr>
        <w:t xml:space="preserve"> v. Her Majesty the Queen in Right of the Province of British Columbia, </w:t>
      </w:r>
      <w:r w:rsidR="008C098D" w:rsidRPr="00AB78DC">
        <w:rPr>
          <w:i/>
          <w:sz w:val="20"/>
        </w:rPr>
        <w:t>et al.</w:t>
      </w:r>
      <w:r w:rsidRPr="00AB78DC">
        <w:rPr>
          <w:i/>
          <w:sz w:val="20"/>
        </w:rPr>
        <w:t xml:space="preserve"> </w:t>
      </w:r>
      <w:r w:rsidRPr="00AB78DC">
        <w:rPr>
          <w:sz w:val="20"/>
        </w:rPr>
        <w:t>(B.C.) (Civil) (By Leave) (</w:t>
      </w:r>
      <w:hyperlink r:id="rId9" w:history="1">
        <w:r w:rsidRPr="00AB78DC">
          <w:rPr>
            <w:rStyle w:val="Hyperlink"/>
            <w:sz w:val="20"/>
            <w:szCs w:val="20"/>
          </w:rPr>
          <w:t>400</w:t>
        </w:r>
        <w:r w:rsidR="008C098D" w:rsidRPr="00AB78DC">
          <w:rPr>
            <w:rStyle w:val="Hyperlink"/>
            <w:sz w:val="20"/>
            <w:szCs w:val="20"/>
          </w:rPr>
          <w:t>51</w:t>
        </w:r>
      </w:hyperlink>
      <w:r w:rsidRPr="00AB78DC">
        <w:rPr>
          <w:sz w:val="20"/>
        </w:rPr>
        <w:t>)</w:t>
      </w:r>
    </w:p>
    <w:p w:rsidR="00094E90" w:rsidRPr="00AB78DC" w:rsidRDefault="00094E90" w:rsidP="00094E90">
      <w:pPr>
        <w:ind w:left="357" w:hanging="357"/>
        <w:rPr>
          <w:sz w:val="20"/>
        </w:rPr>
      </w:pPr>
    </w:p>
    <w:p w:rsidR="00094E90" w:rsidRPr="00AB78DC" w:rsidRDefault="00094E90" w:rsidP="00094E90">
      <w:pPr>
        <w:pStyle w:val="ListParagraph"/>
        <w:numPr>
          <w:ilvl w:val="0"/>
          <w:numId w:val="7"/>
        </w:numPr>
        <w:ind w:left="357" w:hanging="357"/>
        <w:rPr>
          <w:sz w:val="20"/>
          <w:u w:val="single"/>
        </w:rPr>
      </w:pPr>
      <w:r w:rsidRPr="00AB78DC">
        <w:rPr>
          <w:i/>
          <w:sz w:val="20"/>
        </w:rPr>
        <w:t>J.F. v. Province of New Brunswick, as represented by the Minister of Justice</w:t>
      </w:r>
      <w:r w:rsidRPr="00AB78DC">
        <w:rPr>
          <w:sz w:val="20"/>
        </w:rPr>
        <w:t xml:space="preserve"> (N.B.) (Civil) (By Leave) (</w:t>
      </w:r>
      <w:hyperlink r:id="rId10" w:history="1">
        <w:r w:rsidRPr="00AB78DC">
          <w:rPr>
            <w:rStyle w:val="Hyperlink"/>
            <w:sz w:val="20"/>
            <w:szCs w:val="20"/>
          </w:rPr>
          <w:t>400</w:t>
        </w:r>
        <w:r w:rsidR="008C098D" w:rsidRPr="00AB78DC">
          <w:rPr>
            <w:rStyle w:val="Hyperlink"/>
            <w:sz w:val="20"/>
            <w:szCs w:val="20"/>
          </w:rPr>
          <w:t>68</w:t>
        </w:r>
      </w:hyperlink>
      <w:r w:rsidRPr="00AB78DC">
        <w:rPr>
          <w:sz w:val="20"/>
        </w:rPr>
        <w:t>)</w:t>
      </w:r>
    </w:p>
    <w:p w:rsidR="000A1CAC" w:rsidRPr="00AB78DC" w:rsidRDefault="000A1CAC" w:rsidP="00094E90">
      <w:pPr>
        <w:ind w:left="357" w:hanging="357"/>
        <w:rPr>
          <w:sz w:val="20"/>
        </w:rPr>
      </w:pPr>
    </w:p>
    <w:p w:rsidR="00094E90" w:rsidRPr="00AB78DC" w:rsidRDefault="00094E90" w:rsidP="00094E90">
      <w:pPr>
        <w:pStyle w:val="ListParagraph"/>
        <w:numPr>
          <w:ilvl w:val="0"/>
          <w:numId w:val="7"/>
        </w:numPr>
        <w:ind w:left="357" w:hanging="357"/>
        <w:rPr>
          <w:sz w:val="20"/>
        </w:rPr>
      </w:pPr>
      <w:r w:rsidRPr="00AB78DC">
        <w:rPr>
          <w:i/>
          <w:sz w:val="20"/>
          <w:lang w:eastAsia="en-CA"/>
        </w:rPr>
        <w:t>Karlton Dean Reimer v. Her Majesty the Queen</w:t>
      </w:r>
      <w:r w:rsidRPr="00AB78DC">
        <w:rPr>
          <w:sz w:val="20"/>
        </w:rPr>
        <w:t xml:space="preserve"> (Man.) (Criminal) (By Leave) (</w:t>
      </w:r>
      <w:hyperlink r:id="rId11" w:history="1">
        <w:r w:rsidRPr="00AB78DC">
          <w:rPr>
            <w:rStyle w:val="Hyperlink"/>
            <w:sz w:val="20"/>
            <w:szCs w:val="20"/>
          </w:rPr>
          <w:t>400</w:t>
        </w:r>
        <w:r w:rsidR="008C098D" w:rsidRPr="00AB78DC">
          <w:rPr>
            <w:rStyle w:val="Hyperlink"/>
            <w:sz w:val="20"/>
            <w:szCs w:val="20"/>
          </w:rPr>
          <w:t>98</w:t>
        </w:r>
      </w:hyperlink>
      <w:r w:rsidRPr="00AB78DC">
        <w:rPr>
          <w:sz w:val="20"/>
        </w:rPr>
        <w:t>)</w:t>
      </w:r>
    </w:p>
    <w:p w:rsidR="00474965" w:rsidRPr="00AB78DC" w:rsidRDefault="00474965" w:rsidP="0053032E">
      <w:pPr>
        <w:rPr>
          <w:sz w:val="20"/>
        </w:rPr>
      </w:pPr>
    </w:p>
    <w:p w:rsidR="0057402C" w:rsidRPr="00AB78DC" w:rsidRDefault="00AB78DC" w:rsidP="0053032E">
      <w:pPr>
        <w:widowControl w:val="0"/>
        <w:jc w:val="both"/>
        <w:rPr>
          <w:sz w:val="20"/>
        </w:rPr>
      </w:pPr>
      <w:r w:rsidRPr="00AB78DC">
        <w:rPr>
          <w:sz w:val="20"/>
        </w:rPr>
        <w:pict>
          <v:rect id="_x0000_i1026" style="width:2in;height:1pt" o:hrpct="0" o:hralign="center" o:hrstd="t" o:hrnoshade="t" o:hr="t" fillcolor="black [3213]" stroked="f"/>
        </w:pict>
      </w:r>
    </w:p>
    <w:p w:rsidR="00D76A1F" w:rsidRPr="00AB78DC" w:rsidRDefault="00D76A1F" w:rsidP="00403CA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560A" w:rsidRPr="00AB78DC" w:rsidTr="00E95A6A">
        <w:tc>
          <w:tcPr>
            <w:tcW w:w="543" w:type="pct"/>
          </w:tcPr>
          <w:p w:rsidR="007B560A" w:rsidRPr="00AB78DC" w:rsidRDefault="007B560A" w:rsidP="007B560A">
            <w:pPr>
              <w:jc w:val="both"/>
              <w:rPr>
                <w:sz w:val="20"/>
              </w:rPr>
            </w:pPr>
            <w:r w:rsidRPr="00AB78DC">
              <w:rPr>
                <w:rStyle w:val="SCCFileNumberChar"/>
                <w:sz w:val="20"/>
                <w:szCs w:val="20"/>
              </w:rPr>
              <w:t>40086</w:t>
            </w:r>
          </w:p>
        </w:tc>
        <w:tc>
          <w:tcPr>
            <w:tcW w:w="4457" w:type="pct"/>
            <w:gridSpan w:val="3"/>
          </w:tcPr>
          <w:p w:rsidR="007B560A" w:rsidRPr="00AB78DC" w:rsidRDefault="007B560A" w:rsidP="007B560A">
            <w:pPr>
              <w:pStyle w:val="SCCLsocParty"/>
              <w:jc w:val="both"/>
              <w:rPr>
                <w:b/>
                <w:sz w:val="20"/>
                <w:szCs w:val="20"/>
                <w:lang w:val="en-US"/>
              </w:rPr>
            </w:pPr>
            <w:r w:rsidRPr="00AB78DC">
              <w:rPr>
                <w:b/>
                <w:sz w:val="20"/>
                <w:szCs w:val="20"/>
                <w:lang w:val="en-US"/>
              </w:rPr>
              <w:t>Reza Moazami v. Her Majesty the Queen</w:t>
            </w:r>
          </w:p>
          <w:p w:rsidR="007B560A" w:rsidRPr="00AB78DC" w:rsidRDefault="007B560A" w:rsidP="007B560A">
            <w:pPr>
              <w:jc w:val="both"/>
              <w:rPr>
                <w:sz w:val="20"/>
              </w:rPr>
            </w:pPr>
            <w:r w:rsidRPr="00AB78DC">
              <w:rPr>
                <w:sz w:val="20"/>
              </w:rPr>
              <w:t>(B.C.) (Criminal) (By Leave)</w:t>
            </w:r>
          </w:p>
        </w:tc>
      </w:tr>
      <w:tr w:rsidR="007B560A" w:rsidRPr="00AB78DC" w:rsidTr="00E95A6A">
        <w:tc>
          <w:tcPr>
            <w:tcW w:w="5000" w:type="pct"/>
            <w:gridSpan w:val="4"/>
          </w:tcPr>
          <w:p w:rsidR="007B560A" w:rsidRPr="00AB78DC" w:rsidRDefault="007B560A" w:rsidP="007B560A">
            <w:pPr>
              <w:pStyle w:val="SCCBanSummary"/>
              <w:rPr>
                <w:sz w:val="20"/>
                <w:szCs w:val="20"/>
              </w:rPr>
            </w:pPr>
            <w:r w:rsidRPr="00AB78DC">
              <w:rPr>
                <w:sz w:val="20"/>
                <w:szCs w:val="20"/>
              </w:rPr>
              <w:t>(Publication ban) (sealing order)</w:t>
            </w:r>
          </w:p>
          <w:p w:rsidR="007B560A" w:rsidRPr="00AB78DC" w:rsidRDefault="007B560A" w:rsidP="007B560A">
            <w:pPr>
              <w:jc w:val="both"/>
              <w:rPr>
                <w:sz w:val="20"/>
              </w:rPr>
            </w:pPr>
          </w:p>
        </w:tc>
      </w:tr>
      <w:tr w:rsidR="007B560A" w:rsidRPr="00AB78DC" w:rsidTr="00E95A6A">
        <w:tc>
          <w:tcPr>
            <w:tcW w:w="5000" w:type="pct"/>
            <w:gridSpan w:val="4"/>
          </w:tcPr>
          <w:p w:rsidR="007B560A" w:rsidRPr="00AB78DC" w:rsidRDefault="007B560A" w:rsidP="007B560A">
            <w:pPr>
              <w:jc w:val="both"/>
              <w:rPr>
                <w:sz w:val="20"/>
              </w:rPr>
            </w:pPr>
            <w:r w:rsidRPr="00AB78DC">
              <w:rPr>
                <w:sz w:val="20"/>
              </w:rPr>
              <w:t>Criminal law — Evidence — Admissibility — Applications to admit fresh evidence dismissed — Conviction appeal dismissed — Whether the c</w:t>
            </w:r>
            <w:r w:rsidRPr="00AB78DC">
              <w:rPr>
                <w:color w:val="000000"/>
                <w:sz w:val="20"/>
              </w:rPr>
              <w:t xml:space="preserve">onduct of the investigating officer resulted in a miscarriage of justice and an abuse of process </w:t>
            </w:r>
            <w:r w:rsidRPr="00AB78DC">
              <w:rPr>
                <w:sz w:val="20"/>
              </w:rPr>
              <w:t>— Does the opportunity to explore and investigate post</w:t>
            </w:r>
            <w:r w:rsidRPr="00AB78DC">
              <w:rPr>
                <w:sz w:val="20"/>
              </w:rPr>
              <w:noBreakHyphen/>
              <w:t xml:space="preserve">conviction disclosure, as contemplated in </w:t>
            </w:r>
            <w:r w:rsidRPr="00AB78DC">
              <w:rPr>
                <w:i/>
                <w:sz w:val="20"/>
              </w:rPr>
              <w:t>Dixon</w:t>
            </w:r>
            <w:r w:rsidRPr="00AB78DC">
              <w:rPr>
                <w:sz w:val="20"/>
              </w:rPr>
              <w:t xml:space="preserve"> and </w:t>
            </w:r>
            <w:r w:rsidRPr="00AB78DC">
              <w:rPr>
                <w:i/>
                <w:sz w:val="20"/>
              </w:rPr>
              <w:t>Taillefer,</w:t>
            </w:r>
            <w:r w:rsidRPr="00AB78DC">
              <w:rPr>
                <w:sz w:val="20"/>
              </w:rPr>
              <w:t xml:space="preserve"> entail that an accused has a right to independently explore the effect of that misconduct on the evidence arrayed against him notwithstanding this Court’s decision in </w:t>
            </w:r>
            <w:r w:rsidRPr="00AB78DC">
              <w:rPr>
                <w:i/>
                <w:sz w:val="20"/>
              </w:rPr>
              <w:t>O’Brien</w:t>
            </w:r>
            <w:r w:rsidRPr="00AB78DC">
              <w:rPr>
                <w:sz w:val="20"/>
              </w:rPr>
              <w:t xml:space="preserve"> — Is a Crown investigation into misconduct sufficient to assess unfairness — What is the evidentiary standard that an accused must meet in terms of presenting post-conviction disclosure of police misconduct?</w:t>
            </w:r>
          </w:p>
          <w:p w:rsidR="007B560A" w:rsidRPr="00AB78DC" w:rsidRDefault="007B560A" w:rsidP="007B560A">
            <w:pPr>
              <w:jc w:val="both"/>
              <w:rPr>
                <w:sz w:val="20"/>
              </w:rPr>
            </w:pPr>
          </w:p>
        </w:tc>
      </w:tr>
      <w:tr w:rsidR="007B560A" w:rsidRPr="00AB78DC" w:rsidTr="00E95A6A">
        <w:tc>
          <w:tcPr>
            <w:tcW w:w="5000" w:type="pct"/>
            <w:gridSpan w:val="4"/>
          </w:tcPr>
          <w:p w:rsidR="007B560A" w:rsidRPr="00AB78DC" w:rsidRDefault="007B560A" w:rsidP="007B560A">
            <w:pPr>
              <w:jc w:val="both"/>
              <w:rPr>
                <w:color w:val="000000"/>
                <w:sz w:val="20"/>
              </w:rPr>
            </w:pPr>
            <w:r w:rsidRPr="00AB78DC">
              <w:rPr>
                <w:color w:val="000000"/>
                <w:sz w:val="20"/>
              </w:rPr>
              <w:t xml:space="preserve">Mr. Moazami was convicted of 30 counts of prostitution-related offences, sexual exploitation, sexual assault, and sexual interference involving 11 complainants. He was </w:t>
            </w:r>
            <w:r w:rsidRPr="00AB78DC">
              <w:rPr>
                <w:sz w:val="20"/>
              </w:rPr>
              <w:t xml:space="preserve">sentenced to </w:t>
            </w:r>
            <w:r w:rsidRPr="00AB78DC">
              <w:rPr>
                <w:color w:val="000000"/>
                <w:sz w:val="20"/>
              </w:rPr>
              <w:t xml:space="preserve">17 years and 339 days of imprisonment. </w:t>
            </w:r>
            <w:r w:rsidRPr="00AB78DC">
              <w:rPr>
                <w:iCs/>
                <w:color w:val="000000"/>
                <w:sz w:val="20"/>
              </w:rPr>
              <w:t>The Court of Appeal dismissed the conviction appeal, and the applications to admit fresh evidence.</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lastRenderedPageBreak/>
              <w:t>September 15, 2014</w:t>
            </w:r>
          </w:p>
          <w:p w:rsidR="007B560A" w:rsidRPr="00AB78DC" w:rsidRDefault="007B560A" w:rsidP="007B560A">
            <w:pPr>
              <w:jc w:val="both"/>
              <w:rPr>
                <w:sz w:val="20"/>
              </w:rPr>
            </w:pPr>
            <w:r w:rsidRPr="00AB78DC">
              <w:rPr>
                <w:sz w:val="20"/>
              </w:rPr>
              <w:t>Supreme Court of British Columbia</w:t>
            </w:r>
          </w:p>
          <w:p w:rsidR="007B560A" w:rsidRPr="00AB78DC" w:rsidRDefault="007B560A" w:rsidP="007B560A">
            <w:pPr>
              <w:jc w:val="both"/>
              <w:rPr>
                <w:sz w:val="20"/>
              </w:rPr>
            </w:pPr>
            <w:r w:rsidRPr="00AB78DC">
              <w:rPr>
                <w:sz w:val="20"/>
              </w:rPr>
              <w:t>(Bruce J.)</w:t>
            </w:r>
          </w:p>
          <w:p w:rsidR="007B560A" w:rsidRPr="00AB78DC" w:rsidRDefault="00AB78DC" w:rsidP="007B560A">
            <w:pPr>
              <w:jc w:val="both"/>
              <w:rPr>
                <w:sz w:val="20"/>
              </w:rPr>
            </w:pPr>
            <w:hyperlink r:id="rId12" w:history="1">
              <w:r w:rsidR="007B560A" w:rsidRPr="00AB78DC">
                <w:rPr>
                  <w:rStyle w:val="Hyperlink"/>
                  <w:sz w:val="20"/>
                </w:rPr>
                <w:t>2014 BCSC 1727</w:t>
              </w:r>
            </w:hyperlink>
          </w:p>
          <w:p w:rsidR="007B560A" w:rsidRPr="00AB78DC" w:rsidRDefault="007B560A" w:rsidP="007B560A">
            <w:pPr>
              <w:jc w:val="both"/>
              <w:rPr>
                <w:sz w:val="20"/>
              </w:rPr>
            </w:pP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iCs/>
                <w:color w:val="000000"/>
                <w:sz w:val="20"/>
              </w:rPr>
              <w:t>Convictions entered: 30 counts of prostitution</w:t>
            </w:r>
            <w:r w:rsidRPr="00AB78DC">
              <w:rPr>
                <w:iCs/>
                <w:color w:val="000000"/>
                <w:sz w:val="20"/>
              </w:rPr>
              <w:noBreakHyphen/>
              <w:t xml:space="preserve">related, </w:t>
            </w:r>
            <w:r w:rsidRPr="00AB78DC">
              <w:rPr>
                <w:color w:val="000000"/>
                <w:sz w:val="20"/>
              </w:rPr>
              <w:t>sexual exploitation, sexual assault and sexual interference</w:t>
            </w:r>
          </w:p>
        </w:tc>
      </w:tr>
      <w:tr w:rsidR="007B560A" w:rsidRPr="00AB78DC" w:rsidTr="00E95A6A">
        <w:tc>
          <w:tcPr>
            <w:tcW w:w="2427" w:type="pct"/>
            <w:gridSpan w:val="2"/>
          </w:tcPr>
          <w:p w:rsidR="007B560A" w:rsidRPr="00AB78DC" w:rsidRDefault="007B560A" w:rsidP="007B560A">
            <w:pPr>
              <w:jc w:val="both"/>
              <w:rPr>
                <w:sz w:val="20"/>
              </w:rPr>
            </w:pPr>
            <w:r w:rsidRPr="00AB78DC">
              <w:rPr>
                <w:sz w:val="20"/>
              </w:rPr>
              <w:t>November 10, 2015</w:t>
            </w:r>
          </w:p>
          <w:p w:rsidR="007B560A" w:rsidRPr="00AB78DC" w:rsidRDefault="007B560A" w:rsidP="007B560A">
            <w:pPr>
              <w:jc w:val="both"/>
              <w:rPr>
                <w:sz w:val="20"/>
              </w:rPr>
            </w:pPr>
            <w:r w:rsidRPr="00AB78DC">
              <w:rPr>
                <w:sz w:val="20"/>
              </w:rPr>
              <w:t>Supreme Court of British Columbia</w:t>
            </w:r>
          </w:p>
          <w:p w:rsidR="007B560A" w:rsidRPr="00AB78DC" w:rsidRDefault="007B560A" w:rsidP="007B560A">
            <w:pPr>
              <w:jc w:val="both"/>
              <w:rPr>
                <w:sz w:val="20"/>
              </w:rPr>
            </w:pPr>
            <w:r w:rsidRPr="00AB78DC">
              <w:rPr>
                <w:sz w:val="20"/>
              </w:rPr>
              <w:t>(Bruce J.)</w:t>
            </w:r>
          </w:p>
          <w:p w:rsidR="007B560A" w:rsidRPr="00AB78DC" w:rsidRDefault="00AB78DC" w:rsidP="007B560A">
            <w:pPr>
              <w:jc w:val="both"/>
              <w:rPr>
                <w:sz w:val="20"/>
              </w:rPr>
            </w:pPr>
            <w:hyperlink r:id="rId13" w:history="1">
              <w:r w:rsidR="007B560A" w:rsidRPr="00AB78DC">
                <w:rPr>
                  <w:rStyle w:val="Hyperlink"/>
                  <w:sz w:val="20"/>
                </w:rPr>
                <w:t>2015 BCSC 2055</w:t>
              </w:r>
            </w:hyperlink>
          </w:p>
          <w:p w:rsidR="007B560A" w:rsidRPr="00AB78DC" w:rsidRDefault="007B560A" w:rsidP="007B560A">
            <w:pPr>
              <w:jc w:val="both"/>
              <w:rPr>
                <w:sz w:val="20"/>
              </w:rPr>
            </w:pP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sz w:val="20"/>
              </w:rPr>
              <w:t>Sentence imposed:</w:t>
            </w:r>
            <w:r w:rsidRPr="00AB78DC">
              <w:rPr>
                <w:color w:val="000000"/>
                <w:sz w:val="20"/>
              </w:rPr>
              <w:t xml:space="preserve"> 17 years and 339 days</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t>September 8, 2021</w:t>
            </w:r>
          </w:p>
          <w:p w:rsidR="007B560A" w:rsidRPr="00AB78DC" w:rsidRDefault="007B560A" w:rsidP="007B560A">
            <w:pPr>
              <w:jc w:val="both"/>
              <w:rPr>
                <w:sz w:val="20"/>
              </w:rPr>
            </w:pPr>
            <w:r w:rsidRPr="00AB78DC">
              <w:rPr>
                <w:sz w:val="20"/>
              </w:rPr>
              <w:t xml:space="preserve">Court of Appeal for British Columbia </w:t>
            </w:r>
          </w:p>
          <w:p w:rsidR="007B560A" w:rsidRPr="00AB78DC" w:rsidRDefault="007B560A" w:rsidP="007B560A">
            <w:pPr>
              <w:jc w:val="both"/>
              <w:rPr>
                <w:sz w:val="20"/>
              </w:rPr>
            </w:pPr>
            <w:r w:rsidRPr="00AB78DC">
              <w:rPr>
                <w:sz w:val="20"/>
              </w:rPr>
              <w:t>(Vancouver)</w:t>
            </w:r>
          </w:p>
          <w:p w:rsidR="007B560A" w:rsidRPr="00AB78DC" w:rsidRDefault="007B560A" w:rsidP="007B560A">
            <w:pPr>
              <w:jc w:val="both"/>
              <w:rPr>
                <w:sz w:val="20"/>
              </w:rPr>
            </w:pPr>
            <w:r w:rsidRPr="00AB78DC">
              <w:rPr>
                <w:sz w:val="20"/>
              </w:rPr>
              <w:t>(Saunders, Bennett, Hunter JJ.A.)</w:t>
            </w:r>
          </w:p>
          <w:p w:rsidR="007B560A" w:rsidRPr="00AB78DC" w:rsidRDefault="007B560A" w:rsidP="007B560A">
            <w:pPr>
              <w:jc w:val="both"/>
              <w:rPr>
                <w:sz w:val="20"/>
              </w:rPr>
            </w:pPr>
            <w:r w:rsidRPr="00AB78DC">
              <w:rPr>
                <w:sz w:val="20"/>
              </w:rPr>
              <w:t xml:space="preserve">CA43308; </w:t>
            </w:r>
            <w:hyperlink r:id="rId14" w:history="1">
              <w:r w:rsidRPr="00AB78DC">
                <w:rPr>
                  <w:rStyle w:val="Hyperlink"/>
                  <w:sz w:val="20"/>
                </w:rPr>
                <w:t>2021 BCCA 328</w:t>
              </w:r>
            </w:hyperlink>
          </w:p>
          <w:p w:rsidR="007B560A" w:rsidRPr="00AB78DC" w:rsidRDefault="007B560A" w:rsidP="007B560A">
            <w:pPr>
              <w:jc w:val="both"/>
              <w:rPr>
                <w:sz w:val="20"/>
              </w:rPr>
            </w:pP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sz w:val="20"/>
              </w:rPr>
              <w:t xml:space="preserve">Conviction appeal and </w:t>
            </w:r>
            <w:r w:rsidRPr="00AB78DC">
              <w:rPr>
                <w:color w:val="000000"/>
                <w:sz w:val="20"/>
              </w:rPr>
              <w:t>applications to adduce fresh evidence dismissed</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t>February 17, 2022</w:t>
            </w:r>
          </w:p>
          <w:p w:rsidR="007B560A" w:rsidRPr="00AB78DC" w:rsidRDefault="007B560A" w:rsidP="007B560A">
            <w:pPr>
              <w:jc w:val="both"/>
              <w:rPr>
                <w:sz w:val="20"/>
              </w:rPr>
            </w:pPr>
            <w:r w:rsidRPr="00AB78DC">
              <w:rPr>
                <w:sz w:val="20"/>
              </w:rPr>
              <w:t>Supreme Court of Canada</w:t>
            </w:r>
          </w:p>
          <w:p w:rsidR="007B560A" w:rsidRPr="00AB78DC" w:rsidRDefault="007B560A" w:rsidP="007B560A">
            <w:pPr>
              <w:jc w:val="both"/>
              <w:rPr>
                <w:sz w:val="20"/>
              </w:rPr>
            </w:pP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sz w:val="20"/>
              </w:rPr>
              <w:t>Motion for an extension  of time to serve and file the application for leave to appeal and application for leave to appeal filed</w:t>
            </w:r>
          </w:p>
        </w:tc>
      </w:tr>
    </w:tbl>
    <w:p w:rsidR="007B560A" w:rsidRPr="00AB78DC" w:rsidRDefault="007B560A" w:rsidP="007B560A">
      <w:pPr>
        <w:jc w:val="both"/>
        <w:rPr>
          <w:sz w:val="20"/>
        </w:rPr>
      </w:pPr>
    </w:p>
    <w:p w:rsidR="007B560A" w:rsidRPr="00AB78DC" w:rsidRDefault="00AB78DC" w:rsidP="007B560A">
      <w:pPr>
        <w:jc w:val="both"/>
        <w:rPr>
          <w:sz w:val="20"/>
        </w:rPr>
      </w:pPr>
      <w:r w:rsidRPr="00AB78DC">
        <w:rPr>
          <w:sz w:val="20"/>
        </w:rPr>
        <w:pict>
          <v:rect id="_x0000_i1027" style="width:2in;height:1pt" o:hrpct="0" o:hralign="center" o:hrstd="t" o:hrnoshade="t" o:hr="t" fillcolor="black [3213]" stroked="f"/>
        </w:pict>
      </w:r>
    </w:p>
    <w:p w:rsidR="007B560A" w:rsidRPr="00AB78DC" w:rsidRDefault="007B560A" w:rsidP="007B56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560A" w:rsidRPr="00AB78DC" w:rsidTr="00E95A6A">
        <w:tc>
          <w:tcPr>
            <w:tcW w:w="543" w:type="pct"/>
          </w:tcPr>
          <w:p w:rsidR="007B560A" w:rsidRPr="00AB78DC" w:rsidRDefault="007B560A" w:rsidP="007B560A">
            <w:pPr>
              <w:jc w:val="both"/>
              <w:rPr>
                <w:sz w:val="20"/>
                <w:lang w:val="fr-CA"/>
              </w:rPr>
            </w:pPr>
            <w:r w:rsidRPr="00AB78DC">
              <w:rPr>
                <w:rStyle w:val="SCCFileNumberChar"/>
                <w:sz w:val="20"/>
                <w:szCs w:val="20"/>
                <w:lang w:val="fr-CA"/>
              </w:rPr>
              <w:t>40086</w:t>
            </w:r>
          </w:p>
        </w:tc>
        <w:tc>
          <w:tcPr>
            <w:tcW w:w="4457" w:type="pct"/>
            <w:gridSpan w:val="3"/>
          </w:tcPr>
          <w:p w:rsidR="007B560A" w:rsidRPr="00AB78DC" w:rsidRDefault="007B560A" w:rsidP="007B560A">
            <w:pPr>
              <w:pStyle w:val="SCCLsocParty"/>
              <w:jc w:val="both"/>
              <w:rPr>
                <w:b/>
                <w:sz w:val="20"/>
                <w:szCs w:val="20"/>
              </w:rPr>
            </w:pPr>
            <w:r w:rsidRPr="00AB78DC">
              <w:rPr>
                <w:b/>
                <w:sz w:val="20"/>
                <w:szCs w:val="20"/>
              </w:rPr>
              <w:t>Reza Moazami c. Sa Majesté la Reine</w:t>
            </w:r>
          </w:p>
          <w:p w:rsidR="007B560A" w:rsidRPr="00AB78DC" w:rsidRDefault="007B560A" w:rsidP="007B560A">
            <w:pPr>
              <w:jc w:val="both"/>
              <w:rPr>
                <w:sz w:val="20"/>
                <w:lang w:val="fr-CA"/>
              </w:rPr>
            </w:pPr>
            <w:r w:rsidRPr="00AB78DC">
              <w:rPr>
                <w:sz w:val="20"/>
                <w:lang w:val="fr-CA"/>
              </w:rPr>
              <w:t>(C.</w:t>
            </w:r>
            <w:r w:rsidRPr="00AB78DC">
              <w:rPr>
                <w:sz w:val="20"/>
                <w:lang w:val="fr-CA"/>
              </w:rPr>
              <w:noBreakHyphen/>
              <w:t>B.) (criminelle) (sur autorisation)</w:t>
            </w:r>
          </w:p>
        </w:tc>
      </w:tr>
      <w:tr w:rsidR="007B560A" w:rsidRPr="00AB78DC" w:rsidTr="00E95A6A">
        <w:tc>
          <w:tcPr>
            <w:tcW w:w="5000" w:type="pct"/>
            <w:gridSpan w:val="4"/>
          </w:tcPr>
          <w:p w:rsidR="007B560A" w:rsidRPr="00AB78DC" w:rsidRDefault="007B560A" w:rsidP="007B560A">
            <w:pPr>
              <w:pStyle w:val="SCCBanSummary"/>
              <w:rPr>
                <w:sz w:val="20"/>
                <w:szCs w:val="20"/>
                <w:lang w:val="fr-CA"/>
              </w:rPr>
            </w:pPr>
            <w:r w:rsidRPr="00AB78DC">
              <w:rPr>
                <w:sz w:val="20"/>
                <w:szCs w:val="20"/>
                <w:lang w:val="fr-CA"/>
              </w:rPr>
              <w:t>(Interdiction de publication) (Ordonnance de mise sous scellés) </w:t>
            </w:r>
          </w:p>
          <w:p w:rsidR="007B560A" w:rsidRPr="00AB78DC" w:rsidRDefault="007B560A" w:rsidP="007B560A">
            <w:pPr>
              <w:jc w:val="both"/>
              <w:rPr>
                <w:sz w:val="20"/>
                <w:lang w:val="fr-CA"/>
              </w:rPr>
            </w:pPr>
          </w:p>
        </w:tc>
      </w:tr>
      <w:tr w:rsidR="007B560A" w:rsidRPr="00AB78DC" w:rsidTr="00E95A6A">
        <w:tc>
          <w:tcPr>
            <w:tcW w:w="5000" w:type="pct"/>
            <w:gridSpan w:val="4"/>
          </w:tcPr>
          <w:p w:rsidR="007B560A" w:rsidRPr="00AB78DC" w:rsidRDefault="007B560A" w:rsidP="007B560A">
            <w:pPr>
              <w:jc w:val="both"/>
              <w:rPr>
                <w:sz w:val="20"/>
                <w:lang w:val="fr-CA"/>
              </w:rPr>
            </w:pPr>
            <w:r w:rsidRPr="00AB78DC">
              <w:rPr>
                <w:sz w:val="20"/>
                <w:lang w:val="fr-CA"/>
              </w:rPr>
              <w:t>Droit criminel — Preuve — Admissibilité — Rejet des demandes visant l’admission de nouveaux éléments de preuve — L’appel de la déclaration de culpabilité est rejeté — La c</w:t>
            </w:r>
            <w:r w:rsidRPr="00AB78DC">
              <w:rPr>
                <w:color w:val="000000"/>
                <w:sz w:val="20"/>
                <w:lang w:val="fr-CA"/>
              </w:rPr>
              <w:t>onduite de l’enquêteur a</w:t>
            </w:r>
            <w:r w:rsidRPr="00AB78DC">
              <w:rPr>
                <w:color w:val="000000"/>
                <w:sz w:val="20"/>
                <w:lang w:val="fr-CA"/>
              </w:rPr>
              <w:noBreakHyphen/>
              <w:t>t</w:t>
            </w:r>
            <w:r w:rsidRPr="00AB78DC">
              <w:rPr>
                <w:color w:val="000000"/>
                <w:sz w:val="20"/>
                <w:lang w:val="fr-CA"/>
              </w:rPr>
              <w:noBreakHyphen/>
              <w:t xml:space="preserve">elle entraîné une erreur judiciaire et un abus de procédure ? </w:t>
            </w:r>
            <w:r w:rsidRPr="00AB78DC">
              <w:rPr>
                <w:sz w:val="20"/>
                <w:lang w:val="fr-CA"/>
              </w:rPr>
              <w:t>— La possibilité d’examiner la preuve communiquée postérieurement à la déclaration de culpabilité et d’enquêter sur celle</w:t>
            </w:r>
            <w:r w:rsidRPr="00AB78DC">
              <w:rPr>
                <w:sz w:val="20"/>
                <w:lang w:val="fr-CA"/>
              </w:rPr>
              <w:noBreakHyphen/>
              <w:t xml:space="preserve">ci, comme le prévoient les arrêts </w:t>
            </w:r>
            <w:r w:rsidRPr="00AB78DC">
              <w:rPr>
                <w:i/>
                <w:sz w:val="20"/>
                <w:lang w:val="fr-CA"/>
              </w:rPr>
              <w:t>Dixon</w:t>
            </w:r>
            <w:r w:rsidRPr="00AB78DC">
              <w:rPr>
                <w:sz w:val="20"/>
                <w:lang w:val="fr-CA"/>
              </w:rPr>
              <w:t xml:space="preserve"> et </w:t>
            </w:r>
            <w:proofErr w:type="spellStart"/>
            <w:r w:rsidRPr="00AB78DC">
              <w:rPr>
                <w:i/>
                <w:sz w:val="20"/>
                <w:lang w:val="fr-CA"/>
              </w:rPr>
              <w:t>Taillefer</w:t>
            </w:r>
            <w:proofErr w:type="spellEnd"/>
            <w:r w:rsidRPr="00AB78DC">
              <w:rPr>
                <w:i/>
                <w:sz w:val="20"/>
                <w:lang w:val="fr-CA"/>
              </w:rPr>
              <w:t>,</w:t>
            </w:r>
            <w:r w:rsidRPr="00AB78DC">
              <w:rPr>
                <w:sz w:val="20"/>
                <w:lang w:val="fr-CA"/>
              </w:rPr>
              <w:t xml:space="preserve"> engendre</w:t>
            </w:r>
            <w:r w:rsidRPr="00AB78DC">
              <w:rPr>
                <w:sz w:val="20"/>
                <w:lang w:val="fr-CA"/>
              </w:rPr>
              <w:noBreakHyphen/>
              <w:t>t</w:t>
            </w:r>
            <w:r w:rsidRPr="00AB78DC">
              <w:rPr>
                <w:sz w:val="20"/>
                <w:lang w:val="fr-CA"/>
              </w:rPr>
              <w:noBreakHyphen/>
              <w:t xml:space="preserve">elle le droit d’un accusé d’examiner de façon autonome l’incidence de cette inconduite sur la preuve invoquée contre lui, malgré la décision de la Cour dans l’affaire </w:t>
            </w:r>
            <w:r w:rsidRPr="00AB78DC">
              <w:rPr>
                <w:i/>
                <w:sz w:val="20"/>
                <w:lang w:val="fr-CA"/>
              </w:rPr>
              <w:t>O’Brien </w:t>
            </w:r>
            <w:r w:rsidRPr="00AB78DC">
              <w:rPr>
                <w:sz w:val="20"/>
                <w:lang w:val="fr-CA"/>
              </w:rPr>
              <w:t>? — L’enquête menée par la Couronne au sujet de l’inconduite est</w:t>
            </w:r>
            <w:r w:rsidRPr="00AB78DC">
              <w:rPr>
                <w:sz w:val="20"/>
                <w:lang w:val="fr-CA"/>
              </w:rPr>
              <w:noBreakHyphen/>
              <w:t>elle suffisante pour évaluer s’il y a eu injustice ? — Quelle est la norme de preuve à laquelle doit satisfaire un accusé quant à la présentation de la preuve relative à l’inconduite policière communiquée postérieurement à la déclaration de culpabilité ?</w:t>
            </w:r>
          </w:p>
          <w:p w:rsidR="007B560A" w:rsidRPr="00AB78DC" w:rsidRDefault="007B560A" w:rsidP="007B560A">
            <w:pPr>
              <w:jc w:val="both"/>
              <w:rPr>
                <w:sz w:val="20"/>
                <w:lang w:val="fr-CA"/>
              </w:rPr>
            </w:pPr>
          </w:p>
        </w:tc>
      </w:tr>
      <w:tr w:rsidR="007B560A" w:rsidRPr="00AB78DC" w:rsidTr="00E95A6A">
        <w:tc>
          <w:tcPr>
            <w:tcW w:w="5000" w:type="pct"/>
            <w:gridSpan w:val="4"/>
          </w:tcPr>
          <w:p w:rsidR="007B560A" w:rsidRPr="00AB78DC" w:rsidRDefault="007B560A" w:rsidP="007B560A">
            <w:pPr>
              <w:jc w:val="both"/>
              <w:rPr>
                <w:color w:val="000000"/>
                <w:sz w:val="20"/>
                <w:lang w:val="fr-CA"/>
              </w:rPr>
            </w:pPr>
            <w:r w:rsidRPr="00AB78DC">
              <w:rPr>
                <w:color w:val="000000"/>
                <w:sz w:val="20"/>
                <w:lang w:val="fr-CA"/>
              </w:rPr>
              <w:t>M. Moazami a été déclaré coupable de 30 chefs d’accusation d’infractions relatives à la prostitution, d’exploitation sexuelle, d’agression sexuelle et de contacts sexuels impliquant onze plaignantes. Il a été condamné à 17 ans et 339 jours d’emprisonnement. La C</w:t>
            </w:r>
            <w:r w:rsidRPr="00AB78DC">
              <w:rPr>
                <w:iCs/>
                <w:color w:val="000000"/>
                <w:sz w:val="20"/>
                <w:lang w:val="fr-CA"/>
              </w:rPr>
              <w:t>our d’appel a rejeté l’appel de la déclaration de culpabilité ainsi que les demandes visant l’admission de nouveaux éléments de preuve.</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15 septembre 2014</w:t>
            </w:r>
          </w:p>
          <w:p w:rsidR="007B560A" w:rsidRPr="00AB78DC" w:rsidRDefault="007B560A" w:rsidP="007B560A">
            <w:pPr>
              <w:jc w:val="both"/>
              <w:rPr>
                <w:sz w:val="20"/>
                <w:lang w:val="fr-CA"/>
              </w:rPr>
            </w:pPr>
            <w:r w:rsidRPr="00AB78DC">
              <w:rPr>
                <w:sz w:val="20"/>
                <w:lang w:val="fr-CA"/>
              </w:rPr>
              <w:t>Cour suprême de la Colombie</w:t>
            </w:r>
            <w:r w:rsidRPr="00AB78DC">
              <w:rPr>
                <w:sz w:val="20"/>
                <w:lang w:val="fr-CA"/>
              </w:rPr>
              <w:noBreakHyphen/>
              <w:t>Britannique</w:t>
            </w:r>
          </w:p>
          <w:p w:rsidR="007B560A" w:rsidRPr="00AB78DC" w:rsidRDefault="007B560A" w:rsidP="007B560A">
            <w:pPr>
              <w:jc w:val="both"/>
              <w:rPr>
                <w:sz w:val="20"/>
                <w:lang w:val="fr-CA"/>
              </w:rPr>
            </w:pPr>
            <w:r w:rsidRPr="00AB78DC">
              <w:rPr>
                <w:sz w:val="20"/>
                <w:lang w:val="fr-CA"/>
              </w:rPr>
              <w:t>(juge Bruce)</w:t>
            </w:r>
          </w:p>
          <w:p w:rsidR="007B560A" w:rsidRPr="00AB78DC" w:rsidRDefault="00AB78DC" w:rsidP="007B560A">
            <w:pPr>
              <w:jc w:val="both"/>
              <w:rPr>
                <w:sz w:val="20"/>
                <w:lang w:val="fr-CA"/>
              </w:rPr>
            </w:pPr>
            <w:hyperlink r:id="rId15" w:history="1">
              <w:r w:rsidR="007B560A" w:rsidRPr="00AB78DC">
                <w:rPr>
                  <w:rStyle w:val="Hyperlink"/>
                  <w:sz w:val="20"/>
                  <w:lang w:val="fr-CA"/>
                </w:rPr>
                <w:t>2014 BCSC 1727</w:t>
              </w:r>
            </w:hyperlink>
          </w:p>
          <w:p w:rsidR="007B560A" w:rsidRPr="00AB78DC" w:rsidRDefault="007B560A" w:rsidP="007B560A">
            <w:pPr>
              <w:jc w:val="both"/>
              <w:rPr>
                <w:sz w:val="20"/>
                <w:lang w:val="fr-CA"/>
              </w:rPr>
            </w:pP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iCs/>
                <w:color w:val="000000"/>
                <w:sz w:val="20"/>
                <w:lang w:val="fr-CA"/>
              </w:rPr>
              <w:t xml:space="preserve">Déclarations de culpabilité prononcées quant à </w:t>
            </w:r>
            <w:r w:rsidRPr="00AB78DC">
              <w:rPr>
                <w:color w:val="000000"/>
                <w:sz w:val="20"/>
                <w:lang w:val="fr-CA"/>
              </w:rPr>
              <w:t xml:space="preserve">30 </w:t>
            </w:r>
            <w:r w:rsidRPr="00AB78DC">
              <w:rPr>
                <w:iCs/>
                <w:color w:val="000000"/>
                <w:sz w:val="20"/>
                <w:lang w:val="fr-CA"/>
              </w:rPr>
              <w:t xml:space="preserve">chefs d’accusation d’infractions relatives à la prostitution, d’exploitation sexuelle, d’agression sexuelle et de contacts sexuels. </w:t>
            </w: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10 novembre 2015</w:t>
            </w:r>
          </w:p>
          <w:p w:rsidR="007B560A" w:rsidRPr="00AB78DC" w:rsidRDefault="007B560A" w:rsidP="007B560A">
            <w:pPr>
              <w:jc w:val="both"/>
              <w:rPr>
                <w:sz w:val="20"/>
                <w:lang w:val="fr-CA"/>
              </w:rPr>
            </w:pPr>
            <w:r w:rsidRPr="00AB78DC">
              <w:rPr>
                <w:sz w:val="20"/>
                <w:lang w:val="fr-CA"/>
              </w:rPr>
              <w:t>Cour suprême de la Colombie</w:t>
            </w:r>
            <w:r w:rsidRPr="00AB78DC">
              <w:rPr>
                <w:sz w:val="20"/>
                <w:lang w:val="fr-CA"/>
              </w:rPr>
              <w:noBreakHyphen/>
              <w:t>Britannique</w:t>
            </w:r>
          </w:p>
          <w:p w:rsidR="007B560A" w:rsidRPr="00AB78DC" w:rsidRDefault="007B560A" w:rsidP="007B560A">
            <w:pPr>
              <w:jc w:val="both"/>
              <w:rPr>
                <w:sz w:val="20"/>
                <w:lang w:val="fr-CA"/>
              </w:rPr>
            </w:pPr>
            <w:r w:rsidRPr="00AB78DC">
              <w:rPr>
                <w:sz w:val="20"/>
                <w:lang w:val="fr-CA"/>
              </w:rPr>
              <w:t>(juge Bruce)</w:t>
            </w:r>
          </w:p>
          <w:p w:rsidR="007B560A" w:rsidRPr="00AB78DC" w:rsidRDefault="00AB78DC" w:rsidP="007B560A">
            <w:pPr>
              <w:jc w:val="both"/>
              <w:rPr>
                <w:sz w:val="20"/>
                <w:lang w:val="fr-CA"/>
              </w:rPr>
            </w:pPr>
            <w:hyperlink r:id="rId16" w:history="1">
              <w:r w:rsidR="007B560A" w:rsidRPr="00AB78DC">
                <w:rPr>
                  <w:rStyle w:val="Hyperlink"/>
                  <w:sz w:val="20"/>
                  <w:lang w:val="fr-CA"/>
                </w:rPr>
                <w:t>2015 BCSC 2055</w:t>
              </w:r>
            </w:hyperlink>
          </w:p>
          <w:p w:rsidR="007B560A" w:rsidRPr="00AB78DC" w:rsidRDefault="007B560A" w:rsidP="007B560A">
            <w:pPr>
              <w:jc w:val="both"/>
              <w:rPr>
                <w:sz w:val="20"/>
                <w:lang w:val="fr-CA"/>
              </w:rPr>
            </w:pP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sz w:val="20"/>
                <w:lang w:val="fr-CA"/>
              </w:rPr>
              <w:t>La peine est imposée :</w:t>
            </w:r>
            <w:r w:rsidRPr="00AB78DC">
              <w:rPr>
                <w:color w:val="000000"/>
                <w:sz w:val="20"/>
                <w:lang w:val="fr-CA"/>
              </w:rPr>
              <w:t xml:space="preserve"> 17 ans et 339 jours d’emprisonnement.</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8 septembre 2021</w:t>
            </w:r>
          </w:p>
          <w:p w:rsidR="007B560A" w:rsidRPr="00AB78DC" w:rsidRDefault="007B560A" w:rsidP="007B560A">
            <w:pPr>
              <w:jc w:val="both"/>
              <w:rPr>
                <w:sz w:val="20"/>
                <w:lang w:val="fr-CA"/>
              </w:rPr>
            </w:pPr>
            <w:r w:rsidRPr="00AB78DC">
              <w:rPr>
                <w:sz w:val="20"/>
                <w:lang w:val="fr-CA"/>
              </w:rPr>
              <w:t>Cour d’appel de la Colombie</w:t>
            </w:r>
            <w:r w:rsidRPr="00AB78DC">
              <w:rPr>
                <w:sz w:val="20"/>
                <w:lang w:val="fr-CA"/>
              </w:rPr>
              <w:noBreakHyphen/>
              <w:t>Britannique</w:t>
            </w:r>
          </w:p>
          <w:p w:rsidR="007B560A" w:rsidRPr="00AB78DC" w:rsidRDefault="007B560A" w:rsidP="007B560A">
            <w:pPr>
              <w:jc w:val="both"/>
              <w:rPr>
                <w:sz w:val="20"/>
                <w:lang w:val="fr-CA"/>
              </w:rPr>
            </w:pPr>
            <w:r w:rsidRPr="00AB78DC">
              <w:rPr>
                <w:sz w:val="20"/>
                <w:lang w:val="fr-CA"/>
              </w:rPr>
              <w:t>(Vancouver)</w:t>
            </w:r>
          </w:p>
          <w:p w:rsidR="007B560A" w:rsidRPr="00AB78DC" w:rsidRDefault="007B560A" w:rsidP="007B560A">
            <w:pPr>
              <w:jc w:val="both"/>
              <w:rPr>
                <w:sz w:val="20"/>
                <w:lang w:val="fr-CA"/>
              </w:rPr>
            </w:pPr>
            <w:r w:rsidRPr="00AB78DC">
              <w:rPr>
                <w:sz w:val="20"/>
                <w:lang w:val="fr-CA"/>
              </w:rPr>
              <w:t>(juges Saunders, Bennett, Hunter)</w:t>
            </w:r>
          </w:p>
          <w:p w:rsidR="007B560A" w:rsidRPr="00AB78DC" w:rsidRDefault="007B560A" w:rsidP="007B560A">
            <w:pPr>
              <w:jc w:val="both"/>
              <w:rPr>
                <w:sz w:val="20"/>
                <w:lang w:val="fr-CA"/>
              </w:rPr>
            </w:pPr>
            <w:r w:rsidRPr="00AB78DC">
              <w:rPr>
                <w:sz w:val="20"/>
                <w:lang w:val="fr-CA"/>
              </w:rPr>
              <w:lastRenderedPageBreak/>
              <w:t xml:space="preserve">CA43308; </w:t>
            </w:r>
            <w:hyperlink r:id="rId17" w:history="1">
              <w:r w:rsidRPr="00AB78DC">
                <w:rPr>
                  <w:rStyle w:val="Hyperlink"/>
                  <w:sz w:val="20"/>
                  <w:lang w:val="fr-CA"/>
                </w:rPr>
                <w:t>2021 BCCA 328</w:t>
              </w:r>
            </w:hyperlink>
          </w:p>
          <w:p w:rsidR="007B560A" w:rsidRPr="00AB78DC" w:rsidRDefault="007B560A" w:rsidP="007B560A">
            <w:pPr>
              <w:jc w:val="both"/>
              <w:rPr>
                <w:sz w:val="20"/>
                <w:lang w:val="fr-CA"/>
              </w:rPr>
            </w:pP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iCs/>
                <w:color w:val="000000"/>
                <w:sz w:val="20"/>
                <w:lang w:val="fr-CA"/>
              </w:rPr>
              <w:t>L’appel de la déclaration de culpabilité et les demandes visant l’admission de nouveaux éléments de preuve sont rejetés.</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lastRenderedPageBreak/>
              <w:t>17 février 2022</w:t>
            </w:r>
          </w:p>
          <w:p w:rsidR="007B560A" w:rsidRPr="00AB78DC" w:rsidRDefault="007B560A" w:rsidP="007B560A">
            <w:pPr>
              <w:jc w:val="both"/>
              <w:rPr>
                <w:sz w:val="20"/>
                <w:lang w:val="fr-CA"/>
              </w:rPr>
            </w:pPr>
            <w:r w:rsidRPr="00AB78DC">
              <w:rPr>
                <w:sz w:val="20"/>
                <w:lang w:val="fr-CA"/>
              </w:rPr>
              <w:t>Cour suprême du Canada</w:t>
            </w:r>
          </w:p>
          <w:p w:rsidR="007B560A" w:rsidRPr="00AB78DC" w:rsidRDefault="007B560A" w:rsidP="007B560A">
            <w:pPr>
              <w:jc w:val="both"/>
              <w:rPr>
                <w:sz w:val="20"/>
                <w:lang w:val="fr-CA"/>
              </w:rPr>
            </w:pP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color w:val="000000"/>
                <w:sz w:val="20"/>
                <w:lang w:val="fr-CA"/>
              </w:rPr>
              <w:t>L</w:t>
            </w:r>
            <w:r w:rsidRPr="00AB78DC">
              <w:rPr>
                <w:sz w:val="20"/>
                <w:lang w:val="fr-CA"/>
              </w:rPr>
              <w:t>a requête en prorogation du délai de signification et de dépôt de la demande d’autorisation d’appel et la demande d’autorisation d’appel sont présentées.</w:t>
            </w:r>
          </w:p>
        </w:tc>
      </w:tr>
    </w:tbl>
    <w:p w:rsidR="007B560A" w:rsidRPr="00AB78DC" w:rsidRDefault="007B560A" w:rsidP="007B560A">
      <w:pPr>
        <w:jc w:val="both"/>
        <w:rPr>
          <w:sz w:val="20"/>
          <w:lang w:val="fr-CA"/>
        </w:rPr>
      </w:pPr>
    </w:p>
    <w:p w:rsidR="007B560A" w:rsidRPr="00AB78DC" w:rsidRDefault="00AB78DC" w:rsidP="007B560A">
      <w:pPr>
        <w:jc w:val="both"/>
        <w:rPr>
          <w:sz w:val="20"/>
          <w:lang w:val="fr-CA"/>
        </w:rPr>
      </w:pPr>
      <w:r w:rsidRPr="00AB78DC">
        <w:rPr>
          <w:sz w:val="20"/>
        </w:rPr>
        <w:pict>
          <v:rect id="_x0000_i1028" style="width:2in;height:1pt" o:hrpct="0" o:hralign="center" o:hrstd="t" o:hrnoshade="t" o:hr="t" fillcolor="black [3213]" stroked="f"/>
        </w:pict>
      </w:r>
    </w:p>
    <w:p w:rsidR="00474965" w:rsidRPr="00AB78DC" w:rsidRDefault="00474965" w:rsidP="007B560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560A" w:rsidRPr="00AB78DC" w:rsidTr="00E95A6A">
        <w:tc>
          <w:tcPr>
            <w:tcW w:w="543" w:type="pct"/>
          </w:tcPr>
          <w:p w:rsidR="007B560A" w:rsidRPr="00AB78DC" w:rsidRDefault="007B560A" w:rsidP="007B560A">
            <w:pPr>
              <w:jc w:val="both"/>
              <w:rPr>
                <w:sz w:val="20"/>
              </w:rPr>
            </w:pPr>
            <w:r w:rsidRPr="00AB78DC">
              <w:rPr>
                <w:rStyle w:val="SCCFileNumberChar"/>
                <w:sz w:val="20"/>
                <w:szCs w:val="20"/>
              </w:rPr>
              <w:t>40051</w:t>
            </w:r>
          </w:p>
        </w:tc>
        <w:tc>
          <w:tcPr>
            <w:tcW w:w="4457" w:type="pct"/>
            <w:gridSpan w:val="3"/>
          </w:tcPr>
          <w:p w:rsidR="007B560A" w:rsidRPr="00AB78DC" w:rsidRDefault="007B560A" w:rsidP="007B560A">
            <w:pPr>
              <w:pStyle w:val="SCCLsocParty"/>
              <w:jc w:val="both"/>
              <w:rPr>
                <w:b/>
                <w:sz w:val="20"/>
                <w:szCs w:val="20"/>
                <w:lang w:val="en-US"/>
              </w:rPr>
            </w:pPr>
            <w:r w:rsidRPr="00AB78DC">
              <w:rPr>
                <w:b/>
                <w:sz w:val="20"/>
                <w:szCs w:val="20"/>
                <w:lang w:val="en-US"/>
              </w:rPr>
              <w:t xml:space="preserve">FORCOMP Forestry Consulting Ltd., Martin </w:t>
            </w:r>
            <w:proofErr w:type="gramStart"/>
            <w:r w:rsidRPr="00AB78DC">
              <w:rPr>
                <w:b/>
                <w:sz w:val="20"/>
                <w:szCs w:val="20"/>
                <w:lang w:val="en-US"/>
              </w:rPr>
              <w:t>Watts</w:t>
            </w:r>
            <w:proofErr w:type="gramEnd"/>
            <w:r w:rsidRPr="00AB78DC">
              <w:rPr>
                <w:b/>
                <w:sz w:val="20"/>
                <w:szCs w:val="20"/>
                <w:lang w:val="en-US"/>
              </w:rPr>
              <w:t xml:space="preserve"> v. Her Majesty the Queen in Right of the Province of British Columbia, Albert Nussbaum, Jon Vivian, Patrick Martin, Sam Otukol</w:t>
            </w:r>
          </w:p>
          <w:p w:rsidR="007B560A" w:rsidRPr="00AB78DC" w:rsidRDefault="007B560A" w:rsidP="007B560A">
            <w:pPr>
              <w:jc w:val="both"/>
              <w:rPr>
                <w:sz w:val="20"/>
              </w:rPr>
            </w:pPr>
            <w:r w:rsidRPr="00AB78DC">
              <w:rPr>
                <w:sz w:val="20"/>
              </w:rPr>
              <w:t>(B.C.) (Civil) (By Leave)</w:t>
            </w:r>
          </w:p>
        </w:tc>
      </w:tr>
      <w:tr w:rsidR="007B560A" w:rsidRPr="00AB78DC" w:rsidTr="00E95A6A">
        <w:tc>
          <w:tcPr>
            <w:tcW w:w="5000" w:type="pct"/>
            <w:gridSpan w:val="4"/>
          </w:tcPr>
          <w:p w:rsidR="007B560A" w:rsidRPr="00AB78DC" w:rsidRDefault="007B560A" w:rsidP="007B560A">
            <w:pPr>
              <w:jc w:val="both"/>
              <w:rPr>
                <w:sz w:val="20"/>
              </w:rPr>
            </w:pPr>
            <w:r w:rsidRPr="00AB78DC">
              <w:rPr>
                <w:sz w:val="20"/>
              </w:rPr>
              <w:t>Civil procedure — Pleadings — Striking out claims — Torts — Intentional torts — Novel torts —Should Canadian law recognize the tort of blacklisting — Have Courts of Appeal in Canada failed to keep up to date by not recognizing blacklisting contractors in unique fields as a nominate tort in Canadian law — Is it correct to say that there is no existing body of law from which to develop the common law — Is there no readily apparent example of blacklisting for courts to follow — When and how should Canadian courts recognize novel torts — Under what circumstances can Canadian courts make an incremental development to the common law — To what extent is a body of academic or other commentary that advocates or supports the recognition of a novel tort required — When should incrementalism yield to the competing value of access to justice.</w:t>
            </w:r>
          </w:p>
        </w:tc>
      </w:tr>
      <w:tr w:rsidR="007B560A" w:rsidRPr="00AB78DC" w:rsidTr="00E95A6A">
        <w:tc>
          <w:tcPr>
            <w:tcW w:w="5000" w:type="pct"/>
            <w:gridSpan w:val="4"/>
          </w:tcPr>
          <w:p w:rsidR="007B560A" w:rsidRPr="00AB78DC" w:rsidRDefault="007B560A" w:rsidP="007B560A">
            <w:pPr>
              <w:jc w:val="both"/>
              <w:rPr>
                <w:sz w:val="20"/>
              </w:rPr>
            </w:pPr>
          </w:p>
        </w:tc>
      </w:tr>
      <w:tr w:rsidR="007B560A" w:rsidRPr="00AB78DC" w:rsidTr="00E95A6A">
        <w:tc>
          <w:tcPr>
            <w:tcW w:w="5000" w:type="pct"/>
            <w:gridSpan w:val="4"/>
          </w:tcPr>
          <w:p w:rsidR="007B560A" w:rsidRPr="00AB78DC" w:rsidRDefault="007B560A" w:rsidP="007B560A">
            <w:pPr>
              <w:jc w:val="both"/>
              <w:rPr>
                <w:iCs/>
                <w:color w:val="000000"/>
                <w:sz w:val="20"/>
              </w:rPr>
            </w:pPr>
            <w:r w:rsidRPr="00AB78DC">
              <w:rPr>
                <w:iCs/>
                <w:color w:val="000000"/>
                <w:sz w:val="20"/>
              </w:rPr>
              <w:t xml:space="preserve">The applicants brought claims against the respondents for misfeasance in public office, conspiracy, damages for breach of s. 2(b) of the </w:t>
            </w:r>
            <w:r w:rsidRPr="00AB78DC">
              <w:rPr>
                <w:i/>
                <w:iCs/>
                <w:color w:val="000000"/>
                <w:sz w:val="20"/>
              </w:rPr>
              <w:t>Charter</w:t>
            </w:r>
            <w:r w:rsidRPr="00AB78DC">
              <w:rPr>
                <w:iCs/>
                <w:color w:val="000000"/>
                <w:sz w:val="20"/>
              </w:rPr>
              <w:t xml:space="preserve">, and the novel claim of “blacklisting.” They claimed that a branch of the </w:t>
            </w:r>
            <w:r w:rsidRPr="00AB78DC">
              <w:rPr>
                <w:sz w:val="20"/>
              </w:rPr>
              <w:t>provincial Ministry of Forests, Lands, Natural Resource Operations &amp; Rural Development and its employees had malice and an intention to harm Mr. Watt because they were embarrassed and resentful about deficiencies raised by him in their data management, compilation and analysis. They alleged that the respondents set contract bidding qualifications that they knew the applicants could not satisfy, rejected the applicants from the 2011 to 2014 list of pre</w:t>
            </w:r>
            <w:r w:rsidRPr="00AB78DC">
              <w:rPr>
                <w:sz w:val="20"/>
              </w:rPr>
              <w:noBreakHyphen/>
              <w:t>qualified contractors, despite their inclusion on that list in previous years,</w:t>
            </w:r>
            <w:r w:rsidRPr="00AB78DC">
              <w:rPr>
                <w:iCs/>
                <w:color w:val="000000"/>
                <w:sz w:val="20"/>
              </w:rPr>
              <w:t xml:space="preserve"> denied data and information to the applicants that is routinely provided to contractors, and interfered with contracts between the applicants and other government branches. The respondents brought an application to strike the notice of civil claim and dismiss the action.</w:t>
            </w:r>
          </w:p>
          <w:p w:rsidR="007B560A" w:rsidRPr="00AB78DC" w:rsidRDefault="007B560A" w:rsidP="007B560A">
            <w:pPr>
              <w:jc w:val="both"/>
              <w:rPr>
                <w:iCs/>
                <w:color w:val="000000"/>
                <w:sz w:val="20"/>
              </w:rPr>
            </w:pPr>
          </w:p>
          <w:p w:rsidR="007B560A" w:rsidRPr="00AB78DC" w:rsidRDefault="007B560A" w:rsidP="007B560A">
            <w:pPr>
              <w:jc w:val="both"/>
              <w:rPr>
                <w:iCs/>
                <w:color w:val="000000"/>
                <w:sz w:val="20"/>
              </w:rPr>
            </w:pPr>
            <w:r w:rsidRPr="00AB78DC">
              <w:rPr>
                <w:iCs/>
                <w:color w:val="000000"/>
                <w:sz w:val="20"/>
              </w:rPr>
              <w:t xml:space="preserve">The chambers judge struck all four claims on the basis that the pleadings disclosed no reasonable cause of action and were unnecessary, frivolous and an abuse of process. The Court of Appeal allowed the appeal in part, set aside the lower court Order, dismissed the application to strike the claims of misfeasance in public office, conspiracy, and damages for breach of s. 2(b) of the </w:t>
            </w:r>
            <w:r w:rsidRPr="00AB78DC">
              <w:rPr>
                <w:i/>
                <w:iCs/>
                <w:color w:val="000000"/>
                <w:sz w:val="20"/>
              </w:rPr>
              <w:t>Charter</w:t>
            </w:r>
            <w:r w:rsidRPr="00AB78DC">
              <w:rPr>
                <w:iCs/>
                <w:color w:val="000000"/>
                <w:sz w:val="20"/>
              </w:rPr>
              <w:t xml:space="preserve">, but allowed the application to strike out the claim of blacklisting. </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t>March 26, 2019</w:t>
            </w:r>
          </w:p>
          <w:p w:rsidR="007B560A" w:rsidRPr="00AB78DC" w:rsidRDefault="007B560A" w:rsidP="007B560A">
            <w:pPr>
              <w:jc w:val="both"/>
              <w:rPr>
                <w:sz w:val="20"/>
              </w:rPr>
            </w:pPr>
            <w:r w:rsidRPr="00AB78DC">
              <w:rPr>
                <w:sz w:val="20"/>
              </w:rPr>
              <w:t>Supreme Court of British Columbia</w:t>
            </w:r>
          </w:p>
          <w:p w:rsidR="007B560A" w:rsidRPr="00AB78DC" w:rsidRDefault="007B560A" w:rsidP="007B560A">
            <w:pPr>
              <w:jc w:val="both"/>
              <w:rPr>
                <w:sz w:val="20"/>
              </w:rPr>
            </w:pPr>
            <w:r w:rsidRPr="00AB78DC">
              <w:rPr>
                <w:sz w:val="20"/>
              </w:rPr>
              <w:t>(Gaul J.)</w:t>
            </w:r>
          </w:p>
          <w:p w:rsidR="007B560A" w:rsidRPr="00AB78DC" w:rsidRDefault="00AB78DC" w:rsidP="007B560A">
            <w:pPr>
              <w:jc w:val="both"/>
              <w:rPr>
                <w:rStyle w:val="Hyperlink"/>
                <w:sz w:val="20"/>
              </w:rPr>
            </w:pPr>
            <w:hyperlink r:id="rId18" w:history="1">
              <w:r w:rsidR="007B560A" w:rsidRPr="00AB78DC">
                <w:rPr>
                  <w:rStyle w:val="Hyperlink"/>
                  <w:sz w:val="20"/>
                </w:rPr>
                <w:t>2019 BCSC 426</w:t>
              </w:r>
            </w:hyperlink>
          </w:p>
          <w:p w:rsidR="007B560A" w:rsidRPr="00AB78DC" w:rsidRDefault="007B560A" w:rsidP="007B560A">
            <w:pPr>
              <w:jc w:val="both"/>
              <w:rPr>
                <w:sz w:val="20"/>
              </w:rPr>
            </w:pP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rFonts w:cstheme="minorHAnsi"/>
                <w:color w:val="000000"/>
                <w:sz w:val="20"/>
              </w:rPr>
              <w:t>Respondents’ application granted; applicants’ amended notice of civil claim struck out and their action dismissed.</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t>December 10, 2021</w:t>
            </w:r>
          </w:p>
          <w:p w:rsidR="007B560A" w:rsidRPr="00AB78DC" w:rsidRDefault="007B560A" w:rsidP="007B560A">
            <w:pPr>
              <w:jc w:val="both"/>
              <w:rPr>
                <w:sz w:val="20"/>
              </w:rPr>
            </w:pPr>
            <w:r w:rsidRPr="00AB78DC">
              <w:rPr>
                <w:sz w:val="20"/>
              </w:rPr>
              <w:t xml:space="preserve">Court of Appeal for British Columbia </w:t>
            </w:r>
          </w:p>
          <w:p w:rsidR="007B560A" w:rsidRPr="00AB78DC" w:rsidRDefault="007B560A" w:rsidP="007B560A">
            <w:pPr>
              <w:jc w:val="both"/>
              <w:rPr>
                <w:sz w:val="20"/>
              </w:rPr>
            </w:pPr>
            <w:r w:rsidRPr="00AB78DC">
              <w:rPr>
                <w:sz w:val="20"/>
              </w:rPr>
              <w:t>(Vancouver)</w:t>
            </w:r>
          </w:p>
          <w:p w:rsidR="007B560A" w:rsidRPr="00AB78DC" w:rsidRDefault="007B560A" w:rsidP="007B560A">
            <w:pPr>
              <w:jc w:val="both"/>
              <w:rPr>
                <w:sz w:val="20"/>
              </w:rPr>
            </w:pPr>
            <w:r w:rsidRPr="00AB78DC">
              <w:rPr>
                <w:sz w:val="20"/>
              </w:rPr>
              <w:t>(Voith, MacKenzie and Marchand JJ.A.)</w:t>
            </w:r>
          </w:p>
          <w:p w:rsidR="007B560A" w:rsidRPr="00AB78DC" w:rsidRDefault="00AB78DC" w:rsidP="007B560A">
            <w:pPr>
              <w:jc w:val="both"/>
              <w:rPr>
                <w:sz w:val="20"/>
              </w:rPr>
            </w:pPr>
            <w:hyperlink r:id="rId19" w:history="1">
              <w:r w:rsidR="007B560A" w:rsidRPr="00AB78DC">
                <w:rPr>
                  <w:rStyle w:val="Hyperlink"/>
                  <w:sz w:val="20"/>
                </w:rPr>
                <w:t>2021 BCCA 465</w:t>
              </w:r>
            </w:hyperlink>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color w:val="000000"/>
                <w:sz w:val="20"/>
              </w:rPr>
            </w:pPr>
            <w:r w:rsidRPr="00AB78DC">
              <w:rPr>
                <w:sz w:val="20"/>
              </w:rPr>
              <w:t>Appeal allowed in part and lower court order set aside; the respondents’</w:t>
            </w:r>
            <w:r w:rsidRPr="00AB78DC">
              <w:rPr>
                <w:color w:val="000000"/>
                <w:sz w:val="20"/>
              </w:rPr>
              <w:t xml:space="preserve"> application to strike the claims of misfeasance in public office, conspiracy and breach of s. 2(b) of the </w:t>
            </w:r>
            <w:r w:rsidRPr="00AB78DC">
              <w:rPr>
                <w:i/>
                <w:iCs/>
                <w:color w:val="000000"/>
                <w:sz w:val="20"/>
              </w:rPr>
              <w:t>Charter</w:t>
            </w:r>
            <w:r w:rsidRPr="00AB78DC">
              <w:rPr>
                <w:color w:val="000000"/>
                <w:sz w:val="20"/>
              </w:rPr>
              <w:t xml:space="preserve"> was dismissed, but was allowed with respect to striking out the claim of blacklisting.</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t>February 8, 2022</w:t>
            </w:r>
          </w:p>
          <w:p w:rsidR="007B560A" w:rsidRPr="00AB78DC" w:rsidRDefault="007B560A" w:rsidP="007B560A">
            <w:pPr>
              <w:jc w:val="both"/>
              <w:rPr>
                <w:sz w:val="20"/>
              </w:rPr>
            </w:pPr>
            <w:r w:rsidRPr="00AB78DC">
              <w:rPr>
                <w:sz w:val="20"/>
              </w:rPr>
              <w:t>Supreme Court of Canada</w:t>
            </w: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sz w:val="20"/>
              </w:rPr>
              <w:t>Application for leave to appeal filed.</w:t>
            </w:r>
          </w:p>
        </w:tc>
      </w:tr>
    </w:tbl>
    <w:p w:rsidR="007B560A" w:rsidRPr="00AB78DC" w:rsidRDefault="007B560A" w:rsidP="007B560A">
      <w:pPr>
        <w:jc w:val="both"/>
        <w:rPr>
          <w:sz w:val="20"/>
        </w:rPr>
      </w:pPr>
    </w:p>
    <w:p w:rsidR="007B560A" w:rsidRPr="00AB78DC" w:rsidRDefault="00AB78DC" w:rsidP="007B560A">
      <w:pPr>
        <w:jc w:val="both"/>
        <w:rPr>
          <w:sz w:val="20"/>
        </w:rPr>
      </w:pPr>
      <w:r w:rsidRPr="00AB78DC">
        <w:rPr>
          <w:sz w:val="20"/>
        </w:rPr>
        <w:pict>
          <v:rect id="_x0000_i1029" style="width:2in;height:1pt" o:hrpct="0" o:hralign="center" o:hrstd="t" o:hrnoshade="t" o:hr="t" fillcolor="black [3213]" stroked="f"/>
        </w:pict>
      </w:r>
    </w:p>
    <w:p w:rsidR="007B560A" w:rsidRPr="00AB78DC" w:rsidRDefault="007B560A" w:rsidP="007B56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560A" w:rsidRPr="00AB78DC" w:rsidTr="00E95A6A">
        <w:tc>
          <w:tcPr>
            <w:tcW w:w="543" w:type="pct"/>
          </w:tcPr>
          <w:p w:rsidR="007B560A" w:rsidRPr="00AB78DC" w:rsidRDefault="007B560A" w:rsidP="007B560A">
            <w:pPr>
              <w:jc w:val="both"/>
              <w:rPr>
                <w:sz w:val="20"/>
                <w:lang w:val="fr-CA"/>
              </w:rPr>
            </w:pPr>
            <w:r w:rsidRPr="00AB78DC">
              <w:rPr>
                <w:rStyle w:val="SCCFileNumberChar"/>
                <w:sz w:val="20"/>
                <w:szCs w:val="20"/>
                <w:lang w:val="fr-CA"/>
              </w:rPr>
              <w:t>40051</w:t>
            </w:r>
          </w:p>
        </w:tc>
        <w:tc>
          <w:tcPr>
            <w:tcW w:w="4457" w:type="pct"/>
            <w:gridSpan w:val="3"/>
          </w:tcPr>
          <w:p w:rsidR="007B560A" w:rsidRPr="00AB78DC" w:rsidRDefault="007B560A" w:rsidP="007B560A">
            <w:pPr>
              <w:pStyle w:val="SCCLsocParty"/>
              <w:jc w:val="both"/>
              <w:rPr>
                <w:b/>
                <w:sz w:val="20"/>
                <w:szCs w:val="20"/>
              </w:rPr>
            </w:pPr>
            <w:r w:rsidRPr="00AB78DC">
              <w:rPr>
                <w:b/>
                <w:sz w:val="20"/>
                <w:szCs w:val="20"/>
              </w:rPr>
              <w:t>FORCOMP Forestry Consulting Ltd., Martin Watts c. Sa Majesté la Reine du chef de la province de la Colombie-Britannique, Albert Nussbaum, Jon Vivian, Patrick Martin, Sam Otukol</w:t>
            </w:r>
          </w:p>
          <w:p w:rsidR="007B560A" w:rsidRPr="00AB78DC" w:rsidRDefault="007B560A" w:rsidP="007B560A">
            <w:pPr>
              <w:jc w:val="both"/>
              <w:rPr>
                <w:sz w:val="20"/>
                <w:lang w:val="fr-CA"/>
              </w:rPr>
            </w:pPr>
            <w:r w:rsidRPr="00AB78DC">
              <w:rPr>
                <w:sz w:val="20"/>
                <w:lang w:val="fr-CA"/>
              </w:rPr>
              <w:t>(C.</w:t>
            </w:r>
            <w:r w:rsidRPr="00AB78DC">
              <w:rPr>
                <w:sz w:val="20"/>
                <w:lang w:val="fr-CA"/>
              </w:rPr>
              <w:noBreakHyphen/>
              <w:t>B.) (civile) (sur autorisation)</w:t>
            </w:r>
          </w:p>
        </w:tc>
      </w:tr>
      <w:tr w:rsidR="007B560A" w:rsidRPr="00AB78DC" w:rsidTr="00E95A6A">
        <w:tc>
          <w:tcPr>
            <w:tcW w:w="5000" w:type="pct"/>
            <w:gridSpan w:val="4"/>
          </w:tcPr>
          <w:p w:rsidR="007B560A" w:rsidRPr="00AB78DC" w:rsidRDefault="007B560A" w:rsidP="007B560A">
            <w:pPr>
              <w:jc w:val="both"/>
              <w:rPr>
                <w:sz w:val="20"/>
                <w:lang w:val="fr-CA"/>
              </w:rPr>
            </w:pPr>
            <w:r w:rsidRPr="00AB78DC">
              <w:rPr>
                <w:sz w:val="20"/>
                <w:lang w:val="fr-CA"/>
              </w:rPr>
              <w:lastRenderedPageBreak/>
              <w:t>Procédure civile — Actes de procédure — Radiation des demandes — Responsabilité délictuelle — Délits intentionnels — Nouveaux délits — Le droit canadien devrait</w:t>
            </w:r>
            <w:r w:rsidRPr="00AB78DC">
              <w:rPr>
                <w:sz w:val="20"/>
                <w:lang w:val="fr-CA"/>
              </w:rPr>
              <w:noBreakHyphen/>
              <w:t>il reconnaître le délit de l’inscription sur la liste noire ? — Les tribunaux d’appel au Canada ont</w:t>
            </w:r>
            <w:r w:rsidRPr="00AB78DC">
              <w:rPr>
                <w:sz w:val="20"/>
                <w:lang w:val="fr-CA"/>
              </w:rPr>
              <w:noBreakHyphen/>
              <w:t>ils négligé de se tenir à jour en ne reconnaissant pas, à titre de délit nommé en droit canadien, le fait d’inscrire des entrepreneurs œuvrant dans des domaines uniques sur la liste noire ? — Est</w:t>
            </w:r>
            <w:r w:rsidRPr="00AB78DC">
              <w:rPr>
                <w:sz w:val="20"/>
                <w:lang w:val="fr-CA"/>
              </w:rPr>
              <w:noBreakHyphen/>
              <w:t>il exact d’affirmer qu’aucun ensemble de règles de droit n’existe à partir duquel la common law pourrait être développée ? — N’existe</w:t>
            </w:r>
            <w:r w:rsidRPr="00AB78DC">
              <w:rPr>
                <w:sz w:val="20"/>
                <w:lang w:val="fr-CA"/>
              </w:rPr>
              <w:noBreakHyphen/>
              <w:t>t</w:t>
            </w:r>
            <w:r w:rsidRPr="00AB78DC">
              <w:rPr>
                <w:sz w:val="20"/>
                <w:lang w:val="fr-CA"/>
              </w:rPr>
              <w:noBreakHyphen/>
              <w:t>il aucun exemple évident d’inscription sur la liste noire qui pourrait être suivi par les tribunaux ? — Dans quelles circonstances, et de quelle manière les tribunaux canadiens devraient</w:t>
            </w:r>
            <w:r w:rsidRPr="00AB78DC">
              <w:rPr>
                <w:sz w:val="20"/>
                <w:lang w:val="fr-CA"/>
              </w:rPr>
              <w:noBreakHyphen/>
              <w:t>ils reconnaître les nouveaux délits ? — Dans quelles circonstances les tribunaux canadiens peuvent</w:t>
            </w:r>
            <w:r w:rsidRPr="00AB78DC">
              <w:rPr>
                <w:sz w:val="20"/>
                <w:lang w:val="fr-CA"/>
              </w:rPr>
              <w:noBreakHyphen/>
              <w:t>ils apporter de changements graduels à la common law ? — Dans quelle mesure un corpus de doctrine ou autres commentaires préconisant ou appuyant la reconnaissance d’un nouveau délit est</w:t>
            </w:r>
            <w:r w:rsidRPr="00AB78DC">
              <w:rPr>
                <w:sz w:val="20"/>
                <w:lang w:val="fr-CA"/>
              </w:rPr>
              <w:noBreakHyphen/>
              <w:t>il requis ? — Dans quelles circonstances le gradualisme devrait</w:t>
            </w:r>
            <w:r w:rsidRPr="00AB78DC">
              <w:rPr>
                <w:sz w:val="20"/>
                <w:lang w:val="fr-CA"/>
              </w:rPr>
              <w:noBreakHyphen/>
              <w:t>il céder devant la valeur opposée de l’accès à la justice ?</w:t>
            </w:r>
          </w:p>
        </w:tc>
      </w:tr>
      <w:tr w:rsidR="007B560A" w:rsidRPr="00AB78DC" w:rsidTr="00E95A6A">
        <w:tc>
          <w:tcPr>
            <w:tcW w:w="5000" w:type="pct"/>
            <w:gridSpan w:val="4"/>
          </w:tcPr>
          <w:p w:rsidR="007B560A" w:rsidRPr="00AB78DC" w:rsidRDefault="007B560A" w:rsidP="007B560A">
            <w:pPr>
              <w:jc w:val="both"/>
              <w:rPr>
                <w:sz w:val="20"/>
                <w:lang w:val="fr-CA"/>
              </w:rPr>
            </w:pPr>
          </w:p>
        </w:tc>
      </w:tr>
      <w:tr w:rsidR="007B560A" w:rsidRPr="00AB78DC" w:rsidTr="00E95A6A">
        <w:tc>
          <w:tcPr>
            <w:tcW w:w="5000" w:type="pct"/>
            <w:gridSpan w:val="4"/>
          </w:tcPr>
          <w:p w:rsidR="007B560A" w:rsidRPr="00AB78DC" w:rsidRDefault="007B560A" w:rsidP="007B560A">
            <w:pPr>
              <w:jc w:val="both"/>
              <w:rPr>
                <w:iCs/>
                <w:color w:val="000000"/>
                <w:sz w:val="20"/>
                <w:lang w:val="fr-CA"/>
              </w:rPr>
            </w:pPr>
            <w:r w:rsidRPr="00AB78DC">
              <w:rPr>
                <w:iCs/>
                <w:color w:val="000000"/>
                <w:sz w:val="20"/>
                <w:lang w:val="fr-CA"/>
              </w:rPr>
              <w:t>Les demandeurs ont intenté des actions contre les intimés pour faute dans l’exercice d’une charge publique, complot, dommages</w:t>
            </w:r>
            <w:r w:rsidRPr="00AB78DC">
              <w:rPr>
                <w:iCs/>
                <w:color w:val="000000"/>
                <w:sz w:val="20"/>
                <w:lang w:val="fr-CA"/>
              </w:rPr>
              <w:noBreakHyphen/>
              <w:t xml:space="preserve">intérêts pour violation de l’al. 2b) de la </w:t>
            </w:r>
            <w:r w:rsidRPr="00AB78DC">
              <w:rPr>
                <w:i/>
                <w:iCs/>
                <w:color w:val="000000"/>
                <w:sz w:val="20"/>
                <w:lang w:val="fr-CA"/>
              </w:rPr>
              <w:t>Charte</w:t>
            </w:r>
            <w:r w:rsidRPr="00AB78DC">
              <w:rPr>
                <w:iCs/>
                <w:color w:val="000000"/>
                <w:sz w:val="20"/>
                <w:lang w:val="fr-CA"/>
              </w:rPr>
              <w:t>, et pour commission d’un nouveau délit, soit l’« inscription sur la liste noire ». Ils allèguent qu’une division du ministère provincial des Forêts, des Terres, de l’Exploitation des ressources naturelles et du Développement rural et ses e</w:t>
            </w:r>
            <w:r w:rsidRPr="00AB78DC">
              <w:rPr>
                <w:sz w:val="20"/>
                <w:lang w:val="fr-CA"/>
              </w:rPr>
              <w:t>mployés ont fait preuve de malveillance et voulaient faire du tort à M. Watt, car ils avaient honte et étaient pleins de ressentiment à cause de lacunes que ce dernier avait soulevées par rapport à leur gestion, compilation et analyse des données. Les demandeurs allèguent que les intimés ont établi des qualifications relativement aux appels d’offres sachant que les demandeurs ne pouvaient satisfaire à celles</w:t>
            </w:r>
            <w:r w:rsidRPr="00AB78DC">
              <w:rPr>
                <w:sz w:val="20"/>
                <w:lang w:val="fr-CA"/>
              </w:rPr>
              <w:noBreakHyphen/>
              <w:t>ci, ont retiré les demandeurs de la liste des entrepreneurs préqualifiés de 2011 à 2014, malgré leur inclusion dans cette liste dans les années précédentes,</w:t>
            </w:r>
            <w:r w:rsidRPr="00AB78DC">
              <w:rPr>
                <w:iCs/>
                <w:color w:val="000000"/>
                <w:sz w:val="20"/>
                <w:lang w:val="fr-CA"/>
              </w:rPr>
              <w:t xml:space="preserve"> ont refusé de fournir aux demandeurs des données et renseignements qui sont habituellement fournis aux entrepreneurs, et ont interféré dans le cadre de contrats entre les demandeurs et d’autres divisions du gouvernement. Les intimés ont présenté une demande en radiation de l’avis de poursuite civile et en rejet de l’action.</w:t>
            </w:r>
          </w:p>
          <w:p w:rsidR="007B560A" w:rsidRPr="00AB78DC" w:rsidRDefault="007B560A" w:rsidP="007B560A">
            <w:pPr>
              <w:jc w:val="both"/>
              <w:rPr>
                <w:iCs/>
                <w:color w:val="000000"/>
                <w:sz w:val="20"/>
                <w:lang w:val="fr-CA"/>
              </w:rPr>
            </w:pPr>
          </w:p>
          <w:p w:rsidR="007B560A" w:rsidRPr="00AB78DC" w:rsidRDefault="007B560A" w:rsidP="007B560A">
            <w:pPr>
              <w:jc w:val="both"/>
              <w:rPr>
                <w:iCs/>
                <w:color w:val="000000"/>
                <w:sz w:val="20"/>
                <w:lang w:val="fr-CA"/>
              </w:rPr>
            </w:pPr>
            <w:r w:rsidRPr="00AB78DC">
              <w:rPr>
                <w:iCs/>
                <w:color w:val="000000"/>
                <w:sz w:val="20"/>
                <w:lang w:val="fr-CA"/>
              </w:rPr>
              <w:t>Le juge siégeant en son cabinet a radié toutes les quatre actions au motif que les actes de procédure ne</w:t>
            </w:r>
            <w:r w:rsidRPr="00AB78DC">
              <w:rPr>
                <w:sz w:val="20"/>
                <w:lang w:val="fr-CA"/>
              </w:rPr>
              <w:t xml:space="preserve"> </w:t>
            </w:r>
            <w:r w:rsidRPr="00AB78DC">
              <w:rPr>
                <w:iCs/>
                <w:color w:val="000000"/>
                <w:sz w:val="20"/>
                <w:lang w:val="fr-CA"/>
              </w:rPr>
              <w:t>révélaient aucune cause d’action fondée et qu’elles étaient inutiles, frivoles et constituaient un abus de procédure. La Cour d’appel a accueilli l’appel en partie, a annulé l’ordonnance rendue par le tribunal inférieur, a rejeté la demande en radiation des allégations de faute dans l’exercice d’une charge publique, de complot et de dommages</w:t>
            </w:r>
            <w:r w:rsidRPr="00AB78DC">
              <w:rPr>
                <w:iCs/>
                <w:color w:val="000000"/>
                <w:sz w:val="20"/>
                <w:lang w:val="fr-CA"/>
              </w:rPr>
              <w:noBreakHyphen/>
              <w:t xml:space="preserve">intérêts pour violation de l’al. 2b) de la </w:t>
            </w:r>
            <w:r w:rsidRPr="00AB78DC">
              <w:rPr>
                <w:i/>
                <w:iCs/>
                <w:color w:val="000000"/>
                <w:sz w:val="20"/>
                <w:lang w:val="fr-CA"/>
              </w:rPr>
              <w:t>Charte</w:t>
            </w:r>
            <w:r w:rsidRPr="00AB78DC">
              <w:rPr>
                <w:iCs/>
                <w:color w:val="000000"/>
                <w:sz w:val="20"/>
                <w:lang w:val="fr-CA"/>
              </w:rPr>
              <w:t>, mais a accueilli la demande en radiation de l’allégation d’inscription à la liste noire.</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26 mars 2019</w:t>
            </w:r>
          </w:p>
          <w:p w:rsidR="007B560A" w:rsidRPr="00AB78DC" w:rsidRDefault="007B560A" w:rsidP="007B560A">
            <w:pPr>
              <w:jc w:val="both"/>
              <w:rPr>
                <w:sz w:val="20"/>
                <w:lang w:val="fr-CA"/>
              </w:rPr>
            </w:pPr>
            <w:r w:rsidRPr="00AB78DC">
              <w:rPr>
                <w:sz w:val="20"/>
                <w:lang w:val="fr-CA"/>
              </w:rPr>
              <w:t>Cour suprême de la Colombie</w:t>
            </w:r>
            <w:r w:rsidRPr="00AB78DC">
              <w:rPr>
                <w:sz w:val="20"/>
                <w:lang w:val="fr-CA"/>
              </w:rPr>
              <w:noBreakHyphen/>
              <w:t>Britannique</w:t>
            </w:r>
          </w:p>
          <w:p w:rsidR="007B560A" w:rsidRPr="00AB78DC" w:rsidRDefault="007B560A" w:rsidP="007B560A">
            <w:pPr>
              <w:jc w:val="both"/>
              <w:rPr>
                <w:sz w:val="20"/>
                <w:lang w:val="fr-CA"/>
              </w:rPr>
            </w:pPr>
            <w:r w:rsidRPr="00AB78DC">
              <w:rPr>
                <w:sz w:val="20"/>
                <w:lang w:val="fr-CA"/>
              </w:rPr>
              <w:t>(juge Gaul)</w:t>
            </w:r>
          </w:p>
          <w:p w:rsidR="007B560A" w:rsidRPr="00AB78DC" w:rsidRDefault="00AB78DC" w:rsidP="007B560A">
            <w:pPr>
              <w:jc w:val="both"/>
              <w:rPr>
                <w:rStyle w:val="Hyperlink"/>
                <w:sz w:val="20"/>
                <w:lang w:val="fr-CA"/>
              </w:rPr>
            </w:pPr>
            <w:hyperlink r:id="rId20" w:history="1">
              <w:r w:rsidR="007B560A" w:rsidRPr="00AB78DC">
                <w:rPr>
                  <w:rStyle w:val="Hyperlink"/>
                  <w:sz w:val="20"/>
                  <w:lang w:val="fr-CA"/>
                </w:rPr>
                <w:t>2019 BCSC 426</w:t>
              </w:r>
            </w:hyperlink>
          </w:p>
          <w:p w:rsidR="007B560A" w:rsidRPr="00AB78DC" w:rsidRDefault="007B560A" w:rsidP="007B560A">
            <w:pPr>
              <w:jc w:val="both"/>
              <w:rPr>
                <w:sz w:val="20"/>
                <w:lang w:val="fr-CA"/>
              </w:rPr>
            </w:pP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rFonts w:cstheme="minorHAnsi"/>
                <w:color w:val="000000"/>
                <w:sz w:val="20"/>
                <w:lang w:val="fr-CA"/>
              </w:rPr>
              <w:t>La demande des intimés est accueillie; l’avis de poursuite civile modifié des demandeurs est radié et leur action est rejetée.</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10 décembre 2021</w:t>
            </w:r>
          </w:p>
          <w:p w:rsidR="007B560A" w:rsidRPr="00AB78DC" w:rsidRDefault="007B560A" w:rsidP="007B560A">
            <w:pPr>
              <w:jc w:val="both"/>
              <w:rPr>
                <w:sz w:val="20"/>
                <w:lang w:val="fr-CA"/>
              </w:rPr>
            </w:pPr>
            <w:r w:rsidRPr="00AB78DC">
              <w:rPr>
                <w:sz w:val="20"/>
                <w:lang w:val="fr-CA"/>
              </w:rPr>
              <w:t>Cour d’appel de la Colombie</w:t>
            </w:r>
            <w:r w:rsidRPr="00AB78DC">
              <w:rPr>
                <w:sz w:val="20"/>
                <w:lang w:val="fr-CA"/>
              </w:rPr>
              <w:noBreakHyphen/>
              <w:t>Britannique</w:t>
            </w:r>
          </w:p>
          <w:p w:rsidR="007B560A" w:rsidRPr="00AB78DC" w:rsidRDefault="007B560A" w:rsidP="007B560A">
            <w:pPr>
              <w:jc w:val="both"/>
              <w:rPr>
                <w:sz w:val="20"/>
                <w:lang w:val="fr-CA"/>
              </w:rPr>
            </w:pPr>
            <w:r w:rsidRPr="00AB78DC">
              <w:rPr>
                <w:sz w:val="20"/>
                <w:lang w:val="fr-CA"/>
              </w:rPr>
              <w:t>(Vancouver)</w:t>
            </w:r>
          </w:p>
          <w:p w:rsidR="007B560A" w:rsidRPr="00AB78DC" w:rsidRDefault="007B560A" w:rsidP="007B560A">
            <w:pPr>
              <w:jc w:val="both"/>
              <w:rPr>
                <w:sz w:val="20"/>
                <w:lang w:val="fr-CA"/>
              </w:rPr>
            </w:pPr>
            <w:r w:rsidRPr="00AB78DC">
              <w:rPr>
                <w:sz w:val="20"/>
                <w:lang w:val="fr-CA"/>
              </w:rPr>
              <w:t>(juges Voith, MacKenzie et Marchand)</w:t>
            </w:r>
          </w:p>
          <w:p w:rsidR="007B560A" w:rsidRPr="00AB78DC" w:rsidRDefault="00AB78DC" w:rsidP="007B560A">
            <w:pPr>
              <w:jc w:val="both"/>
              <w:rPr>
                <w:sz w:val="20"/>
                <w:lang w:val="fr-CA"/>
              </w:rPr>
            </w:pPr>
            <w:hyperlink r:id="rId21" w:history="1">
              <w:r w:rsidR="007B560A" w:rsidRPr="00AB78DC">
                <w:rPr>
                  <w:rStyle w:val="Hyperlink"/>
                  <w:sz w:val="20"/>
                  <w:lang w:val="fr-CA"/>
                </w:rPr>
                <w:t>2021 BCCA 465</w:t>
              </w:r>
            </w:hyperlink>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color w:val="000000"/>
                <w:sz w:val="20"/>
                <w:lang w:val="fr-CA"/>
              </w:rPr>
            </w:pPr>
            <w:r w:rsidRPr="00AB78DC">
              <w:rPr>
                <w:sz w:val="20"/>
                <w:lang w:val="fr-CA"/>
              </w:rPr>
              <w:t>L’appel est accueilli en partie et l’ordonnance rendue par le tribunal inférieur est annulée; la demande des intimés en</w:t>
            </w:r>
            <w:r w:rsidRPr="00AB78DC">
              <w:rPr>
                <w:iCs/>
                <w:color w:val="000000"/>
                <w:sz w:val="20"/>
                <w:lang w:val="fr-CA"/>
              </w:rPr>
              <w:t xml:space="preserve"> </w:t>
            </w:r>
            <w:r w:rsidRPr="00AB78DC">
              <w:rPr>
                <w:iCs/>
                <w:sz w:val="20"/>
                <w:lang w:val="fr-CA"/>
              </w:rPr>
              <w:t>radiation des allégations de faute dans l’exercice d’une charge publique, de complot et de dommages</w:t>
            </w:r>
            <w:r w:rsidRPr="00AB78DC">
              <w:rPr>
                <w:iCs/>
                <w:sz w:val="20"/>
                <w:lang w:val="fr-CA"/>
              </w:rPr>
              <w:noBreakHyphen/>
              <w:t xml:space="preserve">intérêts pour violation de l’al. 2b) de la </w:t>
            </w:r>
            <w:r w:rsidRPr="00AB78DC">
              <w:rPr>
                <w:i/>
                <w:iCs/>
                <w:sz w:val="20"/>
                <w:lang w:val="fr-CA"/>
              </w:rPr>
              <w:t>Charte</w:t>
            </w:r>
            <w:r w:rsidRPr="00AB78DC">
              <w:rPr>
                <w:sz w:val="20"/>
                <w:lang w:val="fr-CA"/>
              </w:rPr>
              <w:t xml:space="preserve"> </w:t>
            </w:r>
            <w:r w:rsidRPr="00AB78DC">
              <w:rPr>
                <w:color w:val="000000"/>
                <w:sz w:val="20"/>
                <w:lang w:val="fr-CA"/>
              </w:rPr>
              <w:t>est rejetée, mais est accueillie en ce qui a trait à la radiation de l’allégation</w:t>
            </w:r>
            <w:r w:rsidRPr="00AB78DC">
              <w:rPr>
                <w:iCs/>
                <w:color w:val="000000"/>
                <w:sz w:val="20"/>
                <w:lang w:val="fr-CA"/>
              </w:rPr>
              <w:t xml:space="preserve"> d’inscription à la liste noire</w:t>
            </w:r>
            <w:r w:rsidRPr="00AB78DC">
              <w:rPr>
                <w:color w:val="000000"/>
                <w:sz w:val="20"/>
                <w:lang w:val="fr-CA"/>
              </w:rPr>
              <w:t>.</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8 février 2022</w:t>
            </w:r>
          </w:p>
          <w:p w:rsidR="007B560A" w:rsidRPr="00AB78DC" w:rsidRDefault="007B560A" w:rsidP="007B560A">
            <w:pPr>
              <w:jc w:val="both"/>
              <w:rPr>
                <w:sz w:val="20"/>
                <w:lang w:val="fr-CA"/>
              </w:rPr>
            </w:pPr>
            <w:r w:rsidRPr="00AB78DC">
              <w:rPr>
                <w:sz w:val="20"/>
                <w:lang w:val="fr-CA"/>
              </w:rPr>
              <w:t>Cour suprême du Canada</w:t>
            </w: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sz w:val="20"/>
                <w:lang w:val="fr-CA"/>
              </w:rPr>
              <w:t>La demande d’autorisation d’appel est présentée.</w:t>
            </w:r>
          </w:p>
        </w:tc>
      </w:tr>
    </w:tbl>
    <w:p w:rsidR="007B560A" w:rsidRPr="00AB78DC" w:rsidRDefault="007B560A" w:rsidP="007B560A">
      <w:pPr>
        <w:jc w:val="both"/>
        <w:rPr>
          <w:sz w:val="20"/>
          <w:lang w:val="fr-CA"/>
        </w:rPr>
      </w:pPr>
    </w:p>
    <w:p w:rsidR="007B560A" w:rsidRPr="00AB78DC" w:rsidRDefault="00AB78DC" w:rsidP="007B560A">
      <w:pPr>
        <w:jc w:val="both"/>
        <w:rPr>
          <w:sz w:val="20"/>
          <w:lang w:val="fr-CA"/>
        </w:rPr>
      </w:pPr>
      <w:r w:rsidRPr="00AB78DC">
        <w:rPr>
          <w:sz w:val="20"/>
        </w:rPr>
        <w:pict>
          <v:rect id="_x0000_i1030" style="width:2in;height:1pt" o:hrpct="0" o:hralign="center" o:hrstd="t" o:hrnoshade="t" o:hr="t" fillcolor="black [3213]" stroked="f"/>
        </w:pict>
      </w:r>
    </w:p>
    <w:p w:rsidR="00352CA1" w:rsidRPr="00AB78DC" w:rsidRDefault="00352CA1" w:rsidP="007B560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560A" w:rsidRPr="00AB78DC" w:rsidTr="00E95A6A">
        <w:tc>
          <w:tcPr>
            <w:tcW w:w="543" w:type="pct"/>
          </w:tcPr>
          <w:p w:rsidR="007B560A" w:rsidRPr="00AB78DC" w:rsidRDefault="007B560A" w:rsidP="007B560A">
            <w:pPr>
              <w:jc w:val="both"/>
              <w:rPr>
                <w:sz w:val="20"/>
              </w:rPr>
            </w:pPr>
            <w:r w:rsidRPr="00AB78DC">
              <w:rPr>
                <w:rStyle w:val="SCCFileNumberChar"/>
                <w:sz w:val="20"/>
                <w:szCs w:val="20"/>
              </w:rPr>
              <w:t>40068</w:t>
            </w:r>
          </w:p>
        </w:tc>
        <w:tc>
          <w:tcPr>
            <w:tcW w:w="4457" w:type="pct"/>
            <w:gridSpan w:val="3"/>
          </w:tcPr>
          <w:p w:rsidR="007B560A" w:rsidRPr="00AB78DC" w:rsidRDefault="007B560A" w:rsidP="007B560A">
            <w:pPr>
              <w:pStyle w:val="SCCLsocParty"/>
              <w:jc w:val="both"/>
              <w:rPr>
                <w:b/>
                <w:sz w:val="20"/>
                <w:szCs w:val="20"/>
                <w:lang w:val="en-US"/>
              </w:rPr>
            </w:pPr>
            <w:r w:rsidRPr="00AB78DC">
              <w:rPr>
                <w:b/>
                <w:sz w:val="20"/>
                <w:szCs w:val="20"/>
                <w:lang w:val="en-US"/>
              </w:rPr>
              <w:t>J.F. v. Province of New Brunswick, as represented  by the Minister of Justice</w:t>
            </w:r>
          </w:p>
          <w:p w:rsidR="007B560A" w:rsidRPr="00AB78DC" w:rsidRDefault="007B560A" w:rsidP="007B560A">
            <w:pPr>
              <w:jc w:val="both"/>
              <w:rPr>
                <w:sz w:val="20"/>
              </w:rPr>
            </w:pPr>
            <w:r w:rsidRPr="00AB78DC">
              <w:rPr>
                <w:sz w:val="20"/>
              </w:rPr>
              <w:t>(N.B.) (Civil) (By Leave)</w:t>
            </w:r>
          </w:p>
        </w:tc>
      </w:tr>
      <w:tr w:rsidR="007B560A" w:rsidRPr="00AB78DC" w:rsidTr="00E95A6A">
        <w:tc>
          <w:tcPr>
            <w:tcW w:w="5000" w:type="pct"/>
            <w:gridSpan w:val="4"/>
          </w:tcPr>
          <w:p w:rsidR="007B560A" w:rsidRPr="00AB78DC" w:rsidRDefault="007B560A" w:rsidP="007B560A">
            <w:pPr>
              <w:pStyle w:val="SCCBanSummary"/>
              <w:rPr>
                <w:sz w:val="20"/>
                <w:szCs w:val="20"/>
              </w:rPr>
            </w:pPr>
            <w:r w:rsidRPr="00AB78DC">
              <w:rPr>
                <w:sz w:val="20"/>
                <w:szCs w:val="20"/>
              </w:rPr>
              <w:t>(Publication ban in case)</w:t>
            </w:r>
          </w:p>
          <w:p w:rsidR="007B560A" w:rsidRPr="00AB78DC" w:rsidRDefault="007B560A" w:rsidP="007B560A">
            <w:pPr>
              <w:jc w:val="both"/>
              <w:rPr>
                <w:sz w:val="20"/>
              </w:rPr>
            </w:pPr>
          </w:p>
          <w:p w:rsidR="007B560A" w:rsidRPr="00AB78DC" w:rsidRDefault="007B560A" w:rsidP="007B560A">
            <w:pPr>
              <w:jc w:val="both"/>
              <w:rPr>
                <w:sz w:val="20"/>
              </w:rPr>
            </w:pPr>
            <w:r w:rsidRPr="00AB78DC">
              <w:rPr>
                <w:sz w:val="20"/>
              </w:rPr>
              <w:lastRenderedPageBreak/>
              <w:t>Charter of Rights — Right to life, liberty and security of person — Status of persons — Child protection proceedings — Non</w:t>
            </w:r>
            <w:r w:rsidRPr="00AB78DC">
              <w:rPr>
                <w:sz w:val="20"/>
              </w:rPr>
              <w:noBreakHyphen/>
              <w:t>custodial parent — Application for state</w:t>
            </w:r>
            <w:r w:rsidRPr="00AB78DC">
              <w:rPr>
                <w:sz w:val="20"/>
              </w:rPr>
              <w:noBreakHyphen/>
              <w:t xml:space="preserve">ordered counsel — Sufficient relationship to child — Whether the Court of Appeal erred in limiting the factors that a judge can consider in deciding whether there is a sufficient relationship, as contemplated in </w:t>
            </w:r>
            <w:r w:rsidRPr="00AB78DC">
              <w:rPr>
                <w:i/>
                <w:sz w:val="20"/>
              </w:rPr>
              <w:t>New Brunswick</w:t>
            </w:r>
            <w:r w:rsidRPr="00AB78DC">
              <w:rPr>
                <w:sz w:val="20"/>
              </w:rPr>
              <w:t xml:space="preserve"> </w:t>
            </w:r>
            <w:r w:rsidRPr="00AB78DC">
              <w:rPr>
                <w:i/>
                <w:sz w:val="20"/>
              </w:rPr>
              <w:t>(Minister of Health and Community Services) v. G.</w:t>
            </w:r>
            <w:r w:rsidRPr="00AB78DC">
              <w:rPr>
                <w:sz w:val="20"/>
              </w:rPr>
              <w:t xml:space="preserve"> (</w:t>
            </w:r>
            <w:r w:rsidRPr="00AB78DC">
              <w:rPr>
                <w:i/>
                <w:sz w:val="20"/>
              </w:rPr>
              <w:t>J</w:t>
            </w:r>
            <w:r w:rsidRPr="00AB78DC">
              <w:rPr>
                <w:sz w:val="20"/>
              </w:rPr>
              <w:t xml:space="preserve">.), [1999] 3 S.C.R. 46, so as to engage the parent’s s. 7 </w:t>
            </w:r>
            <w:r w:rsidRPr="00AB78DC">
              <w:rPr>
                <w:i/>
                <w:sz w:val="20"/>
              </w:rPr>
              <w:t>Charter</w:t>
            </w:r>
            <w:r w:rsidRPr="00AB78DC">
              <w:rPr>
                <w:sz w:val="20"/>
              </w:rPr>
              <w:t xml:space="preserve"> right to security of the person and grant the remedy of appointing state</w:t>
            </w:r>
            <w:r w:rsidRPr="00AB78DC">
              <w:rPr>
                <w:sz w:val="20"/>
              </w:rPr>
              <w:noBreakHyphen/>
              <w:t xml:space="preserve">funded counsel — Whether the Court of Appeal erred in finding that the criteria defining the best interests of the child, particularly domestic violence, were not relevant considerations to a parent’s application for state-funded counsel for representation at a child protection proceeding — What factors a judge can properly consider in applying the remedy provided for in </w:t>
            </w:r>
            <w:r w:rsidRPr="00AB78DC">
              <w:rPr>
                <w:i/>
                <w:sz w:val="20"/>
              </w:rPr>
              <w:t>G.</w:t>
            </w:r>
            <w:r w:rsidRPr="00AB78DC">
              <w:rPr>
                <w:sz w:val="20"/>
              </w:rPr>
              <w:t xml:space="preserve"> (</w:t>
            </w:r>
            <w:r w:rsidRPr="00AB78DC">
              <w:rPr>
                <w:i/>
                <w:sz w:val="20"/>
              </w:rPr>
              <w:t>J</w:t>
            </w:r>
            <w:r w:rsidRPr="00AB78DC">
              <w:rPr>
                <w:sz w:val="20"/>
              </w:rPr>
              <w:t>.).</w:t>
            </w:r>
          </w:p>
        </w:tc>
      </w:tr>
      <w:tr w:rsidR="007B560A" w:rsidRPr="00AB78DC" w:rsidTr="00E95A6A">
        <w:tc>
          <w:tcPr>
            <w:tcW w:w="5000" w:type="pct"/>
            <w:gridSpan w:val="4"/>
          </w:tcPr>
          <w:p w:rsidR="007B560A" w:rsidRPr="00AB78DC" w:rsidRDefault="007B560A" w:rsidP="007B560A">
            <w:pPr>
              <w:jc w:val="both"/>
              <w:rPr>
                <w:sz w:val="20"/>
              </w:rPr>
            </w:pPr>
          </w:p>
        </w:tc>
      </w:tr>
      <w:tr w:rsidR="007B560A" w:rsidRPr="00AB78DC" w:rsidTr="00E95A6A">
        <w:tc>
          <w:tcPr>
            <w:tcW w:w="5000" w:type="pct"/>
            <w:gridSpan w:val="4"/>
          </w:tcPr>
          <w:p w:rsidR="007B560A" w:rsidRPr="00AB78DC" w:rsidRDefault="007B560A" w:rsidP="007B560A">
            <w:pPr>
              <w:jc w:val="both"/>
              <w:rPr>
                <w:sz w:val="20"/>
              </w:rPr>
            </w:pPr>
            <w:r w:rsidRPr="00AB78DC">
              <w:rPr>
                <w:sz w:val="20"/>
              </w:rPr>
              <w:t>The non</w:t>
            </w:r>
            <w:r w:rsidRPr="00AB78DC">
              <w:rPr>
                <w:sz w:val="20"/>
              </w:rPr>
              <w:noBreakHyphen/>
              <w:t>custodial parent of a child subject to guardianship proceedings applied for state</w:t>
            </w:r>
            <w:r w:rsidRPr="00AB78DC">
              <w:rPr>
                <w:sz w:val="20"/>
              </w:rPr>
              <w:noBreakHyphen/>
              <w:t>funded counsel to assist her at the guardianship proceedings. She argued that she had not been able to be actively involved in the child’s life or to engage in regular access, in part, because of the father’s abusive and controlling behaviour.</w:t>
            </w:r>
          </w:p>
          <w:p w:rsidR="007B560A" w:rsidRPr="00AB78DC" w:rsidRDefault="007B560A" w:rsidP="007B560A">
            <w:pPr>
              <w:jc w:val="both"/>
              <w:rPr>
                <w:sz w:val="20"/>
              </w:rPr>
            </w:pPr>
          </w:p>
          <w:p w:rsidR="007B560A" w:rsidRPr="00AB78DC" w:rsidRDefault="007B560A" w:rsidP="007B560A">
            <w:pPr>
              <w:jc w:val="both"/>
              <w:rPr>
                <w:sz w:val="20"/>
              </w:rPr>
            </w:pPr>
            <w:r w:rsidRPr="00AB78DC">
              <w:rPr>
                <w:sz w:val="20"/>
              </w:rPr>
              <w:t>The application judge granted the mother’s application for state-funded counsel. The Court of Appeal allowed an appeal and set the application judge’s decision aside.</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t>June 23, 2021</w:t>
            </w:r>
          </w:p>
          <w:p w:rsidR="007B560A" w:rsidRPr="00AB78DC" w:rsidRDefault="007B560A" w:rsidP="007B560A">
            <w:pPr>
              <w:jc w:val="both"/>
              <w:rPr>
                <w:sz w:val="20"/>
              </w:rPr>
            </w:pPr>
            <w:r w:rsidRPr="00AB78DC">
              <w:rPr>
                <w:sz w:val="20"/>
              </w:rPr>
              <w:t>Court of Queen’s Bench of New Brunswick</w:t>
            </w:r>
          </w:p>
          <w:p w:rsidR="007B560A" w:rsidRPr="00AB78DC" w:rsidRDefault="007B560A" w:rsidP="007B560A">
            <w:pPr>
              <w:jc w:val="both"/>
              <w:rPr>
                <w:sz w:val="20"/>
              </w:rPr>
            </w:pPr>
            <w:r w:rsidRPr="00AB78DC">
              <w:rPr>
                <w:sz w:val="20"/>
              </w:rPr>
              <w:t>(Bélanger-Richard J.)</w:t>
            </w:r>
          </w:p>
          <w:p w:rsidR="007B560A" w:rsidRPr="00AB78DC" w:rsidRDefault="00AB78DC" w:rsidP="007B560A">
            <w:pPr>
              <w:jc w:val="both"/>
              <w:rPr>
                <w:sz w:val="20"/>
                <w:lang w:val="fr-CA"/>
              </w:rPr>
            </w:pPr>
            <w:hyperlink r:id="rId22" w:history="1">
              <w:r w:rsidR="007B560A" w:rsidRPr="00AB78DC">
                <w:rPr>
                  <w:rStyle w:val="Hyperlink"/>
                  <w:rFonts w:eastAsiaTheme="majorEastAsia"/>
                  <w:color w:val="01496F"/>
                  <w:sz w:val="20"/>
                </w:rPr>
                <w:t>2021 NBQB 150</w:t>
              </w:r>
            </w:hyperlink>
          </w:p>
          <w:p w:rsidR="007B560A" w:rsidRPr="00AB78DC" w:rsidRDefault="007B560A" w:rsidP="007B560A">
            <w:pPr>
              <w:jc w:val="both"/>
              <w:rPr>
                <w:sz w:val="20"/>
              </w:rPr>
            </w:pP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sz w:val="20"/>
              </w:rPr>
              <w:t>Minister ordered to provide state</w:t>
            </w:r>
            <w:r w:rsidRPr="00AB78DC">
              <w:rPr>
                <w:sz w:val="20"/>
              </w:rPr>
              <w:noBreakHyphen/>
              <w:t>funded counsel to mother</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t>December 23, 2021</w:t>
            </w:r>
          </w:p>
          <w:p w:rsidR="007B560A" w:rsidRPr="00AB78DC" w:rsidRDefault="007B560A" w:rsidP="007B560A">
            <w:pPr>
              <w:jc w:val="both"/>
              <w:rPr>
                <w:sz w:val="20"/>
              </w:rPr>
            </w:pPr>
            <w:r w:rsidRPr="00AB78DC">
              <w:rPr>
                <w:sz w:val="20"/>
              </w:rPr>
              <w:t>Court of Appeal of New Brunswick</w:t>
            </w:r>
          </w:p>
          <w:p w:rsidR="007B560A" w:rsidRPr="00AB78DC" w:rsidRDefault="007B560A" w:rsidP="007B560A">
            <w:pPr>
              <w:jc w:val="both"/>
              <w:rPr>
                <w:sz w:val="20"/>
              </w:rPr>
            </w:pPr>
            <w:r w:rsidRPr="00AB78DC">
              <w:rPr>
                <w:sz w:val="20"/>
              </w:rPr>
              <w:t>(Green, Baird and LaVigne JJ.A.)</w:t>
            </w:r>
          </w:p>
          <w:p w:rsidR="007B560A" w:rsidRPr="00AB78DC" w:rsidRDefault="00AB78DC" w:rsidP="007B560A">
            <w:pPr>
              <w:jc w:val="both"/>
              <w:rPr>
                <w:sz w:val="20"/>
              </w:rPr>
            </w:pPr>
            <w:hyperlink r:id="rId23" w:history="1">
              <w:r w:rsidR="007B560A" w:rsidRPr="00AB78DC">
                <w:rPr>
                  <w:rStyle w:val="Hyperlink"/>
                  <w:sz w:val="20"/>
                </w:rPr>
                <w:t>2021 NBCA 61</w:t>
              </w:r>
            </w:hyperlink>
          </w:p>
          <w:p w:rsidR="007B560A" w:rsidRPr="00AB78DC" w:rsidRDefault="007B560A" w:rsidP="007B560A">
            <w:pPr>
              <w:jc w:val="both"/>
              <w:rPr>
                <w:sz w:val="20"/>
              </w:rPr>
            </w:pP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sz w:val="20"/>
              </w:rPr>
              <w:t>Appeal allowed; application judge’s decision set aside</w:t>
            </w:r>
          </w:p>
        </w:tc>
      </w:tr>
      <w:tr w:rsidR="007B560A" w:rsidRPr="00AB78DC" w:rsidTr="00E95A6A">
        <w:tc>
          <w:tcPr>
            <w:tcW w:w="2427" w:type="pct"/>
            <w:gridSpan w:val="2"/>
          </w:tcPr>
          <w:p w:rsidR="007B560A" w:rsidRPr="00AB78DC" w:rsidRDefault="007B560A" w:rsidP="007B560A">
            <w:pPr>
              <w:jc w:val="both"/>
              <w:rPr>
                <w:sz w:val="20"/>
              </w:rPr>
            </w:pPr>
            <w:r w:rsidRPr="00AB78DC">
              <w:rPr>
                <w:sz w:val="20"/>
              </w:rPr>
              <w:t>February 3, 2022</w:t>
            </w:r>
          </w:p>
          <w:p w:rsidR="007B560A" w:rsidRPr="00AB78DC" w:rsidRDefault="007B560A" w:rsidP="007B560A">
            <w:pPr>
              <w:jc w:val="both"/>
              <w:rPr>
                <w:sz w:val="20"/>
              </w:rPr>
            </w:pPr>
            <w:r w:rsidRPr="00AB78DC">
              <w:rPr>
                <w:sz w:val="20"/>
              </w:rPr>
              <w:t>Supreme Court of Canada</w:t>
            </w: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sz w:val="20"/>
              </w:rPr>
              <w:t>Application for leave to appeal filed</w:t>
            </w:r>
          </w:p>
          <w:p w:rsidR="007B560A" w:rsidRPr="00AB78DC" w:rsidRDefault="007B560A" w:rsidP="007B560A">
            <w:pPr>
              <w:jc w:val="both"/>
              <w:rPr>
                <w:sz w:val="20"/>
              </w:rPr>
            </w:pPr>
          </w:p>
        </w:tc>
      </w:tr>
    </w:tbl>
    <w:p w:rsidR="007B560A" w:rsidRPr="00AB78DC" w:rsidRDefault="007B560A" w:rsidP="007B560A">
      <w:pPr>
        <w:jc w:val="both"/>
        <w:rPr>
          <w:sz w:val="20"/>
        </w:rPr>
      </w:pPr>
    </w:p>
    <w:p w:rsidR="007B560A" w:rsidRPr="00AB78DC" w:rsidRDefault="00AB78DC" w:rsidP="007B560A">
      <w:pPr>
        <w:jc w:val="both"/>
        <w:rPr>
          <w:sz w:val="20"/>
        </w:rPr>
      </w:pPr>
      <w:r w:rsidRPr="00AB78DC">
        <w:rPr>
          <w:sz w:val="20"/>
        </w:rPr>
        <w:pict>
          <v:rect id="_x0000_i1031" style="width:2in;height:1pt" o:hrpct="0" o:hralign="center" o:hrstd="t" o:hrnoshade="t" o:hr="t" fillcolor="black [3213]" stroked="f"/>
        </w:pict>
      </w:r>
    </w:p>
    <w:p w:rsidR="007B560A" w:rsidRPr="00AB78DC" w:rsidRDefault="007B560A" w:rsidP="007B56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560A" w:rsidRPr="00AB78DC" w:rsidTr="00E95A6A">
        <w:tc>
          <w:tcPr>
            <w:tcW w:w="543" w:type="pct"/>
          </w:tcPr>
          <w:p w:rsidR="007B560A" w:rsidRPr="00AB78DC" w:rsidRDefault="007B560A" w:rsidP="007B560A">
            <w:pPr>
              <w:jc w:val="both"/>
              <w:rPr>
                <w:sz w:val="20"/>
                <w:lang w:val="fr-CA"/>
              </w:rPr>
            </w:pPr>
            <w:r w:rsidRPr="00AB78DC">
              <w:rPr>
                <w:rStyle w:val="SCCFileNumberChar"/>
                <w:sz w:val="20"/>
                <w:szCs w:val="20"/>
                <w:lang w:val="fr-CA"/>
              </w:rPr>
              <w:t>40068</w:t>
            </w:r>
          </w:p>
        </w:tc>
        <w:tc>
          <w:tcPr>
            <w:tcW w:w="4457" w:type="pct"/>
            <w:gridSpan w:val="3"/>
          </w:tcPr>
          <w:p w:rsidR="007B560A" w:rsidRPr="00AB78DC" w:rsidRDefault="007B560A" w:rsidP="007B560A">
            <w:pPr>
              <w:pStyle w:val="SCCLsocParty"/>
              <w:jc w:val="both"/>
              <w:rPr>
                <w:b/>
                <w:sz w:val="20"/>
                <w:szCs w:val="20"/>
              </w:rPr>
            </w:pPr>
            <w:r w:rsidRPr="00AB78DC">
              <w:rPr>
                <w:b/>
                <w:sz w:val="20"/>
                <w:szCs w:val="20"/>
              </w:rPr>
              <w:t>J.F. c. Province du Nouveau-Brunswick, représentée par le ministre de la Justice</w:t>
            </w:r>
          </w:p>
          <w:p w:rsidR="007B560A" w:rsidRPr="00AB78DC" w:rsidRDefault="007B560A" w:rsidP="007B560A">
            <w:pPr>
              <w:jc w:val="both"/>
              <w:rPr>
                <w:sz w:val="20"/>
                <w:lang w:val="fr-CA"/>
              </w:rPr>
            </w:pPr>
            <w:r w:rsidRPr="00AB78DC">
              <w:rPr>
                <w:sz w:val="20"/>
                <w:lang w:val="fr-CA"/>
              </w:rPr>
              <w:t>(N.</w:t>
            </w:r>
            <w:r w:rsidRPr="00AB78DC">
              <w:rPr>
                <w:sz w:val="20"/>
                <w:lang w:val="fr-CA"/>
              </w:rPr>
              <w:noBreakHyphen/>
              <w:t>B.) (civile) (sur autorisation)</w:t>
            </w:r>
          </w:p>
        </w:tc>
      </w:tr>
      <w:tr w:rsidR="007B560A" w:rsidRPr="00AB78DC" w:rsidTr="00E95A6A">
        <w:tc>
          <w:tcPr>
            <w:tcW w:w="5000" w:type="pct"/>
            <w:gridSpan w:val="4"/>
          </w:tcPr>
          <w:p w:rsidR="007B560A" w:rsidRPr="00AB78DC" w:rsidRDefault="007B560A" w:rsidP="007B560A">
            <w:pPr>
              <w:pStyle w:val="SCCBanSummary"/>
              <w:rPr>
                <w:sz w:val="20"/>
                <w:szCs w:val="20"/>
                <w:lang w:val="fr-CA"/>
              </w:rPr>
            </w:pPr>
            <w:r w:rsidRPr="00AB78DC">
              <w:rPr>
                <w:sz w:val="20"/>
                <w:szCs w:val="20"/>
                <w:lang w:val="fr-CA"/>
              </w:rPr>
              <w:t>(Ordonnance de non</w:t>
            </w:r>
            <w:r w:rsidRPr="00AB78DC">
              <w:rPr>
                <w:sz w:val="20"/>
                <w:szCs w:val="20"/>
                <w:lang w:val="fr-CA"/>
              </w:rPr>
              <w:noBreakHyphen/>
              <w:t>publication au dossier)</w:t>
            </w:r>
          </w:p>
          <w:p w:rsidR="007B560A" w:rsidRPr="00AB78DC" w:rsidRDefault="007B560A" w:rsidP="007B560A">
            <w:pPr>
              <w:jc w:val="both"/>
              <w:rPr>
                <w:sz w:val="20"/>
                <w:lang w:val="fr-CA"/>
              </w:rPr>
            </w:pPr>
          </w:p>
          <w:p w:rsidR="007B560A" w:rsidRPr="00AB78DC" w:rsidRDefault="007B560A" w:rsidP="007B560A">
            <w:pPr>
              <w:jc w:val="both"/>
              <w:rPr>
                <w:sz w:val="20"/>
                <w:lang w:val="fr-CA"/>
              </w:rPr>
            </w:pPr>
            <w:r w:rsidRPr="00AB78DC">
              <w:rPr>
                <w:sz w:val="20"/>
                <w:lang w:val="fr-CA"/>
              </w:rPr>
              <w:t>Charte des droits — Droit à la vie, à la liberté et à la sécurité de la personne — Droit des personnes — Instances concernant la protection de l’enfance — Parent non gardien — Demande d’une ordonnance visant l’obtention des services d’un avocat rémunéré par l’État — Lien suffisant avec l’enfant — La Cour d’appel a</w:t>
            </w:r>
            <w:r w:rsidRPr="00AB78DC">
              <w:rPr>
                <w:sz w:val="20"/>
                <w:lang w:val="fr-CA"/>
              </w:rPr>
              <w:noBreakHyphen/>
              <w:t>t</w:t>
            </w:r>
            <w:r w:rsidRPr="00AB78DC">
              <w:rPr>
                <w:sz w:val="20"/>
                <w:lang w:val="fr-CA"/>
              </w:rPr>
              <w:noBreakHyphen/>
              <w:t xml:space="preserve">elle commis une erreur en limitant les facteurs dont un juge peut tenir compte lorsqu’il décide s’il existe un lien suffisant, au sens de l’arrêt </w:t>
            </w:r>
            <w:r w:rsidRPr="00AB78DC">
              <w:rPr>
                <w:i/>
                <w:sz w:val="20"/>
                <w:lang w:val="fr-CA"/>
              </w:rPr>
              <w:t>Nouveau</w:t>
            </w:r>
            <w:r w:rsidRPr="00AB78DC">
              <w:rPr>
                <w:i/>
                <w:sz w:val="20"/>
                <w:lang w:val="fr-CA"/>
              </w:rPr>
              <w:noBreakHyphen/>
              <w:t xml:space="preserve">Brunswick (Ministre de la Santé et des Services communautaires) </w:t>
            </w:r>
            <w:r w:rsidRPr="00AB78DC">
              <w:rPr>
                <w:i/>
                <w:iCs/>
                <w:sz w:val="20"/>
                <w:lang w:val="fr-CA"/>
              </w:rPr>
              <w:t>c.</w:t>
            </w:r>
            <w:r w:rsidRPr="00AB78DC">
              <w:rPr>
                <w:i/>
                <w:sz w:val="20"/>
                <w:lang w:val="fr-CA"/>
              </w:rPr>
              <w:t xml:space="preserve"> G.</w:t>
            </w:r>
            <w:r w:rsidRPr="00AB78DC">
              <w:rPr>
                <w:sz w:val="20"/>
                <w:lang w:val="fr-CA"/>
              </w:rPr>
              <w:t xml:space="preserve"> (</w:t>
            </w:r>
            <w:r w:rsidRPr="00AB78DC">
              <w:rPr>
                <w:i/>
                <w:sz w:val="20"/>
                <w:lang w:val="fr-CA"/>
              </w:rPr>
              <w:t>J</w:t>
            </w:r>
            <w:r w:rsidRPr="00AB78DC">
              <w:rPr>
                <w:sz w:val="20"/>
                <w:lang w:val="fr-CA"/>
              </w:rPr>
              <w:t xml:space="preserve">.), [1999] 3 R.C.S. 46, de manière à entraîner l’application du droit du parent à la sécurité de la personne que lui garantit l’art. 7 de la </w:t>
            </w:r>
            <w:r w:rsidRPr="00AB78DC">
              <w:rPr>
                <w:i/>
                <w:sz w:val="20"/>
                <w:lang w:val="fr-CA"/>
              </w:rPr>
              <w:t>Charte</w:t>
            </w:r>
            <w:r w:rsidRPr="00AB78DC">
              <w:rPr>
                <w:sz w:val="20"/>
                <w:lang w:val="fr-CA"/>
              </w:rPr>
              <w:t xml:space="preserve"> et l’obtention des services d’un avocat rémunéré par l’État à titre de réparation ? — La Cour d’appel a</w:t>
            </w:r>
            <w:r w:rsidRPr="00AB78DC">
              <w:rPr>
                <w:sz w:val="20"/>
                <w:lang w:val="fr-CA"/>
              </w:rPr>
              <w:noBreakHyphen/>
              <w:t>t</w:t>
            </w:r>
            <w:r w:rsidRPr="00AB78DC">
              <w:rPr>
                <w:sz w:val="20"/>
                <w:lang w:val="fr-CA"/>
              </w:rPr>
              <w:noBreakHyphen/>
              <w:t xml:space="preserve">elle commis une erreur en concluant que les critères définissant l’intérêt supérieur de l’enfant, surtout la violence familiale, ne constituaient pas des considérations pertinentes dans le cadre d’une demande d'un parent visant l’obtention des services d’un avocat rémunéré par l’État lors d’une instance concernant la protection de l’enfance ? — Quels sont les facteurs dont un juge peut dûment tenir compte en ce qui a trait à l’application de la réparation prévue dans l’arrêt </w:t>
            </w:r>
            <w:r w:rsidRPr="00AB78DC">
              <w:rPr>
                <w:i/>
                <w:sz w:val="20"/>
                <w:lang w:val="fr-CA"/>
              </w:rPr>
              <w:t>G.</w:t>
            </w:r>
            <w:r w:rsidRPr="00AB78DC">
              <w:rPr>
                <w:sz w:val="20"/>
                <w:lang w:val="fr-CA"/>
              </w:rPr>
              <w:t xml:space="preserve"> (</w:t>
            </w:r>
            <w:r w:rsidRPr="00AB78DC">
              <w:rPr>
                <w:i/>
                <w:sz w:val="20"/>
                <w:lang w:val="fr-CA"/>
              </w:rPr>
              <w:t>J</w:t>
            </w:r>
            <w:r w:rsidRPr="00AB78DC">
              <w:rPr>
                <w:sz w:val="20"/>
                <w:lang w:val="fr-CA"/>
              </w:rPr>
              <w:t>.)?</w:t>
            </w:r>
          </w:p>
        </w:tc>
      </w:tr>
      <w:tr w:rsidR="007B560A" w:rsidRPr="00AB78DC" w:rsidTr="00E95A6A">
        <w:tc>
          <w:tcPr>
            <w:tcW w:w="5000" w:type="pct"/>
            <w:gridSpan w:val="4"/>
          </w:tcPr>
          <w:p w:rsidR="007B560A" w:rsidRPr="00AB78DC" w:rsidRDefault="007B560A" w:rsidP="007B560A">
            <w:pPr>
              <w:jc w:val="both"/>
              <w:rPr>
                <w:sz w:val="20"/>
                <w:lang w:val="fr-CA"/>
              </w:rPr>
            </w:pPr>
          </w:p>
        </w:tc>
      </w:tr>
      <w:tr w:rsidR="007B560A" w:rsidRPr="00AB78DC" w:rsidTr="00E95A6A">
        <w:tc>
          <w:tcPr>
            <w:tcW w:w="5000" w:type="pct"/>
            <w:gridSpan w:val="4"/>
          </w:tcPr>
          <w:p w:rsidR="007B560A" w:rsidRPr="00AB78DC" w:rsidRDefault="007B560A" w:rsidP="007B560A">
            <w:pPr>
              <w:jc w:val="both"/>
              <w:rPr>
                <w:sz w:val="20"/>
                <w:lang w:val="fr-CA"/>
              </w:rPr>
            </w:pPr>
            <w:r w:rsidRPr="00AB78DC">
              <w:rPr>
                <w:sz w:val="20"/>
                <w:lang w:val="fr-CA"/>
              </w:rPr>
              <w:t>Le parent non gardien d’un enfant faisant l’objet d’une instance en nomination d’un tuteur a demandé d’obtenir les services d’un avocat rémunéré par l’État afin de l’appuyer lors de cette instance. Elle a fait valoir qu’elle n’a pas été en mesure de participer activement à la vie de l’enfant ou de visiter l’enfant régulièrement, en partie, à cause du</w:t>
            </w:r>
            <w:r w:rsidRPr="00AB78DC">
              <w:rPr>
                <w:color w:val="000000"/>
                <w:sz w:val="20"/>
                <w:lang w:val="fr-CA"/>
              </w:rPr>
              <w:t xml:space="preserve"> </w:t>
            </w:r>
            <w:r w:rsidRPr="00AB78DC">
              <w:rPr>
                <w:sz w:val="20"/>
                <w:lang w:val="fr-CA"/>
              </w:rPr>
              <w:t>comportement violent et dominant du père.</w:t>
            </w:r>
          </w:p>
          <w:p w:rsidR="007B560A" w:rsidRPr="00AB78DC" w:rsidRDefault="007B560A" w:rsidP="007B560A">
            <w:pPr>
              <w:jc w:val="both"/>
              <w:rPr>
                <w:sz w:val="20"/>
                <w:lang w:val="fr-CA"/>
              </w:rPr>
            </w:pPr>
          </w:p>
          <w:p w:rsidR="007B560A" w:rsidRPr="00AB78DC" w:rsidRDefault="007B560A" w:rsidP="007B560A">
            <w:pPr>
              <w:jc w:val="both"/>
              <w:rPr>
                <w:sz w:val="20"/>
                <w:lang w:val="fr-CA"/>
              </w:rPr>
            </w:pPr>
            <w:r w:rsidRPr="00AB78DC">
              <w:rPr>
                <w:sz w:val="20"/>
                <w:lang w:val="fr-CA"/>
              </w:rPr>
              <w:lastRenderedPageBreak/>
              <w:t>La juge saisie de la demande a fait droit à la demande de la mère visant l’obtention des services d’un avocat rémunéré par l’État. La Cour d’appel a accueilli l’appel et a annulé la décision de la juge.</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lastRenderedPageBreak/>
              <w:t>23 juin 2021</w:t>
            </w:r>
          </w:p>
          <w:p w:rsidR="007B560A" w:rsidRPr="00AB78DC" w:rsidRDefault="007B560A" w:rsidP="007B560A">
            <w:pPr>
              <w:jc w:val="both"/>
              <w:rPr>
                <w:sz w:val="20"/>
                <w:lang w:val="fr-CA"/>
              </w:rPr>
            </w:pPr>
            <w:r w:rsidRPr="00AB78DC">
              <w:rPr>
                <w:sz w:val="20"/>
                <w:lang w:val="fr-CA"/>
              </w:rPr>
              <w:t>Cour du Banc de la Reine du Nouveau-Brunswick</w:t>
            </w:r>
          </w:p>
          <w:p w:rsidR="007B560A" w:rsidRPr="00AB78DC" w:rsidRDefault="007B560A" w:rsidP="007B560A">
            <w:pPr>
              <w:jc w:val="both"/>
              <w:rPr>
                <w:sz w:val="20"/>
                <w:lang w:val="fr-CA"/>
              </w:rPr>
            </w:pPr>
            <w:r w:rsidRPr="00AB78DC">
              <w:rPr>
                <w:sz w:val="20"/>
                <w:lang w:val="fr-CA"/>
              </w:rPr>
              <w:t>(juge Bélanger</w:t>
            </w:r>
            <w:r w:rsidRPr="00AB78DC">
              <w:rPr>
                <w:sz w:val="20"/>
                <w:lang w:val="fr-CA"/>
              </w:rPr>
              <w:noBreakHyphen/>
              <w:t>Richard)</w:t>
            </w:r>
          </w:p>
          <w:p w:rsidR="007B560A" w:rsidRPr="00AB78DC" w:rsidRDefault="00AB78DC" w:rsidP="007B560A">
            <w:pPr>
              <w:jc w:val="both"/>
              <w:rPr>
                <w:sz w:val="20"/>
                <w:lang w:val="fr-CA"/>
              </w:rPr>
            </w:pPr>
            <w:hyperlink r:id="rId24" w:history="1">
              <w:r w:rsidR="007B560A" w:rsidRPr="00AB78DC">
                <w:rPr>
                  <w:rStyle w:val="Hyperlink"/>
                  <w:rFonts w:eastAsiaTheme="majorEastAsia"/>
                  <w:color w:val="01496F"/>
                  <w:sz w:val="20"/>
                  <w:lang w:val="fr-CA"/>
                </w:rPr>
                <w:t>2021 NBQB 150</w:t>
              </w:r>
            </w:hyperlink>
          </w:p>
          <w:p w:rsidR="007B560A" w:rsidRPr="00AB78DC" w:rsidRDefault="007B560A" w:rsidP="007B560A">
            <w:pPr>
              <w:jc w:val="both"/>
              <w:rPr>
                <w:sz w:val="20"/>
                <w:lang w:val="fr-CA"/>
              </w:rPr>
            </w:pP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sz w:val="20"/>
                <w:lang w:val="fr-CA"/>
              </w:rPr>
              <w:t>Il est ordonné au ministre de fournir les services d’un avocat rémunéré par l’État à la mère.</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23 décembre 2021</w:t>
            </w:r>
          </w:p>
          <w:p w:rsidR="007B560A" w:rsidRPr="00AB78DC" w:rsidRDefault="007B560A" w:rsidP="007B560A">
            <w:pPr>
              <w:jc w:val="both"/>
              <w:rPr>
                <w:sz w:val="20"/>
                <w:lang w:val="fr-CA"/>
              </w:rPr>
            </w:pPr>
            <w:r w:rsidRPr="00AB78DC">
              <w:rPr>
                <w:sz w:val="20"/>
                <w:lang w:val="fr-CA"/>
              </w:rPr>
              <w:t>Cour d’appel du Nouveau</w:t>
            </w:r>
            <w:r w:rsidRPr="00AB78DC">
              <w:rPr>
                <w:sz w:val="20"/>
                <w:lang w:val="fr-CA"/>
              </w:rPr>
              <w:noBreakHyphen/>
              <w:t>Brunswick</w:t>
            </w:r>
          </w:p>
          <w:p w:rsidR="007B560A" w:rsidRPr="00AB78DC" w:rsidRDefault="007B560A" w:rsidP="007B560A">
            <w:pPr>
              <w:jc w:val="both"/>
              <w:rPr>
                <w:sz w:val="20"/>
                <w:lang w:val="fr-CA"/>
              </w:rPr>
            </w:pPr>
            <w:r w:rsidRPr="00AB78DC">
              <w:rPr>
                <w:sz w:val="20"/>
                <w:lang w:val="fr-CA"/>
              </w:rPr>
              <w:t>(juges Green, Baird et LaVigne)</w:t>
            </w:r>
          </w:p>
          <w:p w:rsidR="007B560A" w:rsidRPr="00AB78DC" w:rsidRDefault="00AB78DC" w:rsidP="007B560A">
            <w:pPr>
              <w:jc w:val="both"/>
              <w:rPr>
                <w:sz w:val="20"/>
                <w:lang w:val="fr-CA"/>
              </w:rPr>
            </w:pPr>
            <w:hyperlink r:id="rId25" w:history="1">
              <w:r w:rsidR="007B560A" w:rsidRPr="00AB78DC">
                <w:rPr>
                  <w:rStyle w:val="Hyperlink"/>
                  <w:sz w:val="20"/>
                  <w:lang w:val="fr-CA"/>
                </w:rPr>
                <w:t>2021 NBCA 61</w:t>
              </w:r>
            </w:hyperlink>
          </w:p>
          <w:p w:rsidR="007B560A" w:rsidRPr="00AB78DC" w:rsidRDefault="007B560A" w:rsidP="007B560A">
            <w:pPr>
              <w:jc w:val="both"/>
              <w:rPr>
                <w:sz w:val="20"/>
                <w:lang w:val="fr-CA"/>
              </w:rPr>
            </w:pP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sz w:val="20"/>
                <w:lang w:val="fr-CA"/>
              </w:rPr>
              <w:t>L’appel est accueilli; la décision de la juge saisie de la demande est annulée.</w:t>
            </w: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3 février 2022</w:t>
            </w:r>
          </w:p>
          <w:p w:rsidR="007B560A" w:rsidRPr="00AB78DC" w:rsidRDefault="007B560A" w:rsidP="007B560A">
            <w:pPr>
              <w:jc w:val="both"/>
              <w:rPr>
                <w:sz w:val="20"/>
                <w:lang w:val="fr-CA"/>
              </w:rPr>
            </w:pPr>
            <w:r w:rsidRPr="00AB78DC">
              <w:rPr>
                <w:sz w:val="20"/>
                <w:lang w:val="fr-CA"/>
              </w:rPr>
              <w:t>Cour suprême du Canada</w:t>
            </w: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sz w:val="20"/>
                <w:lang w:val="fr-CA"/>
              </w:rPr>
              <w:t>La demande d’autorisation d’appel est présentée.</w:t>
            </w:r>
          </w:p>
          <w:p w:rsidR="007B560A" w:rsidRPr="00AB78DC" w:rsidRDefault="007B560A" w:rsidP="007B560A">
            <w:pPr>
              <w:jc w:val="both"/>
              <w:rPr>
                <w:sz w:val="20"/>
                <w:lang w:val="fr-CA"/>
              </w:rPr>
            </w:pPr>
          </w:p>
        </w:tc>
      </w:tr>
    </w:tbl>
    <w:p w:rsidR="007B560A" w:rsidRPr="00AB78DC" w:rsidRDefault="007B560A" w:rsidP="007B560A">
      <w:pPr>
        <w:jc w:val="both"/>
        <w:rPr>
          <w:sz w:val="20"/>
          <w:lang w:val="fr-CA"/>
        </w:rPr>
      </w:pPr>
    </w:p>
    <w:p w:rsidR="007B560A" w:rsidRPr="00AB78DC" w:rsidRDefault="00AB78DC" w:rsidP="007B560A">
      <w:pPr>
        <w:jc w:val="both"/>
        <w:rPr>
          <w:sz w:val="20"/>
          <w:lang w:val="fr-CA"/>
        </w:rPr>
      </w:pPr>
      <w:r w:rsidRPr="00AB78DC">
        <w:rPr>
          <w:sz w:val="20"/>
        </w:rPr>
        <w:pict>
          <v:rect id="_x0000_i1032" style="width:2in;height:1pt" o:hrpct="0" o:hralign="center" o:hrstd="t" o:hrnoshade="t" o:hr="t" fillcolor="black [3213]" stroked="f"/>
        </w:pict>
      </w:r>
    </w:p>
    <w:p w:rsidR="00352CA1" w:rsidRPr="00AB78DC" w:rsidRDefault="00352CA1" w:rsidP="007B560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560A" w:rsidRPr="00AB78DC" w:rsidTr="00E95A6A">
        <w:tc>
          <w:tcPr>
            <w:tcW w:w="543" w:type="pct"/>
          </w:tcPr>
          <w:p w:rsidR="007B560A" w:rsidRPr="00AB78DC" w:rsidRDefault="007B560A" w:rsidP="007B560A">
            <w:pPr>
              <w:jc w:val="both"/>
              <w:rPr>
                <w:sz w:val="20"/>
              </w:rPr>
            </w:pPr>
            <w:r w:rsidRPr="00AB78DC">
              <w:rPr>
                <w:rStyle w:val="SCCFileNumberChar"/>
                <w:sz w:val="20"/>
                <w:szCs w:val="20"/>
              </w:rPr>
              <w:t>40098</w:t>
            </w:r>
          </w:p>
        </w:tc>
        <w:tc>
          <w:tcPr>
            <w:tcW w:w="4457" w:type="pct"/>
            <w:gridSpan w:val="3"/>
          </w:tcPr>
          <w:p w:rsidR="007B560A" w:rsidRPr="00AB78DC" w:rsidRDefault="007B560A" w:rsidP="007B560A">
            <w:pPr>
              <w:pStyle w:val="SCCLsocParty"/>
              <w:jc w:val="both"/>
              <w:rPr>
                <w:b/>
                <w:sz w:val="20"/>
                <w:szCs w:val="20"/>
                <w:lang w:val="en-US"/>
              </w:rPr>
            </w:pPr>
            <w:r w:rsidRPr="00AB78DC">
              <w:rPr>
                <w:b/>
                <w:sz w:val="20"/>
                <w:szCs w:val="20"/>
                <w:lang w:val="en-US"/>
              </w:rPr>
              <w:t>Karlton Dean Reimer v. Her Majesty the Queen</w:t>
            </w:r>
          </w:p>
          <w:p w:rsidR="007B560A" w:rsidRPr="00AB78DC" w:rsidRDefault="007B560A" w:rsidP="007B560A">
            <w:pPr>
              <w:jc w:val="both"/>
              <w:rPr>
                <w:sz w:val="20"/>
              </w:rPr>
            </w:pPr>
            <w:r w:rsidRPr="00AB78DC">
              <w:rPr>
                <w:sz w:val="20"/>
              </w:rPr>
              <w:t>(Man.) (Criminal) (By Leave)</w:t>
            </w:r>
          </w:p>
        </w:tc>
      </w:tr>
      <w:tr w:rsidR="007B560A" w:rsidRPr="00AB78DC" w:rsidTr="00E95A6A">
        <w:tc>
          <w:tcPr>
            <w:tcW w:w="5000" w:type="pct"/>
            <w:gridSpan w:val="4"/>
          </w:tcPr>
          <w:p w:rsidR="007B560A" w:rsidRPr="00AB78DC" w:rsidRDefault="007B560A" w:rsidP="007B560A">
            <w:pPr>
              <w:jc w:val="both"/>
              <w:rPr>
                <w:sz w:val="20"/>
              </w:rPr>
            </w:pPr>
            <w:r w:rsidRPr="00AB78DC">
              <w:rPr>
                <w:sz w:val="20"/>
              </w:rPr>
              <w:t xml:space="preserve">Criminal law — Mental disorder — Assessment order — Prerogative writs — </w:t>
            </w:r>
            <w:r w:rsidRPr="00AB78DC">
              <w:rPr>
                <w:i/>
                <w:sz w:val="20"/>
              </w:rPr>
              <w:t>Habeas corpus</w:t>
            </w:r>
            <w:r w:rsidRPr="00AB78DC">
              <w:rPr>
                <w:sz w:val="20"/>
              </w:rPr>
              <w:t xml:space="preserve"> —</w:t>
            </w:r>
            <w:r w:rsidRPr="00AB78DC">
              <w:rPr>
                <w:i/>
                <w:sz w:val="20"/>
              </w:rPr>
              <w:t>Mandamus</w:t>
            </w:r>
            <w:r w:rsidRPr="00AB78DC">
              <w:rPr>
                <w:sz w:val="20"/>
              </w:rPr>
              <w:t xml:space="preserve"> — Whether Manitoba’s culture of </w:t>
            </w:r>
            <w:r w:rsidRPr="00AB78DC">
              <w:rPr>
                <w:i/>
                <w:sz w:val="20"/>
              </w:rPr>
              <w:t>laissez faire</w:t>
            </w:r>
            <w:r w:rsidRPr="00AB78DC">
              <w:rPr>
                <w:sz w:val="20"/>
              </w:rPr>
              <w:t xml:space="preserve"> for court ordered assessments under</w:t>
            </w:r>
            <w:r w:rsidRPr="00AB78DC">
              <w:rPr>
                <w:b/>
                <w:sz w:val="20"/>
              </w:rPr>
              <w:t xml:space="preserve"> </w:t>
            </w:r>
            <w:r w:rsidRPr="00AB78DC">
              <w:rPr>
                <w:sz w:val="20"/>
              </w:rPr>
              <w:t xml:space="preserve">Part XX.1 of the </w:t>
            </w:r>
            <w:r w:rsidRPr="00AB78DC">
              <w:rPr>
                <w:i/>
                <w:sz w:val="20"/>
              </w:rPr>
              <w:t>Criminal Code</w:t>
            </w:r>
            <w:r w:rsidRPr="00AB78DC">
              <w:rPr>
                <w:sz w:val="20"/>
              </w:rPr>
              <w:t xml:space="preserve"> is an abuse of process — Whether the Court of Appeal motions judge erred in sending the prerogative remedies back to the Court of Queen’s Bench, making compliance with the assessment order virtually impossible to meet since the expiry of the order was but two days later — Whether, in doing so, the Court of Appeal motions judge denied the applicant a just remedy for an expeditious assessment mandated by Part XX.1 of the </w:t>
            </w:r>
            <w:r w:rsidRPr="00AB78DC">
              <w:rPr>
                <w:i/>
                <w:sz w:val="20"/>
              </w:rPr>
              <w:t>Criminal Code</w:t>
            </w:r>
            <w:r w:rsidRPr="00AB78DC">
              <w:rPr>
                <w:sz w:val="20"/>
              </w:rPr>
              <w:t>, R.S.C. 1985, c. C</w:t>
            </w:r>
            <w:r w:rsidRPr="00AB78DC">
              <w:rPr>
                <w:sz w:val="20"/>
              </w:rPr>
              <w:noBreakHyphen/>
              <w:t xml:space="preserve">46. </w:t>
            </w:r>
          </w:p>
        </w:tc>
      </w:tr>
      <w:tr w:rsidR="007B560A" w:rsidRPr="00AB78DC" w:rsidTr="00E95A6A">
        <w:tc>
          <w:tcPr>
            <w:tcW w:w="5000" w:type="pct"/>
            <w:gridSpan w:val="4"/>
          </w:tcPr>
          <w:p w:rsidR="007B560A" w:rsidRPr="00AB78DC" w:rsidRDefault="007B560A" w:rsidP="007B560A">
            <w:pPr>
              <w:jc w:val="both"/>
              <w:rPr>
                <w:sz w:val="20"/>
              </w:rPr>
            </w:pPr>
          </w:p>
        </w:tc>
      </w:tr>
      <w:tr w:rsidR="007B560A" w:rsidRPr="00AB78DC" w:rsidTr="00E95A6A">
        <w:tc>
          <w:tcPr>
            <w:tcW w:w="5000" w:type="pct"/>
            <w:gridSpan w:val="4"/>
          </w:tcPr>
          <w:p w:rsidR="007B560A" w:rsidRPr="00AB78DC" w:rsidRDefault="007B560A" w:rsidP="007B560A">
            <w:pPr>
              <w:jc w:val="both"/>
              <w:rPr>
                <w:sz w:val="20"/>
              </w:rPr>
            </w:pPr>
            <w:r w:rsidRPr="00AB78DC">
              <w:rPr>
                <w:sz w:val="20"/>
              </w:rPr>
              <w:t>The applicant, Karlton Dean Reimer, stands charged with two counts of second degree murder and is currently in custody awaiting his trial. In pre-trial discussions, he advised he would assert he was not criminally responsible by reason of mental disorder. On March 11, 2022, Champagne J. of the Manitoba’s Queen Bench granted the respondent Crown’s application for a 30</w:t>
            </w:r>
            <w:r w:rsidRPr="00AB78DC">
              <w:rPr>
                <w:sz w:val="20"/>
              </w:rPr>
              <w:noBreakHyphen/>
              <w:t xml:space="preserve">day assessment order pursuant to s. 672.12(1) of the </w:t>
            </w:r>
            <w:r w:rsidRPr="00AB78DC">
              <w:rPr>
                <w:i/>
                <w:sz w:val="20"/>
              </w:rPr>
              <w:t>Criminal Code</w:t>
            </w:r>
            <w:r w:rsidRPr="00AB78DC">
              <w:rPr>
                <w:sz w:val="20"/>
              </w:rPr>
              <w:t>. Recognizing that it was unlikely the assessment would be completed in 30 days, Champagne J. also granted an extension of time for a further 60 days within which the assessment was to be completed.</w:t>
            </w:r>
          </w:p>
          <w:p w:rsidR="007B560A" w:rsidRPr="00AB78DC" w:rsidRDefault="007B560A" w:rsidP="007B560A">
            <w:pPr>
              <w:jc w:val="both"/>
              <w:rPr>
                <w:sz w:val="20"/>
              </w:rPr>
            </w:pPr>
          </w:p>
          <w:p w:rsidR="007B560A" w:rsidRPr="00AB78DC" w:rsidRDefault="007B560A" w:rsidP="007B560A">
            <w:pPr>
              <w:jc w:val="both"/>
              <w:rPr>
                <w:sz w:val="20"/>
              </w:rPr>
            </w:pPr>
            <w:r w:rsidRPr="00AB78DC">
              <w:rPr>
                <w:sz w:val="20"/>
              </w:rPr>
              <w:t>The applicant opposed the 90</w:t>
            </w:r>
            <w:r w:rsidRPr="00AB78DC">
              <w:rPr>
                <w:sz w:val="20"/>
              </w:rPr>
              <w:noBreakHyphen/>
              <w:t>day timeline and took the position that that the maximum period for which an order can exist is 60 days, but that compelling circumstances must be shown as a condition precedent for any</w:t>
            </w:r>
            <w:r w:rsidRPr="00AB78DC">
              <w:rPr>
                <w:i/>
                <w:sz w:val="20"/>
              </w:rPr>
              <w:t xml:space="preserve"> </w:t>
            </w:r>
            <w:r w:rsidRPr="00AB78DC">
              <w:rPr>
                <w:sz w:val="20"/>
              </w:rPr>
              <w:t xml:space="preserve">extension beyond 30 days and were not present here. Its position was therefore that the order would expire after 30 days — on April 9, 2022. The applicant applied for writs of </w:t>
            </w:r>
            <w:r w:rsidRPr="00AB78DC">
              <w:rPr>
                <w:i/>
                <w:sz w:val="20"/>
              </w:rPr>
              <w:t>habeas corpus</w:t>
            </w:r>
            <w:r w:rsidRPr="00AB78DC">
              <w:rPr>
                <w:sz w:val="20"/>
              </w:rPr>
              <w:t xml:space="preserve"> and </w:t>
            </w:r>
            <w:r w:rsidRPr="00AB78DC">
              <w:rPr>
                <w:i/>
                <w:sz w:val="20"/>
              </w:rPr>
              <w:t>mandamus</w:t>
            </w:r>
            <w:r w:rsidRPr="00AB78DC">
              <w:rPr>
                <w:sz w:val="20"/>
              </w:rPr>
              <w:t xml:space="preserve"> to release the applicant from where he was incarcerated and deliver him to where the assessment would occur and to mandate that the assessment be completed and the applicant released by no later than April 8, 2022 to be compliant with s. 672.191 of the </w:t>
            </w:r>
            <w:r w:rsidRPr="00AB78DC">
              <w:rPr>
                <w:i/>
                <w:sz w:val="20"/>
              </w:rPr>
              <w:t>Code</w:t>
            </w:r>
            <w:r w:rsidRPr="00AB78DC">
              <w:rPr>
                <w:sz w:val="20"/>
              </w:rPr>
              <w:t>.</w:t>
            </w:r>
          </w:p>
          <w:p w:rsidR="007B560A" w:rsidRPr="00AB78DC" w:rsidRDefault="007B560A" w:rsidP="007B560A">
            <w:pPr>
              <w:jc w:val="both"/>
              <w:rPr>
                <w:sz w:val="20"/>
              </w:rPr>
            </w:pPr>
          </w:p>
          <w:p w:rsidR="007B560A" w:rsidRPr="00AB78DC" w:rsidRDefault="007B560A" w:rsidP="007B560A">
            <w:pPr>
              <w:jc w:val="both"/>
              <w:rPr>
                <w:sz w:val="20"/>
              </w:rPr>
            </w:pPr>
            <w:r w:rsidRPr="00AB78DC">
              <w:rPr>
                <w:sz w:val="20"/>
              </w:rPr>
              <w:t>On March 24, 2022, McCarthy J. denied the applicant’s request to have the applications for prerogative writs heard before the April 7, 2022 pretrial already scheduled before Champagne J. who made the original assessment order.</w:t>
            </w:r>
          </w:p>
          <w:p w:rsidR="007B560A" w:rsidRPr="00AB78DC" w:rsidRDefault="007B560A" w:rsidP="007B560A">
            <w:pPr>
              <w:jc w:val="both"/>
              <w:rPr>
                <w:sz w:val="20"/>
              </w:rPr>
            </w:pPr>
          </w:p>
          <w:p w:rsidR="007B560A" w:rsidRPr="00AB78DC" w:rsidRDefault="007B560A" w:rsidP="007B560A">
            <w:pPr>
              <w:jc w:val="both"/>
              <w:rPr>
                <w:sz w:val="20"/>
              </w:rPr>
            </w:pPr>
            <w:r w:rsidRPr="00AB78DC">
              <w:rPr>
                <w:sz w:val="20"/>
              </w:rPr>
              <w:t xml:space="preserve">The applicant moved for short leave, </w:t>
            </w:r>
            <w:r w:rsidRPr="00AB78DC">
              <w:rPr>
                <w:i/>
                <w:sz w:val="20"/>
              </w:rPr>
              <w:t>habeas corpus</w:t>
            </w:r>
            <w:r w:rsidRPr="00AB78DC">
              <w:rPr>
                <w:sz w:val="20"/>
              </w:rPr>
              <w:t xml:space="preserve"> and </w:t>
            </w:r>
            <w:r w:rsidRPr="00AB78DC">
              <w:rPr>
                <w:i/>
                <w:sz w:val="20"/>
              </w:rPr>
              <w:t>mandamus</w:t>
            </w:r>
            <w:r w:rsidRPr="00AB78DC">
              <w:rPr>
                <w:sz w:val="20"/>
              </w:rPr>
              <w:t xml:space="preserve"> before the Manitoba Court of Appeal. Monnin J.A. struck the motion. The applicant sought leave to appeal that decision to this Court. </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t>March 31, 2022</w:t>
            </w:r>
          </w:p>
          <w:p w:rsidR="007B560A" w:rsidRPr="00AB78DC" w:rsidRDefault="007B560A" w:rsidP="007B560A">
            <w:pPr>
              <w:jc w:val="both"/>
              <w:rPr>
                <w:sz w:val="20"/>
              </w:rPr>
            </w:pPr>
            <w:r w:rsidRPr="00AB78DC">
              <w:rPr>
                <w:sz w:val="20"/>
              </w:rPr>
              <w:t>Court of Appeal of Manitoba</w:t>
            </w:r>
          </w:p>
          <w:p w:rsidR="007B560A" w:rsidRPr="00AB78DC" w:rsidRDefault="007B560A" w:rsidP="007B560A">
            <w:pPr>
              <w:jc w:val="both"/>
              <w:rPr>
                <w:sz w:val="20"/>
              </w:rPr>
            </w:pPr>
            <w:r w:rsidRPr="00AB78DC">
              <w:rPr>
                <w:sz w:val="20"/>
              </w:rPr>
              <w:t>(Monnin J.A.)</w:t>
            </w:r>
          </w:p>
          <w:p w:rsidR="007B560A" w:rsidRPr="00AB78DC" w:rsidRDefault="007B560A" w:rsidP="007B560A">
            <w:pPr>
              <w:jc w:val="both"/>
              <w:rPr>
                <w:sz w:val="20"/>
              </w:rPr>
            </w:pP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sz w:val="20"/>
              </w:rPr>
              <w:t xml:space="preserve">Motion for short leave, </w:t>
            </w:r>
            <w:r w:rsidRPr="00AB78DC">
              <w:rPr>
                <w:i/>
                <w:sz w:val="20"/>
              </w:rPr>
              <w:t>habeas corpus</w:t>
            </w:r>
            <w:r w:rsidRPr="00AB78DC">
              <w:rPr>
                <w:sz w:val="20"/>
              </w:rPr>
              <w:t xml:space="preserve"> and </w:t>
            </w:r>
            <w:r w:rsidRPr="00AB78DC">
              <w:rPr>
                <w:i/>
                <w:sz w:val="20"/>
              </w:rPr>
              <w:t>mandamus</w:t>
            </w:r>
            <w:r w:rsidRPr="00AB78DC">
              <w:rPr>
                <w:sz w:val="20"/>
              </w:rPr>
              <w:t xml:space="preserve"> struck</w:t>
            </w:r>
          </w:p>
          <w:p w:rsidR="007B560A" w:rsidRPr="00AB78DC" w:rsidRDefault="007B560A" w:rsidP="007B560A">
            <w:pPr>
              <w:jc w:val="both"/>
              <w:rPr>
                <w:sz w:val="20"/>
              </w:rPr>
            </w:pPr>
          </w:p>
        </w:tc>
      </w:tr>
      <w:tr w:rsidR="007B560A" w:rsidRPr="00AB78DC" w:rsidTr="00E95A6A">
        <w:tc>
          <w:tcPr>
            <w:tcW w:w="2427" w:type="pct"/>
            <w:gridSpan w:val="2"/>
          </w:tcPr>
          <w:p w:rsidR="007B560A" w:rsidRPr="00AB78DC" w:rsidRDefault="007B560A" w:rsidP="007B560A">
            <w:pPr>
              <w:jc w:val="both"/>
              <w:rPr>
                <w:sz w:val="20"/>
              </w:rPr>
            </w:pPr>
            <w:r w:rsidRPr="00AB78DC">
              <w:rPr>
                <w:sz w:val="20"/>
              </w:rPr>
              <w:t>April 12, 2022</w:t>
            </w:r>
          </w:p>
          <w:p w:rsidR="007B560A" w:rsidRPr="00AB78DC" w:rsidRDefault="007B560A" w:rsidP="007B560A">
            <w:pPr>
              <w:jc w:val="both"/>
              <w:rPr>
                <w:sz w:val="20"/>
              </w:rPr>
            </w:pPr>
            <w:r w:rsidRPr="00AB78DC">
              <w:rPr>
                <w:sz w:val="20"/>
              </w:rPr>
              <w:t>Supreme Court of Canada</w:t>
            </w:r>
          </w:p>
        </w:tc>
        <w:tc>
          <w:tcPr>
            <w:tcW w:w="243" w:type="pct"/>
          </w:tcPr>
          <w:p w:rsidR="007B560A" w:rsidRPr="00AB78DC" w:rsidRDefault="007B560A" w:rsidP="007B560A">
            <w:pPr>
              <w:jc w:val="both"/>
              <w:rPr>
                <w:sz w:val="20"/>
              </w:rPr>
            </w:pPr>
          </w:p>
        </w:tc>
        <w:tc>
          <w:tcPr>
            <w:tcW w:w="2330" w:type="pct"/>
          </w:tcPr>
          <w:p w:rsidR="007B560A" w:rsidRPr="00AB78DC" w:rsidRDefault="007B560A" w:rsidP="007B560A">
            <w:pPr>
              <w:jc w:val="both"/>
              <w:rPr>
                <w:sz w:val="20"/>
              </w:rPr>
            </w:pPr>
            <w:r w:rsidRPr="00AB78DC">
              <w:rPr>
                <w:sz w:val="20"/>
              </w:rPr>
              <w:t>Application for leave to appeal filed together with motion to expedite</w:t>
            </w:r>
          </w:p>
        </w:tc>
      </w:tr>
    </w:tbl>
    <w:p w:rsidR="007B560A" w:rsidRPr="00AB78DC" w:rsidRDefault="007B560A" w:rsidP="007B560A">
      <w:pPr>
        <w:jc w:val="both"/>
        <w:rPr>
          <w:sz w:val="20"/>
        </w:rPr>
      </w:pPr>
    </w:p>
    <w:p w:rsidR="007B560A" w:rsidRPr="00AB78DC" w:rsidRDefault="00AB78DC" w:rsidP="007B560A">
      <w:pPr>
        <w:jc w:val="both"/>
        <w:rPr>
          <w:sz w:val="20"/>
        </w:rPr>
      </w:pPr>
      <w:r w:rsidRPr="00AB78DC">
        <w:rPr>
          <w:sz w:val="20"/>
        </w:rPr>
        <w:lastRenderedPageBreak/>
        <w:pict>
          <v:rect id="_x0000_i1033" style="width:2in;height:1pt" o:hrpct="0" o:hralign="center" o:hrstd="t" o:hrnoshade="t" o:hr="t" fillcolor="black [3213]" stroked="f"/>
        </w:pict>
      </w:r>
    </w:p>
    <w:p w:rsidR="007B560A" w:rsidRPr="00AB78DC" w:rsidRDefault="007B560A" w:rsidP="007B56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560A" w:rsidRPr="00AB78DC" w:rsidTr="00E95A6A">
        <w:tc>
          <w:tcPr>
            <w:tcW w:w="543" w:type="pct"/>
          </w:tcPr>
          <w:p w:rsidR="007B560A" w:rsidRPr="00AB78DC" w:rsidRDefault="007B560A" w:rsidP="007B560A">
            <w:pPr>
              <w:jc w:val="both"/>
              <w:rPr>
                <w:sz w:val="20"/>
                <w:lang w:val="fr-CA"/>
              </w:rPr>
            </w:pPr>
            <w:r w:rsidRPr="00AB78DC">
              <w:rPr>
                <w:rStyle w:val="SCCFileNumberChar"/>
                <w:sz w:val="20"/>
                <w:szCs w:val="20"/>
                <w:lang w:val="fr-CA"/>
              </w:rPr>
              <w:t>40098</w:t>
            </w:r>
          </w:p>
        </w:tc>
        <w:tc>
          <w:tcPr>
            <w:tcW w:w="4457" w:type="pct"/>
            <w:gridSpan w:val="3"/>
          </w:tcPr>
          <w:p w:rsidR="007B560A" w:rsidRPr="00AB78DC" w:rsidRDefault="007B560A" w:rsidP="007B560A">
            <w:pPr>
              <w:pStyle w:val="SCCLsocParty"/>
              <w:jc w:val="both"/>
              <w:rPr>
                <w:b/>
                <w:sz w:val="20"/>
                <w:szCs w:val="20"/>
              </w:rPr>
            </w:pPr>
            <w:r w:rsidRPr="00AB78DC">
              <w:rPr>
                <w:b/>
                <w:sz w:val="20"/>
                <w:szCs w:val="20"/>
              </w:rPr>
              <w:t>Karlton Dean Reimer c. Sa Majesté la Reine</w:t>
            </w:r>
          </w:p>
          <w:p w:rsidR="007B560A" w:rsidRPr="00AB78DC" w:rsidRDefault="007B560A" w:rsidP="007B560A">
            <w:pPr>
              <w:jc w:val="both"/>
              <w:rPr>
                <w:sz w:val="20"/>
                <w:lang w:val="fr-CA"/>
              </w:rPr>
            </w:pPr>
            <w:r w:rsidRPr="00AB78DC">
              <w:rPr>
                <w:sz w:val="20"/>
                <w:lang w:val="fr-CA"/>
              </w:rPr>
              <w:t>(Man.) (criminelle) (sur autorisation)</w:t>
            </w:r>
          </w:p>
        </w:tc>
      </w:tr>
      <w:tr w:rsidR="007B560A" w:rsidRPr="00AB78DC" w:rsidTr="00E95A6A">
        <w:tc>
          <w:tcPr>
            <w:tcW w:w="5000" w:type="pct"/>
            <w:gridSpan w:val="4"/>
          </w:tcPr>
          <w:p w:rsidR="007B560A" w:rsidRPr="00AB78DC" w:rsidRDefault="007B560A" w:rsidP="007B560A">
            <w:pPr>
              <w:jc w:val="both"/>
              <w:rPr>
                <w:sz w:val="20"/>
                <w:lang w:val="fr-CA"/>
              </w:rPr>
            </w:pPr>
            <w:r w:rsidRPr="00AB78DC">
              <w:rPr>
                <w:sz w:val="20"/>
                <w:lang w:val="fr-CA"/>
              </w:rPr>
              <w:t xml:space="preserve">Droit criminel — Troubles mentaux — Ordonnance d’évaluation — Brefs de prérogative — </w:t>
            </w:r>
            <w:r w:rsidRPr="00AB78DC">
              <w:rPr>
                <w:i/>
                <w:sz w:val="20"/>
                <w:lang w:val="fr-CA"/>
              </w:rPr>
              <w:t>Habeas corpus</w:t>
            </w:r>
            <w:r w:rsidRPr="00AB78DC">
              <w:rPr>
                <w:sz w:val="20"/>
                <w:lang w:val="fr-CA"/>
              </w:rPr>
              <w:t xml:space="preserve"> — </w:t>
            </w:r>
            <w:r w:rsidRPr="00AB78DC">
              <w:rPr>
                <w:i/>
                <w:sz w:val="20"/>
                <w:lang w:val="fr-CA"/>
              </w:rPr>
              <w:t>Mandamus</w:t>
            </w:r>
            <w:r w:rsidRPr="00AB78DC">
              <w:rPr>
                <w:sz w:val="20"/>
                <w:lang w:val="fr-CA"/>
              </w:rPr>
              <w:t xml:space="preserve"> — La mentalité de laissez</w:t>
            </w:r>
            <w:r w:rsidRPr="00AB78DC">
              <w:rPr>
                <w:sz w:val="20"/>
                <w:lang w:val="fr-CA"/>
              </w:rPr>
              <w:noBreakHyphen/>
              <w:t xml:space="preserve">faire du Manitoba relativement aux évaluations ordonnées par les tribunaux en vertu de la partie XX.1 du </w:t>
            </w:r>
            <w:r w:rsidRPr="00AB78DC">
              <w:rPr>
                <w:i/>
                <w:sz w:val="20"/>
                <w:lang w:val="fr-CA"/>
              </w:rPr>
              <w:t>Code criminel</w:t>
            </w:r>
            <w:r w:rsidRPr="00AB78DC">
              <w:rPr>
                <w:sz w:val="20"/>
                <w:lang w:val="fr-CA"/>
              </w:rPr>
              <w:t xml:space="preserve"> constitue</w:t>
            </w:r>
            <w:r w:rsidRPr="00AB78DC">
              <w:rPr>
                <w:sz w:val="20"/>
                <w:lang w:val="fr-CA"/>
              </w:rPr>
              <w:noBreakHyphen/>
              <w:t>t</w:t>
            </w:r>
            <w:r w:rsidRPr="00AB78DC">
              <w:rPr>
                <w:sz w:val="20"/>
                <w:lang w:val="fr-CA"/>
              </w:rPr>
              <w:noBreakHyphen/>
              <w:t>elle un abus de procédure? — Le juge des requêtes de la Cour d’appel a</w:t>
            </w:r>
            <w:r w:rsidRPr="00AB78DC">
              <w:rPr>
                <w:sz w:val="20"/>
                <w:lang w:val="fr-CA"/>
              </w:rPr>
              <w:noBreakHyphen/>
              <w:t>t</w:t>
            </w:r>
            <w:r w:rsidRPr="00AB78DC">
              <w:rPr>
                <w:sz w:val="20"/>
                <w:lang w:val="fr-CA"/>
              </w:rPr>
              <w:noBreakHyphen/>
              <w:t>il commis une erreur en renvoyant les brefs de prérogative à la Cour du Banc de la Reine, faisant en sorte qu’il était quasi impossible de se conformer à l’ordonnance d’évaluation, car la date d’expiration de celle</w:t>
            </w:r>
            <w:r w:rsidRPr="00AB78DC">
              <w:rPr>
                <w:sz w:val="20"/>
                <w:lang w:val="fr-CA"/>
              </w:rPr>
              <w:noBreakHyphen/>
              <w:t>ci n’était que deux jours plus tard? — Ce faisant, le juge des requêtes de la Cour d’appel a</w:t>
            </w:r>
            <w:r w:rsidRPr="00AB78DC">
              <w:rPr>
                <w:sz w:val="20"/>
                <w:lang w:val="fr-CA"/>
              </w:rPr>
              <w:noBreakHyphen/>
              <w:t>t</w:t>
            </w:r>
            <w:r w:rsidRPr="00AB78DC">
              <w:rPr>
                <w:sz w:val="20"/>
                <w:lang w:val="fr-CA"/>
              </w:rPr>
              <w:noBreakHyphen/>
              <w:t xml:space="preserve">il privé le demandeur d’une réparation juste à l’égard de l’évaluation expéditive prévue à la partie XX.1 du </w:t>
            </w:r>
            <w:r w:rsidRPr="00AB78DC">
              <w:rPr>
                <w:i/>
                <w:sz w:val="20"/>
                <w:lang w:val="fr-CA"/>
              </w:rPr>
              <w:t>Code criminel</w:t>
            </w:r>
            <w:r w:rsidRPr="00AB78DC">
              <w:rPr>
                <w:sz w:val="20"/>
                <w:lang w:val="fr-CA"/>
              </w:rPr>
              <w:t>, L.S.C. (1985), ch. C</w:t>
            </w:r>
            <w:r w:rsidRPr="00AB78DC">
              <w:rPr>
                <w:sz w:val="20"/>
                <w:lang w:val="fr-CA"/>
              </w:rPr>
              <w:noBreakHyphen/>
              <w:t xml:space="preserve">46? </w:t>
            </w:r>
          </w:p>
        </w:tc>
      </w:tr>
      <w:tr w:rsidR="007B560A" w:rsidRPr="00AB78DC" w:rsidTr="00E95A6A">
        <w:tc>
          <w:tcPr>
            <w:tcW w:w="5000" w:type="pct"/>
            <w:gridSpan w:val="4"/>
          </w:tcPr>
          <w:p w:rsidR="007B560A" w:rsidRPr="00AB78DC" w:rsidRDefault="007B560A" w:rsidP="007B560A">
            <w:pPr>
              <w:jc w:val="both"/>
              <w:rPr>
                <w:sz w:val="20"/>
                <w:lang w:val="fr-CA"/>
              </w:rPr>
            </w:pPr>
          </w:p>
        </w:tc>
      </w:tr>
      <w:tr w:rsidR="007B560A" w:rsidRPr="00AB78DC" w:rsidTr="00E95A6A">
        <w:tc>
          <w:tcPr>
            <w:tcW w:w="5000" w:type="pct"/>
            <w:gridSpan w:val="4"/>
          </w:tcPr>
          <w:p w:rsidR="007B560A" w:rsidRPr="00AB78DC" w:rsidRDefault="007B560A" w:rsidP="007B560A">
            <w:pPr>
              <w:jc w:val="both"/>
              <w:rPr>
                <w:sz w:val="20"/>
                <w:lang w:val="fr-CA"/>
              </w:rPr>
            </w:pPr>
            <w:r w:rsidRPr="00AB78DC">
              <w:rPr>
                <w:sz w:val="20"/>
                <w:lang w:val="fr-CA"/>
              </w:rPr>
              <w:t xml:space="preserve">Le demandeur, Karlton Dean Reimer, est accusé de deux chefs de meurtre au deuxième degré et se trouve actuellement sous garde en attendant de subir son procès. Lors des discussions préalables au procès, il a fait savoir qu’il plaiderait la non-responsabilité criminelle pour cause de troubles mentaux. Le 11 mars 2022, le juge Champagne de la Cour du Banc de la Reine du Manitoba a accueilli la demande présentée par la Couronne intimée en vue d’obtenir une ordonnance d’évaluation qui serait effectuée dans un délai de 30 jours conformément au par. 672.12(1) du </w:t>
            </w:r>
            <w:r w:rsidRPr="00AB78DC">
              <w:rPr>
                <w:i/>
                <w:sz w:val="20"/>
                <w:lang w:val="fr-CA"/>
              </w:rPr>
              <w:t>Code criminel</w:t>
            </w:r>
            <w:r w:rsidRPr="00AB78DC">
              <w:rPr>
                <w:sz w:val="20"/>
                <w:lang w:val="fr-CA"/>
              </w:rPr>
              <w:t>. Reconnaissant qu’il était peu probable que cette évaluation puisse être menée à bien dans un délai de 30 jours, le juge Champagne a également accueilli une demande de prorogation du délai en accordant 60 jours de plus afin d’effectuer l’évaluation.</w:t>
            </w:r>
          </w:p>
          <w:p w:rsidR="007B560A" w:rsidRPr="00AB78DC" w:rsidRDefault="007B560A" w:rsidP="007B560A">
            <w:pPr>
              <w:jc w:val="both"/>
              <w:rPr>
                <w:sz w:val="20"/>
                <w:lang w:val="fr-CA"/>
              </w:rPr>
            </w:pPr>
          </w:p>
          <w:p w:rsidR="007B560A" w:rsidRPr="00AB78DC" w:rsidRDefault="007B560A" w:rsidP="007B560A">
            <w:pPr>
              <w:jc w:val="both"/>
              <w:rPr>
                <w:sz w:val="20"/>
                <w:lang w:val="fr-CA"/>
              </w:rPr>
            </w:pPr>
            <w:r w:rsidRPr="00AB78DC">
              <w:rPr>
                <w:sz w:val="20"/>
                <w:lang w:val="fr-CA"/>
              </w:rPr>
              <w:t>Le demandeur a contesté le délai de 90 jours et a fait valoir que la période maximale durant laquelle l’ordonnance peut être en vigueur est de 60 jours, mais que des circonstances convaincantes doivent, comme condition préalable, pouvoir justifier toute prorogation du délai au-delà de 30 jours, ce qui n’était pas le cas en l’espèce. Il était donc d’avis que l’ordonnance expirerait dans un délai de 30 jours, soit le 9 avril 2022. Le demandeur a demandé des brefs d’</w:t>
            </w:r>
            <w:r w:rsidRPr="00AB78DC">
              <w:rPr>
                <w:i/>
                <w:sz w:val="20"/>
                <w:lang w:val="fr-CA"/>
              </w:rPr>
              <w:t>habeas corpus</w:t>
            </w:r>
            <w:r w:rsidRPr="00AB78DC">
              <w:rPr>
                <w:sz w:val="20"/>
                <w:lang w:val="fr-CA"/>
              </w:rPr>
              <w:t xml:space="preserve"> et de </w:t>
            </w:r>
            <w:r w:rsidRPr="00AB78DC">
              <w:rPr>
                <w:i/>
                <w:sz w:val="20"/>
                <w:lang w:val="fr-CA"/>
              </w:rPr>
              <w:t>mandamus</w:t>
            </w:r>
            <w:r w:rsidRPr="00AB78DC">
              <w:rPr>
                <w:sz w:val="20"/>
                <w:lang w:val="fr-CA"/>
              </w:rPr>
              <w:t xml:space="preserve"> afin que ce dernier puisse être relâché du centre de détention et amené à l’endroit où aurait lieu l’évaluation, ainsi qu’une ordonnance pour que l’évaluation soit effectuée et le demandeur relâché au plus tard le 8 avril 2022 afin de se conformer à l’art. 672.191 du </w:t>
            </w:r>
            <w:r w:rsidRPr="00AB78DC">
              <w:rPr>
                <w:i/>
                <w:sz w:val="20"/>
                <w:lang w:val="fr-CA"/>
              </w:rPr>
              <w:t>Code</w:t>
            </w:r>
            <w:r w:rsidRPr="00AB78DC">
              <w:rPr>
                <w:sz w:val="20"/>
                <w:lang w:val="fr-CA"/>
              </w:rPr>
              <w:t>.</w:t>
            </w:r>
          </w:p>
          <w:p w:rsidR="007B560A" w:rsidRPr="00AB78DC" w:rsidRDefault="007B560A" w:rsidP="007B560A">
            <w:pPr>
              <w:jc w:val="both"/>
              <w:rPr>
                <w:sz w:val="20"/>
                <w:lang w:val="fr-CA"/>
              </w:rPr>
            </w:pPr>
          </w:p>
          <w:p w:rsidR="007B560A" w:rsidRPr="00AB78DC" w:rsidRDefault="007B560A" w:rsidP="007B560A">
            <w:pPr>
              <w:jc w:val="both"/>
              <w:rPr>
                <w:sz w:val="20"/>
                <w:lang w:val="fr-CA"/>
              </w:rPr>
            </w:pPr>
            <w:r w:rsidRPr="00AB78DC">
              <w:rPr>
                <w:sz w:val="20"/>
                <w:lang w:val="fr-CA"/>
              </w:rPr>
              <w:t>Le 24 mars 2022, la juge McCarthy a rejeté la demande du demandeur pour que les demandes de brefs de prérogative soient entendues avant l’audience préalable au procès déjà fixée au 7 avril 2022 devant le juge Champagne qui avait rendu l’ordonnance d’évaluation initiale.</w:t>
            </w:r>
          </w:p>
          <w:p w:rsidR="007B560A" w:rsidRPr="00AB78DC" w:rsidRDefault="007B560A" w:rsidP="007B560A">
            <w:pPr>
              <w:jc w:val="both"/>
              <w:rPr>
                <w:sz w:val="20"/>
                <w:lang w:val="fr-CA"/>
              </w:rPr>
            </w:pPr>
          </w:p>
          <w:p w:rsidR="007B560A" w:rsidRPr="00AB78DC" w:rsidRDefault="007B560A" w:rsidP="007B560A">
            <w:pPr>
              <w:jc w:val="both"/>
              <w:rPr>
                <w:sz w:val="20"/>
                <w:lang w:val="fr-CA"/>
              </w:rPr>
            </w:pPr>
            <w:r w:rsidRPr="00AB78DC">
              <w:rPr>
                <w:sz w:val="20"/>
                <w:lang w:val="fr-CA"/>
              </w:rPr>
              <w:t>Le demandeur a présenté une demande d’autorisation sommaire, de brefs d’</w:t>
            </w:r>
            <w:r w:rsidRPr="00AB78DC">
              <w:rPr>
                <w:i/>
                <w:sz w:val="20"/>
                <w:lang w:val="fr-CA"/>
              </w:rPr>
              <w:t>habeas corpus</w:t>
            </w:r>
            <w:r w:rsidRPr="00AB78DC">
              <w:rPr>
                <w:sz w:val="20"/>
                <w:lang w:val="fr-CA"/>
              </w:rPr>
              <w:t xml:space="preserve"> et de </w:t>
            </w:r>
            <w:r w:rsidRPr="00AB78DC">
              <w:rPr>
                <w:i/>
                <w:sz w:val="20"/>
                <w:lang w:val="fr-CA"/>
              </w:rPr>
              <w:t>mandamus</w:t>
            </w:r>
            <w:r w:rsidRPr="00AB78DC">
              <w:rPr>
                <w:sz w:val="20"/>
                <w:lang w:val="fr-CA"/>
              </w:rPr>
              <w:t xml:space="preserve"> devant la Cour d’appel du Manitoba. Le juge Monnin a radié la requête. Le demandeur a demandé l’autorisation d’en appeler de cette décision devant la Cour suprême du Canada. </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31 mars 2022</w:t>
            </w:r>
          </w:p>
          <w:p w:rsidR="007B560A" w:rsidRPr="00AB78DC" w:rsidRDefault="007B560A" w:rsidP="007B560A">
            <w:pPr>
              <w:jc w:val="both"/>
              <w:rPr>
                <w:sz w:val="20"/>
                <w:lang w:val="fr-CA"/>
              </w:rPr>
            </w:pPr>
            <w:r w:rsidRPr="00AB78DC">
              <w:rPr>
                <w:sz w:val="20"/>
                <w:lang w:val="fr-CA"/>
              </w:rPr>
              <w:t>Cour d’appel du Manitoba</w:t>
            </w:r>
          </w:p>
          <w:p w:rsidR="007B560A" w:rsidRPr="00AB78DC" w:rsidRDefault="007B560A" w:rsidP="007B560A">
            <w:pPr>
              <w:jc w:val="both"/>
              <w:rPr>
                <w:sz w:val="20"/>
                <w:lang w:val="fr-CA"/>
              </w:rPr>
            </w:pPr>
            <w:r w:rsidRPr="00AB78DC">
              <w:rPr>
                <w:sz w:val="20"/>
                <w:lang w:val="fr-CA"/>
              </w:rPr>
              <w:t>(juge Monnin)</w:t>
            </w:r>
          </w:p>
          <w:p w:rsidR="007B560A" w:rsidRPr="00AB78DC" w:rsidRDefault="007B560A" w:rsidP="007B560A">
            <w:pPr>
              <w:jc w:val="both"/>
              <w:rPr>
                <w:sz w:val="20"/>
                <w:lang w:val="fr-CA"/>
              </w:rPr>
            </w:pPr>
          </w:p>
          <w:p w:rsidR="007B560A" w:rsidRPr="00AB78DC" w:rsidRDefault="007B560A" w:rsidP="007B560A">
            <w:pPr>
              <w:jc w:val="both"/>
              <w:rPr>
                <w:sz w:val="20"/>
                <w:lang w:val="fr-CA"/>
              </w:rPr>
            </w:pP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sz w:val="20"/>
                <w:lang w:val="fr-CA"/>
              </w:rPr>
              <w:t>La requête visant l’autorisation sommaire et des brefs d’</w:t>
            </w:r>
            <w:r w:rsidRPr="00AB78DC">
              <w:rPr>
                <w:i/>
                <w:sz w:val="20"/>
                <w:lang w:val="fr-CA"/>
              </w:rPr>
              <w:t>habeas corpus</w:t>
            </w:r>
            <w:r w:rsidRPr="00AB78DC">
              <w:rPr>
                <w:sz w:val="20"/>
                <w:lang w:val="fr-CA"/>
              </w:rPr>
              <w:t xml:space="preserve"> et de </w:t>
            </w:r>
            <w:r w:rsidRPr="00AB78DC">
              <w:rPr>
                <w:i/>
                <w:sz w:val="20"/>
                <w:lang w:val="fr-CA"/>
              </w:rPr>
              <w:t>mandamus</w:t>
            </w:r>
            <w:r w:rsidRPr="00AB78DC">
              <w:rPr>
                <w:sz w:val="20"/>
                <w:lang w:val="fr-CA"/>
              </w:rPr>
              <w:t xml:space="preserve"> est radiée.</w:t>
            </w:r>
          </w:p>
          <w:p w:rsidR="007B560A" w:rsidRPr="00AB78DC" w:rsidRDefault="007B560A" w:rsidP="007B560A">
            <w:pPr>
              <w:jc w:val="both"/>
              <w:rPr>
                <w:sz w:val="20"/>
                <w:lang w:val="fr-CA"/>
              </w:rPr>
            </w:pPr>
          </w:p>
        </w:tc>
      </w:tr>
      <w:tr w:rsidR="007B560A" w:rsidRPr="00AB78DC" w:rsidTr="00E95A6A">
        <w:tc>
          <w:tcPr>
            <w:tcW w:w="2427" w:type="pct"/>
            <w:gridSpan w:val="2"/>
          </w:tcPr>
          <w:p w:rsidR="007B560A" w:rsidRPr="00AB78DC" w:rsidRDefault="007B560A" w:rsidP="007B560A">
            <w:pPr>
              <w:jc w:val="both"/>
              <w:rPr>
                <w:sz w:val="20"/>
                <w:lang w:val="fr-CA"/>
              </w:rPr>
            </w:pPr>
            <w:r w:rsidRPr="00AB78DC">
              <w:rPr>
                <w:sz w:val="20"/>
                <w:lang w:val="fr-CA"/>
              </w:rPr>
              <w:t>12 avril 2022</w:t>
            </w:r>
          </w:p>
          <w:p w:rsidR="007B560A" w:rsidRPr="00AB78DC" w:rsidRDefault="007B560A" w:rsidP="007B560A">
            <w:pPr>
              <w:jc w:val="both"/>
              <w:rPr>
                <w:sz w:val="20"/>
                <w:lang w:val="fr-CA"/>
              </w:rPr>
            </w:pPr>
            <w:r w:rsidRPr="00AB78DC">
              <w:rPr>
                <w:sz w:val="20"/>
                <w:lang w:val="fr-CA"/>
              </w:rPr>
              <w:t>Cour suprême du Canada</w:t>
            </w:r>
          </w:p>
        </w:tc>
        <w:tc>
          <w:tcPr>
            <w:tcW w:w="243" w:type="pct"/>
          </w:tcPr>
          <w:p w:rsidR="007B560A" w:rsidRPr="00AB78DC" w:rsidRDefault="007B560A" w:rsidP="007B560A">
            <w:pPr>
              <w:jc w:val="both"/>
              <w:rPr>
                <w:sz w:val="20"/>
                <w:lang w:val="fr-CA"/>
              </w:rPr>
            </w:pPr>
          </w:p>
        </w:tc>
        <w:tc>
          <w:tcPr>
            <w:tcW w:w="2330" w:type="pct"/>
          </w:tcPr>
          <w:p w:rsidR="007B560A" w:rsidRPr="00AB78DC" w:rsidRDefault="007B560A" w:rsidP="007B560A">
            <w:pPr>
              <w:jc w:val="both"/>
              <w:rPr>
                <w:sz w:val="20"/>
                <w:lang w:val="fr-CA"/>
              </w:rPr>
            </w:pPr>
            <w:r w:rsidRPr="00AB78DC">
              <w:rPr>
                <w:sz w:val="20"/>
                <w:lang w:val="fr-CA"/>
              </w:rPr>
              <w:t>La demande d’autorisation d’appel est présentée, accompagnée d’une requête visant à hâter l’examen de la demande d’autorisation.</w:t>
            </w:r>
          </w:p>
        </w:tc>
      </w:tr>
    </w:tbl>
    <w:p w:rsidR="00403CA6" w:rsidRPr="00AB78DC" w:rsidRDefault="00403CA6" w:rsidP="00403CA6">
      <w:pPr>
        <w:jc w:val="both"/>
        <w:rPr>
          <w:sz w:val="20"/>
          <w:lang w:val="fr-CA"/>
        </w:rPr>
      </w:pPr>
    </w:p>
    <w:p w:rsidR="0001473D" w:rsidRPr="00AB78DC" w:rsidRDefault="00AB78DC" w:rsidP="00BE597E">
      <w:pPr>
        <w:widowControl w:val="0"/>
        <w:jc w:val="both"/>
        <w:rPr>
          <w:sz w:val="20"/>
          <w:lang w:val="fr-CA"/>
        </w:rPr>
      </w:pPr>
      <w:r w:rsidRPr="00AB78DC">
        <w:rPr>
          <w:sz w:val="20"/>
        </w:rPr>
        <w:pict>
          <v:rect id="_x0000_i1034" style="width:2in;height:1pt" o:hrpct="0" o:hralign="center" o:hrstd="t" o:hrnoshade="t" o:hr="t" fillcolor="black [3213]" stroked="f"/>
        </w:pict>
      </w:r>
    </w:p>
    <w:p w:rsidR="00FD3FA0" w:rsidRPr="00AB78DC" w:rsidRDefault="00FD3FA0" w:rsidP="00350651">
      <w:pPr>
        <w:ind w:left="142" w:hanging="142"/>
        <w:jc w:val="both"/>
        <w:rPr>
          <w:sz w:val="20"/>
        </w:rPr>
      </w:pPr>
    </w:p>
    <w:p w:rsidR="008F2F11" w:rsidRPr="00AB78DC" w:rsidRDefault="008F2F11" w:rsidP="00350651">
      <w:pPr>
        <w:ind w:left="142" w:hanging="142"/>
        <w:jc w:val="both"/>
        <w:rPr>
          <w:sz w:val="20"/>
        </w:rPr>
      </w:pPr>
    </w:p>
    <w:p w:rsidR="008F2F11" w:rsidRPr="00AB78DC" w:rsidRDefault="008F2F11" w:rsidP="00350651">
      <w:pPr>
        <w:ind w:left="142" w:hanging="142"/>
        <w:jc w:val="both"/>
        <w:rPr>
          <w:sz w:val="20"/>
        </w:rPr>
      </w:pPr>
    </w:p>
    <w:p w:rsidR="00D3344A" w:rsidRPr="00AB78DC" w:rsidRDefault="00D3344A" w:rsidP="00D3344A">
      <w:pPr>
        <w:widowControl w:val="0"/>
        <w:outlineLvl w:val="0"/>
        <w:rPr>
          <w:sz w:val="20"/>
        </w:rPr>
      </w:pPr>
      <w:r w:rsidRPr="00AB78DC">
        <w:rPr>
          <w:sz w:val="20"/>
        </w:rPr>
        <w:t xml:space="preserve">Supreme Court of Canada / Cour suprême du </w:t>
      </w:r>
      <w:proofErr w:type="gramStart"/>
      <w:r w:rsidRPr="00AB78DC">
        <w:rPr>
          <w:sz w:val="20"/>
        </w:rPr>
        <w:t>Canad</w:t>
      </w:r>
      <w:r w:rsidR="00EE289F" w:rsidRPr="00AB78DC">
        <w:rPr>
          <w:sz w:val="20"/>
        </w:rPr>
        <w:t>a</w:t>
      </w:r>
      <w:r w:rsidRPr="00AB78DC">
        <w:rPr>
          <w:sz w:val="20"/>
        </w:rPr>
        <w:t xml:space="preserve"> :</w:t>
      </w:r>
      <w:proofErr w:type="gramEnd"/>
    </w:p>
    <w:p w:rsidR="00D3344A" w:rsidRPr="00AB78DC" w:rsidRDefault="00AB78DC" w:rsidP="00D3344A">
      <w:pPr>
        <w:widowControl w:val="0"/>
        <w:outlineLvl w:val="0"/>
        <w:rPr>
          <w:sz w:val="20"/>
          <w:u w:val="single"/>
        </w:rPr>
      </w:pPr>
      <w:hyperlink r:id="rId26" w:history="1">
        <w:r w:rsidR="009B7391" w:rsidRPr="00AB78DC">
          <w:rPr>
            <w:rStyle w:val="Hyperlink"/>
            <w:sz w:val="20"/>
          </w:rPr>
          <w:t>comments-commentaires@scc-csc.ca</w:t>
        </w:r>
      </w:hyperlink>
    </w:p>
    <w:p w:rsidR="00D3344A" w:rsidRPr="00AB78DC" w:rsidRDefault="0065588C" w:rsidP="00D3344A">
      <w:pPr>
        <w:widowControl w:val="0"/>
        <w:outlineLvl w:val="0"/>
        <w:rPr>
          <w:sz w:val="20"/>
        </w:rPr>
      </w:pPr>
      <w:r w:rsidRPr="00AB78DC">
        <w:rPr>
          <w:sz w:val="20"/>
        </w:rPr>
        <w:t>613-</w:t>
      </w:r>
      <w:r w:rsidR="00D3344A" w:rsidRPr="00AB78DC">
        <w:rPr>
          <w:sz w:val="20"/>
        </w:rPr>
        <w:t>995-4330</w:t>
      </w:r>
    </w:p>
    <w:p w:rsidR="00497B5E" w:rsidRPr="00AB78DC" w:rsidRDefault="00497B5E" w:rsidP="00497B5E">
      <w:pPr>
        <w:widowControl w:val="0"/>
        <w:rPr>
          <w:sz w:val="20"/>
        </w:rPr>
      </w:pPr>
    </w:p>
    <w:p w:rsidR="00F6251B" w:rsidRPr="007607A2" w:rsidRDefault="003F43E6" w:rsidP="00F6251B">
      <w:pPr>
        <w:pStyle w:val="Footer"/>
        <w:jc w:val="center"/>
        <w:rPr>
          <w:sz w:val="20"/>
        </w:rPr>
      </w:pPr>
      <w:r w:rsidRPr="00AB78DC">
        <w:rPr>
          <w:sz w:val="20"/>
        </w:rPr>
        <w:t>- 30 -</w:t>
      </w:r>
      <w:bookmarkStart w:id="0" w:name="_GoBack"/>
      <w:bookmarkEnd w:id="0"/>
    </w:p>
    <w:sectPr w:rsidR="00F6251B" w:rsidRPr="007607A2" w:rsidSect="00E62F93">
      <w:headerReference w:type="even" r:id="rId27"/>
      <w:headerReference w:type="default" r:id="rId28"/>
      <w:footerReference w:type="even" r:id="rId29"/>
      <w:footerReference w:type="default" r:id="rId30"/>
      <w:headerReference w:type="first" r:id="rId31"/>
      <w:footerReference w:type="first" r:id="rId3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43" w:rsidRDefault="003F4943" w:rsidP="0034178A">
      <w:r>
        <w:separator/>
      </w:r>
    </w:p>
  </w:endnote>
  <w:endnote w:type="continuationSeparator" w:id="0">
    <w:p w:rsidR="003F4943" w:rsidRDefault="003F494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Pr="009F77F0" w:rsidRDefault="003F494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43" w:rsidRDefault="003F4943" w:rsidP="0034178A">
      <w:r>
        <w:separator/>
      </w:r>
    </w:p>
  </w:footnote>
  <w:footnote w:type="continuationSeparator" w:id="0">
    <w:p w:rsidR="003F4943" w:rsidRDefault="003F494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FFB"/>
    <w:multiLevelType w:val="hybridMultilevel"/>
    <w:tmpl w:val="3CF0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B2A55"/>
    <w:multiLevelType w:val="hybridMultilevel"/>
    <w:tmpl w:val="BC5ED478"/>
    <w:lvl w:ilvl="0" w:tplc="B7443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A3625D"/>
    <w:multiLevelType w:val="hybridMultilevel"/>
    <w:tmpl w:val="9C44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4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4E90"/>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CAC"/>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2CA1"/>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965"/>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0A"/>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98D"/>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B78DC"/>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4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86" TargetMode="External"/><Relationship Id="rId13" Type="http://schemas.openxmlformats.org/officeDocument/2006/relationships/hyperlink" Target="https://canlii.ca/t/gm1nb" TargetMode="External"/><Relationship Id="rId18" Type="http://schemas.openxmlformats.org/officeDocument/2006/relationships/hyperlink" Target="https://www.canlii.org/en/bc/bcsc/doc/2019/2019bcsc426/2019bcsc426.html"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canlii.org/en/bc/bcca/doc/2021/2021bcca465/2021bcca465.html?autocompleteStr=2021%20BCCA%20465&amp;autocompletePos=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lii.ca/t/g90fx" TargetMode="External"/><Relationship Id="rId17" Type="http://schemas.openxmlformats.org/officeDocument/2006/relationships/hyperlink" Target="https://canlii.ca/t/jhzfp" TargetMode="External"/><Relationship Id="rId25" Type="http://schemas.openxmlformats.org/officeDocument/2006/relationships/hyperlink" Target="https://www.canlii.org/en/nb/nbca/doc/2021/2021nbca61/2021nbca61.html?autocompleteStr=78-21-CA&amp;autocompletePos=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lii.ca/t/gm1nb" TargetMode="External"/><Relationship Id="rId20" Type="http://schemas.openxmlformats.org/officeDocument/2006/relationships/hyperlink" Target="https://www.canlii.org/en/bc/bcsc/doc/2019/2019bcsc426/2019bcsc426.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98" TargetMode="External"/><Relationship Id="rId24" Type="http://schemas.openxmlformats.org/officeDocument/2006/relationships/hyperlink" Target="https://www.canlii.org/en/nb/nbqb/doc/2021/2021nbqb150/2021nbqb150.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nlii.ca/t/g90fx" TargetMode="External"/><Relationship Id="rId23" Type="http://schemas.openxmlformats.org/officeDocument/2006/relationships/hyperlink" Target="https://www.canlii.org/en/nb/nbca/doc/2021/2021nbca61/2021nbca61.html?autocompleteStr=78-21-CA&amp;autocompletePos=1" TargetMode="External"/><Relationship Id="rId28" Type="http://schemas.openxmlformats.org/officeDocument/2006/relationships/header" Target="header2.xml"/><Relationship Id="rId10" Type="http://schemas.openxmlformats.org/officeDocument/2006/relationships/hyperlink" Target="https://www.scc-csc.ca/case-dossier/info/sum-som-eng.aspx?cas=40024" TargetMode="External"/><Relationship Id="rId19" Type="http://schemas.openxmlformats.org/officeDocument/2006/relationships/hyperlink" Target="https://www.canlii.org/en/bc/bcca/doc/2021/2021bcca465/2021bcca465.html?autocompleteStr=2021%20BCCA%20465&amp;autocompletePos=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0051" TargetMode="External"/><Relationship Id="rId14" Type="http://schemas.openxmlformats.org/officeDocument/2006/relationships/hyperlink" Target="https://canlii.ca/t/jhzfp" TargetMode="External"/><Relationship Id="rId22" Type="http://schemas.openxmlformats.org/officeDocument/2006/relationships/hyperlink" Target="https://www.canlii.org/en/nb/nbqb/doc/2021/2021nbqb150/2021nbqb150.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C9B2-5651-41C8-9340-DAF409F5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24886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2022-06-24T12:46:00Z</dcterms:modified>
</cp:coreProperties>
</file>