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834C7" w:rsidRDefault="000E391F" w:rsidP="000E391F">
      <w:pPr>
        <w:pStyle w:val="Header"/>
        <w:jc w:val="center"/>
        <w:rPr>
          <w:b/>
          <w:sz w:val="32"/>
          <w:szCs w:val="32"/>
        </w:rPr>
      </w:pPr>
      <w:r w:rsidRPr="007834C7">
        <w:rPr>
          <w:b/>
          <w:sz w:val="32"/>
          <w:szCs w:val="32"/>
        </w:rPr>
        <w:t>Supreme Court of Canada / Cour suprême du Canada</w:t>
      </w:r>
    </w:p>
    <w:p w:rsidR="000E391F" w:rsidRPr="007834C7" w:rsidRDefault="000E391F" w:rsidP="000E391F">
      <w:pPr>
        <w:widowControl w:val="0"/>
        <w:rPr>
          <w:sz w:val="20"/>
        </w:rPr>
      </w:pPr>
    </w:p>
    <w:p w:rsidR="000E391F" w:rsidRPr="007834C7" w:rsidRDefault="000E391F" w:rsidP="000E391F">
      <w:pPr>
        <w:widowControl w:val="0"/>
        <w:rPr>
          <w:i/>
          <w:sz w:val="20"/>
        </w:rPr>
      </w:pPr>
    </w:p>
    <w:p w:rsidR="006F2579" w:rsidRPr="007834C7" w:rsidRDefault="006F2579" w:rsidP="006F2579">
      <w:pPr>
        <w:widowControl w:val="0"/>
        <w:rPr>
          <w:i/>
          <w:sz w:val="20"/>
        </w:rPr>
      </w:pPr>
      <w:r w:rsidRPr="007834C7">
        <w:rPr>
          <w:i/>
          <w:sz w:val="20"/>
        </w:rPr>
        <w:t>(</w:t>
      </w:r>
      <w:r w:rsidR="003240B6" w:rsidRPr="007834C7">
        <w:rPr>
          <w:i/>
          <w:sz w:val="20"/>
        </w:rPr>
        <w:t>L</w:t>
      </w:r>
      <w:r w:rsidRPr="007834C7">
        <w:rPr>
          <w:i/>
          <w:sz w:val="20"/>
        </w:rPr>
        <w:t>e français suit)</w:t>
      </w:r>
    </w:p>
    <w:p w:rsidR="006F2579" w:rsidRPr="007834C7" w:rsidRDefault="006F2579" w:rsidP="006F2579">
      <w:pPr>
        <w:widowControl w:val="0"/>
        <w:rPr>
          <w:sz w:val="20"/>
        </w:rPr>
      </w:pPr>
    </w:p>
    <w:p w:rsidR="006F2579" w:rsidRPr="007834C7" w:rsidRDefault="00B07908" w:rsidP="006F2579">
      <w:pPr>
        <w:widowControl w:val="0"/>
        <w:jc w:val="center"/>
        <w:rPr>
          <w:b/>
          <w:szCs w:val="24"/>
        </w:rPr>
      </w:pPr>
      <w:r w:rsidRPr="007834C7">
        <w:rPr>
          <w:szCs w:val="24"/>
        </w:rPr>
        <w:fldChar w:fldCharType="begin"/>
      </w:r>
      <w:r w:rsidR="006F2579" w:rsidRPr="007834C7">
        <w:rPr>
          <w:szCs w:val="24"/>
        </w:rPr>
        <w:instrText xml:space="preserve"> SEQ CHAPTER \h \r 1</w:instrText>
      </w:r>
      <w:r w:rsidRPr="007834C7">
        <w:rPr>
          <w:szCs w:val="24"/>
        </w:rPr>
        <w:fldChar w:fldCharType="end"/>
      </w:r>
      <w:r w:rsidR="006F2579" w:rsidRPr="007834C7">
        <w:rPr>
          <w:b/>
          <w:szCs w:val="24"/>
        </w:rPr>
        <w:t>JUDGMENT</w:t>
      </w:r>
      <w:r w:rsidR="004F5491" w:rsidRPr="007834C7">
        <w:rPr>
          <w:b/>
          <w:szCs w:val="24"/>
        </w:rPr>
        <w:t>S</w:t>
      </w:r>
      <w:r w:rsidR="006F2579" w:rsidRPr="007834C7">
        <w:rPr>
          <w:b/>
          <w:szCs w:val="24"/>
        </w:rPr>
        <w:t xml:space="preserve"> TO B</w:t>
      </w:r>
      <w:r w:rsidR="00001846" w:rsidRPr="007834C7">
        <w:rPr>
          <w:b/>
          <w:szCs w:val="24"/>
        </w:rPr>
        <w:t>E RENDERED IN LE</w:t>
      </w:r>
      <w:r w:rsidR="00A0288A" w:rsidRPr="007834C7">
        <w:rPr>
          <w:b/>
          <w:szCs w:val="24"/>
        </w:rPr>
        <w:t>A</w:t>
      </w:r>
      <w:r w:rsidR="00001846" w:rsidRPr="007834C7">
        <w:rPr>
          <w:b/>
          <w:szCs w:val="24"/>
        </w:rPr>
        <w:t>VE APPLICATION</w:t>
      </w:r>
      <w:r w:rsidR="004F5491" w:rsidRPr="007834C7">
        <w:rPr>
          <w:b/>
          <w:szCs w:val="24"/>
        </w:rPr>
        <w:t>S</w:t>
      </w:r>
    </w:p>
    <w:p w:rsidR="006F2579" w:rsidRPr="007834C7" w:rsidRDefault="006F2579" w:rsidP="006F2579">
      <w:pPr>
        <w:widowControl w:val="0"/>
        <w:rPr>
          <w:szCs w:val="24"/>
        </w:rPr>
      </w:pPr>
    </w:p>
    <w:p w:rsidR="006F2579" w:rsidRPr="007834C7" w:rsidRDefault="00474965" w:rsidP="006F2579">
      <w:pPr>
        <w:widowControl w:val="0"/>
        <w:rPr>
          <w:szCs w:val="24"/>
        </w:rPr>
      </w:pPr>
      <w:r>
        <w:rPr>
          <w:b/>
          <w:szCs w:val="24"/>
        </w:rPr>
        <w:t>Ju</w:t>
      </w:r>
      <w:r w:rsidR="00A73362">
        <w:rPr>
          <w:b/>
          <w:szCs w:val="24"/>
        </w:rPr>
        <w:t>ly</w:t>
      </w:r>
      <w:r w:rsidR="00A15B66" w:rsidRPr="007834C7">
        <w:rPr>
          <w:b/>
          <w:szCs w:val="24"/>
        </w:rPr>
        <w:t xml:space="preserve"> </w:t>
      </w:r>
      <w:r w:rsidR="00494155">
        <w:rPr>
          <w:b/>
          <w:szCs w:val="24"/>
        </w:rPr>
        <w:t>18</w:t>
      </w:r>
      <w:r w:rsidR="004441C7" w:rsidRPr="007834C7">
        <w:rPr>
          <w:b/>
          <w:szCs w:val="24"/>
        </w:rPr>
        <w:t>,</w:t>
      </w:r>
      <w:r w:rsidR="006F2579" w:rsidRPr="007834C7">
        <w:rPr>
          <w:b/>
          <w:szCs w:val="24"/>
        </w:rPr>
        <w:t xml:space="preserve"> </w:t>
      </w:r>
      <w:r w:rsidR="0054689F" w:rsidRPr="007834C7">
        <w:rPr>
          <w:b/>
          <w:szCs w:val="24"/>
        </w:rPr>
        <w:t>20</w:t>
      </w:r>
      <w:r w:rsidR="00526754" w:rsidRPr="007834C7">
        <w:rPr>
          <w:b/>
          <w:szCs w:val="24"/>
        </w:rPr>
        <w:t>2</w:t>
      </w:r>
      <w:r w:rsidR="00644008" w:rsidRPr="007834C7">
        <w:rPr>
          <w:b/>
          <w:szCs w:val="24"/>
        </w:rPr>
        <w:t>2</w:t>
      </w:r>
    </w:p>
    <w:p w:rsidR="006F2579" w:rsidRPr="007834C7" w:rsidRDefault="00674F39" w:rsidP="006F2579">
      <w:pPr>
        <w:widowControl w:val="0"/>
        <w:rPr>
          <w:b/>
          <w:szCs w:val="24"/>
        </w:rPr>
      </w:pPr>
      <w:r w:rsidRPr="007834C7">
        <w:rPr>
          <w:b/>
          <w:szCs w:val="24"/>
        </w:rPr>
        <w:t>For immediate release</w:t>
      </w:r>
    </w:p>
    <w:p w:rsidR="006F2579" w:rsidRPr="007834C7" w:rsidRDefault="006F2579" w:rsidP="006F2579">
      <w:pPr>
        <w:widowControl w:val="0"/>
        <w:rPr>
          <w:szCs w:val="24"/>
        </w:rPr>
      </w:pPr>
    </w:p>
    <w:p w:rsidR="006F2579" w:rsidRPr="007834C7" w:rsidRDefault="006F2579" w:rsidP="006F2579">
      <w:pPr>
        <w:widowControl w:val="0"/>
        <w:rPr>
          <w:szCs w:val="24"/>
          <w:lang w:val="fr-CA"/>
        </w:rPr>
      </w:pPr>
      <w:r w:rsidRPr="007834C7">
        <w:rPr>
          <w:b/>
          <w:szCs w:val="24"/>
        </w:rPr>
        <w:t>OTTAWA</w:t>
      </w:r>
      <w:r w:rsidRPr="007834C7">
        <w:rPr>
          <w:szCs w:val="24"/>
        </w:rPr>
        <w:t xml:space="preserve"> – The Supreme Court of Canad</w:t>
      </w:r>
      <w:r w:rsidR="006246E4" w:rsidRPr="007834C7">
        <w:rPr>
          <w:szCs w:val="24"/>
        </w:rPr>
        <w:t>a</w:t>
      </w:r>
      <w:r w:rsidRPr="007834C7">
        <w:rPr>
          <w:szCs w:val="24"/>
        </w:rPr>
        <w:t xml:space="preserve"> announced today that judgment in the following </w:t>
      </w:r>
      <w:r w:rsidR="00DB6199" w:rsidRPr="007834C7">
        <w:rPr>
          <w:szCs w:val="24"/>
        </w:rPr>
        <w:t>leave application</w:t>
      </w:r>
      <w:r w:rsidR="004F5491" w:rsidRPr="007834C7">
        <w:rPr>
          <w:szCs w:val="24"/>
        </w:rPr>
        <w:t>s</w:t>
      </w:r>
      <w:r w:rsidR="00DB6199" w:rsidRPr="007834C7">
        <w:rPr>
          <w:szCs w:val="24"/>
        </w:rPr>
        <w:t xml:space="preserve"> </w:t>
      </w:r>
      <w:r w:rsidRPr="007834C7">
        <w:rPr>
          <w:szCs w:val="24"/>
        </w:rPr>
        <w:t>will be delivere</w:t>
      </w:r>
      <w:r w:rsidR="00CE2C5F" w:rsidRPr="007834C7">
        <w:rPr>
          <w:szCs w:val="24"/>
        </w:rPr>
        <w:t>d</w:t>
      </w:r>
      <w:r w:rsidRPr="007834C7">
        <w:rPr>
          <w:szCs w:val="24"/>
        </w:rPr>
        <w:t xml:space="preserve"> at 9:45 a.m. </w:t>
      </w:r>
      <w:r w:rsidR="00E05816" w:rsidRPr="007834C7">
        <w:rPr>
          <w:szCs w:val="24"/>
        </w:rPr>
        <w:t>E</w:t>
      </w:r>
      <w:r w:rsidR="00882B6B" w:rsidRPr="007834C7">
        <w:rPr>
          <w:szCs w:val="24"/>
        </w:rPr>
        <w:t>D</w:t>
      </w:r>
      <w:r w:rsidR="00E05816" w:rsidRPr="007834C7">
        <w:rPr>
          <w:szCs w:val="24"/>
        </w:rPr>
        <w:t>T</w:t>
      </w:r>
      <w:r w:rsidRPr="007834C7">
        <w:rPr>
          <w:szCs w:val="24"/>
        </w:rPr>
        <w:t xml:space="preserve"> on </w:t>
      </w:r>
      <w:r w:rsidR="00322A9C" w:rsidRPr="007834C7">
        <w:rPr>
          <w:szCs w:val="24"/>
        </w:rPr>
        <w:t>Thurs</w:t>
      </w:r>
      <w:r w:rsidR="00680A85" w:rsidRPr="007834C7">
        <w:rPr>
          <w:szCs w:val="24"/>
        </w:rPr>
        <w:t>day</w:t>
      </w:r>
      <w:r w:rsidRPr="007834C7">
        <w:rPr>
          <w:szCs w:val="24"/>
        </w:rPr>
        <w:t xml:space="preserve">, </w:t>
      </w:r>
      <w:r w:rsidR="00092955" w:rsidRPr="007834C7">
        <w:rPr>
          <w:szCs w:val="24"/>
        </w:rPr>
        <w:t>Ju</w:t>
      </w:r>
      <w:r w:rsidR="00A73362">
        <w:rPr>
          <w:szCs w:val="24"/>
        </w:rPr>
        <w:t>ly</w:t>
      </w:r>
      <w:r w:rsidR="00455912" w:rsidRPr="007834C7">
        <w:rPr>
          <w:szCs w:val="24"/>
        </w:rPr>
        <w:t xml:space="preserve"> </w:t>
      </w:r>
      <w:r w:rsidR="00494155">
        <w:rPr>
          <w:szCs w:val="24"/>
        </w:rPr>
        <w:t>21</w:t>
      </w:r>
      <w:r w:rsidR="007E112F" w:rsidRPr="007834C7">
        <w:rPr>
          <w:szCs w:val="24"/>
        </w:rPr>
        <w:t>,</w:t>
      </w:r>
      <w:r w:rsidR="002F38D7" w:rsidRPr="007834C7">
        <w:rPr>
          <w:szCs w:val="24"/>
        </w:rPr>
        <w:t xml:space="preserve"> </w:t>
      </w:r>
      <w:r w:rsidR="006648D1" w:rsidRPr="007834C7">
        <w:rPr>
          <w:szCs w:val="24"/>
        </w:rPr>
        <w:t>20</w:t>
      </w:r>
      <w:r w:rsidR="00526754" w:rsidRPr="007834C7">
        <w:rPr>
          <w:szCs w:val="24"/>
        </w:rPr>
        <w:t>2</w:t>
      </w:r>
      <w:r w:rsidR="00644008" w:rsidRPr="007834C7">
        <w:rPr>
          <w:szCs w:val="24"/>
        </w:rPr>
        <w:t>2</w:t>
      </w:r>
      <w:r w:rsidRPr="007834C7">
        <w:rPr>
          <w:szCs w:val="24"/>
        </w:rPr>
        <w:t xml:space="preserve">. </w:t>
      </w:r>
      <w:r w:rsidRPr="007834C7">
        <w:rPr>
          <w:szCs w:val="24"/>
          <w:lang w:val="fr-CA"/>
        </w:rPr>
        <w:t>This list is subject to chang</w:t>
      </w:r>
      <w:r w:rsidR="00192F7F" w:rsidRPr="007834C7">
        <w:rPr>
          <w:szCs w:val="24"/>
          <w:lang w:val="fr-CA"/>
        </w:rPr>
        <w:t>e</w:t>
      </w:r>
      <w:r w:rsidRPr="007834C7">
        <w:rPr>
          <w:szCs w:val="24"/>
          <w:lang w:val="fr-CA"/>
        </w:rPr>
        <w:t>.</w:t>
      </w:r>
    </w:p>
    <w:p w:rsidR="00FF5AA4" w:rsidRPr="007834C7" w:rsidRDefault="00FF5AA4" w:rsidP="006F2579">
      <w:pPr>
        <w:widowControl w:val="0"/>
        <w:rPr>
          <w:szCs w:val="24"/>
          <w:lang w:val="fr-CA"/>
        </w:rPr>
      </w:pPr>
    </w:p>
    <w:p w:rsidR="00B43418" w:rsidRPr="007834C7" w:rsidRDefault="00B43418" w:rsidP="006F2579">
      <w:pPr>
        <w:widowControl w:val="0"/>
        <w:rPr>
          <w:szCs w:val="24"/>
          <w:lang w:val="fr-CA"/>
        </w:rPr>
      </w:pPr>
    </w:p>
    <w:p w:rsidR="006F2579" w:rsidRPr="007834C7" w:rsidRDefault="006F2579" w:rsidP="006F2579">
      <w:pPr>
        <w:widowControl w:val="0"/>
        <w:jc w:val="center"/>
        <w:rPr>
          <w:szCs w:val="24"/>
          <w:lang w:val="fr-CA"/>
        </w:rPr>
      </w:pPr>
      <w:r w:rsidRPr="007834C7">
        <w:rPr>
          <w:b/>
          <w:szCs w:val="24"/>
          <w:lang w:val="fr-CA"/>
        </w:rPr>
        <w:t>PROCHAIN</w:t>
      </w:r>
      <w:r w:rsidR="004F5491" w:rsidRPr="007834C7">
        <w:rPr>
          <w:b/>
          <w:szCs w:val="24"/>
          <w:lang w:val="fr-CA"/>
        </w:rPr>
        <w:t>S</w:t>
      </w:r>
      <w:r w:rsidRPr="007834C7">
        <w:rPr>
          <w:b/>
          <w:szCs w:val="24"/>
          <w:lang w:val="fr-CA"/>
        </w:rPr>
        <w:t xml:space="preserve"> JUGEMENT</w:t>
      </w:r>
      <w:r w:rsidR="004F5491" w:rsidRPr="007834C7">
        <w:rPr>
          <w:b/>
          <w:szCs w:val="24"/>
          <w:lang w:val="fr-CA"/>
        </w:rPr>
        <w:t>S</w:t>
      </w:r>
      <w:r w:rsidR="00001846" w:rsidRPr="007834C7">
        <w:rPr>
          <w:b/>
          <w:szCs w:val="24"/>
          <w:lang w:val="fr-CA"/>
        </w:rPr>
        <w:t xml:space="preserve"> SUR DEMANDE</w:t>
      </w:r>
      <w:r w:rsidR="004F5491" w:rsidRPr="007834C7">
        <w:rPr>
          <w:b/>
          <w:szCs w:val="24"/>
          <w:lang w:val="fr-CA"/>
        </w:rPr>
        <w:t>S</w:t>
      </w:r>
      <w:r w:rsidRPr="007834C7">
        <w:rPr>
          <w:b/>
          <w:szCs w:val="24"/>
          <w:lang w:val="fr-CA"/>
        </w:rPr>
        <w:t xml:space="preserve"> D’AUTORISATION</w:t>
      </w:r>
    </w:p>
    <w:p w:rsidR="006F2579" w:rsidRPr="007834C7" w:rsidRDefault="006F2579" w:rsidP="006F2579">
      <w:pPr>
        <w:widowControl w:val="0"/>
        <w:rPr>
          <w:szCs w:val="24"/>
          <w:lang w:val="fr-CA"/>
        </w:rPr>
      </w:pPr>
    </w:p>
    <w:p w:rsidR="006F2579" w:rsidRPr="007834C7" w:rsidRDefault="006F2579" w:rsidP="006F2579">
      <w:pPr>
        <w:widowControl w:val="0"/>
        <w:rPr>
          <w:szCs w:val="24"/>
          <w:lang w:val="fr-CA"/>
        </w:rPr>
      </w:pPr>
      <w:r w:rsidRPr="007834C7">
        <w:rPr>
          <w:b/>
          <w:szCs w:val="24"/>
          <w:lang w:val="fr-CA"/>
        </w:rPr>
        <w:t>Le</w:t>
      </w:r>
      <w:r w:rsidR="00957A76" w:rsidRPr="007834C7">
        <w:rPr>
          <w:b/>
          <w:szCs w:val="24"/>
          <w:lang w:val="fr-CA"/>
        </w:rPr>
        <w:t xml:space="preserve"> </w:t>
      </w:r>
      <w:r w:rsidR="00494155">
        <w:rPr>
          <w:b/>
          <w:szCs w:val="24"/>
          <w:lang w:val="fr-CA"/>
        </w:rPr>
        <w:t>18</w:t>
      </w:r>
      <w:r w:rsidR="00075EC0" w:rsidRPr="007834C7">
        <w:rPr>
          <w:b/>
          <w:szCs w:val="24"/>
          <w:lang w:val="fr-CA"/>
        </w:rPr>
        <w:t xml:space="preserve"> </w:t>
      </w:r>
      <w:r w:rsidR="00474965">
        <w:rPr>
          <w:b/>
          <w:szCs w:val="24"/>
          <w:lang w:val="fr-CA"/>
        </w:rPr>
        <w:t>jui</w:t>
      </w:r>
      <w:r w:rsidR="00A73362">
        <w:rPr>
          <w:b/>
          <w:szCs w:val="24"/>
          <w:lang w:val="fr-CA"/>
        </w:rPr>
        <w:t>llet</w:t>
      </w:r>
      <w:r w:rsidR="00A151D1" w:rsidRPr="007834C7">
        <w:rPr>
          <w:b/>
          <w:szCs w:val="24"/>
          <w:lang w:val="fr-CA"/>
        </w:rPr>
        <w:t xml:space="preserve"> 20</w:t>
      </w:r>
      <w:r w:rsidR="00526754" w:rsidRPr="007834C7">
        <w:rPr>
          <w:b/>
          <w:szCs w:val="24"/>
          <w:lang w:val="fr-CA"/>
        </w:rPr>
        <w:t>2</w:t>
      </w:r>
      <w:r w:rsidR="00644008" w:rsidRPr="007834C7">
        <w:rPr>
          <w:b/>
          <w:szCs w:val="24"/>
          <w:lang w:val="fr-CA"/>
        </w:rPr>
        <w:t>2</w:t>
      </w:r>
    </w:p>
    <w:p w:rsidR="006F2579" w:rsidRPr="007834C7" w:rsidRDefault="006F2579" w:rsidP="006F2579">
      <w:pPr>
        <w:widowControl w:val="0"/>
        <w:rPr>
          <w:b/>
          <w:szCs w:val="24"/>
          <w:lang w:val="fr-CA"/>
        </w:rPr>
      </w:pPr>
      <w:r w:rsidRPr="007834C7">
        <w:rPr>
          <w:b/>
          <w:szCs w:val="24"/>
          <w:lang w:val="fr-CA"/>
        </w:rPr>
        <w:t>Pour diffusion immédiate</w:t>
      </w:r>
    </w:p>
    <w:p w:rsidR="006F2579" w:rsidRPr="007834C7" w:rsidRDefault="006F2579" w:rsidP="006F2579">
      <w:pPr>
        <w:widowControl w:val="0"/>
        <w:rPr>
          <w:szCs w:val="24"/>
          <w:lang w:val="fr-CA"/>
        </w:rPr>
      </w:pPr>
    </w:p>
    <w:p w:rsidR="006F2579" w:rsidRPr="00A73362" w:rsidRDefault="006F2579" w:rsidP="006F2579">
      <w:pPr>
        <w:widowControl w:val="0"/>
        <w:rPr>
          <w:szCs w:val="24"/>
          <w:lang w:val="fr-CA"/>
        </w:rPr>
      </w:pPr>
      <w:r w:rsidRPr="007834C7">
        <w:rPr>
          <w:b/>
          <w:szCs w:val="24"/>
          <w:lang w:val="fr-CA"/>
        </w:rPr>
        <w:t>OTTAWA</w:t>
      </w:r>
      <w:r w:rsidRPr="007834C7">
        <w:rPr>
          <w:szCs w:val="24"/>
          <w:lang w:val="fr-CA"/>
        </w:rPr>
        <w:t xml:space="preserve"> – La Cour suprême du Canada annonce que jugement ser</w:t>
      </w:r>
      <w:r w:rsidR="004259F9" w:rsidRPr="007834C7">
        <w:rPr>
          <w:szCs w:val="24"/>
          <w:lang w:val="fr-CA"/>
        </w:rPr>
        <w:t>a</w:t>
      </w:r>
      <w:r w:rsidRPr="007834C7">
        <w:rPr>
          <w:szCs w:val="24"/>
          <w:lang w:val="fr-CA"/>
        </w:rPr>
        <w:t xml:space="preserve"> rendu dans l</w:t>
      </w:r>
      <w:r w:rsidR="004F5491" w:rsidRPr="007834C7">
        <w:rPr>
          <w:szCs w:val="24"/>
          <w:lang w:val="fr-CA"/>
        </w:rPr>
        <w:t>es</w:t>
      </w:r>
      <w:r w:rsidRPr="007834C7">
        <w:rPr>
          <w:szCs w:val="24"/>
          <w:lang w:val="fr-CA"/>
        </w:rPr>
        <w:t xml:space="preserve"> demande</w:t>
      </w:r>
      <w:r w:rsidR="004F5491" w:rsidRPr="007834C7">
        <w:rPr>
          <w:szCs w:val="24"/>
          <w:lang w:val="fr-CA"/>
        </w:rPr>
        <w:t>s</w:t>
      </w:r>
      <w:r w:rsidRPr="007834C7">
        <w:rPr>
          <w:szCs w:val="24"/>
          <w:lang w:val="fr-CA"/>
        </w:rPr>
        <w:t xml:space="preserve"> d</w:t>
      </w:r>
      <w:r w:rsidR="00001846" w:rsidRPr="007834C7">
        <w:rPr>
          <w:szCs w:val="24"/>
          <w:lang w:val="fr-CA"/>
        </w:rPr>
        <w:t>’autorisation suivante</w:t>
      </w:r>
      <w:r w:rsidR="004F5491" w:rsidRPr="007834C7">
        <w:rPr>
          <w:szCs w:val="24"/>
          <w:lang w:val="fr-CA"/>
        </w:rPr>
        <w:t>s</w:t>
      </w:r>
      <w:r w:rsidRPr="007834C7">
        <w:rPr>
          <w:szCs w:val="24"/>
          <w:lang w:val="fr-CA"/>
        </w:rPr>
        <w:t xml:space="preserve"> le </w:t>
      </w:r>
      <w:r w:rsidR="00322A9C" w:rsidRPr="007834C7">
        <w:rPr>
          <w:szCs w:val="24"/>
          <w:lang w:val="fr-CA"/>
        </w:rPr>
        <w:t>jeu</w:t>
      </w:r>
      <w:r w:rsidR="00680A85" w:rsidRPr="007834C7">
        <w:rPr>
          <w:szCs w:val="24"/>
          <w:lang w:val="fr-CA"/>
        </w:rPr>
        <w:t>di</w:t>
      </w:r>
      <w:r w:rsidRPr="007834C7">
        <w:rPr>
          <w:szCs w:val="24"/>
          <w:lang w:val="fr-CA"/>
        </w:rPr>
        <w:t xml:space="preserve"> </w:t>
      </w:r>
      <w:r w:rsidR="00494155">
        <w:rPr>
          <w:szCs w:val="24"/>
          <w:lang w:val="fr-CA"/>
        </w:rPr>
        <w:t>21</w:t>
      </w:r>
      <w:r w:rsidR="009E0BD3" w:rsidRPr="007834C7">
        <w:rPr>
          <w:szCs w:val="24"/>
          <w:lang w:val="fr-CA"/>
        </w:rPr>
        <w:t xml:space="preserve"> </w:t>
      </w:r>
      <w:r w:rsidR="00092955" w:rsidRPr="007834C7">
        <w:rPr>
          <w:szCs w:val="24"/>
          <w:lang w:val="fr-CA"/>
        </w:rPr>
        <w:t>jui</w:t>
      </w:r>
      <w:r w:rsidR="00A73362">
        <w:rPr>
          <w:szCs w:val="24"/>
          <w:lang w:val="fr-CA"/>
        </w:rPr>
        <w:t>llet</w:t>
      </w:r>
      <w:r w:rsidR="00694391" w:rsidRPr="007834C7">
        <w:rPr>
          <w:szCs w:val="24"/>
          <w:lang w:val="fr-CA"/>
        </w:rPr>
        <w:t xml:space="preserve"> 2</w:t>
      </w:r>
      <w:r w:rsidR="006648D1" w:rsidRPr="007834C7">
        <w:rPr>
          <w:szCs w:val="24"/>
          <w:lang w:val="fr-CA"/>
        </w:rPr>
        <w:t>0</w:t>
      </w:r>
      <w:r w:rsidR="00526754" w:rsidRPr="007834C7">
        <w:rPr>
          <w:szCs w:val="24"/>
          <w:lang w:val="fr-CA"/>
        </w:rPr>
        <w:t>2</w:t>
      </w:r>
      <w:r w:rsidR="00644008" w:rsidRPr="007834C7">
        <w:rPr>
          <w:szCs w:val="24"/>
          <w:lang w:val="fr-CA"/>
        </w:rPr>
        <w:t>2</w:t>
      </w:r>
      <w:r w:rsidRPr="007834C7">
        <w:rPr>
          <w:szCs w:val="24"/>
          <w:lang w:val="fr-CA"/>
        </w:rPr>
        <w:t xml:space="preserve">, à 9 h 45 </w:t>
      </w:r>
      <w:r w:rsidR="000627A2" w:rsidRPr="007834C7">
        <w:rPr>
          <w:szCs w:val="24"/>
          <w:lang w:val="fr-CA"/>
        </w:rPr>
        <w:t>H</w:t>
      </w:r>
      <w:r w:rsidR="00882B6B" w:rsidRPr="007834C7">
        <w:rPr>
          <w:szCs w:val="24"/>
          <w:lang w:val="fr-CA"/>
        </w:rPr>
        <w:t>A</w:t>
      </w:r>
      <w:r w:rsidRPr="007834C7">
        <w:rPr>
          <w:szCs w:val="24"/>
          <w:lang w:val="fr-CA"/>
        </w:rPr>
        <w:t xml:space="preserve">E. Cette liste est sujette à </w:t>
      </w:r>
      <w:r w:rsidRPr="00A73362">
        <w:rPr>
          <w:szCs w:val="24"/>
          <w:lang w:val="fr-CA"/>
        </w:rPr>
        <w:t>modification</w:t>
      </w:r>
      <w:r w:rsidR="00130ADB" w:rsidRPr="00A73362">
        <w:rPr>
          <w:szCs w:val="24"/>
          <w:lang w:val="fr-CA"/>
        </w:rPr>
        <w:t>s</w:t>
      </w:r>
      <w:r w:rsidRPr="00A73362">
        <w:rPr>
          <w:szCs w:val="24"/>
          <w:lang w:val="fr-CA"/>
        </w:rPr>
        <w:t>.</w:t>
      </w:r>
    </w:p>
    <w:p w:rsidR="0080556B" w:rsidRPr="00A73362" w:rsidRDefault="0080556B" w:rsidP="005F2A78">
      <w:pPr>
        <w:widowControl w:val="0"/>
        <w:tabs>
          <w:tab w:val="left" w:pos="3840"/>
        </w:tabs>
        <w:jc w:val="both"/>
        <w:rPr>
          <w:sz w:val="20"/>
          <w:lang w:val="fr-CA"/>
        </w:rPr>
      </w:pPr>
    </w:p>
    <w:p w:rsidR="00867C61" w:rsidRPr="00276489" w:rsidRDefault="002842B2" w:rsidP="009B14F4">
      <w:pPr>
        <w:widowControl w:val="0"/>
        <w:jc w:val="both"/>
        <w:rPr>
          <w:sz w:val="20"/>
        </w:rPr>
      </w:pPr>
      <w:r>
        <w:rPr>
          <w:sz w:val="20"/>
        </w:rPr>
        <w:pict>
          <v:rect id="_x0000_i1025" style="width:2in;height:1pt" o:hrpct="0" o:hralign="center" o:hrstd="t" o:hrnoshade="t" o:hr="t" fillcolor="black [3213]" stroked="f"/>
        </w:pict>
      </w:r>
    </w:p>
    <w:p w:rsidR="004A6E51" w:rsidRPr="00276489" w:rsidRDefault="004A6E51" w:rsidP="0053032E">
      <w:pPr>
        <w:rPr>
          <w:sz w:val="20"/>
          <w:lang w:val="fr-CA"/>
        </w:rPr>
      </w:pPr>
    </w:p>
    <w:p w:rsidR="00494155" w:rsidRPr="00276489" w:rsidRDefault="00494155" w:rsidP="00494155">
      <w:pPr>
        <w:pStyle w:val="ListParagraph"/>
        <w:numPr>
          <w:ilvl w:val="0"/>
          <w:numId w:val="9"/>
        </w:numPr>
        <w:ind w:left="357" w:hanging="357"/>
        <w:rPr>
          <w:sz w:val="20"/>
        </w:rPr>
      </w:pPr>
      <w:r w:rsidRPr="00276489">
        <w:rPr>
          <w:i/>
          <w:sz w:val="20"/>
        </w:rPr>
        <w:t>Vito Buffone</w:t>
      </w:r>
      <w:r w:rsidR="00276489" w:rsidRPr="00276489">
        <w:rPr>
          <w:i/>
          <w:sz w:val="20"/>
        </w:rPr>
        <w:t>, et al.</w:t>
      </w:r>
      <w:r w:rsidRPr="00276489">
        <w:rPr>
          <w:i/>
          <w:sz w:val="20"/>
        </w:rPr>
        <w:t xml:space="preserve"> v. Her Majesty the Queen</w:t>
      </w:r>
      <w:r w:rsidR="00276489" w:rsidRPr="00276489">
        <w:rPr>
          <w:i/>
          <w:sz w:val="20"/>
        </w:rPr>
        <w:t>, et al.</w:t>
      </w:r>
      <w:r w:rsidRPr="00276489">
        <w:rPr>
          <w:sz w:val="20"/>
        </w:rPr>
        <w:t xml:space="preserve"> (Ont.) (Criminal) (By Leave) (</w:t>
      </w:r>
      <w:hyperlink r:id="rId8" w:history="1">
        <w:r w:rsidR="00276489" w:rsidRPr="00276489">
          <w:rPr>
            <w:rStyle w:val="Hyperlink"/>
            <w:sz w:val="20"/>
            <w:szCs w:val="20"/>
          </w:rPr>
          <w:t>39902</w:t>
        </w:r>
      </w:hyperlink>
      <w:r w:rsidRPr="00276489">
        <w:rPr>
          <w:sz w:val="20"/>
        </w:rPr>
        <w:t>)</w:t>
      </w:r>
    </w:p>
    <w:p w:rsidR="00494155" w:rsidRPr="00276489" w:rsidRDefault="00494155" w:rsidP="00494155">
      <w:pPr>
        <w:ind w:left="357" w:hanging="357"/>
        <w:rPr>
          <w:sz w:val="20"/>
        </w:rPr>
      </w:pPr>
    </w:p>
    <w:p w:rsidR="00494155" w:rsidRPr="00276489" w:rsidRDefault="00494155" w:rsidP="00494155">
      <w:pPr>
        <w:pStyle w:val="ListParagraph"/>
        <w:numPr>
          <w:ilvl w:val="0"/>
          <w:numId w:val="9"/>
        </w:numPr>
        <w:ind w:left="357" w:hanging="357"/>
        <w:rPr>
          <w:sz w:val="20"/>
        </w:rPr>
      </w:pPr>
      <w:r w:rsidRPr="00276489">
        <w:rPr>
          <w:i/>
          <w:sz w:val="20"/>
        </w:rPr>
        <w:t xml:space="preserve">Martin Peter Holzbauer v. Attorney General of British Columbia </w:t>
      </w:r>
      <w:r w:rsidRPr="00276489">
        <w:rPr>
          <w:sz w:val="20"/>
        </w:rPr>
        <w:t>(B.C.) (Criminal) (By Leave) (</w:t>
      </w:r>
      <w:hyperlink r:id="rId9" w:history="1">
        <w:r w:rsidRPr="00276489">
          <w:rPr>
            <w:rStyle w:val="Hyperlink"/>
            <w:sz w:val="20"/>
            <w:szCs w:val="20"/>
          </w:rPr>
          <w:t>40</w:t>
        </w:r>
        <w:r w:rsidR="00276489" w:rsidRPr="00276489">
          <w:rPr>
            <w:rStyle w:val="Hyperlink"/>
            <w:sz w:val="20"/>
            <w:szCs w:val="20"/>
          </w:rPr>
          <w:t>1</w:t>
        </w:r>
        <w:r w:rsidRPr="00276489">
          <w:rPr>
            <w:rStyle w:val="Hyperlink"/>
            <w:sz w:val="20"/>
            <w:szCs w:val="20"/>
          </w:rPr>
          <w:t>0</w:t>
        </w:r>
        <w:r w:rsidR="00276489" w:rsidRPr="00276489">
          <w:rPr>
            <w:rStyle w:val="Hyperlink"/>
            <w:sz w:val="20"/>
            <w:szCs w:val="20"/>
          </w:rPr>
          <w:t>5</w:t>
        </w:r>
      </w:hyperlink>
      <w:r w:rsidRPr="00276489">
        <w:rPr>
          <w:sz w:val="20"/>
        </w:rPr>
        <w:t>)</w:t>
      </w:r>
    </w:p>
    <w:p w:rsidR="00474965" w:rsidRPr="00276489" w:rsidRDefault="00474965" w:rsidP="0053032E">
      <w:pPr>
        <w:rPr>
          <w:sz w:val="20"/>
        </w:rPr>
      </w:pPr>
    </w:p>
    <w:p w:rsidR="0057402C" w:rsidRPr="007834C7" w:rsidRDefault="002842B2" w:rsidP="0053032E">
      <w:pPr>
        <w:widowControl w:val="0"/>
        <w:jc w:val="both"/>
        <w:rPr>
          <w:sz w:val="20"/>
        </w:rPr>
      </w:pPr>
      <w:r>
        <w:rPr>
          <w:sz w:val="20"/>
        </w:rPr>
        <w:pict>
          <v:rect id="_x0000_i1026" style="width:2in;height:1pt" o:hrpct="0" o:hralign="center" o:hrstd="t" o:hrnoshade="t" o:hr="t" fillcolor="black [3213]" stroked="f"/>
        </w:pict>
      </w:r>
    </w:p>
    <w:p w:rsidR="00A73362" w:rsidRDefault="00A73362" w:rsidP="007446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42B2" w:rsidRPr="002842B2" w:rsidTr="00E95A6A">
        <w:tc>
          <w:tcPr>
            <w:tcW w:w="543" w:type="pct"/>
          </w:tcPr>
          <w:p w:rsidR="002842B2" w:rsidRPr="002842B2" w:rsidRDefault="002842B2" w:rsidP="002842B2">
            <w:pPr>
              <w:jc w:val="both"/>
              <w:rPr>
                <w:sz w:val="20"/>
              </w:rPr>
            </w:pPr>
            <w:r w:rsidRPr="002842B2">
              <w:rPr>
                <w:rStyle w:val="SCCFileNumberChar"/>
                <w:sz w:val="20"/>
                <w:szCs w:val="20"/>
              </w:rPr>
              <w:t>39902</w:t>
            </w:r>
          </w:p>
        </w:tc>
        <w:tc>
          <w:tcPr>
            <w:tcW w:w="4457" w:type="pct"/>
            <w:gridSpan w:val="3"/>
          </w:tcPr>
          <w:p w:rsidR="002842B2" w:rsidRPr="002842B2" w:rsidRDefault="002842B2" w:rsidP="002842B2">
            <w:pPr>
              <w:pStyle w:val="SCCLsocParty"/>
              <w:jc w:val="both"/>
              <w:rPr>
                <w:b/>
                <w:sz w:val="20"/>
                <w:szCs w:val="20"/>
                <w:lang w:val="en-US"/>
              </w:rPr>
            </w:pPr>
            <w:r w:rsidRPr="002842B2">
              <w:rPr>
                <w:b/>
                <w:sz w:val="20"/>
                <w:szCs w:val="20"/>
                <w:lang w:val="en-US"/>
              </w:rPr>
              <w:t>Vito Buffone v. Her Majesty the Queen</w:t>
            </w:r>
          </w:p>
          <w:p w:rsidR="002842B2" w:rsidRPr="002842B2" w:rsidRDefault="002842B2" w:rsidP="002842B2">
            <w:pPr>
              <w:pStyle w:val="SCCLsocSubfileSeparator"/>
              <w:rPr>
                <w:sz w:val="20"/>
                <w:szCs w:val="20"/>
              </w:rPr>
            </w:pPr>
            <w:r w:rsidRPr="002842B2">
              <w:rPr>
                <w:sz w:val="20"/>
                <w:szCs w:val="20"/>
              </w:rPr>
              <w:t>- and between -</w:t>
            </w:r>
          </w:p>
          <w:p w:rsidR="002842B2" w:rsidRPr="002842B2" w:rsidRDefault="002842B2" w:rsidP="002842B2">
            <w:pPr>
              <w:pStyle w:val="SCCLsocParty"/>
              <w:jc w:val="both"/>
              <w:rPr>
                <w:b/>
                <w:sz w:val="20"/>
                <w:szCs w:val="20"/>
                <w:lang w:val="en-US"/>
              </w:rPr>
            </w:pPr>
            <w:r w:rsidRPr="002842B2">
              <w:rPr>
                <w:b/>
                <w:sz w:val="20"/>
                <w:szCs w:val="20"/>
                <w:lang w:val="en-US"/>
              </w:rPr>
              <w:t>Vito Buffone v. Her Majesty the Queen</w:t>
            </w:r>
          </w:p>
          <w:p w:rsidR="002842B2" w:rsidRPr="002842B2" w:rsidRDefault="002842B2" w:rsidP="002842B2">
            <w:pPr>
              <w:pStyle w:val="SCCLsocSubfileSeparator"/>
              <w:rPr>
                <w:sz w:val="20"/>
                <w:szCs w:val="20"/>
              </w:rPr>
            </w:pPr>
            <w:r w:rsidRPr="002842B2">
              <w:rPr>
                <w:sz w:val="20"/>
                <w:szCs w:val="20"/>
              </w:rPr>
              <w:t>- and between -</w:t>
            </w:r>
          </w:p>
          <w:p w:rsidR="002842B2" w:rsidRPr="002842B2" w:rsidRDefault="002842B2" w:rsidP="002842B2">
            <w:pPr>
              <w:pStyle w:val="SCCLsocParty"/>
              <w:jc w:val="both"/>
              <w:rPr>
                <w:b/>
                <w:sz w:val="20"/>
                <w:szCs w:val="20"/>
                <w:lang w:val="en-US"/>
              </w:rPr>
            </w:pPr>
            <w:r w:rsidRPr="002842B2">
              <w:rPr>
                <w:b/>
                <w:sz w:val="20"/>
                <w:szCs w:val="20"/>
                <w:lang w:val="en-US"/>
              </w:rPr>
              <w:t>Jeffrey Kompon v. Her Majesty the Queen</w:t>
            </w:r>
          </w:p>
          <w:p w:rsidR="002842B2" w:rsidRPr="002842B2" w:rsidRDefault="002842B2" w:rsidP="002842B2">
            <w:pPr>
              <w:jc w:val="both"/>
              <w:rPr>
                <w:sz w:val="20"/>
              </w:rPr>
            </w:pPr>
            <w:r w:rsidRPr="002842B2">
              <w:rPr>
                <w:sz w:val="20"/>
              </w:rPr>
              <w:t>(Ont.) (Criminal) (By Leave)</w:t>
            </w:r>
          </w:p>
        </w:tc>
      </w:tr>
      <w:tr w:rsidR="002842B2" w:rsidRPr="002842B2" w:rsidTr="00E95A6A">
        <w:tc>
          <w:tcPr>
            <w:tcW w:w="5000" w:type="pct"/>
            <w:gridSpan w:val="4"/>
          </w:tcPr>
          <w:p w:rsidR="002842B2" w:rsidRPr="002842B2" w:rsidRDefault="002842B2" w:rsidP="002842B2">
            <w:pPr>
              <w:jc w:val="both"/>
              <w:rPr>
                <w:sz w:val="20"/>
              </w:rPr>
            </w:pPr>
            <w:r w:rsidRPr="002842B2">
              <w:rPr>
                <w:sz w:val="20"/>
              </w:rPr>
              <w:t xml:space="preserve">Criminal law — Evidence — Charge to jury — Sentencing — Whether an object on which no residue is visible is a substance or sample of it under s. 45 of the </w:t>
            </w:r>
            <w:r w:rsidRPr="002842B2">
              <w:rPr>
                <w:i/>
                <w:sz w:val="20"/>
              </w:rPr>
              <w:t>Controlled Drugs and Substances Act</w:t>
            </w:r>
            <w:r w:rsidRPr="002842B2">
              <w:rPr>
                <w:sz w:val="20"/>
              </w:rPr>
              <w:t xml:space="preserve">, </w:t>
            </w:r>
            <w:r w:rsidRPr="002842B2">
              <w:rPr>
                <w:spacing w:val="-1"/>
                <w:sz w:val="20"/>
              </w:rPr>
              <w:t>S.C. 1996, c. 19</w:t>
            </w:r>
            <w:r w:rsidRPr="002842B2">
              <w:rPr>
                <w:sz w:val="20"/>
              </w:rPr>
              <w:t xml:space="preserve"> — Whether a trial judge is required to instruct the jury that it must find probable membership of indicted or unindicted co-conspirators before their statements can be used against the accused at stage three of the instruction on conspiracy required following </w:t>
            </w:r>
            <w:r w:rsidRPr="002842B2">
              <w:rPr>
                <w:i/>
                <w:sz w:val="20"/>
              </w:rPr>
              <w:t>R. v. Carter</w:t>
            </w:r>
            <w:r w:rsidRPr="002842B2">
              <w:rPr>
                <w:sz w:val="20"/>
              </w:rPr>
              <w:t>, [1982] 1 S.C.R. 938 — Weight to be given to sentences imposed on co-accused by way of joint submission — Appropriate approach to proportionality and totality where an aggravating factor is part of the gravamen of a separately charged consecutive sentence?</w:t>
            </w:r>
          </w:p>
        </w:tc>
      </w:tr>
      <w:tr w:rsidR="002842B2" w:rsidRPr="002842B2" w:rsidTr="00E95A6A">
        <w:tc>
          <w:tcPr>
            <w:tcW w:w="5000" w:type="pct"/>
            <w:gridSpan w:val="4"/>
          </w:tcPr>
          <w:p w:rsidR="002842B2" w:rsidRPr="002842B2" w:rsidRDefault="002842B2" w:rsidP="002842B2">
            <w:pPr>
              <w:jc w:val="both"/>
              <w:rPr>
                <w:sz w:val="20"/>
              </w:rPr>
            </w:pPr>
          </w:p>
          <w:p w:rsidR="002842B2" w:rsidRPr="002842B2" w:rsidRDefault="002842B2" w:rsidP="002842B2">
            <w:pPr>
              <w:widowControl w:val="0"/>
              <w:kinsoku w:val="0"/>
              <w:overflowPunct w:val="0"/>
              <w:jc w:val="both"/>
              <w:textAlignment w:val="baseline"/>
              <w:rPr>
                <w:sz w:val="20"/>
              </w:rPr>
            </w:pPr>
            <w:r w:rsidRPr="002842B2">
              <w:rPr>
                <w:sz w:val="20"/>
              </w:rPr>
              <w:t xml:space="preserve">Mr. Buffone and Mr. Kompon were charged for their roles as senior members of a criminal enterprise that imported and distributed </w:t>
            </w:r>
            <w:r w:rsidRPr="002842B2">
              <w:rPr>
                <w:color w:val="000000"/>
                <w:spacing w:val="-2"/>
                <w:sz w:val="20"/>
              </w:rPr>
              <w:t xml:space="preserve">cocaine. </w:t>
            </w:r>
            <w:r w:rsidRPr="002842B2">
              <w:rPr>
                <w:sz w:val="20"/>
              </w:rPr>
              <w:t xml:space="preserve">The Crown’s case included evidence </w:t>
            </w:r>
            <w:r w:rsidRPr="002842B2">
              <w:rPr>
                <w:spacing w:val="-2"/>
                <w:sz w:val="20"/>
              </w:rPr>
              <w:t xml:space="preserve">that </w:t>
            </w:r>
            <w:r w:rsidRPr="002842B2">
              <w:rPr>
                <w:spacing w:val="-3"/>
                <w:sz w:val="20"/>
              </w:rPr>
              <w:t xml:space="preserve">cocaine was found on </w:t>
            </w:r>
            <w:r w:rsidRPr="002842B2">
              <w:rPr>
                <w:spacing w:val="-2"/>
                <w:sz w:val="20"/>
              </w:rPr>
              <w:t>gloves</w:t>
            </w:r>
            <w:r w:rsidRPr="002842B2">
              <w:rPr>
                <w:color w:val="000000"/>
                <w:spacing w:val="-2"/>
                <w:sz w:val="20"/>
              </w:rPr>
              <w:t xml:space="preserve"> seized during a search of a warehouse. </w:t>
            </w:r>
            <w:r w:rsidRPr="002842B2">
              <w:rPr>
                <w:sz w:val="20"/>
              </w:rPr>
              <w:t xml:space="preserve">The jury was instructed on proof of conspiracy. The jury convicted Mr. Buffone and Mr. Kompon of drug related offences on behalf of a criminal enterprise. Mr. Buffone was sentenced to 22 years imprisonment and Mr. Kompon to 20 years. The Court of Appeal dismissed appeals from the convictions, allowed sentence appeals, and substituted sentences of life imprisonment for convictions for </w:t>
            </w:r>
            <w:r w:rsidRPr="002842B2">
              <w:rPr>
                <w:color w:val="000000"/>
                <w:sz w:val="20"/>
              </w:rPr>
              <w:t>conspiracy to import</w:t>
            </w:r>
            <w:r w:rsidRPr="002842B2">
              <w:rPr>
                <w:sz w:val="20"/>
                <w:lang w:val="en"/>
              </w:rPr>
              <w:t xml:space="preserve"> and possess cocaine for the purpose of trafficking</w:t>
            </w:r>
            <w:r w:rsidRPr="002842B2">
              <w:rPr>
                <w:sz w:val="20"/>
              </w:rPr>
              <w:t>.</w:t>
            </w:r>
          </w:p>
        </w:tc>
      </w:tr>
      <w:tr w:rsidR="002842B2" w:rsidRPr="002842B2" w:rsidTr="00E95A6A">
        <w:tc>
          <w:tcPr>
            <w:tcW w:w="5000" w:type="pct"/>
            <w:gridSpan w:val="4"/>
          </w:tcPr>
          <w:p w:rsidR="002842B2" w:rsidRPr="002842B2" w:rsidRDefault="002842B2" w:rsidP="002842B2">
            <w:pPr>
              <w:widowControl w:val="0"/>
              <w:kinsoku w:val="0"/>
              <w:overflowPunct w:val="0"/>
              <w:jc w:val="both"/>
              <w:textAlignment w:val="baseline"/>
              <w:rPr>
                <w:sz w:val="20"/>
              </w:rPr>
            </w:pPr>
          </w:p>
        </w:tc>
      </w:tr>
      <w:tr w:rsidR="002842B2" w:rsidRPr="002842B2" w:rsidTr="00E95A6A">
        <w:tc>
          <w:tcPr>
            <w:tcW w:w="2427" w:type="pct"/>
            <w:gridSpan w:val="2"/>
          </w:tcPr>
          <w:p w:rsidR="002842B2" w:rsidRPr="002842B2" w:rsidRDefault="002842B2" w:rsidP="002842B2">
            <w:pPr>
              <w:jc w:val="both"/>
              <w:rPr>
                <w:sz w:val="20"/>
              </w:rPr>
            </w:pPr>
            <w:r w:rsidRPr="002842B2">
              <w:rPr>
                <w:sz w:val="20"/>
              </w:rPr>
              <w:lastRenderedPageBreak/>
              <w:t>June 12, 2017</w:t>
            </w:r>
          </w:p>
          <w:p w:rsidR="002842B2" w:rsidRPr="002842B2" w:rsidRDefault="002842B2" w:rsidP="002842B2">
            <w:pPr>
              <w:jc w:val="both"/>
              <w:rPr>
                <w:sz w:val="20"/>
              </w:rPr>
            </w:pPr>
            <w:r w:rsidRPr="002842B2">
              <w:rPr>
                <w:sz w:val="20"/>
              </w:rPr>
              <w:t>Ontario Superior Court of Justice</w:t>
            </w:r>
          </w:p>
          <w:p w:rsidR="002842B2" w:rsidRPr="002842B2" w:rsidRDefault="002842B2" w:rsidP="002842B2">
            <w:pPr>
              <w:jc w:val="both"/>
              <w:rPr>
                <w:sz w:val="20"/>
              </w:rPr>
            </w:pPr>
            <w:r w:rsidRPr="002842B2">
              <w:rPr>
                <w:sz w:val="20"/>
              </w:rPr>
              <w:t>(Ramsay J.)(Unreported)</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lang w:val="en"/>
              </w:rPr>
            </w:pPr>
            <w:r w:rsidRPr="002842B2">
              <w:rPr>
                <w:sz w:val="20"/>
              </w:rPr>
              <w:t xml:space="preserve">Convictions for </w:t>
            </w:r>
            <w:r w:rsidRPr="002842B2">
              <w:rPr>
                <w:color w:val="000000"/>
                <w:sz w:val="20"/>
              </w:rPr>
              <w:t>conspiracy to import</w:t>
            </w:r>
            <w:r w:rsidRPr="002842B2">
              <w:rPr>
                <w:sz w:val="20"/>
                <w:lang w:val="en"/>
              </w:rPr>
              <w:t xml:space="preserve"> and possess cocaine for the purpose of trafficking</w:t>
            </w:r>
            <w:r w:rsidRPr="002842B2">
              <w:rPr>
                <w:color w:val="000000"/>
                <w:sz w:val="20"/>
              </w:rPr>
              <w:t xml:space="preserve"> and related offences</w:t>
            </w:r>
          </w:p>
          <w:p w:rsidR="002842B2" w:rsidRPr="002842B2" w:rsidRDefault="002842B2" w:rsidP="002842B2">
            <w:pPr>
              <w:jc w:val="both"/>
              <w:rPr>
                <w:sz w:val="20"/>
              </w:rPr>
            </w:pPr>
          </w:p>
        </w:tc>
      </w:tr>
      <w:tr w:rsidR="002842B2" w:rsidRPr="002842B2" w:rsidTr="00E95A6A">
        <w:tc>
          <w:tcPr>
            <w:tcW w:w="2427" w:type="pct"/>
            <w:gridSpan w:val="2"/>
          </w:tcPr>
          <w:p w:rsidR="002842B2" w:rsidRPr="002842B2" w:rsidRDefault="002842B2" w:rsidP="002842B2">
            <w:pPr>
              <w:jc w:val="both"/>
              <w:rPr>
                <w:sz w:val="20"/>
              </w:rPr>
            </w:pPr>
            <w:r w:rsidRPr="002842B2">
              <w:rPr>
                <w:sz w:val="20"/>
              </w:rPr>
              <w:t>September 28, 2017</w:t>
            </w:r>
          </w:p>
          <w:p w:rsidR="002842B2" w:rsidRPr="002842B2" w:rsidRDefault="002842B2" w:rsidP="002842B2">
            <w:pPr>
              <w:jc w:val="both"/>
              <w:rPr>
                <w:sz w:val="20"/>
              </w:rPr>
            </w:pPr>
            <w:r w:rsidRPr="002842B2">
              <w:rPr>
                <w:sz w:val="20"/>
              </w:rPr>
              <w:t>Ontario Superior Court of Justice</w:t>
            </w:r>
          </w:p>
          <w:p w:rsidR="002842B2" w:rsidRPr="002842B2" w:rsidRDefault="002842B2" w:rsidP="002842B2">
            <w:pPr>
              <w:jc w:val="both"/>
              <w:rPr>
                <w:sz w:val="20"/>
              </w:rPr>
            </w:pPr>
            <w:r w:rsidRPr="002842B2">
              <w:rPr>
                <w:sz w:val="20"/>
              </w:rPr>
              <w:t>(Ramsay J.)(Unreported)</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rPr>
            </w:pPr>
            <w:r w:rsidRPr="002842B2">
              <w:rPr>
                <w:sz w:val="20"/>
              </w:rPr>
              <w:t xml:space="preserve">Mr. Buffone sentenced to 22 years imprisonment; Mr. Kompon sentenced to 20 years imprisonment </w:t>
            </w:r>
          </w:p>
        </w:tc>
      </w:tr>
      <w:tr w:rsidR="002842B2" w:rsidRPr="002842B2" w:rsidTr="00E95A6A">
        <w:tc>
          <w:tcPr>
            <w:tcW w:w="2427" w:type="pct"/>
            <w:gridSpan w:val="2"/>
          </w:tcPr>
          <w:p w:rsidR="002842B2" w:rsidRPr="002842B2" w:rsidRDefault="002842B2" w:rsidP="002842B2">
            <w:pPr>
              <w:jc w:val="both"/>
              <w:rPr>
                <w:sz w:val="20"/>
              </w:rPr>
            </w:pPr>
            <w:r w:rsidRPr="002842B2">
              <w:rPr>
                <w:sz w:val="20"/>
              </w:rPr>
              <w:t>October 1, 2021</w:t>
            </w:r>
          </w:p>
          <w:p w:rsidR="002842B2" w:rsidRPr="002842B2" w:rsidRDefault="002842B2" w:rsidP="002842B2">
            <w:pPr>
              <w:jc w:val="both"/>
              <w:rPr>
                <w:sz w:val="20"/>
              </w:rPr>
            </w:pPr>
            <w:r w:rsidRPr="002842B2">
              <w:rPr>
                <w:sz w:val="20"/>
              </w:rPr>
              <w:t>Court of Appeal for Ontario</w:t>
            </w:r>
          </w:p>
          <w:p w:rsidR="002842B2" w:rsidRPr="002842B2" w:rsidRDefault="002842B2" w:rsidP="002842B2">
            <w:pPr>
              <w:jc w:val="both"/>
              <w:rPr>
                <w:sz w:val="20"/>
              </w:rPr>
            </w:pPr>
            <w:r w:rsidRPr="002842B2">
              <w:rPr>
                <w:sz w:val="20"/>
              </w:rPr>
              <w:t>(Doherty, Gillese, Huscroft JJ.A.)</w:t>
            </w:r>
          </w:p>
          <w:p w:rsidR="002842B2" w:rsidRPr="002842B2" w:rsidRDefault="002842B2" w:rsidP="002842B2">
            <w:pPr>
              <w:jc w:val="both"/>
              <w:rPr>
                <w:sz w:val="20"/>
              </w:rPr>
            </w:pPr>
            <w:hyperlink r:id="rId10" w:history="1">
              <w:r w:rsidRPr="002842B2">
                <w:rPr>
                  <w:rStyle w:val="Hyperlink"/>
                  <w:spacing w:val="-2"/>
                  <w:sz w:val="20"/>
                </w:rPr>
                <w:t>2021 ONCA 676</w:t>
              </w:r>
            </w:hyperlink>
            <w:r w:rsidRPr="002842B2">
              <w:rPr>
                <w:spacing w:val="-2"/>
                <w:sz w:val="20"/>
              </w:rPr>
              <w:t xml:space="preserve">; </w:t>
            </w:r>
            <w:r w:rsidRPr="002842B2">
              <w:rPr>
                <w:sz w:val="20"/>
              </w:rPr>
              <w:t>C64485</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rPr>
            </w:pPr>
            <w:r w:rsidRPr="002842B2">
              <w:rPr>
                <w:sz w:val="20"/>
              </w:rPr>
              <w:t>Appeals from convictions dismissed</w:t>
            </w:r>
          </w:p>
          <w:p w:rsidR="002842B2" w:rsidRPr="002842B2" w:rsidRDefault="002842B2" w:rsidP="002842B2">
            <w:pPr>
              <w:jc w:val="both"/>
              <w:rPr>
                <w:sz w:val="20"/>
              </w:rPr>
            </w:pPr>
          </w:p>
        </w:tc>
      </w:tr>
      <w:tr w:rsidR="002842B2" w:rsidRPr="002842B2" w:rsidTr="00E95A6A">
        <w:tc>
          <w:tcPr>
            <w:tcW w:w="2427" w:type="pct"/>
            <w:gridSpan w:val="2"/>
          </w:tcPr>
          <w:p w:rsidR="002842B2" w:rsidRPr="002842B2" w:rsidRDefault="002842B2" w:rsidP="002842B2">
            <w:pPr>
              <w:jc w:val="both"/>
              <w:rPr>
                <w:sz w:val="20"/>
              </w:rPr>
            </w:pPr>
            <w:r w:rsidRPr="002842B2">
              <w:rPr>
                <w:sz w:val="20"/>
              </w:rPr>
              <w:t>November 19, 2021</w:t>
            </w:r>
          </w:p>
          <w:p w:rsidR="002842B2" w:rsidRPr="002842B2" w:rsidRDefault="002842B2" w:rsidP="002842B2">
            <w:pPr>
              <w:jc w:val="both"/>
              <w:rPr>
                <w:sz w:val="20"/>
              </w:rPr>
            </w:pPr>
            <w:r w:rsidRPr="002842B2">
              <w:rPr>
                <w:sz w:val="20"/>
              </w:rPr>
              <w:t>Court of Appeal for Ontario</w:t>
            </w:r>
          </w:p>
          <w:p w:rsidR="002842B2" w:rsidRPr="002842B2" w:rsidRDefault="002842B2" w:rsidP="002842B2">
            <w:pPr>
              <w:jc w:val="both"/>
              <w:rPr>
                <w:sz w:val="20"/>
              </w:rPr>
            </w:pPr>
            <w:r w:rsidRPr="002842B2">
              <w:rPr>
                <w:sz w:val="20"/>
              </w:rPr>
              <w:t>(Doherty, Gillese, Huscroft JJ.A.)</w:t>
            </w:r>
          </w:p>
          <w:p w:rsidR="002842B2" w:rsidRPr="002842B2" w:rsidRDefault="002842B2" w:rsidP="002842B2">
            <w:pPr>
              <w:jc w:val="both"/>
              <w:rPr>
                <w:sz w:val="20"/>
              </w:rPr>
            </w:pPr>
            <w:r w:rsidRPr="002842B2">
              <w:rPr>
                <w:rStyle w:val="Hyperlink"/>
                <w:spacing w:val="-2"/>
                <w:sz w:val="20"/>
              </w:rPr>
              <w:t>2021 ONCA 6825</w:t>
            </w:r>
            <w:r w:rsidRPr="002842B2">
              <w:rPr>
                <w:spacing w:val="-2"/>
                <w:sz w:val="20"/>
              </w:rPr>
              <w:t xml:space="preserve">; </w:t>
            </w:r>
            <w:r w:rsidRPr="002842B2">
              <w:rPr>
                <w:sz w:val="20"/>
              </w:rPr>
              <w:t>C64424</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rPr>
            </w:pPr>
            <w:r w:rsidRPr="002842B2">
              <w:rPr>
                <w:sz w:val="20"/>
              </w:rPr>
              <w:t>Crown’s appeals from sentences allowed, sentences for life imprisonment substituted</w:t>
            </w:r>
          </w:p>
        </w:tc>
      </w:tr>
      <w:tr w:rsidR="002842B2" w:rsidRPr="002842B2" w:rsidTr="00E95A6A">
        <w:tc>
          <w:tcPr>
            <w:tcW w:w="2427" w:type="pct"/>
            <w:gridSpan w:val="2"/>
          </w:tcPr>
          <w:p w:rsidR="002842B2" w:rsidRPr="002842B2" w:rsidRDefault="002842B2" w:rsidP="002842B2">
            <w:pPr>
              <w:jc w:val="both"/>
              <w:rPr>
                <w:sz w:val="20"/>
              </w:rPr>
            </w:pPr>
            <w:r w:rsidRPr="002842B2">
              <w:rPr>
                <w:sz w:val="20"/>
              </w:rPr>
              <w:t>November 30, 2021</w:t>
            </w:r>
          </w:p>
          <w:p w:rsidR="002842B2" w:rsidRDefault="002842B2" w:rsidP="002842B2">
            <w:pPr>
              <w:jc w:val="both"/>
              <w:rPr>
                <w:sz w:val="20"/>
              </w:rPr>
            </w:pPr>
            <w:r w:rsidRPr="002842B2">
              <w:rPr>
                <w:sz w:val="20"/>
              </w:rPr>
              <w:t>Supreme Court of Canada</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rPr>
            </w:pPr>
            <w:r w:rsidRPr="002842B2">
              <w:rPr>
                <w:sz w:val="20"/>
              </w:rPr>
              <w:t>Application for leave to appeal filed by Mr. Buffone</w:t>
            </w:r>
          </w:p>
          <w:p w:rsidR="002842B2" w:rsidRPr="002842B2" w:rsidRDefault="002842B2" w:rsidP="002842B2">
            <w:pPr>
              <w:jc w:val="both"/>
              <w:rPr>
                <w:sz w:val="20"/>
              </w:rPr>
            </w:pPr>
          </w:p>
        </w:tc>
      </w:tr>
      <w:tr w:rsidR="002842B2" w:rsidRPr="002842B2" w:rsidTr="00E95A6A">
        <w:tc>
          <w:tcPr>
            <w:tcW w:w="2427" w:type="pct"/>
            <w:gridSpan w:val="2"/>
          </w:tcPr>
          <w:p w:rsidR="002842B2" w:rsidRPr="002842B2" w:rsidRDefault="002842B2" w:rsidP="002842B2">
            <w:pPr>
              <w:jc w:val="both"/>
              <w:rPr>
                <w:sz w:val="20"/>
              </w:rPr>
            </w:pPr>
            <w:r w:rsidRPr="002842B2">
              <w:rPr>
                <w:sz w:val="20"/>
              </w:rPr>
              <w:t>January 27, 2022</w:t>
            </w:r>
          </w:p>
          <w:p w:rsidR="002842B2" w:rsidRPr="002842B2" w:rsidRDefault="002842B2" w:rsidP="002842B2">
            <w:pPr>
              <w:jc w:val="both"/>
              <w:rPr>
                <w:sz w:val="20"/>
              </w:rPr>
            </w:pPr>
            <w:r w:rsidRPr="002842B2">
              <w:rPr>
                <w:sz w:val="20"/>
              </w:rPr>
              <w:t>Supreme Court of Canada</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Default="002842B2" w:rsidP="002842B2">
            <w:pPr>
              <w:jc w:val="both"/>
              <w:rPr>
                <w:sz w:val="20"/>
              </w:rPr>
            </w:pPr>
            <w:r w:rsidRPr="002842B2">
              <w:rPr>
                <w:sz w:val="20"/>
              </w:rPr>
              <w:t xml:space="preserve">Motion for </w:t>
            </w:r>
            <w:r w:rsidRPr="002842B2">
              <w:rPr>
                <w:color w:val="333333"/>
                <w:sz w:val="20"/>
              </w:rPr>
              <w:t xml:space="preserve">extension of time to serve and file application for leave to appeal, motion to join, and </w:t>
            </w:r>
            <w:r w:rsidRPr="002842B2">
              <w:rPr>
                <w:sz w:val="20"/>
              </w:rPr>
              <w:t>application for leave to appeal filed by Mr. Kompon</w:t>
            </w:r>
          </w:p>
          <w:p w:rsidR="002842B2" w:rsidRPr="002842B2" w:rsidRDefault="002842B2" w:rsidP="002842B2">
            <w:pPr>
              <w:jc w:val="both"/>
              <w:rPr>
                <w:sz w:val="20"/>
              </w:rPr>
            </w:pPr>
          </w:p>
        </w:tc>
      </w:tr>
      <w:tr w:rsidR="002842B2" w:rsidRPr="002842B2" w:rsidTr="00E95A6A">
        <w:tc>
          <w:tcPr>
            <w:tcW w:w="2427" w:type="pct"/>
            <w:gridSpan w:val="2"/>
          </w:tcPr>
          <w:p w:rsidR="002842B2" w:rsidRPr="002842B2" w:rsidRDefault="002842B2" w:rsidP="002842B2">
            <w:pPr>
              <w:jc w:val="both"/>
              <w:rPr>
                <w:sz w:val="20"/>
              </w:rPr>
            </w:pPr>
            <w:r w:rsidRPr="002842B2">
              <w:rPr>
                <w:sz w:val="20"/>
              </w:rPr>
              <w:t>February 2, 2022</w:t>
            </w:r>
          </w:p>
          <w:p w:rsidR="002842B2" w:rsidRPr="002842B2" w:rsidRDefault="002842B2" w:rsidP="002842B2">
            <w:pPr>
              <w:jc w:val="both"/>
              <w:rPr>
                <w:sz w:val="20"/>
              </w:rPr>
            </w:pPr>
            <w:r w:rsidRPr="002842B2">
              <w:rPr>
                <w:sz w:val="20"/>
              </w:rPr>
              <w:t>Supreme Court of Canada</w:t>
            </w: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rPr>
            </w:pPr>
            <w:r w:rsidRPr="002842B2">
              <w:rPr>
                <w:sz w:val="20"/>
              </w:rPr>
              <w:t xml:space="preserve">Motion for </w:t>
            </w:r>
            <w:r w:rsidRPr="002842B2">
              <w:rPr>
                <w:color w:val="333333"/>
                <w:sz w:val="20"/>
              </w:rPr>
              <w:t xml:space="preserve">extension of time to serve and file application for leave to appeal, motion to join, and </w:t>
            </w:r>
            <w:r w:rsidRPr="002842B2">
              <w:rPr>
                <w:sz w:val="20"/>
              </w:rPr>
              <w:t>application for leave to appeal filed by Mr. Buffone</w:t>
            </w:r>
          </w:p>
        </w:tc>
      </w:tr>
    </w:tbl>
    <w:p w:rsidR="002842B2" w:rsidRDefault="002842B2" w:rsidP="002842B2">
      <w:pPr>
        <w:jc w:val="both"/>
        <w:rPr>
          <w:sz w:val="20"/>
        </w:rPr>
      </w:pPr>
    </w:p>
    <w:p w:rsidR="002842B2" w:rsidRDefault="002842B2" w:rsidP="002842B2">
      <w:pPr>
        <w:jc w:val="both"/>
        <w:rPr>
          <w:sz w:val="20"/>
        </w:rPr>
      </w:pPr>
      <w:r>
        <w:rPr>
          <w:sz w:val="20"/>
        </w:rPr>
        <w:pict>
          <v:rect id="_x0000_i1028" style="width:2in;height:1pt" o:hrpct="0" o:hralign="center" o:hrstd="t" o:hrnoshade="t" o:hr="t" fillcolor="black [3213]" stroked="f"/>
        </w:pict>
      </w:r>
    </w:p>
    <w:p w:rsidR="002842B2" w:rsidRPr="002842B2" w:rsidRDefault="002842B2" w:rsidP="00284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42B2" w:rsidRPr="002842B2" w:rsidTr="00E95A6A">
        <w:tc>
          <w:tcPr>
            <w:tcW w:w="543" w:type="pct"/>
          </w:tcPr>
          <w:p w:rsidR="002842B2" w:rsidRPr="002842B2" w:rsidRDefault="002842B2" w:rsidP="002842B2">
            <w:pPr>
              <w:jc w:val="both"/>
              <w:rPr>
                <w:sz w:val="20"/>
                <w:lang w:val="fr-CA"/>
              </w:rPr>
            </w:pPr>
            <w:r w:rsidRPr="002842B2">
              <w:rPr>
                <w:rStyle w:val="SCCFileNumberChar"/>
                <w:sz w:val="20"/>
                <w:szCs w:val="20"/>
                <w:lang w:val="fr-CA"/>
              </w:rPr>
              <w:t>39902</w:t>
            </w:r>
          </w:p>
        </w:tc>
        <w:tc>
          <w:tcPr>
            <w:tcW w:w="4457" w:type="pct"/>
            <w:gridSpan w:val="3"/>
          </w:tcPr>
          <w:p w:rsidR="002842B2" w:rsidRPr="002842B2" w:rsidRDefault="002842B2" w:rsidP="002842B2">
            <w:pPr>
              <w:pStyle w:val="SCCLsocParty"/>
              <w:jc w:val="both"/>
              <w:rPr>
                <w:b/>
                <w:sz w:val="20"/>
                <w:szCs w:val="20"/>
              </w:rPr>
            </w:pPr>
            <w:r w:rsidRPr="002842B2">
              <w:rPr>
                <w:b/>
                <w:sz w:val="20"/>
                <w:szCs w:val="20"/>
              </w:rPr>
              <w:t>Vito Buffone c. Sa Majesté la Reine</w:t>
            </w:r>
          </w:p>
          <w:p w:rsidR="002842B2" w:rsidRPr="002842B2" w:rsidRDefault="002842B2" w:rsidP="002842B2">
            <w:pPr>
              <w:pStyle w:val="SCCLsocSubfileSeparator"/>
              <w:rPr>
                <w:sz w:val="20"/>
                <w:szCs w:val="20"/>
                <w:lang w:val="fr-CA"/>
              </w:rPr>
            </w:pPr>
            <w:r w:rsidRPr="002842B2">
              <w:rPr>
                <w:sz w:val="20"/>
                <w:szCs w:val="20"/>
                <w:lang w:val="fr-CA"/>
              </w:rPr>
              <w:t>- et entre -</w:t>
            </w:r>
          </w:p>
          <w:p w:rsidR="002842B2" w:rsidRPr="002842B2" w:rsidRDefault="002842B2" w:rsidP="002842B2">
            <w:pPr>
              <w:pStyle w:val="SCCLsocParty"/>
              <w:jc w:val="both"/>
              <w:rPr>
                <w:b/>
                <w:sz w:val="20"/>
                <w:szCs w:val="20"/>
              </w:rPr>
            </w:pPr>
            <w:r w:rsidRPr="002842B2">
              <w:rPr>
                <w:b/>
                <w:sz w:val="20"/>
                <w:szCs w:val="20"/>
              </w:rPr>
              <w:t>Vito Buffone c. Sa Majesté la Reine</w:t>
            </w:r>
          </w:p>
          <w:p w:rsidR="002842B2" w:rsidRPr="002842B2" w:rsidRDefault="002842B2" w:rsidP="002842B2">
            <w:pPr>
              <w:pStyle w:val="SCCLsocSubfileSeparator"/>
              <w:rPr>
                <w:sz w:val="20"/>
                <w:szCs w:val="20"/>
                <w:lang w:val="fr-CA"/>
              </w:rPr>
            </w:pPr>
            <w:r w:rsidRPr="002842B2">
              <w:rPr>
                <w:sz w:val="20"/>
                <w:szCs w:val="20"/>
                <w:lang w:val="fr-CA"/>
              </w:rPr>
              <w:t>- et entre -</w:t>
            </w:r>
          </w:p>
          <w:p w:rsidR="002842B2" w:rsidRPr="002842B2" w:rsidRDefault="002842B2" w:rsidP="002842B2">
            <w:pPr>
              <w:pStyle w:val="SCCLsocParty"/>
              <w:jc w:val="both"/>
              <w:rPr>
                <w:b/>
                <w:sz w:val="20"/>
                <w:szCs w:val="20"/>
              </w:rPr>
            </w:pPr>
            <w:r w:rsidRPr="002842B2">
              <w:rPr>
                <w:b/>
                <w:sz w:val="20"/>
                <w:szCs w:val="20"/>
              </w:rPr>
              <w:t>Jeffrey Kompon c. Sa Majesté la Reine</w:t>
            </w:r>
          </w:p>
          <w:p w:rsidR="002842B2" w:rsidRPr="002842B2" w:rsidRDefault="002842B2" w:rsidP="002842B2">
            <w:pPr>
              <w:jc w:val="both"/>
              <w:rPr>
                <w:sz w:val="20"/>
                <w:lang w:val="fr-CA"/>
              </w:rPr>
            </w:pPr>
            <w:r w:rsidRPr="002842B2">
              <w:rPr>
                <w:sz w:val="20"/>
                <w:lang w:val="fr-CA"/>
              </w:rPr>
              <w:t>(Ont.) (</w:t>
            </w:r>
            <w:r>
              <w:rPr>
                <w:sz w:val="20"/>
                <w:lang w:val="fr-CA"/>
              </w:rPr>
              <w:t>C</w:t>
            </w:r>
            <w:r w:rsidRPr="002842B2">
              <w:rPr>
                <w:sz w:val="20"/>
                <w:lang w:val="fr-CA"/>
              </w:rPr>
              <w:t>riminelle) (</w:t>
            </w:r>
            <w:r>
              <w:rPr>
                <w:sz w:val="20"/>
                <w:lang w:val="fr-CA"/>
              </w:rPr>
              <w:t>S</w:t>
            </w:r>
            <w:r w:rsidRPr="002842B2">
              <w:rPr>
                <w:sz w:val="20"/>
                <w:lang w:val="fr-CA"/>
              </w:rPr>
              <w:t>ur autorisation)</w:t>
            </w:r>
          </w:p>
        </w:tc>
      </w:tr>
      <w:tr w:rsidR="002842B2" w:rsidRPr="002842B2" w:rsidTr="00E95A6A">
        <w:tc>
          <w:tcPr>
            <w:tcW w:w="5000" w:type="pct"/>
            <w:gridSpan w:val="4"/>
          </w:tcPr>
          <w:p w:rsidR="002842B2" w:rsidRPr="002842B2" w:rsidRDefault="002842B2" w:rsidP="002842B2">
            <w:pPr>
              <w:jc w:val="both"/>
              <w:rPr>
                <w:sz w:val="20"/>
                <w:lang w:val="fr-CA"/>
              </w:rPr>
            </w:pPr>
            <w:r w:rsidRPr="002842B2">
              <w:rPr>
                <w:sz w:val="20"/>
                <w:lang w:val="fr-CA"/>
              </w:rPr>
              <w:t xml:space="preserve">Droit criminel — Preuve — Exposé au jury — Détermination de la peine — Un objet sur lequel aucun résidu n’est visible est-il une substance ou un échantillon de celle-ci aux termes de l’art. 45 de la </w:t>
            </w:r>
            <w:r w:rsidRPr="002842B2">
              <w:rPr>
                <w:bCs/>
                <w:i/>
                <w:sz w:val="20"/>
                <w:lang w:val="fr-CA"/>
              </w:rPr>
              <w:t>Loi réglementant certaines drogues et autres substances</w:t>
            </w:r>
            <w:r w:rsidRPr="002842B2">
              <w:rPr>
                <w:sz w:val="20"/>
                <w:lang w:val="fr-CA"/>
              </w:rPr>
              <w:t xml:space="preserve">, </w:t>
            </w:r>
            <w:r w:rsidRPr="002842B2">
              <w:rPr>
                <w:spacing w:val="-1"/>
                <w:sz w:val="20"/>
                <w:lang w:val="fr-CA"/>
              </w:rPr>
              <w:t>L.C. 1996, ch. 19 ?</w:t>
            </w:r>
            <w:r w:rsidRPr="002842B2">
              <w:rPr>
                <w:sz w:val="20"/>
                <w:lang w:val="fr-CA"/>
              </w:rPr>
              <w:t xml:space="preserve"> — Le juge du procès est-il tenu de donner comme directive au jury qu’il doit conclure à la participation probable des coconspirateurs accusés ou non accusés avant que leurs déclarations puissent être utilisées contre l’accusé à la troisième étape des directives requises quant au complot suivant l’arrêt </w:t>
            </w:r>
            <w:r w:rsidRPr="002842B2">
              <w:rPr>
                <w:i/>
                <w:sz w:val="20"/>
                <w:lang w:val="fr-CA"/>
              </w:rPr>
              <w:t>R. c. Carter</w:t>
            </w:r>
            <w:r w:rsidRPr="002842B2">
              <w:rPr>
                <w:sz w:val="20"/>
                <w:lang w:val="fr-CA"/>
              </w:rPr>
              <w:t>, [1982] 1 R.C.S. 938 ? — Poids à accorder aux peines imposées à l’égard d’un coaccusé au moyen d’une recommandation conjointe — Quelle est la façon appropriée d’aborder la proportionnalité et la totalité lorsqu’un facteur aggravant fait partie de l’élément essentiel d’une peine consécutive rattachée à une accusation distincte ?</w:t>
            </w:r>
          </w:p>
        </w:tc>
      </w:tr>
      <w:tr w:rsidR="002842B2" w:rsidRPr="002842B2" w:rsidTr="00E95A6A">
        <w:tc>
          <w:tcPr>
            <w:tcW w:w="5000" w:type="pct"/>
            <w:gridSpan w:val="4"/>
          </w:tcPr>
          <w:p w:rsidR="002842B2" w:rsidRPr="002842B2" w:rsidRDefault="002842B2" w:rsidP="002842B2">
            <w:pPr>
              <w:jc w:val="both"/>
              <w:rPr>
                <w:sz w:val="20"/>
                <w:lang w:val="fr-CA"/>
              </w:rPr>
            </w:pPr>
          </w:p>
          <w:p w:rsidR="002842B2" w:rsidRPr="002842B2" w:rsidRDefault="002842B2" w:rsidP="002842B2">
            <w:pPr>
              <w:widowControl w:val="0"/>
              <w:kinsoku w:val="0"/>
              <w:overflowPunct w:val="0"/>
              <w:jc w:val="both"/>
              <w:textAlignment w:val="baseline"/>
              <w:rPr>
                <w:sz w:val="20"/>
                <w:lang w:val="fr-CA"/>
              </w:rPr>
            </w:pPr>
            <w:r w:rsidRPr="002842B2">
              <w:rPr>
                <w:sz w:val="20"/>
                <w:lang w:val="fr-CA"/>
              </w:rPr>
              <w:t xml:space="preserve">M. Buffone et M. Kompon ont été accusés en raison du rôle qu’ils ont jouté en tant que membres chevronnés d’une entreprise criminelle responsable de l’importation et de la distribution de </w:t>
            </w:r>
            <w:r w:rsidRPr="002842B2">
              <w:rPr>
                <w:color w:val="000000"/>
                <w:spacing w:val="-2"/>
                <w:sz w:val="20"/>
                <w:lang w:val="fr-CA"/>
              </w:rPr>
              <w:t xml:space="preserve">cocaïne. La Couronne a notamment présenté en preuve de la cocaïne trouvée sur des gants qui ont fait l’objet de saisie durant une perquisition effectuée dans un entrepôt. Des directives ont été données au </w:t>
            </w:r>
            <w:r w:rsidRPr="002842B2">
              <w:rPr>
                <w:sz w:val="20"/>
                <w:lang w:val="fr-CA"/>
              </w:rPr>
              <w:t>jury concernant la preuve d’un complot. Le jury a déclaré M. Buffone et M. Kompon coupables d’infractions liées à la drogue commises au nom d’une entreprise criminelle. M. Buffone a été condamné à 22 ans d’emprisonnement et M. Kompon à 20 ans d’emprisonnement. La Cour d’appel a rejeté les appels formés contre les déclarations de culpabilité, a accueilli les appels contre les peines, et a remplacé les peines imposées par des peines d’emprisonnement à perpétuité relatives aux déclarations de culpabilité pour complot visant l’importation et la possession de cocaïne en vue d’en faire le trafic.</w:t>
            </w:r>
          </w:p>
        </w:tc>
      </w:tr>
      <w:tr w:rsidR="002842B2" w:rsidRPr="002842B2" w:rsidTr="00E95A6A">
        <w:tc>
          <w:tcPr>
            <w:tcW w:w="5000" w:type="pct"/>
            <w:gridSpan w:val="4"/>
          </w:tcPr>
          <w:p w:rsidR="002842B2" w:rsidRPr="002842B2" w:rsidRDefault="002842B2" w:rsidP="002842B2">
            <w:pPr>
              <w:widowControl w:val="0"/>
              <w:kinsoku w:val="0"/>
              <w:overflowPunct w:val="0"/>
              <w:jc w:val="both"/>
              <w:textAlignment w:val="baseline"/>
              <w:rPr>
                <w:sz w:val="20"/>
                <w:lang w:val="fr-CA"/>
              </w:rPr>
            </w:pP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12 juin 2017</w:t>
            </w:r>
          </w:p>
          <w:p w:rsidR="002842B2" w:rsidRPr="002842B2" w:rsidRDefault="002842B2" w:rsidP="002842B2">
            <w:pPr>
              <w:jc w:val="both"/>
              <w:rPr>
                <w:sz w:val="20"/>
                <w:lang w:val="fr-CA"/>
              </w:rPr>
            </w:pPr>
            <w:r w:rsidRPr="002842B2">
              <w:rPr>
                <w:sz w:val="20"/>
                <w:lang w:val="fr-CA"/>
              </w:rPr>
              <w:t>Cour supérieure de justice de l’Ontario</w:t>
            </w:r>
          </w:p>
          <w:p w:rsidR="002842B2" w:rsidRPr="002842B2" w:rsidRDefault="002842B2" w:rsidP="002842B2">
            <w:pPr>
              <w:jc w:val="both"/>
              <w:rPr>
                <w:sz w:val="20"/>
                <w:lang w:val="fr-CA"/>
              </w:rPr>
            </w:pPr>
            <w:r w:rsidRPr="002842B2">
              <w:rPr>
                <w:sz w:val="20"/>
                <w:lang w:val="fr-CA"/>
              </w:rPr>
              <w:t>(juge Ramsay) (non publié)</w:t>
            </w:r>
          </w:p>
          <w:p w:rsidR="002842B2" w:rsidRPr="002842B2" w:rsidRDefault="002842B2" w:rsidP="002842B2">
            <w:pPr>
              <w:jc w:val="both"/>
              <w:rPr>
                <w:sz w:val="20"/>
                <w:lang w:val="fr-CA"/>
              </w:rPr>
            </w:pPr>
          </w:p>
        </w:tc>
        <w:tc>
          <w:tcPr>
            <w:tcW w:w="243" w:type="pct"/>
          </w:tcPr>
          <w:p w:rsidR="002842B2" w:rsidRPr="002842B2" w:rsidRDefault="002842B2" w:rsidP="002842B2">
            <w:pPr>
              <w:jc w:val="both"/>
              <w:rPr>
                <w:sz w:val="20"/>
                <w:lang w:val="fr-CA"/>
              </w:rPr>
            </w:pPr>
          </w:p>
        </w:tc>
        <w:tc>
          <w:tcPr>
            <w:tcW w:w="2330" w:type="pct"/>
          </w:tcPr>
          <w:p w:rsidR="002842B2" w:rsidRPr="002842B2" w:rsidRDefault="002842B2" w:rsidP="002842B2">
            <w:pPr>
              <w:jc w:val="both"/>
              <w:rPr>
                <w:sz w:val="20"/>
                <w:lang w:val="fr-CA"/>
              </w:rPr>
            </w:pPr>
            <w:r w:rsidRPr="002842B2">
              <w:rPr>
                <w:sz w:val="20"/>
                <w:lang w:val="fr-CA"/>
              </w:rPr>
              <w:t>Des déclarations de culpabilité pour complot visant l’importation et la possession de cocaïne en vue d’en faire le trafic et pour des infractions liées sont prononcées.</w:t>
            </w:r>
          </w:p>
          <w:p w:rsidR="002842B2" w:rsidRPr="002842B2" w:rsidRDefault="002842B2" w:rsidP="002842B2">
            <w:pPr>
              <w:jc w:val="both"/>
              <w:rPr>
                <w:sz w:val="20"/>
                <w:lang w:val="fr-CA"/>
              </w:rPr>
            </w:pP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28 septembre 2017</w:t>
            </w:r>
          </w:p>
          <w:p w:rsidR="002842B2" w:rsidRPr="002842B2" w:rsidRDefault="002842B2" w:rsidP="002842B2">
            <w:pPr>
              <w:jc w:val="both"/>
              <w:rPr>
                <w:sz w:val="20"/>
                <w:lang w:val="fr-CA"/>
              </w:rPr>
            </w:pPr>
            <w:r w:rsidRPr="002842B2">
              <w:rPr>
                <w:sz w:val="20"/>
                <w:lang w:val="fr-CA"/>
              </w:rPr>
              <w:t>Cour supérieure de justice de l’Ontario</w:t>
            </w:r>
          </w:p>
          <w:p w:rsidR="002842B2" w:rsidRPr="002842B2" w:rsidRDefault="002842B2" w:rsidP="002842B2">
            <w:pPr>
              <w:jc w:val="both"/>
              <w:rPr>
                <w:sz w:val="20"/>
                <w:lang w:val="fr-CA"/>
              </w:rPr>
            </w:pPr>
            <w:r w:rsidRPr="002842B2">
              <w:rPr>
                <w:sz w:val="20"/>
                <w:lang w:val="fr-CA"/>
              </w:rPr>
              <w:t>(juge Ramsay) (non publié)</w:t>
            </w:r>
          </w:p>
          <w:p w:rsidR="002842B2" w:rsidRPr="002842B2" w:rsidRDefault="002842B2" w:rsidP="002842B2">
            <w:pPr>
              <w:jc w:val="both"/>
              <w:rPr>
                <w:sz w:val="20"/>
                <w:lang w:val="fr-CA"/>
              </w:rPr>
            </w:pPr>
          </w:p>
        </w:tc>
        <w:tc>
          <w:tcPr>
            <w:tcW w:w="243" w:type="pct"/>
          </w:tcPr>
          <w:p w:rsidR="002842B2" w:rsidRPr="002842B2" w:rsidRDefault="002842B2" w:rsidP="002842B2">
            <w:pPr>
              <w:jc w:val="both"/>
              <w:rPr>
                <w:sz w:val="20"/>
                <w:lang w:val="fr-CA"/>
              </w:rPr>
            </w:pPr>
          </w:p>
        </w:tc>
        <w:tc>
          <w:tcPr>
            <w:tcW w:w="2330" w:type="pct"/>
          </w:tcPr>
          <w:p w:rsidR="002842B2" w:rsidRPr="002842B2" w:rsidRDefault="002842B2" w:rsidP="002842B2">
            <w:pPr>
              <w:jc w:val="both"/>
              <w:rPr>
                <w:sz w:val="20"/>
                <w:lang w:val="fr-CA"/>
              </w:rPr>
            </w:pPr>
            <w:r w:rsidRPr="002842B2">
              <w:rPr>
                <w:sz w:val="20"/>
                <w:lang w:val="fr-CA"/>
              </w:rPr>
              <w:t>M. Buffone est condamné à 22 ans d’emprisonnement; M. Kompon est condamné à 20 ans d’emprisonnement.</w:t>
            </w: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1</w:t>
            </w:r>
            <w:r w:rsidRPr="002842B2">
              <w:rPr>
                <w:sz w:val="20"/>
                <w:vertAlign w:val="superscript"/>
                <w:lang w:val="fr-CA"/>
              </w:rPr>
              <w:t>er</w:t>
            </w:r>
            <w:r w:rsidRPr="002842B2">
              <w:rPr>
                <w:sz w:val="20"/>
                <w:lang w:val="fr-CA"/>
              </w:rPr>
              <w:t xml:space="preserve"> octobre 2021</w:t>
            </w:r>
          </w:p>
          <w:p w:rsidR="002842B2" w:rsidRPr="002842B2" w:rsidRDefault="002842B2" w:rsidP="002842B2">
            <w:pPr>
              <w:jc w:val="both"/>
              <w:rPr>
                <w:sz w:val="20"/>
                <w:lang w:val="fr-CA"/>
              </w:rPr>
            </w:pPr>
            <w:r w:rsidRPr="002842B2">
              <w:rPr>
                <w:sz w:val="20"/>
                <w:lang w:val="fr-CA"/>
              </w:rPr>
              <w:t>Cour d’appel de l’Ontario</w:t>
            </w:r>
          </w:p>
          <w:p w:rsidR="002842B2" w:rsidRPr="002842B2" w:rsidRDefault="002842B2" w:rsidP="002842B2">
            <w:pPr>
              <w:jc w:val="both"/>
              <w:rPr>
                <w:sz w:val="20"/>
              </w:rPr>
            </w:pPr>
            <w:r w:rsidRPr="002842B2">
              <w:rPr>
                <w:sz w:val="20"/>
              </w:rPr>
              <w:t>(juges Doherty, Gillese, Huscroft)</w:t>
            </w:r>
          </w:p>
          <w:p w:rsidR="002842B2" w:rsidRPr="002842B2" w:rsidRDefault="002842B2" w:rsidP="002842B2">
            <w:pPr>
              <w:jc w:val="both"/>
              <w:rPr>
                <w:sz w:val="20"/>
              </w:rPr>
            </w:pPr>
            <w:hyperlink r:id="rId11" w:history="1">
              <w:r w:rsidRPr="002842B2">
                <w:rPr>
                  <w:rStyle w:val="Hyperlink"/>
                  <w:spacing w:val="-2"/>
                  <w:sz w:val="20"/>
                </w:rPr>
                <w:t>2021 ONCA 676</w:t>
              </w:r>
            </w:hyperlink>
            <w:r w:rsidRPr="002842B2">
              <w:rPr>
                <w:spacing w:val="-2"/>
                <w:sz w:val="20"/>
              </w:rPr>
              <w:t xml:space="preserve">; </w:t>
            </w:r>
            <w:r w:rsidRPr="002842B2">
              <w:rPr>
                <w:sz w:val="20"/>
              </w:rPr>
              <w:t>C64485</w:t>
            </w:r>
          </w:p>
          <w:p w:rsidR="002842B2" w:rsidRPr="002842B2" w:rsidRDefault="002842B2" w:rsidP="002842B2">
            <w:pPr>
              <w:jc w:val="both"/>
              <w:rPr>
                <w:sz w:val="20"/>
              </w:rPr>
            </w:pPr>
          </w:p>
        </w:tc>
        <w:tc>
          <w:tcPr>
            <w:tcW w:w="243" w:type="pct"/>
          </w:tcPr>
          <w:p w:rsidR="002842B2" w:rsidRPr="002842B2" w:rsidRDefault="002842B2" w:rsidP="002842B2">
            <w:pPr>
              <w:jc w:val="both"/>
              <w:rPr>
                <w:sz w:val="20"/>
              </w:rPr>
            </w:pPr>
          </w:p>
        </w:tc>
        <w:tc>
          <w:tcPr>
            <w:tcW w:w="2330" w:type="pct"/>
          </w:tcPr>
          <w:p w:rsidR="002842B2" w:rsidRPr="002842B2" w:rsidRDefault="002842B2" w:rsidP="002842B2">
            <w:pPr>
              <w:jc w:val="both"/>
              <w:rPr>
                <w:sz w:val="20"/>
                <w:lang w:val="fr-CA"/>
              </w:rPr>
            </w:pPr>
            <w:r w:rsidRPr="002842B2">
              <w:rPr>
                <w:sz w:val="20"/>
                <w:lang w:val="fr-CA"/>
              </w:rPr>
              <w:t>Les appels formés contre les déclarations de culpabilités sont rejetés.</w:t>
            </w:r>
          </w:p>
          <w:p w:rsidR="002842B2" w:rsidRPr="002842B2" w:rsidRDefault="002842B2" w:rsidP="002842B2">
            <w:pPr>
              <w:jc w:val="both"/>
              <w:rPr>
                <w:sz w:val="20"/>
                <w:lang w:val="fr-CA"/>
              </w:rPr>
            </w:pP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19 novembre 2021</w:t>
            </w:r>
          </w:p>
          <w:p w:rsidR="002842B2" w:rsidRPr="002842B2" w:rsidRDefault="002842B2" w:rsidP="002842B2">
            <w:pPr>
              <w:jc w:val="both"/>
              <w:rPr>
                <w:sz w:val="20"/>
                <w:lang w:val="fr-CA"/>
              </w:rPr>
            </w:pPr>
            <w:r w:rsidRPr="002842B2">
              <w:rPr>
                <w:sz w:val="20"/>
                <w:lang w:val="fr-CA"/>
              </w:rPr>
              <w:t>Cour d’appel de l’Ontario</w:t>
            </w:r>
          </w:p>
          <w:p w:rsidR="002842B2" w:rsidRPr="002842B2" w:rsidRDefault="002842B2" w:rsidP="002842B2">
            <w:pPr>
              <w:jc w:val="both"/>
              <w:rPr>
                <w:sz w:val="20"/>
                <w:lang w:val="fr-CA"/>
              </w:rPr>
            </w:pPr>
            <w:r w:rsidRPr="002842B2">
              <w:rPr>
                <w:sz w:val="20"/>
                <w:lang w:val="fr-CA"/>
              </w:rPr>
              <w:t>(juges Doherty, Gillese, Huscroft)</w:t>
            </w:r>
          </w:p>
          <w:p w:rsidR="002842B2" w:rsidRPr="002842B2" w:rsidRDefault="002842B2" w:rsidP="002842B2">
            <w:pPr>
              <w:jc w:val="both"/>
              <w:rPr>
                <w:sz w:val="20"/>
                <w:lang w:val="fr-CA"/>
              </w:rPr>
            </w:pPr>
            <w:r w:rsidRPr="002842B2">
              <w:rPr>
                <w:rStyle w:val="Hyperlink"/>
                <w:spacing w:val="-2"/>
                <w:sz w:val="20"/>
                <w:lang w:val="fr-CA"/>
              </w:rPr>
              <w:t>2021 ONCA 6825</w:t>
            </w:r>
            <w:r w:rsidRPr="002842B2">
              <w:rPr>
                <w:spacing w:val="-2"/>
                <w:sz w:val="20"/>
                <w:lang w:val="fr-CA"/>
              </w:rPr>
              <w:t xml:space="preserve">; </w:t>
            </w:r>
            <w:r w:rsidRPr="002842B2">
              <w:rPr>
                <w:sz w:val="20"/>
                <w:lang w:val="fr-CA"/>
              </w:rPr>
              <w:t>C64424</w:t>
            </w:r>
          </w:p>
          <w:p w:rsidR="002842B2" w:rsidRPr="002842B2" w:rsidRDefault="002842B2" w:rsidP="002842B2">
            <w:pPr>
              <w:jc w:val="both"/>
              <w:rPr>
                <w:sz w:val="20"/>
                <w:lang w:val="fr-CA"/>
              </w:rPr>
            </w:pPr>
          </w:p>
        </w:tc>
        <w:tc>
          <w:tcPr>
            <w:tcW w:w="243" w:type="pct"/>
          </w:tcPr>
          <w:p w:rsidR="002842B2" w:rsidRPr="002842B2" w:rsidRDefault="002842B2" w:rsidP="002842B2">
            <w:pPr>
              <w:jc w:val="both"/>
              <w:rPr>
                <w:sz w:val="20"/>
                <w:lang w:val="fr-CA"/>
              </w:rPr>
            </w:pPr>
          </w:p>
        </w:tc>
        <w:tc>
          <w:tcPr>
            <w:tcW w:w="2330" w:type="pct"/>
          </w:tcPr>
          <w:p w:rsidR="002842B2" w:rsidRPr="002842B2" w:rsidRDefault="002842B2" w:rsidP="002842B2">
            <w:pPr>
              <w:jc w:val="both"/>
              <w:rPr>
                <w:sz w:val="20"/>
                <w:lang w:val="fr-CA"/>
              </w:rPr>
            </w:pPr>
            <w:r w:rsidRPr="002842B2">
              <w:rPr>
                <w:sz w:val="20"/>
                <w:lang w:val="fr-CA"/>
              </w:rPr>
              <w:t>Les appels interjetés par la Couronne à l’égard des peines sont accueillis, des peines d’emprisonnement à perpétuité y sont substituées.</w:t>
            </w: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30 novembre 2021</w:t>
            </w:r>
          </w:p>
          <w:p w:rsidR="002842B2" w:rsidRPr="002842B2" w:rsidRDefault="002842B2" w:rsidP="002842B2">
            <w:pPr>
              <w:jc w:val="both"/>
              <w:rPr>
                <w:sz w:val="20"/>
                <w:lang w:val="fr-CA"/>
              </w:rPr>
            </w:pPr>
            <w:r w:rsidRPr="002842B2">
              <w:rPr>
                <w:sz w:val="20"/>
                <w:lang w:val="fr-CA"/>
              </w:rPr>
              <w:t>Cour suprême du Canada</w:t>
            </w:r>
          </w:p>
        </w:tc>
        <w:tc>
          <w:tcPr>
            <w:tcW w:w="243" w:type="pct"/>
          </w:tcPr>
          <w:p w:rsidR="002842B2" w:rsidRPr="002842B2" w:rsidRDefault="002842B2" w:rsidP="002842B2">
            <w:pPr>
              <w:jc w:val="both"/>
              <w:rPr>
                <w:sz w:val="20"/>
                <w:lang w:val="fr-CA"/>
              </w:rPr>
            </w:pPr>
          </w:p>
        </w:tc>
        <w:tc>
          <w:tcPr>
            <w:tcW w:w="2330" w:type="pct"/>
          </w:tcPr>
          <w:p w:rsidR="002842B2" w:rsidRPr="002842B2" w:rsidRDefault="002842B2" w:rsidP="002842B2">
            <w:pPr>
              <w:jc w:val="both"/>
              <w:rPr>
                <w:sz w:val="20"/>
                <w:lang w:val="fr-CA"/>
              </w:rPr>
            </w:pPr>
            <w:r w:rsidRPr="002842B2">
              <w:rPr>
                <w:sz w:val="20"/>
                <w:lang w:val="fr-CA"/>
              </w:rPr>
              <w:t>La demande d’autorisation d’appel est présentée par M. Buffone.</w:t>
            </w:r>
          </w:p>
          <w:p w:rsidR="002842B2" w:rsidRPr="002842B2" w:rsidRDefault="002842B2" w:rsidP="002842B2">
            <w:pPr>
              <w:jc w:val="both"/>
              <w:rPr>
                <w:sz w:val="20"/>
                <w:lang w:val="fr-CA"/>
              </w:rPr>
            </w:pP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27 janvier 2022</w:t>
            </w:r>
          </w:p>
          <w:p w:rsidR="002842B2" w:rsidRPr="002842B2" w:rsidRDefault="002842B2" w:rsidP="002842B2">
            <w:pPr>
              <w:jc w:val="both"/>
              <w:rPr>
                <w:sz w:val="20"/>
                <w:lang w:val="fr-CA"/>
              </w:rPr>
            </w:pPr>
            <w:r w:rsidRPr="002842B2">
              <w:rPr>
                <w:sz w:val="20"/>
                <w:lang w:val="fr-CA"/>
              </w:rPr>
              <w:t xml:space="preserve">Cour suprême du Canada </w:t>
            </w:r>
          </w:p>
        </w:tc>
        <w:tc>
          <w:tcPr>
            <w:tcW w:w="243" w:type="pct"/>
          </w:tcPr>
          <w:p w:rsidR="002842B2" w:rsidRPr="002842B2" w:rsidRDefault="002842B2" w:rsidP="002842B2">
            <w:pPr>
              <w:jc w:val="both"/>
              <w:rPr>
                <w:sz w:val="20"/>
                <w:lang w:val="fr-CA"/>
              </w:rPr>
            </w:pPr>
          </w:p>
        </w:tc>
        <w:tc>
          <w:tcPr>
            <w:tcW w:w="2330" w:type="pct"/>
          </w:tcPr>
          <w:p w:rsidR="002842B2" w:rsidRDefault="002842B2" w:rsidP="002842B2">
            <w:pPr>
              <w:jc w:val="both"/>
              <w:rPr>
                <w:sz w:val="20"/>
                <w:lang w:val="fr-CA"/>
              </w:rPr>
            </w:pPr>
            <w:r w:rsidRPr="002842B2">
              <w:rPr>
                <w:sz w:val="20"/>
                <w:lang w:val="fr-CA"/>
              </w:rPr>
              <w:t>La requête en vue de la prorogation du délai pour signifier et déposer la demande d’autorisation d’appel, la requête pour joindre les dossiers et la demande d’autorisation d’appel sont présentées par M. Kompon</w:t>
            </w:r>
            <w:r>
              <w:rPr>
                <w:sz w:val="20"/>
                <w:lang w:val="fr-CA"/>
              </w:rPr>
              <w:t>.</w:t>
            </w:r>
          </w:p>
          <w:p w:rsidR="002842B2" w:rsidRPr="002842B2" w:rsidRDefault="002842B2" w:rsidP="002842B2">
            <w:pPr>
              <w:jc w:val="both"/>
              <w:rPr>
                <w:sz w:val="20"/>
                <w:lang w:val="fr-CA"/>
              </w:rPr>
            </w:pPr>
          </w:p>
        </w:tc>
      </w:tr>
      <w:tr w:rsidR="002842B2" w:rsidRPr="002842B2" w:rsidTr="00E95A6A">
        <w:tc>
          <w:tcPr>
            <w:tcW w:w="2427" w:type="pct"/>
            <w:gridSpan w:val="2"/>
          </w:tcPr>
          <w:p w:rsidR="002842B2" w:rsidRPr="002842B2" w:rsidRDefault="002842B2" w:rsidP="002842B2">
            <w:pPr>
              <w:jc w:val="both"/>
              <w:rPr>
                <w:sz w:val="20"/>
                <w:lang w:val="fr-CA"/>
              </w:rPr>
            </w:pPr>
            <w:r w:rsidRPr="002842B2">
              <w:rPr>
                <w:sz w:val="20"/>
                <w:lang w:val="fr-CA"/>
              </w:rPr>
              <w:t>2 février 2022</w:t>
            </w:r>
          </w:p>
          <w:p w:rsidR="002842B2" w:rsidRPr="002842B2" w:rsidRDefault="002842B2" w:rsidP="002842B2">
            <w:pPr>
              <w:jc w:val="both"/>
              <w:rPr>
                <w:sz w:val="20"/>
                <w:lang w:val="fr-CA"/>
              </w:rPr>
            </w:pPr>
            <w:r w:rsidRPr="002842B2">
              <w:rPr>
                <w:sz w:val="20"/>
                <w:lang w:val="fr-CA"/>
              </w:rPr>
              <w:t>Cour suprême du Canada</w:t>
            </w:r>
          </w:p>
        </w:tc>
        <w:tc>
          <w:tcPr>
            <w:tcW w:w="243" w:type="pct"/>
          </w:tcPr>
          <w:p w:rsidR="002842B2" w:rsidRPr="002842B2" w:rsidRDefault="002842B2" w:rsidP="002842B2">
            <w:pPr>
              <w:jc w:val="both"/>
              <w:rPr>
                <w:sz w:val="20"/>
                <w:lang w:val="fr-CA"/>
              </w:rPr>
            </w:pPr>
          </w:p>
        </w:tc>
        <w:tc>
          <w:tcPr>
            <w:tcW w:w="2330" w:type="pct"/>
          </w:tcPr>
          <w:p w:rsidR="002842B2" w:rsidRPr="002842B2" w:rsidRDefault="002842B2" w:rsidP="002842B2">
            <w:pPr>
              <w:jc w:val="both"/>
              <w:rPr>
                <w:sz w:val="20"/>
                <w:lang w:val="fr-CA"/>
              </w:rPr>
            </w:pPr>
            <w:r w:rsidRPr="002842B2">
              <w:rPr>
                <w:sz w:val="20"/>
                <w:lang w:val="fr-CA"/>
              </w:rPr>
              <w:t>La requête en vue de la prorogation du délai pour signifier et déposer la demande d’autorisation d’appel, la requête pour joindre les dossiers et la demande d’autorisation d’appel sont présentées par M. Buffone.</w:t>
            </w:r>
          </w:p>
        </w:tc>
      </w:tr>
    </w:tbl>
    <w:p w:rsidR="002842B2" w:rsidRDefault="002842B2" w:rsidP="002842B2">
      <w:pPr>
        <w:jc w:val="both"/>
        <w:rPr>
          <w:sz w:val="20"/>
          <w:lang w:val="fr-CA"/>
        </w:rPr>
      </w:pPr>
    </w:p>
    <w:p w:rsidR="002842B2" w:rsidRPr="002842B2" w:rsidRDefault="002842B2" w:rsidP="002842B2">
      <w:pPr>
        <w:jc w:val="both"/>
        <w:rPr>
          <w:sz w:val="20"/>
          <w:lang w:val="fr-CA"/>
        </w:rPr>
      </w:pPr>
      <w:r>
        <w:rPr>
          <w:sz w:val="20"/>
        </w:rPr>
        <w:pict>
          <v:rect id="_x0000_i1029" style="width:2in;height:1pt" o:hrpct="0" o:hralign="center" o:hrstd="t" o:hrnoshade="t" o:hr="t" fillcolor="black [3213]" stroked="f"/>
        </w:pict>
      </w:r>
    </w:p>
    <w:p w:rsidR="00494155" w:rsidRPr="002842B2" w:rsidRDefault="00494155" w:rsidP="002842B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842B2" w:rsidRPr="002842B2" w:rsidTr="00E95A6A">
        <w:tc>
          <w:tcPr>
            <w:tcW w:w="543" w:type="pct"/>
          </w:tcPr>
          <w:p w:rsidR="002842B2" w:rsidRPr="002842B2" w:rsidRDefault="002842B2" w:rsidP="002842B2">
            <w:pPr>
              <w:jc w:val="both"/>
              <w:rPr>
                <w:sz w:val="20"/>
              </w:rPr>
            </w:pPr>
            <w:r w:rsidRPr="002842B2">
              <w:rPr>
                <w:rStyle w:val="SCCFileNumberChar"/>
                <w:sz w:val="20"/>
                <w:szCs w:val="20"/>
              </w:rPr>
              <w:t>40105</w:t>
            </w:r>
          </w:p>
        </w:tc>
        <w:tc>
          <w:tcPr>
            <w:tcW w:w="4457" w:type="pct"/>
          </w:tcPr>
          <w:p w:rsidR="002842B2" w:rsidRPr="002842B2" w:rsidRDefault="002842B2" w:rsidP="002842B2">
            <w:pPr>
              <w:pStyle w:val="SCCLsocParty"/>
              <w:jc w:val="both"/>
              <w:rPr>
                <w:b/>
                <w:sz w:val="20"/>
                <w:szCs w:val="20"/>
                <w:lang w:val="en-US"/>
              </w:rPr>
            </w:pPr>
            <w:r w:rsidRPr="002842B2">
              <w:rPr>
                <w:b/>
                <w:sz w:val="20"/>
                <w:szCs w:val="20"/>
                <w:lang w:val="en-US"/>
              </w:rPr>
              <w:t>Martin Peter Holzbauer v. Attorney General of British Columbia</w:t>
            </w:r>
          </w:p>
          <w:p w:rsidR="002842B2" w:rsidRPr="002842B2" w:rsidRDefault="002842B2" w:rsidP="002842B2">
            <w:pPr>
              <w:jc w:val="both"/>
              <w:rPr>
                <w:sz w:val="20"/>
              </w:rPr>
            </w:pPr>
            <w:r w:rsidRPr="002842B2">
              <w:rPr>
                <w:sz w:val="20"/>
              </w:rPr>
              <w:t>(B.C.) (Criminal) (By Leave)</w:t>
            </w:r>
          </w:p>
        </w:tc>
      </w:tr>
      <w:tr w:rsidR="002842B2" w:rsidRPr="002842B2" w:rsidTr="00E95A6A">
        <w:tc>
          <w:tcPr>
            <w:tcW w:w="5000" w:type="pct"/>
            <w:gridSpan w:val="2"/>
          </w:tcPr>
          <w:p w:rsidR="002842B2" w:rsidRPr="002842B2" w:rsidRDefault="002842B2" w:rsidP="002842B2">
            <w:pPr>
              <w:jc w:val="both"/>
              <w:rPr>
                <w:sz w:val="20"/>
              </w:rPr>
            </w:pPr>
            <w:r w:rsidRPr="002842B2">
              <w:rPr>
                <w:i/>
                <w:sz w:val="20"/>
              </w:rPr>
              <w:t>Charter of Rights</w:t>
            </w:r>
            <w:r w:rsidRPr="002842B2">
              <w:rPr>
                <w:sz w:val="20"/>
              </w:rPr>
              <w:t xml:space="preserve"> — Freedom of religion — Fundamental justice — Criminal law — The question in issue and not yet adjudicated involves the non-compliance of s. 1 of the </w:t>
            </w:r>
            <w:r w:rsidRPr="002842B2">
              <w:rPr>
                <w:i/>
                <w:sz w:val="20"/>
              </w:rPr>
              <w:t>Charter</w:t>
            </w:r>
            <w:r w:rsidRPr="002842B2">
              <w:rPr>
                <w:sz w:val="20"/>
              </w:rPr>
              <w:t xml:space="preserve"> by state agents (</w:t>
            </w:r>
            <w:r w:rsidRPr="002842B2">
              <w:rPr>
                <w:iCs/>
                <w:color w:val="000000"/>
                <w:sz w:val="20"/>
              </w:rPr>
              <w:t>Regional District of Kitimat</w:t>
            </w:r>
            <w:r w:rsidRPr="002842B2">
              <w:rPr>
                <w:iCs/>
                <w:color w:val="000000"/>
                <w:sz w:val="20"/>
              </w:rPr>
              <w:noBreakHyphen/>
              <w:t>Stikine</w:t>
            </w:r>
            <w:r w:rsidRPr="002842B2">
              <w:rPr>
                <w:sz w:val="20"/>
              </w:rPr>
              <w:t xml:space="preserve">) and the violations of the applicant’s s. 2(a) and s. 7 </w:t>
            </w:r>
            <w:r w:rsidRPr="002842B2">
              <w:rPr>
                <w:i/>
                <w:sz w:val="20"/>
              </w:rPr>
              <w:t>Charter</w:t>
            </w:r>
            <w:r w:rsidRPr="002842B2">
              <w:rPr>
                <w:sz w:val="20"/>
              </w:rPr>
              <w:t xml:space="preserve"> rights — ss. 1, 2(a), 7 of the </w:t>
            </w:r>
            <w:r w:rsidRPr="002842B2">
              <w:rPr>
                <w:i/>
                <w:sz w:val="20"/>
              </w:rPr>
              <w:t>Charter of Rights and Freedoms</w:t>
            </w:r>
            <w:r w:rsidRPr="002842B2">
              <w:rPr>
                <w:sz w:val="20"/>
              </w:rPr>
              <w:t>.</w:t>
            </w:r>
          </w:p>
        </w:tc>
      </w:tr>
      <w:tr w:rsidR="002842B2" w:rsidRPr="002842B2" w:rsidTr="00E95A6A">
        <w:tc>
          <w:tcPr>
            <w:tcW w:w="5000" w:type="pct"/>
            <w:gridSpan w:val="2"/>
          </w:tcPr>
          <w:p w:rsidR="002842B2" w:rsidRPr="002842B2" w:rsidRDefault="002842B2" w:rsidP="002842B2">
            <w:pPr>
              <w:jc w:val="both"/>
              <w:rPr>
                <w:sz w:val="20"/>
              </w:rPr>
            </w:pPr>
          </w:p>
        </w:tc>
      </w:tr>
      <w:tr w:rsidR="002842B2" w:rsidRPr="002842B2" w:rsidTr="00E95A6A">
        <w:tc>
          <w:tcPr>
            <w:tcW w:w="5000" w:type="pct"/>
            <w:gridSpan w:val="2"/>
          </w:tcPr>
          <w:p w:rsidR="002842B2" w:rsidRPr="002842B2" w:rsidRDefault="002842B2" w:rsidP="002842B2">
            <w:pPr>
              <w:pStyle w:val="scjnumber"/>
              <w:spacing w:before="0" w:beforeAutospacing="0" w:after="0" w:afterAutospacing="0"/>
              <w:jc w:val="both"/>
              <w:rPr>
                <w:color w:val="000000"/>
                <w:sz w:val="20"/>
                <w:szCs w:val="20"/>
              </w:rPr>
            </w:pPr>
            <w:r w:rsidRPr="002842B2">
              <w:rPr>
                <w:color w:val="000000"/>
                <w:sz w:val="20"/>
                <w:szCs w:val="20"/>
              </w:rPr>
              <w:t xml:space="preserve">The applicant </w:t>
            </w:r>
            <w:r w:rsidRPr="002842B2">
              <w:rPr>
                <w:iCs/>
                <w:color w:val="000000"/>
                <w:sz w:val="20"/>
                <w:szCs w:val="20"/>
              </w:rPr>
              <w:t>has been in a protracted dispute with the Regional District of Kitimat</w:t>
            </w:r>
            <w:r w:rsidRPr="002842B2">
              <w:rPr>
                <w:iCs/>
                <w:color w:val="000000"/>
                <w:sz w:val="20"/>
                <w:szCs w:val="20"/>
              </w:rPr>
              <w:noBreakHyphen/>
              <w:t>Stikine stemming from three convictions for bylaw infractions, one in 2014 and two in 2017.</w:t>
            </w:r>
            <w:r w:rsidRPr="002842B2">
              <w:rPr>
                <w:color w:val="000000"/>
                <w:sz w:val="20"/>
                <w:szCs w:val="20"/>
              </w:rPr>
              <w:t xml:space="preserve"> Justice Punnett dismissed the applicant’s </w:t>
            </w:r>
            <w:r w:rsidRPr="002842B2">
              <w:rPr>
                <w:i/>
                <w:iCs/>
                <w:color w:val="000000"/>
                <w:sz w:val="20"/>
                <w:szCs w:val="20"/>
              </w:rPr>
              <w:t xml:space="preserve">Charter </w:t>
            </w:r>
            <w:r w:rsidRPr="002842B2">
              <w:rPr>
                <w:color w:val="000000"/>
                <w:sz w:val="20"/>
                <w:szCs w:val="20"/>
              </w:rPr>
              <w:t>application.</w:t>
            </w:r>
            <w:r w:rsidRPr="002842B2">
              <w:rPr>
                <w:iCs/>
                <w:color w:val="000000"/>
                <w:sz w:val="20"/>
                <w:szCs w:val="20"/>
              </w:rPr>
              <w:t xml:space="preserve"> An application to quash an appeal was brought by the Attorney General of British Columbia. The Court of Appeal granted the Attorney General of British Columbia’s application, and held that it did not have the jurisdiction to hear the applicant’s appeal.</w:t>
            </w:r>
          </w:p>
          <w:p w:rsidR="002842B2" w:rsidRPr="002842B2" w:rsidRDefault="002842B2" w:rsidP="002842B2">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842B2" w:rsidRPr="002842B2" w:rsidTr="00F746FD">
              <w:tc>
                <w:tcPr>
                  <w:tcW w:w="2367" w:type="pct"/>
                </w:tcPr>
                <w:p w:rsidR="002842B2" w:rsidRPr="002842B2" w:rsidRDefault="002842B2" w:rsidP="002842B2">
                  <w:pPr>
                    <w:jc w:val="both"/>
                    <w:rPr>
                      <w:sz w:val="20"/>
                    </w:rPr>
                  </w:pPr>
                  <w:r w:rsidRPr="002842B2">
                    <w:rPr>
                      <w:sz w:val="20"/>
                    </w:rPr>
                    <w:t>July 9, 2021</w:t>
                  </w:r>
                </w:p>
                <w:p w:rsidR="002842B2" w:rsidRPr="002842B2" w:rsidRDefault="002842B2" w:rsidP="002842B2">
                  <w:pPr>
                    <w:jc w:val="both"/>
                    <w:rPr>
                      <w:sz w:val="20"/>
                    </w:rPr>
                  </w:pPr>
                  <w:r w:rsidRPr="002842B2">
                    <w:rPr>
                      <w:sz w:val="20"/>
                    </w:rPr>
                    <w:t>Supreme Court of British Columbia</w:t>
                  </w:r>
                </w:p>
                <w:p w:rsidR="002842B2" w:rsidRPr="002842B2" w:rsidRDefault="002842B2" w:rsidP="002842B2">
                  <w:pPr>
                    <w:jc w:val="both"/>
                    <w:rPr>
                      <w:sz w:val="20"/>
                    </w:rPr>
                  </w:pPr>
                  <w:r w:rsidRPr="002842B2">
                    <w:rPr>
                      <w:sz w:val="20"/>
                    </w:rPr>
                    <w:t>(Punnett J.)</w:t>
                  </w:r>
                </w:p>
                <w:p w:rsidR="002842B2" w:rsidRPr="002842B2" w:rsidRDefault="002842B2" w:rsidP="002842B2">
                  <w:pPr>
                    <w:jc w:val="both"/>
                    <w:rPr>
                      <w:sz w:val="20"/>
                    </w:rPr>
                  </w:pPr>
                  <w:hyperlink r:id="rId12" w:history="1">
                    <w:r w:rsidRPr="002842B2">
                      <w:rPr>
                        <w:rStyle w:val="Hyperlink"/>
                        <w:sz w:val="20"/>
                      </w:rPr>
                      <w:t>2021 BCSC 1354</w:t>
                    </w:r>
                  </w:hyperlink>
                </w:p>
                <w:p w:rsidR="002842B2" w:rsidRPr="002842B2" w:rsidRDefault="002842B2" w:rsidP="002842B2">
                  <w:pPr>
                    <w:jc w:val="both"/>
                    <w:rPr>
                      <w:sz w:val="20"/>
                    </w:rPr>
                  </w:pPr>
                </w:p>
              </w:tc>
              <w:tc>
                <w:tcPr>
                  <w:tcW w:w="267" w:type="pct"/>
                </w:tcPr>
                <w:p w:rsidR="002842B2" w:rsidRPr="002842B2" w:rsidRDefault="002842B2" w:rsidP="002842B2">
                  <w:pPr>
                    <w:jc w:val="both"/>
                    <w:rPr>
                      <w:sz w:val="20"/>
                    </w:rPr>
                  </w:pPr>
                </w:p>
              </w:tc>
              <w:tc>
                <w:tcPr>
                  <w:tcW w:w="2366" w:type="pct"/>
                </w:tcPr>
                <w:p w:rsidR="002842B2" w:rsidRPr="002842B2" w:rsidRDefault="002842B2" w:rsidP="002842B2">
                  <w:pPr>
                    <w:jc w:val="both"/>
                    <w:rPr>
                      <w:sz w:val="20"/>
                    </w:rPr>
                  </w:pPr>
                  <w:r w:rsidRPr="002842B2">
                    <w:rPr>
                      <w:sz w:val="20"/>
                    </w:rPr>
                    <w:t xml:space="preserve">Applicant’s </w:t>
                  </w:r>
                  <w:r w:rsidRPr="002842B2">
                    <w:rPr>
                      <w:i/>
                      <w:sz w:val="20"/>
                    </w:rPr>
                    <w:t>Charter</w:t>
                  </w:r>
                  <w:r w:rsidRPr="002842B2">
                    <w:rPr>
                      <w:sz w:val="20"/>
                    </w:rPr>
                    <w:t xml:space="preserve"> application dismissed</w:t>
                  </w:r>
                </w:p>
                <w:p w:rsidR="002842B2" w:rsidRPr="002842B2" w:rsidRDefault="002842B2" w:rsidP="002842B2">
                  <w:pPr>
                    <w:jc w:val="both"/>
                    <w:rPr>
                      <w:sz w:val="20"/>
                    </w:rPr>
                  </w:pPr>
                </w:p>
              </w:tc>
            </w:tr>
            <w:tr w:rsidR="002842B2" w:rsidRPr="002842B2" w:rsidTr="00F746FD">
              <w:tc>
                <w:tcPr>
                  <w:tcW w:w="2367" w:type="pct"/>
                </w:tcPr>
                <w:p w:rsidR="002842B2" w:rsidRPr="002842B2" w:rsidRDefault="002842B2" w:rsidP="002842B2">
                  <w:pPr>
                    <w:jc w:val="both"/>
                    <w:rPr>
                      <w:sz w:val="20"/>
                    </w:rPr>
                  </w:pPr>
                  <w:r w:rsidRPr="002842B2">
                    <w:rPr>
                      <w:sz w:val="20"/>
                    </w:rPr>
                    <w:lastRenderedPageBreak/>
                    <w:t>December 1, 2021</w:t>
                  </w:r>
                </w:p>
                <w:p w:rsidR="002842B2" w:rsidRPr="002842B2" w:rsidRDefault="002842B2" w:rsidP="002842B2">
                  <w:pPr>
                    <w:jc w:val="both"/>
                    <w:rPr>
                      <w:sz w:val="20"/>
                    </w:rPr>
                  </w:pPr>
                  <w:r w:rsidRPr="002842B2">
                    <w:rPr>
                      <w:sz w:val="20"/>
                    </w:rPr>
                    <w:t xml:space="preserve">Court of Appeal for British Columbia </w:t>
                  </w:r>
                </w:p>
                <w:p w:rsidR="002842B2" w:rsidRPr="002842B2" w:rsidRDefault="002842B2" w:rsidP="002842B2">
                  <w:pPr>
                    <w:jc w:val="both"/>
                    <w:rPr>
                      <w:sz w:val="20"/>
                    </w:rPr>
                  </w:pPr>
                  <w:r w:rsidRPr="002842B2">
                    <w:rPr>
                      <w:sz w:val="20"/>
                    </w:rPr>
                    <w:t>(Vancouver)</w:t>
                  </w:r>
                </w:p>
                <w:p w:rsidR="002842B2" w:rsidRPr="002842B2" w:rsidRDefault="002842B2" w:rsidP="002842B2">
                  <w:pPr>
                    <w:jc w:val="both"/>
                    <w:rPr>
                      <w:sz w:val="20"/>
                    </w:rPr>
                  </w:pPr>
                  <w:r w:rsidRPr="002842B2">
                    <w:rPr>
                      <w:sz w:val="20"/>
                    </w:rPr>
                    <w:t>(Goepel, Fitch, Voith JJ.A.)</w:t>
                  </w:r>
                </w:p>
                <w:p w:rsidR="002842B2" w:rsidRPr="002842B2" w:rsidRDefault="002842B2" w:rsidP="002842B2">
                  <w:pPr>
                    <w:jc w:val="both"/>
                    <w:rPr>
                      <w:sz w:val="20"/>
                    </w:rPr>
                  </w:pPr>
                  <w:r w:rsidRPr="002842B2">
                    <w:rPr>
                      <w:sz w:val="20"/>
                    </w:rPr>
                    <w:t xml:space="preserve">CA47671; </w:t>
                  </w:r>
                  <w:hyperlink r:id="rId13" w:history="1">
                    <w:r w:rsidRPr="002842B2">
                      <w:rPr>
                        <w:rStyle w:val="Hyperlink"/>
                        <w:sz w:val="20"/>
                      </w:rPr>
                      <w:t>2021 BCCA 47671</w:t>
                    </w:r>
                  </w:hyperlink>
                </w:p>
                <w:p w:rsidR="002842B2" w:rsidRPr="002842B2" w:rsidRDefault="002842B2" w:rsidP="002842B2">
                  <w:pPr>
                    <w:jc w:val="both"/>
                    <w:rPr>
                      <w:sz w:val="20"/>
                    </w:rPr>
                  </w:pPr>
                </w:p>
              </w:tc>
              <w:tc>
                <w:tcPr>
                  <w:tcW w:w="267" w:type="pct"/>
                </w:tcPr>
                <w:p w:rsidR="002842B2" w:rsidRPr="002842B2" w:rsidRDefault="002842B2" w:rsidP="002842B2">
                  <w:pPr>
                    <w:jc w:val="both"/>
                    <w:rPr>
                      <w:sz w:val="20"/>
                    </w:rPr>
                  </w:pPr>
                </w:p>
              </w:tc>
              <w:tc>
                <w:tcPr>
                  <w:tcW w:w="2366" w:type="pct"/>
                </w:tcPr>
                <w:p w:rsidR="002842B2" w:rsidRPr="002842B2" w:rsidRDefault="002842B2" w:rsidP="002842B2">
                  <w:pPr>
                    <w:jc w:val="both"/>
                    <w:rPr>
                      <w:sz w:val="20"/>
                    </w:rPr>
                  </w:pPr>
                  <w:r w:rsidRPr="002842B2">
                    <w:rPr>
                      <w:sz w:val="20"/>
                    </w:rPr>
                    <w:t>Respondent’s application to quash applicant’s appeal granted</w:t>
                  </w:r>
                </w:p>
                <w:p w:rsidR="002842B2" w:rsidRPr="002842B2" w:rsidRDefault="002842B2" w:rsidP="002842B2">
                  <w:pPr>
                    <w:jc w:val="both"/>
                    <w:rPr>
                      <w:sz w:val="20"/>
                    </w:rPr>
                  </w:pPr>
                </w:p>
              </w:tc>
            </w:tr>
            <w:tr w:rsidR="002842B2" w:rsidRPr="002842B2" w:rsidTr="00F746FD">
              <w:tc>
                <w:tcPr>
                  <w:tcW w:w="2367" w:type="pct"/>
                </w:tcPr>
                <w:p w:rsidR="002842B2" w:rsidRPr="002842B2" w:rsidRDefault="002842B2" w:rsidP="002842B2">
                  <w:pPr>
                    <w:jc w:val="both"/>
                    <w:rPr>
                      <w:sz w:val="20"/>
                    </w:rPr>
                  </w:pPr>
                  <w:r w:rsidRPr="002842B2">
                    <w:rPr>
                      <w:sz w:val="20"/>
                    </w:rPr>
                    <w:t>February 9, 2022</w:t>
                  </w:r>
                </w:p>
                <w:p w:rsidR="002842B2" w:rsidRPr="002842B2" w:rsidRDefault="002842B2" w:rsidP="002842B2">
                  <w:pPr>
                    <w:jc w:val="both"/>
                    <w:rPr>
                      <w:sz w:val="20"/>
                    </w:rPr>
                  </w:pPr>
                  <w:r w:rsidRPr="002842B2">
                    <w:rPr>
                      <w:sz w:val="20"/>
                    </w:rPr>
                    <w:t>Supreme Court of Canada</w:t>
                  </w:r>
                </w:p>
                <w:p w:rsidR="002842B2" w:rsidRPr="002842B2" w:rsidRDefault="002842B2" w:rsidP="002842B2">
                  <w:pPr>
                    <w:jc w:val="both"/>
                    <w:rPr>
                      <w:sz w:val="20"/>
                    </w:rPr>
                  </w:pPr>
                </w:p>
              </w:tc>
              <w:tc>
                <w:tcPr>
                  <w:tcW w:w="267" w:type="pct"/>
                </w:tcPr>
                <w:p w:rsidR="002842B2" w:rsidRPr="002842B2" w:rsidRDefault="002842B2" w:rsidP="002842B2">
                  <w:pPr>
                    <w:jc w:val="both"/>
                    <w:rPr>
                      <w:sz w:val="20"/>
                    </w:rPr>
                  </w:pPr>
                </w:p>
              </w:tc>
              <w:tc>
                <w:tcPr>
                  <w:tcW w:w="2366" w:type="pct"/>
                </w:tcPr>
                <w:p w:rsidR="002842B2" w:rsidRPr="002842B2" w:rsidRDefault="002842B2" w:rsidP="002842B2">
                  <w:pPr>
                    <w:jc w:val="both"/>
                    <w:rPr>
                      <w:sz w:val="20"/>
                    </w:rPr>
                  </w:pPr>
                  <w:r w:rsidRPr="002842B2">
                    <w:rPr>
                      <w:sz w:val="20"/>
                    </w:rPr>
                    <w:t>Application for leave to appeal filed</w:t>
                  </w:r>
                </w:p>
                <w:p w:rsidR="002842B2" w:rsidRPr="002842B2" w:rsidRDefault="002842B2" w:rsidP="002842B2">
                  <w:pPr>
                    <w:jc w:val="both"/>
                    <w:rPr>
                      <w:sz w:val="20"/>
                    </w:rPr>
                  </w:pPr>
                </w:p>
              </w:tc>
            </w:tr>
            <w:tr w:rsidR="002842B2" w:rsidRPr="002842B2" w:rsidTr="00F746FD">
              <w:tc>
                <w:tcPr>
                  <w:tcW w:w="2367" w:type="pct"/>
                </w:tcPr>
                <w:p w:rsidR="002842B2" w:rsidRPr="002842B2" w:rsidRDefault="002842B2" w:rsidP="002842B2">
                  <w:pPr>
                    <w:jc w:val="both"/>
                    <w:rPr>
                      <w:sz w:val="20"/>
                    </w:rPr>
                  </w:pPr>
                  <w:r w:rsidRPr="002842B2">
                    <w:rPr>
                      <w:sz w:val="20"/>
                    </w:rPr>
                    <w:t>May 4, 2022</w:t>
                  </w:r>
                </w:p>
                <w:p w:rsidR="002842B2" w:rsidRPr="002842B2" w:rsidRDefault="002842B2" w:rsidP="002842B2">
                  <w:pPr>
                    <w:jc w:val="both"/>
                    <w:rPr>
                      <w:sz w:val="20"/>
                    </w:rPr>
                  </w:pPr>
                  <w:r w:rsidRPr="002842B2">
                    <w:rPr>
                      <w:sz w:val="20"/>
                    </w:rPr>
                    <w:t>Supreme Court of Canada</w:t>
                  </w:r>
                </w:p>
              </w:tc>
              <w:tc>
                <w:tcPr>
                  <w:tcW w:w="267" w:type="pct"/>
                </w:tcPr>
                <w:p w:rsidR="002842B2" w:rsidRPr="002842B2" w:rsidRDefault="002842B2" w:rsidP="002842B2">
                  <w:pPr>
                    <w:jc w:val="both"/>
                    <w:rPr>
                      <w:sz w:val="20"/>
                    </w:rPr>
                  </w:pPr>
                </w:p>
              </w:tc>
              <w:tc>
                <w:tcPr>
                  <w:tcW w:w="2366" w:type="pct"/>
                </w:tcPr>
                <w:p w:rsidR="002842B2" w:rsidRPr="002842B2" w:rsidRDefault="002842B2" w:rsidP="002842B2">
                  <w:pPr>
                    <w:jc w:val="both"/>
                    <w:rPr>
                      <w:sz w:val="20"/>
                    </w:rPr>
                  </w:pPr>
                  <w:r w:rsidRPr="002842B2">
                    <w:rPr>
                      <w:sz w:val="20"/>
                    </w:rPr>
                    <w:t>Motion for an extension of time to serve and file the application for leave to appeal filed</w:t>
                  </w:r>
                </w:p>
              </w:tc>
            </w:tr>
          </w:tbl>
          <w:p w:rsidR="002842B2" w:rsidRPr="002842B2" w:rsidRDefault="002842B2" w:rsidP="002842B2">
            <w:pPr>
              <w:jc w:val="both"/>
              <w:rPr>
                <w:sz w:val="20"/>
              </w:rPr>
            </w:pPr>
          </w:p>
        </w:tc>
      </w:tr>
    </w:tbl>
    <w:p w:rsidR="002842B2" w:rsidRDefault="002842B2" w:rsidP="002842B2">
      <w:pPr>
        <w:jc w:val="both"/>
        <w:rPr>
          <w:sz w:val="20"/>
        </w:rPr>
      </w:pPr>
    </w:p>
    <w:p w:rsidR="002842B2" w:rsidRDefault="002842B2" w:rsidP="002842B2">
      <w:pPr>
        <w:jc w:val="both"/>
        <w:rPr>
          <w:sz w:val="20"/>
        </w:rPr>
      </w:pPr>
      <w:r>
        <w:rPr>
          <w:sz w:val="20"/>
        </w:rPr>
        <w:pict>
          <v:rect id="_x0000_i1030" style="width:2in;height:1pt" o:hrpct="0" o:hralign="center" o:hrstd="t" o:hrnoshade="t" o:hr="t" fillcolor="black [3213]" stroked="f"/>
        </w:pict>
      </w:r>
    </w:p>
    <w:p w:rsidR="002842B2" w:rsidRPr="002842B2" w:rsidRDefault="002842B2" w:rsidP="00284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842B2" w:rsidRPr="002842B2" w:rsidTr="00E95A6A">
        <w:tc>
          <w:tcPr>
            <w:tcW w:w="543" w:type="pct"/>
          </w:tcPr>
          <w:p w:rsidR="002842B2" w:rsidRPr="002842B2" w:rsidRDefault="002842B2" w:rsidP="002842B2">
            <w:pPr>
              <w:jc w:val="both"/>
              <w:rPr>
                <w:sz w:val="20"/>
                <w:lang w:val="fr-CA"/>
              </w:rPr>
            </w:pPr>
            <w:r w:rsidRPr="002842B2">
              <w:rPr>
                <w:rStyle w:val="SCCFileNumberChar"/>
                <w:sz w:val="20"/>
                <w:szCs w:val="20"/>
                <w:lang w:val="fr-CA"/>
              </w:rPr>
              <w:t>40105</w:t>
            </w:r>
          </w:p>
        </w:tc>
        <w:tc>
          <w:tcPr>
            <w:tcW w:w="4457" w:type="pct"/>
          </w:tcPr>
          <w:p w:rsidR="002842B2" w:rsidRPr="002842B2" w:rsidRDefault="002842B2" w:rsidP="002842B2">
            <w:pPr>
              <w:pStyle w:val="SCCLsocParty"/>
              <w:jc w:val="both"/>
              <w:rPr>
                <w:b/>
                <w:sz w:val="20"/>
                <w:szCs w:val="20"/>
              </w:rPr>
            </w:pPr>
            <w:r w:rsidRPr="002842B2">
              <w:rPr>
                <w:b/>
                <w:sz w:val="20"/>
                <w:szCs w:val="20"/>
              </w:rPr>
              <w:t>Martin Peter Holzbauer c. Procureur général de la Colombie-Britannique</w:t>
            </w:r>
          </w:p>
          <w:p w:rsidR="002842B2" w:rsidRPr="002842B2" w:rsidRDefault="002842B2" w:rsidP="002842B2">
            <w:pPr>
              <w:jc w:val="both"/>
              <w:rPr>
                <w:sz w:val="20"/>
                <w:lang w:val="fr-CA"/>
              </w:rPr>
            </w:pPr>
            <w:r w:rsidRPr="002842B2">
              <w:rPr>
                <w:sz w:val="20"/>
                <w:lang w:val="fr-CA"/>
              </w:rPr>
              <w:t>(C.-B.) (</w:t>
            </w:r>
            <w:r>
              <w:rPr>
                <w:sz w:val="20"/>
                <w:lang w:val="fr-CA"/>
              </w:rPr>
              <w:t>C</w:t>
            </w:r>
            <w:r w:rsidRPr="002842B2">
              <w:rPr>
                <w:sz w:val="20"/>
                <w:lang w:val="fr-CA"/>
              </w:rPr>
              <w:t>riminelle) (</w:t>
            </w:r>
            <w:r>
              <w:rPr>
                <w:sz w:val="20"/>
                <w:lang w:val="fr-CA"/>
              </w:rPr>
              <w:t>S</w:t>
            </w:r>
            <w:bookmarkStart w:id="0" w:name="_GoBack"/>
            <w:bookmarkEnd w:id="0"/>
            <w:r w:rsidRPr="002842B2">
              <w:rPr>
                <w:sz w:val="20"/>
                <w:lang w:val="fr-CA"/>
              </w:rPr>
              <w:t>ur autorisation)</w:t>
            </w:r>
          </w:p>
        </w:tc>
      </w:tr>
      <w:tr w:rsidR="002842B2" w:rsidRPr="002842B2" w:rsidTr="00E95A6A">
        <w:tc>
          <w:tcPr>
            <w:tcW w:w="5000" w:type="pct"/>
            <w:gridSpan w:val="2"/>
          </w:tcPr>
          <w:p w:rsidR="002842B2" w:rsidRPr="002842B2" w:rsidRDefault="002842B2" w:rsidP="002842B2">
            <w:pPr>
              <w:jc w:val="both"/>
              <w:rPr>
                <w:sz w:val="20"/>
                <w:lang w:val="fr-CA"/>
              </w:rPr>
            </w:pPr>
            <w:r w:rsidRPr="002842B2">
              <w:rPr>
                <w:i/>
                <w:sz w:val="20"/>
                <w:lang w:val="fr-CA"/>
              </w:rPr>
              <w:t>Charte des droits</w:t>
            </w:r>
            <w:r w:rsidRPr="002842B2">
              <w:rPr>
                <w:sz w:val="20"/>
                <w:lang w:val="fr-CA"/>
              </w:rPr>
              <w:t xml:space="preserve"> — Liberté de religion — Justice fondamentale — Droit criminel — La question en litige qui n’a pas encore fait l’objet d’une décision porte sur le non-respect de l’article premier de la </w:t>
            </w:r>
            <w:r w:rsidRPr="002842B2">
              <w:rPr>
                <w:i/>
                <w:sz w:val="20"/>
                <w:lang w:val="fr-CA"/>
              </w:rPr>
              <w:t xml:space="preserve">Charte </w:t>
            </w:r>
            <w:r w:rsidRPr="002842B2">
              <w:rPr>
                <w:sz w:val="20"/>
                <w:lang w:val="fr-CA"/>
              </w:rPr>
              <w:t>par des agents de l’État (soit, le district ré</w:t>
            </w:r>
            <w:r w:rsidRPr="002842B2">
              <w:rPr>
                <w:iCs/>
                <w:color w:val="000000"/>
                <w:sz w:val="20"/>
                <w:lang w:val="fr-CA"/>
              </w:rPr>
              <w:t>gional de Kitimat</w:t>
            </w:r>
            <w:r w:rsidRPr="002842B2">
              <w:rPr>
                <w:iCs/>
                <w:color w:val="000000"/>
                <w:sz w:val="20"/>
                <w:lang w:val="fr-CA"/>
              </w:rPr>
              <w:noBreakHyphen/>
              <w:t>Stikine</w:t>
            </w:r>
            <w:r w:rsidRPr="002842B2">
              <w:rPr>
                <w:sz w:val="20"/>
                <w:lang w:val="fr-CA"/>
              </w:rPr>
              <w:t xml:space="preserve">) et les violations des droits garantis au demandeur par l’al. 2a) et l’art. 7 de la </w:t>
            </w:r>
            <w:r w:rsidRPr="002842B2">
              <w:rPr>
                <w:i/>
                <w:sz w:val="20"/>
                <w:lang w:val="fr-CA"/>
              </w:rPr>
              <w:t>Charte</w:t>
            </w:r>
            <w:r w:rsidRPr="002842B2">
              <w:rPr>
                <w:sz w:val="20"/>
                <w:lang w:val="fr-CA"/>
              </w:rPr>
              <w:t xml:space="preserve"> — art. 1, al. 2a), art. 7 de la </w:t>
            </w:r>
            <w:r w:rsidRPr="002842B2">
              <w:rPr>
                <w:i/>
                <w:sz w:val="20"/>
                <w:lang w:val="fr-CA"/>
              </w:rPr>
              <w:t>Charte des droits et libertés</w:t>
            </w:r>
            <w:r w:rsidRPr="002842B2">
              <w:rPr>
                <w:sz w:val="20"/>
                <w:lang w:val="fr-CA"/>
              </w:rPr>
              <w:t>.</w:t>
            </w:r>
          </w:p>
        </w:tc>
      </w:tr>
      <w:tr w:rsidR="002842B2" w:rsidRPr="002842B2" w:rsidTr="00E95A6A">
        <w:tc>
          <w:tcPr>
            <w:tcW w:w="5000" w:type="pct"/>
            <w:gridSpan w:val="2"/>
          </w:tcPr>
          <w:p w:rsidR="002842B2" w:rsidRPr="002842B2" w:rsidRDefault="002842B2" w:rsidP="002842B2">
            <w:pPr>
              <w:jc w:val="both"/>
              <w:rPr>
                <w:sz w:val="20"/>
                <w:lang w:val="fr-CA"/>
              </w:rPr>
            </w:pPr>
          </w:p>
        </w:tc>
      </w:tr>
      <w:tr w:rsidR="002842B2" w:rsidRPr="002842B2" w:rsidTr="002842B2">
        <w:trPr>
          <w:trHeight w:val="5264"/>
        </w:trPr>
        <w:tc>
          <w:tcPr>
            <w:tcW w:w="5000" w:type="pct"/>
            <w:gridSpan w:val="2"/>
          </w:tcPr>
          <w:p w:rsidR="002842B2" w:rsidRPr="002842B2" w:rsidRDefault="002842B2" w:rsidP="002842B2">
            <w:pPr>
              <w:pStyle w:val="scjnumber"/>
              <w:spacing w:before="0" w:beforeAutospacing="0" w:after="0" w:afterAutospacing="0"/>
              <w:jc w:val="both"/>
              <w:rPr>
                <w:color w:val="000000"/>
                <w:sz w:val="20"/>
                <w:szCs w:val="20"/>
                <w:lang w:val="fr-CA"/>
              </w:rPr>
            </w:pPr>
            <w:r w:rsidRPr="002842B2">
              <w:rPr>
                <w:color w:val="000000"/>
                <w:sz w:val="20"/>
                <w:szCs w:val="20"/>
                <w:lang w:val="fr-CA"/>
              </w:rPr>
              <w:t>Un différend de longue durée oppose le demandeur et le district ré</w:t>
            </w:r>
            <w:r w:rsidRPr="002842B2">
              <w:rPr>
                <w:iCs/>
                <w:color w:val="000000"/>
                <w:sz w:val="20"/>
                <w:szCs w:val="20"/>
                <w:lang w:val="fr-CA"/>
              </w:rPr>
              <w:t>gional de Kitimat</w:t>
            </w:r>
            <w:r w:rsidRPr="002842B2">
              <w:rPr>
                <w:iCs/>
                <w:color w:val="000000"/>
                <w:sz w:val="20"/>
                <w:szCs w:val="20"/>
                <w:lang w:val="fr-CA"/>
              </w:rPr>
              <w:noBreakHyphen/>
              <w:t>Stikine, découlant de trois déclarations de culpabilité pour avoir enfreint des règlements municipaux, l’une en 2014 et les deux autres en 2017.</w:t>
            </w:r>
            <w:r w:rsidRPr="002842B2">
              <w:rPr>
                <w:color w:val="000000"/>
                <w:sz w:val="20"/>
                <w:szCs w:val="20"/>
                <w:lang w:val="fr-CA"/>
              </w:rPr>
              <w:t xml:space="preserve"> Le juge Punnett a rejeté la demande fondée sur la </w:t>
            </w:r>
            <w:r w:rsidRPr="002842B2">
              <w:rPr>
                <w:i/>
                <w:iCs/>
                <w:color w:val="000000"/>
                <w:sz w:val="20"/>
                <w:szCs w:val="20"/>
                <w:lang w:val="fr-CA"/>
              </w:rPr>
              <w:t xml:space="preserve">Charte </w:t>
            </w:r>
            <w:r w:rsidRPr="002842B2">
              <w:rPr>
                <w:iCs/>
                <w:color w:val="000000"/>
                <w:sz w:val="20"/>
                <w:szCs w:val="20"/>
                <w:lang w:val="fr-CA"/>
              </w:rPr>
              <w:t>présentée par le demandeur</w:t>
            </w:r>
            <w:r w:rsidRPr="002842B2">
              <w:rPr>
                <w:color w:val="000000"/>
                <w:sz w:val="20"/>
                <w:szCs w:val="20"/>
                <w:lang w:val="fr-CA"/>
              </w:rPr>
              <w:t>.</w:t>
            </w:r>
            <w:r w:rsidRPr="002842B2">
              <w:rPr>
                <w:iCs/>
                <w:color w:val="000000"/>
                <w:sz w:val="20"/>
                <w:szCs w:val="20"/>
                <w:lang w:val="fr-CA"/>
              </w:rPr>
              <w:t xml:space="preserve"> Une demande en annulation de l’appel a été présentée par le procureur général de la</w:t>
            </w:r>
            <w:r w:rsidRPr="002842B2">
              <w:rPr>
                <w:rFonts w:eastAsiaTheme="minorHAnsi" w:cstheme="minorBidi"/>
                <w:sz w:val="20"/>
                <w:szCs w:val="20"/>
                <w:lang w:val="fr-CA"/>
              </w:rPr>
              <w:t xml:space="preserve"> </w:t>
            </w:r>
            <w:r w:rsidRPr="002842B2">
              <w:rPr>
                <w:iCs/>
                <w:color w:val="000000"/>
                <w:sz w:val="20"/>
                <w:szCs w:val="20"/>
                <w:lang w:val="fr-CA"/>
              </w:rPr>
              <w:t>Colombie-Britannique. La Cour d’appel a accueilli la demande de ce dernier, et a statué qu’elle n’avait pas compétence pour trancher l’appel du demandeur.</w:t>
            </w:r>
          </w:p>
          <w:p w:rsidR="002842B2" w:rsidRPr="002842B2" w:rsidRDefault="002842B2" w:rsidP="002842B2">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842B2" w:rsidRPr="002842B2" w:rsidTr="00F746FD">
              <w:tc>
                <w:tcPr>
                  <w:tcW w:w="2367" w:type="pct"/>
                </w:tcPr>
                <w:p w:rsidR="002842B2" w:rsidRPr="002842B2" w:rsidRDefault="002842B2" w:rsidP="002842B2">
                  <w:pPr>
                    <w:jc w:val="both"/>
                    <w:rPr>
                      <w:sz w:val="20"/>
                      <w:lang w:val="fr-CA"/>
                    </w:rPr>
                  </w:pPr>
                  <w:r w:rsidRPr="002842B2">
                    <w:rPr>
                      <w:sz w:val="20"/>
                      <w:lang w:val="fr-CA"/>
                    </w:rPr>
                    <w:t>9 juillet 2021</w:t>
                  </w:r>
                </w:p>
                <w:p w:rsidR="002842B2" w:rsidRPr="002842B2" w:rsidRDefault="002842B2" w:rsidP="002842B2">
                  <w:pPr>
                    <w:jc w:val="both"/>
                    <w:rPr>
                      <w:sz w:val="20"/>
                      <w:lang w:val="fr-CA"/>
                    </w:rPr>
                  </w:pPr>
                  <w:r w:rsidRPr="002842B2">
                    <w:rPr>
                      <w:sz w:val="20"/>
                      <w:lang w:val="fr-CA"/>
                    </w:rPr>
                    <w:t>Cour suprême de la Colombie-Britannique</w:t>
                  </w:r>
                </w:p>
                <w:p w:rsidR="002842B2" w:rsidRPr="002842B2" w:rsidRDefault="002842B2" w:rsidP="002842B2">
                  <w:pPr>
                    <w:jc w:val="both"/>
                    <w:rPr>
                      <w:sz w:val="20"/>
                      <w:lang w:val="fr-CA"/>
                    </w:rPr>
                  </w:pPr>
                  <w:r w:rsidRPr="002842B2">
                    <w:rPr>
                      <w:sz w:val="20"/>
                      <w:lang w:val="fr-CA"/>
                    </w:rPr>
                    <w:t>(juge Punnett)</w:t>
                  </w:r>
                </w:p>
                <w:p w:rsidR="002842B2" w:rsidRPr="002842B2" w:rsidRDefault="002842B2" w:rsidP="002842B2">
                  <w:pPr>
                    <w:jc w:val="both"/>
                    <w:rPr>
                      <w:sz w:val="20"/>
                      <w:lang w:val="fr-CA"/>
                    </w:rPr>
                  </w:pPr>
                  <w:hyperlink r:id="rId14" w:history="1">
                    <w:r w:rsidRPr="002842B2">
                      <w:rPr>
                        <w:rStyle w:val="Hyperlink"/>
                        <w:sz w:val="20"/>
                        <w:lang w:val="fr-CA"/>
                      </w:rPr>
                      <w:t>2021 BCSC 1354</w:t>
                    </w:r>
                  </w:hyperlink>
                </w:p>
                <w:p w:rsidR="002842B2" w:rsidRPr="002842B2" w:rsidRDefault="002842B2" w:rsidP="002842B2">
                  <w:pPr>
                    <w:jc w:val="both"/>
                    <w:rPr>
                      <w:sz w:val="20"/>
                      <w:lang w:val="fr-CA"/>
                    </w:rPr>
                  </w:pPr>
                </w:p>
              </w:tc>
              <w:tc>
                <w:tcPr>
                  <w:tcW w:w="267" w:type="pct"/>
                </w:tcPr>
                <w:p w:rsidR="002842B2" w:rsidRPr="002842B2" w:rsidRDefault="002842B2" w:rsidP="002842B2">
                  <w:pPr>
                    <w:jc w:val="both"/>
                    <w:rPr>
                      <w:sz w:val="20"/>
                      <w:lang w:val="fr-CA"/>
                    </w:rPr>
                  </w:pPr>
                </w:p>
              </w:tc>
              <w:tc>
                <w:tcPr>
                  <w:tcW w:w="2366" w:type="pct"/>
                </w:tcPr>
                <w:p w:rsidR="002842B2" w:rsidRPr="002842B2" w:rsidRDefault="002842B2" w:rsidP="002842B2">
                  <w:pPr>
                    <w:jc w:val="both"/>
                    <w:rPr>
                      <w:sz w:val="20"/>
                      <w:lang w:val="fr-CA"/>
                    </w:rPr>
                  </w:pPr>
                  <w:r w:rsidRPr="002842B2">
                    <w:rPr>
                      <w:sz w:val="20"/>
                      <w:lang w:val="fr-CA"/>
                    </w:rPr>
                    <w:t xml:space="preserve">La demande fondée sur la </w:t>
                  </w:r>
                  <w:r w:rsidRPr="002842B2">
                    <w:rPr>
                      <w:i/>
                      <w:sz w:val="20"/>
                      <w:lang w:val="fr-CA"/>
                    </w:rPr>
                    <w:t>Charte</w:t>
                  </w:r>
                  <w:r w:rsidRPr="002842B2">
                    <w:rPr>
                      <w:sz w:val="20"/>
                      <w:lang w:val="fr-CA"/>
                    </w:rPr>
                    <w:t xml:space="preserve"> présentée par le demandeur est rejetée.</w:t>
                  </w:r>
                </w:p>
                <w:p w:rsidR="002842B2" w:rsidRPr="002842B2" w:rsidRDefault="002842B2" w:rsidP="002842B2">
                  <w:pPr>
                    <w:jc w:val="both"/>
                    <w:rPr>
                      <w:sz w:val="20"/>
                      <w:lang w:val="fr-CA"/>
                    </w:rPr>
                  </w:pPr>
                </w:p>
              </w:tc>
            </w:tr>
            <w:tr w:rsidR="002842B2" w:rsidRPr="002842B2" w:rsidTr="00F746FD">
              <w:tc>
                <w:tcPr>
                  <w:tcW w:w="2367" w:type="pct"/>
                </w:tcPr>
                <w:p w:rsidR="002842B2" w:rsidRPr="002842B2" w:rsidRDefault="002842B2" w:rsidP="002842B2">
                  <w:pPr>
                    <w:jc w:val="both"/>
                    <w:rPr>
                      <w:sz w:val="20"/>
                      <w:lang w:val="fr-CA"/>
                    </w:rPr>
                  </w:pPr>
                  <w:r w:rsidRPr="002842B2">
                    <w:rPr>
                      <w:sz w:val="20"/>
                      <w:lang w:val="fr-CA"/>
                    </w:rPr>
                    <w:t>1</w:t>
                  </w:r>
                  <w:r w:rsidRPr="002842B2">
                    <w:rPr>
                      <w:sz w:val="20"/>
                      <w:vertAlign w:val="superscript"/>
                      <w:lang w:val="fr-CA"/>
                    </w:rPr>
                    <w:t>er</w:t>
                  </w:r>
                  <w:r w:rsidRPr="002842B2">
                    <w:rPr>
                      <w:sz w:val="20"/>
                      <w:lang w:val="fr-CA"/>
                    </w:rPr>
                    <w:t xml:space="preserve"> décembre 2021</w:t>
                  </w:r>
                </w:p>
                <w:p w:rsidR="002842B2" w:rsidRPr="002842B2" w:rsidRDefault="002842B2" w:rsidP="002842B2">
                  <w:pPr>
                    <w:jc w:val="both"/>
                    <w:rPr>
                      <w:sz w:val="20"/>
                      <w:lang w:val="fr-CA"/>
                    </w:rPr>
                  </w:pPr>
                  <w:r w:rsidRPr="002842B2">
                    <w:rPr>
                      <w:sz w:val="20"/>
                      <w:lang w:val="fr-CA"/>
                    </w:rPr>
                    <w:t xml:space="preserve">Cour d’appel de la Colombie-Britannique </w:t>
                  </w:r>
                </w:p>
                <w:p w:rsidR="002842B2" w:rsidRPr="002842B2" w:rsidRDefault="002842B2" w:rsidP="002842B2">
                  <w:pPr>
                    <w:jc w:val="both"/>
                    <w:rPr>
                      <w:sz w:val="20"/>
                      <w:lang w:val="fr-CA"/>
                    </w:rPr>
                  </w:pPr>
                  <w:r w:rsidRPr="002842B2">
                    <w:rPr>
                      <w:sz w:val="20"/>
                      <w:lang w:val="fr-CA"/>
                    </w:rPr>
                    <w:t>(Vancouver)</w:t>
                  </w:r>
                </w:p>
                <w:p w:rsidR="002842B2" w:rsidRPr="002842B2" w:rsidRDefault="002842B2" w:rsidP="002842B2">
                  <w:pPr>
                    <w:jc w:val="both"/>
                    <w:rPr>
                      <w:sz w:val="20"/>
                      <w:lang w:val="fr-CA"/>
                    </w:rPr>
                  </w:pPr>
                  <w:r w:rsidRPr="002842B2">
                    <w:rPr>
                      <w:sz w:val="20"/>
                      <w:lang w:val="fr-CA"/>
                    </w:rPr>
                    <w:t>(juges Goepel, Fitch, Voith)</w:t>
                  </w:r>
                </w:p>
                <w:p w:rsidR="002842B2" w:rsidRPr="002842B2" w:rsidRDefault="002842B2" w:rsidP="002842B2">
                  <w:pPr>
                    <w:jc w:val="both"/>
                    <w:rPr>
                      <w:sz w:val="20"/>
                      <w:lang w:val="fr-CA"/>
                    </w:rPr>
                  </w:pPr>
                  <w:r w:rsidRPr="002842B2">
                    <w:rPr>
                      <w:sz w:val="20"/>
                      <w:lang w:val="fr-CA"/>
                    </w:rPr>
                    <w:t xml:space="preserve">CA47671; </w:t>
                  </w:r>
                  <w:hyperlink r:id="rId15" w:history="1">
                    <w:r w:rsidRPr="002842B2">
                      <w:rPr>
                        <w:rStyle w:val="Hyperlink"/>
                        <w:sz w:val="20"/>
                        <w:lang w:val="fr-CA"/>
                      </w:rPr>
                      <w:t>2021 BCCA 47671</w:t>
                    </w:r>
                  </w:hyperlink>
                </w:p>
                <w:p w:rsidR="002842B2" w:rsidRPr="002842B2" w:rsidRDefault="002842B2" w:rsidP="002842B2">
                  <w:pPr>
                    <w:jc w:val="both"/>
                    <w:rPr>
                      <w:sz w:val="20"/>
                      <w:lang w:val="fr-CA"/>
                    </w:rPr>
                  </w:pPr>
                </w:p>
              </w:tc>
              <w:tc>
                <w:tcPr>
                  <w:tcW w:w="267" w:type="pct"/>
                </w:tcPr>
                <w:p w:rsidR="002842B2" w:rsidRPr="002842B2" w:rsidRDefault="002842B2" w:rsidP="002842B2">
                  <w:pPr>
                    <w:jc w:val="both"/>
                    <w:rPr>
                      <w:sz w:val="20"/>
                      <w:lang w:val="fr-CA"/>
                    </w:rPr>
                  </w:pPr>
                </w:p>
              </w:tc>
              <w:tc>
                <w:tcPr>
                  <w:tcW w:w="2366" w:type="pct"/>
                </w:tcPr>
                <w:p w:rsidR="002842B2" w:rsidRPr="002842B2" w:rsidRDefault="002842B2" w:rsidP="002842B2">
                  <w:pPr>
                    <w:jc w:val="both"/>
                    <w:rPr>
                      <w:sz w:val="20"/>
                      <w:lang w:val="fr-CA"/>
                    </w:rPr>
                  </w:pPr>
                  <w:r w:rsidRPr="002842B2">
                    <w:rPr>
                      <w:sz w:val="20"/>
                      <w:lang w:val="fr-CA"/>
                    </w:rPr>
                    <w:t>La demande de l’intimé en vue d’annuler l’appel du demandeur est accueillie.</w:t>
                  </w:r>
                </w:p>
                <w:p w:rsidR="002842B2" w:rsidRPr="002842B2" w:rsidRDefault="002842B2" w:rsidP="002842B2">
                  <w:pPr>
                    <w:jc w:val="both"/>
                    <w:rPr>
                      <w:sz w:val="20"/>
                      <w:lang w:val="fr-CA"/>
                    </w:rPr>
                  </w:pPr>
                </w:p>
              </w:tc>
            </w:tr>
            <w:tr w:rsidR="002842B2" w:rsidRPr="002842B2" w:rsidTr="00F746FD">
              <w:tc>
                <w:tcPr>
                  <w:tcW w:w="2367" w:type="pct"/>
                </w:tcPr>
                <w:p w:rsidR="002842B2" w:rsidRPr="002842B2" w:rsidRDefault="002842B2" w:rsidP="002842B2">
                  <w:pPr>
                    <w:jc w:val="both"/>
                    <w:rPr>
                      <w:sz w:val="20"/>
                      <w:lang w:val="fr-CA"/>
                    </w:rPr>
                  </w:pPr>
                  <w:r w:rsidRPr="002842B2">
                    <w:rPr>
                      <w:sz w:val="20"/>
                      <w:lang w:val="fr-CA"/>
                    </w:rPr>
                    <w:t>9 février 2022</w:t>
                  </w:r>
                </w:p>
                <w:p w:rsidR="002842B2" w:rsidRPr="002842B2" w:rsidRDefault="002842B2" w:rsidP="002842B2">
                  <w:pPr>
                    <w:jc w:val="both"/>
                    <w:rPr>
                      <w:sz w:val="20"/>
                      <w:lang w:val="fr-CA"/>
                    </w:rPr>
                  </w:pPr>
                  <w:r w:rsidRPr="002842B2">
                    <w:rPr>
                      <w:sz w:val="20"/>
                      <w:lang w:val="fr-CA"/>
                    </w:rPr>
                    <w:t>Cour suprême du Canada</w:t>
                  </w:r>
                </w:p>
                <w:p w:rsidR="002842B2" w:rsidRPr="002842B2" w:rsidRDefault="002842B2" w:rsidP="002842B2">
                  <w:pPr>
                    <w:jc w:val="both"/>
                    <w:rPr>
                      <w:sz w:val="20"/>
                      <w:lang w:val="fr-CA"/>
                    </w:rPr>
                  </w:pPr>
                </w:p>
              </w:tc>
              <w:tc>
                <w:tcPr>
                  <w:tcW w:w="267" w:type="pct"/>
                </w:tcPr>
                <w:p w:rsidR="002842B2" w:rsidRPr="002842B2" w:rsidRDefault="002842B2" w:rsidP="002842B2">
                  <w:pPr>
                    <w:jc w:val="both"/>
                    <w:rPr>
                      <w:sz w:val="20"/>
                      <w:lang w:val="fr-CA"/>
                    </w:rPr>
                  </w:pPr>
                </w:p>
              </w:tc>
              <w:tc>
                <w:tcPr>
                  <w:tcW w:w="2366" w:type="pct"/>
                </w:tcPr>
                <w:p w:rsidR="002842B2" w:rsidRPr="002842B2" w:rsidRDefault="002842B2" w:rsidP="002842B2">
                  <w:pPr>
                    <w:jc w:val="both"/>
                    <w:rPr>
                      <w:sz w:val="20"/>
                      <w:lang w:val="fr-CA"/>
                    </w:rPr>
                  </w:pPr>
                  <w:r w:rsidRPr="002842B2">
                    <w:rPr>
                      <w:sz w:val="20"/>
                      <w:lang w:val="fr-CA"/>
                    </w:rPr>
                    <w:t>La demande d’autorisation d’appel est présentée.</w:t>
                  </w:r>
                </w:p>
                <w:p w:rsidR="002842B2" w:rsidRPr="002842B2" w:rsidRDefault="002842B2" w:rsidP="002842B2">
                  <w:pPr>
                    <w:jc w:val="both"/>
                    <w:rPr>
                      <w:sz w:val="20"/>
                      <w:lang w:val="fr-CA"/>
                    </w:rPr>
                  </w:pPr>
                </w:p>
              </w:tc>
            </w:tr>
            <w:tr w:rsidR="002842B2" w:rsidRPr="002842B2" w:rsidTr="00F746FD">
              <w:tc>
                <w:tcPr>
                  <w:tcW w:w="2367" w:type="pct"/>
                </w:tcPr>
                <w:p w:rsidR="002842B2" w:rsidRPr="002842B2" w:rsidRDefault="002842B2" w:rsidP="002842B2">
                  <w:pPr>
                    <w:jc w:val="both"/>
                    <w:rPr>
                      <w:sz w:val="20"/>
                      <w:lang w:val="fr-CA"/>
                    </w:rPr>
                  </w:pPr>
                  <w:r w:rsidRPr="002842B2">
                    <w:rPr>
                      <w:sz w:val="20"/>
                      <w:lang w:val="fr-CA"/>
                    </w:rPr>
                    <w:t>4 mai 2022</w:t>
                  </w:r>
                </w:p>
                <w:p w:rsidR="002842B2" w:rsidRPr="002842B2" w:rsidRDefault="002842B2" w:rsidP="002842B2">
                  <w:pPr>
                    <w:jc w:val="both"/>
                    <w:rPr>
                      <w:sz w:val="20"/>
                      <w:lang w:val="fr-CA"/>
                    </w:rPr>
                  </w:pPr>
                  <w:r w:rsidRPr="002842B2">
                    <w:rPr>
                      <w:sz w:val="20"/>
                      <w:lang w:val="fr-CA"/>
                    </w:rPr>
                    <w:t>Cour suprême du Canada</w:t>
                  </w:r>
                </w:p>
                <w:p w:rsidR="002842B2" w:rsidRPr="002842B2" w:rsidRDefault="002842B2" w:rsidP="002842B2">
                  <w:pPr>
                    <w:jc w:val="both"/>
                    <w:rPr>
                      <w:sz w:val="20"/>
                      <w:lang w:val="fr-CA"/>
                    </w:rPr>
                  </w:pPr>
                </w:p>
              </w:tc>
              <w:tc>
                <w:tcPr>
                  <w:tcW w:w="267" w:type="pct"/>
                </w:tcPr>
                <w:p w:rsidR="002842B2" w:rsidRPr="002842B2" w:rsidRDefault="002842B2" w:rsidP="002842B2">
                  <w:pPr>
                    <w:jc w:val="both"/>
                    <w:rPr>
                      <w:sz w:val="20"/>
                      <w:lang w:val="fr-CA"/>
                    </w:rPr>
                  </w:pPr>
                </w:p>
              </w:tc>
              <w:tc>
                <w:tcPr>
                  <w:tcW w:w="2366" w:type="pct"/>
                </w:tcPr>
                <w:p w:rsidR="002842B2" w:rsidRPr="002842B2" w:rsidRDefault="002842B2" w:rsidP="002842B2">
                  <w:pPr>
                    <w:jc w:val="both"/>
                    <w:rPr>
                      <w:sz w:val="20"/>
                      <w:lang w:val="fr-CA"/>
                    </w:rPr>
                  </w:pPr>
                  <w:r w:rsidRPr="002842B2">
                    <w:rPr>
                      <w:sz w:val="20"/>
                      <w:lang w:val="fr-CA"/>
                    </w:rPr>
                    <w:t>La requête en prorogation de délai pour signifier et déposer la demande d’autorisation d’appel est présentée.</w:t>
                  </w:r>
                </w:p>
              </w:tc>
            </w:tr>
          </w:tbl>
          <w:p w:rsidR="002842B2" w:rsidRPr="002842B2" w:rsidRDefault="002842B2" w:rsidP="002842B2">
            <w:pPr>
              <w:jc w:val="both"/>
              <w:rPr>
                <w:sz w:val="20"/>
                <w:lang w:val="fr-CA"/>
              </w:rPr>
            </w:pPr>
          </w:p>
        </w:tc>
      </w:tr>
    </w:tbl>
    <w:p w:rsidR="00403CA6" w:rsidRPr="007834C7" w:rsidRDefault="00403CA6" w:rsidP="00403CA6">
      <w:pPr>
        <w:jc w:val="both"/>
        <w:rPr>
          <w:sz w:val="20"/>
          <w:lang w:val="fr-CA"/>
        </w:rPr>
      </w:pPr>
    </w:p>
    <w:p w:rsidR="0001473D" w:rsidRPr="007834C7" w:rsidRDefault="002842B2" w:rsidP="00BE597E">
      <w:pPr>
        <w:widowControl w:val="0"/>
        <w:jc w:val="both"/>
        <w:rPr>
          <w:sz w:val="20"/>
          <w:lang w:val="fr-CA"/>
        </w:rPr>
      </w:pPr>
      <w:r>
        <w:rPr>
          <w:sz w:val="20"/>
        </w:rPr>
        <w:pict>
          <v:rect id="_x0000_i1027" style="width:2in;height:1pt" o:hrpct="0" o:hralign="center" o:hrstd="t" o:hrnoshade="t" o:hr="t" fillcolor="black [3213]" stroked="f"/>
        </w:pict>
      </w:r>
    </w:p>
    <w:p w:rsidR="00FD3FA0" w:rsidRPr="007834C7" w:rsidRDefault="00FD3FA0" w:rsidP="00350651">
      <w:pPr>
        <w:ind w:left="142" w:hanging="142"/>
        <w:jc w:val="both"/>
        <w:rPr>
          <w:sz w:val="20"/>
        </w:rPr>
      </w:pPr>
    </w:p>
    <w:p w:rsidR="008F2F11" w:rsidRPr="007834C7" w:rsidRDefault="008F2F11" w:rsidP="00350651">
      <w:pPr>
        <w:ind w:left="142" w:hanging="142"/>
        <w:jc w:val="both"/>
        <w:rPr>
          <w:sz w:val="20"/>
        </w:rPr>
      </w:pPr>
    </w:p>
    <w:p w:rsidR="008F2F11" w:rsidRPr="007834C7" w:rsidRDefault="008F2F11" w:rsidP="00350651">
      <w:pPr>
        <w:ind w:left="142" w:hanging="142"/>
        <w:jc w:val="both"/>
        <w:rPr>
          <w:sz w:val="20"/>
        </w:rPr>
      </w:pPr>
    </w:p>
    <w:p w:rsidR="00D3344A" w:rsidRPr="007834C7" w:rsidRDefault="00D3344A" w:rsidP="00D3344A">
      <w:pPr>
        <w:widowControl w:val="0"/>
        <w:outlineLvl w:val="0"/>
        <w:rPr>
          <w:sz w:val="20"/>
        </w:rPr>
      </w:pPr>
      <w:r w:rsidRPr="007834C7">
        <w:rPr>
          <w:sz w:val="20"/>
        </w:rPr>
        <w:t xml:space="preserve">Supreme Court of Canada / Cour suprême du </w:t>
      </w:r>
      <w:proofErr w:type="gramStart"/>
      <w:r w:rsidRPr="007834C7">
        <w:rPr>
          <w:sz w:val="20"/>
        </w:rPr>
        <w:t>Canad</w:t>
      </w:r>
      <w:r w:rsidR="00EE289F" w:rsidRPr="007834C7">
        <w:rPr>
          <w:sz w:val="20"/>
        </w:rPr>
        <w:t>a</w:t>
      </w:r>
      <w:r w:rsidRPr="007834C7">
        <w:rPr>
          <w:sz w:val="20"/>
        </w:rPr>
        <w:t xml:space="preserve"> :</w:t>
      </w:r>
      <w:proofErr w:type="gramEnd"/>
    </w:p>
    <w:p w:rsidR="00D3344A" w:rsidRPr="007834C7" w:rsidRDefault="002842B2" w:rsidP="00D3344A">
      <w:pPr>
        <w:widowControl w:val="0"/>
        <w:outlineLvl w:val="0"/>
        <w:rPr>
          <w:sz w:val="20"/>
          <w:u w:val="single"/>
        </w:rPr>
      </w:pPr>
      <w:hyperlink r:id="rId16" w:history="1">
        <w:r w:rsidR="009B7391" w:rsidRPr="007834C7">
          <w:rPr>
            <w:rStyle w:val="Hyperlink"/>
            <w:sz w:val="20"/>
          </w:rPr>
          <w:t>comments-commentaires@scc-csc.ca</w:t>
        </w:r>
      </w:hyperlink>
    </w:p>
    <w:p w:rsidR="00D3344A" w:rsidRPr="007834C7" w:rsidRDefault="0065588C" w:rsidP="00D3344A">
      <w:pPr>
        <w:widowControl w:val="0"/>
        <w:outlineLvl w:val="0"/>
        <w:rPr>
          <w:sz w:val="20"/>
        </w:rPr>
      </w:pPr>
      <w:r w:rsidRPr="007834C7">
        <w:rPr>
          <w:sz w:val="20"/>
        </w:rPr>
        <w:t>613-</w:t>
      </w:r>
      <w:r w:rsidR="00D3344A" w:rsidRPr="007834C7">
        <w:rPr>
          <w:sz w:val="20"/>
        </w:rPr>
        <w:t>995-4330</w:t>
      </w:r>
    </w:p>
    <w:p w:rsidR="00497B5E" w:rsidRPr="007834C7" w:rsidRDefault="00497B5E" w:rsidP="00497B5E">
      <w:pPr>
        <w:widowControl w:val="0"/>
        <w:rPr>
          <w:sz w:val="20"/>
        </w:rPr>
      </w:pPr>
    </w:p>
    <w:p w:rsidR="00F6251B" w:rsidRPr="007607A2" w:rsidRDefault="003F43E6" w:rsidP="00F6251B">
      <w:pPr>
        <w:pStyle w:val="Footer"/>
        <w:jc w:val="center"/>
        <w:rPr>
          <w:sz w:val="20"/>
        </w:rPr>
      </w:pPr>
      <w:r w:rsidRPr="007834C7">
        <w:rPr>
          <w:sz w:val="20"/>
        </w:rPr>
        <w:t>- 30 -</w:t>
      </w:r>
    </w:p>
    <w:sectPr w:rsidR="00F6251B" w:rsidRPr="007607A2" w:rsidSect="00E62F93">
      <w:headerReference w:type="even" r:id="rId17"/>
      <w:headerReference w:type="default" r:id="rId18"/>
      <w:footerReference w:type="even" r:id="rId19"/>
      <w:footerReference w:type="default" r:id="rId20"/>
      <w:headerReference w:type="first" r:id="rId21"/>
      <w:footerReference w:type="first" r:id="rId2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F4" w:rsidRDefault="007446F4" w:rsidP="0034178A">
      <w:r>
        <w:separator/>
      </w:r>
    </w:p>
  </w:endnote>
  <w:endnote w:type="continuationSeparator" w:id="0">
    <w:p w:rsidR="007446F4" w:rsidRDefault="007446F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Pr="009F77F0" w:rsidRDefault="007446F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F4" w:rsidRDefault="007446F4" w:rsidP="0034178A">
      <w:r>
        <w:separator/>
      </w:r>
    </w:p>
  </w:footnote>
  <w:footnote w:type="continuationSeparator" w:id="0">
    <w:p w:rsidR="007446F4" w:rsidRDefault="007446F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F4" w:rsidRDefault="00744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D6101"/>
    <w:multiLevelType w:val="hybridMultilevel"/>
    <w:tmpl w:val="589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B2A55"/>
    <w:multiLevelType w:val="hybridMultilevel"/>
    <w:tmpl w:val="BC5ED478"/>
    <w:lvl w:ilvl="0" w:tplc="B7443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D4435"/>
    <w:multiLevelType w:val="hybridMultilevel"/>
    <w:tmpl w:val="E1E0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A3625D"/>
    <w:multiLevelType w:val="hybridMultilevel"/>
    <w:tmpl w:val="9C4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4"/>
  </w:num>
  <w:num w:numId="5">
    <w:abstractNumId w:val="0"/>
  </w:num>
  <w:num w:numId="6">
    <w:abstractNumId w:val="3"/>
  </w:num>
  <w:num w:numId="7">
    <w:abstractNumId w:val="7"/>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4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4E90"/>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CAC"/>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489"/>
    <w:rsid w:val="002769B7"/>
    <w:rsid w:val="00276C42"/>
    <w:rsid w:val="002775A0"/>
    <w:rsid w:val="0027764C"/>
    <w:rsid w:val="00280C4C"/>
    <w:rsid w:val="00280E55"/>
    <w:rsid w:val="0028141B"/>
    <w:rsid w:val="00281E59"/>
    <w:rsid w:val="00282861"/>
    <w:rsid w:val="00282FEC"/>
    <w:rsid w:val="00282FF3"/>
    <w:rsid w:val="0028364E"/>
    <w:rsid w:val="002842B2"/>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2CA1"/>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965"/>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155"/>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6DE1"/>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6F4"/>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0A"/>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98D"/>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6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4C01"/>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customStyle="1" w:styleId="pdf-viewer-word">
    <w:name w:val="pdf-viewer-word"/>
    <w:basedOn w:val="DefaultParagraphFont"/>
    <w:rsid w:val="0074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02" TargetMode="External"/><Relationship Id="rId13" Type="http://schemas.openxmlformats.org/officeDocument/2006/relationships/hyperlink" Target="https://canlii.ca/t/jl2z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anlii.ca/t/jgw7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ca/doc/2021/2021onca676/2021onca676.html?resultIndex=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lii.ca/t/jl2zr" TargetMode="External"/><Relationship Id="rId23" Type="http://schemas.openxmlformats.org/officeDocument/2006/relationships/fontTable" Target="fontTable.xml"/><Relationship Id="rId10" Type="http://schemas.openxmlformats.org/officeDocument/2006/relationships/hyperlink" Target="https://www.canlii.org/en/on/onca/doc/2021/2021onca676/2021onca676.html?resultIndex=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0105" TargetMode="External"/><Relationship Id="rId14" Type="http://schemas.openxmlformats.org/officeDocument/2006/relationships/hyperlink" Target="https://canlii.ca/t/jgw7w"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6E0F-F0EB-447B-8B02-29F9D93D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2022-07-05T12:26:00Z</dcterms:modified>
</cp:coreProperties>
</file>