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46BF2" w:rsidRDefault="002A192B" w:rsidP="002A192B">
      <w:pPr>
        <w:pStyle w:val="Header"/>
        <w:jc w:val="center"/>
        <w:rPr>
          <w:b/>
          <w:sz w:val="32"/>
        </w:rPr>
      </w:pPr>
      <w:r w:rsidRPr="00446BF2">
        <w:rPr>
          <w:b/>
          <w:sz w:val="32"/>
        </w:rPr>
        <w:t>Supreme Court of Canada / Cour suprême du Canada</w:t>
      </w:r>
    </w:p>
    <w:p w:rsidR="002A192B" w:rsidRPr="00446BF2" w:rsidRDefault="002A192B" w:rsidP="002A192B">
      <w:pPr>
        <w:widowControl w:val="0"/>
        <w:rPr>
          <w:i/>
        </w:rPr>
      </w:pPr>
    </w:p>
    <w:p w:rsidR="002A192B" w:rsidRPr="00446BF2" w:rsidRDefault="002A192B" w:rsidP="002A192B">
      <w:pPr>
        <w:widowControl w:val="0"/>
        <w:rPr>
          <w:i/>
        </w:rPr>
      </w:pPr>
    </w:p>
    <w:p w:rsidR="001C4415" w:rsidRPr="00446BF2" w:rsidRDefault="001C4415" w:rsidP="001C4415">
      <w:pPr>
        <w:widowControl w:val="0"/>
        <w:rPr>
          <w:i/>
          <w:sz w:val="20"/>
        </w:rPr>
      </w:pPr>
      <w:r w:rsidRPr="00446BF2">
        <w:rPr>
          <w:i/>
          <w:sz w:val="20"/>
        </w:rPr>
        <w:t>(</w:t>
      </w:r>
      <w:r w:rsidR="003C50BF" w:rsidRPr="00446BF2">
        <w:rPr>
          <w:i/>
          <w:sz w:val="20"/>
        </w:rPr>
        <w:t>Le</w:t>
      </w:r>
      <w:r w:rsidRPr="00446BF2">
        <w:rPr>
          <w:i/>
          <w:sz w:val="20"/>
        </w:rPr>
        <w:t xml:space="preserve"> français suit)</w:t>
      </w:r>
    </w:p>
    <w:p w:rsidR="001C4415" w:rsidRPr="00446BF2" w:rsidRDefault="001C4415" w:rsidP="001C4415">
      <w:pPr>
        <w:widowControl w:val="0"/>
      </w:pPr>
    </w:p>
    <w:p w:rsidR="001C4415" w:rsidRPr="00446BF2" w:rsidRDefault="000347C1" w:rsidP="00214729">
      <w:pPr>
        <w:widowControl w:val="0"/>
        <w:jc w:val="center"/>
        <w:rPr>
          <w:b/>
        </w:rPr>
      </w:pPr>
      <w:r w:rsidRPr="00446BF2">
        <w:fldChar w:fldCharType="begin"/>
      </w:r>
      <w:r w:rsidR="00FA7412" w:rsidRPr="00446BF2">
        <w:instrText xml:space="preserve"> SEQ CHAPTER \h \r 1</w:instrText>
      </w:r>
      <w:r w:rsidRPr="00446BF2">
        <w:fldChar w:fldCharType="end"/>
      </w:r>
      <w:r w:rsidR="00455BB9" w:rsidRPr="00446BF2">
        <w:rPr>
          <w:b/>
        </w:rPr>
        <w:t>JUDGMENT</w:t>
      </w:r>
      <w:r w:rsidR="00FA7412" w:rsidRPr="00446BF2">
        <w:rPr>
          <w:b/>
        </w:rPr>
        <w:t xml:space="preserve"> TO BE RENDERED IN APPEA</w:t>
      </w:r>
      <w:r w:rsidR="00CC2799" w:rsidRPr="00446BF2">
        <w:rPr>
          <w:b/>
        </w:rPr>
        <w:t>L</w:t>
      </w:r>
    </w:p>
    <w:p w:rsidR="005A7C1B" w:rsidRPr="00446BF2" w:rsidRDefault="005A7C1B" w:rsidP="005A7C1B">
      <w:pPr>
        <w:widowControl w:val="0"/>
      </w:pPr>
    </w:p>
    <w:p w:rsidR="00EC79B0" w:rsidRPr="00446BF2" w:rsidRDefault="00D83DF6" w:rsidP="00EC79B0">
      <w:pPr>
        <w:widowControl w:val="0"/>
      </w:pPr>
      <w:r w:rsidRPr="00446BF2">
        <w:rPr>
          <w:b/>
        </w:rPr>
        <w:t>Ju</w:t>
      </w:r>
      <w:r w:rsidR="00212F84" w:rsidRPr="00446BF2">
        <w:rPr>
          <w:b/>
        </w:rPr>
        <w:t>ly</w:t>
      </w:r>
      <w:r w:rsidR="00C86395" w:rsidRPr="00446BF2">
        <w:rPr>
          <w:b/>
        </w:rPr>
        <w:t xml:space="preserve"> </w:t>
      </w:r>
      <w:r w:rsidR="005F547E" w:rsidRPr="00446BF2">
        <w:rPr>
          <w:b/>
        </w:rPr>
        <w:t>1</w:t>
      </w:r>
      <w:r w:rsidR="000523F2" w:rsidRPr="00446BF2">
        <w:rPr>
          <w:b/>
        </w:rPr>
        <w:t>8</w:t>
      </w:r>
      <w:r w:rsidR="00EC79B0" w:rsidRPr="00446BF2">
        <w:rPr>
          <w:b/>
        </w:rPr>
        <w:t>, 2</w:t>
      </w:r>
      <w:r w:rsidR="00E6600C" w:rsidRPr="00446BF2">
        <w:rPr>
          <w:b/>
        </w:rPr>
        <w:t>0</w:t>
      </w:r>
      <w:r w:rsidR="009544E9" w:rsidRPr="00446BF2">
        <w:rPr>
          <w:b/>
        </w:rPr>
        <w:t>2</w:t>
      </w:r>
      <w:r w:rsidR="00B2287D" w:rsidRPr="00446BF2">
        <w:rPr>
          <w:b/>
        </w:rPr>
        <w:t>2</w:t>
      </w:r>
    </w:p>
    <w:p w:rsidR="00EC79B0" w:rsidRPr="00446BF2" w:rsidRDefault="00EC79B0" w:rsidP="00EC79B0">
      <w:pPr>
        <w:widowControl w:val="0"/>
        <w:rPr>
          <w:b/>
        </w:rPr>
      </w:pPr>
      <w:r w:rsidRPr="00446BF2">
        <w:rPr>
          <w:b/>
        </w:rPr>
        <w:t>For immediate release</w:t>
      </w:r>
    </w:p>
    <w:p w:rsidR="00EC79B0" w:rsidRPr="00446BF2" w:rsidRDefault="00EC79B0" w:rsidP="00EC79B0">
      <w:pPr>
        <w:widowControl w:val="0"/>
      </w:pPr>
    </w:p>
    <w:p w:rsidR="00EC79B0" w:rsidRPr="00446BF2" w:rsidRDefault="00EC79B0" w:rsidP="00EC79B0">
      <w:pPr>
        <w:widowControl w:val="0"/>
        <w:rPr>
          <w:lang w:val="fr-CA"/>
        </w:rPr>
      </w:pPr>
      <w:r w:rsidRPr="00446BF2">
        <w:rPr>
          <w:b/>
        </w:rPr>
        <w:t>OTTAWA</w:t>
      </w:r>
      <w:r w:rsidRPr="00446BF2">
        <w:t xml:space="preserve"> – The Supreme Court of Canad</w:t>
      </w:r>
      <w:r w:rsidR="00455BB9" w:rsidRPr="00446BF2">
        <w:t>a announced today that judgment</w:t>
      </w:r>
      <w:r w:rsidRPr="00446BF2">
        <w:t xml:space="preserve"> in the following appeal will be delivered at 9:45 a.m. E</w:t>
      </w:r>
      <w:r w:rsidR="00762B23" w:rsidRPr="00446BF2">
        <w:t>D</w:t>
      </w:r>
      <w:r w:rsidR="00DC6C1E" w:rsidRPr="00446BF2">
        <w:t>T</w:t>
      </w:r>
      <w:r w:rsidR="00D74667" w:rsidRPr="00446BF2">
        <w:t xml:space="preserve"> on</w:t>
      </w:r>
      <w:r w:rsidR="00DC6C1E" w:rsidRPr="00446BF2">
        <w:t xml:space="preserve"> </w:t>
      </w:r>
      <w:r w:rsidR="00F5120E" w:rsidRPr="00446BF2">
        <w:t>Fri</w:t>
      </w:r>
      <w:r w:rsidR="00FC36F6" w:rsidRPr="00446BF2">
        <w:t>day</w:t>
      </w:r>
      <w:r w:rsidR="000A7900" w:rsidRPr="00446BF2">
        <w:t xml:space="preserve">, </w:t>
      </w:r>
      <w:r w:rsidR="00D83DF6" w:rsidRPr="00446BF2">
        <w:t>Ju</w:t>
      </w:r>
      <w:r w:rsidR="00212F84" w:rsidRPr="00446BF2">
        <w:t>ly</w:t>
      </w:r>
      <w:r w:rsidR="004E605A" w:rsidRPr="00446BF2">
        <w:t xml:space="preserve"> </w:t>
      </w:r>
      <w:r w:rsidR="000523F2" w:rsidRPr="00446BF2">
        <w:t>22</w:t>
      </w:r>
      <w:r w:rsidR="00E63199" w:rsidRPr="00446BF2">
        <w:t>, 2</w:t>
      </w:r>
      <w:r w:rsidR="0086609D" w:rsidRPr="00446BF2">
        <w:t>0</w:t>
      </w:r>
      <w:r w:rsidR="009544E9" w:rsidRPr="00446BF2">
        <w:t>2</w:t>
      </w:r>
      <w:r w:rsidR="00B2287D" w:rsidRPr="00446BF2">
        <w:t>2</w:t>
      </w:r>
      <w:r w:rsidR="00455BB9" w:rsidRPr="00446BF2">
        <w:t xml:space="preserve">. </w:t>
      </w:r>
      <w:r w:rsidR="00455BB9" w:rsidRPr="00446BF2">
        <w:rPr>
          <w:lang w:val="fr-CA"/>
        </w:rPr>
        <w:t>This</w:t>
      </w:r>
      <w:r w:rsidRPr="00446BF2">
        <w:rPr>
          <w:lang w:val="fr-CA"/>
        </w:rPr>
        <w:t xml:space="preserve"> list is subject to change.</w:t>
      </w:r>
    </w:p>
    <w:p w:rsidR="001F76DD" w:rsidRPr="00446BF2" w:rsidRDefault="001F76DD" w:rsidP="001C4415">
      <w:pPr>
        <w:widowControl w:val="0"/>
        <w:rPr>
          <w:szCs w:val="24"/>
          <w:lang w:val="fr-CA"/>
        </w:rPr>
      </w:pPr>
    </w:p>
    <w:p w:rsidR="001C4415" w:rsidRPr="00446BF2" w:rsidRDefault="001C4415" w:rsidP="001C4415">
      <w:pPr>
        <w:widowControl w:val="0"/>
        <w:rPr>
          <w:lang w:val="fr-CA"/>
        </w:rPr>
      </w:pPr>
    </w:p>
    <w:p w:rsidR="001335A1" w:rsidRPr="00446BF2" w:rsidRDefault="001335A1" w:rsidP="001335A1">
      <w:pPr>
        <w:widowControl w:val="0"/>
        <w:jc w:val="center"/>
        <w:rPr>
          <w:b/>
          <w:lang w:val="fr-CA"/>
        </w:rPr>
      </w:pPr>
      <w:r w:rsidRPr="00446BF2">
        <w:rPr>
          <w:b/>
          <w:lang w:val="fr-CA"/>
        </w:rPr>
        <w:t>PROCHAIN JUGEMENT</w:t>
      </w:r>
      <w:r w:rsidR="00455BB9" w:rsidRPr="00446BF2">
        <w:rPr>
          <w:b/>
          <w:lang w:val="fr-CA"/>
        </w:rPr>
        <w:t xml:space="preserve"> SUR APPEL</w:t>
      </w:r>
    </w:p>
    <w:p w:rsidR="001335A1" w:rsidRPr="00446BF2" w:rsidRDefault="001335A1" w:rsidP="001335A1">
      <w:pPr>
        <w:widowControl w:val="0"/>
        <w:rPr>
          <w:lang w:val="fr-CA"/>
        </w:rPr>
      </w:pPr>
    </w:p>
    <w:p w:rsidR="00EC79B0" w:rsidRPr="00446BF2" w:rsidRDefault="00EC79B0" w:rsidP="00EC79B0">
      <w:pPr>
        <w:widowControl w:val="0"/>
        <w:rPr>
          <w:lang w:val="fr-CA"/>
        </w:rPr>
      </w:pPr>
      <w:r w:rsidRPr="00446BF2">
        <w:rPr>
          <w:b/>
          <w:lang w:val="fr-CA"/>
        </w:rPr>
        <w:t xml:space="preserve">Le </w:t>
      </w:r>
      <w:r w:rsidR="005F547E" w:rsidRPr="00446BF2">
        <w:rPr>
          <w:b/>
          <w:lang w:val="fr-CA"/>
        </w:rPr>
        <w:t>1</w:t>
      </w:r>
      <w:r w:rsidR="000523F2" w:rsidRPr="00446BF2">
        <w:rPr>
          <w:b/>
          <w:lang w:val="fr-CA"/>
        </w:rPr>
        <w:t>8</w:t>
      </w:r>
      <w:r w:rsidR="00FA5450" w:rsidRPr="00446BF2">
        <w:rPr>
          <w:b/>
          <w:lang w:val="fr-CA"/>
        </w:rPr>
        <w:t xml:space="preserve"> </w:t>
      </w:r>
      <w:r w:rsidR="00D83DF6" w:rsidRPr="00446BF2">
        <w:rPr>
          <w:b/>
          <w:lang w:val="fr-CA"/>
        </w:rPr>
        <w:t>jui</w:t>
      </w:r>
      <w:r w:rsidR="00212F84" w:rsidRPr="00446BF2">
        <w:rPr>
          <w:b/>
          <w:lang w:val="fr-CA"/>
        </w:rPr>
        <w:t>llet</w:t>
      </w:r>
      <w:r w:rsidR="00C86395" w:rsidRPr="00446BF2">
        <w:rPr>
          <w:b/>
          <w:lang w:val="fr-CA"/>
        </w:rPr>
        <w:t xml:space="preserve"> </w:t>
      </w:r>
      <w:r w:rsidR="0086609D" w:rsidRPr="00446BF2">
        <w:rPr>
          <w:b/>
          <w:lang w:val="fr-CA"/>
        </w:rPr>
        <w:t>20</w:t>
      </w:r>
      <w:r w:rsidR="009544E9" w:rsidRPr="00446BF2">
        <w:rPr>
          <w:b/>
          <w:lang w:val="fr-CA"/>
        </w:rPr>
        <w:t>2</w:t>
      </w:r>
      <w:r w:rsidR="00B2287D" w:rsidRPr="00446BF2">
        <w:rPr>
          <w:b/>
          <w:lang w:val="fr-CA"/>
        </w:rPr>
        <w:t>2</w:t>
      </w:r>
    </w:p>
    <w:p w:rsidR="00EC79B0" w:rsidRPr="00446BF2" w:rsidRDefault="00EC79B0" w:rsidP="00EC79B0">
      <w:pPr>
        <w:widowControl w:val="0"/>
        <w:rPr>
          <w:b/>
          <w:lang w:val="fr-CA"/>
        </w:rPr>
      </w:pPr>
      <w:r w:rsidRPr="00446BF2">
        <w:rPr>
          <w:b/>
          <w:lang w:val="fr-CA"/>
        </w:rPr>
        <w:t>Pour diffusion immédiate</w:t>
      </w:r>
    </w:p>
    <w:p w:rsidR="00EC79B0" w:rsidRPr="00446BF2" w:rsidRDefault="00EC79B0" w:rsidP="00EC79B0">
      <w:pPr>
        <w:widowControl w:val="0"/>
        <w:rPr>
          <w:lang w:val="fr-CA"/>
        </w:rPr>
      </w:pPr>
    </w:p>
    <w:p w:rsidR="00EC79B0" w:rsidRPr="00446BF2" w:rsidRDefault="00EC79B0" w:rsidP="00EC79B0">
      <w:pPr>
        <w:widowControl w:val="0"/>
        <w:rPr>
          <w:lang w:val="fr-CA"/>
        </w:rPr>
      </w:pPr>
      <w:r w:rsidRPr="00446BF2">
        <w:rPr>
          <w:b/>
          <w:lang w:val="fr-CA"/>
        </w:rPr>
        <w:t>OTTAWA</w:t>
      </w:r>
      <w:r w:rsidRPr="00446BF2">
        <w:rPr>
          <w:lang w:val="fr-CA"/>
        </w:rPr>
        <w:t xml:space="preserve"> – La Cour suprême du Canada annonce que jugement ser</w:t>
      </w:r>
      <w:r w:rsidR="00204750" w:rsidRPr="00446BF2">
        <w:rPr>
          <w:lang w:val="fr-CA"/>
        </w:rPr>
        <w:t>a</w:t>
      </w:r>
      <w:r w:rsidRPr="00446BF2">
        <w:rPr>
          <w:lang w:val="fr-CA"/>
        </w:rPr>
        <w:t xml:space="preserve"> rendu dans </w:t>
      </w:r>
      <w:r w:rsidR="001F1643" w:rsidRPr="00446BF2">
        <w:rPr>
          <w:lang w:val="fr-CA"/>
        </w:rPr>
        <w:t>l</w:t>
      </w:r>
      <w:r w:rsidR="00204750" w:rsidRPr="00446BF2">
        <w:rPr>
          <w:lang w:val="fr-CA"/>
        </w:rPr>
        <w:t>’</w:t>
      </w:r>
      <w:r w:rsidR="001F1643" w:rsidRPr="00446BF2">
        <w:rPr>
          <w:lang w:val="fr-CA"/>
        </w:rPr>
        <w:t xml:space="preserve">appel </w:t>
      </w:r>
      <w:r w:rsidRPr="00446BF2">
        <w:rPr>
          <w:lang w:val="fr-CA"/>
        </w:rPr>
        <w:t xml:space="preserve">suivant le </w:t>
      </w:r>
      <w:r w:rsidR="00F5120E" w:rsidRPr="00446BF2">
        <w:rPr>
          <w:lang w:val="fr-CA"/>
        </w:rPr>
        <w:t>v</w:t>
      </w:r>
      <w:r w:rsidR="00FC36F6" w:rsidRPr="00446BF2">
        <w:rPr>
          <w:lang w:val="fr-CA"/>
        </w:rPr>
        <w:t>e</w:t>
      </w:r>
      <w:r w:rsidR="00F5120E" w:rsidRPr="00446BF2">
        <w:rPr>
          <w:lang w:val="fr-CA"/>
        </w:rPr>
        <w:t>ndre</w:t>
      </w:r>
      <w:r w:rsidR="00FC36F6" w:rsidRPr="00446BF2">
        <w:rPr>
          <w:lang w:val="fr-CA"/>
        </w:rPr>
        <w:t>di</w:t>
      </w:r>
      <w:r w:rsidR="007C1648" w:rsidRPr="00446BF2">
        <w:rPr>
          <w:lang w:val="fr-CA"/>
        </w:rPr>
        <w:t xml:space="preserve"> </w:t>
      </w:r>
      <w:r w:rsidR="000523F2" w:rsidRPr="00446BF2">
        <w:rPr>
          <w:lang w:val="fr-CA"/>
        </w:rPr>
        <w:t>22</w:t>
      </w:r>
      <w:r w:rsidR="00F62251" w:rsidRPr="00446BF2">
        <w:rPr>
          <w:lang w:val="fr-CA"/>
        </w:rPr>
        <w:t xml:space="preserve"> </w:t>
      </w:r>
      <w:r w:rsidR="00D83DF6" w:rsidRPr="00446BF2">
        <w:rPr>
          <w:lang w:val="fr-CA"/>
        </w:rPr>
        <w:t>jui</w:t>
      </w:r>
      <w:r w:rsidR="00212F84" w:rsidRPr="00446BF2">
        <w:rPr>
          <w:lang w:val="fr-CA"/>
        </w:rPr>
        <w:t>llet</w:t>
      </w:r>
      <w:r w:rsidR="00282563" w:rsidRPr="00446BF2">
        <w:rPr>
          <w:lang w:val="fr-CA"/>
        </w:rPr>
        <w:t xml:space="preserve"> </w:t>
      </w:r>
      <w:r w:rsidRPr="00446BF2">
        <w:rPr>
          <w:lang w:val="fr-CA"/>
        </w:rPr>
        <w:t>20</w:t>
      </w:r>
      <w:r w:rsidR="009544E9" w:rsidRPr="00446BF2">
        <w:rPr>
          <w:lang w:val="fr-CA"/>
        </w:rPr>
        <w:t>2</w:t>
      </w:r>
      <w:r w:rsidR="00B2287D" w:rsidRPr="00446BF2">
        <w:rPr>
          <w:lang w:val="fr-CA"/>
        </w:rPr>
        <w:t>2</w:t>
      </w:r>
      <w:r w:rsidRPr="00446BF2">
        <w:rPr>
          <w:lang w:val="fr-CA"/>
        </w:rPr>
        <w:t>, à 9 h 45 H</w:t>
      </w:r>
      <w:r w:rsidR="00762B23" w:rsidRPr="00446BF2">
        <w:rPr>
          <w:lang w:val="fr-CA"/>
        </w:rPr>
        <w:t>A</w:t>
      </w:r>
      <w:r w:rsidRPr="00446BF2">
        <w:rPr>
          <w:lang w:val="fr-CA"/>
        </w:rPr>
        <w:t>E. Cette liste est sujette à modifications.</w:t>
      </w:r>
    </w:p>
    <w:p w:rsidR="001F76DD" w:rsidRPr="00446BF2" w:rsidRDefault="001F76DD" w:rsidP="00E92006">
      <w:pPr>
        <w:widowControl w:val="0"/>
        <w:jc w:val="both"/>
        <w:rPr>
          <w:szCs w:val="24"/>
          <w:lang w:val="fr-CA"/>
        </w:rPr>
      </w:pPr>
    </w:p>
    <w:p w:rsidR="00EF4622" w:rsidRPr="00446BF2" w:rsidRDefault="00A67CD8"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446BF2" w:rsidRDefault="001335A1" w:rsidP="001335A1">
      <w:pPr>
        <w:widowControl w:val="0"/>
        <w:rPr>
          <w:szCs w:val="24"/>
          <w:lang w:val="fr-CA"/>
        </w:rPr>
      </w:pPr>
    </w:p>
    <w:p w:rsidR="00772636" w:rsidRPr="00446BF2" w:rsidRDefault="000523F2" w:rsidP="00772636">
      <w:pPr>
        <w:jc w:val="both"/>
        <w:rPr>
          <w:szCs w:val="24"/>
        </w:rPr>
      </w:pPr>
      <w:r w:rsidRPr="00446BF2">
        <w:rPr>
          <w:i/>
          <w:szCs w:val="24"/>
        </w:rPr>
        <w:t>Her Majesty the Queen v. Nigel Vernon La</w:t>
      </w:r>
      <w:r w:rsidR="00A67CD8">
        <w:rPr>
          <w:i/>
          <w:szCs w:val="24"/>
        </w:rPr>
        <w:t>f</w:t>
      </w:r>
      <w:bookmarkStart w:id="0" w:name="_GoBack"/>
      <w:bookmarkEnd w:id="0"/>
      <w:r w:rsidRPr="00446BF2">
        <w:rPr>
          <w:i/>
          <w:szCs w:val="24"/>
        </w:rPr>
        <w:t>rance</w:t>
      </w:r>
      <w:r w:rsidR="00735BE0" w:rsidRPr="00446BF2">
        <w:rPr>
          <w:i/>
          <w:szCs w:val="24"/>
        </w:rPr>
        <w:t xml:space="preserve"> </w:t>
      </w:r>
      <w:r w:rsidR="00772636" w:rsidRPr="00446BF2">
        <w:rPr>
          <w:szCs w:val="24"/>
        </w:rPr>
        <w:t>(</w:t>
      </w:r>
      <w:r w:rsidRPr="00446BF2">
        <w:rPr>
          <w:szCs w:val="24"/>
        </w:rPr>
        <w:t>Alta.</w:t>
      </w:r>
      <w:r w:rsidR="00772636" w:rsidRPr="00446BF2">
        <w:rPr>
          <w:szCs w:val="24"/>
        </w:rPr>
        <w:t>) (</w:t>
      </w:r>
      <w:hyperlink r:id="rId7" w:history="1">
        <w:r w:rsidR="00772636" w:rsidRPr="00446BF2">
          <w:rPr>
            <w:rStyle w:val="Hyperlink"/>
            <w:szCs w:val="24"/>
          </w:rPr>
          <w:t>3</w:t>
        </w:r>
        <w:r w:rsidR="000E38C2" w:rsidRPr="00446BF2">
          <w:rPr>
            <w:rStyle w:val="Hyperlink"/>
            <w:szCs w:val="24"/>
          </w:rPr>
          <w:t>9</w:t>
        </w:r>
        <w:r w:rsidRPr="00446BF2">
          <w:rPr>
            <w:rStyle w:val="Hyperlink"/>
            <w:szCs w:val="24"/>
          </w:rPr>
          <w:t>570</w:t>
        </w:r>
      </w:hyperlink>
      <w:r w:rsidR="00772636" w:rsidRPr="00446BF2">
        <w:rPr>
          <w:szCs w:val="24"/>
        </w:rPr>
        <w:t>)</w:t>
      </w:r>
    </w:p>
    <w:p w:rsidR="000E38C2" w:rsidRPr="00446BF2" w:rsidRDefault="000E38C2" w:rsidP="00340C6D">
      <w:pPr>
        <w:jc w:val="both"/>
        <w:rPr>
          <w:sz w:val="20"/>
        </w:rPr>
      </w:pPr>
    </w:p>
    <w:p w:rsidR="00710E8B" w:rsidRPr="00446BF2" w:rsidRDefault="00710E8B" w:rsidP="00340C6D">
      <w:pPr>
        <w:jc w:val="both"/>
        <w:rPr>
          <w:sz w:val="20"/>
        </w:rPr>
      </w:pPr>
    </w:p>
    <w:bookmarkStart w:id="1" w:name="1"/>
    <w:bookmarkEnd w:id="1"/>
    <w:p w:rsidR="000523F2" w:rsidRPr="00446BF2" w:rsidRDefault="000523F2" w:rsidP="000A2C30">
      <w:pPr>
        <w:pStyle w:val="SCCLsocParty"/>
        <w:rPr>
          <w:b/>
          <w:i w:val="0"/>
          <w:sz w:val="20"/>
          <w:szCs w:val="20"/>
          <w:lang w:val="en-US"/>
        </w:rPr>
      </w:pPr>
      <w:r w:rsidRPr="00446BF2">
        <w:rPr>
          <w:b/>
          <w:i w:val="0"/>
          <w:sz w:val="20"/>
          <w:szCs w:val="20"/>
        </w:rPr>
        <w:fldChar w:fldCharType="begin"/>
      </w:r>
      <w:r w:rsidRPr="00446BF2">
        <w:rPr>
          <w:b/>
          <w:i w:val="0"/>
          <w:sz w:val="20"/>
          <w:szCs w:val="20"/>
          <w:lang w:val="en-US"/>
        </w:rPr>
        <w:instrText xml:space="preserve"> SEQ CHAPTER \h \r 1</w:instrText>
      </w:r>
      <w:r w:rsidRPr="00446BF2">
        <w:rPr>
          <w:b/>
          <w:i w:val="0"/>
          <w:sz w:val="20"/>
          <w:szCs w:val="20"/>
        </w:rPr>
        <w:fldChar w:fldCharType="end"/>
      </w:r>
      <w:r w:rsidRPr="00446BF2">
        <w:rPr>
          <w:b/>
          <w:i w:val="0"/>
          <w:sz w:val="20"/>
          <w:szCs w:val="20"/>
          <w:lang w:val="en-US"/>
        </w:rPr>
        <w:t>39570</w:t>
      </w:r>
      <w:r w:rsidRPr="00446BF2">
        <w:rPr>
          <w:b/>
          <w:i w:val="0"/>
          <w:sz w:val="20"/>
          <w:szCs w:val="20"/>
          <w:lang w:val="en-US"/>
        </w:rPr>
        <w:tab/>
      </w:r>
      <w:bookmarkStart w:id="2" w:name="3"/>
      <w:bookmarkEnd w:id="2"/>
      <w:r w:rsidRPr="00446BF2">
        <w:rPr>
          <w:b/>
          <w:sz w:val="20"/>
          <w:szCs w:val="20"/>
          <w:lang w:val="en-US"/>
        </w:rPr>
        <w:t>Her Majesty the Queen v. Nigel Vernon Lafrance</w:t>
      </w:r>
    </w:p>
    <w:p w:rsidR="000523F2" w:rsidRPr="00446BF2" w:rsidRDefault="000523F2" w:rsidP="000523F2">
      <w:pPr>
        <w:widowControl w:val="0"/>
        <w:ind w:left="360" w:firstLine="360"/>
        <w:jc w:val="both"/>
        <w:rPr>
          <w:sz w:val="20"/>
          <w:lang w:val="en-CA"/>
        </w:rPr>
      </w:pPr>
      <w:r w:rsidRPr="00446BF2">
        <w:rPr>
          <w:sz w:val="20"/>
          <w:lang w:val="en-CA"/>
        </w:rPr>
        <w:t>(Alta.) (Criminal) (As of Right)</w:t>
      </w:r>
    </w:p>
    <w:p w:rsidR="000523F2" w:rsidRPr="00446BF2" w:rsidRDefault="000523F2">
      <w:pPr>
        <w:widowControl w:val="0"/>
        <w:jc w:val="both"/>
        <w:rPr>
          <w:sz w:val="20"/>
          <w:lang w:val="en-CA"/>
        </w:rPr>
      </w:pPr>
      <w:bookmarkStart w:id="3" w:name="QuickMark_1"/>
      <w:bookmarkEnd w:id="3"/>
    </w:p>
    <w:p w:rsidR="000523F2" w:rsidRPr="00446BF2" w:rsidRDefault="000523F2">
      <w:pPr>
        <w:widowControl w:val="0"/>
        <w:jc w:val="both"/>
        <w:rPr>
          <w:i/>
          <w:sz w:val="20"/>
          <w:lang w:val="en-CA"/>
        </w:rPr>
      </w:pPr>
      <w:r w:rsidRPr="00446BF2">
        <w:rPr>
          <w:sz w:val="20"/>
          <w:lang w:val="en-CA"/>
        </w:rPr>
        <w:t xml:space="preserve">Criminal law - </w:t>
      </w:r>
      <w:r w:rsidRPr="00446BF2">
        <w:rPr>
          <w:i/>
          <w:sz w:val="20"/>
          <w:lang w:val="en-CA"/>
        </w:rPr>
        <w:t>Charter of Rights</w:t>
      </w:r>
      <w:r w:rsidRPr="00446BF2">
        <w:rPr>
          <w:sz w:val="20"/>
          <w:lang w:val="en-CA"/>
        </w:rPr>
        <w:t xml:space="preserve"> - Detention - Right to counsel - Whether </w:t>
      </w:r>
      <w:r w:rsidRPr="00446BF2">
        <w:rPr>
          <w:sz w:val="20"/>
        </w:rPr>
        <w:t xml:space="preserve">the majority of the Court of Appeal erred in finding that the respondent’s rights under s. 10 of the </w:t>
      </w:r>
      <w:r w:rsidRPr="00446BF2">
        <w:rPr>
          <w:i/>
          <w:sz w:val="20"/>
        </w:rPr>
        <w:t>Charter</w:t>
      </w:r>
      <w:r w:rsidRPr="00446BF2">
        <w:rPr>
          <w:sz w:val="20"/>
        </w:rPr>
        <w:t xml:space="preserve"> were breached - </w:t>
      </w:r>
      <w:r w:rsidRPr="00446BF2">
        <w:rPr>
          <w:i/>
          <w:sz w:val="20"/>
        </w:rPr>
        <w:t>Canadian Charter of Rights and Freedoms, s. 10(b).</w:t>
      </w:r>
    </w:p>
    <w:p w:rsidR="000523F2" w:rsidRPr="00446BF2" w:rsidRDefault="000523F2">
      <w:pPr>
        <w:widowControl w:val="0"/>
        <w:jc w:val="both"/>
        <w:rPr>
          <w:sz w:val="20"/>
          <w:lang w:val="en-CA"/>
        </w:rPr>
      </w:pPr>
    </w:p>
    <w:p w:rsidR="000523F2" w:rsidRPr="00446BF2" w:rsidRDefault="000523F2" w:rsidP="0011248F">
      <w:pPr>
        <w:widowControl w:val="0"/>
        <w:jc w:val="both"/>
        <w:rPr>
          <w:sz w:val="20"/>
        </w:rPr>
      </w:pPr>
      <w:r w:rsidRPr="00446BF2">
        <w:rPr>
          <w:sz w:val="20"/>
        </w:rPr>
        <w:t xml:space="preserve">The respondent was found guilty by a jury of second-degree murder. Shortly after the killing of the victim, police obtained a warrant to search the respondent’s house, and he was asked to voluntarily provide a statement to police while the search was being executed. The respondent agreed to do so, and he was interviewed in March 2015. He was not arrested at that time and was not provided with his </w:t>
      </w:r>
      <w:r w:rsidRPr="00446BF2">
        <w:rPr>
          <w:i/>
          <w:sz w:val="20"/>
        </w:rPr>
        <w:t xml:space="preserve">Charter </w:t>
      </w:r>
      <w:r w:rsidRPr="00446BF2">
        <w:rPr>
          <w:sz w:val="20"/>
        </w:rPr>
        <w:t xml:space="preserve">rights. Following the interview, the respondent consented to giving his fingerprints and a blood sample for DNA analysis, and he turned over his cell phone and some of his clothing. The respondent was subsequently arrested for murder in April 2015. He was given his </w:t>
      </w:r>
      <w:r w:rsidRPr="00446BF2">
        <w:rPr>
          <w:i/>
          <w:sz w:val="20"/>
        </w:rPr>
        <w:t>Charter</w:t>
      </w:r>
      <w:r w:rsidRPr="00446BF2">
        <w:rPr>
          <w:sz w:val="20"/>
        </w:rPr>
        <w:t xml:space="preserve"> rights and the opportunity to contact legal counsel. After speaking to a lawyer, the respondent was interviewed and confessed to the murder. At trial, he brought an application seeking the exclusion of the evidence obtained as a result of the interviews, alleging his s. 10(b) </w:t>
      </w:r>
      <w:r w:rsidRPr="00446BF2">
        <w:rPr>
          <w:i/>
          <w:sz w:val="20"/>
        </w:rPr>
        <w:t>Charter</w:t>
      </w:r>
      <w:r w:rsidRPr="00446BF2">
        <w:rPr>
          <w:sz w:val="20"/>
        </w:rPr>
        <w:t xml:space="preserve"> right had been breached on both occasions. The trial judge dismissed the application.</w:t>
      </w:r>
    </w:p>
    <w:p w:rsidR="000523F2" w:rsidRPr="00446BF2" w:rsidRDefault="000523F2" w:rsidP="0011248F">
      <w:pPr>
        <w:widowControl w:val="0"/>
        <w:jc w:val="both"/>
        <w:rPr>
          <w:sz w:val="20"/>
        </w:rPr>
      </w:pPr>
    </w:p>
    <w:p w:rsidR="000523F2" w:rsidRPr="00446BF2" w:rsidRDefault="000523F2" w:rsidP="0011248F">
      <w:pPr>
        <w:widowControl w:val="0"/>
        <w:jc w:val="both"/>
        <w:rPr>
          <w:sz w:val="20"/>
        </w:rPr>
      </w:pPr>
      <w:r w:rsidRPr="00446BF2">
        <w:rPr>
          <w:sz w:val="20"/>
        </w:rPr>
        <w:t xml:space="preserve">The respondent appealed his conviction. A majority of the Court of Appeal for Alberta allowed the appeal, set aside the respondent’s conviction and ordered a new trial. It found that the respondent’s s. 10(b) rights had been breached during both interviews, and held that the evidence obtained as a result of the interviews should be excluded under s. 24(2) of the </w:t>
      </w:r>
      <w:r w:rsidRPr="00446BF2">
        <w:rPr>
          <w:i/>
          <w:sz w:val="20"/>
        </w:rPr>
        <w:t>Charter</w:t>
      </w:r>
      <w:r w:rsidRPr="00446BF2">
        <w:rPr>
          <w:sz w:val="20"/>
        </w:rPr>
        <w:t>. In dissent, Wakeling J.A. would have dismissed the appeal.</w:t>
      </w:r>
    </w:p>
    <w:p w:rsidR="000523F2" w:rsidRPr="00446BF2" w:rsidRDefault="000523F2" w:rsidP="0011248F">
      <w:pPr>
        <w:widowControl w:val="0"/>
        <w:jc w:val="both"/>
        <w:rPr>
          <w:sz w:val="20"/>
        </w:rPr>
      </w:pPr>
    </w:p>
    <w:p w:rsidR="000523F2" w:rsidRPr="00446BF2" w:rsidRDefault="00A67CD8" w:rsidP="0011248F">
      <w:pPr>
        <w:widowControl w:val="0"/>
        <w:jc w:val="both"/>
        <w:rPr>
          <w:sz w:val="20"/>
        </w:rPr>
      </w:pPr>
      <w:r>
        <w:rPr>
          <w:sz w:val="20"/>
        </w:rPr>
        <w:pict>
          <v:rect id="_x0000_i1026" style="width:2in;height:1pt" o:hrpct="0" o:hralign="center" o:hrstd="t" o:hrnoshade="t" o:hr="t" fillcolor="black [3213]" stroked="f"/>
        </w:pict>
      </w:r>
    </w:p>
    <w:p w:rsidR="000523F2" w:rsidRPr="00446BF2" w:rsidRDefault="000523F2" w:rsidP="0011248F">
      <w:pPr>
        <w:widowControl w:val="0"/>
        <w:jc w:val="both"/>
        <w:rPr>
          <w:sz w:val="20"/>
        </w:rPr>
      </w:pPr>
    </w:p>
    <w:p w:rsidR="000523F2" w:rsidRPr="00446BF2" w:rsidRDefault="000523F2" w:rsidP="009A7A6B">
      <w:pPr>
        <w:widowControl w:val="0"/>
        <w:ind w:left="720" w:hanging="720"/>
        <w:jc w:val="both"/>
        <w:rPr>
          <w:b/>
          <w:i/>
          <w:sz w:val="20"/>
          <w:lang w:val="fr-CA"/>
        </w:rPr>
      </w:pPr>
      <w:r w:rsidRPr="00446BF2">
        <w:rPr>
          <w:b/>
          <w:sz w:val="20"/>
          <w:lang w:val="en-CA"/>
        </w:rPr>
        <w:fldChar w:fldCharType="begin"/>
      </w:r>
      <w:r w:rsidRPr="00446BF2">
        <w:rPr>
          <w:b/>
          <w:sz w:val="20"/>
          <w:lang w:val="fr-CA"/>
        </w:rPr>
        <w:instrText xml:space="preserve"> SEQ CHAPTER \h \r 1</w:instrText>
      </w:r>
      <w:r w:rsidRPr="00446BF2">
        <w:rPr>
          <w:b/>
          <w:sz w:val="20"/>
        </w:rPr>
        <w:fldChar w:fldCharType="end"/>
      </w:r>
      <w:r w:rsidRPr="00446BF2">
        <w:rPr>
          <w:b/>
          <w:sz w:val="20"/>
          <w:lang w:val="fr-CA"/>
        </w:rPr>
        <w:t>39570</w:t>
      </w:r>
      <w:r w:rsidRPr="00446BF2">
        <w:rPr>
          <w:sz w:val="20"/>
          <w:lang w:val="fr-CA"/>
        </w:rPr>
        <w:tab/>
      </w:r>
      <w:r w:rsidRPr="00446BF2">
        <w:rPr>
          <w:b/>
          <w:i/>
          <w:sz w:val="20"/>
          <w:lang w:val="fr-CA"/>
        </w:rPr>
        <w:t>Sa Majesté la Reine c. Nigel Vernon Lafrance</w:t>
      </w:r>
    </w:p>
    <w:p w:rsidR="000523F2" w:rsidRPr="00446BF2" w:rsidRDefault="000523F2" w:rsidP="00446BF2">
      <w:pPr>
        <w:widowControl w:val="0"/>
        <w:ind w:left="360" w:firstLine="360"/>
        <w:jc w:val="both"/>
        <w:rPr>
          <w:sz w:val="20"/>
          <w:lang w:val="fr-CA"/>
        </w:rPr>
      </w:pPr>
      <w:r w:rsidRPr="00446BF2">
        <w:rPr>
          <w:sz w:val="20"/>
          <w:lang w:val="fr-CA"/>
        </w:rPr>
        <w:t>(Alb.) (Criminelle) (De plein droit)</w:t>
      </w:r>
    </w:p>
    <w:p w:rsidR="000523F2" w:rsidRPr="00446BF2" w:rsidRDefault="000523F2">
      <w:pPr>
        <w:widowControl w:val="0"/>
        <w:jc w:val="both"/>
        <w:rPr>
          <w:sz w:val="20"/>
          <w:lang w:val="fr-CA"/>
        </w:rPr>
      </w:pPr>
    </w:p>
    <w:p w:rsidR="000523F2" w:rsidRPr="00446BF2" w:rsidRDefault="000523F2">
      <w:pPr>
        <w:widowControl w:val="0"/>
        <w:jc w:val="both"/>
        <w:rPr>
          <w:sz w:val="20"/>
          <w:lang w:val="fr-CA"/>
        </w:rPr>
      </w:pPr>
      <w:r w:rsidRPr="00446BF2">
        <w:rPr>
          <w:sz w:val="20"/>
          <w:lang w:val="fr-CA"/>
        </w:rPr>
        <w:t xml:space="preserve">Droit criminel - </w:t>
      </w:r>
      <w:r w:rsidRPr="00446BF2">
        <w:rPr>
          <w:i/>
          <w:sz w:val="20"/>
          <w:lang w:val="fr-CA"/>
        </w:rPr>
        <w:t>Charte des droits</w:t>
      </w:r>
      <w:r w:rsidRPr="00446BF2">
        <w:rPr>
          <w:sz w:val="20"/>
          <w:lang w:val="fr-CA"/>
        </w:rPr>
        <w:t xml:space="preserve"> - Détention - Droit à l’assistance d’un avocat - Les juges majoritaires de la Cour d’appel ont-ils conclu à tort qu’il y avait eu atteinte aux droits que garantit l’art. 10 de la </w:t>
      </w:r>
      <w:r w:rsidRPr="00446BF2">
        <w:rPr>
          <w:i/>
          <w:sz w:val="20"/>
          <w:lang w:val="fr-CA"/>
        </w:rPr>
        <w:t>Charte</w:t>
      </w:r>
      <w:r w:rsidRPr="00446BF2">
        <w:rPr>
          <w:sz w:val="20"/>
          <w:lang w:val="fr-CA"/>
        </w:rPr>
        <w:t xml:space="preserve"> à l’intimé? - </w:t>
      </w:r>
      <w:r w:rsidRPr="00446BF2">
        <w:rPr>
          <w:i/>
          <w:sz w:val="20"/>
          <w:lang w:val="fr-CA"/>
        </w:rPr>
        <w:t>Charte canadienne des droits et libertés, al. 10b)</w:t>
      </w:r>
      <w:r w:rsidRPr="00446BF2">
        <w:rPr>
          <w:sz w:val="20"/>
          <w:lang w:val="fr-CA"/>
        </w:rPr>
        <w:t xml:space="preserve"> </w:t>
      </w:r>
    </w:p>
    <w:p w:rsidR="000523F2" w:rsidRPr="00446BF2" w:rsidRDefault="000523F2">
      <w:pPr>
        <w:widowControl w:val="0"/>
        <w:jc w:val="both"/>
        <w:rPr>
          <w:sz w:val="20"/>
          <w:lang w:val="fr-CA"/>
        </w:rPr>
      </w:pPr>
    </w:p>
    <w:p w:rsidR="000523F2" w:rsidRPr="00446BF2" w:rsidRDefault="000523F2" w:rsidP="0011248F">
      <w:pPr>
        <w:widowControl w:val="0"/>
        <w:jc w:val="both"/>
        <w:rPr>
          <w:sz w:val="20"/>
          <w:lang w:val="fr-CA"/>
        </w:rPr>
      </w:pPr>
      <w:r w:rsidRPr="00446BF2">
        <w:rPr>
          <w:sz w:val="20"/>
          <w:lang w:val="fr-CA"/>
        </w:rPr>
        <w:t xml:space="preserve">L’intimé a été reconnu coupable par un jury de meurtre au deuxième degré. Peu après le meurtre de la victime, la police a obtenu un mandat l’autorisant à perquisitionner au domicile de l’intimé, et on a demandé à ce dernier de faire de son plein gré une déclaration à la police durant la perquisition. L’intimé a accepté de le faire, et il a été interrogé en mars 2015. Il n’a pas été arrêté à ce moment-là, et on ne l’a pas informé des droits que lui reconnaît la </w:t>
      </w:r>
      <w:r w:rsidRPr="00446BF2">
        <w:rPr>
          <w:i/>
          <w:sz w:val="20"/>
          <w:lang w:val="fr-CA"/>
        </w:rPr>
        <w:t>Charte</w:t>
      </w:r>
      <w:r w:rsidRPr="00446BF2">
        <w:rPr>
          <w:sz w:val="20"/>
          <w:lang w:val="fr-CA"/>
        </w:rPr>
        <w:t xml:space="preserve">. Après l’interrogatoire, l’intimé a consenti à la prise de ses empreintes digitales et au prélèvement d’un échantillon de sang pour analyse génétique, en plus de remettre son téléphone cellulaire et une partie de ses vêtements. L’intimé a par la suite été arrêté pour meurtre en avril 2015. On l’a avisé des droits que lui garantit la </w:t>
      </w:r>
      <w:r w:rsidRPr="00446BF2">
        <w:rPr>
          <w:i/>
          <w:sz w:val="20"/>
          <w:lang w:val="fr-CA"/>
        </w:rPr>
        <w:t>Charte</w:t>
      </w:r>
      <w:r w:rsidRPr="00446BF2">
        <w:rPr>
          <w:sz w:val="20"/>
          <w:lang w:val="fr-CA"/>
        </w:rPr>
        <w:t xml:space="preserve"> et on lui a donné la possibilité de communiquer avec un avocat. Après avoir parlé à un avocat, l’intimé a été interrogé et a avoué avoir commis le meurtre. Au procès, il a demandé par requête l’exclusion de la preuve obtenue à la suite des interrogatoires, alléguant que le droit qui lui est garanti par l’al. 10</w:t>
      </w:r>
      <w:r w:rsidRPr="00446BF2">
        <w:rPr>
          <w:i/>
          <w:sz w:val="20"/>
          <w:lang w:val="fr-CA"/>
        </w:rPr>
        <w:t>b</w:t>
      </w:r>
      <w:r w:rsidRPr="00446BF2">
        <w:rPr>
          <w:sz w:val="20"/>
          <w:lang w:val="fr-CA"/>
        </w:rPr>
        <w:t xml:space="preserve">) de la </w:t>
      </w:r>
      <w:r w:rsidRPr="00446BF2">
        <w:rPr>
          <w:i/>
          <w:sz w:val="20"/>
          <w:lang w:val="fr-CA"/>
        </w:rPr>
        <w:t>Charte</w:t>
      </w:r>
      <w:r w:rsidRPr="00446BF2">
        <w:rPr>
          <w:sz w:val="20"/>
          <w:lang w:val="fr-CA"/>
        </w:rPr>
        <w:t xml:space="preserve"> avait été violé deux fois. Le juge du procès a rejeté la requête.</w:t>
      </w:r>
    </w:p>
    <w:p w:rsidR="000523F2" w:rsidRPr="00446BF2" w:rsidRDefault="000523F2" w:rsidP="0011248F">
      <w:pPr>
        <w:widowControl w:val="0"/>
        <w:jc w:val="both"/>
        <w:rPr>
          <w:sz w:val="20"/>
          <w:lang w:val="fr-CA"/>
        </w:rPr>
      </w:pPr>
    </w:p>
    <w:p w:rsidR="000523F2" w:rsidRPr="00446BF2" w:rsidRDefault="000523F2" w:rsidP="0011248F">
      <w:pPr>
        <w:widowControl w:val="0"/>
        <w:jc w:val="both"/>
        <w:rPr>
          <w:sz w:val="20"/>
          <w:lang w:val="fr-CA"/>
        </w:rPr>
      </w:pPr>
      <w:r w:rsidRPr="00446BF2">
        <w:rPr>
          <w:sz w:val="20"/>
          <w:lang w:val="fr-CA"/>
        </w:rPr>
        <w:t>L’intimé a interjeté appel de sa déclaration de culpabilité. Les juges majoritaires de la Cour d’appel de l’Alberta ont accueilli l’appel, annulé la déclaration de culpabilité de l’intimé et ordonné la tenue d’un nouveau procès. Ils ont conclu qu’il y avait eu atteinte aux droits que garantit l’al. 10</w:t>
      </w:r>
      <w:r w:rsidRPr="00446BF2">
        <w:rPr>
          <w:i/>
          <w:sz w:val="20"/>
          <w:lang w:val="fr-CA"/>
        </w:rPr>
        <w:t>b</w:t>
      </w:r>
      <w:r w:rsidRPr="00446BF2">
        <w:rPr>
          <w:sz w:val="20"/>
          <w:lang w:val="fr-CA"/>
        </w:rPr>
        <w:t xml:space="preserve">) de la </w:t>
      </w:r>
      <w:r w:rsidRPr="00446BF2">
        <w:rPr>
          <w:i/>
          <w:sz w:val="20"/>
          <w:lang w:val="fr-CA"/>
        </w:rPr>
        <w:t>Charte</w:t>
      </w:r>
      <w:r w:rsidRPr="00446BF2">
        <w:rPr>
          <w:sz w:val="20"/>
          <w:lang w:val="fr-CA"/>
        </w:rPr>
        <w:t xml:space="preserve"> à l’intimé au cours des deux interrogatoires, et ont statué qu’il y a lieu d’écarter, en vertu du par. 24(2) de la </w:t>
      </w:r>
      <w:r w:rsidRPr="00446BF2">
        <w:rPr>
          <w:i/>
          <w:sz w:val="20"/>
          <w:lang w:val="fr-CA"/>
        </w:rPr>
        <w:t>Charte</w:t>
      </w:r>
      <w:r w:rsidRPr="00446BF2">
        <w:rPr>
          <w:sz w:val="20"/>
          <w:lang w:val="fr-CA"/>
        </w:rPr>
        <w:t xml:space="preserve">, la preuve obtenue à la suite des interrogatoires. Le juge Wakeling, dissident, aurait rejeté l’appel. </w:t>
      </w:r>
    </w:p>
    <w:p w:rsidR="00F5120E" w:rsidRPr="00446BF2" w:rsidRDefault="00F5120E" w:rsidP="00F5120E">
      <w:pPr>
        <w:widowControl w:val="0"/>
        <w:jc w:val="both"/>
        <w:rPr>
          <w:sz w:val="20"/>
          <w:lang w:val="fr-CA"/>
        </w:rPr>
      </w:pPr>
    </w:p>
    <w:p w:rsidR="00F5120E" w:rsidRPr="00446BF2" w:rsidRDefault="00A67CD8" w:rsidP="00F5120E">
      <w:pPr>
        <w:widowControl w:val="0"/>
        <w:jc w:val="both"/>
        <w:rPr>
          <w:sz w:val="20"/>
          <w:lang w:val="fr-CA"/>
        </w:rPr>
      </w:pPr>
      <w:r>
        <w:rPr>
          <w:sz w:val="20"/>
        </w:rPr>
        <w:pict>
          <v:rect id="_x0000_i1027" style="width:2in;height:1pt" o:hrpct="0" o:hralign="center" o:hrstd="t" o:hrnoshade="t" o:hr="t" fillcolor="black [3213]" stroked="f"/>
        </w:pict>
      </w:r>
    </w:p>
    <w:p w:rsidR="00E92006" w:rsidRPr="00446BF2" w:rsidRDefault="00E92006" w:rsidP="00340C6D">
      <w:pPr>
        <w:jc w:val="both"/>
        <w:rPr>
          <w:sz w:val="20"/>
          <w:lang w:val="fr-CA"/>
        </w:rPr>
      </w:pPr>
    </w:p>
    <w:p w:rsidR="00E92006" w:rsidRPr="00446BF2" w:rsidRDefault="00E92006" w:rsidP="00340C6D">
      <w:pPr>
        <w:jc w:val="both"/>
        <w:rPr>
          <w:sz w:val="20"/>
          <w:lang w:val="fr-CA"/>
        </w:rPr>
      </w:pPr>
    </w:p>
    <w:p w:rsidR="00072A63" w:rsidRPr="00446BF2" w:rsidRDefault="00072A63" w:rsidP="00EC79B0">
      <w:pPr>
        <w:jc w:val="both"/>
        <w:rPr>
          <w:sz w:val="20"/>
          <w:lang w:val="fr-CA"/>
        </w:rPr>
      </w:pPr>
    </w:p>
    <w:p w:rsidR="001C4415" w:rsidRPr="00446BF2" w:rsidRDefault="001C4415" w:rsidP="001C4415">
      <w:pPr>
        <w:widowControl w:val="0"/>
        <w:outlineLvl w:val="0"/>
      </w:pPr>
      <w:r w:rsidRPr="00446BF2">
        <w:t xml:space="preserve">Supreme Court of Canada / Cour suprême du </w:t>
      </w:r>
      <w:proofErr w:type="gramStart"/>
      <w:r w:rsidRPr="00446BF2">
        <w:t>Canada :</w:t>
      </w:r>
      <w:proofErr w:type="gramEnd"/>
      <w:r w:rsidRPr="00446BF2">
        <w:t xml:space="preserve"> </w:t>
      </w:r>
    </w:p>
    <w:p w:rsidR="001C4415" w:rsidRPr="00446BF2" w:rsidRDefault="00A67CD8" w:rsidP="001C4415">
      <w:pPr>
        <w:widowControl w:val="0"/>
        <w:outlineLvl w:val="0"/>
      </w:pPr>
      <w:hyperlink r:id="rId8" w:history="1">
        <w:r w:rsidR="001C4415" w:rsidRPr="00446BF2">
          <w:rPr>
            <w:rStyle w:val="Hyperlink"/>
          </w:rPr>
          <w:t>comments-commentaires@scc-csc.ca</w:t>
        </w:r>
      </w:hyperlink>
    </w:p>
    <w:p w:rsidR="001C4415" w:rsidRPr="00446BF2" w:rsidRDefault="001C4415" w:rsidP="001C4415">
      <w:pPr>
        <w:widowControl w:val="0"/>
        <w:outlineLvl w:val="0"/>
      </w:pPr>
      <w:r w:rsidRPr="00446BF2">
        <w:t>(613) 995-4330</w:t>
      </w:r>
    </w:p>
    <w:p w:rsidR="001C4415" w:rsidRPr="00446BF2" w:rsidRDefault="001C4415" w:rsidP="001C4415">
      <w:pPr>
        <w:widowControl w:val="0"/>
        <w:rPr>
          <w:sz w:val="20"/>
        </w:rPr>
      </w:pPr>
    </w:p>
    <w:p w:rsidR="0036476C" w:rsidRPr="00A8502B" w:rsidRDefault="001C4415" w:rsidP="0036476C">
      <w:pPr>
        <w:pStyle w:val="Footer"/>
        <w:jc w:val="center"/>
        <w:rPr>
          <w:lang w:val="fr-CA"/>
        </w:rPr>
      </w:pPr>
      <w:r w:rsidRPr="00446BF2">
        <w:rPr>
          <w:lang w:val="fr-CA"/>
        </w:rPr>
        <w:t xml:space="preserve">- 30 </w:t>
      </w:r>
      <w:r w:rsidR="003C1B6E" w:rsidRPr="00446BF2">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5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67CD8"/>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57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2022-07-18T14:59:00Z</dcterms:modified>
</cp:coreProperties>
</file>