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93C26" w:rsidRDefault="000E391F" w:rsidP="000E391F">
      <w:pPr>
        <w:pStyle w:val="Header"/>
        <w:jc w:val="center"/>
        <w:rPr>
          <w:b/>
          <w:sz w:val="32"/>
          <w:szCs w:val="32"/>
        </w:rPr>
      </w:pPr>
      <w:r w:rsidRPr="00893C26">
        <w:rPr>
          <w:b/>
          <w:sz w:val="32"/>
          <w:szCs w:val="32"/>
        </w:rPr>
        <w:t>Supreme Court of Canada / Cour suprême du Canada</w:t>
      </w:r>
    </w:p>
    <w:p w:rsidR="000E391F" w:rsidRPr="00893C26" w:rsidRDefault="000E391F" w:rsidP="000E391F">
      <w:pPr>
        <w:widowControl w:val="0"/>
        <w:rPr>
          <w:sz w:val="20"/>
        </w:rPr>
      </w:pPr>
    </w:p>
    <w:p w:rsidR="000E391F" w:rsidRPr="00893C26" w:rsidRDefault="000E391F" w:rsidP="000E391F">
      <w:pPr>
        <w:widowControl w:val="0"/>
        <w:rPr>
          <w:i/>
          <w:sz w:val="20"/>
        </w:rPr>
      </w:pPr>
    </w:p>
    <w:p w:rsidR="006F2579" w:rsidRPr="00893C26" w:rsidRDefault="006F2579" w:rsidP="006F2579">
      <w:pPr>
        <w:widowControl w:val="0"/>
        <w:rPr>
          <w:i/>
          <w:sz w:val="20"/>
        </w:rPr>
      </w:pPr>
      <w:r w:rsidRPr="00893C26">
        <w:rPr>
          <w:i/>
          <w:sz w:val="20"/>
        </w:rPr>
        <w:t>(</w:t>
      </w:r>
      <w:r w:rsidR="003240B6" w:rsidRPr="00893C26">
        <w:rPr>
          <w:i/>
          <w:sz w:val="20"/>
        </w:rPr>
        <w:t>L</w:t>
      </w:r>
      <w:r w:rsidRPr="00893C26">
        <w:rPr>
          <w:i/>
          <w:sz w:val="20"/>
        </w:rPr>
        <w:t>e français suit)</w:t>
      </w:r>
    </w:p>
    <w:p w:rsidR="006F2579" w:rsidRPr="00893C26" w:rsidRDefault="006F2579" w:rsidP="006F2579">
      <w:pPr>
        <w:widowControl w:val="0"/>
        <w:rPr>
          <w:sz w:val="20"/>
        </w:rPr>
      </w:pPr>
    </w:p>
    <w:p w:rsidR="006F2579" w:rsidRPr="00893C26" w:rsidRDefault="00B07908" w:rsidP="006F2579">
      <w:pPr>
        <w:widowControl w:val="0"/>
        <w:jc w:val="center"/>
        <w:rPr>
          <w:b/>
          <w:szCs w:val="24"/>
        </w:rPr>
      </w:pPr>
      <w:r w:rsidRPr="00893C26">
        <w:rPr>
          <w:szCs w:val="24"/>
        </w:rPr>
        <w:fldChar w:fldCharType="begin"/>
      </w:r>
      <w:r w:rsidR="006F2579" w:rsidRPr="00893C26">
        <w:rPr>
          <w:szCs w:val="24"/>
        </w:rPr>
        <w:instrText xml:space="preserve"> SEQ CHAPTER \h \r 1</w:instrText>
      </w:r>
      <w:r w:rsidRPr="00893C26">
        <w:rPr>
          <w:szCs w:val="24"/>
        </w:rPr>
        <w:fldChar w:fldCharType="end"/>
      </w:r>
      <w:r w:rsidR="006F2579" w:rsidRPr="00893C26">
        <w:rPr>
          <w:b/>
          <w:szCs w:val="24"/>
        </w:rPr>
        <w:t>JUDGMENT</w:t>
      </w:r>
      <w:r w:rsidR="004F5491" w:rsidRPr="00893C26">
        <w:rPr>
          <w:b/>
          <w:szCs w:val="24"/>
        </w:rPr>
        <w:t>S</w:t>
      </w:r>
      <w:r w:rsidR="006F2579" w:rsidRPr="00893C26">
        <w:rPr>
          <w:b/>
          <w:szCs w:val="24"/>
        </w:rPr>
        <w:t xml:space="preserve"> TO B</w:t>
      </w:r>
      <w:r w:rsidR="00001846" w:rsidRPr="00893C26">
        <w:rPr>
          <w:b/>
          <w:szCs w:val="24"/>
        </w:rPr>
        <w:t>E RENDERED IN LE</w:t>
      </w:r>
      <w:r w:rsidR="00A0288A" w:rsidRPr="00893C26">
        <w:rPr>
          <w:b/>
          <w:szCs w:val="24"/>
        </w:rPr>
        <w:t>A</w:t>
      </w:r>
      <w:r w:rsidR="00001846" w:rsidRPr="00893C26">
        <w:rPr>
          <w:b/>
          <w:szCs w:val="24"/>
        </w:rPr>
        <w:t>VE APPLICATION</w:t>
      </w:r>
      <w:r w:rsidR="004F5491" w:rsidRPr="00893C26">
        <w:rPr>
          <w:b/>
          <w:szCs w:val="24"/>
        </w:rPr>
        <w:t>S</w:t>
      </w:r>
    </w:p>
    <w:p w:rsidR="006F2579" w:rsidRPr="00893C26" w:rsidRDefault="006F2579" w:rsidP="006F2579">
      <w:pPr>
        <w:widowControl w:val="0"/>
        <w:rPr>
          <w:szCs w:val="24"/>
        </w:rPr>
      </w:pPr>
    </w:p>
    <w:p w:rsidR="006F2579" w:rsidRPr="00893C26" w:rsidRDefault="00D800A0" w:rsidP="006F2579">
      <w:pPr>
        <w:widowControl w:val="0"/>
        <w:rPr>
          <w:szCs w:val="24"/>
        </w:rPr>
      </w:pPr>
      <w:r w:rsidRPr="00893C26">
        <w:rPr>
          <w:b/>
          <w:szCs w:val="24"/>
        </w:rPr>
        <w:t>August</w:t>
      </w:r>
      <w:r w:rsidR="00A15B66" w:rsidRPr="00893C26">
        <w:rPr>
          <w:b/>
          <w:szCs w:val="24"/>
        </w:rPr>
        <w:t xml:space="preserve"> </w:t>
      </w:r>
      <w:r w:rsidR="006E3D38" w:rsidRPr="00893C26">
        <w:rPr>
          <w:b/>
          <w:szCs w:val="24"/>
        </w:rPr>
        <w:t>2</w:t>
      </w:r>
      <w:r w:rsidR="0037029D" w:rsidRPr="00893C26">
        <w:rPr>
          <w:b/>
          <w:szCs w:val="24"/>
        </w:rPr>
        <w:t>9</w:t>
      </w:r>
      <w:r w:rsidR="004441C7" w:rsidRPr="00893C26">
        <w:rPr>
          <w:b/>
          <w:szCs w:val="24"/>
        </w:rPr>
        <w:t>,</w:t>
      </w:r>
      <w:r w:rsidR="006F2579" w:rsidRPr="00893C26">
        <w:rPr>
          <w:b/>
          <w:szCs w:val="24"/>
        </w:rPr>
        <w:t xml:space="preserve"> </w:t>
      </w:r>
      <w:r w:rsidR="0054689F" w:rsidRPr="00893C26">
        <w:rPr>
          <w:b/>
          <w:szCs w:val="24"/>
        </w:rPr>
        <w:t>20</w:t>
      </w:r>
      <w:r w:rsidR="00526754" w:rsidRPr="00893C26">
        <w:rPr>
          <w:b/>
          <w:szCs w:val="24"/>
        </w:rPr>
        <w:t>2</w:t>
      </w:r>
      <w:r w:rsidR="00644008" w:rsidRPr="00893C26">
        <w:rPr>
          <w:b/>
          <w:szCs w:val="24"/>
        </w:rPr>
        <w:t>2</w:t>
      </w:r>
    </w:p>
    <w:p w:rsidR="006F2579" w:rsidRPr="00893C26" w:rsidRDefault="00674F39" w:rsidP="006F2579">
      <w:pPr>
        <w:widowControl w:val="0"/>
        <w:rPr>
          <w:b/>
          <w:szCs w:val="24"/>
        </w:rPr>
      </w:pPr>
      <w:r w:rsidRPr="00893C26">
        <w:rPr>
          <w:b/>
          <w:szCs w:val="24"/>
        </w:rPr>
        <w:t>For immediate release</w:t>
      </w:r>
    </w:p>
    <w:p w:rsidR="006F2579" w:rsidRPr="00893C26" w:rsidRDefault="006F2579" w:rsidP="006F2579">
      <w:pPr>
        <w:widowControl w:val="0"/>
        <w:rPr>
          <w:szCs w:val="24"/>
        </w:rPr>
      </w:pPr>
    </w:p>
    <w:p w:rsidR="006F2579" w:rsidRPr="00893C26" w:rsidRDefault="006F2579" w:rsidP="006F2579">
      <w:pPr>
        <w:widowControl w:val="0"/>
        <w:rPr>
          <w:szCs w:val="24"/>
          <w:lang w:val="fr-CA"/>
        </w:rPr>
      </w:pPr>
      <w:r w:rsidRPr="00893C26">
        <w:rPr>
          <w:b/>
          <w:szCs w:val="24"/>
        </w:rPr>
        <w:t>OTTAWA</w:t>
      </w:r>
      <w:r w:rsidRPr="00893C26">
        <w:rPr>
          <w:szCs w:val="24"/>
        </w:rPr>
        <w:t xml:space="preserve"> – The Supreme Court of Canad</w:t>
      </w:r>
      <w:r w:rsidR="006246E4" w:rsidRPr="00893C26">
        <w:rPr>
          <w:szCs w:val="24"/>
        </w:rPr>
        <w:t>a</w:t>
      </w:r>
      <w:r w:rsidRPr="00893C26">
        <w:rPr>
          <w:szCs w:val="24"/>
        </w:rPr>
        <w:t xml:space="preserve"> announced today that judgment in the following </w:t>
      </w:r>
      <w:r w:rsidR="00DB6199" w:rsidRPr="00893C26">
        <w:rPr>
          <w:szCs w:val="24"/>
        </w:rPr>
        <w:t>leave application</w:t>
      </w:r>
      <w:r w:rsidR="004F5491" w:rsidRPr="00893C26">
        <w:rPr>
          <w:szCs w:val="24"/>
        </w:rPr>
        <w:t>s</w:t>
      </w:r>
      <w:r w:rsidR="00DB6199" w:rsidRPr="00893C26">
        <w:rPr>
          <w:szCs w:val="24"/>
        </w:rPr>
        <w:t xml:space="preserve"> </w:t>
      </w:r>
      <w:r w:rsidRPr="00893C26">
        <w:rPr>
          <w:szCs w:val="24"/>
        </w:rPr>
        <w:t>will be delivere</w:t>
      </w:r>
      <w:r w:rsidR="00CE2C5F" w:rsidRPr="00893C26">
        <w:rPr>
          <w:szCs w:val="24"/>
        </w:rPr>
        <w:t>d</w:t>
      </w:r>
      <w:r w:rsidRPr="00893C26">
        <w:rPr>
          <w:szCs w:val="24"/>
        </w:rPr>
        <w:t xml:space="preserve"> at 9:45 a.m. </w:t>
      </w:r>
      <w:r w:rsidR="00E05816" w:rsidRPr="00893C26">
        <w:rPr>
          <w:szCs w:val="24"/>
        </w:rPr>
        <w:t>E</w:t>
      </w:r>
      <w:r w:rsidR="00882B6B" w:rsidRPr="00893C26">
        <w:rPr>
          <w:szCs w:val="24"/>
        </w:rPr>
        <w:t>D</w:t>
      </w:r>
      <w:r w:rsidR="00E05816" w:rsidRPr="00893C26">
        <w:rPr>
          <w:szCs w:val="24"/>
        </w:rPr>
        <w:t>T</w:t>
      </w:r>
      <w:r w:rsidRPr="00893C26">
        <w:rPr>
          <w:szCs w:val="24"/>
        </w:rPr>
        <w:t xml:space="preserve"> on </w:t>
      </w:r>
      <w:r w:rsidR="00322A9C" w:rsidRPr="00893C26">
        <w:rPr>
          <w:szCs w:val="24"/>
        </w:rPr>
        <w:t>Thurs</w:t>
      </w:r>
      <w:r w:rsidR="00680A85" w:rsidRPr="00893C26">
        <w:rPr>
          <w:szCs w:val="24"/>
        </w:rPr>
        <w:t>day</w:t>
      </w:r>
      <w:r w:rsidRPr="00893C26">
        <w:rPr>
          <w:szCs w:val="24"/>
        </w:rPr>
        <w:t xml:space="preserve">, </w:t>
      </w:r>
      <w:r w:rsidR="0037029D" w:rsidRPr="00893C26">
        <w:rPr>
          <w:szCs w:val="24"/>
        </w:rPr>
        <w:t>September</w:t>
      </w:r>
      <w:r w:rsidR="00455912" w:rsidRPr="00893C26">
        <w:rPr>
          <w:szCs w:val="24"/>
        </w:rPr>
        <w:t xml:space="preserve"> </w:t>
      </w:r>
      <w:r w:rsidR="0037029D" w:rsidRPr="00893C26">
        <w:rPr>
          <w:szCs w:val="24"/>
        </w:rPr>
        <w:t>1</w:t>
      </w:r>
      <w:r w:rsidR="007E112F" w:rsidRPr="00893C26">
        <w:rPr>
          <w:szCs w:val="24"/>
        </w:rPr>
        <w:t>,</w:t>
      </w:r>
      <w:r w:rsidR="002F38D7" w:rsidRPr="00893C26">
        <w:rPr>
          <w:szCs w:val="24"/>
        </w:rPr>
        <w:t xml:space="preserve"> </w:t>
      </w:r>
      <w:r w:rsidR="006648D1" w:rsidRPr="00893C26">
        <w:rPr>
          <w:szCs w:val="24"/>
        </w:rPr>
        <w:t>20</w:t>
      </w:r>
      <w:r w:rsidR="00526754" w:rsidRPr="00893C26">
        <w:rPr>
          <w:szCs w:val="24"/>
        </w:rPr>
        <w:t>2</w:t>
      </w:r>
      <w:r w:rsidR="00644008" w:rsidRPr="00893C26">
        <w:rPr>
          <w:szCs w:val="24"/>
        </w:rPr>
        <w:t>2</w:t>
      </w:r>
      <w:r w:rsidRPr="00893C26">
        <w:rPr>
          <w:szCs w:val="24"/>
        </w:rPr>
        <w:t xml:space="preserve">. </w:t>
      </w:r>
      <w:r w:rsidRPr="00893C26">
        <w:rPr>
          <w:szCs w:val="24"/>
          <w:lang w:val="fr-CA"/>
        </w:rPr>
        <w:t>This list is subject to chang</w:t>
      </w:r>
      <w:r w:rsidR="00192F7F" w:rsidRPr="00893C26">
        <w:rPr>
          <w:szCs w:val="24"/>
          <w:lang w:val="fr-CA"/>
        </w:rPr>
        <w:t>e</w:t>
      </w:r>
      <w:r w:rsidRPr="00893C26">
        <w:rPr>
          <w:szCs w:val="24"/>
          <w:lang w:val="fr-CA"/>
        </w:rPr>
        <w:t>.</w:t>
      </w:r>
    </w:p>
    <w:p w:rsidR="00FF5AA4" w:rsidRPr="00893C26" w:rsidRDefault="00FF5AA4" w:rsidP="006F2579">
      <w:pPr>
        <w:widowControl w:val="0"/>
        <w:rPr>
          <w:szCs w:val="24"/>
          <w:lang w:val="fr-CA"/>
        </w:rPr>
      </w:pPr>
    </w:p>
    <w:p w:rsidR="00B43418" w:rsidRPr="00893C26" w:rsidRDefault="00B43418" w:rsidP="006F2579">
      <w:pPr>
        <w:widowControl w:val="0"/>
        <w:rPr>
          <w:szCs w:val="24"/>
          <w:lang w:val="fr-CA"/>
        </w:rPr>
      </w:pPr>
    </w:p>
    <w:p w:rsidR="006F2579" w:rsidRPr="00893C26" w:rsidRDefault="006F2579" w:rsidP="006F2579">
      <w:pPr>
        <w:widowControl w:val="0"/>
        <w:jc w:val="center"/>
        <w:rPr>
          <w:szCs w:val="24"/>
          <w:lang w:val="fr-CA"/>
        </w:rPr>
      </w:pPr>
      <w:r w:rsidRPr="00893C26">
        <w:rPr>
          <w:b/>
          <w:szCs w:val="24"/>
          <w:lang w:val="fr-CA"/>
        </w:rPr>
        <w:t>PROCHAIN</w:t>
      </w:r>
      <w:r w:rsidR="004F5491" w:rsidRPr="00893C26">
        <w:rPr>
          <w:b/>
          <w:szCs w:val="24"/>
          <w:lang w:val="fr-CA"/>
        </w:rPr>
        <w:t>S</w:t>
      </w:r>
      <w:r w:rsidRPr="00893C26">
        <w:rPr>
          <w:b/>
          <w:szCs w:val="24"/>
          <w:lang w:val="fr-CA"/>
        </w:rPr>
        <w:t xml:space="preserve"> JUGEMENT</w:t>
      </w:r>
      <w:r w:rsidR="004F5491" w:rsidRPr="00893C26">
        <w:rPr>
          <w:b/>
          <w:szCs w:val="24"/>
          <w:lang w:val="fr-CA"/>
        </w:rPr>
        <w:t>S</w:t>
      </w:r>
      <w:r w:rsidR="00001846" w:rsidRPr="00893C26">
        <w:rPr>
          <w:b/>
          <w:szCs w:val="24"/>
          <w:lang w:val="fr-CA"/>
        </w:rPr>
        <w:t xml:space="preserve"> SUR DEMANDE</w:t>
      </w:r>
      <w:r w:rsidR="004F5491" w:rsidRPr="00893C26">
        <w:rPr>
          <w:b/>
          <w:szCs w:val="24"/>
          <w:lang w:val="fr-CA"/>
        </w:rPr>
        <w:t>S</w:t>
      </w:r>
      <w:r w:rsidRPr="00893C26">
        <w:rPr>
          <w:b/>
          <w:szCs w:val="24"/>
          <w:lang w:val="fr-CA"/>
        </w:rPr>
        <w:t xml:space="preserve"> D’AUTORISATION</w:t>
      </w:r>
    </w:p>
    <w:p w:rsidR="006F2579" w:rsidRPr="00893C26" w:rsidRDefault="006F2579" w:rsidP="006F2579">
      <w:pPr>
        <w:widowControl w:val="0"/>
        <w:rPr>
          <w:szCs w:val="24"/>
          <w:lang w:val="fr-CA"/>
        </w:rPr>
      </w:pPr>
    </w:p>
    <w:p w:rsidR="006F2579" w:rsidRPr="00893C26" w:rsidRDefault="006F2579" w:rsidP="006F2579">
      <w:pPr>
        <w:widowControl w:val="0"/>
        <w:rPr>
          <w:szCs w:val="24"/>
          <w:lang w:val="fr-CA"/>
        </w:rPr>
      </w:pPr>
      <w:r w:rsidRPr="00893C26">
        <w:rPr>
          <w:b/>
          <w:szCs w:val="24"/>
          <w:lang w:val="fr-CA"/>
        </w:rPr>
        <w:t>Le</w:t>
      </w:r>
      <w:r w:rsidR="00957A76" w:rsidRPr="00893C26">
        <w:rPr>
          <w:b/>
          <w:szCs w:val="24"/>
          <w:lang w:val="fr-CA"/>
        </w:rPr>
        <w:t xml:space="preserve"> </w:t>
      </w:r>
      <w:r w:rsidR="006E3D38" w:rsidRPr="00893C26">
        <w:rPr>
          <w:b/>
          <w:szCs w:val="24"/>
          <w:lang w:val="fr-CA"/>
        </w:rPr>
        <w:t>2</w:t>
      </w:r>
      <w:r w:rsidR="0037029D" w:rsidRPr="00893C26">
        <w:rPr>
          <w:b/>
          <w:szCs w:val="24"/>
          <w:lang w:val="fr-CA"/>
        </w:rPr>
        <w:t>9</w:t>
      </w:r>
      <w:r w:rsidR="00075EC0" w:rsidRPr="00893C26">
        <w:rPr>
          <w:b/>
          <w:szCs w:val="24"/>
          <w:lang w:val="fr-CA"/>
        </w:rPr>
        <w:t xml:space="preserve"> </w:t>
      </w:r>
      <w:r w:rsidR="00D800A0" w:rsidRPr="00893C26">
        <w:rPr>
          <w:b/>
          <w:szCs w:val="24"/>
          <w:lang w:val="fr-CA"/>
        </w:rPr>
        <w:t>août</w:t>
      </w:r>
      <w:r w:rsidR="00A151D1" w:rsidRPr="00893C26">
        <w:rPr>
          <w:b/>
          <w:szCs w:val="24"/>
          <w:lang w:val="fr-CA"/>
        </w:rPr>
        <w:t xml:space="preserve"> 20</w:t>
      </w:r>
      <w:r w:rsidR="00526754" w:rsidRPr="00893C26">
        <w:rPr>
          <w:b/>
          <w:szCs w:val="24"/>
          <w:lang w:val="fr-CA"/>
        </w:rPr>
        <w:t>2</w:t>
      </w:r>
      <w:r w:rsidR="00644008" w:rsidRPr="00893C26">
        <w:rPr>
          <w:b/>
          <w:szCs w:val="24"/>
          <w:lang w:val="fr-CA"/>
        </w:rPr>
        <w:t>2</w:t>
      </w:r>
    </w:p>
    <w:p w:rsidR="006F2579" w:rsidRPr="00893C26" w:rsidRDefault="006F2579" w:rsidP="006F2579">
      <w:pPr>
        <w:widowControl w:val="0"/>
        <w:rPr>
          <w:b/>
          <w:szCs w:val="24"/>
          <w:lang w:val="fr-CA"/>
        </w:rPr>
      </w:pPr>
      <w:r w:rsidRPr="00893C26">
        <w:rPr>
          <w:b/>
          <w:szCs w:val="24"/>
          <w:lang w:val="fr-CA"/>
        </w:rPr>
        <w:t>Pour diffusion immédiate</w:t>
      </w:r>
    </w:p>
    <w:p w:rsidR="006F2579" w:rsidRPr="00893C26" w:rsidRDefault="006F2579" w:rsidP="006F2579">
      <w:pPr>
        <w:widowControl w:val="0"/>
        <w:rPr>
          <w:szCs w:val="24"/>
          <w:lang w:val="fr-CA"/>
        </w:rPr>
      </w:pPr>
    </w:p>
    <w:p w:rsidR="006F2579" w:rsidRPr="00893C26" w:rsidRDefault="006F2579" w:rsidP="006F2579">
      <w:pPr>
        <w:widowControl w:val="0"/>
        <w:rPr>
          <w:szCs w:val="24"/>
          <w:lang w:val="fr-CA"/>
        </w:rPr>
      </w:pPr>
      <w:r w:rsidRPr="00893C26">
        <w:rPr>
          <w:b/>
          <w:szCs w:val="24"/>
          <w:lang w:val="fr-CA"/>
        </w:rPr>
        <w:t>OTTAWA</w:t>
      </w:r>
      <w:r w:rsidRPr="00893C26">
        <w:rPr>
          <w:szCs w:val="24"/>
          <w:lang w:val="fr-CA"/>
        </w:rPr>
        <w:t xml:space="preserve"> – La Cour suprême du Canada annonce que jugement ser</w:t>
      </w:r>
      <w:r w:rsidR="004259F9" w:rsidRPr="00893C26">
        <w:rPr>
          <w:szCs w:val="24"/>
          <w:lang w:val="fr-CA"/>
        </w:rPr>
        <w:t>a</w:t>
      </w:r>
      <w:r w:rsidRPr="00893C26">
        <w:rPr>
          <w:szCs w:val="24"/>
          <w:lang w:val="fr-CA"/>
        </w:rPr>
        <w:t xml:space="preserve"> rendu dans l</w:t>
      </w:r>
      <w:r w:rsidR="004F5491" w:rsidRPr="00893C26">
        <w:rPr>
          <w:szCs w:val="24"/>
          <w:lang w:val="fr-CA"/>
        </w:rPr>
        <w:t>es</w:t>
      </w:r>
      <w:r w:rsidRPr="00893C26">
        <w:rPr>
          <w:szCs w:val="24"/>
          <w:lang w:val="fr-CA"/>
        </w:rPr>
        <w:t xml:space="preserve"> demande</w:t>
      </w:r>
      <w:r w:rsidR="004F5491" w:rsidRPr="00893C26">
        <w:rPr>
          <w:szCs w:val="24"/>
          <w:lang w:val="fr-CA"/>
        </w:rPr>
        <w:t>s</w:t>
      </w:r>
      <w:r w:rsidRPr="00893C26">
        <w:rPr>
          <w:szCs w:val="24"/>
          <w:lang w:val="fr-CA"/>
        </w:rPr>
        <w:t xml:space="preserve"> d</w:t>
      </w:r>
      <w:r w:rsidR="00001846" w:rsidRPr="00893C26">
        <w:rPr>
          <w:szCs w:val="24"/>
          <w:lang w:val="fr-CA"/>
        </w:rPr>
        <w:t>’autorisation suivante</w:t>
      </w:r>
      <w:r w:rsidR="004F5491" w:rsidRPr="00893C26">
        <w:rPr>
          <w:szCs w:val="24"/>
          <w:lang w:val="fr-CA"/>
        </w:rPr>
        <w:t>s</w:t>
      </w:r>
      <w:r w:rsidRPr="00893C26">
        <w:rPr>
          <w:szCs w:val="24"/>
          <w:lang w:val="fr-CA"/>
        </w:rPr>
        <w:t xml:space="preserve"> le </w:t>
      </w:r>
      <w:r w:rsidR="00322A9C" w:rsidRPr="00893C26">
        <w:rPr>
          <w:szCs w:val="24"/>
          <w:lang w:val="fr-CA"/>
        </w:rPr>
        <w:t>jeu</w:t>
      </w:r>
      <w:r w:rsidR="00680A85" w:rsidRPr="00893C26">
        <w:rPr>
          <w:szCs w:val="24"/>
          <w:lang w:val="fr-CA"/>
        </w:rPr>
        <w:t>di</w:t>
      </w:r>
      <w:r w:rsidRPr="00893C26">
        <w:rPr>
          <w:szCs w:val="24"/>
          <w:lang w:val="fr-CA"/>
        </w:rPr>
        <w:t xml:space="preserve"> </w:t>
      </w:r>
      <w:r w:rsidR="0037029D" w:rsidRPr="00893C26">
        <w:rPr>
          <w:szCs w:val="24"/>
          <w:lang w:val="fr-CA"/>
        </w:rPr>
        <w:t>1er</w:t>
      </w:r>
      <w:r w:rsidR="009E0BD3" w:rsidRPr="00893C26">
        <w:rPr>
          <w:szCs w:val="24"/>
          <w:lang w:val="fr-CA"/>
        </w:rPr>
        <w:t xml:space="preserve"> </w:t>
      </w:r>
      <w:r w:rsidR="0037029D" w:rsidRPr="00893C26">
        <w:rPr>
          <w:szCs w:val="24"/>
          <w:lang w:val="fr-CA"/>
        </w:rPr>
        <w:t>septembre</w:t>
      </w:r>
      <w:r w:rsidR="00694391" w:rsidRPr="00893C26">
        <w:rPr>
          <w:szCs w:val="24"/>
          <w:lang w:val="fr-CA"/>
        </w:rPr>
        <w:t xml:space="preserve"> 2</w:t>
      </w:r>
      <w:r w:rsidR="006648D1" w:rsidRPr="00893C26">
        <w:rPr>
          <w:szCs w:val="24"/>
          <w:lang w:val="fr-CA"/>
        </w:rPr>
        <w:t>0</w:t>
      </w:r>
      <w:r w:rsidR="00526754" w:rsidRPr="00893C26">
        <w:rPr>
          <w:szCs w:val="24"/>
          <w:lang w:val="fr-CA"/>
        </w:rPr>
        <w:t>2</w:t>
      </w:r>
      <w:r w:rsidR="00644008" w:rsidRPr="00893C26">
        <w:rPr>
          <w:szCs w:val="24"/>
          <w:lang w:val="fr-CA"/>
        </w:rPr>
        <w:t>2</w:t>
      </w:r>
      <w:r w:rsidRPr="00893C26">
        <w:rPr>
          <w:szCs w:val="24"/>
          <w:lang w:val="fr-CA"/>
        </w:rPr>
        <w:t xml:space="preserve">, à 9 h 45 </w:t>
      </w:r>
      <w:r w:rsidR="000627A2" w:rsidRPr="00893C26">
        <w:rPr>
          <w:szCs w:val="24"/>
          <w:lang w:val="fr-CA"/>
        </w:rPr>
        <w:t>H</w:t>
      </w:r>
      <w:r w:rsidR="00882B6B" w:rsidRPr="00893C26">
        <w:rPr>
          <w:szCs w:val="24"/>
          <w:lang w:val="fr-CA"/>
        </w:rPr>
        <w:t>A</w:t>
      </w:r>
      <w:r w:rsidRPr="00893C26">
        <w:rPr>
          <w:szCs w:val="24"/>
          <w:lang w:val="fr-CA"/>
        </w:rPr>
        <w:t>E. Cette liste est sujette à modification</w:t>
      </w:r>
      <w:r w:rsidR="00130ADB" w:rsidRPr="00893C26">
        <w:rPr>
          <w:szCs w:val="24"/>
          <w:lang w:val="fr-CA"/>
        </w:rPr>
        <w:t>s</w:t>
      </w:r>
      <w:r w:rsidRPr="00893C26">
        <w:rPr>
          <w:szCs w:val="24"/>
          <w:lang w:val="fr-CA"/>
        </w:rPr>
        <w:t>.</w:t>
      </w:r>
    </w:p>
    <w:p w:rsidR="0080556B" w:rsidRPr="00893C26" w:rsidRDefault="0080556B" w:rsidP="005F2A78">
      <w:pPr>
        <w:widowControl w:val="0"/>
        <w:tabs>
          <w:tab w:val="left" w:pos="3840"/>
        </w:tabs>
        <w:jc w:val="both"/>
        <w:rPr>
          <w:sz w:val="20"/>
          <w:lang w:val="fr-CA"/>
        </w:rPr>
      </w:pPr>
    </w:p>
    <w:p w:rsidR="00867C61" w:rsidRPr="00893C26" w:rsidRDefault="00893C26" w:rsidP="009B14F4">
      <w:pPr>
        <w:widowControl w:val="0"/>
        <w:jc w:val="both"/>
        <w:rPr>
          <w:sz w:val="20"/>
        </w:rPr>
      </w:pPr>
      <w:r w:rsidRPr="00893C26">
        <w:rPr>
          <w:sz w:val="20"/>
        </w:rPr>
        <w:pict>
          <v:rect id="_x0000_i1025" style="width:2in;height:1pt" o:hrpct="0" o:hralign="center" o:hrstd="t" o:hrnoshade="t" o:hr="t" fillcolor="black [3213]" stroked="f"/>
        </w:pict>
      </w:r>
    </w:p>
    <w:p w:rsidR="004A6E51" w:rsidRPr="00893C26" w:rsidRDefault="004A6E51" w:rsidP="0053032E">
      <w:pPr>
        <w:rPr>
          <w:sz w:val="20"/>
          <w:lang w:val="fr-CA"/>
        </w:rPr>
      </w:pPr>
    </w:p>
    <w:p w:rsidR="00FA7226" w:rsidRPr="00893C26" w:rsidRDefault="00FA7226" w:rsidP="00B07533">
      <w:pPr>
        <w:pStyle w:val="ListParagraph"/>
        <w:numPr>
          <w:ilvl w:val="0"/>
          <w:numId w:val="8"/>
        </w:numPr>
        <w:ind w:left="357" w:hanging="357"/>
        <w:rPr>
          <w:sz w:val="20"/>
        </w:rPr>
      </w:pPr>
      <w:r w:rsidRPr="00893C26">
        <w:rPr>
          <w:i/>
          <w:sz w:val="20"/>
        </w:rPr>
        <w:t xml:space="preserve">Justice Okojie v. Her Majesty the Queen </w:t>
      </w:r>
      <w:r w:rsidRPr="00893C26">
        <w:rPr>
          <w:sz w:val="20"/>
        </w:rPr>
        <w:t>(Ont.) (Criminal) (By Leave) (</w:t>
      </w:r>
      <w:hyperlink r:id="rId8" w:history="1">
        <w:r w:rsidRPr="00893C26">
          <w:rPr>
            <w:rStyle w:val="Hyperlink"/>
            <w:sz w:val="20"/>
          </w:rPr>
          <w:t>400</w:t>
        </w:r>
        <w:r w:rsidR="00B72EA8" w:rsidRPr="00893C26">
          <w:rPr>
            <w:rStyle w:val="Hyperlink"/>
            <w:sz w:val="20"/>
          </w:rPr>
          <w:t>88</w:t>
        </w:r>
      </w:hyperlink>
      <w:r w:rsidRPr="00893C26">
        <w:rPr>
          <w:sz w:val="20"/>
        </w:rPr>
        <w:t>)</w:t>
      </w:r>
    </w:p>
    <w:p w:rsidR="00FA7226" w:rsidRPr="00893C26" w:rsidRDefault="00FA7226" w:rsidP="00B07533">
      <w:pPr>
        <w:ind w:left="357" w:hanging="357"/>
        <w:rPr>
          <w:sz w:val="20"/>
        </w:rPr>
      </w:pPr>
    </w:p>
    <w:p w:rsidR="00FA7226" w:rsidRPr="00893C26" w:rsidRDefault="00FA7226" w:rsidP="00B07533">
      <w:pPr>
        <w:pStyle w:val="ListParagraph"/>
        <w:numPr>
          <w:ilvl w:val="0"/>
          <w:numId w:val="8"/>
        </w:numPr>
        <w:ind w:left="357" w:hanging="357"/>
        <w:rPr>
          <w:sz w:val="20"/>
        </w:rPr>
      </w:pPr>
      <w:r w:rsidRPr="00893C26">
        <w:rPr>
          <w:i/>
          <w:sz w:val="20"/>
        </w:rPr>
        <w:t xml:space="preserve">Mpire Capital Corporation v. Sutter </w:t>
      </w:r>
      <w:r w:rsidR="0030705D" w:rsidRPr="00893C26">
        <w:rPr>
          <w:i/>
          <w:sz w:val="20"/>
        </w:rPr>
        <w:t xml:space="preserve">Hill </w:t>
      </w:r>
      <w:r w:rsidRPr="00893C26">
        <w:rPr>
          <w:i/>
          <w:sz w:val="20"/>
        </w:rPr>
        <w:t xml:space="preserve">Management Corporation, </w:t>
      </w:r>
      <w:r w:rsidR="0030705D" w:rsidRPr="00893C26">
        <w:rPr>
          <w:i/>
          <w:sz w:val="20"/>
        </w:rPr>
        <w:t>et al.</w:t>
      </w:r>
      <w:r w:rsidRPr="00893C26">
        <w:rPr>
          <w:sz w:val="20"/>
        </w:rPr>
        <w:t xml:space="preserve"> (B.C.) (Civil) (By Leave) (</w:t>
      </w:r>
      <w:hyperlink r:id="rId9" w:history="1">
        <w:r w:rsidRPr="00893C26">
          <w:rPr>
            <w:rStyle w:val="Hyperlink"/>
            <w:sz w:val="20"/>
          </w:rPr>
          <w:t>40</w:t>
        </w:r>
        <w:r w:rsidR="0030705D" w:rsidRPr="00893C26">
          <w:rPr>
            <w:rStyle w:val="Hyperlink"/>
            <w:sz w:val="20"/>
          </w:rPr>
          <w:t>112</w:t>
        </w:r>
      </w:hyperlink>
      <w:r w:rsidRPr="00893C26">
        <w:rPr>
          <w:sz w:val="20"/>
        </w:rPr>
        <w:t>)</w:t>
      </w:r>
    </w:p>
    <w:p w:rsidR="00FA7226" w:rsidRPr="00893C26" w:rsidRDefault="00FA7226" w:rsidP="00B07533">
      <w:pPr>
        <w:ind w:left="357" w:hanging="357"/>
        <w:rPr>
          <w:sz w:val="20"/>
        </w:rPr>
      </w:pPr>
    </w:p>
    <w:p w:rsidR="00FA7226" w:rsidRPr="00893C26" w:rsidRDefault="00FA7226" w:rsidP="00B07533">
      <w:pPr>
        <w:pStyle w:val="ListParagraph"/>
        <w:numPr>
          <w:ilvl w:val="0"/>
          <w:numId w:val="8"/>
        </w:numPr>
        <w:ind w:left="357" w:hanging="357"/>
        <w:rPr>
          <w:sz w:val="20"/>
          <w:lang w:val="en-CA"/>
        </w:rPr>
      </w:pPr>
      <w:r w:rsidRPr="00893C26">
        <w:rPr>
          <w:i/>
          <w:sz w:val="20"/>
          <w:lang w:val="en-CA"/>
        </w:rPr>
        <w:t>Emanuel Kahsai v. Her Majesty the Queen</w:t>
      </w:r>
      <w:r w:rsidRPr="00893C26">
        <w:rPr>
          <w:sz w:val="20"/>
          <w:lang w:val="en-CA"/>
        </w:rPr>
        <w:t xml:space="preserve"> (Alta.) (Criminal) (As of Right</w:t>
      </w:r>
      <w:r w:rsidR="005C03A5" w:rsidRPr="00893C26">
        <w:rPr>
          <w:sz w:val="20"/>
          <w:lang w:val="en-CA"/>
        </w:rPr>
        <w:t xml:space="preserve"> / By Leave</w:t>
      </w:r>
      <w:r w:rsidRPr="00893C26">
        <w:rPr>
          <w:sz w:val="20"/>
          <w:lang w:val="en-CA"/>
        </w:rPr>
        <w:t xml:space="preserve">) </w:t>
      </w:r>
      <w:r w:rsidRPr="00893C26">
        <w:rPr>
          <w:sz w:val="20"/>
        </w:rPr>
        <w:t>(</w:t>
      </w:r>
      <w:hyperlink r:id="rId10" w:history="1">
        <w:r w:rsidRPr="00893C26">
          <w:rPr>
            <w:rStyle w:val="Hyperlink"/>
            <w:sz w:val="20"/>
          </w:rPr>
          <w:t>400</w:t>
        </w:r>
        <w:r w:rsidR="0030705D" w:rsidRPr="00893C26">
          <w:rPr>
            <w:rStyle w:val="Hyperlink"/>
            <w:sz w:val="20"/>
          </w:rPr>
          <w:t>44</w:t>
        </w:r>
      </w:hyperlink>
      <w:r w:rsidRPr="00893C26">
        <w:rPr>
          <w:sz w:val="20"/>
        </w:rPr>
        <w:t>)</w:t>
      </w:r>
    </w:p>
    <w:p w:rsidR="00FA7226" w:rsidRPr="00893C26" w:rsidRDefault="00FA7226" w:rsidP="00B07533">
      <w:pPr>
        <w:ind w:left="357" w:hanging="357"/>
        <w:rPr>
          <w:sz w:val="20"/>
          <w:lang w:val="en-CA"/>
        </w:rPr>
      </w:pPr>
    </w:p>
    <w:p w:rsidR="00FA7226" w:rsidRPr="00893C26" w:rsidRDefault="00FA7226" w:rsidP="00B07533">
      <w:pPr>
        <w:pStyle w:val="ListParagraph"/>
        <w:numPr>
          <w:ilvl w:val="0"/>
          <w:numId w:val="8"/>
        </w:numPr>
        <w:ind w:left="357" w:hanging="357"/>
        <w:rPr>
          <w:sz w:val="20"/>
        </w:rPr>
      </w:pPr>
      <w:r w:rsidRPr="00893C26">
        <w:rPr>
          <w:i/>
          <w:sz w:val="20"/>
        </w:rPr>
        <w:t>719491 Alberta Inc. v. Canada Life Assurance Company</w:t>
      </w:r>
      <w:r w:rsidRPr="00893C26">
        <w:rPr>
          <w:sz w:val="20"/>
        </w:rPr>
        <w:t xml:space="preserve"> (Alta.) (Civil) (By </w:t>
      </w:r>
      <w:r w:rsidR="005C03A5" w:rsidRPr="00893C26">
        <w:rPr>
          <w:sz w:val="20"/>
        </w:rPr>
        <w:t>L</w:t>
      </w:r>
      <w:r w:rsidRPr="00893C26">
        <w:rPr>
          <w:sz w:val="20"/>
        </w:rPr>
        <w:t>eave) (</w:t>
      </w:r>
      <w:hyperlink r:id="rId11" w:history="1">
        <w:r w:rsidRPr="00893C26">
          <w:rPr>
            <w:rStyle w:val="Hyperlink"/>
            <w:sz w:val="20"/>
          </w:rPr>
          <w:t>400</w:t>
        </w:r>
        <w:r w:rsidR="002725B6" w:rsidRPr="00893C26">
          <w:rPr>
            <w:rStyle w:val="Hyperlink"/>
            <w:sz w:val="20"/>
          </w:rPr>
          <w:t>69</w:t>
        </w:r>
      </w:hyperlink>
      <w:r w:rsidRPr="00893C26">
        <w:rPr>
          <w:sz w:val="20"/>
        </w:rPr>
        <w:t>)</w:t>
      </w:r>
    </w:p>
    <w:p w:rsidR="00FA7226" w:rsidRPr="00893C26" w:rsidRDefault="00FA7226" w:rsidP="00B07533">
      <w:pPr>
        <w:ind w:left="357" w:hanging="357"/>
        <w:rPr>
          <w:sz w:val="20"/>
        </w:rPr>
      </w:pPr>
    </w:p>
    <w:p w:rsidR="00FA7226" w:rsidRPr="00893C26" w:rsidRDefault="00FA7226" w:rsidP="00B07533">
      <w:pPr>
        <w:pStyle w:val="ListParagraph"/>
        <w:numPr>
          <w:ilvl w:val="0"/>
          <w:numId w:val="8"/>
        </w:numPr>
        <w:ind w:left="357" w:hanging="357"/>
        <w:rPr>
          <w:sz w:val="20"/>
          <w:lang w:val="fr-CA"/>
        </w:rPr>
      </w:pPr>
      <w:r w:rsidRPr="00893C26">
        <w:rPr>
          <w:i/>
          <w:sz w:val="20"/>
          <w:lang w:val="fr-CA"/>
        </w:rPr>
        <w:t xml:space="preserve">Michel Baril, et al. c. Woods s.e.n.c.r.l., et al. </w:t>
      </w:r>
      <w:r w:rsidRPr="00893C26">
        <w:rPr>
          <w:sz w:val="20"/>
          <w:lang w:val="fr-CA"/>
        </w:rPr>
        <w:t>(Qc) (Civile) (Autorisation) (</w:t>
      </w:r>
      <w:hyperlink r:id="rId12" w:history="1">
        <w:r w:rsidRPr="00893C26">
          <w:rPr>
            <w:rStyle w:val="Hyperlink"/>
            <w:sz w:val="20"/>
            <w:lang w:val="fr-CA"/>
          </w:rPr>
          <w:t>40</w:t>
        </w:r>
        <w:r w:rsidR="002725B6" w:rsidRPr="00893C26">
          <w:rPr>
            <w:rStyle w:val="Hyperlink"/>
            <w:sz w:val="20"/>
            <w:lang w:val="fr-CA"/>
          </w:rPr>
          <w:t>127</w:t>
        </w:r>
      </w:hyperlink>
      <w:r w:rsidRPr="00893C26">
        <w:rPr>
          <w:sz w:val="20"/>
          <w:lang w:val="fr-CA"/>
        </w:rPr>
        <w:t>)</w:t>
      </w:r>
    </w:p>
    <w:p w:rsidR="00FA7226" w:rsidRPr="00893C26" w:rsidRDefault="00FA7226" w:rsidP="00B07533">
      <w:pPr>
        <w:ind w:left="357" w:hanging="357"/>
        <w:rPr>
          <w:sz w:val="20"/>
          <w:lang w:val="fr-CA"/>
        </w:rPr>
      </w:pPr>
    </w:p>
    <w:p w:rsidR="00FA7226" w:rsidRPr="00893C26" w:rsidRDefault="00FA7226" w:rsidP="00B07533">
      <w:pPr>
        <w:pStyle w:val="ListParagraph"/>
        <w:numPr>
          <w:ilvl w:val="0"/>
          <w:numId w:val="8"/>
        </w:numPr>
        <w:ind w:left="357" w:hanging="357"/>
        <w:rPr>
          <w:sz w:val="20"/>
        </w:rPr>
      </w:pPr>
      <w:r w:rsidRPr="00893C26">
        <w:rPr>
          <w:i/>
          <w:sz w:val="20"/>
        </w:rPr>
        <w:t xml:space="preserve">Casey Matti Henry v. Her Majesty the Queen </w:t>
      </w:r>
      <w:r w:rsidRPr="00893C26">
        <w:rPr>
          <w:sz w:val="20"/>
        </w:rPr>
        <w:t>(Ont.) (Criminal) (By Leave) (</w:t>
      </w:r>
      <w:hyperlink r:id="rId13" w:history="1">
        <w:r w:rsidRPr="00893C26">
          <w:rPr>
            <w:rStyle w:val="Hyperlink"/>
            <w:sz w:val="20"/>
          </w:rPr>
          <w:t>40</w:t>
        </w:r>
        <w:r w:rsidR="0057370B" w:rsidRPr="00893C26">
          <w:rPr>
            <w:rStyle w:val="Hyperlink"/>
            <w:sz w:val="20"/>
          </w:rPr>
          <w:t>1</w:t>
        </w:r>
        <w:r w:rsidRPr="00893C26">
          <w:rPr>
            <w:rStyle w:val="Hyperlink"/>
            <w:sz w:val="20"/>
          </w:rPr>
          <w:t>3</w:t>
        </w:r>
        <w:r w:rsidR="0057370B" w:rsidRPr="00893C26">
          <w:rPr>
            <w:rStyle w:val="Hyperlink"/>
            <w:sz w:val="20"/>
          </w:rPr>
          <w:t>3</w:t>
        </w:r>
      </w:hyperlink>
      <w:r w:rsidRPr="00893C26">
        <w:rPr>
          <w:sz w:val="20"/>
        </w:rPr>
        <w:t>)</w:t>
      </w:r>
    </w:p>
    <w:p w:rsidR="00FA7226" w:rsidRPr="00893C26" w:rsidRDefault="00FA7226" w:rsidP="00B07533">
      <w:pPr>
        <w:ind w:left="357" w:hanging="357"/>
        <w:rPr>
          <w:sz w:val="20"/>
        </w:rPr>
      </w:pPr>
    </w:p>
    <w:p w:rsidR="00FA7226" w:rsidRPr="00893C26" w:rsidRDefault="00FA7226" w:rsidP="00B07533">
      <w:pPr>
        <w:pStyle w:val="ListParagraph"/>
        <w:numPr>
          <w:ilvl w:val="0"/>
          <w:numId w:val="8"/>
        </w:numPr>
        <w:ind w:left="357" w:hanging="357"/>
        <w:rPr>
          <w:sz w:val="20"/>
        </w:rPr>
      </w:pPr>
      <w:r w:rsidRPr="00893C26">
        <w:rPr>
          <w:i/>
          <w:sz w:val="20"/>
        </w:rPr>
        <w:t>Robert Lockhart v. Barbara Lockhart</w:t>
      </w:r>
      <w:r w:rsidRPr="00893C26">
        <w:rPr>
          <w:sz w:val="20"/>
        </w:rPr>
        <w:t xml:space="preserve"> (Ont.) (Civil) (By Leave) (</w:t>
      </w:r>
      <w:hyperlink r:id="rId14" w:history="1">
        <w:r w:rsidRPr="00893C26">
          <w:rPr>
            <w:rStyle w:val="Hyperlink"/>
            <w:sz w:val="20"/>
          </w:rPr>
          <w:t>400</w:t>
        </w:r>
        <w:r w:rsidR="0057370B" w:rsidRPr="00893C26">
          <w:rPr>
            <w:rStyle w:val="Hyperlink"/>
            <w:sz w:val="20"/>
          </w:rPr>
          <w:t>75</w:t>
        </w:r>
      </w:hyperlink>
      <w:r w:rsidRPr="00893C26">
        <w:rPr>
          <w:sz w:val="20"/>
        </w:rPr>
        <w:t>)</w:t>
      </w:r>
    </w:p>
    <w:p w:rsidR="00FA7226" w:rsidRPr="00893C26" w:rsidRDefault="00FA7226" w:rsidP="00B07533">
      <w:pPr>
        <w:ind w:left="357" w:hanging="357"/>
        <w:rPr>
          <w:sz w:val="20"/>
        </w:rPr>
      </w:pPr>
    </w:p>
    <w:p w:rsidR="00FA7226" w:rsidRPr="00893C26" w:rsidRDefault="00FA7226" w:rsidP="00B07533">
      <w:pPr>
        <w:pStyle w:val="ListParagraph"/>
        <w:numPr>
          <w:ilvl w:val="0"/>
          <w:numId w:val="8"/>
        </w:numPr>
        <w:ind w:left="357" w:hanging="357"/>
        <w:rPr>
          <w:sz w:val="20"/>
        </w:rPr>
      </w:pPr>
      <w:r w:rsidRPr="00893C26">
        <w:rPr>
          <w:i/>
          <w:sz w:val="20"/>
        </w:rPr>
        <w:t>AM Gold Inc. v. Kaizen Discovery Inc.</w:t>
      </w:r>
      <w:r w:rsidRPr="00893C26">
        <w:rPr>
          <w:sz w:val="20"/>
        </w:rPr>
        <w:t xml:space="preserve"> (B.C.) (Civil) (By Leave) (</w:t>
      </w:r>
      <w:hyperlink r:id="rId15" w:history="1">
        <w:r w:rsidRPr="00893C26">
          <w:rPr>
            <w:rStyle w:val="Hyperlink"/>
            <w:sz w:val="20"/>
          </w:rPr>
          <w:t>40</w:t>
        </w:r>
        <w:r w:rsidR="00B517DA" w:rsidRPr="00893C26">
          <w:rPr>
            <w:rStyle w:val="Hyperlink"/>
            <w:sz w:val="20"/>
          </w:rPr>
          <w:t>11</w:t>
        </w:r>
        <w:r w:rsidRPr="00893C26">
          <w:rPr>
            <w:rStyle w:val="Hyperlink"/>
            <w:sz w:val="20"/>
          </w:rPr>
          <w:t>1</w:t>
        </w:r>
      </w:hyperlink>
      <w:r w:rsidRPr="00893C26">
        <w:rPr>
          <w:sz w:val="20"/>
        </w:rPr>
        <w:t>)</w:t>
      </w:r>
    </w:p>
    <w:p w:rsidR="00FA7226" w:rsidRPr="00893C26" w:rsidRDefault="00FA7226" w:rsidP="00B07533">
      <w:pPr>
        <w:ind w:left="357" w:hanging="357"/>
        <w:rPr>
          <w:sz w:val="20"/>
        </w:rPr>
      </w:pPr>
    </w:p>
    <w:p w:rsidR="00FA7226" w:rsidRPr="00893C26" w:rsidRDefault="00FA7226" w:rsidP="00B07533">
      <w:pPr>
        <w:pStyle w:val="ListParagraph"/>
        <w:numPr>
          <w:ilvl w:val="0"/>
          <w:numId w:val="8"/>
        </w:numPr>
        <w:ind w:left="357" w:hanging="357"/>
        <w:rPr>
          <w:sz w:val="20"/>
          <w:lang w:val="fr-CA"/>
        </w:rPr>
      </w:pPr>
      <w:r w:rsidRPr="00893C26">
        <w:rPr>
          <w:i/>
          <w:sz w:val="20"/>
          <w:lang w:val="fr-CA"/>
        </w:rPr>
        <w:t>Alain Maïo c. Hugo Lambert</w:t>
      </w:r>
      <w:r w:rsidR="00B90239" w:rsidRPr="00893C26">
        <w:rPr>
          <w:i/>
          <w:sz w:val="20"/>
          <w:lang w:val="fr-CA"/>
        </w:rPr>
        <w:t>, et al.</w:t>
      </w:r>
      <w:r w:rsidRPr="00893C26">
        <w:rPr>
          <w:sz w:val="20"/>
          <w:lang w:val="fr-CA"/>
        </w:rPr>
        <w:t xml:space="preserve"> (Qc) (Civile) (Autorisation) (</w:t>
      </w:r>
      <w:hyperlink r:id="rId16" w:history="1">
        <w:r w:rsidRPr="00893C26">
          <w:rPr>
            <w:rStyle w:val="Hyperlink"/>
            <w:sz w:val="20"/>
            <w:lang w:val="fr-CA"/>
          </w:rPr>
          <w:t>40</w:t>
        </w:r>
        <w:r w:rsidR="00B90239" w:rsidRPr="00893C26">
          <w:rPr>
            <w:rStyle w:val="Hyperlink"/>
            <w:sz w:val="20"/>
            <w:lang w:val="fr-CA"/>
          </w:rPr>
          <w:t>1</w:t>
        </w:r>
        <w:r w:rsidRPr="00893C26">
          <w:rPr>
            <w:rStyle w:val="Hyperlink"/>
            <w:sz w:val="20"/>
            <w:lang w:val="fr-CA"/>
          </w:rPr>
          <w:t>31</w:t>
        </w:r>
      </w:hyperlink>
      <w:r w:rsidRPr="00893C26">
        <w:rPr>
          <w:sz w:val="20"/>
          <w:lang w:val="fr-CA"/>
        </w:rPr>
        <w:t>)</w:t>
      </w:r>
    </w:p>
    <w:p w:rsidR="00FA7226" w:rsidRPr="00893C26" w:rsidRDefault="00FA7226" w:rsidP="00B07533">
      <w:pPr>
        <w:ind w:left="357" w:hanging="357"/>
        <w:rPr>
          <w:sz w:val="20"/>
          <w:lang w:val="fr-CA"/>
        </w:rPr>
      </w:pPr>
    </w:p>
    <w:p w:rsidR="00FA7226" w:rsidRPr="00893C26" w:rsidRDefault="00FA7226" w:rsidP="00B07533">
      <w:pPr>
        <w:pStyle w:val="ListParagraph"/>
        <w:numPr>
          <w:ilvl w:val="0"/>
          <w:numId w:val="8"/>
        </w:numPr>
        <w:ind w:left="357" w:hanging="357"/>
        <w:rPr>
          <w:sz w:val="20"/>
        </w:rPr>
      </w:pPr>
      <w:r w:rsidRPr="00893C26">
        <w:rPr>
          <w:i/>
          <w:sz w:val="20"/>
        </w:rPr>
        <w:t>Russell Bidesi v. Her Majesty the Queen</w:t>
      </w:r>
      <w:r w:rsidRPr="00893C26">
        <w:rPr>
          <w:sz w:val="20"/>
        </w:rPr>
        <w:t xml:space="preserve"> (B.C.) (Criminal) (By Leave) (</w:t>
      </w:r>
      <w:hyperlink r:id="rId17" w:history="1">
        <w:r w:rsidR="00B90239" w:rsidRPr="00893C26">
          <w:rPr>
            <w:rStyle w:val="Hyperlink"/>
            <w:sz w:val="20"/>
          </w:rPr>
          <w:t>39827</w:t>
        </w:r>
      </w:hyperlink>
      <w:r w:rsidRPr="00893C26">
        <w:rPr>
          <w:sz w:val="20"/>
        </w:rPr>
        <w:t>)</w:t>
      </w:r>
    </w:p>
    <w:p w:rsidR="00FA7226" w:rsidRPr="00893C26" w:rsidRDefault="00FA7226" w:rsidP="00B07533">
      <w:pPr>
        <w:ind w:left="357" w:hanging="357"/>
        <w:rPr>
          <w:sz w:val="20"/>
        </w:rPr>
      </w:pPr>
    </w:p>
    <w:p w:rsidR="00FA7226" w:rsidRPr="00893C26" w:rsidRDefault="00FA7226" w:rsidP="00B07533">
      <w:pPr>
        <w:pStyle w:val="ListParagraph"/>
        <w:numPr>
          <w:ilvl w:val="0"/>
          <w:numId w:val="8"/>
        </w:numPr>
        <w:ind w:left="357" w:hanging="357"/>
        <w:rPr>
          <w:sz w:val="20"/>
        </w:rPr>
      </w:pPr>
      <w:r w:rsidRPr="00893C26">
        <w:rPr>
          <w:i/>
          <w:sz w:val="20"/>
        </w:rPr>
        <w:t>Marcel Chartier v. Serge Bibeau</w:t>
      </w:r>
      <w:r w:rsidRPr="00893C26">
        <w:rPr>
          <w:sz w:val="20"/>
        </w:rPr>
        <w:t xml:space="preserve"> (Man.) (Civil) (By Leave) (</w:t>
      </w:r>
      <w:hyperlink r:id="rId18" w:history="1">
        <w:r w:rsidRPr="00893C26">
          <w:rPr>
            <w:rStyle w:val="Hyperlink"/>
            <w:sz w:val="20"/>
          </w:rPr>
          <w:t>400</w:t>
        </w:r>
        <w:r w:rsidR="00B90239" w:rsidRPr="00893C26">
          <w:rPr>
            <w:rStyle w:val="Hyperlink"/>
            <w:sz w:val="20"/>
          </w:rPr>
          <w:t>8</w:t>
        </w:r>
        <w:r w:rsidRPr="00893C26">
          <w:rPr>
            <w:rStyle w:val="Hyperlink"/>
            <w:sz w:val="20"/>
          </w:rPr>
          <w:t>3</w:t>
        </w:r>
      </w:hyperlink>
      <w:r w:rsidRPr="00893C26">
        <w:rPr>
          <w:sz w:val="20"/>
        </w:rPr>
        <w:t>)</w:t>
      </w:r>
    </w:p>
    <w:p w:rsidR="00D800A0" w:rsidRPr="00893C26" w:rsidRDefault="00D800A0" w:rsidP="00B07533">
      <w:pPr>
        <w:ind w:left="357" w:hanging="357"/>
        <w:rPr>
          <w:sz w:val="20"/>
        </w:rPr>
      </w:pPr>
    </w:p>
    <w:p w:rsidR="00FA7226" w:rsidRPr="00893C26" w:rsidRDefault="00FA7226" w:rsidP="00B07533">
      <w:pPr>
        <w:pStyle w:val="ListParagraph"/>
        <w:numPr>
          <w:ilvl w:val="0"/>
          <w:numId w:val="8"/>
        </w:numPr>
        <w:ind w:left="357" w:hanging="357"/>
        <w:rPr>
          <w:sz w:val="20"/>
        </w:rPr>
      </w:pPr>
      <w:r w:rsidRPr="00893C26">
        <w:rPr>
          <w:i/>
          <w:sz w:val="20"/>
        </w:rPr>
        <w:t>Arthur Froom v. Sonia Lafontaine</w:t>
      </w:r>
      <w:r w:rsidR="00A518B0" w:rsidRPr="00893C26">
        <w:rPr>
          <w:sz w:val="20"/>
        </w:rPr>
        <w:t xml:space="preserve"> (Ont.) (Civil) (By Leave)</w:t>
      </w:r>
      <w:r w:rsidRPr="00893C26">
        <w:rPr>
          <w:sz w:val="20"/>
        </w:rPr>
        <w:t xml:space="preserve"> (</w:t>
      </w:r>
      <w:hyperlink r:id="rId19" w:history="1">
        <w:r w:rsidRPr="00893C26">
          <w:rPr>
            <w:rStyle w:val="Hyperlink"/>
            <w:sz w:val="20"/>
          </w:rPr>
          <w:t>400</w:t>
        </w:r>
        <w:r w:rsidR="00A518B0" w:rsidRPr="00893C26">
          <w:rPr>
            <w:rStyle w:val="Hyperlink"/>
            <w:sz w:val="20"/>
          </w:rPr>
          <w:t>9</w:t>
        </w:r>
        <w:r w:rsidRPr="00893C26">
          <w:rPr>
            <w:rStyle w:val="Hyperlink"/>
            <w:sz w:val="20"/>
          </w:rPr>
          <w:t>1</w:t>
        </w:r>
      </w:hyperlink>
      <w:r w:rsidRPr="00893C26">
        <w:rPr>
          <w:sz w:val="20"/>
        </w:rPr>
        <w:t>)</w:t>
      </w:r>
    </w:p>
    <w:p w:rsidR="00FA7226" w:rsidRPr="00893C26" w:rsidRDefault="00FA7226" w:rsidP="00B07533">
      <w:pPr>
        <w:pStyle w:val="ListParagraph"/>
        <w:ind w:left="357" w:hanging="357"/>
        <w:rPr>
          <w:sz w:val="20"/>
          <w:szCs w:val="20"/>
        </w:rPr>
      </w:pPr>
    </w:p>
    <w:p w:rsidR="00FA7226" w:rsidRPr="00893C26" w:rsidRDefault="00FA7226" w:rsidP="00B07533">
      <w:pPr>
        <w:pStyle w:val="ListParagraph"/>
        <w:numPr>
          <w:ilvl w:val="0"/>
          <w:numId w:val="8"/>
        </w:numPr>
        <w:ind w:left="357" w:hanging="357"/>
        <w:rPr>
          <w:sz w:val="20"/>
        </w:rPr>
      </w:pPr>
      <w:r w:rsidRPr="00893C26">
        <w:rPr>
          <w:i/>
          <w:sz w:val="20"/>
        </w:rPr>
        <w:t>Nikota Bangloy v. Attorney General of Canada</w:t>
      </w:r>
      <w:r w:rsidRPr="00893C26">
        <w:rPr>
          <w:sz w:val="20"/>
        </w:rPr>
        <w:t xml:space="preserve"> (F.C.) (Civil) (By Leave) (</w:t>
      </w:r>
      <w:hyperlink r:id="rId20" w:history="1">
        <w:r w:rsidRPr="00893C26">
          <w:rPr>
            <w:rStyle w:val="Hyperlink"/>
            <w:sz w:val="20"/>
          </w:rPr>
          <w:t>400</w:t>
        </w:r>
        <w:r w:rsidR="00A518B0" w:rsidRPr="00893C26">
          <w:rPr>
            <w:rStyle w:val="Hyperlink"/>
            <w:sz w:val="20"/>
          </w:rPr>
          <w:t>99</w:t>
        </w:r>
      </w:hyperlink>
      <w:r w:rsidRPr="00893C26">
        <w:rPr>
          <w:sz w:val="20"/>
        </w:rPr>
        <w:t>)</w:t>
      </w:r>
    </w:p>
    <w:p w:rsidR="007B67AD" w:rsidRPr="00893C26" w:rsidRDefault="007B67AD" w:rsidP="00B07533">
      <w:pPr>
        <w:ind w:left="357" w:hanging="357"/>
        <w:rPr>
          <w:sz w:val="20"/>
        </w:rPr>
      </w:pPr>
    </w:p>
    <w:p w:rsidR="007B67AD" w:rsidRPr="00893C26" w:rsidRDefault="007B67AD" w:rsidP="00B07533">
      <w:pPr>
        <w:pStyle w:val="SCCLsocParty"/>
        <w:numPr>
          <w:ilvl w:val="0"/>
          <w:numId w:val="8"/>
        </w:numPr>
        <w:ind w:left="357" w:hanging="357"/>
        <w:jc w:val="left"/>
        <w:rPr>
          <w:sz w:val="20"/>
          <w:szCs w:val="20"/>
          <w:lang w:val="en-US"/>
        </w:rPr>
      </w:pPr>
      <w:r w:rsidRPr="00893C26">
        <w:rPr>
          <w:i/>
          <w:sz w:val="20"/>
          <w:szCs w:val="20"/>
          <w:lang w:val="en-US"/>
        </w:rPr>
        <w:lastRenderedPageBreak/>
        <w:t xml:space="preserve">Todd Elliott Speck v. Ontario Labour Relations Board, </w:t>
      </w:r>
      <w:r w:rsidR="00D4720C" w:rsidRPr="00893C26">
        <w:rPr>
          <w:i/>
          <w:sz w:val="20"/>
          <w:szCs w:val="20"/>
          <w:lang w:val="en-US"/>
        </w:rPr>
        <w:t>et al.</w:t>
      </w:r>
      <w:r w:rsidRPr="00893C26">
        <w:rPr>
          <w:sz w:val="20"/>
          <w:szCs w:val="20"/>
          <w:lang w:val="en-US"/>
        </w:rPr>
        <w:t xml:space="preserve"> (Ont.) (Civil) (By Leave) </w:t>
      </w:r>
      <w:r w:rsidRPr="00893C26">
        <w:rPr>
          <w:sz w:val="20"/>
          <w:lang w:val="en-US"/>
        </w:rPr>
        <w:t>(</w:t>
      </w:r>
      <w:hyperlink r:id="rId21" w:history="1">
        <w:r w:rsidRPr="00893C26">
          <w:rPr>
            <w:rStyle w:val="Hyperlink"/>
            <w:sz w:val="20"/>
            <w:szCs w:val="20"/>
            <w:lang w:val="en-US"/>
          </w:rPr>
          <w:t>400</w:t>
        </w:r>
        <w:r w:rsidR="00D4720C" w:rsidRPr="00893C26">
          <w:rPr>
            <w:rStyle w:val="Hyperlink"/>
            <w:sz w:val="20"/>
            <w:szCs w:val="20"/>
            <w:lang w:val="en-US"/>
          </w:rPr>
          <w:t>92</w:t>
        </w:r>
      </w:hyperlink>
      <w:r w:rsidRPr="00893C26">
        <w:rPr>
          <w:sz w:val="20"/>
          <w:lang w:val="en-US"/>
        </w:rPr>
        <w:t>)</w:t>
      </w:r>
    </w:p>
    <w:p w:rsidR="007B67AD" w:rsidRPr="00893C26" w:rsidRDefault="007B67AD" w:rsidP="00B07533">
      <w:pPr>
        <w:ind w:left="357" w:hanging="357"/>
        <w:rPr>
          <w:sz w:val="20"/>
        </w:rPr>
      </w:pPr>
    </w:p>
    <w:p w:rsidR="007B67AD" w:rsidRPr="00893C26" w:rsidRDefault="007B67AD" w:rsidP="00B07533">
      <w:pPr>
        <w:pStyle w:val="SCCLsocParty"/>
        <w:numPr>
          <w:ilvl w:val="0"/>
          <w:numId w:val="8"/>
        </w:numPr>
        <w:ind w:left="357" w:hanging="357"/>
        <w:jc w:val="left"/>
        <w:rPr>
          <w:i/>
          <w:sz w:val="20"/>
          <w:szCs w:val="20"/>
        </w:rPr>
      </w:pPr>
      <w:r w:rsidRPr="00893C26">
        <w:rPr>
          <w:i/>
          <w:sz w:val="20"/>
          <w:szCs w:val="20"/>
        </w:rPr>
        <w:t>Elisa Angela Adili</w:t>
      </w:r>
      <w:r w:rsidR="00D4720C" w:rsidRPr="00893C26">
        <w:rPr>
          <w:i/>
          <w:sz w:val="20"/>
          <w:szCs w:val="20"/>
        </w:rPr>
        <w:t>, et al.</w:t>
      </w:r>
      <w:r w:rsidRPr="00893C26">
        <w:rPr>
          <w:i/>
          <w:sz w:val="20"/>
          <w:szCs w:val="20"/>
        </w:rPr>
        <w:t xml:space="preserve"> v. Homes of Distinction Inc., </w:t>
      </w:r>
      <w:r w:rsidR="00D4720C" w:rsidRPr="00893C26">
        <w:rPr>
          <w:i/>
          <w:sz w:val="20"/>
          <w:szCs w:val="20"/>
        </w:rPr>
        <w:t>et al.</w:t>
      </w:r>
      <w:r w:rsidRPr="00893C26">
        <w:rPr>
          <w:sz w:val="20"/>
          <w:szCs w:val="20"/>
        </w:rPr>
        <w:t xml:space="preserve"> (Ont.) (Civil) (By Leave) </w:t>
      </w:r>
      <w:r w:rsidRPr="00893C26">
        <w:rPr>
          <w:sz w:val="20"/>
        </w:rPr>
        <w:t>(</w:t>
      </w:r>
      <w:hyperlink r:id="rId22" w:history="1">
        <w:r w:rsidRPr="00893C26">
          <w:rPr>
            <w:rStyle w:val="Hyperlink"/>
            <w:sz w:val="20"/>
            <w:szCs w:val="20"/>
          </w:rPr>
          <w:t>40</w:t>
        </w:r>
        <w:r w:rsidR="00D4720C" w:rsidRPr="00893C26">
          <w:rPr>
            <w:rStyle w:val="Hyperlink"/>
            <w:sz w:val="20"/>
            <w:szCs w:val="20"/>
          </w:rPr>
          <w:t>116</w:t>
        </w:r>
      </w:hyperlink>
      <w:r w:rsidRPr="00893C26">
        <w:rPr>
          <w:sz w:val="20"/>
        </w:rPr>
        <w:t>)</w:t>
      </w:r>
    </w:p>
    <w:p w:rsidR="007B67AD" w:rsidRPr="00893C26" w:rsidRDefault="007B67AD" w:rsidP="00B07533">
      <w:pPr>
        <w:ind w:left="357" w:hanging="357"/>
        <w:rPr>
          <w:sz w:val="20"/>
          <w:lang w:val="fr-CA"/>
        </w:rPr>
      </w:pPr>
    </w:p>
    <w:p w:rsidR="007B67AD" w:rsidRPr="00893C26" w:rsidRDefault="007B67AD" w:rsidP="00B07533">
      <w:pPr>
        <w:pStyle w:val="SCCLsocParty"/>
        <w:numPr>
          <w:ilvl w:val="0"/>
          <w:numId w:val="8"/>
        </w:numPr>
        <w:ind w:left="357" w:hanging="357"/>
        <w:jc w:val="left"/>
        <w:rPr>
          <w:i/>
          <w:sz w:val="20"/>
          <w:szCs w:val="20"/>
        </w:rPr>
      </w:pPr>
      <w:r w:rsidRPr="00893C26">
        <w:rPr>
          <w:i/>
          <w:sz w:val="20"/>
          <w:szCs w:val="20"/>
        </w:rPr>
        <w:t xml:space="preserve">Denis Poirier, </w:t>
      </w:r>
      <w:r w:rsidR="00D4720C" w:rsidRPr="00893C26">
        <w:rPr>
          <w:i/>
          <w:sz w:val="20"/>
          <w:szCs w:val="20"/>
        </w:rPr>
        <w:t>et al.</w:t>
      </w:r>
      <w:r w:rsidRPr="00893C26">
        <w:rPr>
          <w:i/>
          <w:sz w:val="20"/>
          <w:szCs w:val="20"/>
        </w:rPr>
        <w:t xml:space="preserve"> c. Mathieu Ambroise, </w:t>
      </w:r>
      <w:r w:rsidR="00527335" w:rsidRPr="00893C26">
        <w:rPr>
          <w:i/>
          <w:sz w:val="20"/>
          <w:szCs w:val="20"/>
        </w:rPr>
        <w:t>et al.</w:t>
      </w:r>
      <w:r w:rsidRPr="00893C26">
        <w:rPr>
          <w:i/>
          <w:sz w:val="20"/>
          <w:szCs w:val="20"/>
        </w:rPr>
        <w:t xml:space="preserve"> </w:t>
      </w:r>
      <w:r w:rsidRPr="00893C26">
        <w:rPr>
          <w:sz w:val="20"/>
          <w:szCs w:val="20"/>
        </w:rPr>
        <w:t xml:space="preserve">(Qc) (Civile) (Autorisation) </w:t>
      </w:r>
      <w:r w:rsidRPr="00893C26">
        <w:rPr>
          <w:sz w:val="20"/>
        </w:rPr>
        <w:t>(</w:t>
      </w:r>
      <w:hyperlink r:id="rId23" w:history="1">
        <w:r w:rsidRPr="00893C26">
          <w:rPr>
            <w:rStyle w:val="Hyperlink"/>
            <w:sz w:val="20"/>
            <w:szCs w:val="20"/>
          </w:rPr>
          <w:t>40</w:t>
        </w:r>
        <w:r w:rsidR="00527335" w:rsidRPr="00893C26">
          <w:rPr>
            <w:rStyle w:val="Hyperlink"/>
            <w:sz w:val="20"/>
            <w:szCs w:val="20"/>
          </w:rPr>
          <w:t>146</w:t>
        </w:r>
      </w:hyperlink>
      <w:r w:rsidRPr="00893C26">
        <w:rPr>
          <w:sz w:val="20"/>
        </w:rPr>
        <w:t>)</w:t>
      </w:r>
    </w:p>
    <w:p w:rsidR="007B67AD" w:rsidRPr="00893C26" w:rsidRDefault="007B67AD" w:rsidP="00B07533">
      <w:pPr>
        <w:ind w:left="357" w:hanging="357"/>
        <w:rPr>
          <w:sz w:val="20"/>
          <w:lang w:val="fr-CA"/>
        </w:rPr>
      </w:pPr>
    </w:p>
    <w:p w:rsidR="007B67AD" w:rsidRPr="00893C26" w:rsidRDefault="007B67AD" w:rsidP="00B07533">
      <w:pPr>
        <w:pStyle w:val="ListParagraph"/>
        <w:numPr>
          <w:ilvl w:val="0"/>
          <w:numId w:val="8"/>
        </w:numPr>
        <w:ind w:left="357" w:hanging="357"/>
        <w:rPr>
          <w:sz w:val="20"/>
        </w:rPr>
      </w:pPr>
      <w:r w:rsidRPr="00893C26">
        <w:rPr>
          <w:rFonts w:eastAsia="Calibri"/>
          <w:i/>
          <w:sz w:val="20"/>
        </w:rPr>
        <w:t xml:space="preserve">Amarjot Lamba, </w:t>
      </w:r>
      <w:r w:rsidR="00527335" w:rsidRPr="00893C26">
        <w:rPr>
          <w:rFonts w:eastAsia="Calibri"/>
          <w:i/>
          <w:sz w:val="20"/>
        </w:rPr>
        <w:t>et al.</w:t>
      </w:r>
      <w:r w:rsidRPr="00893C26">
        <w:rPr>
          <w:rFonts w:eastAsia="Calibri"/>
          <w:i/>
          <w:sz w:val="20"/>
        </w:rPr>
        <w:t xml:space="preserve"> v. Michael Mitchell, </w:t>
      </w:r>
      <w:r w:rsidR="00527335" w:rsidRPr="00893C26">
        <w:rPr>
          <w:rFonts w:eastAsia="Calibri"/>
          <w:i/>
          <w:sz w:val="20"/>
        </w:rPr>
        <w:t>et al.</w:t>
      </w:r>
      <w:r w:rsidR="00527335" w:rsidRPr="00893C26">
        <w:rPr>
          <w:sz w:val="20"/>
        </w:rPr>
        <w:t xml:space="preserve"> (Ont.) (Civil) (By Leave)</w:t>
      </w:r>
      <w:r w:rsidRPr="00893C26">
        <w:rPr>
          <w:sz w:val="20"/>
        </w:rPr>
        <w:t xml:space="preserve"> (</w:t>
      </w:r>
      <w:hyperlink r:id="rId24" w:history="1">
        <w:r w:rsidRPr="00893C26">
          <w:rPr>
            <w:rStyle w:val="Hyperlink"/>
            <w:sz w:val="20"/>
          </w:rPr>
          <w:t>40</w:t>
        </w:r>
        <w:r w:rsidR="00527335" w:rsidRPr="00893C26">
          <w:rPr>
            <w:rStyle w:val="Hyperlink"/>
            <w:sz w:val="20"/>
          </w:rPr>
          <w:t>1</w:t>
        </w:r>
        <w:r w:rsidRPr="00893C26">
          <w:rPr>
            <w:rStyle w:val="Hyperlink"/>
            <w:sz w:val="20"/>
          </w:rPr>
          <w:t>8</w:t>
        </w:r>
        <w:r w:rsidR="00527335" w:rsidRPr="00893C26">
          <w:rPr>
            <w:rStyle w:val="Hyperlink"/>
            <w:sz w:val="20"/>
          </w:rPr>
          <w:t>2</w:t>
        </w:r>
      </w:hyperlink>
      <w:r w:rsidRPr="00893C26">
        <w:rPr>
          <w:sz w:val="20"/>
        </w:rPr>
        <w:t>)</w:t>
      </w:r>
    </w:p>
    <w:p w:rsidR="007B67AD" w:rsidRPr="00893C26" w:rsidRDefault="007B67AD" w:rsidP="00B07533">
      <w:pPr>
        <w:ind w:left="357" w:hanging="357"/>
        <w:rPr>
          <w:sz w:val="20"/>
        </w:rPr>
      </w:pPr>
    </w:p>
    <w:p w:rsidR="007B67AD" w:rsidRPr="00893C26" w:rsidRDefault="007B67AD" w:rsidP="00B07533">
      <w:pPr>
        <w:pStyle w:val="SCCLsocParty"/>
        <w:numPr>
          <w:ilvl w:val="0"/>
          <w:numId w:val="8"/>
        </w:numPr>
        <w:ind w:left="357" w:hanging="357"/>
        <w:jc w:val="left"/>
        <w:rPr>
          <w:i/>
          <w:sz w:val="20"/>
          <w:szCs w:val="20"/>
          <w:lang w:val="en-US"/>
        </w:rPr>
      </w:pPr>
      <w:r w:rsidRPr="00893C26">
        <w:rPr>
          <w:i/>
          <w:sz w:val="20"/>
          <w:szCs w:val="20"/>
          <w:lang w:val="en-US"/>
        </w:rPr>
        <w:t>Grant Jonathan Hjorleifson v. Her Majesty the Queen</w:t>
      </w:r>
      <w:r w:rsidRPr="00893C26">
        <w:rPr>
          <w:sz w:val="20"/>
          <w:szCs w:val="20"/>
          <w:lang w:val="en-US"/>
        </w:rPr>
        <w:t xml:space="preserve"> (Man.) (Criminal) (By Leave) </w:t>
      </w:r>
      <w:r w:rsidR="00B07533" w:rsidRPr="00893C26">
        <w:rPr>
          <w:sz w:val="20"/>
          <w:lang w:val="en-US"/>
        </w:rPr>
        <w:t>(</w:t>
      </w:r>
      <w:hyperlink r:id="rId25" w:history="1">
        <w:r w:rsidR="00B07533" w:rsidRPr="00893C26">
          <w:rPr>
            <w:rStyle w:val="Hyperlink"/>
            <w:sz w:val="20"/>
            <w:szCs w:val="20"/>
          </w:rPr>
          <w:t>40</w:t>
        </w:r>
        <w:r w:rsidR="00527335" w:rsidRPr="00893C26">
          <w:rPr>
            <w:rStyle w:val="Hyperlink"/>
            <w:sz w:val="20"/>
            <w:szCs w:val="20"/>
          </w:rPr>
          <w:t>255</w:t>
        </w:r>
      </w:hyperlink>
      <w:r w:rsidR="00B07533" w:rsidRPr="00893C26">
        <w:rPr>
          <w:sz w:val="20"/>
        </w:rPr>
        <w:t>)</w:t>
      </w:r>
    </w:p>
    <w:p w:rsidR="007B67AD" w:rsidRPr="00893C26" w:rsidRDefault="007B67AD" w:rsidP="00B07533">
      <w:pPr>
        <w:ind w:left="357" w:hanging="357"/>
        <w:rPr>
          <w:sz w:val="20"/>
        </w:rPr>
      </w:pPr>
    </w:p>
    <w:p w:rsidR="007B67AD" w:rsidRPr="00893C26" w:rsidRDefault="007B67AD" w:rsidP="00B07533">
      <w:pPr>
        <w:pStyle w:val="SCCLsocParty"/>
        <w:numPr>
          <w:ilvl w:val="0"/>
          <w:numId w:val="8"/>
        </w:numPr>
        <w:ind w:left="357" w:hanging="357"/>
        <w:jc w:val="left"/>
        <w:rPr>
          <w:i/>
          <w:sz w:val="20"/>
          <w:szCs w:val="20"/>
          <w:lang w:val="en-US"/>
        </w:rPr>
      </w:pPr>
      <w:r w:rsidRPr="00893C26">
        <w:rPr>
          <w:i/>
          <w:sz w:val="20"/>
          <w:szCs w:val="20"/>
        </w:rPr>
        <w:t xml:space="preserve">Alexander Davidoff, </w:t>
      </w:r>
      <w:r w:rsidR="00EA5D0E" w:rsidRPr="00893C26">
        <w:rPr>
          <w:i/>
          <w:sz w:val="20"/>
          <w:szCs w:val="20"/>
        </w:rPr>
        <w:t>et al.</w:t>
      </w:r>
      <w:r w:rsidRPr="00893C26">
        <w:rPr>
          <w:i/>
          <w:sz w:val="20"/>
          <w:szCs w:val="20"/>
        </w:rPr>
        <w:t xml:space="preserve"> v. Rachel Goerz, </w:t>
      </w:r>
      <w:r w:rsidR="00EA5D0E" w:rsidRPr="00893C26">
        <w:rPr>
          <w:i/>
          <w:sz w:val="20"/>
          <w:szCs w:val="20"/>
        </w:rPr>
        <w:t>et al.</w:t>
      </w:r>
      <w:r w:rsidRPr="00893C26">
        <w:rPr>
          <w:sz w:val="20"/>
          <w:szCs w:val="20"/>
        </w:rPr>
        <w:t xml:space="preserve"> </w:t>
      </w:r>
      <w:r w:rsidRPr="00893C26">
        <w:rPr>
          <w:sz w:val="20"/>
          <w:szCs w:val="20"/>
          <w:lang w:val="en-US"/>
        </w:rPr>
        <w:t xml:space="preserve">(Ont.) (Civil) (By Leave) </w:t>
      </w:r>
      <w:r w:rsidR="00B07533" w:rsidRPr="00893C26">
        <w:rPr>
          <w:sz w:val="20"/>
          <w:lang w:val="en-US"/>
        </w:rPr>
        <w:t>(</w:t>
      </w:r>
      <w:hyperlink r:id="rId26" w:history="1">
        <w:r w:rsidR="00B07533" w:rsidRPr="00893C26">
          <w:rPr>
            <w:rStyle w:val="Hyperlink"/>
            <w:sz w:val="20"/>
            <w:szCs w:val="20"/>
            <w:lang w:val="en-US"/>
          </w:rPr>
          <w:t>40</w:t>
        </w:r>
        <w:r w:rsidR="00EA5D0E" w:rsidRPr="00893C26">
          <w:rPr>
            <w:rStyle w:val="Hyperlink"/>
            <w:sz w:val="20"/>
            <w:szCs w:val="20"/>
            <w:lang w:val="en-US"/>
          </w:rPr>
          <w:t>125</w:t>
        </w:r>
      </w:hyperlink>
      <w:r w:rsidR="00B07533" w:rsidRPr="00893C26">
        <w:rPr>
          <w:sz w:val="20"/>
          <w:lang w:val="en-US"/>
        </w:rPr>
        <w:t>)</w:t>
      </w:r>
    </w:p>
    <w:p w:rsidR="007B67AD" w:rsidRPr="00893C26" w:rsidRDefault="007B67AD" w:rsidP="0053032E">
      <w:pPr>
        <w:rPr>
          <w:sz w:val="20"/>
        </w:rPr>
      </w:pPr>
    </w:p>
    <w:p w:rsidR="0057402C" w:rsidRPr="00893C26" w:rsidRDefault="00893C26" w:rsidP="0053032E">
      <w:pPr>
        <w:widowControl w:val="0"/>
        <w:jc w:val="both"/>
        <w:rPr>
          <w:sz w:val="20"/>
        </w:rPr>
      </w:pPr>
      <w:r w:rsidRPr="00893C26">
        <w:rPr>
          <w:sz w:val="20"/>
        </w:rPr>
        <w:pict>
          <v:rect id="_x0000_i1026" style="width:2in;height:1pt" o:hrpct="0" o:hralign="center" o:hrstd="t" o:hrnoshade="t" o:hr="t" fillcolor="black [3213]" stroked="f"/>
        </w:pict>
      </w:r>
    </w:p>
    <w:p w:rsidR="00D76A1F" w:rsidRPr="00893C26" w:rsidRDefault="00D76A1F" w:rsidP="002B2C2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464" w:rsidRPr="00893C26" w:rsidTr="00407464">
        <w:tc>
          <w:tcPr>
            <w:tcW w:w="543" w:type="pct"/>
          </w:tcPr>
          <w:p w:rsidR="00407464" w:rsidRPr="00893C26" w:rsidRDefault="00407464" w:rsidP="002B2C2E">
            <w:pPr>
              <w:jc w:val="both"/>
              <w:rPr>
                <w:sz w:val="20"/>
              </w:rPr>
            </w:pPr>
            <w:r w:rsidRPr="00893C26">
              <w:rPr>
                <w:rStyle w:val="SCCFileNumberChar"/>
                <w:sz w:val="20"/>
                <w:szCs w:val="20"/>
              </w:rPr>
              <w:t>40088</w:t>
            </w:r>
          </w:p>
        </w:tc>
        <w:tc>
          <w:tcPr>
            <w:tcW w:w="4457" w:type="pct"/>
            <w:gridSpan w:val="3"/>
          </w:tcPr>
          <w:p w:rsidR="00407464" w:rsidRPr="00893C26" w:rsidRDefault="00407464" w:rsidP="002B2C2E">
            <w:pPr>
              <w:pStyle w:val="SCCLsocParty"/>
              <w:jc w:val="both"/>
              <w:rPr>
                <w:b/>
                <w:sz w:val="20"/>
                <w:szCs w:val="20"/>
                <w:lang w:val="en-US"/>
              </w:rPr>
            </w:pPr>
            <w:r w:rsidRPr="00893C26">
              <w:rPr>
                <w:b/>
                <w:sz w:val="20"/>
                <w:szCs w:val="20"/>
                <w:lang w:val="en-US"/>
              </w:rPr>
              <w:t>Justice Okojie v. Her Majesty the Queen</w:t>
            </w:r>
          </w:p>
          <w:p w:rsidR="00407464" w:rsidRPr="00893C26" w:rsidRDefault="00407464" w:rsidP="002B2C2E">
            <w:pPr>
              <w:jc w:val="both"/>
              <w:rPr>
                <w:sz w:val="20"/>
              </w:rPr>
            </w:pPr>
            <w:r w:rsidRPr="00893C26">
              <w:rPr>
                <w:sz w:val="20"/>
              </w:rPr>
              <w:t>(Ont.) (Criminal) (By Leave)</w:t>
            </w:r>
          </w:p>
        </w:tc>
      </w:tr>
      <w:tr w:rsidR="00407464" w:rsidRPr="00893C26" w:rsidTr="00407464">
        <w:tc>
          <w:tcPr>
            <w:tcW w:w="5000" w:type="pct"/>
            <w:gridSpan w:val="4"/>
          </w:tcPr>
          <w:p w:rsidR="00407464" w:rsidRPr="00893C26" w:rsidRDefault="00407464" w:rsidP="002B2C2E">
            <w:pPr>
              <w:jc w:val="both"/>
              <w:rPr>
                <w:sz w:val="20"/>
              </w:rPr>
            </w:pPr>
            <w:r w:rsidRPr="00893C26">
              <w:rPr>
                <w:sz w:val="20"/>
              </w:rPr>
              <w:t xml:space="preserve">Criminal law — Offences — Elements of offence — </w:t>
            </w:r>
            <w:r w:rsidRPr="00893C26">
              <w:rPr>
                <w:color w:val="000000"/>
                <w:sz w:val="20"/>
              </w:rPr>
              <w:t xml:space="preserve">Offence of importing a scheduled controlled substance </w:t>
            </w:r>
            <w:r w:rsidRPr="00893C26">
              <w:rPr>
                <w:sz w:val="20"/>
              </w:rPr>
              <w:t>—</w:t>
            </w:r>
            <w:r w:rsidRPr="00893C26">
              <w:rPr>
                <w:color w:val="000000"/>
                <w:sz w:val="20"/>
              </w:rPr>
              <w:t xml:space="preserve"> Meaning of “importing” and “enters the country” </w:t>
            </w:r>
            <w:r w:rsidRPr="00893C26">
              <w:rPr>
                <w:sz w:val="20"/>
              </w:rPr>
              <w:t xml:space="preserve">— When is an importing offence complete — When does contraband enter the country within the meaning of </w:t>
            </w:r>
            <w:r w:rsidRPr="00893C26">
              <w:rPr>
                <w:i/>
                <w:sz w:val="20"/>
              </w:rPr>
              <w:t>Bell v. The Queen</w:t>
            </w:r>
            <w:r w:rsidRPr="00893C26">
              <w:rPr>
                <w:sz w:val="20"/>
              </w:rPr>
              <w:t>, [1983] 2 S.C.R. 471 — Did the Court of Appeal err in upholding the trial judge’s conclusion that the applicant’s knowledge of a controlled substance in the imported package was the only reasonable inference?</w:t>
            </w:r>
          </w:p>
        </w:tc>
      </w:tr>
      <w:tr w:rsidR="00407464" w:rsidRPr="00893C26" w:rsidTr="00407464">
        <w:tc>
          <w:tcPr>
            <w:tcW w:w="5000" w:type="pct"/>
            <w:gridSpan w:val="4"/>
          </w:tcPr>
          <w:p w:rsidR="00407464" w:rsidRPr="00893C26" w:rsidRDefault="00407464" w:rsidP="002B2C2E">
            <w:pPr>
              <w:jc w:val="both"/>
              <w:rPr>
                <w:sz w:val="20"/>
              </w:rPr>
            </w:pPr>
          </w:p>
          <w:p w:rsidR="00407464" w:rsidRPr="00893C26" w:rsidRDefault="00407464" w:rsidP="002B2C2E">
            <w:pPr>
              <w:jc w:val="both"/>
              <w:rPr>
                <w:sz w:val="20"/>
              </w:rPr>
            </w:pPr>
            <w:r w:rsidRPr="00893C26">
              <w:rPr>
                <w:color w:val="000000"/>
                <w:sz w:val="20"/>
              </w:rPr>
              <w:t>A FedEx package was intercepted by officials at U.S. Customs and inspected. The label on the package said “beauty products”. Inside the package were mascara tubes which contained heroin. The package was turned over to the Canadian Border Services Agency, and thereafter to the RCMP who removed all but one gram of the heroin from the tubes and substituted it with regular mascara. An undercover police officer wearing the uniform of a FedEx delivery operator drove a FedEx delivery truck to 10 Haynes Avenue in North York. The package was addressed to “Abel Morrison” of 10 Haynes Ave., North York. The package was delivered to the applicant. The applicant paid the duty owing in cash, signed for the package, got a receipt, and drove away. About an hour later, the applicant was arrested. The applicant was convicted of importing heroin and possession of heroin for the purpose of trafficking. His appeal was dismissed.</w:t>
            </w:r>
          </w:p>
        </w:tc>
      </w:tr>
      <w:tr w:rsidR="00407464" w:rsidRPr="00893C26" w:rsidTr="00407464">
        <w:tc>
          <w:tcPr>
            <w:tcW w:w="5000" w:type="pct"/>
            <w:gridSpan w:val="4"/>
          </w:tcPr>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December 2, 2019</w:t>
            </w:r>
          </w:p>
          <w:p w:rsidR="00407464" w:rsidRPr="00893C26" w:rsidRDefault="00407464" w:rsidP="002B2C2E">
            <w:pPr>
              <w:jc w:val="both"/>
              <w:rPr>
                <w:sz w:val="20"/>
              </w:rPr>
            </w:pPr>
            <w:r w:rsidRPr="00893C26">
              <w:rPr>
                <w:sz w:val="20"/>
              </w:rPr>
              <w:t>Ontario Superior Court of Justice</w:t>
            </w:r>
          </w:p>
          <w:p w:rsidR="00407464" w:rsidRPr="00893C26" w:rsidRDefault="00407464" w:rsidP="002B2C2E">
            <w:pPr>
              <w:jc w:val="both"/>
              <w:rPr>
                <w:sz w:val="20"/>
              </w:rPr>
            </w:pPr>
            <w:r w:rsidRPr="00893C26">
              <w:rPr>
                <w:sz w:val="20"/>
              </w:rPr>
              <w:t>(Woollcombe J.)</w:t>
            </w:r>
          </w:p>
          <w:p w:rsidR="00407464" w:rsidRPr="00893C26" w:rsidRDefault="00893C26" w:rsidP="002B2C2E">
            <w:pPr>
              <w:jc w:val="both"/>
              <w:rPr>
                <w:sz w:val="20"/>
              </w:rPr>
            </w:pPr>
            <w:hyperlink r:id="rId27" w:history="1">
              <w:r w:rsidR="00407464" w:rsidRPr="00893C26">
                <w:rPr>
                  <w:rStyle w:val="Hyperlink"/>
                  <w:sz w:val="20"/>
                </w:rPr>
                <w:t>2019 ONSC 6898</w:t>
              </w:r>
            </w:hyperlink>
          </w:p>
          <w:p w:rsidR="00407464" w:rsidRPr="00893C26" w:rsidRDefault="00407464" w:rsidP="002B2C2E">
            <w:pPr>
              <w:jc w:val="both"/>
              <w:rPr>
                <w:sz w:val="20"/>
              </w:rPr>
            </w:pP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color w:val="000000"/>
                <w:sz w:val="20"/>
              </w:rPr>
              <w:t>Convictions entered: importing heroin and possession of heroin for the purpose of trafficking</w:t>
            </w:r>
          </w:p>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November 2, 2021</w:t>
            </w:r>
          </w:p>
          <w:p w:rsidR="00407464" w:rsidRPr="00893C26" w:rsidRDefault="00407464" w:rsidP="002B2C2E">
            <w:pPr>
              <w:jc w:val="both"/>
              <w:rPr>
                <w:sz w:val="20"/>
              </w:rPr>
            </w:pPr>
            <w:r w:rsidRPr="00893C26">
              <w:rPr>
                <w:sz w:val="20"/>
              </w:rPr>
              <w:t>Court of Appeal for Ontario</w:t>
            </w:r>
          </w:p>
          <w:p w:rsidR="00407464" w:rsidRPr="00893C26" w:rsidRDefault="00407464" w:rsidP="002B2C2E">
            <w:pPr>
              <w:jc w:val="both"/>
              <w:rPr>
                <w:sz w:val="20"/>
              </w:rPr>
            </w:pPr>
            <w:r w:rsidRPr="00893C26">
              <w:rPr>
                <w:sz w:val="20"/>
              </w:rPr>
              <w:t xml:space="preserve">(Doherty, Watt, van Rensburg, Benotto, </w:t>
            </w:r>
          </w:p>
          <w:p w:rsidR="00407464" w:rsidRPr="00893C26" w:rsidRDefault="00407464" w:rsidP="002B2C2E">
            <w:pPr>
              <w:jc w:val="both"/>
              <w:rPr>
                <w:sz w:val="20"/>
              </w:rPr>
            </w:pPr>
            <w:r w:rsidRPr="00893C26">
              <w:rPr>
                <w:sz w:val="20"/>
              </w:rPr>
              <w:t>Nordheimer JJ.A.)</w:t>
            </w:r>
          </w:p>
          <w:p w:rsidR="00407464" w:rsidRPr="00893C26" w:rsidRDefault="00407464" w:rsidP="002B2C2E">
            <w:pPr>
              <w:jc w:val="both"/>
              <w:rPr>
                <w:sz w:val="20"/>
              </w:rPr>
            </w:pPr>
            <w:r w:rsidRPr="00893C26">
              <w:rPr>
                <w:sz w:val="20"/>
              </w:rPr>
              <w:t xml:space="preserve">C68428; </w:t>
            </w:r>
            <w:hyperlink r:id="rId28" w:history="1">
              <w:r w:rsidRPr="00893C26">
                <w:rPr>
                  <w:rStyle w:val="Hyperlink"/>
                  <w:sz w:val="20"/>
                </w:rPr>
                <w:t>2021 ONCA 773</w:t>
              </w:r>
            </w:hyperlink>
          </w:p>
          <w:p w:rsidR="00407464" w:rsidRPr="00893C26" w:rsidRDefault="00407464" w:rsidP="002B2C2E">
            <w:pPr>
              <w:jc w:val="both"/>
              <w:rPr>
                <w:sz w:val="20"/>
              </w:rPr>
            </w:pP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Appeal dismissed</w:t>
            </w:r>
          </w:p>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March 17, 2022</w:t>
            </w:r>
          </w:p>
          <w:p w:rsidR="00407464" w:rsidRPr="00893C26" w:rsidRDefault="00407464" w:rsidP="002B2C2E">
            <w:pPr>
              <w:jc w:val="both"/>
              <w:rPr>
                <w:sz w:val="20"/>
              </w:rPr>
            </w:pPr>
            <w:r w:rsidRPr="00893C26">
              <w:rPr>
                <w:sz w:val="20"/>
              </w:rPr>
              <w:t>Supreme Court of Canada</w:t>
            </w:r>
          </w:p>
          <w:p w:rsidR="00407464" w:rsidRPr="00893C26" w:rsidRDefault="00407464" w:rsidP="002B2C2E">
            <w:pPr>
              <w:jc w:val="both"/>
              <w:rPr>
                <w:sz w:val="20"/>
              </w:rPr>
            </w:pP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Motion for an extension of time to serve and file application for leave to appeal and application for leave to appeal filed</w:t>
            </w:r>
          </w:p>
        </w:tc>
      </w:tr>
    </w:tbl>
    <w:p w:rsidR="00407464" w:rsidRPr="00893C26" w:rsidRDefault="00407464" w:rsidP="002B2C2E">
      <w:pPr>
        <w:jc w:val="both"/>
        <w:rPr>
          <w:sz w:val="20"/>
        </w:rPr>
      </w:pPr>
    </w:p>
    <w:p w:rsidR="002B2C2E" w:rsidRPr="00893C26" w:rsidRDefault="00893C26" w:rsidP="002B2C2E">
      <w:pPr>
        <w:jc w:val="both"/>
        <w:rPr>
          <w:sz w:val="20"/>
        </w:rPr>
      </w:pPr>
      <w:r w:rsidRPr="00893C26">
        <w:rPr>
          <w:sz w:val="20"/>
        </w:rPr>
        <w:pict>
          <v:rect id="_x0000_i1027" style="width:2in;height:1pt" o:hrpct="0" o:hralign="center" o:hrstd="t" o:hrnoshade="t" o:hr="t" fillcolor="black [3213]" stroked="f"/>
        </w:pict>
      </w:r>
    </w:p>
    <w:p w:rsidR="002B2C2E" w:rsidRPr="00893C26" w:rsidRDefault="002B2C2E" w:rsidP="002B2C2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464" w:rsidRPr="00893C26" w:rsidTr="00407464">
        <w:tc>
          <w:tcPr>
            <w:tcW w:w="543" w:type="pct"/>
          </w:tcPr>
          <w:p w:rsidR="00407464" w:rsidRPr="00893C26" w:rsidRDefault="00407464" w:rsidP="002B2C2E">
            <w:pPr>
              <w:jc w:val="both"/>
              <w:rPr>
                <w:sz w:val="20"/>
                <w:lang w:val="fr-CA"/>
              </w:rPr>
            </w:pPr>
            <w:r w:rsidRPr="00893C26">
              <w:rPr>
                <w:rStyle w:val="SCCFileNumberChar"/>
                <w:sz w:val="20"/>
                <w:szCs w:val="20"/>
                <w:lang w:val="fr-CA"/>
              </w:rPr>
              <w:t>40088</w:t>
            </w:r>
          </w:p>
        </w:tc>
        <w:tc>
          <w:tcPr>
            <w:tcW w:w="4457" w:type="pct"/>
            <w:gridSpan w:val="3"/>
          </w:tcPr>
          <w:p w:rsidR="00407464" w:rsidRPr="00893C26" w:rsidRDefault="00407464" w:rsidP="002B2C2E">
            <w:pPr>
              <w:pStyle w:val="SCCLsocParty"/>
              <w:jc w:val="both"/>
              <w:rPr>
                <w:b/>
                <w:sz w:val="20"/>
                <w:szCs w:val="20"/>
              </w:rPr>
            </w:pPr>
            <w:r w:rsidRPr="00893C26">
              <w:rPr>
                <w:b/>
                <w:sz w:val="20"/>
                <w:szCs w:val="20"/>
              </w:rPr>
              <w:t>Justice Okojie c. Sa Majesté la Reine</w:t>
            </w:r>
          </w:p>
          <w:p w:rsidR="00407464" w:rsidRPr="00893C26" w:rsidRDefault="00407464" w:rsidP="002B2C2E">
            <w:pPr>
              <w:jc w:val="both"/>
              <w:rPr>
                <w:sz w:val="20"/>
                <w:lang w:val="fr-CA"/>
              </w:rPr>
            </w:pPr>
            <w:r w:rsidRPr="00893C26">
              <w:rPr>
                <w:sz w:val="20"/>
                <w:lang w:val="fr-CA"/>
              </w:rPr>
              <w:t>(Ont.) (</w:t>
            </w:r>
            <w:r w:rsidR="002B2C2E" w:rsidRPr="00893C26">
              <w:rPr>
                <w:sz w:val="20"/>
                <w:lang w:val="fr-CA"/>
              </w:rPr>
              <w:t>C</w:t>
            </w:r>
            <w:r w:rsidRPr="00893C26">
              <w:rPr>
                <w:sz w:val="20"/>
                <w:lang w:val="fr-CA"/>
              </w:rPr>
              <w:t>riminelle) (</w:t>
            </w:r>
            <w:r w:rsidR="002B2C2E" w:rsidRPr="00893C26">
              <w:rPr>
                <w:sz w:val="20"/>
                <w:lang w:val="fr-CA"/>
              </w:rPr>
              <w:t>S</w:t>
            </w:r>
            <w:r w:rsidRPr="00893C26">
              <w:rPr>
                <w:sz w:val="20"/>
                <w:lang w:val="fr-CA"/>
              </w:rPr>
              <w:t>ur autorisation)</w:t>
            </w:r>
          </w:p>
        </w:tc>
      </w:tr>
      <w:tr w:rsidR="00407464" w:rsidRPr="00893C26" w:rsidTr="00407464">
        <w:tc>
          <w:tcPr>
            <w:tcW w:w="5000" w:type="pct"/>
            <w:gridSpan w:val="4"/>
          </w:tcPr>
          <w:p w:rsidR="00407464" w:rsidRPr="00893C26" w:rsidRDefault="00407464" w:rsidP="002B2C2E">
            <w:pPr>
              <w:jc w:val="both"/>
              <w:rPr>
                <w:sz w:val="20"/>
                <w:lang w:val="fr-CA"/>
              </w:rPr>
            </w:pPr>
            <w:r w:rsidRPr="00893C26">
              <w:rPr>
                <w:sz w:val="20"/>
                <w:lang w:val="fr-CA"/>
              </w:rPr>
              <w:t>Droit criminel — Infractions — Éléments de l’infraction —</w:t>
            </w:r>
            <w:r w:rsidRPr="00893C26">
              <w:rPr>
                <w:color w:val="000000"/>
                <w:sz w:val="20"/>
                <w:lang w:val="fr-CA"/>
              </w:rPr>
              <w:t xml:space="preserve"> </w:t>
            </w:r>
            <w:r w:rsidRPr="00893C26">
              <w:rPr>
                <w:sz w:val="20"/>
                <w:lang w:val="fr-CA"/>
              </w:rPr>
              <w:t>Infraction d’importation d’une substance désignée —</w:t>
            </w:r>
            <w:r w:rsidRPr="00893C26">
              <w:rPr>
                <w:color w:val="000000"/>
                <w:sz w:val="20"/>
                <w:lang w:val="fr-CA"/>
              </w:rPr>
              <w:t xml:space="preserve"> Sens d’« importation » et d’« entre au pays » </w:t>
            </w:r>
            <w:r w:rsidRPr="00893C26">
              <w:rPr>
                <w:sz w:val="20"/>
                <w:lang w:val="fr-CA"/>
              </w:rPr>
              <w:t xml:space="preserve">— À quel moment une infraction d’importation est-elle complète ? — À quel moment la contrebande entre-t-elle au pays au sens de l’arrêt </w:t>
            </w:r>
            <w:r w:rsidRPr="00893C26">
              <w:rPr>
                <w:i/>
                <w:sz w:val="20"/>
                <w:lang w:val="fr-CA"/>
              </w:rPr>
              <w:t>Bell c. la Reine</w:t>
            </w:r>
            <w:r w:rsidRPr="00893C26">
              <w:rPr>
                <w:sz w:val="20"/>
                <w:lang w:val="fr-CA"/>
              </w:rPr>
              <w:t>, [1983] 2 R.C.S. 471 ? — La Cour d’appel a-t-elle commis une erreur en confirmant la conclusion de la juge de première instance portant que la seule inférence raisonnable était que le demandeur savait qu’il y avait une substance désignée dans le colis importé ?</w:t>
            </w:r>
          </w:p>
        </w:tc>
      </w:tr>
      <w:tr w:rsidR="00407464" w:rsidRPr="00893C26" w:rsidTr="00407464">
        <w:tc>
          <w:tcPr>
            <w:tcW w:w="5000" w:type="pct"/>
            <w:gridSpan w:val="4"/>
          </w:tcPr>
          <w:p w:rsidR="00407464" w:rsidRPr="00893C26" w:rsidRDefault="00407464" w:rsidP="002B2C2E">
            <w:pPr>
              <w:jc w:val="both"/>
              <w:rPr>
                <w:sz w:val="20"/>
                <w:lang w:val="fr-CA"/>
              </w:rPr>
            </w:pPr>
          </w:p>
          <w:p w:rsidR="00407464" w:rsidRPr="00893C26" w:rsidRDefault="00407464" w:rsidP="002B2C2E">
            <w:pPr>
              <w:jc w:val="both"/>
              <w:rPr>
                <w:sz w:val="20"/>
                <w:lang w:val="fr-CA"/>
              </w:rPr>
            </w:pPr>
            <w:r w:rsidRPr="00893C26">
              <w:rPr>
                <w:color w:val="000000"/>
                <w:sz w:val="20"/>
                <w:lang w:val="fr-CA"/>
              </w:rPr>
              <w:t>Un colis Fedex a été intercepté par des préposées des douanes américaines et a été inspecté. L’étiquette sur le colis portait la mention « produits de beauté ». Dans le colis se trouvaient des tubes de mascara qui contenaient de l’héroïne. Le colis a été remis à l’Agence des services frontaliers du Canada, et par la suite à la GRC, qui a retiré l’héroïne de tous les tubes sauf un gramme et a remplacé ceux-ci par de vrais tubes de mascara. Une agente d’infiltration, portant l’uniforme d’un livreur de Fedex et conduisant un camion de livraison Fedex, s’est présentée à l’adresse10, avenue Haynes, à North York. Le colis était adressé à « Abel Morrison » à cette dernière adresse. Le colis a été livré au demandeur, qui en a payé les droits d’accise en argent comptant, a signé, a obtenu un reçu et est parti en voiture. Approximativement une heure plus tard, le demandeur a été arrêté. Ce dernier a été déclaré coupable d’importation d’héroïne et de possession d’héroïne en vue d’en faire le trafic. Son appel a été rejeté.</w:t>
            </w:r>
          </w:p>
        </w:tc>
      </w:tr>
      <w:tr w:rsidR="00407464" w:rsidRPr="00893C26" w:rsidTr="00407464">
        <w:tc>
          <w:tcPr>
            <w:tcW w:w="5000" w:type="pct"/>
            <w:gridSpan w:val="4"/>
          </w:tcPr>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2 décembre 2019</w:t>
            </w:r>
          </w:p>
          <w:p w:rsidR="00407464" w:rsidRPr="00893C26" w:rsidRDefault="00407464" w:rsidP="002B2C2E">
            <w:pPr>
              <w:jc w:val="both"/>
              <w:rPr>
                <w:sz w:val="20"/>
                <w:lang w:val="fr-CA"/>
              </w:rPr>
            </w:pPr>
            <w:r w:rsidRPr="00893C26">
              <w:rPr>
                <w:sz w:val="20"/>
                <w:lang w:val="fr-CA"/>
              </w:rPr>
              <w:t>Cour supérieure de justice de l’Ontario</w:t>
            </w:r>
          </w:p>
          <w:p w:rsidR="00407464" w:rsidRPr="00893C26" w:rsidRDefault="00407464" w:rsidP="002B2C2E">
            <w:pPr>
              <w:jc w:val="both"/>
              <w:rPr>
                <w:sz w:val="20"/>
                <w:lang w:val="fr-CA"/>
              </w:rPr>
            </w:pPr>
            <w:r w:rsidRPr="00893C26">
              <w:rPr>
                <w:sz w:val="20"/>
                <w:lang w:val="fr-CA"/>
              </w:rPr>
              <w:t>(juge Woollcombe)</w:t>
            </w:r>
          </w:p>
          <w:p w:rsidR="00407464" w:rsidRPr="00893C26" w:rsidRDefault="00893C26" w:rsidP="002B2C2E">
            <w:pPr>
              <w:jc w:val="both"/>
              <w:rPr>
                <w:sz w:val="20"/>
                <w:lang w:val="fr-CA"/>
              </w:rPr>
            </w:pPr>
            <w:hyperlink r:id="rId29" w:history="1">
              <w:r w:rsidR="00407464" w:rsidRPr="00893C26">
                <w:rPr>
                  <w:rStyle w:val="Hyperlink"/>
                  <w:sz w:val="20"/>
                  <w:lang w:val="fr-CA"/>
                </w:rPr>
                <w:t>2019 ONSC 6898</w:t>
              </w:r>
            </w:hyperlink>
          </w:p>
          <w:p w:rsidR="00407464" w:rsidRPr="00893C26" w:rsidRDefault="00407464" w:rsidP="002B2C2E">
            <w:pPr>
              <w:jc w:val="both"/>
              <w:rPr>
                <w:sz w:val="20"/>
                <w:lang w:val="fr-CA"/>
              </w:rPr>
            </w:pP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color w:val="000000"/>
                <w:sz w:val="20"/>
                <w:lang w:val="fr-CA"/>
              </w:rPr>
              <w:t>Les déclarations de culpabilité suivantes sont prononcées : importation d’héroïne et possession d’héroïne en vue d’en faire le trafic.</w:t>
            </w: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2 novembre 2021</w:t>
            </w:r>
          </w:p>
          <w:p w:rsidR="00407464" w:rsidRPr="00893C26" w:rsidRDefault="00407464" w:rsidP="002B2C2E">
            <w:pPr>
              <w:jc w:val="both"/>
              <w:rPr>
                <w:sz w:val="20"/>
                <w:lang w:val="fr-CA"/>
              </w:rPr>
            </w:pPr>
            <w:r w:rsidRPr="00893C26">
              <w:rPr>
                <w:sz w:val="20"/>
                <w:lang w:val="fr-CA"/>
              </w:rPr>
              <w:t>Cour d’appel de l’Ontario</w:t>
            </w:r>
          </w:p>
          <w:p w:rsidR="00407464" w:rsidRPr="00893C26" w:rsidRDefault="00407464" w:rsidP="002B2C2E">
            <w:pPr>
              <w:jc w:val="both"/>
              <w:rPr>
                <w:sz w:val="20"/>
                <w:lang w:val="fr-CA"/>
              </w:rPr>
            </w:pPr>
            <w:r w:rsidRPr="00893C26">
              <w:rPr>
                <w:sz w:val="20"/>
                <w:lang w:val="fr-CA"/>
              </w:rPr>
              <w:t xml:space="preserve">(juges Doherty, Watt, van Rensburg, Benotto, </w:t>
            </w:r>
          </w:p>
          <w:p w:rsidR="00407464" w:rsidRPr="00893C26" w:rsidRDefault="00407464" w:rsidP="002B2C2E">
            <w:pPr>
              <w:jc w:val="both"/>
              <w:rPr>
                <w:sz w:val="20"/>
                <w:lang w:val="fr-CA"/>
              </w:rPr>
            </w:pPr>
            <w:r w:rsidRPr="00893C26">
              <w:rPr>
                <w:sz w:val="20"/>
                <w:lang w:val="fr-CA"/>
              </w:rPr>
              <w:t>Nordheimer)</w:t>
            </w:r>
          </w:p>
          <w:p w:rsidR="00407464" w:rsidRPr="00893C26" w:rsidRDefault="00407464" w:rsidP="002B2C2E">
            <w:pPr>
              <w:jc w:val="both"/>
              <w:rPr>
                <w:sz w:val="20"/>
                <w:lang w:val="fr-CA"/>
              </w:rPr>
            </w:pPr>
            <w:r w:rsidRPr="00893C26">
              <w:rPr>
                <w:sz w:val="20"/>
                <w:lang w:val="fr-CA"/>
              </w:rPr>
              <w:t xml:space="preserve">C68428; </w:t>
            </w:r>
            <w:hyperlink r:id="rId30" w:history="1">
              <w:r w:rsidRPr="00893C26">
                <w:rPr>
                  <w:rStyle w:val="Hyperlink"/>
                  <w:sz w:val="20"/>
                  <w:lang w:val="fr-CA"/>
                </w:rPr>
                <w:t>2021 ONCA m773</w:t>
              </w:r>
            </w:hyperlink>
          </w:p>
          <w:p w:rsidR="00407464" w:rsidRPr="00893C26" w:rsidRDefault="00407464" w:rsidP="002B2C2E">
            <w:pPr>
              <w:jc w:val="both"/>
              <w:rPr>
                <w:sz w:val="20"/>
                <w:lang w:val="fr-CA"/>
              </w:rPr>
            </w:pP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L’appel est rejeté.</w:t>
            </w:r>
          </w:p>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March 17, 2022</w:t>
            </w:r>
          </w:p>
          <w:p w:rsidR="00407464" w:rsidRPr="00893C26" w:rsidRDefault="00407464" w:rsidP="002B2C2E">
            <w:pPr>
              <w:jc w:val="both"/>
              <w:rPr>
                <w:sz w:val="20"/>
                <w:lang w:val="fr-CA"/>
              </w:rPr>
            </w:pPr>
            <w:r w:rsidRPr="00893C26">
              <w:rPr>
                <w:sz w:val="20"/>
                <w:lang w:val="fr-CA"/>
              </w:rPr>
              <w:t>Cour suprême du Canada</w:t>
            </w:r>
          </w:p>
          <w:p w:rsidR="00407464" w:rsidRPr="00893C26" w:rsidRDefault="00407464" w:rsidP="002B2C2E">
            <w:pPr>
              <w:jc w:val="both"/>
              <w:rPr>
                <w:sz w:val="20"/>
                <w:lang w:val="fr-CA"/>
              </w:rPr>
            </w:pP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 requête en prorogation du délai de signification et de dépôt de la demande d’autorisation d’appel et la demande d’autorisation d’appel sont présentées.</w:t>
            </w:r>
          </w:p>
        </w:tc>
      </w:tr>
    </w:tbl>
    <w:p w:rsidR="00407464" w:rsidRPr="00893C26" w:rsidRDefault="00407464" w:rsidP="002B2C2E">
      <w:pPr>
        <w:jc w:val="both"/>
        <w:rPr>
          <w:sz w:val="20"/>
          <w:lang w:val="fr-CA"/>
        </w:rPr>
      </w:pPr>
    </w:p>
    <w:p w:rsidR="002B2C2E" w:rsidRPr="00893C26" w:rsidRDefault="00893C26" w:rsidP="002B2C2E">
      <w:pPr>
        <w:jc w:val="both"/>
        <w:rPr>
          <w:sz w:val="20"/>
          <w:lang w:val="fr-CA"/>
        </w:rPr>
      </w:pPr>
      <w:r w:rsidRPr="00893C26">
        <w:rPr>
          <w:sz w:val="20"/>
        </w:rPr>
        <w:pict>
          <v:rect id="_x0000_i1028" style="width:2in;height:1pt" o:hrpct="0" o:hralign="center" o:hrstd="t" o:hrnoshade="t" o:hr="t" fillcolor="black [3213]" stroked="f"/>
        </w:pict>
      </w:r>
    </w:p>
    <w:p w:rsidR="00963B1E" w:rsidRPr="00893C26" w:rsidRDefault="00963B1E" w:rsidP="002B2C2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464" w:rsidRPr="00893C26" w:rsidTr="00407464">
        <w:tc>
          <w:tcPr>
            <w:tcW w:w="543" w:type="pct"/>
          </w:tcPr>
          <w:p w:rsidR="00407464" w:rsidRPr="00893C26" w:rsidRDefault="00407464" w:rsidP="002B2C2E">
            <w:pPr>
              <w:jc w:val="both"/>
              <w:rPr>
                <w:sz w:val="20"/>
              </w:rPr>
            </w:pPr>
            <w:r w:rsidRPr="00893C26">
              <w:rPr>
                <w:rStyle w:val="SCCFileNumberChar"/>
                <w:sz w:val="20"/>
                <w:szCs w:val="20"/>
              </w:rPr>
              <w:t>40112</w:t>
            </w:r>
          </w:p>
        </w:tc>
        <w:tc>
          <w:tcPr>
            <w:tcW w:w="4457" w:type="pct"/>
            <w:gridSpan w:val="3"/>
          </w:tcPr>
          <w:p w:rsidR="00407464" w:rsidRPr="00893C26" w:rsidRDefault="00407464" w:rsidP="002B2C2E">
            <w:pPr>
              <w:pStyle w:val="SCCLsocParty"/>
              <w:jc w:val="both"/>
              <w:rPr>
                <w:b/>
                <w:sz w:val="20"/>
                <w:szCs w:val="20"/>
                <w:lang w:val="en-US"/>
              </w:rPr>
            </w:pPr>
            <w:r w:rsidRPr="00893C26">
              <w:rPr>
                <w:b/>
                <w:sz w:val="20"/>
                <w:szCs w:val="20"/>
                <w:lang w:val="en-US"/>
              </w:rPr>
              <w:t>Mpire Capital Corporation v. Sutter Hill Management Corporation, Sweet Investments Ltd.</w:t>
            </w:r>
          </w:p>
          <w:p w:rsidR="00407464" w:rsidRPr="00893C26" w:rsidRDefault="00407464" w:rsidP="002B2C2E">
            <w:pPr>
              <w:jc w:val="both"/>
              <w:rPr>
                <w:sz w:val="20"/>
              </w:rPr>
            </w:pPr>
            <w:r w:rsidRPr="00893C26">
              <w:rPr>
                <w:sz w:val="20"/>
              </w:rPr>
              <w:t>(B.C.) (Civil) (By Leave)</w:t>
            </w:r>
          </w:p>
        </w:tc>
      </w:tr>
      <w:tr w:rsidR="00407464" w:rsidRPr="00893C26" w:rsidTr="00407464">
        <w:tc>
          <w:tcPr>
            <w:tcW w:w="5000" w:type="pct"/>
            <w:gridSpan w:val="4"/>
          </w:tcPr>
          <w:p w:rsidR="00407464" w:rsidRPr="00893C26" w:rsidRDefault="00407464" w:rsidP="002B2C2E">
            <w:pPr>
              <w:jc w:val="both"/>
              <w:rPr>
                <w:sz w:val="20"/>
              </w:rPr>
            </w:pPr>
            <w:r w:rsidRPr="00893C26">
              <w:rPr>
                <w:sz w:val="20"/>
              </w:rPr>
              <w:t>Contracts — Commercial contracts — Purchaser of a care home obliged to use commercially reasonable best efforts to obtain regulatory approvals as soon as possible — Should solicitors retained by parties be held to client’s contractual obligations if not engaged to undertake performance of commercial agreement — Whether rationales for efforts clauses in contracts have been undermined by Court of Appeal re-allocating risk, eliminating their expediency or creating uncertainty as to how they will be interpreted?</w:t>
            </w:r>
          </w:p>
          <w:p w:rsidR="00407464" w:rsidRPr="00893C26" w:rsidRDefault="00407464" w:rsidP="002B2C2E">
            <w:pPr>
              <w:jc w:val="both"/>
              <w:rPr>
                <w:sz w:val="20"/>
              </w:rPr>
            </w:pPr>
          </w:p>
        </w:tc>
      </w:tr>
      <w:tr w:rsidR="00407464" w:rsidRPr="00893C26" w:rsidTr="00407464">
        <w:tc>
          <w:tcPr>
            <w:tcW w:w="5000" w:type="pct"/>
            <w:gridSpan w:val="4"/>
          </w:tcPr>
          <w:p w:rsidR="00407464" w:rsidRPr="00893C26" w:rsidRDefault="00407464" w:rsidP="002B2C2E">
            <w:pPr>
              <w:jc w:val="both"/>
              <w:rPr>
                <w:sz w:val="20"/>
              </w:rPr>
            </w:pPr>
            <w:r w:rsidRPr="00893C26">
              <w:rPr>
                <w:sz w:val="20"/>
              </w:rPr>
              <w:t>Pursuant to an agreement for the purchase and sale of a care home, the purchaser gave a deposit and agreed to make commercially reasonable best efforts to obtain regulatory approvals required for the sale as soon as possible. The approvals were not obtained. The vendors took the position that the contract was at an end and commenced an action for a declaration that the deposit was forfeit. The purchaser sought return of the deposit. The motions judge ordered the return of the deposit. The Court of Appeal allowed an appeal and ordered the deposit should be paid out to the vendors.</w:t>
            </w:r>
          </w:p>
        </w:tc>
      </w:tr>
      <w:tr w:rsidR="00407464" w:rsidRPr="00893C26" w:rsidTr="00407464">
        <w:tc>
          <w:tcPr>
            <w:tcW w:w="5000" w:type="pct"/>
            <w:gridSpan w:val="4"/>
          </w:tcPr>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February 24, 2020</w:t>
            </w:r>
          </w:p>
          <w:p w:rsidR="00407464" w:rsidRPr="00893C26" w:rsidRDefault="00407464" w:rsidP="002B2C2E">
            <w:pPr>
              <w:jc w:val="both"/>
              <w:rPr>
                <w:sz w:val="20"/>
              </w:rPr>
            </w:pPr>
            <w:r w:rsidRPr="00893C26">
              <w:rPr>
                <w:sz w:val="20"/>
              </w:rPr>
              <w:t>Supreme Court of British Columbia</w:t>
            </w:r>
          </w:p>
          <w:p w:rsidR="00407464" w:rsidRPr="00893C26" w:rsidRDefault="00407464" w:rsidP="002B2C2E">
            <w:pPr>
              <w:jc w:val="both"/>
              <w:rPr>
                <w:sz w:val="20"/>
              </w:rPr>
            </w:pPr>
            <w:r w:rsidRPr="00893C26">
              <w:rPr>
                <w:sz w:val="20"/>
              </w:rPr>
              <w:t>(Steeves J.)</w:t>
            </w:r>
          </w:p>
          <w:p w:rsidR="00407464" w:rsidRPr="00893C26" w:rsidRDefault="00893C26" w:rsidP="002B2C2E">
            <w:pPr>
              <w:jc w:val="both"/>
              <w:rPr>
                <w:sz w:val="20"/>
                <w:lang w:val="en"/>
              </w:rPr>
            </w:pPr>
            <w:hyperlink r:id="rId31" w:history="1">
              <w:r w:rsidR="00407464" w:rsidRPr="00893C26">
                <w:rPr>
                  <w:rStyle w:val="Hyperlink"/>
                  <w:sz w:val="20"/>
                  <w:lang w:val="en"/>
                </w:rPr>
                <w:t>2020 BCSC 238</w:t>
              </w:r>
            </w:hyperlink>
          </w:p>
          <w:p w:rsidR="00407464" w:rsidRPr="00893C26" w:rsidRDefault="00407464" w:rsidP="002B2C2E">
            <w:pPr>
              <w:jc w:val="both"/>
              <w:rPr>
                <w:sz w:val="20"/>
              </w:rPr>
            </w:pP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Summary judgment ordering return of deposit to applicant</w:t>
            </w:r>
          </w:p>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January 14, 2022</w:t>
            </w:r>
          </w:p>
          <w:p w:rsidR="00407464" w:rsidRPr="00893C26" w:rsidRDefault="00407464" w:rsidP="002B2C2E">
            <w:pPr>
              <w:jc w:val="both"/>
              <w:rPr>
                <w:sz w:val="20"/>
              </w:rPr>
            </w:pPr>
            <w:r w:rsidRPr="00893C26">
              <w:rPr>
                <w:sz w:val="20"/>
              </w:rPr>
              <w:t xml:space="preserve">Court of Appeal for British Columbia </w:t>
            </w:r>
          </w:p>
          <w:p w:rsidR="00407464" w:rsidRPr="00893C26" w:rsidRDefault="00407464" w:rsidP="002B2C2E">
            <w:pPr>
              <w:jc w:val="both"/>
              <w:rPr>
                <w:sz w:val="20"/>
                <w:lang w:val="fr-CA"/>
              </w:rPr>
            </w:pPr>
            <w:r w:rsidRPr="00893C26">
              <w:rPr>
                <w:sz w:val="20"/>
                <w:lang w:val="fr-CA"/>
              </w:rPr>
              <w:t>(Vancouver)</w:t>
            </w:r>
          </w:p>
          <w:p w:rsidR="00407464" w:rsidRPr="00893C26" w:rsidRDefault="00407464" w:rsidP="002B2C2E">
            <w:pPr>
              <w:jc w:val="both"/>
              <w:rPr>
                <w:sz w:val="20"/>
                <w:lang w:val="fr-CA"/>
              </w:rPr>
            </w:pPr>
            <w:r w:rsidRPr="00893C26">
              <w:rPr>
                <w:sz w:val="20"/>
                <w:lang w:val="fr-CA"/>
              </w:rPr>
              <w:t>(Saunders, Fenlon, Grauer JJ.A.)</w:t>
            </w:r>
          </w:p>
          <w:p w:rsidR="00407464" w:rsidRPr="00893C26" w:rsidRDefault="00893C26" w:rsidP="002B2C2E">
            <w:pPr>
              <w:jc w:val="both"/>
              <w:rPr>
                <w:sz w:val="20"/>
                <w:lang w:val="fr-CA"/>
              </w:rPr>
            </w:pPr>
            <w:hyperlink r:id="rId32" w:history="1">
              <w:r w:rsidR="00407464" w:rsidRPr="00893C26">
                <w:rPr>
                  <w:rStyle w:val="Hyperlink"/>
                  <w:sz w:val="20"/>
                  <w:lang w:val="fr-CA"/>
                </w:rPr>
                <w:t>2022 BCCA 13</w:t>
              </w:r>
            </w:hyperlink>
            <w:r w:rsidR="00407464" w:rsidRPr="00893C26">
              <w:rPr>
                <w:sz w:val="20"/>
                <w:lang w:val="fr-CA"/>
              </w:rPr>
              <w:t>; CA46774</w:t>
            </w:r>
          </w:p>
          <w:p w:rsidR="00407464" w:rsidRPr="00893C26" w:rsidRDefault="00407464" w:rsidP="002B2C2E">
            <w:pPr>
              <w:jc w:val="both"/>
              <w:rPr>
                <w:sz w:val="20"/>
                <w:lang w:val="fr-CA"/>
              </w:rPr>
            </w:pP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rPr>
            </w:pPr>
            <w:r w:rsidRPr="00893C26">
              <w:rPr>
                <w:sz w:val="20"/>
              </w:rPr>
              <w:t>Appeal allowed, order deposit to be paid out to respondents</w:t>
            </w:r>
          </w:p>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March 15, 2022</w:t>
            </w:r>
          </w:p>
          <w:p w:rsidR="00407464" w:rsidRPr="00893C26" w:rsidRDefault="00407464" w:rsidP="002B2C2E">
            <w:pPr>
              <w:jc w:val="both"/>
              <w:rPr>
                <w:sz w:val="20"/>
              </w:rPr>
            </w:pPr>
            <w:r w:rsidRPr="00893C26">
              <w:rPr>
                <w:sz w:val="20"/>
              </w:rPr>
              <w:lastRenderedPageBreak/>
              <w:t>Supreme Court of Canada</w:t>
            </w: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Application for leave to appeal filed</w:t>
            </w:r>
          </w:p>
          <w:p w:rsidR="00407464" w:rsidRPr="00893C26" w:rsidRDefault="00407464" w:rsidP="002B2C2E">
            <w:pPr>
              <w:jc w:val="both"/>
              <w:rPr>
                <w:sz w:val="20"/>
              </w:rPr>
            </w:pPr>
          </w:p>
        </w:tc>
      </w:tr>
    </w:tbl>
    <w:p w:rsidR="00407464" w:rsidRPr="00893C26" w:rsidRDefault="00407464" w:rsidP="002B2C2E">
      <w:pPr>
        <w:jc w:val="both"/>
        <w:rPr>
          <w:sz w:val="20"/>
        </w:rPr>
      </w:pPr>
    </w:p>
    <w:p w:rsidR="002B2C2E" w:rsidRPr="00893C26" w:rsidRDefault="00893C26" w:rsidP="002B2C2E">
      <w:pPr>
        <w:jc w:val="both"/>
        <w:rPr>
          <w:sz w:val="20"/>
        </w:rPr>
      </w:pPr>
      <w:r w:rsidRPr="00893C26">
        <w:rPr>
          <w:sz w:val="20"/>
        </w:rPr>
        <w:pict>
          <v:rect id="_x0000_i1029" style="width:2in;height:1pt" o:hrpct="0" o:hralign="center" o:hrstd="t" o:hrnoshade="t" o:hr="t" fillcolor="black [3213]" stroked="f"/>
        </w:pict>
      </w:r>
    </w:p>
    <w:p w:rsidR="002B2C2E" w:rsidRPr="00893C26" w:rsidRDefault="002B2C2E" w:rsidP="002B2C2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464" w:rsidRPr="00893C26" w:rsidTr="00407464">
        <w:tc>
          <w:tcPr>
            <w:tcW w:w="543" w:type="pct"/>
          </w:tcPr>
          <w:p w:rsidR="00407464" w:rsidRPr="00893C26" w:rsidRDefault="00407464" w:rsidP="002B2C2E">
            <w:pPr>
              <w:jc w:val="both"/>
              <w:rPr>
                <w:sz w:val="20"/>
                <w:lang w:val="fr-CA"/>
              </w:rPr>
            </w:pPr>
            <w:r w:rsidRPr="00893C26">
              <w:rPr>
                <w:rStyle w:val="SCCFileNumberChar"/>
                <w:sz w:val="20"/>
                <w:szCs w:val="20"/>
                <w:lang w:val="fr-CA"/>
              </w:rPr>
              <w:t>40112</w:t>
            </w:r>
          </w:p>
        </w:tc>
        <w:tc>
          <w:tcPr>
            <w:tcW w:w="4457" w:type="pct"/>
            <w:gridSpan w:val="3"/>
          </w:tcPr>
          <w:p w:rsidR="00407464" w:rsidRPr="00893C26" w:rsidRDefault="00407464" w:rsidP="002B2C2E">
            <w:pPr>
              <w:pStyle w:val="SCCLsocParty"/>
              <w:jc w:val="both"/>
              <w:rPr>
                <w:b/>
                <w:sz w:val="20"/>
                <w:szCs w:val="20"/>
                <w:lang w:val="en-US"/>
              </w:rPr>
            </w:pPr>
            <w:r w:rsidRPr="00893C26">
              <w:rPr>
                <w:b/>
                <w:sz w:val="20"/>
                <w:szCs w:val="20"/>
                <w:lang w:val="en-US"/>
              </w:rPr>
              <w:t>Mpire Capital Corporation c. Sutter Hill Management Corporation, Sweet Investments Ltd.</w:t>
            </w:r>
          </w:p>
          <w:p w:rsidR="00407464" w:rsidRPr="00893C26" w:rsidRDefault="00407464" w:rsidP="004A7BC1">
            <w:pPr>
              <w:jc w:val="both"/>
              <w:rPr>
                <w:sz w:val="20"/>
                <w:lang w:val="fr-CA"/>
              </w:rPr>
            </w:pPr>
            <w:r w:rsidRPr="00893C26">
              <w:rPr>
                <w:sz w:val="20"/>
                <w:lang w:val="fr-CA"/>
              </w:rPr>
              <w:t>(C.-B.) (</w:t>
            </w:r>
            <w:r w:rsidR="004A7BC1" w:rsidRPr="00893C26">
              <w:rPr>
                <w:sz w:val="20"/>
                <w:lang w:val="fr-CA"/>
              </w:rPr>
              <w:t>C</w:t>
            </w:r>
            <w:r w:rsidRPr="00893C26">
              <w:rPr>
                <w:sz w:val="20"/>
                <w:lang w:val="fr-CA"/>
              </w:rPr>
              <w:t>ivile) (</w:t>
            </w:r>
            <w:r w:rsidR="004A7BC1" w:rsidRPr="00893C26">
              <w:rPr>
                <w:sz w:val="20"/>
                <w:lang w:val="fr-CA"/>
              </w:rPr>
              <w:t>S</w:t>
            </w:r>
            <w:r w:rsidRPr="00893C26">
              <w:rPr>
                <w:sz w:val="20"/>
                <w:lang w:val="fr-CA"/>
              </w:rPr>
              <w:t>ur autorisation)</w:t>
            </w:r>
          </w:p>
        </w:tc>
      </w:tr>
      <w:tr w:rsidR="00407464" w:rsidRPr="00893C26" w:rsidTr="00407464">
        <w:tc>
          <w:tcPr>
            <w:tcW w:w="5000" w:type="pct"/>
            <w:gridSpan w:val="4"/>
          </w:tcPr>
          <w:p w:rsidR="00407464" w:rsidRPr="00893C26" w:rsidRDefault="00407464" w:rsidP="002B2C2E">
            <w:pPr>
              <w:jc w:val="both"/>
              <w:rPr>
                <w:sz w:val="20"/>
                <w:lang w:val="fr-CA"/>
              </w:rPr>
            </w:pPr>
            <w:r w:rsidRPr="00893C26">
              <w:rPr>
                <w:sz w:val="20"/>
                <w:lang w:val="fr-CA"/>
              </w:rPr>
              <w:t>Contrats — Contrats commerciaux — L’acquéreur d’un établissement de soins est tenu de prendre toutes les mesures raisonnables sur le plan commercial afin d’obtenir les approbations réglementaires dans les meilleurs délais — Les procureurs dont les services ont été retenus par les parties devraient-ils être tenus de respecter les obligations contractuelles du client s’ils n’ont pas été retenus afin de s’engager à exécuter l’entente commerciale ? — Les raisons justifiant les clauses relatives aux efforts dans les contrats ont-elles été minées par la réattribution du risque par la Cour d’appel, éliminant ainsi leur commodité ou faisant régner de l’incertitude quant à la façon dont elles seront interprétées ?</w:t>
            </w:r>
          </w:p>
          <w:p w:rsidR="00407464" w:rsidRPr="00893C26" w:rsidRDefault="00407464" w:rsidP="002B2C2E">
            <w:pPr>
              <w:jc w:val="both"/>
              <w:rPr>
                <w:sz w:val="20"/>
                <w:lang w:val="fr-CA"/>
              </w:rPr>
            </w:pPr>
          </w:p>
        </w:tc>
      </w:tr>
      <w:tr w:rsidR="00407464" w:rsidRPr="00893C26" w:rsidTr="00407464">
        <w:tc>
          <w:tcPr>
            <w:tcW w:w="5000" w:type="pct"/>
            <w:gridSpan w:val="4"/>
          </w:tcPr>
          <w:p w:rsidR="00407464" w:rsidRPr="00893C26" w:rsidRDefault="00407464" w:rsidP="002B2C2E">
            <w:pPr>
              <w:jc w:val="both"/>
              <w:rPr>
                <w:sz w:val="20"/>
                <w:lang w:val="fr-CA"/>
              </w:rPr>
            </w:pPr>
            <w:r w:rsidRPr="00893C26">
              <w:rPr>
                <w:sz w:val="20"/>
                <w:lang w:val="fr-CA"/>
              </w:rPr>
              <w:t>En vertu d’une entente d’achat d’un établissement de soins, l’acquéreur a donné un dépôt et a convenu de prendre toutes les mesures raisonnables sur le plan commercial afin d’obtenir les approbations réglementaires exigées aux fins de la vente dans les meilleurs délais. Les approbations en question n’ont pas été obtenues. Les vendeurs ont fait valoir que le contrat avait pris fin et ils ont intenté une action sollicitant une déclaration pour que le dépôt soit confisqué. L’acquéreur a demandé que le dépôt lui soit remis. Le juge saisi de la requête a ordonné la remise du dépôt. La Cour d’appel a accueilli l’appel et a ordonné le paiement du dépôt aux vendeurs.</w:t>
            </w:r>
          </w:p>
        </w:tc>
      </w:tr>
      <w:tr w:rsidR="00407464" w:rsidRPr="00893C26" w:rsidTr="00407464">
        <w:tc>
          <w:tcPr>
            <w:tcW w:w="5000" w:type="pct"/>
            <w:gridSpan w:val="4"/>
          </w:tcPr>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24 février 2020</w:t>
            </w:r>
          </w:p>
          <w:p w:rsidR="00407464" w:rsidRPr="00893C26" w:rsidRDefault="00407464" w:rsidP="002B2C2E">
            <w:pPr>
              <w:jc w:val="both"/>
              <w:rPr>
                <w:sz w:val="20"/>
                <w:lang w:val="fr-CA"/>
              </w:rPr>
            </w:pPr>
            <w:r w:rsidRPr="00893C26">
              <w:rPr>
                <w:sz w:val="20"/>
                <w:lang w:val="fr-CA"/>
              </w:rPr>
              <w:t>Cour suprême de la Colombie-Britannique</w:t>
            </w:r>
          </w:p>
          <w:p w:rsidR="00407464" w:rsidRPr="00893C26" w:rsidRDefault="00407464" w:rsidP="002B2C2E">
            <w:pPr>
              <w:jc w:val="both"/>
              <w:rPr>
                <w:sz w:val="20"/>
                <w:lang w:val="fr-CA"/>
              </w:rPr>
            </w:pPr>
            <w:r w:rsidRPr="00893C26">
              <w:rPr>
                <w:sz w:val="20"/>
                <w:lang w:val="fr-CA"/>
              </w:rPr>
              <w:t>(juge Steeves)</w:t>
            </w:r>
          </w:p>
          <w:p w:rsidR="00407464" w:rsidRPr="00893C26" w:rsidRDefault="00893C26" w:rsidP="002B2C2E">
            <w:pPr>
              <w:jc w:val="both"/>
              <w:rPr>
                <w:sz w:val="20"/>
                <w:lang w:val="fr-CA"/>
              </w:rPr>
            </w:pPr>
            <w:hyperlink r:id="rId33" w:history="1">
              <w:r w:rsidR="00407464" w:rsidRPr="00893C26">
                <w:rPr>
                  <w:rStyle w:val="Hyperlink"/>
                  <w:sz w:val="20"/>
                  <w:lang w:val="fr-CA"/>
                </w:rPr>
                <w:t>2020 BCSC 238</w:t>
              </w:r>
            </w:hyperlink>
          </w:p>
          <w:p w:rsidR="00407464" w:rsidRPr="00893C26" w:rsidRDefault="00407464" w:rsidP="002B2C2E">
            <w:pPr>
              <w:jc w:val="both"/>
              <w:rPr>
                <w:sz w:val="20"/>
                <w:lang w:val="fr-CA"/>
              </w:rPr>
            </w:pP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Le jugement sommaire ordonnant la remise du dépôt à la demanderesse est rendu.</w:t>
            </w:r>
          </w:p>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14 janvier 2022</w:t>
            </w:r>
          </w:p>
          <w:p w:rsidR="00407464" w:rsidRPr="00893C26" w:rsidRDefault="00407464" w:rsidP="002B2C2E">
            <w:pPr>
              <w:jc w:val="both"/>
              <w:rPr>
                <w:sz w:val="20"/>
                <w:lang w:val="fr-CA"/>
              </w:rPr>
            </w:pPr>
            <w:r w:rsidRPr="00893C26">
              <w:rPr>
                <w:sz w:val="20"/>
                <w:lang w:val="fr-CA"/>
              </w:rPr>
              <w:t xml:space="preserve">Cour d’appel de la Colombie-Britannique </w:t>
            </w:r>
          </w:p>
          <w:p w:rsidR="00407464" w:rsidRPr="00893C26" w:rsidRDefault="00407464" w:rsidP="002B2C2E">
            <w:pPr>
              <w:jc w:val="both"/>
              <w:rPr>
                <w:sz w:val="20"/>
                <w:lang w:val="fr-CA"/>
              </w:rPr>
            </w:pPr>
            <w:r w:rsidRPr="00893C26">
              <w:rPr>
                <w:sz w:val="20"/>
                <w:lang w:val="fr-CA"/>
              </w:rPr>
              <w:t>(Vancouver)</w:t>
            </w:r>
          </w:p>
          <w:p w:rsidR="00407464" w:rsidRPr="00893C26" w:rsidRDefault="00407464" w:rsidP="002B2C2E">
            <w:pPr>
              <w:jc w:val="both"/>
              <w:rPr>
                <w:sz w:val="20"/>
                <w:lang w:val="fr-CA"/>
              </w:rPr>
            </w:pPr>
            <w:r w:rsidRPr="00893C26">
              <w:rPr>
                <w:sz w:val="20"/>
                <w:lang w:val="fr-CA"/>
              </w:rPr>
              <w:t>(juges Saunders, Fenlon, Grauer)</w:t>
            </w:r>
          </w:p>
          <w:p w:rsidR="00407464" w:rsidRPr="00893C26" w:rsidRDefault="00893C26" w:rsidP="002B2C2E">
            <w:pPr>
              <w:jc w:val="both"/>
              <w:rPr>
                <w:sz w:val="20"/>
                <w:lang w:val="fr-CA"/>
              </w:rPr>
            </w:pPr>
            <w:hyperlink r:id="rId34" w:history="1">
              <w:r w:rsidR="00407464" w:rsidRPr="00893C26">
                <w:rPr>
                  <w:rStyle w:val="Hyperlink"/>
                  <w:sz w:val="20"/>
                  <w:lang w:val="fr-CA"/>
                </w:rPr>
                <w:t>2022 BCCA 13</w:t>
              </w:r>
            </w:hyperlink>
            <w:r w:rsidR="00407464" w:rsidRPr="00893C26">
              <w:rPr>
                <w:sz w:val="20"/>
                <w:lang w:val="fr-CA"/>
              </w:rPr>
              <w:t>; CA46774</w:t>
            </w:r>
          </w:p>
          <w:p w:rsidR="00407464" w:rsidRPr="00893C26" w:rsidRDefault="00407464" w:rsidP="002B2C2E">
            <w:pPr>
              <w:jc w:val="both"/>
              <w:rPr>
                <w:sz w:val="20"/>
                <w:lang w:val="fr-CA"/>
              </w:rPr>
            </w:pP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L’appel est accueilli, l’ordonnance selon laquelle le dépôt doit être payé aux intimées est rendue.</w:t>
            </w:r>
          </w:p>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15 mars 2022</w:t>
            </w:r>
          </w:p>
          <w:p w:rsidR="00407464" w:rsidRPr="00893C26" w:rsidRDefault="00407464" w:rsidP="002B2C2E">
            <w:pPr>
              <w:jc w:val="both"/>
              <w:rPr>
                <w:sz w:val="20"/>
                <w:lang w:val="fr-CA"/>
              </w:rPr>
            </w:pPr>
            <w:r w:rsidRPr="00893C26">
              <w:rPr>
                <w:sz w:val="20"/>
                <w:lang w:val="fr-CA"/>
              </w:rPr>
              <w:t>Cour suprême du Canada</w:t>
            </w: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 demande d’autorisation d’appel est présentée.</w:t>
            </w:r>
          </w:p>
          <w:p w:rsidR="00407464" w:rsidRPr="00893C26" w:rsidRDefault="00407464" w:rsidP="002B2C2E">
            <w:pPr>
              <w:jc w:val="both"/>
              <w:rPr>
                <w:sz w:val="20"/>
                <w:lang w:val="fr-CA"/>
              </w:rPr>
            </w:pPr>
          </w:p>
        </w:tc>
      </w:tr>
    </w:tbl>
    <w:p w:rsidR="00407464" w:rsidRPr="00893C26" w:rsidRDefault="00407464" w:rsidP="002B2C2E">
      <w:pPr>
        <w:jc w:val="both"/>
        <w:rPr>
          <w:sz w:val="20"/>
          <w:lang w:val="fr-CA"/>
        </w:rPr>
      </w:pPr>
    </w:p>
    <w:p w:rsidR="002B2C2E" w:rsidRPr="00893C26" w:rsidRDefault="00893C26" w:rsidP="002B2C2E">
      <w:pPr>
        <w:jc w:val="both"/>
        <w:rPr>
          <w:sz w:val="20"/>
          <w:lang w:val="fr-CA"/>
        </w:rPr>
      </w:pPr>
      <w:r w:rsidRPr="00893C26">
        <w:rPr>
          <w:sz w:val="20"/>
        </w:rPr>
        <w:pict>
          <v:rect id="_x0000_i1030" style="width:2in;height:1pt" o:hrpct="0" o:hralign="center" o:hrstd="t" o:hrnoshade="t" o:hr="t" fillcolor="black [3213]" stroked="f"/>
        </w:pict>
      </w:r>
    </w:p>
    <w:p w:rsidR="00963B1E" w:rsidRPr="00893C26" w:rsidRDefault="00963B1E" w:rsidP="002B2C2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464" w:rsidRPr="00893C26" w:rsidTr="00407464">
        <w:tc>
          <w:tcPr>
            <w:tcW w:w="543" w:type="pct"/>
          </w:tcPr>
          <w:p w:rsidR="00407464" w:rsidRPr="00893C26" w:rsidRDefault="00407464" w:rsidP="002B2C2E">
            <w:pPr>
              <w:jc w:val="both"/>
              <w:rPr>
                <w:sz w:val="20"/>
              </w:rPr>
            </w:pPr>
            <w:r w:rsidRPr="00893C26">
              <w:rPr>
                <w:rStyle w:val="SCCFileNumberChar"/>
                <w:sz w:val="20"/>
                <w:szCs w:val="20"/>
              </w:rPr>
              <w:t>40044</w:t>
            </w:r>
          </w:p>
        </w:tc>
        <w:tc>
          <w:tcPr>
            <w:tcW w:w="4457" w:type="pct"/>
            <w:gridSpan w:val="3"/>
          </w:tcPr>
          <w:p w:rsidR="00407464" w:rsidRPr="00893C26" w:rsidRDefault="00407464" w:rsidP="002B2C2E">
            <w:pPr>
              <w:pStyle w:val="SCCLsocParty"/>
              <w:jc w:val="both"/>
              <w:rPr>
                <w:b/>
                <w:sz w:val="20"/>
                <w:szCs w:val="20"/>
                <w:lang w:val="en-US"/>
              </w:rPr>
            </w:pPr>
            <w:r w:rsidRPr="00893C26">
              <w:rPr>
                <w:b/>
                <w:sz w:val="20"/>
                <w:szCs w:val="20"/>
                <w:lang w:val="en-US"/>
              </w:rPr>
              <w:t>Emanuel Kahsai v. Her Majesty the Queen</w:t>
            </w:r>
          </w:p>
          <w:p w:rsidR="00407464" w:rsidRPr="00893C26" w:rsidRDefault="00407464" w:rsidP="002B2C2E">
            <w:pPr>
              <w:jc w:val="both"/>
              <w:rPr>
                <w:sz w:val="20"/>
              </w:rPr>
            </w:pPr>
            <w:r w:rsidRPr="00893C26">
              <w:rPr>
                <w:sz w:val="20"/>
              </w:rPr>
              <w:t>(Alta.) (Criminal) (By Leave and As of Right)</w:t>
            </w:r>
          </w:p>
        </w:tc>
      </w:tr>
      <w:tr w:rsidR="00407464" w:rsidRPr="00893C26" w:rsidTr="00407464">
        <w:tc>
          <w:tcPr>
            <w:tcW w:w="5000" w:type="pct"/>
            <w:gridSpan w:val="4"/>
          </w:tcPr>
          <w:p w:rsidR="00407464" w:rsidRPr="00893C26" w:rsidRDefault="00407464" w:rsidP="002B2C2E">
            <w:pPr>
              <w:jc w:val="both"/>
              <w:rPr>
                <w:sz w:val="20"/>
              </w:rPr>
            </w:pPr>
            <w:r w:rsidRPr="00893C26">
              <w:rPr>
                <w:sz w:val="20"/>
              </w:rPr>
              <w:t xml:space="preserve">Criminal law — </w:t>
            </w:r>
            <w:r w:rsidRPr="00893C26">
              <w:rPr>
                <w:sz w:val="20"/>
                <w:lang w:val="en-GB"/>
              </w:rPr>
              <w:t xml:space="preserve">Jurors </w:t>
            </w:r>
            <w:r w:rsidRPr="00893C26">
              <w:rPr>
                <w:sz w:val="20"/>
              </w:rPr>
              <w:t xml:space="preserve">— </w:t>
            </w:r>
            <w:r w:rsidRPr="00893C26">
              <w:rPr>
                <w:sz w:val="20"/>
                <w:lang w:val="en-GB"/>
              </w:rPr>
              <w:t xml:space="preserve">Selection </w:t>
            </w:r>
            <w:r w:rsidRPr="00893C26">
              <w:rPr>
                <w:sz w:val="20"/>
              </w:rPr>
              <w:t>— Off</w:t>
            </w:r>
            <w:r w:rsidRPr="00893C26">
              <w:rPr>
                <w:sz w:val="20"/>
              </w:rPr>
              <w:noBreakHyphen/>
              <w:t>the</w:t>
            </w:r>
            <w:r w:rsidRPr="00893C26">
              <w:rPr>
                <w:sz w:val="20"/>
              </w:rPr>
              <w:noBreakHyphen/>
              <w:t>record discussions between judge and potential jurors — Reasonable verdict — Whether the judge who presided over jury selection erred by having several off</w:t>
            </w:r>
            <w:r w:rsidRPr="00893C26">
              <w:rPr>
                <w:sz w:val="20"/>
              </w:rPr>
              <w:noBreakHyphen/>
              <w:t>the</w:t>
            </w:r>
            <w:r w:rsidRPr="00893C26">
              <w:rPr>
                <w:sz w:val="20"/>
              </w:rPr>
              <w:noBreakHyphen/>
              <w:t xml:space="preserve">record discussions with prospective jurors, and if so, whether this error can be overcome by the curative proviso under s. 686(1)(b)(iv) of the </w:t>
            </w:r>
            <w:r w:rsidRPr="00893C26">
              <w:rPr>
                <w:i/>
                <w:sz w:val="20"/>
              </w:rPr>
              <w:t>Criminal Code</w:t>
            </w:r>
            <w:r w:rsidRPr="00893C26">
              <w:rPr>
                <w:sz w:val="20"/>
              </w:rPr>
              <w:t xml:space="preserve"> — Whether verdict of first degree murder with respect to count 2 is unreasonable, because no properly instructed jury, acting judicially, could reasonably conclude that the killing was both planned and deliberate — </w:t>
            </w:r>
            <w:r w:rsidRPr="00893C26">
              <w:rPr>
                <w:i/>
                <w:sz w:val="20"/>
              </w:rPr>
              <w:t>Criminal Code</w:t>
            </w:r>
            <w:r w:rsidRPr="00893C26">
              <w:rPr>
                <w:sz w:val="20"/>
              </w:rPr>
              <w:t>, R.S.C. 1985, c. C-46, s. 686(1)(b)(iv).</w:t>
            </w:r>
          </w:p>
          <w:p w:rsidR="00407464" w:rsidRPr="00893C26" w:rsidRDefault="00407464" w:rsidP="002B2C2E">
            <w:pPr>
              <w:jc w:val="both"/>
              <w:rPr>
                <w:sz w:val="20"/>
              </w:rPr>
            </w:pPr>
          </w:p>
        </w:tc>
      </w:tr>
      <w:tr w:rsidR="00407464" w:rsidRPr="00893C26" w:rsidTr="00407464">
        <w:tc>
          <w:tcPr>
            <w:tcW w:w="5000" w:type="pct"/>
            <w:gridSpan w:val="4"/>
          </w:tcPr>
          <w:p w:rsidR="00407464" w:rsidRPr="00893C26" w:rsidRDefault="00407464" w:rsidP="002B2C2E">
            <w:pPr>
              <w:jc w:val="both"/>
              <w:rPr>
                <w:sz w:val="20"/>
              </w:rPr>
            </w:pPr>
            <w:r w:rsidRPr="00893C26">
              <w:rPr>
                <w:sz w:val="20"/>
              </w:rPr>
              <w:t xml:space="preserve">The appellant was convicted by a jury of two counts of first degree murder for the stabbings of his mother and his mother’s ward. The appellant refused to retain counsel subsequent to the preliminary inquiry. The trial judge appointed an </w:t>
            </w:r>
            <w:r w:rsidRPr="00893C26">
              <w:rPr>
                <w:i/>
                <w:iCs/>
                <w:sz w:val="20"/>
              </w:rPr>
              <w:t xml:space="preserve">amicus curiae </w:t>
            </w:r>
            <w:r w:rsidRPr="00893C26">
              <w:rPr>
                <w:sz w:val="20"/>
              </w:rPr>
              <w:t xml:space="preserve">to assist with the jury selection process. Due to his disruptive behaviour, the appellant was not present in the courtroom for the jury selection process but was able to observe via videoconference. The jury selection judge explained the jury selection process to the appellant and instructed him to give a thumbs up to the </w:t>
            </w:r>
            <w:r w:rsidRPr="00893C26">
              <w:rPr>
                <w:i/>
                <w:iCs/>
                <w:sz w:val="20"/>
              </w:rPr>
              <w:t>amicus</w:t>
            </w:r>
            <w:r w:rsidRPr="00893C26">
              <w:rPr>
                <w:sz w:val="20"/>
              </w:rPr>
              <w:t xml:space="preserve"> if he did not want a juror challenged and a thumbs down if he did. During the jury selection process, the appellant gave no signals to the </w:t>
            </w:r>
            <w:r w:rsidRPr="00893C26">
              <w:rPr>
                <w:i/>
                <w:iCs/>
                <w:sz w:val="20"/>
              </w:rPr>
              <w:t>amicus</w:t>
            </w:r>
            <w:r w:rsidRPr="00893C26">
              <w:rPr>
                <w:sz w:val="20"/>
              </w:rPr>
              <w:t xml:space="preserve">. The </w:t>
            </w:r>
            <w:r w:rsidRPr="00893C26">
              <w:rPr>
                <w:i/>
                <w:iCs/>
                <w:sz w:val="20"/>
              </w:rPr>
              <w:t xml:space="preserve">amicus </w:t>
            </w:r>
            <w:r w:rsidRPr="00893C26">
              <w:rPr>
                <w:sz w:val="20"/>
              </w:rPr>
              <w:t xml:space="preserve">exercised her professional judgment to use the appellant’s peremptory challenges on eight potential jurors. When potential jurors asked the presiding judge to be excused, those discussions took place off the record and outside the hearing of the prosecutor and the </w:t>
            </w:r>
            <w:r w:rsidRPr="00893C26">
              <w:rPr>
                <w:i/>
                <w:iCs/>
                <w:sz w:val="20"/>
              </w:rPr>
              <w:t>amicus</w:t>
            </w:r>
            <w:r w:rsidRPr="00893C26">
              <w:rPr>
                <w:sz w:val="20"/>
              </w:rPr>
              <w:t>. The appellant appealed the convictions and alleged, amongst other things, that the jury selection process was flawed and the jury reached an unreasonable verdict in convicting him of the first degree murder of his mother’s ward. The majority of the Court of Appeal of Alberta dismissed the appeal. O’Ferrall J.A., dissenting, would have allowed the appeal and ordered a new trial on both counts of first degree murder.</w:t>
            </w:r>
          </w:p>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March 28, 2018</w:t>
            </w:r>
          </w:p>
          <w:p w:rsidR="00407464" w:rsidRPr="00893C26" w:rsidRDefault="00407464" w:rsidP="002B2C2E">
            <w:pPr>
              <w:jc w:val="both"/>
              <w:rPr>
                <w:sz w:val="20"/>
              </w:rPr>
            </w:pPr>
            <w:r w:rsidRPr="00893C26">
              <w:rPr>
                <w:sz w:val="20"/>
              </w:rPr>
              <w:t>Court of Queen’s Bench of Alberta</w:t>
            </w:r>
          </w:p>
          <w:p w:rsidR="00407464" w:rsidRPr="00893C26" w:rsidRDefault="00407464" w:rsidP="002B2C2E">
            <w:pPr>
              <w:jc w:val="both"/>
              <w:rPr>
                <w:sz w:val="20"/>
              </w:rPr>
            </w:pPr>
            <w:r w:rsidRPr="00893C26">
              <w:rPr>
                <w:sz w:val="20"/>
              </w:rPr>
              <w:t>(Poelman J.)</w:t>
            </w:r>
          </w:p>
          <w:p w:rsidR="00407464" w:rsidRPr="00893C26" w:rsidRDefault="00407464" w:rsidP="002B2C2E">
            <w:pPr>
              <w:jc w:val="both"/>
              <w:rPr>
                <w:color w:val="000000"/>
                <w:sz w:val="20"/>
              </w:rPr>
            </w:pPr>
            <w:r w:rsidRPr="00893C26">
              <w:rPr>
                <w:color w:val="000000"/>
                <w:sz w:val="20"/>
              </w:rPr>
              <w:t>Docket: 151385507Q1</w:t>
            </w:r>
          </w:p>
          <w:p w:rsidR="00407464" w:rsidRPr="00893C26" w:rsidRDefault="00407464" w:rsidP="002B2C2E">
            <w:pPr>
              <w:jc w:val="both"/>
              <w:rPr>
                <w:sz w:val="20"/>
              </w:rPr>
            </w:pP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Appellant convicted by jury of two counts of first degree murder.</w:t>
            </w:r>
          </w:p>
        </w:tc>
      </w:tr>
      <w:tr w:rsidR="00407464" w:rsidRPr="00893C26" w:rsidTr="00407464">
        <w:tc>
          <w:tcPr>
            <w:tcW w:w="2427" w:type="pct"/>
            <w:gridSpan w:val="2"/>
          </w:tcPr>
          <w:p w:rsidR="00407464" w:rsidRPr="00893C26" w:rsidRDefault="00407464" w:rsidP="002B2C2E">
            <w:pPr>
              <w:jc w:val="both"/>
              <w:rPr>
                <w:sz w:val="20"/>
              </w:rPr>
            </w:pPr>
            <w:r w:rsidRPr="00893C26">
              <w:rPr>
                <w:sz w:val="20"/>
              </w:rPr>
              <w:t>January 13, 2022</w:t>
            </w:r>
          </w:p>
          <w:p w:rsidR="00407464" w:rsidRPr="00893C26" w:rsidRDefault="00407464" w:rsidP="002B2C2E">
            <w:pPr>
              <w:jc w:val="both"/>
              <w:rPr>
                <w:sz w:val="20"/>
              </w:rPr>
            </w:pPr>
            <w:r w:rsidRPr="00893C26">
              <w:rPr>
                <w:sz w:val="20"/>
              </w:rPr>
              <w:t>Court of Appeal of Alberta (Calgary)</w:t>
            </w:r>
          </w:p>
          <w:p w:rsidR="00407464" w:rsidRPr="00893C26" w:rsidRDefault="00407464" w:rsidP="002B2C2E">
            <w:pPr>
              <w:jc w:val="both"/>
              <w:rPr>
                <w:sz w:val="20"/>
              </w:rPr>
            </w:pPr>
            <w:r w:rsidRPr="00893C26">
              <w:rPr>
                <w:sz w:val="20"/>
              </w:rPr>
              <w:t xml:space="preserve">(McDonald, O’Ferrall [dissenting] and Khullar </w:t>
            </w:r>
          </w:p>
          <w:p w:rsidR="00407464" w:rsidRPr="00893C26" w:rsidRDefault="00407464" w:rsidP="002B2C2E">
            <w:pPr>
              <w:jc w:val="both"/>
              <w:rPr>
                <w:sz w:val="20"/>
              </w:rPr>
            </w:pPr>
            <w:r w:rsidRPr="00893C26">
              <w:rPr>
                <w:sz w:val="20"/>
              </w:rPr>
              <w:t>JJ.A.)</w:t>
            </w:r>
          </w:p>
          <w:p w:rsidR="00407464" w:rsidRPr="00893C26" w:rsidRDefault="00407464" w:rsidP="002B2C2E">
            <w:pPr>
              <w:jc w:val="both"/>
              <w:rPr>
                <w:sz w:val="20"/>
              </w:rPr>
            </w:pPr>
            <w:r w:rsidRPr="00893C26">
              <w:rPr>
                <w:bCs/>
                <w:sz w:val="20"/>
              </w:rPr>
              <w:t>Docket:</w:t>
            </w:r>
            <w:r w:rsidRPr="00893C26">
              <w:rPr>
                <w:sz w:val="20"/>
              </w:rPr>
              <w:t xml:space="preserve"> 1801-0177A</w:t>
            </w:r>
          </w:p>
          <w:p w:rsidR="00407464" w:rsidRPr="00893C26" w:rsidRDefault="00893C26" w:rsidP="002B2C2E">
            <w:pPr>
              <w:jc w:val="both"/>
              <w:rPr>
                <w:sz w:val="20"/>
              </w:rPr>
            </w:pPr>
            <w:hyperlink r:id="rId35" w:history="1">
              <w:r w:rsidR="00407464" w:rsidRPr="00893C26">
                <w:rPr>
                  <w:rStyle w:val="Hyperlink"/>
                  <w:sz w:val="20"/>
                </w:rPr>
                <w:t>2022 ABCA 12</w:t>
              </w:r>
            </w:hyperlink>
          </w:p>
          <w:p w:rsidR="00407464" w:rsidRPr="00893C26" w:rsidRDefault="00407464" w:rsidP="002B2C2E">
            <w:pPr>
              <w:jc w:val="both"/>
              <w:rPr>
                <w:sz w:val="20"/>
              </w:rPr>
            </w:pP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Appeal against convictions dismissed.</w:t>
            </w:r>
          </w:p>
        </w:tc>
      </w:tr>
      <w:tr w:rsidR="00407464" w:rsidRPr="00893C26" w:rsidTr="00407464">
        <w:tc>
          <w:tcPr>
            <w:tcW w:w="2427" w:type="pct"/>
            <w:gridSpan w:val="2"/>
          </w:tcPr>
          <w:p w:rsidR="00407464" w:rsidRPr="00893C26" w:rsidRDefault="00407464" w:rsidP="002B2C2E">
            <w:pPr>
              <w:jc w:val="both"/>
              <w:rPr>
                <w:sz w:val="20"/>
              </w:rPr>
            </w:pPr>
            <w:r w:rsidRPr="00893C26">
              <w:rPr>
                <w:sz w:val="20"/>
              </w:rPr>
              <w:t>February 11, 2022</w:t>
            </w:r>
          </w:p>
          <w:p w:rsidR="00407464" w:rsidRPr="00893C26" w:rsidRDefault="00407464" w:rsidP="002B2C2E">
            <w:pPr>
              <w:jc w:val="both"/>
              <w:rPr>
                <w:sz w:val="20"/>
              </w:rPr>
            </w:pPr>
            <w:r w:rsidRPr="00893C26">
              <w:rPr>
                <w:sz w:val="20"/>
              </w:rPr>
              <w:t>Supreme Court of Canada</w:t>
            </w:r>
          </w:p>
          <w:p w:rsidR="00407464" w:rsidRPr="00893C26" w:rsidRDefault="00407464" w:rsidP="002B2C2E">
            <w:pPr>
              <w:jc w:val="both"/>
              <w:rPr>
                <w:sz w:val="20"/>
              </w:rPr>
            </w:pP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Notice of appeal as of right filed.</w:t>
            </w:r>
          </w:p>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March 14, 2022</w:t>
            </w:r>
          </w:p>
          <w:p w:rsidR="00407464" w:rsidRPr="00893C26" w:rsidRDefault="00407464" w:rsidP="002B2C2E">
            <w:pPr>
              <w:jc w:val="both"/>
              <w:rPr>
                <w:sz w:val="20"/>
              </w:rPr>
            </w:pPr>
            <w:r w:rsidRPr="00893C26">
              <w:rPr>
                <w:sz w:val="20"/>
              </w:rPr>
              <w:t>Supreme Court of Canada</w:t>
            </w: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Application for leave to appeal filed.</w:t>
            </w:r>
          </w:p>
        </w:tc>
      </w:tr>
    </w:tbl>
    <w:p w:rsidR="00407464" w:rsidRPr="00893C26" w:rsidRDefault="00407464" w:rsidP="002B2C2E">
      <w:pPr>
        <w:jc w:val="both"/>
        <w:rPr>
          <w:sz w:val="20"/>
        </w:rPr>
      </w:pPr>
    </w:p>
    <w:p w:rsidR="004A7BC1" w:rsidRPr="00893C26" w:rsidRDefault="00893C26" w:rsidP="002B2C2E">
      <w:pPr>
        <w:jc w:val="both"/>
        <w:rPr>
          <w:sz w:val="20"/>
        </w:rPr>
      </w:pPr>
      <w:r w:rsidRPr="00893C26">
        <w:rPr>
          <w:sz w:val="20"/>
        </w:rPr>
        <w:pict>
          <v:rect id="_x0000_i1031" style="width:2in;height:1pt" o:hrpct="0" o:hralign="center" o:hrstd="t" o:hrnoshade="t" o:hr="t" fillcolor="black [3213]" stroked="f"/>
        </w:pict>
      </w:r>
    </w:p>
    <w:p w:rsidR="004A7BC1" w:rsidRPr="00893C26" w:rsidRDefault="004A7BC1" w:rsidP="002B2C2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464" w:rsidRPr="00893C26" w:rsidTr="00407464">
        <w:tc>
          <w:tcPr>
            <w:tcW w:w="543" w:type="pct"/>
          </w:tcPr>
          <w:p w:rsidR="00407464" w:rsidRPr="00893C26" w:rsidRDefault="00407464" w:rsidP="002B2C2E">
            <w:pPr>
              <w:jc w:val="both"/>
              <w:rPr>
                <w:sz w:val="20"/>
                <w:lang w:val="fr-CA"/>
              </w:rPr>
            </w:pPr>
            <w:r w:rsidRPr="00893C26">
              <w:rPr>
                <w:rStyle w:val="SCCFileNumberChar"/>
                <w:sz w:val="20"/>
                <w:szCs w:val="20"/>
                <w:lang w:val="fr-CA"/>
              </w:rPr>
              <w:t>40044</w:t>
            </w:r>
          </w:p>
        </w:tc>
        <w:tc>
          <w:tcPr>
            <w:tcW w:w="4457" w:type="pct"/>
            <w:gridSpan w:val="3"/>
          </w:tcPr>
          <w:p w:rsidR="00407464" w:rsidRPr="00893C26" w:rsidRDefault="00407464" w:rsidP="002B2C2E">
            <w:pPr>
              <w:pStyle w:val="SCCLsocParty"/>
              <w:jc w:val="both"/>
              <w:rPr>
                <w:b/>
                <w:sz w:val="20"/>
                <w:szCs w:val="20"/>
              </w:rPr>
            </w:pPr>
            <w:r w:rsidRPr="00893C26">
              <w:rPr>
                <w:b/>
                <w:sz w:val="20"/>
                <w:szCs w:val="20"/>
              </w:rPr>
              <w:t>Emanuel Kahsai c. Sa Majesté la Reine</w:t>
            </w:r>
          </w:p>
          <w:p w:rsidR="00407464" w:rsidRPr="00893C26" w:rsidRDefault="00407464" w:rsidP="004A7BC1">
            <w:pPr>
              <w:jc w:val="both"/>
              <w:rPr>
                <w:sz w:val="20"/>
                <w:lang w:val="fr-CA"/>
              </w:rPr>
            </w:pPr>
            <w:r w:rsidRPr="00893C26">
              <w:rPr>
                <w:sz w:val="20"/>
                <w:lang w:val="fr-CA"/>
              </w:rPr>
              <w:t>(Alb.) (</w:t>
            </w:r>
            <w:r w:rsidR="004A7BC1" w:rsidRPr="00893C26">
              <w:rPr>
                <w:sz w:val="20"/>
                <w:lang w:val="fr-CA"/>
              </w:rPr>
              <w:t>C</w:t>
            </w:r>
            <w:r w:rsidRPr="00893C26">
              <w:rPr>
                <w:sz w:val="20"/>
                <w:lang w:val="fr-CA"/>
              </w:rPr>
              <w:t>riminelle) (</w:t>
            </w:r>
            <w:r w:rsidR="004A7BC1" w:rsidRPr="00893C26">
              <w:rPr>
                <w:sz w:val="20"/>
                <w:lang w:val="fr-CA"/>
              </w:rPr>
              <w:t>S</w:t>
            </w:r>
            <w:r w:rsidRPr="00893C26">
              <w:rPr>
                <w:sz w:val="20"/>
                <w:lang w:val="fr-CA"/>
              </w:rPr>
              <w:t>ur autorisation et de plein droit)</w:t>
            </w:r>
          </w:p>
        </w:tc>
      </w:tr>
      <w:tr w:rsidR="00407464" w:rsidRPr="00893C26" w:rsidTr="00407464">
        <w:tc>
          <w:tcPr>
            <w:tcW w:w="5000" w:type="pct"/>
            <w:gridSpan w:val="4"/>
          </w:tcPr>
          <w:p w:rsidR="00407464" w:rsidRPr="00893C26" w:rsidRDefault="00407464" w:rsidP="002B2C2E">
            <w:pPr>
              <w:jc w:val="both"/>
              <w:rPr>
                <w:sz w:val="20"/>
                <w:lang w:val="fr-CA"/>
              </w:rPr>
            </w:pPr>
            <w:r w:rsidRPr="00893C26">
              <w:rPr>
                <w:sz w:val="20"/>
                <w:lang w:val="fr-CA"/>
              </w:rPr>
              <w:t>Droit criminel — Jurés — Sélection — Discussions à titre confidentiel entre la juge et des jurés potentiels — Verdict raisonnable — La juge qui a présidé le processus de sélection du jury a-t-elle commis une erreur en tenant de nombreuses discussions à titre confidentiel avec des candidats-jurés, et dans l’affirmative, peut-il être remédié à cette erreur au moyen de la disposition réparatrice prévue au sous-alinéa 686(1)b</w:t>
            </w:r>
            <w:proofErr w:type="gramStart"/>
            <w:r w:rsidRPr="00893C26">
              <w:rPr>
                <w:sz w:val="20"/>
                <w:lang w:val="fr-CA"/>
              </w:rPr>
              <w:t>)(</w:t>
            </w:r>
            <w:proofErr w:type="gramEnd"/>
            <w:r w:rsidRPr="00893C26">
              <w:rPr>
                <w:sz w:val="20"/>
                <w:lang w:val="fr-CA"/>
              </w:rPr>
              <w:t xml:space="preserve">iv) du </w:t>
            </w:r>
            <w:r w:rsidRPr="00893C26">
              <w:rPr>
                <w:i/>
                <w:sz w:val="20"/>
                <w:lang w:val="fr-CA"/>
              </w:rPr>
              <w:t>Code criminel </w:t>
            </w:r>
            <w:r w:rsidRPr="00893C26">
              <w:rPr>
                <w:sz w:val="20"/>
                <w:lang w:val="fr-CA"/>
              </w:rPr>
              <w:t xml:space="preserve">? — Le verdict de meurtre au premier degré relativement au deuxième chef d’accusation est-il déraisonnable, puisqu’un jury ayant reçu des directives appropriées, et agissant d’une manière judiciaire, ne pourrait pas raisonnablement conclure que le meurtre a été commis avec préméditation et de propos délibéré ? — </w:t>
            </w:r>
            <w:r w:rsidRPr="00893C26">
              <w:rPr>
                <w:i/>
                <w:sz w:val="20"/>
                <w:lang w:val="fr-CA"/>
              </w:rPr>
              <w:t>Code criminel</w:t>
            </w:r>
            <w:r w:rsidRPr="00893C26">
              <w:rPr>
                <w:sz w:val="20"/>
                <w:lang w:val="fr-CA"/>
              </w:rPr>
              <w:t>, L.R.C. 1985, c. C-46, sous-al. 686(1)b</w:t>
            </w:r>
            <w:proofErr w:type="gramStart"/>
            <w:r w:rsidRPr="00893C26">
              <w:rPr>
                <w:sz w:val="20"/>
                <w:lang w:val="fr-CA"/>
              </w:rPr>
              <w:t>)(</w:t>
            </w:r>
            <w:proofErr w:type="gramEnd"/>
            <w:r w:rsidRPr="00893C26">
              <w:rPr>
                <w:sz w:val="20"/>
                <w:lang w:val="fr-CA"/>
              </w:rPr>
              <w:t>iv).</w:t>
            </w:r>
          </w:p>
          <w:p w:rsidR="00407464" w:rsidRPr="00893C26" w:rsidRDefault="00407464" w:rsidP="002B2C2E">
            <w:pPr>
              <w:jc w:val="both"/>
              <w:rPr>
                <w:sz w:val="20"/>
                <w:lang w:val="fr-CA"/>
              </w:rPr>
            </w:pPr>
          </w:p>
        </w:tc>
      </w:tr>
      <w:tr w:rsidR="00407464" w:rsidRPr="00893C26" w:rsidTr="00407464">
        <w:tc>
          <w:tcPr>
            <w:tcW w:w="5000" w:type="pct"/>
            <w:gridSpan w:val="4"/>
          </w:tcPr>
          <w:p w:rsidR="00407464" w:rsidRPr="00893C26" w:rsidRDefault="00407464" w:rsidP="002B2C2E">
            <w:pPr>
              <w:jc w:val="both"/>
              <w:rPr>
                <w:sz w:val="20"/>
                <w:lang w:val="fr-CA"/>
              </w:rPr>
            </w:pPr>
            <w:r w:rsidRPr="00893C26">
              <w:rPr>
                <w:sz w:val="20"/>
                <w:lang w:val="fr-CA"/>
              </w:rPr>
              <w:t xml:space="preserve">L’appelant a été déclaré coupable par un jury de deux chefs d’accusation de meurtre au premier degré pour avoir poignardé sa mère et la pupille de sa mère. L’appelant a refusé de retenir les services d’un avocat à la suite de l’enquête préliminaire. Le juge du procès a nommé un </w:t>
            </w:r>
            <w:r w:rsidRPr="00893C26">
              <w:rPr>
                <w:i/>
                <w:iCs/>
                <w:sz w:val="20"/>
                <w:lang w:val="fr-CA"/>
              </w:rPr>
              <w:t xml:space="preserve">amicus curiae </w:t>
            </w:r>
            <w:r w:rsidRPr="00893C26">
              <w:rPr>
                <w:sz w:val="20"/>
                <w:lang w:val="fr-CA"/>
              </w:rPr>
              <w:t>pour aider dans le cadre du processus de sélection du jury. En raison de son comportement perturbateur, l’appelant n’était pas présent dans la salle d’audience lors de la sélection du jury, mais a pu observer par vidéoconférence. La juge présidant la sélection du jury a expliqué le processus de sélection du jury à l’appelant et lui a donné comme directive de faire signe à l’amicus curiae en levant le pouce pour lui indiquer qu’il ne voulait pas demander la récusation d’un juré et en tournant le pouce vers le bas dans le cas contraire. Pendant le processus de sélection du jury, l’appelant n’a pas fait signe à l’</w:t>
            </w:r>
            <w:r w:rsidRPr="00893C26">
              <w:rPr>
                <w:i/>
                <w:iCs/>
                <w:sz w:val="20"/>
                <w:lang w:val="fr-CA"/>
              </w:rPr>
              <w:t xml:space="preserve">amicus curiae </w:t>
            </w:r>
            <w:r w:rsidRPr="00893C26">
              <w:rPr>
                <w:iCs/>
                <w:sz w:val="20"/>
                <w:lang w:val="fr-CA"/>
              </w:rPr>
              <w:t>du tout</w:t>
            </w:r>
            <w:r w:rsidRPr="00893C26">
              <w:rPr>
                <w:sz w:val="20"/>
                <w:lang w:val="fr-CA"/>
              </w:rPr>
              <w:t>. Cette dernière a exercé son jugement professionnel pour récuser péremptoirement huit jurés potentiels, au nom de l’appelant. Lorsque des jurés potentiels ont demandé à la juge d’être dispensé de leur devoir, les discussions y afférentes ont eu lieu à titre confidentiel à l’écart du procureur et de l’</w:t>
            </w:r>
            <w:r w:rsidRPr="00893C26">
              <w:rPr>
                <w:i/>
                <w:iCs/>
                <w:sz w:val="20"/>
                <w:lang w:val="fr-CA"/>
              </w:rPr>
              <w:t>amicus curiae</w:t>
            </w:r>
            <w:r w:rsidRPr="00893C26">
              <w:rPr>
                <w:iCs/>
                <w:sz w:val="20"/>
                <w:lang w:val="fr-CA"/>
              </w:rPr>
              <w:t xml:space="preserve"> pour que ces derniers ne puissent pas écouter</w:t>
            </w:r>
            <w:r w:rsidRPr="00893C26">
              <w:rPr>
                <w:sz w:val="20"/>
                <w:lang w:val="fr-CA"/>
              </w:rPr>
              <w:t>. L’appelant a porté les déclarations de culpabilité en appel et a notamment allégué que le processus de sélection du jury était vicié et que le jury a prononcé un verdict déraisonnable en le condamnant au meurtre au premier degré de la pupille de sa mère. Les juges majoritaires de la Cour d’appel de l’Alberta ont rejeté l’appel. Le juge O’Ferrall, dissident, aurait accueilli l’appel et ordonné la tenue d’un nouveau procès relativement aux deux chefs d’accusation de meurtre au premier degré.</w:t>
            </w:r>
          </w:p>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28 mars 2018</w:t>
            </w:r>
          </w:p>
          <w:p w:rsidR="00407464" w:rsidRPr="00893C26" w:rsidRDefault="00407464" w:rsidP="002B2C2E">
            <w:pPr>
              <w:jc w:val="both"/>
              <w:rPr>
                <w:sz w:val="20"/>
                <w:lang w:val="fr-CA"/>
              </w:rPr>
            </w:pPr>
            <w:r w:rsidRPr="00893C26">
              <w:rPr>
                <w:sz w:val="20"/>
                <w:lang w:val="fr-CA"/>
              </w:rPr>
              <w:t>Cour du Banc de la Reine de l’Alberta</w:t>
            </w:r>
          </w:p>
          <w:p w:rsidR="00407464" w:rsidRPr="00893C26" w:rsidRDefault="00407464" w:rsidP="002B2C2E">
            <w:pPr>
              <w:jc w:val="both"/>
              <w:rPr>
                <w:sz w:val="20"/>
                <w:lang w:val="fr-CA"/>
              </w:rPr>
            </w:pPr>
            <w:r w:rsidRPr="00893C26">
              <w:rPr>
                <w:sz w:val="20"/>
                <w:lang w:val="fr-CA"/>
              </w:rPr>
              <w:t>(juge Poelman)</w:t>
            </w:r>
          </w:p>
          <w:p w:rsidR="00407464" w:rsidRPr="00893C26" w:rsidRDefault="00407464" w:rsidP="002B2C2E">
            <w:pPr>
              <w:jc w:val="both"/>
              <w:rPr>
                <w:color w:val="000000"/>
                <w:sz w:val="20"/>
                <w:lang w:val="fr-CA"/>
              </w:rPr>
            </w:pPr>
            <w:r w:rsidRPr="00893C26">
              <w:rPr>
                <w:color w:val="000000"/>
                <w:sz w:val="20"/>
                <w:lang w:val="fr-CA"/>
              </w:rPr>
              <w:t>Dossier : 151385507Q1</w:t>
            </w:r>
          </w:p>
          <w:p w:rsidR="00407464" w:rsidRPr="00893C26" w:rsidRDefault="00407464" w:rsidP="002B2C2E">
            <w:pPr>
              <w:jc w:val="both"/>
              <w:rPr>
                <w:sz w:val="20"/>
                <w:lang w:val="fr-CA"/>
              </w:rPr>
            </w:pP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L’appelant est déclaré coupable par le jury de deux chefs d’accusation de meurtre au premier degré.</w:t>
            </w: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13 janvier 2022</w:t>
            </w:r>
          </w:p>
          <w:p w:rsidR="00407464" w:rsidRPr="00893C26" w:rsidRDefault="00407464" w:rsidP="002B2C2E">
            <w:pPr>
              <w:jc w:val="both"/>
              <w:rPr>
                <w:sz w:val="20"/>
                <w:lang w:val="fr-CA"/>
              </w:rPr>
            </w:pPr>
            <w:r w:rsidRPr="00893C26">
              <w:rPr>
                <w:sz w:val="20"/>
                <w:lang w:val="fr-CA"/>
              </w:rPr>
              <w:t>Cour d’appel de l’Alberta (Calgary)</w:t>
            </w:r>
          </w:p>
          <w:p w:rsidR="00407464" w:rsidRPr="00893C26" w:rsidRDefault="00407464" w:rsidP="002B2C2E">
            <w:pPr>
              <w:jc w:val="both"/>
              <w:rPr>
                <w:sz w:val="20"/>
                <w:lang w:val="fr-CA"/>
              </w:rPr>
            </w:pPr>
            <w:r w:rsidRPr="00893C26">
              <w:rPr>
                <w:sz w:val="20"/>
                <w:lang w:val="fr-CA"/>
              </w:rPr>
              <w:t>(juges McDonald, O’Ferrall [dissident] et Khullar)</w:t>
            </w:r>
          </w:p>
          <w:p w:rsidR="00407464" w:rsidRPr="00893C26" w:rsidRDefault="00407464" w:rsidP="002B2C2E">
            <w:pPr>
              <w:jc w:val="both"/>
              <w:rPr>
                <w:sz w:val="20"/>
                <w:lang w:val="fr-CA"/>
              </w:rPr>
            </w:pPr>
            <w:r w:rsidRPr="00893C26">
              <w:rPr>
                <w:bCs/>
                <w:sz w:val="20"/>
                <w:lang w:val="fr-CA"/>
              </w:rPr>
              <w:t>Dossier :</w:t>
            </w:r>
            <w:r w:rsidRPr="00893C26">
              <w:rPr>
                <w:sz w:val="20"/>
                <w:lang w:val="fr-CA"/>
              </w:rPr>
              <w:t xml:space="preserve"> 1801-0177A</w:t>
            </w:r>
          </w:p>
          <w:p w:rsidR="00407464" w:rsidRPr="00893C26" w:rsidRDefault="00893C26" w:rsidP="002B2C2E">
            <w:pPr>
              <w:jc w:val="both"/>
              <w:rPr>
                <w:sz w:val="20"/>
                <w:lang w:val="fr-CA"/>
              </w:rPr>
            </w:pPr>
            <w:hyperlink r:id="rId36" w:history="1">
              <w:r w:rsidR="00407464" w:rsidRPr="00893C26">
                <w:rPr>
                  <w:rStyle w:val="Hyperlink"/>
                  <w:sz w:val="20"/>
                  <w:lang w:val="fr-CA"/>
                </w:rPr>
                <w:t>2022 ABCA 12</w:t>
              </w:r>
            </w:hyperlink>
          </w:p>
          <w:p w:rsidR="00407464" w:rsidRPr="00893C26" w:rsidRDefault="00407464" w:rsidP="002B2C2E">
            <w:pPr>
              <w:jc w:val="both"/>
              <w:rPr>
                <w:sz w:val="20"/>
                <w:lang w:val="fr-CA"/>
              </w:rPr>
            </w:pP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L’appel interjeté contre les déclarations de culpabilité est rejeté.</w:t>
            </w: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11 février 2022</w:t>
            </w:r>
          </w:p>
          <w:p w:rsidR="00407464" w:rsidRPr="00893C26" w:rsidRDefault="00407464" w:rsidP="002B2C2E">
            <w:pPr>
              <w:jc w:val="both"/>
              <w:rPr>
                <w:sz w:val="20"/>
                <w:lang w:val="fr-CA"/>
              </w:rPr>
            </w:pPr>
            <w:r w:rsidRPr="00893C26">
              <w:rPr>
                <w:sz w:val="20"/>
                <w:lang w:val="fr-CA"/>
              </w:rPr>
              <w:t>Cour suprême du Canada</w:t>
            </w:r>
          </w:p>
          <w:p w:rsidR="00407464" w:rsidRPr="00893C26" w:rsidRDefault="00407464" w:rsidP="002B2C2E">
            <w:pPr>
              <w:jc w:val="both"/>
              <w:rPr>
                <w:sz w:val="20"/>
                <w:lang w:val="fr-CA"/>
              </w:rPr>
            </w:pP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L’avis d’appel de plein droit est présenté.</w:t>
            </w:r>
          </w:p>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14 mars 2022</w:t>
            </w:r>
          </w:p>
          <w:p w:rsidR="00407464" w:rsidRPr="00893C26" w:rsidRDefault="00407464" w:rsidP="002B2C2E">
            <w:pPr>
              <w:jc w:val="both"/>
              <w:rPr>
                <w:sz w:val="20"/>
                <w:lang w:val="fr-CA"/>
              </w:rPr>
            </w:pPr>
            <w:r w:rsidRPr="00893C26">
              <w:rPr>
                <w:sz w:val="20"/>
                <w:lang w:val="fr-CA"/>
              </w:rPr>
              <w:t>Cour suprême du Canada</w:t>
            </w: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 demande d’autorisation d’appel est présentée.</w:t>
            </w:r>
          </w:p>
        </w:tc>
      </w:tr>
    </w:tbl>
    <w:p w:rsidR="00407464" w:rsidRPr="00893C26" w:rsidRDefault="00407464" w:rsidP="002B2C2E">
      <w:pPr>
        <w:jc w:val="both"/>
        <w:rPr>
          <w:sz w:val="20"/>
          <w:lang w:val="fr-CA"/>
        </w:rPr>
      </w:pPr>
    </w:p>
    <w:p w:rsidR="004A7BC1" w:rsidRPr="00893C26" w:rsidRDefault="00893C26" w:rsidP="002B2C2E">
      <w:pPr>
        <w:jc w:val="both"/>
        <w:rPr>
          <w:sz w:val="20"/>
          <w:lang w:val="fr-CA"/>
        </w:rPr>
      </w:pPr>
      <w:r w:rsidRPr="00893C26">
        <w:rPr>
          <w:sz w:val="20"/>
        </w:rPr>
        <w:pict>
          <v:rect id="_x0000_i1032" style="width:2in;height:1pt" o:hrpct="0" o:hralign="center" o:hrstd="t" o:hrnoshade="t" o:hr="t" fillcolor="black [3213]" stroked="f"/>
        </w:pict>
      </w:r>
    </w:p>
    <w:p w:rsidR="00963B1E" w:rsidRPr="00893C26" w:rsidRDefault="00963B1E" w:rsidP="002B2C2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464" w:rsidRPr="00893C26" w:rsidTr="00407464">
        <w:tc>
          <w:tcPr>
            <w:tcW w:w="543" w:type="pct"/>
          </w:tcPr>
          <w:p w:rsidR="00407464" w:rsidRPr="00893C26" w:rsidRDefault="00407464" w:rsidP="002B2C2E">
            <w:pPr>
              <w:jc w:val="both"/>
              <w:rPr>
                <w:sz w:val="20"/>
              </w:rPr>
            </w:pPr>
            <w:r w:rsidRPr="00893C26">
              <w:rPr>
                <w:rStyle w:val="SCCFileNumberChar"/>
                <w:sz w:val="20"/>
                <w:szCs w:val="20"/>
              </w:rPr>
              <w:t>40069</w:t>
            </w:r>
          </w:p>
        </w:tc>
        <w:tc>
          <w:tcPr>
            <w:tcW w:w="4457" w:type="pct"/>
            <w:gridSpan w:val="3"/>
          </w:tcPr>
          <w:p w:rsidR="00407464" w:rsidRPr="00893C26" w:rsidRDefault="00407464" w:rsidP="002B2C2E">
            <w:pPr>
              <w:pStyle w:val="SCCLsocParty"/>
              <w:jc w:val="both"/>
              <w:rPr>
                <w:b/>
                <w:sz w:val="20"/>
                <w:szCs w:val="20"/>
                <w:lang w:val="en-US"/>
              </w:rPr>
            </w:pPr>
            <w:r w:rsidRPr="00893C26">
              <w:rPr>
                <w:b/>
                <w:sz w:val="20"/>
                <w:szCs w:val="20"/>
                <w:lang w:val="en-US"/>
              </w:rPr>
              <w:t>719491 Alberta Inc. v. Canada Life Assurance Company</w:t>
            </w:r>
          </w:p>
          <w:p w:rsidR="00407464" w:rsidRPr="00893C26" w:rsidRDefault="00407464" w:rsidP="002B2C2E">
            <w:pPr>
              <w:jc w:val="both"/>
              <w:rPr>
                <w:sz w:val="20"/>
              </w:rPr>
            </w:pPr>
            <w:r w:rsidRPr="00893C26">
              <w:rPr>
                <w:sz w:val="20"/>
              </w:rPr>
              <w:t>(Alta.) (Civil) (By Leave)</w:t>
            </w:r>
          </w:p>
        </w:tc>
      </w:tr>
      <w:tr w:rsidR="00407464" w:rsidRPr="00893C26" w:rsidTr="00407464">
        <w:tc>
          <w:tcPr>
            <w:tcW w:w="5000" w:type="pct"/>
            <w:gridSpan w:val="4"/>
          </w:tcPr>
          <w:p w:rsidR="00407464" w:rsidRPr="00893C26" w:rsidRDefault="00407464" w:rsidP="002B2C2E">
            <w:pPr>
              <w:jc w:val="both"/>
              <w:rPr>
                <w:sz w:val="20"/>
              </w:rPr>
            </w:pPr>
            <w:r w:rsidRPr="00893C26">
              <w:rPr>
                <w:sz w:val="20"/>
              </w:rPr>
              <w:t xml:space="preserve">Appeals — Leave to Appeal — Arbitration — Reconsideration of prior decisions — Whether provincial and territorial courts of appeal should be guided by </w:t>
            </w:r>
            <w:r w:rsidRPr="00893C26">
              <w:rPr>
                <w:i/>
                <w:sz w:val="20"/>
              </w:rPr>
              <w:t>MacDonald</w:t>
            </w:r>
            <w:r w:rsidRPr="00893C26">
              <w:rPr>
                <w:sz w:val="20"/>
              </w:rPr>
              <w:t xml:space="preserve"> </w:t>
            </w:r>
            <w:r w:rsidRPr="00893C26">
              <w:rPr>
                <w:i/>
                <w:sz w:val="20"/>
              </w:rPr>
              <w:t>v.</w:t>
            </w:r>
            <w:r w:rsidRPr="00893C26">
              <w:rPr>
                <w:sz w:val="20"/>
              </w:rPr>
              <w:t xml:space="preserve"> </w:t>
            </w:r>
            <w:r w:rsidRPr="00893C26">
              <w:rPr>
                <w:i/>
                <w:sz w:val="20"/>
              </w:rPr>
              <w:t>City of Montreal</w:t>
            </w:r>
            <w:r w:rsidRPr="00893C26">
              <w:rPr>
                <w:sz w:val="20"/>
              </w:rPr>
              <w:t xml:space="preserve">, [1986] 1 S.C.R. 460, rather than </w:t>
            </w:r>
            <w:r w:rsidRPr="00893C26">
              <w:rPr>
                <w:i/>
                <w:sz w:val="20"/>
              </w:rPr>
              <w:t>Ernewein</w:t>
            </w:r>
            <w:r w:rsidRPr="00893C26">
              <w:rPr>
                <w:sz w:val="20"/>
              </w:rPr>
              <w:t xml:space="preserve"> </w:t>
            </w:r>
            <w:r w:rsidRPr="00893C26">
              <w:rPr>
                <w:i/>
                <w:sz w:val="20"/>
              </w:rPr>
              <w:t>v.</w:t>
            </w:r>
            <w:r w:rsidRPr="00893C26">
              <w:rPr>
                <w:sz w:val="20"/>
              </w:rPr>
              <w:t xml:space="preserve"> </w:t>
            </w:r>
            <w:r w:rsidRPr="00893C26">
              <w:rPr>
                <w:i/>
                <w:sz w:val="20"/>
              </w:rPr>
              <w:t>Minister of Employment and Immigration</w:t>
            </w:r>
            <w:r w:rsidRPr="00893C26">
              <w:rPr>
                <w:sz w:val="20"/>
              </w:rPr>
              <w:t>, [1980] 1 S.C.R. 639, when deciding jurisdiction to review leave to appeal decisions of lower courts — What is the correct interpretation of the statutory test for leave to appeal an arbitration award under the</w:t>
            </w:r>
            <w:r w:rsidRPr="00893C26">
              <w:rPr>
                <w:i/>
                <w:sz w:val="20"/>
              </w:rPr>
              <w:t xml:space="preserve"> Arbitration Act</w:t>
            </w:r>
            <w:r w:rsidRPr="00893C26">
              <w:rPr>
                <w:sz w:val="20"/>
              </w:rPr>
              <w:t xml:space="preserve">, </w:t>
            </w:r>
            <w:r w:rsidRPr="00893C26">
              <w:rPr>
                <w:rFonts w:eastAsiaTheme="majorEastAsia"/>
                <w:sz w:val="20"/>
              </w:rPr>
              <w:t>R.S.A. 2000, c. A-43,</w:t>
            </w:r>
            <w:r w:rsidRPr="00893C26">
              <w:rPr>
                <w:sz w:val="20"/>
              </w:rPr>
              <w:t xml:space="preserve"> and its counterparts in other provinces — How should courts balance legislative policy of non-intervention in arbitration against legislative intent that the courts supervise arbitrators’ determinations of questions of law — Is demonstrating arguable merit always an element of the test for leave to appeal and, if so, what standard of review is used to assess arguable merit?</w:t>
            </w:r>
          </w:p>
        </w:tc>
      </w:tr>
      <w:tr w:rsidR="00407464" w:rsidRPr="00893C26" w:rsidTr="00407464">
        <w:tc>
          <w:tcPr>
            <w:tcW w:w="5000" w:type="pct"/>
            <w:gridSpan w:val="4"/>
          </w:tcPr>
          <w:p w:rsidR="00407464" w:rsidRPr="00893C26" w:rsidRDefault="00407464" w:rsidP="002B2C2E">
            <w:pPr>
              <w:jc w:val="both"/>
              <w:rPr>
                <w:sz w:val="20"/>
              </w:rPr>
            </w:pPr>
          </w:p>
          <w:p w:rsidR="00407464" w:rsidRPr="00893C26" w:rsidRDefault="00407464" w:rsidP="002B2C2E">
            <w:pPr>
              <w:widowControl w:val="0"/>
              <w:jc w:val="both"/>
              <w:rPr>
                <w:sz w:val="20"/>
              </w:rPr>
            </w:pPr>
            <w:r w:rsidRPr="00893C26">
              <w:rPr>
                <w:sz w:val="20"/>
              </w:rPr>
              <w:t xml:space="preserve">719491 Alberta Inc. leases land from The Canada Life Assurance Company. They disagreed regarding the rent due under the lease and proceeded to arbitration. The arbitrator issued a decision. 719491 Alberta Inc. applied to the Court of Queen’s Bench for leave to appeal or to have the arbitration award set aside and remanded for reconsideration. The Court of Queen’s Bench dismissed the application. The Court of Appeal denied leave to appeal and denied an application to seek review of a decision previously rendered in </w:t>
            </w:r>
            <w:r w:rsidRPr="00893C26">
              <w:rPr>
                <w:i/>
                <w:sz w:val="20"/>
              </w:rPr>
              <w:t>Sherwin Williams</w:t>
            </w:r>
            <w:r w:rsidRPr="00893C26">
              <w:rPr>
                <w:sz w:val="20"/>
              </w:rPr>
              <w:t xml:space="preserve"> </w:t>
            </w:r>
            <w:r w:rsidRPr="00893C26">
              <w:rPr>
                <w:i/>
                <w:sz w:val="20"/>
              </w:rPr>
              <w:t>v. Walls Alive (Edmonton) Ltd.</w:t>
            </w:r>
            <w:r w:rsidRPr="00893C26">
              <w:rPr>
                <w:sz w:val="20"/>
              </w:rPr>
              <w:t>, 2003 ABCA 191.</w:t>
            </w:r>
          </w:p>
        </w:tc>
      </w:tr>
      <w:tr w:rsidR="00407464" w:rsidRPr="00893C26" w:rsidTr="00407464">
        <w:tc>
          <w:tcPr>
            <w:tcW w:w="5000" w:type="pct"/>
            <w:gridSpan w:val="4"/>
          </w:tcPr>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March 29, 2021</w:t>
            </w:r>
          </w:p>
          <w:p w:rsidR="00407464" w:rsidRPr="00893C26" w:rsidRDefault="00407464" w:rsidP="002B2C2E">
            <w:pPr>
              <w:jc w:val="both"/>
              <w:rPr>
                <w:sz w:val="20"/>
              </w:rPr>
            </w:pPr>
            <w:r w:rsidRPr="00893C26">
              <w:rPr>
                <w:sz w:val="20"/>
              </w:rPr>
              <w:t>Court of Queen’s Bench of Alberta</w:t>
            </w:r>
          </w:p>
          <w:p w:rsidR="00407464" w:rsidRPr="00893C26" w:rsidRDefault="00407464" w:rsidP="002B2C2E">
            <w:pPr>
              <w:jc w:val="both"/>
              <w:rPr>
                <w:sz w:val="20"/>
              </w:rPr>
            </w:pPr>
            <w:r w:rsidRPr="00893C26">
              <w:rPr>
                <w:sz w:val="20"/>
              </w:rPr>
              <w:t>(Sullivan J.)</w:t>
            </w:r>
          </w:p>
          <w:p w:rsidR="00407464" w:rsidRPr="00893C26" w:rsidRDefault="00893C26" w:rsidP="002B2C2E">
            <w:pPr>
              <w:jc w:val="both"/>
              <w:rPr>
                <w:sz w:val="20"/>
              </w:rPr>
            </w:pPr>
            <w:hyperlink r:id="rId37" w:history="1">
              <w:r w:rsidR="00407464" w:rsidRPr="00893C26">
                <w:rPr>
                  <w:rStyle w:val="Hyperlink"/>
                  <w:sz w:val="20"/>
                </w:rPr>
                <w:t>2021 ABQB 226</w:t>
              </w:r>
            </w:hyperlink>
          </w:p>
          <w:p w:rsidR="00407464" w:rsidRPr="00893C26" w:rsidRDefault="00407464" w:rsidP="002B2C2E">
            <w:pPr>
              <w:jc w:val="both"/>
              <w:rPr>
                <w:sz w:val="20"/>
              </w:rPr>
            </w:pP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Application for leave to appeal arbitration decision dismissed; application to set aside arbitration decision dismissed</w:t>
            </w:r>
          </w:p>
        </w:tc>
      </w:tr>
      <w:tr w:rsidR="00407464" w:rsidRPr="00893C26" w:rsidTr="00407464">
        <w:tc>
          <w:tcPr>
            <w:tcW w:w="2427" w:type="pct"/>
            <w:gridSpan w:val="2"/>
          </w:tcPr>
          <w:p w:rsidR="00407464" w:rsidRPr="00893C26" w:rsidRDefault="00407464" w:rsidP="002B2C2E">
            <w:pPr>
              <w:jc w:val="both"/>
              <w:rPr>
                <w:sz w:val="20"/>
              </w:rPr>
            </w:pPr>
            <w:r w:rsidRPr="00893C26">
              <w:rPr>
                <w:sz w:val="20"/>
              </w:rPr>
              <w:t>December 16, 2021</w:t>
            </w:r>
          </w:p>
          <w:p w:rsidR="00407464" w:rsidRPr="00893C26" w:rsidRDefault="00407464" w:rsidP="002B2C2E">
            <w:pPr>
              <w:jc w:val="both"/>
              <w:rPr>
                <w:sz w:val="20"/>
              </w:rPr>
            </w:pPr>
            <w:r w:rsidRPr="00893C26">
              <w:rPr>
                <w:sz w:val="20"/>
              </w:rPr>
              <w:t>Court of Appeal of Alberta (Calgary)</w:t>
            </w:r>
          </w:p>
          <w:p w:rsidR="00407464" w:rsidRPr="00893C26" w:rsidRDefault="00407464" w:rsidP="002B2C2E">
            <w:pPr>
              <w:widowControl w:val="0"/>
              <w:jc w:val="both"/>
              <w:rPr>
                <w:sz w:val="20"/>
              </w:rPr>
            </w:pPr>
            <w:r w:rsidRPr="00893C26">
              <w:rPr>
                <w:sz w:val="20"/>
              </w:rPr>
              <w:t>(Rowbotham, Hughes, Ho JJ.A.)</w:t>
            </w:r>
          </w:p>
          <w:p w:rsidR="00407464" w:rsidRPr="00893C26" w:rsidRDefault="00893C26" w:rsidP="002B2C2E">
            <w:pPr>
              <w:widowControl w:val="0"/>
              <w:kinsoku w:val="0"/>
              <w:overflowPunct w:val="0"/>
              <w:jc w:val="both"/>
              <w:textAlignment w:val="baseline"/>
              <w:rPr>
                <w:color w:val="0B0B0B"/>
                <w:spacing w:val="-2"/>
                <w:sz w:val="20"/>
              </w:rPr>
            </w:pPr>
            <w:hyperlink r:id="rId38" w:history="1">
              <w:r w:rsidR="00407464" w:rsidRPr="00893C26">
                <w:rPr>
                  <w:rStyle w:val="Hyperlink"/>
                  <w:spacing w:val="-2"/>
                  <w:sz w:val="20"/>
                </w:rPr>
                <w:t>2021 ABCA 419</w:t>
              </w:r>
            </w:hyperlink>
            <w:r w:rsidR="00407464" w:rsidRPr="00893C26">
              <w:rPr>
                <w:color w:val="0B0B0B"/>
                <w:spacing w:val="-2"/>
                <w:sz w:val="20"/>
              </w:rPr>
              <w:t xml:space="preserve">; </w:t>
            </w:r>
            <w:r w:rsidR="00407464" w:rsidRPr="00893C26">
              <w:rPr>
                <w:color w:val="0B0B0B"/>
                <w:sz w:val="20"/>
              </w:rPr>
              <w:t>2101-0107AC</w:t>
            </w:r>
          </w:p>
          <w:p w:rsidR="00407464" w:rsidRPr="00893C26" w:rsidRDefault="00407464" w:rsidP="002B2C2E">
            <w:pPr>
              <w:jc w:val="both"/>
              <w:rPr>
                <w:sz w:val="20"/>
              </w:rPr>
            </w:pPr>
          </w:p>
        </w:tc>
        <w:tc>
          <w:tcPr>
            <w:tcW w:w="243" w:type="pct"/>
          </w:tcPr>
          <w:p w:rsidR="00407464" w:rsidRPr="00893C26" w:rsidRDefault="00407464" w:rsidP="002B2C2E">
            <w:pPr>
              <w:jc w:val="both"/>
              <w:rPr>
                <w:sz w:val="20"/>
              </w:rPr>
            </w:pPr>
          </w:p>
        </w:tc>
        <w:tc>
          <w:tcPr>
            <w:tcW w:w="2330" w:type="pct"/>
          </w:tcPr>
          <w:p w:rsidR="00407464" w:rsidRPr="00893C26" w:rsidRDefault="00407464" w:rsidP="004A7BC1">
            <w:pPr>
              <w:widowControl w:val="0"/>
              <w:kinsoku w:val="0"/>
              <w:overflowPunct w:val="0"/>
              <w:ind w:right="142"/>
              <w:jc w:val="both"/>
              <w:textAlignment w:val="baseline"/>
              <w:rPr>
                <w:sz w:val="20"/>
              </w:rPr>
            </w:pPr>
            <w:r w:rsidRPr="00893C26">
              <w:rPr>
                <w:sz w:val="20"/>
              </w:rPr>
              <w:t>Applications for leave to appeal and for leave to seek reconsideration of prior decisions denied</w:t>
            </w:r>
          </w:p>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February 14, 2022</w:t>
            </w:r>
          </w:p>
          <w:p w:rsidR="00407464" w:rsidRPr="00893C26" w:rsidRDefault="00407464" w:rsidP="002B2C2E">
            <w:pPr>
              <w:jc w:val="both"/>
              <w:rPr>
                <w:sz w:val="20"/>
              </w:rPr>
            </w:pPr>
            <w:r w:rsidRPr="00893C26">
              <w:rPr>
                <w:sz w:val="20"/>
              </w:rPr>
              <w:t>Supreme Court of Canada</w:t>
            </w: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Application for leave to appeal filed</w:t>
            </w:r>
          </w:p>
          <w:p w:rsidR="00407464" w:rsidRPr="00893C26" w:rsidRDefault="00407464" w:rsidP="002B2C2E">
            <w:pPr>
              <w:jc w:val="both"/>
              <w:rPr>
                <w:sz w:val="20"/>
              </w:rPr>
            </w:pPr>
          </w:p>
        </w:tc>
      </w:tr>
    </w:tbl>
    <w:p w:rsidR="00407464" w:rsidRPr="00893C26" w:rsidRDefault="00407464" w:rsidP="002B2C2E">
      <w:pPr>
        <w:jc w:val="both"/>
        <w:rPr>
          <w:sz w:val="20"/>
        </w:rPr>
      </w:pPr>
    </w:p>
    <w:p w:rsidR="004A7BC1" w:rsidRPr="00893C26" w:rsidRDefault="00893C26" w:rsidP="002B2C2E">
      <w:pPr>
        <w:jc w:val="both"/>
        <w:rPr>
          <w:sz w:val="20"/>
        </w:rPr>
      </w:pPr>
      <w:r w:rsidRPr="00893C26">
        <w:rPr>
          <w:sz w:val="20"/>
        </w:rPr>
        <w:pict>
          <v:rect id="_x0000_i1033" style="width:2in;height:1pt" o:hrpct="0" o:hralign="center" o:hrstd="t" o:hrnoshade="t" o:hr="t" fillcolor="black [3213]" stroked="f"/>
        </w:pict>
      </w:r>
    </w:p>
    <w:p w:rsidR="004A7BC1" w:rsidRPr="00893C26" w:rsidRDefault="004A7BC1" w:rsidP="002B2C2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464" w:rsidRPr="00893C26" w:rsidTr="00407464">
        <w:tc>
          <w:tcPr>
            <w:tcW w:w="543" w:type="pct"/>
          </w:tcPr>
          <w:p w:rsidR="00407464" w:rsidRPr="00893C26" w:rsidRDefault="00407464" w:rsidP="002B2C2E">
            <w:pPr>
              <w:jc w:val="both"/>
              <w:rPr>
                <w:sz w:val="20"/>
                <w:lang w:val="fr-CA"/>
              </w:rPr>
            </w:pPr>
            <w:r w:rsidRPr="00893C26">
              <w:rPr>
                <w:rStyle w:val="SCCFileNumberChar"/>
                <w:sz w:val="20"/>
                <w:szCs w:val="20"/>
                <w:lang w:val="fr-CA"/>
              </w:rPr>
              <w:t>40069</w:t>
            </w:r>
          </w:p>
        </w:tc>
        <w:tc>
          <w:tcPr>
            <w:tcW w:w="4457" w:type="pct"/>
            <w:gridSpan w:val="3"/>
          </w:tcPr>
          <w:p w:rsidR="00407464" w:rsidRPr="00893C26" w:rsidRDefault="00407464" w:rsidP="002B2C2E">
            <w:pPr>
              <w:pStyle w:val="SCCLsocParty"/>
              <w:jc w:val="both"/>
              <w:rPr>
                <w:b/>
                <w:sz w:val="20"/>
                <w:szCs w:val="20"/>
              </w:rPr>
            </w:pPr>
            <w:r w:rsidRPr="00893C26">
              <w:rPr>
                <w:b/>
                <w:sz w:val="20"/>
                <w:szCs w:val="20"/>
              </w:rPr>
              <w:t>719491 Alberta Inc. c. Compagnie d’Assurance du Canada sur la Vie</w:t>
            </w:r>
          </w:p>
          <w:p w:rsidR="00407464" w:rsidRPr="00893C26" w:rsidRDefault="00407464" w:rsidP="004A7BC1">
            <w:pPr>
              <w:jc w:val="both"/>
              <w:rPr>
                <w:sz w:val="20"/>
                <w:lang w:val="fr-CA"/>
              </w:rPr>
            </w:pPr>
            <w:r w:rsidRPr="00893C26">
              <w:rPr>
                <w:sz w:val="20"/>
                <w:lang w:val="fr-CA"/>
              </w:rPr>
              <w:t>(Alb.) (</w:t>
            </w:r>
            <w:r w:rsidR="004A7BC1" w:rsidRPr="00893C26">
              <w:rPr>
                <w:sz w:val="20"/>
                <w:lang w:val="fr-CA"/>
              </w:rPr>
              <w:t>C</w:t>
            </w:r>
            <w:r w:rsidRPr="00893C26">
              <w:rPr>
                <w:sz w:val="20"/>
                <w:lang w:val="fr-CA"/>
              </w:rPr>
              <w:t>ivile) (</w:t>
            </w:r>
            <w:r w:rsidR="004A7BC1" w:rsidRPr="00893C26">
              <w:rPr>
                <w:sz w:val="20"/>
                <w:lang w:val="fr-CA"/>
              </w:rPr>
              <w:t>S</w:t>
            </w:r>
            <w:r w:rsidRPr="00893C26">
              <w:rPr>
                <w:sz w:val="20"/>
                <w:lang w:val="fr-CA"/>
              </w:rPr>
              <w:t>ur autorisation)</w:t>
            </w:r>
          </w:p>
        </w:tc>
      </w:tr>
      <w:tr w:rsidR="00407464" w:rsidRPr="00893C26" w:rsidTr="00407464">
        <w:tc>
          <w:tcPr>
            <w:tcW w:w="5000" w:type="pct"/>
            <w:gridSpan w:val="4"/>
          </w:tcPr>
          <w:p w:rsidR="00407464" w:rsidRPr="00893C26" w:rsidRDefault="00407464" w:rsidP="002B2C2E">
            <w:pPr>
              <w:jc w:val="both"/>
              <w:rPr>
                <w:sz w:val="20"/>
                <w:lang w:val="fr-CA"/>
              </w:rPr>
            </w:pPr>
            <w:r w:rsidRPr="00893C26">
              <w:rPr>
                <w:sz w:val="20"/>
                <w:lang w:val="fr-CA"/>
              </w:rPr>
              <w:t xml:space="preserve">Appels — Demande d’autorisation d’appel — Arbitrage — Réexamen de décisions antérieures — Les cours d’appel provinciales et territoriales devraient-elles être guidées par l’arrêt </w:t>
            </w:r>
            <w:r w:rsidRPr="00893C26">
              <w:rPr>
                <w:i/>
                <w:sz w:val="20"/>
                <w:lang w:val="fr-CA"/>
              </w:rPr>
              <w:t>MacDonald</w:t>
            </w:r>
            <w:r w:rsidRPr="00893C26">
              <w:rPr>
                <w:sz w:val="20"/>
                <w:lang w:val="fr-CA"/>
              </w:rPr>
              <w:t xml:space="preserve"> </w:t>
            </w:r>
            <w:r w:rsidRPr="00893C26">
              <w:rPr>
                <w:i/>
                <w:sz w:val="20"/>
                <w:lang w:val="fr-CA"/>
              </w:rPr>
              <w:t>c.</w:t>
            </w:r>
            <w:r w:rsidRPr="00893C26">
              <w:rPr>
                <w:sz w:val="20"/>
                <w:lang w:val="fr-CA"/>
              </w:rPr>
              <w:t xml:space="preserve"> </w:t>
            </w:r>
            <w:r w:rsidRPr="00893C26">
              <w:rPr>
                <w:i/>
                <w:sz w:val="20"/>
                <w:lang w:val="fr-CA"/>
              </w:rPr>
              <w:t>Ville de Montréal</w:t>
            </w:r>
            <w:r w:rsidRPr="00893C26">
              <w:rPr>
                <w:sz w:val="20"/>
                <w:lang w:val="fr-CA"/>
              </w:rPr>
              <w:t xml:space="preserve">, [1986] 1 R.C.S. 460, plutôt que l’arrêt </w:t>
            </w:r>
            <w:r w:rsidRPr="00893C26">
              <w:rPr>
                <w:i/>
                <w:sz w:val="20"/>
                <w:lang w:val="fr-CA"/>
              </w:rPr>
              <w:t>Ernewein</w:t>
            </w:r>
            <w:r w:rsidRPr="00893C26">
              <w:rPr>
                <w:sz w:val="20"/>
                <w:lang w:val="fr-CA"/>
              </w:rPr>
              <w:t xml:space="preserve"> </w:t>
            </w:r>
            <w:r w:rsidRPr="00893C26">
              <w:rPr>
                <w:i/>
                <w:sz w:val="20"/>
                <w:lang w:val="fr-CA"/>
              </w:rPr>
              <w:t>c.</w:t>
            </w:r>
            <w:r w:rsidRPr="00893C26">
              <w:rPr>
                <w:sz w:val="20"/>
                <w:lang w:val="fr-CA"/>
              </w:rPr>
              <w:t xml:space="preserve"> </w:t>
            </w:r>
            <w:r w:rsidRPr="00893C26">
              <w:rPr>
                <w:i/>
                <w:sz w:val="20"/>
                <w:lang w:val="fr-CA"/>
              </w:rPr>
              <w:t>Ministre de l’Emploi et de l’Immigration</w:t>
            </w:r>
            <w:r w:rsidRPr="00893C26">
              <w:rPr>
                <w:sz w:val="20"/>
                <w:lang w:val="fr-CA"/>
              </w:rPr>
              <w:t xml:space="preserve">, [1980] 1 R.C.S. 639, lorsqu’elles décident si elles ont compétence pour examiner les décisions des tribunaux inférieurs relativement aux demandes d’autorisation d’appel ? — Quelle est la bonne interprétation du critère légal applicable à une demande d’autorisation d’appel d’une sentence arbitrale en vertu de la loi intitulée </w:t>
            </w:r>
            <w:r w:rsidRPr="00893C26">
              <w:rPr>
                <w:i/>
                <w:sz w:val="20"/>
                <w:lang w:val="fr-CA"/>
              </w:rPr>
              <w:t>Arbitration Act</w:t>
            </w:r>
            <w:r w:rsidRPr="00893C26">
              <w:rPr>
                <w:sz w:val="20"/>
                <w:lang w:val="fr-CA"/>
              </w:rPr>
              <w:t xml:space="preserve">, </w:t>
            </w:r>
            <w:r w:rsidRPr="00893C26">
              <w:rPr>
                <w:rFonts w:eastAsiaTheme="majorEastAsia"/>
                <w:sz w:val="20"/>
                <w:lang w:val="fr-CA"/>
              </w:rPr>
              <w:t>R.S.A. 2000, c.</w:t>
            </w:r>
            <w:r w:rsidRPr="00893C26">
              <w:rPr>
                <w:sz w:val="20"/>
                <w:lang w:val="fr-CA"/>
              </w:rPr>
              <w:t> </w:t>
            </w:r>
            <w:r w:rsidRPr="00893C26">
              <w:rPr>
                <w:rFonts w:eastAsiaTheme="majorEastAsia"/>
                <w:sz w:val="20"/>
                <w:lang w:val="fr-CA"/>
              </w:rPr>
              <w:t>A-43,</w:t>
            </w:r>
            <w:r w:rsidRPr="00893C26">
              <w:rPr>
                <w:sz w:val="20"/>
                <w:lang w:val="fr-CA"/>
              </w:rPr>
              <w:t xml:space="preserve"> et des lois équivalentes dans d’autres provinces ? — Comment les tribunaux devraient-ils mettre en balance une politique législative de non-intervention en arbitrage avec l’intention du législateur voulant que les tribunaux supervisent les conclusions tirées par les arbitres sur des questions de droit ? — Le fait de démontrer l’existence d’un fondement défendable est-il toujours un élément du critère applicable à une demande d’autorisation d’appel et, dans l’affirmative, quelle est la norme de contrôle applicable pour déterminer s’il existe un fondement défendable ?</w:t>
            </w:r>
          </w:p>
        </w:tc>
      </w:tr>
      <w:tr w:rsidR="00407464" w:rsidRPr="00893C26" w:rsidTr="00407464">
        <w:tc>
          <w:tcPr>
            <w:tcW w:w="5000" w:type="pct"/>
            <w:gridSpan w:val="4"/>
          </w:tcPr>
          <w:p w:rsidR="00407464" w:rsidRPr="00893C26" w:rsidRDefault="00407464" w:rsidP="002B2C2E">
            <w:pPr>
              <w:jc w:val="both"/>
              <w:rPr>
                <w:sz w:val="20"/>
                <w:lang w:val="fr-CA"/>
              </w:rPr>
            </w:pPr>
          </w:p>
          <w:p w:rsidR="00407464" w:rsidRPr="00893C26" w:rsidRDefault="00407464" w:rsidP="002B2C2E">
            <w:pPr>
              <w:widowControl w:val="0"/>
              <w:jc w:val="both"/>
              <w:rPr>
                <w:sz w:val="20"/>
                <w:lang w:val="fr-CA"/>
              </w:rPr>
            </w:pPr>
            <w:r w:rsidRPr="00893C26">
              <w:rPr>
                <w:sz w:val="20"/>
                <w:lang w:val="fr-CA"/>
              </w:rPr>
              <w:t xml:space="preserve">719491 Alberta Inc. loue un terrain de la Compagnie d’Assurance du Canada sur la Vie. Elles étaient en désaccord quant au loyer dû en vertu du bail et ont ainsi procédé à l’arbitrage. L’arbitre a rendu une décision. 719491 Alberta Inc. a demandé à la Cour du Banc de la Reine l’autorisation d’appel ou l’annulation de la sentence arbitrale et le renvoi en vue d’un réexamen. La Cour du Banc de la Reine a rejeté la demande. La Cour d’appel a rejeté la demande d’autorisation d’appel et a rejeté la demande sollicitant l’examen d’une décision préalablement rendue dans l’arrêt </w:t>
            </w:r>
            <w:r w:rsidRPr="00893C26">
              <w:rPr>
                <w:i/>
                <w:sz w:val="20"/>
                <w:lang w:val="fr-CA"/>
              </w:rPr>
              <w:t>Sherwin Williams</w:t>
            </w:r>
            <w:r w:rsidRPr="00893C26">
              <w:rPr>
                <w:sz w:val="20"/>
                <w:lang w:val="fr-CA"/>
              </w:rPr>
              <w:t xml:space="preserve"> </w:t>
            </w:r>
            <w:r w:rsidRPr="00893C26">
              <w:rPr>
                <w:i/>
                <w:sz w:val="20"/>
                <w:lang w:val="fr-CA"/>
              </w:rPr>
              <w:t>v. Walls Alive (Edmonton) Ltd.</w:t>
            </w:r>
            <w:r w:rsidRPr="00893C26">
              <w:rPr>
                <w:sz w:val="20"/>
                <w:lang w:val="fr-CA"/>
              </w:rPr>
              <w:t>, 2003 ABCA 191.</w:t>
            </w:r>
          </w:p>
        </w:tc>
      </w:tr>
      <w:tr w:rsidR="00407464" w:rsidRPr="00893C26" w:rsidTr="00407464">
        <w:tc>
          <w:tcPr>
            <w:tcW w:w="5000" w:type="pct"/>
            <w:gridSpan w:val="4"/>
          </w:tcPr>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29 mars 2021</w:t>
            </w:r>
          </w:p>
          <w:p w:rsidR="00407464" w:rsidRPr="00893C26" w:rsidRDefault="00407464" w:rsidP="002B2C2E">
            <w:pPr>
              <w:jc w:val="both"/>
              <w:rPr>
                <w:sz w:val="20"/>
                <w:lang w:val="fr-CA"/>
              </w:rPr>
            </w:pPr>
            <w:r w:rsidRPr="00893C26">
              <w:rPr>
                <w:sz w:val="20"/>
                <w:lang w:val="fr-CA"/>
              </w:rPr>
              <w:t>Cour du Banc de la Reine de l’Alberta</w:t>
            </w:r>
          </w:p>
          <w:p w:rsidR="00407464" w:rsidRPr="00893C26" w:rsidRDefault="00407464" w:rsidP="002B2C2E">
            <w:pPr>
              <w:jc w:val="both"/>
              <w:rPr>
                <w:sz w:val="20"/>
                <w:lang w:val="fr-CA"/>
              </w:rPr>
            </w:pPr>
            <w:r w:rsidRPr="00893C26">
              <w:rPr>
                <w:sz w:val="20"/>
                <w:lang w:val="fr-CA"/>
              </w:rPr>
              <w:t>(juge Sullivan)</w:t>
            </w:r>
          </w:p>
          <w:p w:rsidR="00407464" w:rsidRPr="00893C26" w:rsidRDefault="00893C26" w:rsidP="002B2C2E">
            <w:pPr>
              <w:jc w:val="both"/>
              <w:rPr>
                <w:sz w:val="20"/>
                <w:lang w:val="fr-CA"/>
              </w:rPr>
            </w:pPr>
            <w:hyperlink r:id="rId39" w:history="1">
              <w:r w:rsidR="00407464" w:rsidRPr="00893C26">
                <w:rPr>
                  <w:rStyle w:val="Hyperlink"/>
                  <w:sz w:val="20"/>
                  <w:lang w:val="fr-CA"/>
                </w:rPr>
                <w:t>2021 ABQB 226</w:t>
              </w:r>
            </w:hyperlink>
          </w:p>
          <w:p w:rsidR="00407464" w:rsidRPr="00893C26" w:rsidRDefault="00407464" w:rsidP="002B2C2E">
            <w:pPr>
              <w:jc w:val="both"/>
              <w:rPr>
                <w:sz w:val="20"/>
                <w:lang w:val="fr-CA"/>
              </w:rPr>
            </w:pP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 demande d’autorisation d’appel relative à la décision arbitrale est rejetée; la demande en vue d’annuler la décision arbitrale est rejetée.</w:t>
            </w: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16 décembre 2021</w:t>
            </w:r>
          </w:p>
          <w:p w:rsidR="00407464" w:rsidRPr="00893C26" w:rsidRDefault="00407464" w:rsidP="002B2C2E">
            <w:pPr>
              <w:jc w:val="both"/>
              <w:rPr>
                <w:sz w:val="20"/>
                <w:lang w:val="fr-CA"/>
              </w:rPr>
            </w:pPr>
            <w:r w:rsidRPr="00893C26">
              <w:rPr>
                <w:sz w:val="20"/>
                <w:lang w:val="fr-CA"/>
              </w:rPr>
              <w:t>Cour d’appel de l’Alberta (Calgary)</w:t>
            </w:r>
          </w:p>
          <w:p w:rsidR="00407464" w:rsidRPr="00893C26" w:rsidRDefault="00407464" w:rsidP="002B2C2E">
            <w:pPr>
              <w:widowControl w:val="0"/>
              <w:jc w:val="both"/>
              <w:rPr>
                <w:sz w:val="20"/>
              </w:rPr>
            </w:pPr>
            <w:r w:rsidRPr="00893C26">
              <w:rPr>
                <w:sz w:val="20"/>
              </w:rPr>
              <w:t>(juges Rowbotham, Hughes, Ho)</w:t>
            </w:r>
          </w:p>
          <w:p w:rsidR="00407464" w:rsidRPr="00893C26" w:rsidRDefault="00893C26" w:rsidP="002B2C2E">
            <w:pPr>
              <w:widowControl w:val="0"/>
              <w:kinsoku w:val="0"/>
              <w:overflowPunct w:val="0"/>
              <w:jc w:val="both"/>
              <w:textAlignment w:val="baseline"/>
              <w:rPr>
                <w:color w:val="0B0B0B"/>
                <w:spacing w:val="-2"/>
                <w:sz w:val="20"/>
              </w:rPr>
            </w:pPr>
            <w:hyperlink r:id="rId40" w:history="1">
              <w:r w:rsidR="00407464" w:rsidRPr="00893C26">
                <w:rPr>
                  <w:rStyle w:val="Hyperlink"/>
                  <w:spacing w:val="-2"/>
                  <w:sz w:val="20"/>
                </w:rPr>
                <w:t>2021 ABCA 419</w:t>
              </w:r>
            </w:hyperlink>
            <w:r w:rsidR="00407464" w:rsidRPr="00893C26">
              <w:rPr>
                <w:color w:val="0B0B0B"/>
                <w:spacing w:val="-2"/>
                <w:sz w:val="20"/>
              </w:rPr>
              <w:t xml:space="preserve">; </w:t>
            </w:r>
            <w:r w:rsidR="00407464" w:rsidRPr="00893C26">
              <w:rPr>
                <w:color w:val="0B0B0B"/>
                <w:sz w:val="20"/>
              </w:rPr>
              <w:t>2101-0107AC</w:t>
            </w:r>
          </w:p>
          <w:p w:rsidR="00407464" w:rsidRPr="00893C26" w:rsidRDefault="00407464" w:rsidP="002B2C2E">
            <w:pPr>
              <w:jc w:val="both"/>
              <w:rPr>
                <w:sz w:val="20"/>
              </w:rPr>
            </w:pPr>
          </w:p>
        </w:tc>
        <w:tc>
          <w:tcPr>
            <w:tcW w:w="243" w:type="pct"/>
          </w:tcPr>
          <w:p w:rsidR="00407464" w:rsidRPr="00893C26" w:rsidRDefault="00407464" w:rsidP="002B2C2E">
            <w:pPr>
              <w:jc w:val="both"/>
              <w:rPr>
                <w:sz w:val="20"/>
              </w:rPr>
            </w:pPr>
          </w:p>
        </w:tc>
        <w:tc>
          <w:tcPr>
            <w:tcW w:w="2330" w:type="pct"/>
          </w:tcPr>
          <w:p w:rsidR="00407464" w:rsidRPr="00893C26" w:rsidRDefault="00407464" w:rsidP="004A7BC1">
            <w:pPr>
              <w:widowControl w:val="0"/>
              <w:kinsoku w:val="0"/>
              <w:overflowPunct w:val="0"/>
              <w:ind w:right="142"/>
              <w:jc w:val="both"/>
              <w:textAlignment w:val="baseline"/>
              <w:rPr>
                <w:sz w:val="20"/>
                <w:lang w:val="fr-CA"/>
              </w:rPr>
            </w:pPr>
            <w:r w:rsidRPr="00893C26">
              <w:rPr>
                <w:sz w:val="20"/>
                <w:lang w:val="fr-CA"/>
              </w:rPr>
              <w:t>La demande d’autorisation d’appel et la demande d’autorisation en vue du réexamen de décisions antérieures sont rejetées.</w:t>
            </w:r>
          </w:p>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14 février 2022</w:t>
            </w:r>
          </w:p>
          <w:p w:rsidR="00407464" w:rsidRPr="00893C26" w:rsidRDefault="00407464" w:rsidP="002B2C2E">
            <w:pPr>
              <w:jc w:val="both"/>
              <w:rPr>
                <w:sz w:val="20"/>
                <w:lang w:val="fr-CA"/>
              </w:rPr>
            </w:pPr>
            <w:r w:rsidRPr="00893C26">
              <w:rPr>
                <w:sz w:val="20"/>
                <w:lang w:val="fr-CA"/>
              </w:rPr>
              <w:t>Cour suprême du Canada</w:t>
            </w: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 demande d’autorisation d’appel est présentée.</w:t>
            </w:r>
          </w:p>
          <w:p w:rsidR="00407464" w:rsidRPr="00893C26" w:rsidRDefault="00407464" w:rsidP="002B2C2E">
            <w:pPr>
              <w:jc w:val="both"/>
              <w:rPr>
                <w:sz w:val="20"/>
                <w:lang w:val="fr-CA"/>
              </w:rPr>
            </w:pPr>
          </w:p>
        </w:tc>
      </w:tr>
    </w:tbl>
    <w:p w:rsidR="00407464" w:rsidRPr="00893C26" w:rsidRDefault="00407464" w:rsidP="002B2C2E">
      <w:pPr>
        <w:jc w:val="both"/>
        <w:rPr>
          <w:sz w:val="20"/>
          <w:lang w:val="fr-CA"/>
        </w:rPr>
      </w:pPr>
    </w:p>
    <w:p w:rsidR="00963B1E" w:rsidRPr="00893C26" w:rsidRDefault="00893C26" w:rsidP="002B2C2E">
      <w:pPr>
        <w:widowControl w:val="0"/>
        <w:jc w:val="both"/>
        <w:rPr>
          <w:sz w:val="20"/>
          <w:lang w:val="fr-CA"/>
        </w:rPr>
      </w:pPr>
      <w:r w:rsidRPr="00893C26">
        <w:rPr>
          <w:sz w:val="20"/>
        </w:rPr>
        <w:pict>
          <v:rect id="_x0000_i1034" style="width:2in;height:1pt" o:hrpct="0" o:hralign="center" o:hrstd="t" o:hrnoshade="t" o:hr="t" fillcolor="black [3213]" stroked="f"/>
        </w:pict>
      </w:r>
    </w:p>
    <w:p w:rsidR="004A7BC1" w:rsidRPr="00893C26" w:rsidRDefault="004A7BC1" w:rsidP="002B2C2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464" w:rsidRPr="00893C26">
        <w:tc>
          <w:tcPr>
            <w:tcW w:w="543" w:type="pct"/>
          </w:tcPr>
          <w:p w:rsidR="00407464" w:rsidRPr="00893C26" w:rsidRDefault="00407464" w:rsidP="002B2C2E">
            <w:pPr>
              <w:jc w:val="both"/>
              <w:rPr>
                <w:sz w:val="20"/>
                <w:lang w:val="en-CA"/>
              </w:rPr>
            </w:pPr>
            <w:r w:rsidRPr="00893C26">
              <w:rPr>
                <w:rStyle w:val="SCCFileNumberChar"/>
                <w:sz w:val="20"/>
                <w:szCs w:val="20"/>
              </w:rPr>
              <w:t>40127</w:t>
            </w:r>
          </w:p>
        </w:tc>
        <w:tc>
          <w:tcPr>
            <w:tcW w:w="4457" w:type="pct"/>
            <w:gridSpan w:val="3"/>
          </w:tcPr>
          <w:p w:rsidR="00407464" w:rsidRPr="00893C26" w:rsidRDefault="00407464" w:rsidP="002B2C2E">
            <w:pPr>
              <w:pStyle w:val="SCCLsocParty"/>
              <w:jc w:val="both"/>
              <w:rPr>
                <w:b/>
                <w:sz w:val="20"/>
                <w:szCs w:val="20"/>
                <w:lang w:val="en-CA"/>
              </w:rPr>
            </w:pPr>
            <w:r w:rsidRPr="00893C26">
              <w:rPr>
                <w:b/>
                <w:sz w:val="20"/>
                <w:szCs w:val="20"/>
                <w:lang w:val="en-CA"/>
              </w:rPr>
              <w:t>Michel Baril, François Biron, Guy Bourassa, Paul-Henri Couture, Marc Dagenais, Patrick Godin, Vanessa Laplante, René Lessard, Jacques Malette, Steve Nadeau and Luc Séguin v. Woods LLP, Brian Shenker, personally and in his capacity as trustee of The Freedom 57 Trust, The Shenker Family Foundation, Sam Skye Community Foundation, Randee Fagen and Nathan Glaich</w:t>
            </w:r>
          </w:p>
          <w:p w:rsidR="00407464" w:rsidRPr="00893C26" w:rsidRDefault="00407464" w:rsidP="002B2C2E">
            <w:pPr>
              <w:pStyle w:val="SCCLsocOtherPartySeparator"/>
              <w:rPr>
                <w:sz w:val="20"/>
                <w:szCs w:val="20"/>
                <w:lang w:val="en-CA"/>
              </w:rPr>
            </w:pPr>
            <w:r w:rsidRPr="00893C26">
              <w:rPr>
                <w:sz w:val="20"/>
                <w:szCs w:val="20"/>
                <w:lang w:val="en-CA"/>
              </w:rPr>
              <w:t>- and -</w:t>
            </w:r>
          </w:p>
          <w:p w:rsidR="00407464" w:rsidRPr="00893C26" w:rsidRDefault="00407464" w:rsidP="002B2C2E">
            <w:pPr>
              <w:pStyle w:val="SCCLsocParty"/>
              <w:jc w:val="both"/>
              <w:rPr>
                <w:b/>
                <w:sz w:val="20"/>
                <w:szCs w:val="20"/>
                <w:lang w:val="en-CA"/>
              </w:rPr>
            </w:pPr>
            <w:r w:rsidRPr="00893C26">
              <w:rPr>
                <w:b/>
                <w:sz w:val="20"/>
                <w:szCs w:val="20"/>
                <w:lang w:val="en-CA"/>
              </w:rPr>
              <w:t>NMX Residual Assets Inc., NMX Residual Liabilities Inc. and PricewaterhouseCoopers Inc.</w:t>
            </w:r>
          </w:p>
          <w:p w:rsidR="00407464" w:rsidRPr="00893C26" w:rsidRDefault="00407464" w:rsidP="002B2C2E">
            <w:pPr>
              <w:jc w:val="both"/>
              <w:rPr>
                <w:sz w:val="20"/>
                <w:lang w:val="en-CA"/>
              </w:rPr>
            </w:pPr>
            <w:r w:rsidRPr="00893C26">
              <w:rPr>
                <w:sz w:val="20"/>
                <w:lang w:val="en-CA"/>
              </w:rPr>
              <w:t>(Que.) (Civil) (By Leave</w:t>
            </w:r>
            <w:r w:rsidR="004A7BC1" w:rsidRPr="00893C26">
              <w:rPr>
                <w:sz w:val="20"/>
                <w:lang w:val="en-CA"/>
              </w:rPr>
              <w:t>)</w:t>
            </w:r>
          </w:p>
        </w:tc>
      </w:tr>
      <w:tr w:rsidR="00407464" w:rsidRPr="00893C26">
        <w:tc>
          <w:tcPr>
            <w:tcW w:w="5000" w:type="pct"/>
            <w:gridSpan w:val="4"/>
          </w:tcPr>
          <w:p w:rsidR="00407464" w:rsidRPr="00893C26" w:rsidRDefault="00407464" w:rsidP="002B2C2E">
            <w:pPr>
              <w:pStyle w:val="SCCBanSummary"/>
              <w:rPr>
                <w:sz w:val="20"/>
                <w:szCs w:val="20"/>
              </w:rPr>
            </w:pPr>
            <w:r w:rsidRPr="00893C26">
              <w:rPr>
                <w:sz w:val="20"/>
                <w:szCs w:val="20"/>
              </w:rPr>
              <w:t>(Publication ban in case) (Sealing order) (</w:t>
            </w:r>
            <w:r w:rsidRPr="00893C26">
              <w:rPr>
                <w:sz w:val="20"/>
                <w:szCs w:val="20"/>
                <w:lang w:val="en-GB"/>
              </w:rPr>
              <w:t>Certain information not available to the public</w:t>
            </w:r>
            <w:r w:rsidRPr="00893C26">
              <w:rPr>
                <w:sz w:val="20"/>
                <w:szCs w:val="20"/>
              </w:rPr>
              <w:t>)</w:t>
            </w:r>
          </w:p>
          <w:p w:rsidR="00407464" w:rsidRPr="00893C26" w:rsidRDefault="00407464" w:rsidP="002B2C2E">
            <w:pPr>
              <w:jc w:val="both"/>
              <w:rPr>
                <w:sz w:val="20"/>
                <w:lang w:val="en-CA"/>
              </w:rPr>
            </w:pPr>
          </w:p>
          <w:p w:rsidR="00407464" w:rsidRPr="00893C26" w:rsidRDefault="00407464" w:rsidP="002B2C2E">
            <w:pPr>
              <w:jc w:val="both"/>
              <w:rPr>
                <w:sz w:val="20"/>
                <w:lang w:val="en-CA"/>
              </w:rPr>
            </w:pPr>
            <w:proofErr w:type="gramStart"/>
            <w:r w:rsidRPr="00893C26">
              <w:rPr>
                <w:sz w:val="20"/>
                <w:lang w:val="en-CA"/>
              </w:rPr>
              <w:t>Civil procedure ⸺ Motion for removal of counsel ⸺ Analytical framework to be applied in Quebec and Canada to determine whether lawyer is qualified to act against party in case where lawyer has confidential information which concerns party and which</w:t>
            </w:r>
            <w:r w:rsidRPr="00893C26">
              <w:rPr>
                <w:color w:val="000000"/>
                <w:sz w:val="20"/>
                <w:lang w:val="en-CA"/>
              </w:rPr>
              <w:t xml:space="preserve">, though not protected by professional secrecy, is highly sensitive and was obtained from that party in previous related case on express and strict condition that it be kept confidential and never reused in another context ⸺ In this regard, whether Quebec has distinct regime for disqualification of lawyers based on new art. 193 of </w:t>
            </w:r>
            <w:r w:rsidRPr="00893C26">
              <w:rPr>
                <w:i/>
                <w:color w:val="000000"/>
                <w:sz w:val="20"/>
                <w:lang w:val="en-CA"/>
              </w:rPr>
              <w:t>Code of Civil Procedure</w:t>
            </w:r>
            <w:r w:rsidRPr="00893C26">
              <w:rPr>
                <w:color w:val="000000"/>
                <w:sz w:val="20"/>
                <w:lang w:val="en-CA"/>
              </w:rPr>
              <w:t xml:space="preserve">, which explicitly expands possible grounds for disqualification ⸺ Circumstances, if any, in which lawyer should be declared disqualified because of breach or risk of breach of implied obligation of confidentiality (IOC), confidentiality orders made by court or undertakings of confidentiality made to court by party ⸺ In this regard, what type of “use” of confidential information can justify disqualification of lawyer, and whether it can be lawyer who asks that IOC be lifted on behalf of new client ⸺ Whether lawyers should be declared disqualified in new case involving essentially same facts in which confidential information that lawyers expressly undertook </w:t>
            </w:r>
            <w:r w:rsidRPr="00893C26">
              <w:rPr>
                <w:i/>
                <w:color w:val="000000"/>
                <w:sz w:val="20"/>
                <w:lang w:val="en-CA"/>
              </w:rPr>
              <w:t>never</w:t>
            </w:r>
            <w:r w:rsidRPr="00893C26">
              <w:rPr>
                <w:color w:val="000000"/>
                <w:sz w:val="20"/>
                <w:lang w:val="en-CA"/>
              </w:rPr>
              <w:t xml:space="preserve"> to use will play central role, according to their own position ⸺ Art. </w:t>
            </w:r>
            <w:proofErr w:type="gramEnd"/>
            <w:r w:rsidRPr="00893C26">
              <w:rPr>
                <w:color w:val="000000"/>
                <w:sz w:val="20"/>
                <w:lang w:val="en-CA"/>
              </w:rPr>
              <w:t xml:space="preserve">193, </w:t>
            </w:r>
            <w:r w:rsidRPr="00893C26">
              <w:rPr>
                <w:i/>
                <w:sz w:val="20"/>
                <w:lang w:val="en-CA"/>
              </w:rPr>
              <w:t>Code of Civil Procedure</w:t>
            </w:r>
            <w:r w:rsidRPr="00893C26">
              <w:rPr>
                <w:sz w:val="20"/>
                <w:lang w:val="en-CA"/>
              </w:rPr>
              <w:t>, CQLR, c. C-25.01.</w:t>
            </w:r>
          </w:p>
        </w:tc>
      </w:tr>
      <w:tr w:rsidR="00407464" w:rsidRPr="00893C26">
        <w:tc>
          <w:tcPr>
            <w:tcW w:w="5000" w:type="pct"/>
            <w:gridSpan w:val="4"/>
          </w:tcPr>
          <w:p w:rsidR="00407464" w:rsidRPr="00893C26" w:rsidRDefault="00407464" w:rsidP="002B2C2E">
            <w:pPr>
              <w:jc w:val="both"/>
              <w:rPr>
                <w:sz w:val="20"/>
                <w:lang w:val="en-CA"/>
              </w:rPr>
            </w:pPr>
          </w:p>
        </w:tc>
      </w:tr>
      <w:tr w:rsidR="00407464" w:rsidRPr="00893C26">
        <w:tc>
          <w:tcPr>
            <w:tcW w:w="5000" w:type="pct"/>
            <w:gridSpan w:val="4"/>
          </w:tcPr>
          <w:p w:rsidR="00407464" w:rsidRPr="00893C26" w:rsidRDefault="00407464" w:rsidP="002B2C2E">
            <w:pPr>
              <w:jc w:val="both"/>
              <w:rPr>
                <w:sz w:val="20"/>
                <w:lang w:val="en-CA"/>
              </w:rPr>
            </w:pPr>
            <w:r w:rsidRPr="00893C26">
              <w:rPr>
                <w:sz w:val="20"/>
                <w:lang w:val="en-CA"/>
              </w:rPr>
              <w:t xml:space="preserve">The applicants are former directors of Nemaska Lithium Inc. (referred to collectively as Nemaska). Nemaska began arrangement proceedings under the </w:t>
            </w:r>
            <w:r w:rsidRPr="00893C26">
              <w:rPr>
                <w:i/>
                <w:sz w:val="20"/>
                <w:lang w:val="en-CA"/>
              </w:rPr>
              <w:t>Canada Business Corporations Act</w:t>
            </w:r>
            <w:r w:rsidRPr="00893C26">
              <w:rPr>
                <w:sz w:val="20"/>
                <w:lang w:val="en-CA"/>
              </w:rPr>
              <w:t xml:space="preserve">, R.S.C. 1985, </w:t>
            </w:r>
            <w:proofErr w:type="gramStart"/>
            <w:r w:rsidRPr="00893C26">
              <w:rPr>
                <w:sz w:val="20"/>
                <w:lang w:val="en-CA"/>
              </w:rPr>
              <w:t>c</w:t>
            </w:r>
            <w:proofErr w:type="gramEnd"/>
            <w:r w:rsidRPr="00893C26">
              <w:rPr>
                <w:sz w:val="20"/>
                <w:lang w:val="en-CA"/>
              </w:rPr>
              <w:t>. C-44. In those proceedings, the respondent law firm, Woods LLP (Woods), represents a group of shareholders of Nemaska (Shenker group) who are claiming damages from Nemaska for the loss of their investments. Woods previously represented Nordic Trustee AS in a case against Nemaska (Nordic case). In the Nordic case, Woods had access to certain information during the pre</w:t>
            </w:r>
            <w:r w:rsidRPr="00893C26">
              <w:rPr>
                <w:sz w:val="20"/>
                <w:lang w:val="en-CA"/>
              </w:rPr>
              <w:noBreakHyphen/>
              <w:t xml:space="preserve">trial examination of Nemaska’s CEO, Guy Bourassa. A settlement </w:t>
            </w:r>
            <w:proofErr w:type="gramStart"/>
            <w:r w:rsidRPr="00893C26">
              <w:rPr>
                <w:sz w:val="20"/>
                <w:lang w:val="en-CA"/>
              </w:rPr>
              <w:t>was reached</w:t>
            </w:r>
            <w:proofErr w:type="gramEnd"/>
            <w:r w:rsidRPr="00893C26">
              <w:rPr>
                <w:sz w:val="20"/>
                <w:lang w:val="en-CA"/>
              </w:rPr>
              <w:t xml:space="preserve"> in the Nordic case and was approved by the Superior Court on February 13, 2020. The removal of all exhibits and pleadings from the record </w:t>
            </w:r>
            <w:proofErr w:type="gramStart"/>
            <w:r w:rsidRPr="00893C26">
              <w:rPr>
                <w:sz w:val="20"/>
                <w:lang w:val="en-CA"/>
              </w:rPr>
              <w:t>was also ordered</w:t>
            </w:r>
            <w:proofErr w:type="gramEnd"/>
            <w:r w:rsidRPr="00893C26">
              <w:rPr>
                <w:sz w:val="20"/>
                <w:lang w:val="en-CA"/>
              </w:rPr>
              <w:t xml:space="preserve">. On January 27, 2021, Nemaska filed a motion for the disqualification of Woods in the present case. The parties agreed that the present case </w:t>
            </w:r>
            <w:proofErr w:type="gramStart"/>
            <w:r w:rsidRPr="00893C26">
              <w:rPr>
                <w:sz w:val="20"/>
                <w:lang w:val="en-CA"/>
              </w:rPr>
              <w:t>is related</w:t>
            </w:r>
            <w:proofErr w:type="gramEnd"/>
            <w:r w:rsidRPr="00893C26">
              <w:rPr>
                <w:sz w:val="20"/>
                <w:lang w:val="en-CA"/>
              </w:rPr>
              <w:t xml:space="preserve"> to the Nordic case through allegations of false or inaccurate representations against Nemaska. Woods also admitted that it has information relevant to the present case that </w:t>
            </w:r>
            <w:proofErr w:type="gramStart"/>
            <w:r w:rsidRPr="00893C26">
              <w:rPr>
                <w:sz w:val="20"/>
                <w:lang w:val="en-CA"/>
              </w:rPr>
              <w:t>was obtained</w:t>
            </w:r>
            <w:proofErr w:type="gramEnd"/>
            <w:r w:rsidRPr="00893C26">
              <w:rPr>
                <w:sz w:val="20"/>
                <w:lang w:val="en-CA"/>
              </w:rPr>
              <w:t xml:space="preserve"> in connection with the Nordic case and that is subject both to an IOC and to undertakings of confidentiality recorded by the court, including the management order of November 27, 2019 (see </w:t>
            </w:r>
            <w:r w:rsidRPr="00893C26">
              <w:rPr>
                <w:i/>
                <w:sz w:val="20"/>
                <w:lang w:val="en-CA"/>
              </w:rPr>
              <w:t>Arrangement de Nemaska Lithium inc. v. Nordic Trustee</w:t>
            </w:r>
            <w:r w:rsidRPr="00893C26">
              <w:rPr>
                <w:sz w:val="20"/>
                <w:lang w:val="en-CA"/>
              </w:rPr>
              <w:t>, 2019 QCCS 5048). Through its lawyers acting for the Shenker group, Woods filed affidavits stating that it did not use the information obtained in the Nordic case to prepare the originating pleading. The affidavits set out the other steps taken by Woods to comply with its legal and ethical obligations of confidentiality. The Superior Court dismissed the motion for disqualification filed by Nemaska, and the Court of Appeal dismissed the appeal</w:t>
            </w:r>
            <w:r w:rsidR="004A7BC1" w:rsidRPr="00893C26">
              <w:rPr>
                <w:sz w:val="20"/>
                <w:lang w:val="en-CA"/>
              </w:rPr>
              <w:t>.</w:t>
            </w:r>
          </w:p>
          <w:p w:rsidR="00407464" w:rsidRPr="00893C26" w:rsidRDefault="00407464" w:rsidP="002B2C2E">
            <w:pPr>
              <w:jc w:val="both"/>
              <w:rPr>
                <w:sz w:val="20"/>
                <w:lang w:val="en-CA"/>
              </w:rPr>
            </w:pPr>
          </w:p>
        </w:tc>
      </w:tr>
      <w:tr w:rsidR="00407464" w:rsidRPr="00893C26">
        <w:tc>
          <w:tcPr>
            <w:tcW w:w="2427" w:type="pct"/>
            <w:gridSpan w:val="2"/>
          </w:tcPr>
          <w:p w:rsidR="00407464" w:rsidRPr="00893C26" w:rsidRDefault="00407464" w:rsidP="002B2C2E">
            <w:pPr>
              <w:jc w:val="both"/>
              <w:rPr>
                <w:sz w:val="20"/>
                <w:lang w:val="en-CA"/>
              </w:rPr>
            </w:pPr>
            <w:r w:rsidRPr="00893C26">
              <w:rPr>
                <w:sz w:val="20"/>
                <w:lang w:val="en-CA"/>
              </w:rPr>
              <w:t>June 8, 2021</w:t>
            </w:r>
          </w:p>
          <w:p w:rsidR="00407464" w:rsidRPr="00893C26" w:rsidRDefault="00407464" w:rsidP="002B2C2E">
            <w:pPr>
              <w:jc w:val="both"/>
              <w:rPr>
                <w:sz w:val="20"/>
                <w:lang w:val="en-CA"/>
              </w:rPr>
            </w:pPr>
            <w:r w:rsidRPr="00893C26">
              <w:rPr>
                <w:sz w:val="20"/>
                <w:lang w:val="en-CA"/>
              </w:rPr>
              <w:t>Quebec Superior Court</w:t>
            </w:r>
          </w:p>
          <w:p w:rsidR="00407464" w:rsidRPr="00893C26" w:rsidRDefault="00407464" w:rsidP="002B2C2E">
            <w:pPr>
              <w:jc w:val="both"/>
              <w:rPr>
                <w:sz w:val="20"/>
                <w:lang w:val="en-CA"/>
              </w:rPr>
            </w:pPr>
            <w:r w:rsidRPr="00893C26">
              <w:rPr>
                <w:sz w:val="20"/>
                <w:lang w:val="en-CA"/>
              </w:rPr>
              <w:t>(Pinsonnault J.)</w:t>
            </w:r>
          </w:p>
          <w:p w:rsidR="00407464" w:rsidRPr="00893C26" w:rsidRDefault="00893C26" w:rsidP="002B2C2E">
            <w:pPr>
              <w:jc w:val="both"/>
              <w:rPr>
                <w:sz w:val="20"/>
                <w:lang w:val="en-CA"/>
              </w:rPr>
            </w:pPr>
            <w:hyperlink r:id="rId41" w:history="1">
              <w:r w:rsidR="00407464" w:rsidRPr="00893C26">
                <w:rPr>
                  <w:rStyle w:val="Hyperlink"/>
                  <w:sz w:val="20"/>
                  <w:lang w:val="en-CA"/>
                </w:rPr>
                <w:t>2021 QCCS 2308</w:t>
              </w:r>
            </w:hyperlink>
            <w:r w:rsidR="00407464" w:rsidRPr="00893C26">
              <w:rPr>
                <w:sz w:val="20"/>
                <w:lang w:val="en-CA"/>
              </w:rPr>
              <w:t xml:space="preserve"> </w:t>
            </w:r>
          </w:p>
          <w:p w:rsidR="00407464" w:rsidRPr="00893C26" w:rsidRDefault="00407464" w:rsidP="002B2C2E">
            <w:pPr>
              <w:jc w:val="both"/>
              <w:rPr>
                <w:sz w:val="20"/>
                <w:lang w:val="en-CA"/>
              </w:rPr>
            </w:pPr>
          </w:p>
        </w:tc>
        <w:tc>
          <w:tcPr>
            <w:tcW w:w="243" w:type="pct"/>
          </w:tcPr>
          <w:p w:rsidR="00407464" w:rsidRPr="00893C26" w:rsidRDefault="00407464" w:rsidP="002B2C2E">
            <w:pPr>
              <w:jc w:val="both"/>
              <w:rPr>
                <w:sz w:val="20"/>
                <w:lang w:val="en-CA"/>
              </w:rPr>
            </w:pPr>
          </w:p>
        </w:tc>
        <w:tc>
          <w:tcPr>
            <w:tcW w:w="2330" w:type="pct"/>
          </w:tcPr>
          <w:p w:rsidR="00407464" w:rsidRPr="00893C26" w:rsidRDefault="00407464" w:rsidP="002B2C2E">
            <w:pPr>
              <w:jc w:val="both"/>
              <w:rPr>
                <w:sz w:val="20"/>
                <w:lang w:val="en-CA"/>
              </w:rPr>
            </w:pPr>
            <w:r w:rsidRPr="00893C26">
              <w:rPr>
                <w:sz w:val="20"/>
                <w:lang w:val="en-CA"/>
              </w:rPr>
              <w:t>Applicants’ amended motion for disqualification of Woods LLP and confidentiality orders dismissed</w:t>
            </w:r>
          </w:p>
          <w:p w:rsidR="00407464" w:rsidRPr="00893C26" w:rsidRDefault="00407464" w:rsidP="002B2C2E">
            <w:pPr>
              <w:jc w:val="both"/>
              <w:rPr>
                <w:sz w:val="20"/>
                <w:lang w:val="en-CA"/>
              </w:rPr>
            </w:pPr>
          </w:p>
        </w:tc>
      </w:tr>
      <w:tr w:rsidR="00407464" w:rsidRPr="00893C26">
        <w:tc>
          <w:tcPr>
            <w:tcW w:w="2427" w:type="pct"/>
            <w:gridSpan w:val="2"/>
          </w:tcPr>
          <w:p w:rsidR="00407464" w:rsidRPr="00893C26" w:rsidRDefault="00407464" w:rsidP="002B2C2E">
            <w:pPr>
              <w:jc w:val="both"/>
              <w:rPr>
                <w:sz w:val="20"/>
                <w:lang w:val="en-CA"/>
              </w:rPr>
            </w:pPr>
            <w:r w:rsidRPr="00893C26">
              <w:rPr>
                <w:sz w:val="20"/>
                <w:lang w:val="en-CA"/>
              </w:rPr>
              <w:t>February 23, 2022</w:t>
            </w:r>
          </w:p>
          <w:p w:rsidR="00407464" w:rsidRPr="00893C26" w:rsidRDefault="00407464" w:rsidP="002B2C2E">
            <w:pPr>
              <w:jc w:val="both"/>
              <w:rPr>
                <w:sz w:val="20"/>
                <w:lang w:val="en-CA"/>
              </w:rPr>
            </w:pPr>
            <w:r w:rsidRPr="00893C26">
              <w:rPr>
                <w:sz w:val="20"/>
                <w:lang w:val="en-CA"/>
              </w:rPr>
              <w:t>Quebec Court of Appeal (Montréal)</w:t>
            </w:r>
          </w:p>
          <w:p w:rsidR="00407464" w:rsidRPr="00893C26" w:rsidRDefault="00407464" w:rsidP="002B2C2E">
            <w:pPr>
              <w:jc w:val="both"/>
              <w:rPr>
                <w:sz w:val="20"/>
                <w:lang w:val="en-CA"/>
              </w:rPr>
            </w:pPr>
            <w:r w:rsidRPr="00893C26">
              <w:rPr>
                <w:sz w:val="20"/>
                <w:lang w:val="en-CA"/>
              </w:rPr>
              <w:t>(Lévesque, Moore and Bachand JJ.A.)</w:t>
            </w:r>
          </w:p>
          <w:p w:rsidR="00407464" w:rsidRPr="00893C26" w:rsidRDefault="00893C26" w:rsidP="002B2C2E">
            <w:pPr>
              <w:jc w:val="both"/>
              <w:rPr>
                <w:sz w:val="20"/>
                <w:lang w:val="en-CA"/>
              </w:rPr>
            </w:pPr>
            <w:hyperlink r:id="rId42" w:history="1">
              <w:r w:rsidR="00407464" w:rsidRPr="00893C26">
                <w:rPr>
                  <w:rStyle w:val="Hyperlink"/>
                  <w:sz w:val="20"/>
                  <w:lang w:val="en-CA"/>
                </w:rPr>
                <w:t>2022 QCCA 277</w:t>
              </w:r>
            </w:hyperlink>
          </w:p>
          <w:p w:rsidR="00407464" w:rsidRPr="00893C26" w:rsidRDefault="00407464" w:rsidP="002B2C2E">
            <w:pPr>
              <w:jc w:val="both"/>
              <w:rPr>
                <w:sz w:val="20"/>
                <w:lang w:val="en-CA"/>
              </w:rPr>
            </w:pPr>
          </w:p>
        </w:tc>
        <w:tc>
          <w:tcPr>
            <w:tcW w:w="243" w:type="pct"/>
          </w:tcPr>
          <w:p w:rsidR="00407464" w:rsidRPr="00893C26" w:rsidRDefault="00407464" w:rsidP="002B2C2E">
            <w:pPr>
              <w:jc w:val="both"/>
              <w:rPr>
                <w:sz w:val="20"/>
                <w:lang w:val="en-CA"/>
              </w:rPr>
            </w:pPr>
          </w:p>
        </w:tc>
        <w:tc>
          <w:tcPr>
            <w:tcW w:w="2330" w:type="pct"/>
          </w:tcPr>
          <w:p w:rsidR="00407464" w:rsidRPr="00893C26" w:rsidRDefault="00407464" w:rsidP="002B2C2E">
            <w:pPr>
              <w:jc w:val="both"/>
              <w:rPr>
                <w:sz w:val="20"/>
                <w:lang w:val="en-CA"/>
              </w:rPr>
            </w:pPr>
            <w:r w:rsidRPr="00893C26">
              <w:rPr>
                <w:sz w:val="20"/>
                <w:lang w:val="en-CA"/>
              </w:rPr>
              <w:t>Appeal dismissed</w:t>
            </w:r>
          </w:p>
          <w:p w:rsidR="00407464" w:rsidRPr="00893C26" w:rsidRDefault="00407464" w:rsidP="002B2C2E">
            <w:pPr>
              <w:jc w:val="both"/>
              <w:rPr>
                <w:sz w:val="20"/>
                <w:lang w:val="en-CA"/>
              </w:rPr>
            </w:pPr>
          </w:p>
        </w:tc>
      </w:tr>
      <w:tr w:rsidR="00407464" w:rsidRPr="00893C26">
        <w:tc>
          <w:tcPr>
            <w:tcW w:w="2427" w:type="pct"/>
            <w:gridSpan w:val="2"/>
          </w:tcPr>
          <w:p w:rsidR="00407464" w:rsidRPr="00893C26" w:rsidRDefault="00407464" w:rsidP="002B2C2E">
            <w:pPr>
              <w:jc w:val="both"/>
              <w:rPr>
                <w:sz w:val="20"/>
                <w:lang w:val="en-CA"/>
              </w:rPr>
            </w:pPr>
            <w:r w:rsidRPr="00893C26">
              <w:rPr>
                <w:sz w:val="20"/>
                <w:lang w:val="en-CA"/>
              </w:rPr>
              <w:t>April 25, 2022</w:t>
            </w:r>
          </w:p>
          <w:p w:rsidR="00407464" w:rsidRPr="00893C26" w:rsidRDefault="00407464" w:rsidP="002B2C2E">
            <w:pPr>
              <w:jc w:val="both"/>
              <w:rPr>
                <w:sz w:val="20"/>
                <w:lang w:val="en-CA"/>
              </w:rPr>
            </w:pPr>
            <w:r w:rsidRPr="00893C26">
              <w:rPr>
                <w:sz w:val="20"/>
                <w:lang w:val="en-CA"/>
              </w:rPr>
              <w:t>Supreme Court of Canada</w:t>
            </w:r>
          </w:p>
        </w:tc>
        <w:tc>
          <w:tcPr>
            <w:tcW w:w="243" w:type="pct"/>
          </w:tcPr>
          <w:p w:rsidR="00407464" w:rsidRPr="00893C26" w:rsidRDefault="00407464" w:rsidP="002B2C2E">
            <w:pPr>
              <w:jc w:val="both"/>
              <w:rPr>
                <w:sz w:val="20"/>
                <w:lang w:val="en-CA"/>
              </w:rPr>
            </w:pPr>
          </w:p>
        </w:tc>
        <w:tc>
          <w:tcPr>
            <w:tcW w:w="2330" w:type="pct"/>
          </w:tcPr>
          <w:p w:rsidR="00407464" w:rsidRPr="00893C26" w:rsidRDefault="00407464" w:rsidP="002B2C2E">
            <w:pPr>
              <w:jc w:val="both"/>
              <w:rPr>
                <w:sz w:val="20"/>
                <w:lang w:val="en-CA"/>
              </w:rPr>
            </w:pPr>
            <w:r w:rsidRPr="00893C26">
              <w:rPr>
                <w:sz w:val="20"/>
                <w:lang w:val="en-CA"/>
              </w:rPr>
              <w:t>Application for leave to appeal filed</w:t>
            </w:r>
          </w:p>
        </w:tc>
      </w:tr>
    </w:tbl>
    <w:p w:rsidR="00407464" w:rsidRPr="00893C26" w:rsidRDefault="00407464" w:rsidP="002B2C2E">
      <w:pPr>
        <w:jc w:val="both"/>
        <w:rPr>
          <w:sz w:val="20"/>
          <w:lang w:val="en-CA"/>
        </w:rPr>
      </w:pPr>
    </w:p>
    <w:p w:rsidR="004A7BC1" w:rsidRPr="00893C26" w:rsidRDefault="00893C26" w:rsidP="002B2C2E">
      <w:pPr>
        <w:jc w:val="both"/>
        <w:rPr>
          <w:sz w:val="20"/>
          <w:lang w:val="en-CA"/>
        </w:rPr>
      </w:pPr>
      <w:r w:rsidRPr="00893C26">
        <w:rPr>
          <w:sz w:val="20"/>
        </w:rPr>
        <w:pict>
          <v:rect id="_x0000_i1035" style="width:2in;height:1pt" o:hrpct="0" o:hralign="center" o:hrstd="t" o:hrnoshade="t" o:hr="t" fillcolor="black [3213]" stroked="f"/>
        </w:pict>
      </w:r>
    </w:p>
    <w:p w:rsidR="004A7BC1" w:rsidRPr="00893C26" w:rsidRDefault="004A7BC1" w:rsidP="002B2C2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464" w:rsidRPr="00893C26">
        <w:tc>
          <w:tcPr>
            <w:tcW w:w="543" w:type="pct"/>
          </w:tcPr>
          <w:p w:rsidR="00407464" w:rsidRPr="00893C26" w:rsidRDefault="00407464" w:rsidP="002B2C2E">
            <w:pPr>
              <w:jc w:val="both"/>
              <w:rPr>
                <w:sz w:val="20"/>
              </w:rPr>
            </w:pPr>
            <w:r w:rsidRPr="00893C26">
              <w:rPr>
                <w:rStyle w:val="SCCFileNumberChar"/>
                <w:sz w:val="20"/>
                <w:szCs w:val="20"/>
              </w:rPr>
              <w:t>40127</w:t>
            </w:r>
          </w:p>
        </w:tc>
        <w:tc>
          <w:tcPr>
            <w:tcW w:w="4457" w:type="pct"/>
            <w:gridSpan w:val="3"/>
          </w:tcPr>
          <w:p w:rsidR="00407464" w:rsidRPr="00893C26" w:rsidRDefault="00407464" w:rsidP="002B2C2E">
            <w:pPr>
              <w:pStyle w:val="SCCLsocParty"/>
              <w:jc w:val="both"/>
              <w:rPr>
                <w:b/>
                <w:sz w:val="20"/>
                <w:szCs w:val="20"/>
              </w:rPr>
            </w:pPr>
            <w:r w:rsidRPr="00893C26">
              <w:rPr>
                <w:b/>
                <w:sz w:val="20"/>
                <w:szCs w:val="20"/>
              </w:rPr>
              <w:t>Michel Baril, François Biron, Guy Bourassa, Paul-Henri Couture, Marc Dagenais, Patrick Godin, Vanessa Laplante, René Lessard, Jacques Malette, Steve Nadeau et Luc Séguin c. Woods s.e.n.c.r.l., Brian Shenker, personnellement et en sa qualité de fiduciaire de The Freedom 57 Trust, Shenker Family Foundation, Sam Skye Community Foundation, Randee Fagen et Nathan Glaich</w:t>
            </w:r>
          </w:p>
          <w:p w:rsidR="00407464" w:rsidRPr="00893C26" w:rsidRDefault="00407464" w:rsidP="002B2C2E">
            <w:pPr>
              <w:pStyle w:val="SCCLsocOtherPartySeparator"/>
              <w:rPr>
                <w:sz w:val="20"/>
                <w:szCs w:val="20"/>
              </w:rPr>
            </w:pPr>
            <w:r w:rsidRPr="00893C26">
              <w:rPr>
                <w:sz w:val="20"/>
                <w:szCs w:val="20"/>
              </w:rPr>
              <w:t>- et -</w:t>
            </w:r>
          </w:p>
          <w:p w:rsidR="00407464" w:rsidRPr="00893C26" w:rsidRDefault="00407464" w:rsidP="002B2C2E">
            <w:pPr>
              <w:pStyle w:val="SCCLsocParty"/>
              <w:jc w:val="both"/>
              <w:rPr>
                <w:b/>
                <w:sz w:val="20"/>
                <w:szCs w:val="20"/>
              </w:rPr>
            </w:pPr>
            <w:r w:rsidRPr="00893C26">
              <w:rPr>
                <w:b/>
                <w:sz w:val="20"/>
                <w:szCs w:val="20"/>
              </w:rPr>
              <w:t>NMX Residual Assets Inc., NMX Residual Liabilities Inc. et PricewaterhouseCoopers Inc.</w:t>
            </w:r>
          </w:p>
          <w:p w:rsidR="00407464" w:rsidRPr="00893C26" w:rsidRDefault="004A7BC1" w:rsidP="002B2C2E">
            <w:pPr>
              <w:jc w:val="both"/>
              <w:rPr>
                <w:sz w:val="20"/>
              </w:rPr>
            </w:pPr>
            <w:r w:rsidRPr="00893C26">
              <w:rPr>
                <w:sz w:val="20"/>
              </w:rPr>
              <w:t>(Qc) (Civile) (Autorisation)</w:t>
            </w:r>
          </w:p>
        </w:tc>
      </w:tr>
      <w:tr w:rsidR="00407464" w:rsidRPr="00893C26">
        <w:tc>
          <w:tcPr>
            <w:tcW w:w="5000" w:type="pct"/>
            <w:gridSpan w:val="4"/>
          </w:tcPr>
          <w:p w:rsidR="00407464" w:rsidRPr="00893C26" w:rsidRDefault="00407464" w:rsidP="002B2C2E">
            <w:pPr>
              <w:pStyle w:val="SCCBanSummary"/>
              <w:rPr>
                <w:sz w:val="20"/>
                <w:szCs w:val="20"/>
                <w:lang w:val="fr-CA"/>
              </w:rPr>
            </w:pPr>
            <w:r w:rsidRPr="00893C26">
              <w:rPr>
                <w:sz w:val="20"/>
                <w:szCs w:val="20"/>
                <w:lang w:val="fr-CA"/>
              </w:rPr>
              <w:t>(Ordonnance de non-publication dans le dossier) (Ordonnance de mise sous scellés) (Certaines informations non disponibles pour le public)</w:t>
            </w:r>
          </w:p>
          <w:p w:rsidR="00407464" w:rsidRPr="00893C26" w:rsidRDefault="00407464" w:rsidP="002B2C2E">
            <w:pPr>
              <w:jc w:val="both"/>
              <w:rPr>
                <w:sz w:val="20"/>
                <w:lang w:val="fr-CA"/>
              </w:rPr>
            </w:pPr>
          </w:p>
          <w:p w:rsidR="00407464" w:rsidRPr="00893C26" w:rsidRDefault="00407464" w:rsidP="002B2C2E">
            <w:pPr>
              <w:jc w:val="both"/>
              <w:rPr>
                <w:sz w:val="20"/>
              </w:rPr>
            </w:pPr>
            <w:r w:rsidRPr="00893C26">
              <w:rPr>
                <w:sz w:val="20"/>
                <w:lang w:val="fr-CA"/>
              </w:rPr>
              <w:t xml:space="preserve">Procédure civile </w:t>
            </w:r>
            <w:r w:rsidRPr="00893C26">
              <w:rPr>
                <w:sz w:val="20"/>
              </w:rPr>
              <w:t>⸺</w:t>
            </w:r>
            <w:r w:rsidRPr="00893C26">
              <w:rPr>
                <w:sz w:val="20"/>
                <w:lang w:val="fr-CA"/>
              </w:rPr>
              <w:t xml:space="preserve"> Requête en déclaration d’inhabilité d’un avocat à occuper </w:t>
            </w:r>
            <w:r w:rsidRPr="00893C26">
              <w:rPr>
                <w:sz w:val="20"/>
              </w:rPr>
              <w:t>⸺</w:t>
            </w:r>
            <w:r w:rsidRPr="00893C26">
              <w:rPr>
                <w:sz w:val="20"/>
                <w:lang w:val="fr-CA"/>
              </w:rPr>
              <w:t xml:space="preserve"> </w:t>
            </w:r>
            <w:r w:rsidRPr="00893C26">
              <w:rPr>
                <w:color w:val="000000"/>
                <w:sz w:val="20"/>
                <w:lang w:val="x-none"/>
              </w:rPr>
              <w:t>Quel doit être au Québec et au Canada le cadre d’analyse aux fins de déterminer si un avocat est habile pour agir contre une partie dans un litige lorsqu’il détient des informations confidentielles la concernant qui, bien qu’elles ne soient pas protégées par le secret professionnel, sont hautement sensibles et ont été obtenues de cette même partie dans un litige antérieur connexe, et ce, à la condition expresse et stricte d’en préserver la confidentialité et de ne jamais les réutiliser dans un autre contexte? ⸺</w:t>
            </w:r>
            <w:r w:rsidRPr="00893C26">
              <w:rPr>
                <w:color w:val="000000"/>
                <w:sz w:val="20"/>
                <w:lang w:val="fr-CA"/>
              </w:rPr>
              <w:t xml:space="preserve"> </w:t>
            </w:r>
            <w:r w:rsidRPr="00893C26">
              <w:rPr>
                <w:color w:val="000000"/>
                <w:sz w:val="20"/>
                <w:lang w:val="x-none"/>
              </w:rPr>
              <w:t xml:space="preserve">À cet égard, le Québec a-t-il un régime de disqualification de l’avocat distinct fondé sur le nouvel article 193 </w:t>
            </w:r>
            <w:r w:rsidRPr="00893C26">
              <w:rPr>
                <w:i/>
                <w:sz w:val="20"/>
                <w:lang w:val="fr-CA"/>
              </w:rPr>
              <w:t>Code de procédure civile</w:t>
            </w:r>
            <w:r w:rsidRPr="00893C26">
              <w:rPr>
                <w:sz w:val="20"/>
                <w:lang w:val="fr-CA"/>
              </w:rPr>
              <w:t>,</w:t>
            </w:r>
            <w:r w:rsidRPr="00893C26">
              <w:rPr>
                <w:color w:val="000000"/>
                <w:sz w:val="20"/>
                <w:lang w:val="x-none"/>
              </w:rPr>
              <w:t xml:space="preserve"> lequel élargit explicitement les motifs possibles de disqualification?</w:t>
            </w:r>
            <w:r w:rsidRPr="00893C26">
              <w:rPr>
                <w:color w:val="000000"/>
                <w:sz w:val="20"/>
                <w:lang w:val="fr-CA"/>
              </w:rPr>
              <w:t xml:space="preserve"> </w:t>
            </w:r>
            <w:r w:rsidRPr="00893C26">
              <w:rPr>
                <w:color w:val="000000"/>
                <w:sz w:val="20"/>
              </w:rPr>
              <w:t>⸺</w:t>
            </w:r>
            <w:r w:rsidRPr="00893C26">
              <w:rPr>
                <w:color w:val="000000"/>
                <w:sz w:val="20"/>
                <w:lang w:val="fr-CA"/>
              </w:rPr>
              <w:t xml:space="preserve"> </w:t>
            </w:r>
            <w:r w:rsidRPr="00893C26">
              <w:rPr>
                <w:color w:val="000000"/>
                <w:sz w:val="20"/>
                <w:lang w:val="x-none"/>
              </w:rPr>
              <w:t xml:space="preserve">Dans quelles circonstances le cas échéant l’inhabilité de l’avocat devrait-elle être déclarée pour violation ou risque de violation à </w:t>
            </w:r>
            <w:r w:rsidRPr="00893C26">
              <w:rPr>
                <w:sz w:val="20"/>
                <w:lang w:val="fr-CA"/>
              </w:rPr>
              <w:t>l’obligation implicite de confidentialité</w:t>
            </w:r>
            <w:r w:rsidRPr="00893C26">
              <w:rPr>
                <w:color w:val="000000"/>
                <w:sz w:val="20"/>
                <w:lang w:val="x-none"/>
              </w:rPr>
              <w:t xml:space="preserve"> </w:t>
            </w:r>
            <w:r w:rsidRPr="00893C26">
              <w:rPr>
                <w:color w:val="000000"/>
                <w:sz w:val="20"/>
                <w:lang w:val="fr-CA"/>
              </w:rPr>
              <w:t>(</w:t>
            </w:r>
            <w:r w:rsidRPr="00893C26">
              <w:rPr>
                <w:color w:val="000000"/>
                <w:sz w:val="20"/>
                <w:lang w:val="x-none"/>
              </w:rPr>
              <w:t>OIC</w:t>
            </w:r>
            <w:r w:rsidRPr="00893C26">
              <w:rPr>
                <w:color w:val="000000"/>
                <w:sz w:val="20"/>
                <w:lang w:val="fr-CA"/>
              </w:rPr>
              <w:t>)</w:t>
            </w:r>
            <w:r w:rsidRPr="00893C26">
              <w:rPr>
                <w:color w:val="000000"/>
                <w:sz w:val="20"/>
                <w:lang w:val="x-none"/>
              </w:rPr>
              <w:t xml:space="preserve"> et/ou aux ordonnances et engagements judiciaires de confidentialité d’une partie? ⸺</w:t>
            </w:r>
            <w:r w:rsidRPr="00893C26">
              <w:rPr>
                <w:color w:val="000000"/>
                <w:sz w:val="20"/>
                <w:lang w:val="fr-CA"/>
              </w:rPr>
              <w:t xml:space="preserve"> </w:t>
            </w:r>
            <w:r w:rsidRPr="00893C26">
              <w:rPr>
                <w:color w:val="000000"/>
                <w:sz w:val="20"/>
                <w:lang w:val="x-none"/>
              </w:rPr>
              <w:t>À cet égard, quel type d’«</w:t>
            </w:r>
            <w:r w:rsidRPr="00893C26">
              <w:rPr>
                <w:color w:val="000000"/>
                <w:sz w:val="20"/>
                <w:lang w:val="fr-CA"/>
              </w:rPr>
              <w:t> </w:t>
            </w:r>
            <w:r w:rsidRPr="00893C26">
              <w:rPr>
                <w:color w:val="000000"/>
                <w:sz w:val="20"/>
                <w:lang w:val="x-none"/>
              </w:rPr>
              <w:t>utilisation » des informations confidentielles peut justifier l’inhabilité de l’avocat et est-ce qu’un avocat peut lui-même demander la levée de l’OIC pour le compte de son nouveau client?</w:t>
            </w:r>
            <w:r w:rsidRPr="00893C26">
              <w:rPr>
                <w:color w:val="000000"/>
                <w:sz w:val="20"/>
                <w:lang w:val="fr-CA"/>
              </w:rPr>
              <w:t xml:space="preserve"> </w:t>
            </w:r>
            <w:r w:rsidRPr="00893C26">
              <w:rPr>
                <w:color w:val="000000"/>
                <w:sz w:val="20"/>
              </w:rPr>
              <w:t>⸺</w:t>
            </w:r>
            <w:r w:rsidRPr="00893C26">
              <w:rPr>
                <w:color w:val="000000"/>
                <w:sz w:val="20"/>
                <w:lang w:val="fr-CA"/>
              </w:rPr>
              <w:t xml:space="preserve"> </w:t>
            </w:r>
            <w:r w:rsidRPr="00893C26">
              <w:rPr>
                <w:color w:val="000000"/>
                <w:sz w:val="20"/>
                <w:lang w:val="x-none"/>
              </w:rPr>
              <w:t xml:space="preserve">Dans un nouveau litige soulevant essentiellement des faits identiques et où les informations confidentielles joueront un rôle central selon la position même des avocats s’étant expressément engagés à ne </w:t>
            </w:r>
            <w:r w:rsidRPr="00893C26">
              <w:rPr>
                <w:i/>
                <w:color w:val="000000"/>
                <w:sz w:val="20"/>
                <w:lang w:val="x-none"/>
              </w:rPr>
              <w:t xml:space="preserve">jamais </w:t>
            </w:r>
            <w:r w:rsidRPr="00893C26">
              <w:rPr>
                <w:color w:val="000000"/>
                <w:sz w:val="20"/>
                <w:lang w:val="x-none"/>
              </w:rPr>
              <w:t>utiliser ces informations, est-ce que ces avocats devraient être déclarés inhabiles?</w:t>
            </w:r>
            <w:r w:rsidRPr="00893C26">
              <w:rPr>
                <w:color w:val="000000"/>
                <w:sz w:val="20"/>
                <w:lang w:val="fr-CA"/>
              </w:rPr>
              <w:t xml:space="preserve"> </w:t>
            </w:r>
            <w:r w:rsidRPr="00893C26">
              <w:rPr>
                <w:color w:val="000000"/>
                <w:sz w:val="20"/>
              </w:rPr>
              <w:t xml:space="preserve">⸺ Art. 193, </w:t>
            </w:r>
            <w:r w:rsidRPr="00893C26">
              <w:rPr>
                <w:i/>
                <w:sz w:val="20"/>
              </w:rPr>
              <w:t>Code de procédure civile</w:t>
            </w:r>
            <w:r w:rsidRPr="00893C26">
              <w:rPr>
                <w:sz w:val="20"/>
              </w:rPr>
              <w:t>, RLRQ, c. C-25.01.</w:t>
            </w:r>
          </w:p>
        </w:tc>
      </w:tr>
      <w:tr w:rsidR="00407464" w:rsidRPr="00893C26">
        <w:tc>
          <w:tcPr>
            <w:tcW w:w="5000" w:type="pct"/>
            <w:gridSpan w:val="4"/>
          </w:tcPr>
          <w:p w:rsidR="00407464" w:rsidRPr="00893C26" w:rsidRDefault="00407464" w:rsidP="002B2C2E">
            <w:pPr>
              <w:jc w:val="both"/>
              <w:rPr>
                <w:sz w:val="20"/>
              </w:rPr>
            </w:pPr>
          </w:p>
        </w:tc>
      </w:tr>
      <w:tr w:rsidR="00407464" w:rsidRPr="00893C26">
        <w:tc>
          <w:tcPr>
            <w:tcW w:w="5000" w:type="pct"/>
            <w:gridSpan w:val="4"/>
          </w:tcPr>
          <w:p w:rsidR="00407464" w:rsidRPr="00893C26" w:rsidRDefault="00407464" w:rsidP="002B2C2E">
            <w:pPr>
              <w:jc w:val="both"/>
              <w:rPr>
                <w:sz w:val="20"/>
                <w:lang w:val="fr-CA"/>
              </w:rPr>
            </w:pPr>
            <w:r w:rsidRPr="00893C26">
              <w:rPr>
                <w:sz w:val="20"/>
                <w:lang w:val="fr-CA"/>
              </w:rPr>
              <w:t xml:space="preserve">Les demandeurs sont d’anciens administrateurs de la compagnie Nemaska Lithium Inc. (appelés collectivement Nemaska). Nemaska a entamé des procédures d’arrangement en vertu de la </w:t>
            </w:r>
            <w:r w:rsidRPr="00893C26">
              <w:rPr>
                <w:i/>
                <w:sz w:val="20"/>
                <w:lang w:val="fr-CA"/>
              </w:rPr>
              <w:t>Loi canadienne sur les sociétés par actions</w:t>
            </w:r>
            <w:r w:rsidRPr="00893C26">
              <w:rPr>
                <w:sz w:val="20"/>
                <w:lang w:val="fr-CA"/>
              </w:rPr>
              <w:t xml:space="preserve"> (L.R.C. (1985), ch. C-44). Dans le cadre de ces procédures, l’intimée, la société d’avocats Woods s.e.n.c.r.l. (Woods), représente un groupe d’actionnaires de Nemeska (Groupe Shenker), qui réclame à Nemaska des dommages-intérêts en raison de la perte de leurs investissements. Dans le passé, Woods a représenté le Nordic Trustee AS dans un litige l’opposant à Nemaska (litige Nordic). Dans le cadre du litige Nordic, Woods a eu accès à certains renseignements lors des interrogatoires préalables de M. Guy Bourassa, chef de direction de Nemaska. Le litige Nordic a fait l’objet de règlement à l’amiable qui a été approuvé par la Cour supérieure le 13 février 2020. Le retrait de toutes les pièces et procédures du dossier a également été ordonné. Le 27 janvier 2021, Nemaska a déposé une requête en déclaration d’inhabilité visant Woods dans le cadre du présent litige. Les parties s’entendent pour dire que le présent litige est connexe au litige Nordic par le biais des allégations de représentations inexactes ou fausses visant Nemaska. Woods a également admis détenir des renseignements pertinents au présent litige obtenus dans le cadre du litige Nordic, lesquels sont assujettis tant à l’OIC ainsi qu’à des engagements de confidentialité dont le tribunal a pris acte dont l’ordonnance de gestion du 27 novembre 2019 (voir : </w:t>
            </w:r>
            <w:r w:rsidRPr="00893C26">
              <w:rPr>
                <w:i/>
                <w:sz w:val="20"/>
                <w:lang w:val="fr-CA"/>
              </w:rPr>
              <w:t>Arrangement de Nemaska Lithium inc. c. Nordic Trustee</w:t>
            </w:r>
            <w:r w:rsidRPr="00893C26">
              <w:rPr>
                <w:sz w:val="20"/>
                <w:lang w:val="fr-CA"/>
              </w:rPr>
              <w:t>, 2019 QCCS 5048). Woods, par le biais de ses avocats agissant pour le Groupe Shenker, a déposé des déclarations sous-serment affirmant ne pas avoir utilisé les renseignements obtenus dans le litige Nordic afin de préparer la procédure introductive d’instance. Les déclarations exposent les autres mesures prises par Woods afin de respecter les obligations légales et éthiques de confidentialité. La Cour supérieure a rejeté la requête en inhabilité déposée par Nemaska et la</w:t>
            </w:r>
            <w:r w:rsidR="004A7BC1" w:rsidRPr="00893C26">
              <w:rPr>
                <w:sz w:val="20"/>
                <w:lang w:val="fr-CA"/>
              </w:rPr>
              <w:t xml:space="preserve"> Cour d’appel a rejeté l’appel.</w:t>
            </w:r>
          </w:p>
          <w:p w:rsidR="00407464" w:rsidRPr="00893C26" w:rsidRDefault="00407464" w:rsidP="002B2C2E">
            <w:pPr>
              <w:jc w:val="both"/>
              <w:rPr>
                <w:sz w:val="20"/>
                <w:lang w:val="fr-CA"/>
              </w:rPr>
            </w:pPr>
          </w:p>
        </w:tc>
      </w:tr>
      <w:tr w:rsidR="00407464" w:rsidRPr="00893C26">
        <w:tc>
          <w:tcPr>
            <w:tcW w:w="2427" w:type="pct"/>
            <w:gridSpan w:val="2"/>
          </w:tcPr>
          <w:p w:rsidR="00407464" w:rsidRPr="00893C26" w:rsidRDefault="00407464" w:rsidP="002B2C2E">
            <w:pPr>
              <w:jc w:val="both"/>
              <w:rPr>
                <w:sz w:val="20"/>
                <w:lang w:val="fr-CA"/>
              </w:rPr>
            </w:pPr>
            <w:r w:rsidRPr="00893C26">
              <w:rPr>
                <w:sz w:val="20"/>
                <w:lang w:val="fr-CA"/>
              </w:rPr>
              <w:t>Le 8 juin 2021</w:t>
            </w:r>
          </w:p>
          <w:p w:rsidR="00407464" w:rsidRPr="00893C26" w:rsidRDefault="00407464" w:rsidP="002B2C2E">
            <w:pPr>
              <w:jc w:val="both"/>
              <w:rPr>
                <w:sz w:val="20"/>
                <w:lang w:val="fr-CA"/>
              </w:rPr>
            </w:pPr>
            <w:r w:rsidRPr="00893C26">
              <w:rPr>
                <w:sz w:val="20"/>
                <w:lang w:val="fr-CA"/>
              </w:rPr>
              <w:t>Cour supérieure du Québec</w:t>
            </w:r>
          </w:p>
          <w:p w:rsidR="00407464" w:rsidRPr="00893C26" w:rsidRDefault="00407464" w:rsidP="002B2C2E">
            <w:pPr>
              <w:jc w:val="both"/>
              <w:rPr>
                <w:sz w:val="20"/>
              </w:rPr>
            </w:pPr>
            <w:r w:rsidRPr="00893C26">
              <w:rPr>
                <w:sz w:val="20"/>
              </w:rPr>
              <w:t>(Le juge Pinsonnault)</w:t>
            </w:r>
          </w:p>
          <w:p w:rsidR="00407464" w:rsidRPr="00893C26" w:rsidRDefault="00893C26" w:rsidP="002B2C2E">
            <w:pPr>
              <w:jc w:val="both"/>
              <w:rPr>
                <w:sz w:val="20"/>
              </w:rPr>
            </w:pPr>
            <w:hyperlink r:id="rId43" w:history="1">
              <w:r w:rsidR="00407464" w:rsidRPr="00893C26">
                <w:rPr>
                  <w:rStyle w:val="Hyperlink"/>
                  <w:sz w:val="20"/>
                </w:rPr>
                <w:t>2021 QCCS 2308</w:t>
              </w:r>
            </w:hyperlink>
            <w:r w:rsidR="00407464" w:rsidRPr="00893C26">
              <w:rPr>
                <w:sz w:val="20"/>
              </w:rPr>
              <w:t xml:space="preserve"> </w:t>
            </w:r>
          </w:p>
          <w:p w:rsidR="00407464" w:rsidRPr="00893C26" w:rsidRDefault="00407464" w:rsidP="002B2C2E">
            <w:pPr>
              <w:jc w:val="both"/>
              <w:rPr>
                <w:sz w:val="20"/>
              </w:rPr>
            </w:pP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lang w:val="fr-CA"/>
              </w:rPr>
            </w:pPr>
            <w:r w:rsidRPr="00893C26">
              <w:rPr>
                <w:sz w:val="20"/>
                <w:lang w:val="fr-CA"/>
              </w:rPr>
              <w:t>Requête amendée des requérants demandant la disqualification de Woods s.e.n.c.r.l. et l'émission d'ordonnances de confidentialité rejetée.</w:t>
            </w:r>
          </w:p>
          <w:p w:rsidR="00407464" w:rsidRPr="00893C26" w:rsidRDefault="00407464" w:rsidP="002B2C2E">
            <w:pPr>
              <w:jc w:val="both"/>
              <w:rPr>
                <w:sz w:val="20"/>
                <w:lang w:val="fr-CA"/>
              </w:rPr>
            </w:pPr>
          </w:p>
        </w:tc>
      </w:tr>
      <w:tr w:rsidR="00407464" w:rsidRPr="00893C26">
        <w:tc>
          <w:tcPr>
            <w:tcW w:w="2427" w:type="pct"/>
            <w:gridSpan w:val="2"/>
          </w:tcPr>
          <w:p w:rsidR="00407464" w:rsidRPr="00893C26" w:rsidRDefault="00407464" w:rsidP="002B2C2E">
            <w:pPr>
              <w:jc w:val="both"/>
              <w:rPr>
                <w:sz w:val="20"/>
                <w:lang w:val="fr-CA"/>
              </w:rPr>
            </w:pPr>
            <w:r w:rsidRPr="00893C26">
              <w:rPr>
                <w:sz w:val="20"/>
                <w:lang w:val="fr-CA"/>
              </w:rPr>
              <w:t>Le 23 février 2022</w:t>
            </w:r>
          </w:p>
          <w:p w:rsidR="00407464" w:rsidRPr="00893C26" w:rsidRDefault="00407464" w:rsidP="002B2C2E">
            <w:pPr>
              <w:jc w:val="both"/>
              <w:rPr>
                <w:sz w:val="20"/>
                <w:lang w:val="fr-CA"/>
              </w:rPr>
            </w:pPr>
            <w:r w:rsidRPr="00893C26">
              <w:rPr>
                <w:sz w:val="20"/>
                <w:lang w:val="fr-CA"/>
              </w:rPr>
              <w:t>Cour d’appel du Québec (Montréal)</w:t>
            </w:r>
          </w:p>
          <w:p w:rsidR="00407464" w:rsidRPr="00893C26" w:rsidRDefault="00407464" w:rsidP="002B2C2E">
            <w:pPr>
              <w:jc w:val="both"/>
              <w:rPr>
                <w:sz w:val="20"/>
                <w:lang w:val="fr-CA"/>
              </w:rPr>
            </w:pPr>
            <w:r w:rsidRPr="00893C26">
              <w:rPr>
                <w:sz w:val="20"/>
                <w:lang w:val="fr-CA"/>
              </w:rPr>
              <w:t>(Les juges Lévesque, Moore et Bachand)</w:t>
            </w:r>
          </w:p>
          <w:p w:rsidR="00407464" w:rsidRPr="00893C26" w:rsidRDefault="00893C26" w:rsidP="002B2C2E">
            <w:pPr>
              <w:jc w:val="both"/>
              <w:rPr>
                <w:sz w:val="20"/>
              </w:rPr>
            </w:pPr>
            <w:hyperlink r:id="rId44" w:history="1">
              <w:r w:rsidR="00407464" w:rsidRPr="00893C26">
                <w:rPr>
                  <w:rStyle w:val="Hyperlink"/>
                  <w:sz w:val="20"/>
                </w:rPr>
                <w:t>2022 QCCA 277</w:t>
              </w:r>
            </w:hyperlink>
          </w:p>
          <w:p w:rsidR="00407464" w:rsidRPr="00893C26" w:rsidRDefault="00407464" w:rsidP="002B2C2E">
            <w:pPr>
              <w:jc w:val="both"/>
              <w:rPr>
                <w:sz w:val="20"/>
              </w:rPr>
            </w:pP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Appel rejeté.</w:t>
            </w:r>
          </w:p>
          <w:p w:rsidR="00407464" w:rsidRPr="00893C26" w:rsidRDefault="00407464" w:rsidP="002B2C2E">
            <w:pPr>
              <w:jc w:val="both"/>
              <w:rPr>
                <w:sz w:val="20"/>
              </w:rPr>
            </w:pPr>
          </w:p>
        </w:tc>
      </w:tr>
      <w:tr w:rsidR="00407464" w:rsidRPr="00893C26">
        <w:tc>
          <w:tcPr>
            <w:tcW w:w="2427" w:type="pct"/>
            <w:gridSpan w:val="2"/>
          </w:tcPr>
          <w:p w:rsidR="00407464" w:rsidRPr="00893C26" w:rsidRDefault="00407464" w:rsidP="002B2C2E">
            <w:pPr>
              <w:jc w:val="both"/>
              <w:rPr>
                <w:sz w:val="20"/>
                <w:lang w:val="fr-CA"/>
              </w:rPr>
            </w:pPr>
            <w:r w:rsidRPr="00893C26">
              <w:rPr>
                <w:sz w:val="20"/>
                <w:lang w:val="fr-CA"/>
              </w:rPr>
              <w:t>Le 25 avril 2022</w:t>
            </w:r>
          </w:p>
          <w:p w:rsidR="00407464" w:rsidRPr="00893C26" w:rsidRDefault="00407464" w:rsidP="002B2C2E">
            <w:pPr>
              <w:jc w:val="both"/>
              <w:rPr>
                <w:sz w:val="20"/>
                <w:lang w:val="fr-CA"/>
              </w:rPr>
            </w:pPr>
            <w:r w:rsidRPr="00893C26">
              <w:rPr>
                <w:sz w:val="20"/>
                <w:lang w:val="fr-CA"/>
              </w:rPr>
              <w:t>Cour suprême du Canada</w:t>
            </w: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rPr>
            </w:pPr>
            <w:r w:rsidRPr="00893C26">
              <w:rPr>
                <w:sz w:val="20"/>
              </w:rPr>
              <w:t>Demande d'autorisation d'appel déposée.</w:t>
            </w:r>
          </w:p>
        </w:tc>
      </w:tr>
    </w:tbl>
    <w:p w:rsidR="00407464" w:rsidRPr="00893C26" w:rsidRDefault="00407464" w:rsidP="002B2C2E">
      <w:pPr>
        <w:jc w:val="both"/>
        <w:rPr>
          <w:sz w:val="20"/>
        </w:rPr>
      </w:pPr>
    </w:p>
    <w:p w:rsidR="00FA7226" w:rsidRPr="00893C26" w:rsidRDefault="00893C26" w:rsidP="002B2C2E">
      <w:pPr>
        <w:widowControl w:val="0"/>
        <w:jc w:val="both"/>
        <w:rPr>
          <w:sz w:val="20"/>
          <w:lang w:val="fr-CA"/>
        </w:rPr>
      </w:pPr>
      <w:r w:rsidRPr="00893C26">
        <w:rPr>
          <w:sz w:val="20"/>
        </w:rPr>
        <w:pict>
          <v:rect id="_x0000_i1036" style="width:2in;height:1pt" o:hrpct="0" o:hralign="center" o:hrstd="t" o:hrnoshade="t" o:hr="t" fillcolor="black [3213]" stroked="f"/>
        </w:pict>
      </w:r>
    </w:p>
    <w:p w:rsidR="004A7BC1" w:rsidRPr="00893C26" w:rsidRDefault="004A7BC1" w:rsidP="002B2C2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464" w:rsidRPr="00893C26" w:rsidTr="00407464">
        <w:tc>
          <w:tcPr>
            <w:tcW w:w="543" w:type="pct"/>
          </w:tcPr>
          <w:p w:rsidR="00407464" w:rsidRPr="00893C26" w:rsidRDefault="00407464" w:rsidP="002B2C2E">
            <w:pPr>
              <w:jc w:val="both"/>
              <w:rPr>
                <w:sz w:val="20"/>
              </w:rPr>
            </w:pPr>
            <w:r w:rsidRPr="00893C26">
              <w:rPr>
                <w:rStyle w:val="SCCFileNumberChar"/>
                <w:sz w:val="20"/>
                <w:szCs w:val="20"/>
              </w:rPr>
              <w:t>40133</w:t>
            </w:r>
          </w:p>
        </w:tc>
        <w:tc>
          <w:tcPr>
            <w:tcW w:w="4457" w:type="pct"/>
            <w:gridSpan w:val="3"/>
          </w:tcPr>
          <w:p w:rsidR="00407464" w:rsidRPr="00893C26" w:rsidRDefault="00407464" w:rsidP="002B2C2E">
            <w:pPr>
              <w:pStyle w:val="SCCLsocParty"/>
              <w:jc w:val="both"/>
              <w:rPr>
                <w:b/>
                <w:sz w:val="20"/>
                <w:szCs w:val="20"/>
                <w:lang w:val="en-US"/>
              </w:rPr>
            </w:pPr>
            <w:r w:rsidRPr="00893C26">
              <w:rPr>
                <w:b/>
                <w:sz w:val="20"/>
                <w:szCs w:val="20"/>
                <w:lang w:val="en-US"/>
              </w:rPr>
              <w:t>Casey Matti Henry v. Her Majesty the Queen</w:t>
            </w:r>
          </w:p>
          <w:p w:rsidR="00407464" w:rsidRPr="00893C26" w:rsidRDefault="00407464" w:rsidP="002B2C2E">
            <w:pPr>
              <w:jc w:val="both"/>
              <w:rPr>
                <w:sz w:val="20"/>
              </w:rPr>
            </w:pPr>
            <w:r w:rsidRPr="00893C26">
              <w:rPr>
                <w:sz w:val="20"/>
              </w:rPr>
              <w:t>(Ont.) (Criminal) (By Leave)</w:t>
            </w:r>
          </w:p>
        </w:tc>
      </w:tr>
      <w:tr w:rsidR="00407464" w:rsidRPr="00893C26" w:rsidTr="00407464">
        <w:tc>
          <w:tcPr>
            <w:tcW w:w="5000" w:type="pct"/>
            <w:gridSpan w:val="4"/>
          </w:tcPr>
          <w:p w:rsidR="00407464" w:rsidRPr="00893C26" w:rsidRDefault="00407464" w:rsidP="002B2C2E">
            <w:pPr>
              <w:pStyle w:val="SCCBanSummary"/>
              <w:rPr>
                <w:sz w:val="20"/>
                <w:szCs w:val="20"/>
              </w:rPr>
            </w:pPr>
            <w:r w:rsidRPr="00893C26">
              <w:rPr>
                <w:sz w:val="20"/>
                <w:szCs w:val="20"/>
              </w:rPr>
              <w:t>(Publication ban in case)</w:t>
            </w:r>
          </w:p>
          <w:p w:rsidR="00407464" w:rsidRPr="00893C26" w:rsidRDefault="00407464" w:rsidP="002B2C2E">
            <w:pPr>
              <w:jc w:val="both"/>
              <w:rPr>
                <w:sz w:val="20"/>
              </w:rPr>
            </w:pPr>
          </w:p>
        </w:tc>
      </w:tr>
      <w:tr w:rsidR="00407464" w:rsidRPr="00893C26" w:rsidTr="00407464">
        <w:tc>
          <w:tcPr>
            <w:tcW w:w="5000" w:type="pct"/>
            <w:gridSpan w:val="4"/>
          </w:tcPr>
          <w:p w:rsidR="00407464" w:rsidRPr="00893C26" w:rsidRDefault="00407464" w:rsidP="002B2C2E">
            <w:pPr>
              <w:jc w:val="both"/>
              <w:rPr>
                <w:sz w:val="20"/>
              </w:rPr>
            </w:pPr>
            <w:r w:rsidRPr="00893C26">
              <w:rPr>
                <w:sz w:val="20"/>
              </w:rPr>
              <w:t xml:space="preserve">Criminal law — Applicant convicted of sexual assault — Whether the verdict should be set aside on the ground that it is unreasonable or cannot be supported by the evidence — Whether the lower courts erred in law — Whether the verdict, judgment and sentence should be set aside as there was a miscarriage of justice — Whether the applicant’s </w:t>
            </w:r>
            <w:r w:rsidRPr="00893C26">
              <w:rPr>
                <w:i/>
                <w:sz w:val="20"/>
              </w:rPr>
              <w:t>Charter</w:t>
            </w:r>
            <w:r w:rsidR="004A7BC1" w:rsidRPr="00893C26">
              <w:rPr>
                <w:sz w:val="20"/>
              </w:rPr>
              <w:t xml:space="preserve"> rights were violated.</w:t>
            </w:r>
          </w:p>
        </w:tc>
      </w:tr>
      <w:tr w:rsidR="00407464" w:rsidRPr="00893C26" w:rsidTr="00407464">
        <w:tc>
          <w:tcPr>
            <w:tcW w:w="5000" w:type="pct"/>
            <w:gridSpan w:val="4"/>
          </w:tcPr>
          <w:p w:rsidR="00407464" w:rsidRPr="00893C26" w:rsidRDefault="00407464" w:rsidP="002B2C2E">
            <w:pPr>
              <w:jc w:val="both"/>
              <w:rPr>
                <w:sz w:val="20"/>
              </w:rPr>
            </w:pPr>
          </w:p>
          <w:p w:rsidR="00407464" w:rsidRPr="00893C26" w:rsidRDefault="00407464" w:rsidP="002B2C2E">
            <w:pPr>
              <w:jc w:val="both"/>
              <w:rPr>
                <w:sz w:val="20"/>
              </w:rPr>
            </w:pPr>
            <w:r w:rsidRPr="00893C26">
              <w:rPr>
                <w:color w:val="000000"/>
                <w:sz w:val="20"/>
              </w:rPr>
              <w:t>The applicant and the complainant met online. They made plans to meet up that same day. The applicant picked the complainant up in his car and they went to the applicant’s place. Sexual activity took place. The applicant believed it was consensual. The complainant says it was not.</w:t>
            </w:r>
            <w:r w:rsidRPr="00893C26">
              <w:rPr>
                <w:sz w:val="20"/>
              </w:rPr>
              <w:t xml:space="preserve"> The applicant was convicted of sexual assault. The applicant was sentenced to three and a half years imprisonment. The Court of Appeal dismissed the conviction appeal. Leave to appeal sentence was granted and the sentence appeal was dismissed.</w:t>
            </w:r>
          </w:p>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November 12, 2019</w:t>
            </w:r>
          </w:p>
          <w:p w:rsidR="00407464" w:rsidRPr="00893C26" w:rsidRDefault="00407464" w:rsidP="002B2C2E">
            <w:pPr>
              <w:jc w:val="both"/>
              <w:rPr>
                <w:sz w:val="20"/>
              </w:rPr>
            </w:pPr>
            <w:r w:rsidRPr="00893C26">
              <w:rPr>
                <w:sz w:val="20"/>
              </w:rPr>
              <w:t>Ontario Superior Court of Justice</w:t>
            </w:r>
          </w:p>
          <w:p w:rsidR="00407464" w:rsidRPr="00893C26" w:rsidRDefault="00407464" w:rsidP="002B2C2E">
            <w:pPr>
              <w:jc w:val="both"/>
              <w:rPr>
                <w:sz w:val="20"/>
              </w:rPr>
            </w:pPr>
            <w:r w:rsidRPr="00893C26">
              <w:rPr>
                <w:sz w:val="20"/>
              </w:rPr>
              <w:t>(Dunphy J.)</w:t>
            </w:r>
          </w:p>
          <w:p w:rsidR="00407464" w:rsidRPr="00893C26" w:rsidRDefault="00407464" w:rsidP="002B2C2E">
            <w:pPr>
              <w:jc w:val="both"/>
              <w:rPr>
                <w:sz w:val="20"/>
              </w:rPr>
            </w:pP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Conviction entered: sexual assault</w:t>
            </w:r>
          </w:p>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January 17, 2020</w:t>
            </w:r>
          </w:p>
          <w:p w:rsidR="00407464" w:rsidRPr="00893C26" w:rsidRDefault="00407464" w:rsidP="002B2C2E">
            <w:pPr>
              <w:jc w:val="both"/>
              <w:rPr>
                <w:sz w:val="20"/>
              </w:rPr>
            </w:pPr>
            <w:r w:rsidRPr="00893C26">
              <w:rPr>
                <w:sz w:val="20"/>
              </w:rPr>
              <w:t>Ontario Superior Court of Justice</w:t>
            </w:r>
          </w:p>
          <w:p w:rsidR="00407464" w:rsidRPr="00893C26" w:rsidRDefault="00407464" w:rsidP="002B2C2E">
            <w:pPr>
              <w:jc w:val="both"/>
              <w:rPr>
                <w:sz w:val="20"/>
              </w:rPr>
            </w:pPr>
            <w:r w:rsidRPr="00893C26">
              <w:rPr>
                <w:sz w:val="20"/>
              </w:rPr>
              <w:t>(Dunphy J.)</w:t>
            </w:r>
          </w:p>
          <w:p w:rsidR="00407464" w:rsidRPr="00893C26" w:rsidRDefault="00407464" w:rsidP="002B2C2E">
            <w:pPr>
              <w:jc w:val="both"/>
              <w:rPr>
                <w:sz w:val="20"/>
              </w:rPr>
            </w:pP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Sentence imposed: three and a half years imprisonment</w:t>
            </w:r>
          </w:p>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March 8, 2022</w:t>
            </w:r>
          </w:p>
          <w:p w:rsidR="00407464" w:rsidRPr="00893C26" w:rsidRDefault="00407464" w:rsidP="002B2C2E">
            <w:pPr>
              <w:jc w:val="both"/>
              <w:rPr>
                <w:sz w:val="20"/>
              </w:rPr>
            </w:pPr>
            <w:r w:rsidRPr="00893C26">
              <w:rPr>
                <w:sz w:val="20"/>
              </w:rPr>
              <w:t>Court of Appeal for Ontario</w:t>
            </w:r>
          </w:p>
          <w:p w:rsidR="00407464" w:rsidRPr="00893C26" w:rsidRDefault="00407464" w:rsidP="002B2C2E">
            <w:pPr>
              <w:jc w:val="both"/>
              <w:rPr>
                <w:sz w:val="20"/>
                <w:lang w:val="fr-CA"/>
              </w:rPr>
            </w:pPr>
            <w:r w:rsidRPr="00893C26">
              <w:rPr>
                <w:sz w:val="20"/>
                <w:lang w:val="fr-CA"/>
              </w:rPr>
              <w:t>(Rouleau, Nordheimer, George JJ.A.)</w:t>
            </w:r>
          </w:p>
          <w:p w:rsidR="00407464" w:rsidRPr="00893C26" w:rsidRDefault="00407464" w:rsidP="002B2C2E">
            <w:pPr>
              <w:jc w:val="both"/>
              <w:rPr>
                <w:sz w:val="20"/>
                <w:lang w:val="fr-CA"/>
              </w:rPr>
            </w:pPr>
            <w:r w:rsidRPr="00893C26">
              <w:rPr>
                <w:sz w:val="20"/>
                <w:lang w:val="fr-CA"/>
              </w:rPr>
              <w:t xml:space="preserve">C67954; </w:t>
            </w:r>
            <w:hyperlink r:id="rId45" w:history="1">
              <w:r w:rsidRPr="00893C26">
                <w:rPr>
                  <w:rStyle w:val="Hyperlink"/>
                  <w:sz w:val="20"/>
                  <w:lang w:val="fr-CA"/>
                </w:rPr>
                <w:t>2022 ONCA 191</w:t>
              </w:r>
            </w:hyperlink>
          </w:p>
          <w:p w:rsidR="00407464" w:rsidRPr="00893C26" w:rsidRDefault="00407464" w:rsidP="002B2C2E">
            <w:pPr>
              <w:jc w:val="both"/>
              <w:rPr>
                <w:sz w:val="20"/>
              </w:rPr>
            </w:pP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Conviction appeal dismissed; leave to appeal sentence granted and sentence appeal dismissed</w:t>
            </w:r>
          </w:p>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May 9, 2022</w:t>
            </w:r>
          </w:p>
          <w:p w:rsidR="00407464" w:rsidRPr="00893C26" w:rsidRDefault="00407464" w:rsidP="002B2C2E">
            <w:pPr>
              <w:jc w:val="both"/>
              <w:rPr>
                <w:sz w:val="20"/>
              </w:rPr>
            </w:pPr>
            <w:r w:rsidRPr="00893C26">
              <w:rPr>
                <w:sz w:val="20"/>
              </w:rPr>
              <w:t>Supreme Court of Canada</w:t>
            </w: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Application for leave to appeal filed</w:t>
            </w:r>
          </w:p>
          <w:p w:rsidR="00407464" w:rsidRPr="00893C26" w:rsidRDefault="00407464" w:rsidP="002B2C2E">
            <w:pPr>
              <w:jc w:val="both"/>
              <w:rPr>
                <w:sz w:val="20"/>
              </w:rPr>
            </w:pPr>
          </w:p>
        </w:tc>
      </w:tr>
    </w:tbl>
    <w:p w:rsidR="00407464" w:rsidRPr="00893C26" w:rsidRDefault="00407464" w:rsidP="002B2C2E">
      <w:pPr>
        <w:jc w:val="both"/>
        <w:rPr>
          <w:sz w:val="20"/>
        </w:rPr>
      </w:pPr>
    </w:p>
    <w:p w:rsidR="004A7BC1" w:rsidRPr="00893C26" w:rsidRDefault="00893C26" w:rsidP="002B2C2E">
      <w:pPr>
        <w:jc w:val="both"/>
        <w:rPr>
          <w:sz w:val="20"/>
        </w:rPr>
      </w:pPr>
      <w:r w:rsidRPr="00893C26">
        <w:rPr>
          <w:sz w:val="20"/>
        </w:rPr>
        <w:pict>
          <v:rect id="_x0000_i1037" style="width:2in;height:1pt" o:hrpct="0" o:hralign="center" o:hrstd="t" o:hrnoshade="t" o:hr="t" fillcolor="black [3213]" stroked="f"/>
        </w:pict>
      </w:r>
    </w:p>
    <w:p w:rsidR="004A7BC1" w:rsidRPr="00893C26" w:rsidRDefault="004A7BC1" w:rsidP="002B2C2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464" w:rsidRPr="00893C26" w:rsidTr="00407464">
        <w:tc>
          <w:tcPr>
            <w:tcW w:w="543" w:type="pct"/>
          </w:tcPr>
          <w:p w:rsidR="00407464" w:rsidRPr="00893C26" w:rsidRDefault="00407464" w:rsidP="002B2C2E">
            <w:pPr>
              <w:jc w:val="both"/>
              <w:rPr>
                <w:sz w:val="20"/>
                <w:lang w:val="fr-CA"/>
              </w:rPr>
            </w:pPr>
            <w:r w:rsidRPr="00893C26">
              <w:rPr>
                <w:rStyle w:val="SCCFileNumberChar"/>
                <w:sz w:val="20"/>
                <w:szCs w:val="20"/>
                <w:lang w:val="fr-CA"/>
              </w:rPr>
              <w:t>40133</w:t>
            </w:r>
          </w:p>
        </w:tc>
        <w:tc>
          <w:tcPr>
            <w:tcW w:w="4457" w:type="pct"/>
            <w:gridSpan w:val="3"/>
          </w:tcPr>
          <w:p w:rsidR="00407464" w:rsidRPr="00893C26" w:rsidRDefault="00407464" w:rsidP="002B2C2E">
            <w:pPr>
              <w:pStyle w:val="SCCLsocParty"/>
              <w:jc w:val="both"/>
              <w:rPr>
                <w:b/>
                <w:sz w:val="20"/>
                <w:szCs w:val="20"/>
              </w:rPr>
            </w:pPr>
            <w:r w:rsidRPr="00893C26">
              <w:rPr>
                <w:b/>
                <w:sz w:val="20"/>
                <w:szCs w:val="20"/>
              </w:rPr>
              <w:t>Casey Matti Henry c. Sa Majesté la Reine</w:t>
            </w:r>
          </w:p>
          <w:p w:rsidR="00407464" w:rsidRPr="00893C26" w:rsidRDefault="00407464" w:rsidP="004A7BC1">
            <w:pPr>
              <w:jc w:val="both"/>
              <w:rPr>
                <w:sz w:val="20"/>
                <w:lang w:val="fr-CA"/>
              </w:rPr>
            </w:pPr>
            <w:r w:rsidRPr="00893C26">
              <w:rPr>
                <w:sz w:val="20"/>
                <w:lang w:val="fr-CA"/>
              </w:rPr>
              <w:t>(Ont.) (</w:t>
            </w:r>
            <w:r w:rsidR="004A7BC1" w:rsidRPr="00893C26">
              <w:rPr>
                <w:sz w:val="20"/>
                <w:lang w:val="fr-CA"/>
              </w:rPr>
              <w:t>C</w:t>
            </w:r>
            <w:r w:rsidRPr="00893C26">
              <w:rPr>
                <w:sz w:val="20"/>
                <w:lang w:val="fr-CA"/>
              </w:rPr>
              <w:t>riminelle) (</w:t>
            </w:r>
            <w:r w:rsidR="004A7BC1" w:rsidRPr="00893C26">
              <w:rPr>
                <w:sz w:val="20"/>
                <w:lang w:val="fr-CA"/>
              </w:rPr>
              <w:t>S</w:t>
            </w:r>
            <w:r w:rsidRPr="00893C26">
              <w:rPr>
                <w:sz w:val="20"/>
                <w:lang w:val="fr-CA"/>
              </w:rPr>
              <w:t>ur autorisation)</w:t>
            </w:r>
          </w:p>
        </w:tc>
      </w:tr>
      <w:tr w:rsidR="00407464" w:rsidRPr="00893C26" w:rsidTr="00407464">
        <w:tc>
          <w:tcPr>
            <w:tcW w:w="5000" w:type="pct"/>
            <w:gridSpan w:val="4"/>
          </w:tcPr>
          <w:p w:rsidR="00407464" w:rsidRPr="00893C26" w:rsidRDefault="00407464" w:rsidP="002B2C2E">
            <w:pPr>
              <w:pStyle w:val="SCCBanSummary"/>
              <w:rPr>
                <w:sz w:val="20"/>
                <w:szCs w:val="20"/>
                <w:lang w:val="fr-CA"/>
              </w:rPr>
            </w:pPr>
            <w:r w:rsidRPr="00893C26">
              <w:rPr>
                <w:sz w:val="20"/>
                <w:szCs w:val="20"/>
                <w:lang w:val="fr-CA"/>
              </w:rPr>
              <w:t>(Ordonnance de non-publication au dossier)</w:t>
            </w:r>
          </w:p>
          <w:p w:rsidR="00407464" w:rsidRPr="00893C26" w:rsidRDefault="00407464" w:rsidP="002B2C2E">
            <w:pPr>
              <w:jc w:val="both"/>
              <w:rPr>
                <w:sz w:val="20"/>
                <w:lang w:val="fr-CA"/>
              </w:rPr>
            </w:pPr>
          </w:p>
        </w:tc>
      </w:tr>
      <w:tr w:rsidR="00407464" w:rsidRPr="00893C26" w:rsidTr="00407464">
        <w:tc>
          <w:tcPr>
            <w:tcW w:w="5000" w:type="pct"/>
            <w:gridSpan w:val="4"/>
          </w:tcPr>
          <w:p w:rsidR="00407464" w:rsidRPr="00893C26" w:rsidRDefault="00407464" w:rsidP="002B2C2E">
            <w:pPr>
              <w:jc w:val="both"/>
              <w:rPr>
                <w:sz w:val="20"/>
                <w:lang w:val="fr-CA"/>
              </w:rPr>
            </w:pPr>
            <w:r w:rsidRPr="00893C26">
              <w:rPr>
                <w:sz w:val="20"/>
                <w:lang w:val="fr-CA"/>
              </w:rPr>
              <w:t xml:space="preserve">Droit criminel — Le demandeur a été déclaré coupable d’agression sexuelle — Le verdict devrait-il être annulé au motif qu’il est déraisonnable ou n’est pas étayé par la preuve ? — Les tribunaux inférieurs ont-ils commis une erreur de droit ? — Le verdict, le jugement et la peine devraient-ils être annulés en raison d’une erreur judiciaire ? — Les droits garantis au demandeur par la </w:t>
            </w:r>
            <w:r w:rsidRPr="00893C26">
              <w:rPr>
                <w:i/>
                <w:sz w:val="20"/>
                <w:lang w:val="fr-CA"/>
              </w:rPr>
              <w:t>Charte</w:t>
            </w:r>
            <w:r w:rsidRPr="00893C26">
              <w:rPr>
                <w:sz w:val="20"/>
                <w:lang w:val="fr-CA"/>
              </w:rPr>
              <w:t xml:space="preserve"> ont-ils été violés ? </w:t>
            </w:r>
          </w:p>
        </w:tc>
      </w:tr>
      <w:tr w:rsidR="00407464" w:rsidRPr="00893C26" w:rsidTr="00407464">
        <w:tc>
          <w:tcPr>
            <w:tcW w:w="5000" w:type="pct"/>
            <w:gridSpan w:val="4"/>
          </w:tcPr>
          <w:p w:rsidR="00407464" w:rsidRPr="00893C26" w:rsidRDefault="00407464" w:rsidP="002B2C2E">
            <w:pPr>
              <w:jc w:val="both"/>
              <w:rPr>
                <w:sz w:val="20"/>
                <w:lang w:val="fr-CA"/>
              </w:rPr>
            </w:pPr>
          </w:p>
          <w:p w:rsidR="00407464" w:rsidRPr="00893C26" w:rsidRDefault="00407464" w:rsidP="002B2C2E">
            <w:pPr>
              <w:jc w:val="both"/>
              <w:rPr>
                <w:sz w:val="20"/>
                <w:lang w:val="fr-CA"/>
              </w:rPr>
            </w:pPr>
            <w:r w:rsidRPr="00893C26">
              <w:rPr>
                <w:color w:val="000000"/>
                <w:sz w:val="20"/>
                <w:lang w:val="fr-CA"/>
              </w:rPr>
              <w:t>Le demandeur et la plaignante se sont rencontrés en ligne. Ils ont prévu de se rencontrer la journée même. Le demandeur est allé chercher la plaignante en voiture et l’a ramenée chez lui. Des relations sexuelles ont eu lieu. Le demandeur croyait que celles-ci étaient consensuelles. La plaignante dit qu’elles ne l’étaient pas.</w:t>
            </w:r>
            <w:r w:rsidRPr="00893C26">
              <w:rPr>
                <w:sz w:val="20"/>
                <w:lang w:val="fr-CA"/>
              </w:rPr>
              <w:t xml:space="preserve"> Le demandeur a été déclaré coupable d’agression sexuelle et a été condamné à une peine de trois ans et </w:t>
            </w:r>
            <w:proofErr w:type="gramStart"/>
            <w:r w:rsidRPr="00893C26">
              <w:rPr>
                <w:sz w:val="20"/>
                <w:lang w:val="fr-CA"/>
              </w:rPr>
              <w:t>demi</w:t>
            </w:r>
            <w:proofErr w:type="gramEnd"/>
            <w:r w:rsidRPr="00893C26">
              <w:rPr>
                <w:sz w:val="20"/>
                <w:lang w:val="fr-CA"/>
              </w:rPr>
              <w:t xml:space="preserve"> d’emprisonnement. La Cour d’appel a rejeté l’appel formé contre la déclaration de culpabilité. La demande d’autorisation d’appel de la peine a été accueillie et l’appel de la peine a été rejeté.</w:t>
            </w:r>
          </w:p>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12 novembre 2019</w:t>
            </w:r>
          </w:p>
          <w:p w:rsidR="00407464" w:rsidRPr="00893C26" w:rsidRDefault="00407464" w:rsidP="002B2C2E">
            <w:pPr>
              <w:jc w:val="both"/>
              <w:rPr>
                <w:sz w:val="20"/>
                <w:lang w:val="fr-CA"/>
              </w:rPr>
            </w:pPr>
            <w:r w:rsidRPr="00893C26">
              <w:rPr>
                <w:sz w:val="20"/>
                <w:lang w:val="fr-CA"/>
              </w:rPr>
              <w:t>Cour supérieure de justice de l’Ontario</w:t>
            </w:r>
          </w:p>
          <w:p w:rsidR="00407464" w:rsidRPr="00893C26" w:rsidRDefault="00407464" w:rsidP="002B2C2E">
            <w:pPr>
              <w:jc w:val="both"/>
              <w:rPr>
                <w:sz w:val="20"/>
                <w:lang w:val="fr-CA"/>
              </w:rPr>
            </w:pPr>
            <w:r w:rsidRPr="00893C26">
              <w:rPr>
                <w:sz w:val="20"/>
                <w:lang w:val="fr-CA"/>
              </w:rPr>
              <w:t>(juge Dunphy)</w:t>
            </w:r>
          </w:p>
          <w:p w:rsidR="00407464" w:rsidRPr="00893C26" w:rsidRDefault="00407464" w:rsidP="002B2C2E">
            <w:pPr>
              <w:jc w:val="both"/>
              <w:rPr>
                <w:sz w:val="20"/>
                <w:lang w:val="fr-CA"/>
              </w:rPr>
            </w:pP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 déclaration de culpabilité pour agression sexuelle est prononcée.</w:t>
            </w:r>
          </w:p>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17 janvier 2020</w:t>
            </w:r>
          </w:p>
          <w:p w:rsidR="00407464" w:rsidRPr="00893C26" w:rsidRDefault="00407464" w:rsidP="002B2C2E">
            <w:pPr>
              <w:jc w:val="both"/>
              <w:rPr>
                <w:sz w:val="20"/>
                <w:lang w:val="fr-CA"/>
              </w:rPr>
            </w:pPr>
            <w:r w:rsidRPr="00893C26">
              <w:rPr>
                <w:sz w:val="20"/>
                <w:lang w:val="fr-CA"/>
              </w:rPr>
              <w:t>Cour supérieure de justice de l’Ontario</w:t>
            </w:r>
          </w:p>
          <w:p w:rsidR="00407464" w:rsidRPr="00893C26" w:rsidRDefault="00407464" w:rsidP="002B2C2E">
            <w:pPr>
              <w:jc w:val="both"/>
              <w:rPr>
                <w:sz w:val="20"/>
                <w:lang w:val="fr-CA"/>
              </w:rPr>
            </w:pPr>
            <w:r w:rsidRPr="00893C26">
              <w:rPr>
                <w:sz w:val="20"/>
                <w:lang w:val="fr-CA"/>
              </w:rPr>
              <w:t>(juge Dunphy)</w:t>
            </w:r>
          </w:p>
          <w:p w:rsidR="00407464" w:rsidRPr="00893C26" w:rsidRDefault="00407464" w:rsidP="002B2C2E">
            <w:pPr>
              <w:jc w:val="both"/>
              <w:rPr>
                <w:sz w:val="20"/>
                <w:lang w:val="fr-CA"/>
              </w:rPr>
            </w:pP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Une peine de trois ans et demi d’emprisonnement est imposée.</w:t>
            </w:r>
          </w:p>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8 mars 2022</w:t>
            </w:r>
          </w:p>
          <w:p w:rsidR="00407464" w:rsidRPr="00893C26" w:rsidRDefault="00407464" w:rsidP="002B2C2E">
            <w:pPr>
              <w:jc w:val="both"/>
              <w:rPr>
                <w:sz w:val="20"/>
                <w:lang w:val="fr-CA"/>
              </w:rPr>
            </w:pPr>
            <w:r w:rsidRPr="00893C26">
              <w:rPr>
                <w:sz w:val="20"/>
                <w:lang w:val="fr-CA"/>
              </w:rPr>
              <w:t>Cour d’appel de l’Ontario</w:t>
            </w:r>
          </w:p>
          <w:p w:rsidR="00407464" w:rsidRPr="00893C26" w:rsidRDefault="00407464" w:rsidP="002B2C2E">
            <w:pPr>
              <w:jc w:val="both"/>
              <w:rPr>
                <w:sz w:val="20"/>
                <w:lang w:val="fr-CA"/>
              </w:rPr>
            </w:pPr>
            <w:r w:rsidRPr="00893C26">
              <w:rPr>
                <w:sz w:val="20"/>
                <w:lang w:val="fr-CA"/>
              </w:rPr>
              <w:t>(juges Rouleau, Nordheimer, George)</w:t>
            </w:r>
          </w:p>
          <w:p w:rsidR="00407464" w:rsidRPr="00893C26" w:rsidRDefault="00407464" w:rsidP="002B2C2E">
            <w:pPr>
              <w:jc w:val="both"/>
              <w:rPr>
                <w:sz w:val="20"/>
                <w:lang w:val="fr-CA"/>
              </w:rPr>
            </w:pPr>
            <w:r w:rsidRPr="00893C26">
              <w:rPr>
                <w:sz w:val="20"/>
                <w:lang w:val="fr-CA"/>
              </w:rPr>
              <w:t xml:space="preserve">C67954; </w:t>
            </w:r>
            <w:hyperlink r:id="rId46" w:history="1">
              <w:r w:rsidRPr="00893C26">
                <w:rPr>
                  <w:rStyle w:val="Hyperlink"/>
                  <w:sz w:val="20"/>
                  <w:lang w:val="fr-CA"/>
                </w:rPr>
                <w:t>2022 ONCA 191</w:t>
              </w:r>
            </w:hyperlink>
          </w:p>
          <w:p w:rsidR="00407464" w:rsidRPr="00893C26" w:rsidRDefault="00407464" w:rsidP="002B2C2E">
            <w:pPr>
              <w:jc w:val="both"/>
              <w:rPr>
                <w:sz w:val="20"/>
                <w:lang w:val="fr-CA"/>
              </w:rPr>
            </w:pP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L’appel de la déclaration de culpabilité est rejeté; la demande d’autorisation d’appel de la peine est accueillie et l’appel de la peine est rejeté.</w:t>
            </w:r>
          </w:p>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9 mai 2022</w:t>
            </w:r>
          </w:p>
          <w:p w:rsidR="00407464" w:rsidRPr="00893C26" w:rsidRDefault="00407464" w:rsidP="002B2C2E">
            <w:pPr>
              <w:jc w:val="both"/>
              <w:rPr>
                <w:sz w:val="20"/>
                <w:lang w:val="fr-CA"/>
              </w:rPr>
            </w:pPr>
            <w:r w:rsidRPr="00893C26">
              <w:rPr>
                <w:sz w:val="20"/>
                <w:lang w:val="fr-CA"/>
              </w:rPr>
              <w:t>Cour suprême du Canada</w:t>
            </w: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 demande d’autorisation d’appel est présentée.</w:t>
            </w:r>
          </w:p>
          <w:p w:rsidR="00407464" w:rsidRPr="00893C26" w:rsidRDefault="00407464" w:rsidP="002B2C2E">
            <w:pPr>
              <w:jc w:val="both"/>
              <w:rPr>
                <w:sz w:val="20"/>
                <w:lang w:val="fr-CA"/>
              </w:rPr>
            </w:pPr>
          </w:p>
        </w:tc>
      </w:tr>
    </w:tbl>
    <w:p w:rsidR="00407464" w:rsidRPr="00893C26" w:rsidRDefault="00407464" w:rsidP="002B2C2E">
      <w:pPr>
        <w:jc w:val="both"/>
        <w:rPr>
          <w:sz w:val="20"/>
          <w:lang w:val="fr-CA"/>
        </w:rPr>
      </w:pPr>
    </w:p>
    <w:p w:rsidR="004A7BC1" w:rsidRPr="00893C26" w:rsidRDefault="00893C26" w:rsidP="002B2C2E">
      <w:pPr>
        <w:jc w:val="both"/>
        <w:rPr>
          <w:sz w:val="20"/>
          <w:lang w:val="fr-CA"/>
        </w:rPr>
      </w:pPr>
      <w:r w:rsidRPr="00893C26">
        <w:rPr>
          <w:sz w:val="20"/>
        </w:rPr>
        <w:pict>
          <v:rect id="_x0000_i1038" style="width:2in;height:1pt" o:hrpct="0" o:hralign="center" o:hrstd="t" o:hrnoshade="t" o:hr="t" fillcolor="black [3213]" stroked="f"/>
        </w:pict>
      </w:r>
    </w:p>
    <w:p w:rsidR="00FA7226" w:rsidRPr="00893C26" w:rsidRDefault="00FA7226" w:rsidP="002B2C2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464" w:rsidRPr="00893C26" w:rsidTr="00407464">
        <w:tc>
          <w:tcPr>
            <w:tcW w:w="543" w:type="pct"/>
          </w:tcPr>
          <w:p w:rsidR="00407464" w:rsidRPr="00893C26" w:rsidRDefault="00407464" w:rsidP="002B2C2E">
            <w:pPr>
              <w:jc w:val="both"/>
              <w:rPr>
                <w:sz w:val="20"/>
              </w:rPr>
            </w:pPr>
            <w:r w:rsidRPr="00893C26">
              <w:rPr>
                <w:rStyle w:val="SCCFileNumberChar"/>
                <w:sz w:val="20"/>
                <w:szCs w:val="20"/>
              </w:rPr>
              <w:t>40075</w:t>
            </w:r>
          </w:p>
        </w:tc>
        <w:tc>
          <w:tcPr>
            <w:tcW w:w="4457" w:type="pct"/>
            <w:gridSpan w:val="3"/>
          </w:tcPr>
          <w:p w:rsidR="00407464" w:rsidRPr="00893C26" w:rsidRDefault="00407464" w:rsidP="002B2C2E">
            <w:pPr>
              <w:pStyle w:val="SCCLsocParty"/>
              <w:jc w:val="both"/>
              <w:rPr>
                <w:b/>
                <w:sz w:val="20"/>
                <w:szCs w:val="20"/>
                <w:lang w:val="en-US"/>
              </w:rPr>
            </w:pPr>
            <w:r w:rsidRPr="00893C26">
              <w:rPr>
                <w:b/>
                <w:sz w:val="20"/>
                <w:szCs w:val="20"/>
                <w:lang w:val="en-US"/>
              </w:rPr>
              <w:t>Robert Lockhart v. Barbara Lockhart</w:t>
            </w:r>
          </w:p>
          <w:p w:rsidR="00407464" w:rsidRPr="00893C26" w:rsidRDefault="00407464" w:rsidP="002B2C2E">
            <w:pPr>
              <w:jc w:val="both"/>
              <w:rPr>
                <w:sz w:val="20"/>
              </w:rPr>
            </w:pPr>
            <w:r w:rsidRPr="00893C26">
              <w:rPr>
                <w:sz w:val="20"/>
              </w:rPr>
              <w:t>(Ont.) (Civil) (By Leave)</w:t>
            </w:r>
          </w:p>
        </w:tc>
      </w:tr>
      <w:tr w:rsidR="00407464" w:rsidRPr="00893C26" w:rsidTr="00407464">
        <w:tc>
          <w:tcPr>
            <w:tcW w:w="5000" w:type="pct"/>
            <w:gridSpan w:val="4"/>
          </w:tcPr>
          <w:p w:rsidR="00407464" w:rsidRPr="00893C26" w:rsidRDefault="00407464" w:rsidP="002B2C2E">
            <w:pPr>
              <w:jc w:val="both"/>
              <w:rPr>
                <w:sz w:val="20"/>
              </w:rPr>
            </w:pPr>
            <w:r w:rsidRPr="00893C26">
              <w:rPr>
                <w:sz w:val="20"/>
              </w:rPr>
              <w:t>Wills and estates — Wills — Family law — Evidence — Assessment — Sufficiency of reasons — Costs — Whether motions judge failed or refused to consider and weigh evidence or misapprehended evidence — Whether motions judge failed to provide adequate or cogent reasons — Whether motions judge considered irrelevant and erroneous factors — Whether motions judge made findings without basis in fact or based on misapprehensions of evidence — Whether costs were awarded without evidence or gave weight to irrelevant and erroneous factors?</w:t>
            </w:r>
          </w:p>
        </w:tc>
      </w:tr>
      <w:tr w:rsidR="00407464" w:rsidRPr="00893C26" w:rsidTr="00407464">
        <w:tc>
          <w:tcPr>
            <w:tcW w:w="5000" w:type="pct"/>
            <w:gridSpan w:val="4"/>
          </w:tcPr>
          <w:p w:rsidR="00407464" w:rsidRPr="00893C26" w:rsidRDefault="00407464" w:rsidP="002B2C2E">
            <w:pPr>
              <w:jc w:val="both"/>
              <w:rPr>
                <w:sz w:val="20"/>
              </w:rPr>
            </w:pPr>
          </w:p>
          <w:p w:rsidR="00407464" w:rsidRPr="00893C26" w:rsidRDefault="00407464" w:rsidP="002B2C2E">
            <w:pPr>
              <w:widowControl w:val="0"/>
              <w:tabs>
                <w:tab w:val="right" w:pos="8640"/>
              </w:tabs>
              <w:kinsoku w:val="0"/>
              <w:overflowPunct w:val="0"/>
              <w:jc w:val="both"/>
              <w:textAlignment w:val="baseline"/>
              <w:rPr>
                <w:sz w:val="20"/>
              </w:rPr>
            </w:pPr>
            <w:r w:rsidRPr="00893C26">
              <w:rPr>
                <w:sz w:val="20"/>
              </w:rPr>
              <w:t xml:space="preserve">Barbara Lockhart and Robert Lockhart are siblings exercising joint power of attorney over their mother’s property. They disagreed on how to manage their mother’s interest in their father’s estate. </w:t>
            </w:r>
            <w:r w:rsidRPr="00893C26">
              <w:rPr>
                <w:spacing w:val="-2"/>
                <w:sz w:val="20"/>
              </w:rPr>
              <w:t xml:space="preserve">Barbara Lockhart filed </w:t>
            </w:r>
            <w:r w:rsidRPr="00893C26">
              <w:rPr>
                <w:sz w:val="20"/>
              </w:rPr>
              <w:t>motions for a declaration that a will executed by her father in 1974 was his last will and testament and appointing an Estate Trustee. Both motions were granted with costs. A motion by Robert Lockhart was dismissed. The Court of Appeal dismissed an appeal from the decisions on the motions and denied leave to appeal from the award of costs.</w:t>
            </w:r>
          </w:p>
        </w:tc>
      </w:tr>
      <w:tr w:rsidR="00407464" w:rsidRPr="00893C26" w:rsidTr="00407464">
        <w:tc>
          <w:tcPr>
            <w:tcW w:w="5000" w:type="pct"/>
            <w:gridSpan w:val="4"/>
          </w:tcPr>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December 11, 2020</w:t>
            </w:r>
          </w:p>
          <w:p w:rsidR="00407464" w:rsidRPr="00893C26" w:rsidRDefault="00407464" w:rsidP="002B2C2E">
            <w:pPr>
              <w:jc w:val="both"/>
              <w:rPr>
                <w:sz w:val="20"/>
              </w:rPr>
            </w:pPr>
            <w:r w:rsidRPr="00893C26">
              <w:rPr>
                <w:sz w:val="20"/>
              </w:rPr>
              <w:t>Ontario Superior Court of Justice</w:t>
            </w:r>
          </w:p>
          <w:p w:rsidR="00407464" w:rsidRPr="00893C26" w:rsidRDefault="00407464" w:rsidP="002B2C2E">
            <w:pPr>
              <w:jc w:val="both"/>
              <w:rPr>
                <w:sz w:val="20"/>
              </w:rPr>
            </w:pPr>
            <w:r w:rsidRPr="00893C26">
              <w:rPr>
                <w:sz w:val="20"/>
              </w:rPr>
              <w:t>(Dietrich J.)</w:t>
            </w:r>
          </w:p>
          <w:p w:rsidR="00407464" w:rsidRPr="00893C26" w:rsidRDefault="00893C26" w:rsidP="002B2C2E">
            <w:pPr>
              <w:jc w:val="both"/>
              <w:rPr>
                <w:sz w:val="20"/>
              </w:rPr>
            </w:pPr>
            <w:hyperlink r:id="rId47" w:history="1">
              <w:r w:rsidR="00407464" w:rsidRPr="00893C26">
                <w:rPr>
                  <w:rStyle w:val="Hyperlink"/>
                  <w:sz w:val="20"/>
                </w:rPr>
                <w:t>2020 ONSC 7620</w:t>
              </w:r>
            </w:hyperlink>
          </w:p>
          <w:p w:rsidR="00407464" w:rsidRPr="00893C26" w:rsidRDefault="00407464" w:rsidP="002B2C2E">
            <w:pPr>
              <w:jc w:val="both"/>
              <w:rPr>
                <w:sz w:val="20"/>
              </w:rPr>
            </w:pP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 xml:space="preserve">Motions granted, will declared a last will and testament and estate trustee appointed; Motion dismissed for a direction to </w:t>
            </w:r>
            <w:r w:rsidRPr="00893C26">
              <w:rPr>
                <w:spacing w:val="-3"/>
                <w:sz w:val="20"/>
              </w:rPr>
              <w:t xml:space="preserve">elect for an equalization amount under </w:t>
            </w:r>
            <w:r w:rsidRPr="00893C26">
              <w:rPr>
                <w:sz w:val="20"/>
              </w:rPr>
              <w:t xml:space="preserve">the </w:t>
            </w:r>
            <w:r w:rsidRPr="00893C26">
              <w:rPr>
                <w:i/>
                <w:sz w:val="20"/>
              </w:rPr>
              <w:t>Family Law Act</w:t>
            </w:r>
            <w:r w:rsidRPr="00893C26">
              <w:rPr>
                <w:sz w:val="20"/>
              </w:rPr>
              <w:t>,</w:t>
            </w:r>
            <w:r w:rsidRPr="00893C26">
              <w:rPr>
                <w:i/>
                <w:sz w:val="20"/>
              </w:rPr>
              <w:t xml:space="preserve"> </w:t>
            </w:r>
            <w:r w:rsidRPr="00893C26">
              <w:rPr>
                <w:sz w:val="20"/>
              </w:rPr>
              <w:t xml:space="preserve">R.S.O. 1990. c. F.3, in lieu of benefits under the will or for an </w:t>
            </w:r>
            <w:r w:rsidRPr="00893C26">
              <w:rPr>
                <w:spacing w:val="-3"/>
                <w:sz w:val="20"/>
              </w:rPr>
              <w:t xml:space="preserve">extension of time to make an election under the </w:t>
            </w:r>
            <w:r w:rsidRPr="00893C26">
              <w:rPr>
                <w:i/>
                <w:sz w:val="20"/>
              </w:rPr>
              <w:t>Family Law Act</w:t>
            </w:r>
            <w:r w:rsidRPr="00893C26">
              <w:rPr>
                <w:sz w:val="20"/>
              </w:rPr>
              <w:t>; Costs awarded</w:t>
            </w:r>
          </w:p>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November 8, 2021</w:t>
            </w:r>
          </w:p>
          <w:p w:rsidR="00407464" w:rsidRPr="00893C26" w:rsidRDefault="00407464" w:rsidP="002B2C2E">
            <w:pPr>
              <w:jc w:val="both"/>
              <w:rPr>
                <w:sz w:val="20"/>
              </w:rPr>
            </w:pPr>
            <w:r w:rsidRPr="00893C26">
              <w:rPr>
                <w:sz w:val="20"/>
              </w:rPr>
              <w:t>Court of Appeal for Ontario</w:t>
            </w:r>
          </w:p>
          <w:p w:rsidR="00407464" w:rsidRPr="00893C26" w:rsidRDefault="00407464" w:rsidP="002B2C2E">
            <w:pPr>
              <w:jc w:val="both"/>
              <w:rPr>
                <w:sz w:val="20"/>
                <w:lang w:val="fr-CA"/>
              </w:rPr>
            </w:pPr>
            <w:r w:rsidRPr="00893C26">
              <w:rPr>
                <w:sz w:val="20"/>
                <w:lang w:val="fr-CA"/>
              </w:rPr>
              <w:t>(Fairburn, Roberts, Van Melle JJ.A.)</w:t>
            </w:r>
          </w:p>
          <w:p w:rsidR="00407464" w:rsidRPr="00893C26" w:rsidRDefault="00893C26" w:rsidP="002B2C2E">
            <w:pPr>
              <w:jc w:val="both"/>
              <w:rPr>
                <w:sz w:val="20"/>
              </w:rPr>
            </w:pPr>
            <w:hyperlink r:id="rId48" w:history="1">
              <w:r w:rsidR="00407464" w:rsidRPr="00893C26">
                <w:rPr>
                  <w:rStyle w:val="Hyperlink"/>
                  <w:sz w:val="20"/>
                </w:rPr>
                <w:t>2021 ONCA 807</w:t>
              </w:r>
            </w:hyperlink>
            <w:r w:rsidR="00407464" w:rsidRPr="00893C26">
              <w:rPr>
                <w:sz w:val="20"/>
              </w:rPr>
              <w:t>; C68973</w:t>
            </w:r>
          </w:p>
          <w:p w:rsidR="00407464" w:rsidRPr="00893C26" w:rsidRDefault="00407464" w:rsidP="002B2C2E">
            <w:pPr>
              <w:jc w:val="both"/>
              <w:rPr>
                <w:sz w:val="20"/>
              </w:rPr>
            </w:pPr>
            <w:r w:rsidRPr="00893C26">
              <w:rPr>
                <w:sz w:val="20"/>
              </w:rPr>
              <w:t xml:space="preserve"> </w:t>
            </w: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Appeal dismissed; motion for leave to appeal costs dismissed</w:t>
            </w:r>
          </w:p>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January 12, 2022</w:t>
            </w:r>
          </w:p>
          <w:p w:rsidR="00407464" w:rsidRPr="00893C26" w:rsidRDefault="00407464" w:rsidP="002B2C2E">
            <w:pPr>
              <w:jc w:val="both"/>
              <w:rPr>
                <w:sz w:val="20"/>
              </w:rPr>
            </w:pPr>
            <w:r w:rsidRPr="00893C26">
              <w:rPr>
                <w:sz w:val="20"/>
              </w:rPr>
              <w:t>Supreme Court of Canada</w:t>
            </w:r>
          </w:p>
          <w:p w:rsidR="00407464" w:rsidRPr="00893C26" w:rsidRDefault="00407464" w:rsidP="002B2C2E">
            <w:pPr>
              <w:jc w:val="both"/>
              <w:rPr>
                <w:sz w:val="20"/>
                <w:lang w:val="fr-CA"/>
              </w:rPr>
            </w:pP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rPr>
            </w:pPr>
            <w:r w:rsidRPr="00893C26">
              <w:rPr>
                <w:sz w:val="20"/>
              </w:rPr>
              <w:t>Application for leave to appeal filed</w:t>
            </w:r>
          </w:p>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January 18, 2022</w:t>
            </w:r>
          </w:p>
          <w:p w:rsidR="00407464" w:rsidRPr="00893C26" w:rsidRDefault="00407464" w:rsidP="002B2C2E">
            <w:pPr>
              <w:jc w:val="both"/>
              <w:rPr>
                <w:sz w:val="20"/>
              </w:rPr>
            </w:pPr>
            <w:r w:rsidRPr="00893C26">
              <w:rPr>
                <w:sz w:val="20"/>
              </w:rPr>
              <w:t>Supreme Court of Canada</w:t>
            </w: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Motion for extension of time to serve and file application for leave to appeal filed</w:t>
            </w:r>
          </w:p>
        </w:tc>
      </w:tr>
    </w:tbl>
    <w:p w:rsidR="00407464" w:rsidRPr="00893C26" w:rsidRDefault="00407464" w:rsidP="002B2C2E">
      <w:pPr>
        <w:jc w:val="both"/>
        <w:rPr>
          <w:sz w:val="20"/>
        </w:rPr>
      </w:pPr>
    </w:p>
    <w:p w:rsidR="00CB0570" w:rsidRPr="00893C26" w:rsidRDefault="00893C26" w:rsidP="002B2C2E">
      <w:pPr>
        <w:jc w:val="both"/>
        <w:rPr>
          <w:sz w:val="20"/>
        </w:rPr>
      </w:pPr>
      <w:r w:rsidRPr="00893C26">
        <w:rPr>
          <w:sz w:val="20"/>
        </w:rPr>
        <w:pict>
          <v:rect id="_x0000_i1039" style="width:2in;height:1pt" o:hrpct="0" o:hralign="center" o:hrstd="t" o:hrnoshade="t" o:hr="t" fillcolor="black [3213]" stroked="f"/>
        </w:pict>
      </w:r>
    </w:p>
    <w:p w:rsidR="00CB0570" w:rsidRPr="00893C26" w:rsidRDefault="00CB0570" w:rsidP="002B2C2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464" w:rsidRPr="00893C26" w:rsidTr="00407464">
        <w:tc>
          <w:tcPr>
            <w:tcW w:w="543" w:type="pct"/>
          </w:tcPr>
          <w:p w:rsidR="00407464" w:rsidRPr="00893C26" w:rsidRDefault="00407464" w:rsidP="002B2C2E">
            <w:pPr>
              <w:jc w:val="both"/>
              <w:rPr>
                <w:sz w:val="20"/>
                <w:lang w:val="fr-CA"/>
              </w:rPr>
            </w:pPr>
            <w:r w:rsidRPr="00893C26">
              <w:rPr>
                <w:rStyle w:val="SCCFileNumberChar"/>
                <w:sz w:val="20"/>
                <w:szCs w:val="20"/>
                <w:lang w:val="fr-CA"/>
              </w:rPr>
              <w:t>40075</w:t>
            </w:r>
          </w:p>
        </w:tc>
        <w:tc>
          <w:tcPr>
            <w:tcW w:w="4457" w:type="pct"/>
            <w:gridSpan w:val="3"/>
          </w:tcPr>
          <w:p w:rsidR="00407464" w:rsidRPr="00893C26" w:rsidRDefault="00407464" w:rsidP="002B2C2E">
            <w:pPr>
              <w:pStyle w:val="SCCLsocParty"/>
              <w:jc w:val="both"/>
              <w:rPr>
                <w:b/>
                <w:sz w:val="20"/>
                <w:szCs w:val="20"/>
              </w:rPr>
            </w:pPr>
            <w:r w:rsidRPr="00893C26">
              <w:rPr>
                <w:b/>
                <w:sz w:val="20"/>
                <w:szCs w:val="20"/>
              </w:rPr>
              <w:t>Robert Lockhart c. Barbara Lockhart</w:t>
            </w:r>
          </w:p>
          <w:p w:rsidR="00407464" w:rsidRPr="00893C26" w:rsidRDefault="00407464" w:rsidP="00CB0570">
            <w:pPr>
              <w:jc w:val="both"/>
              <w:rPr>
                <w:sz w:val="20"/>
                <w:lang w:val="fr-CA"/>
              </w:rPr>
            </w:pPr>
            <w:r w:rsidRPr="00893C26">
              <w:rPr>
                <w:sz w:val="20"/>
                <w:lang w:val="fr-CA"/>
              </w:rPr>
              <w:t>(Ont.) (</w:t>
            </w:r>
            <w:r w:rsidR="00CB0570" w:rsidRPr="00893C26">
              <w:rPr>
                <w:sz w:val="20"/>
                <w:lang w:val="fr-CA"/>
              </w:rPr>
              <w:t>C</w:t>
            </w:r>
            <w:r w:rsidRPr="00893C26">
              <w:rPr>
                <w:sz w:val="20"/>
                <w:lang w:val="fr-CA"/>
              </w:rPr>
              <w:t>ivile) (</w:t>
            </w:r>
            <w:r w:rsidR="00CB0570" w:rsidRPr="00893C26">
              <w:rPr>
                <w:sz w:val="20"/>
                <w:lang w:val="fr-CA"/>
              </w:rPr>
              <w:t>S</w:t>
            </w:r>
            <w:r w:rsidRPr="00893C26">
              <w:rPr>
                <w:sz w:val="20"/>
                <w:lang w:val="fr-CA"/>
              </w:rPr>
              <w:t>ur autorisation)</w:t>
            </w:r>
          </w:p>
        </w:tc>
      </w:tr>
      <w:tr w:rsidR="00407464" w:rsidRPr="00893C26" w:rsidTr="00407464">
        <w:tc>
          <w:tcPr>
            <w:tcW w:w="5000" w:type="pct"/>
            <w:gridSpan w:val="4"/>
          </w:tcPr>
          <w:p w:rsidR="00407464" w:rsidRPr="00893C26" w:rsidRDefault="00407464" w:rsidP="002B2C2E">
            <w:pPr>
              <w:jc w:val="both"/>
              <w:rPr>
                <w:sz w:val="20"/>
                <w:lang w:val="fr-CA"/>
              </w:rPr>
            </w:pPr>
            <w:r w:rsidRPr="00893C26">
              <w:rPr>
                <w:sz w:val="20"/>
                <w:lang w:val="fr-CA"/>
              </w:rPr>
              <w:t>Successions — Testaments — Droit de la famille — Preuve — Appréciation — Caractère suffisant des motifs — Dépens — La juge des motions a-t-elle omis ou refusé d’examiner et de sous-peser les éléments de preuve ou a-t-elle mal interprété ceux-ci ? — La juge des motions a-t-elle omis de fournir des motifs suffisants ou convaincants ? — La juge des motions a-t-elle tenu compte de facteurs non pertinents et erronés ? — La juge des motions a-t-elle tiré des conclusions sans fondement factuel ou basées sur une mauvaise interprétation des éléments de preuve ? — Les dépens ont-ils été accordés sans preuve à l’appui ou ont-ils donné du poids à des facteurs non pertinents et erronés ?</w:t>
            </w:r>
          </w:p>
        </w:tc>
      </w:tr>
      <w:tr w:rsidR="00407464" w:rsidRPr="00893C26" w:rsidTr="00407464">
        <w:tc>
          <w:tcPr>
            <w:tcW w:w="5000" w:type="pct"/>
            <w:gridSpan w:val="4"/>
          </w:tcPr>
          <w:p w:rsidR="00407464" w:rsidRPr="00893C26" w:rsidRDefault="00407464" w:rsidP="002B2C2E">
            <w:pPr>
              <w:jc w:val="both"/>
              <w:rPr>
                <w:sz w:val="20"/>
                <w:lang w:val="fr-CA"/>
              </w:rPr>
            </w:pPr>
          </w:p>
          <w:p w:rsidR="00407464" w:rsidRPr="00893C26" w:rsidRDefault="00407464" w:rsidP="002B2C2E">
            <w:pPr>
              <w:widowControl w:val="0"/>
              <w:tabs>
                <w:tab w:val="right" w:pos="8640"/>
              </w:tabs>
              <w:kinsoku w:val="0"/>
              <w:overflowPunct w:val="0"/>
              <w:jc w:val="both"/>
              <w:textAlignment w:val="baseline"/>
              <w:rPr>
                <w:sz w:val="20"/>
                <w:lang w:val="fr-CA"/>
              </w:rPr>
            </w:pPr>
            <w:r w:rsidRPr="00893C26">
              <w:rPr>
                <w:sz w:val="20"/>
                <w:lang w:val="fr-CA"/>
              </w:rPr>
              <w:t xml:space="preserve">Barbara Lockhart et Robert Lockhart sont frère et sœur et </w:t>
            </w:r>
            <w:proofErr w:type="spellStart"/>
            <w:r w:rsidRPr="00893C26">
              <w:rPr>
                <w:sz w:val="20"/>
                <w:lang w:val="fr-CA"/>
              </w:rPr>
              <w:t>sont</w:t>
            </w:r>
            <w:proofErr w:type="spellEnd"/>
            <w:r w:rsidRPr="00893C26">
              <w:rPr>
                <w:sz w:val="20"/>
                <w:lang w:val="fr-CA"/>
              </w:rPr>
              <w:t xml:space="preserve"> conjointement fondés de pouvoir quant aux biens de leur mère. Ils étaient en désaccord sur la façon de gérer l’intérêt de leur mère dans la succession de leur père. </w:t>
            </w:r>
            <w:r w:rsidRPr="00893C26">
              <w:rPr>
                <w:spacing w:val="-2"/>
                <w:sz w:val="20"/>
                <w:lang w:val="fr-CA"/>
              </w:rPr>
              <w:t xml:space="preserve">Barbara Lockhart a déposé des </w:t>
            </w:r>
            <w:r w:rsidRPr="00893C26">
              <w:rPr>
                <w:sz w:val="20"/>
                <w:lang w:val="fr-CA"/>
              </w:rPr>
              <w:t>motions sollicitant une déclaration qu’un testament signé par son père en 1974 était son dernier testament, et la nomination d’un fiduciaire de la succession. Les deux motions ont été accueillies avec dépens. Une motion présentée par Robert Lockhart a été rejetée. La Cour d’appel a rejeté l’appel des décisions rendues sur motions et a rejeté la demande d’en appeler de la décision relative aux dépens.</w:t>
            </w:r>
          </w:p>
        </w:tc>
      </w:tr>
      <w:tr w:rsidR="00407464" w:rsidRPr="00893C26" w:rsidTr="00407464">
        <w:tc>
          <w:tcPr>
            <w:tcW w:w="5000" w:type="pct"/>
            <w:gridSpan w:val="4"/>
          </w:tcPr>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11 décembre 2020</w:t>
            </w:r>
          </w:p>
          <w:p w:rsidR="00407464" w:rsidRPr="00893C26" w:rsidRDefault="00407464" w:rsidP="002B2C2E">
            <w:pPr>
              <w:jc w:val="both"/>
              <w:rPr>
                <w:sz w:val="20"/>
                <w:lang w:val="fr-CA"/>
              </w:rPr>
            </w:pPr>
            <w:r w:rsidRPr="00893C26">
              <w:rPr>
                <w:sz w:val="20"/>
                <w:lang w:val="fr-CA"/>
              </w:rPr>
              <w:t xml:space="preserve">Cour supérieure de justice de l’Ontario </w:t>
            </w:r>
          </w:p>
          <w:p w:rsidR="00407464" w:rsidRPr="00893C26" w:rsidRDefault="00407464" w:rsidP="002B2C2E">
            <w:pPr>
              <w:jc w:val="both"/>
              <w:rPr>
                <w:sz w:val="20"/>
                <w:lang w:val="fr-CA"/>
              </w:rPr>
            </w:pPr>
            <w:r w:rsidRPr="00893C26">
              <w:rPr>
                <w:sz w:val="20"/>
                <w:lang w:val="fr-CA"/>
              </w:rPr>
              <w:t>(juge Dietrich)</w:t>
            </w:r>
          </w:p>
          <w:p w:rsidR="00407464" w:rsidRPr="00893C26" w:rsidRDefault="00893C26" w:rsidP="002B2C2E">
            <w:pPr>
              <w:jc w:val="both"/>
              <w:rPr>
                <w:sz w:val="20"/>
                <w:lang w:val="fr-CA"/>
              </w:rPr>
            </w:pPr>
            <w:hyperlink r:id="rId49" w:history="1">
              <w:r w:rsidR="00407464" w:rsidRPr="00893C26">
                <w:rPr>
                  <w:rStyle w:val="Hyperlink"/>
                  <w:sz w:val="20"/>
                  <w:lang w:val="fr-CA"/>
                </w:rPr>
                <w:t>2020 ONSC 7620</w:t>
              </w:r>
            </w:hyperlink>
          </w:p>
          <w:p w:rsidR="00407464" w:rsidRPr="00893C26" w:rsidRDefault="00407464" w:rsidP="002B2C2E">
            <w:pPr>
              <w:jc w:val="both"/>
              <w:rPr>
                <w:sz w:val="20"/>
                <w:lang w:val="fr-CA"/>
              </w:rPr>
            </w:pP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 xml:space="preserve">Les motions sont accueillies, le testament est déclaré comme étant le dernier testament et un fiduciaire de la succession est nommé; la motion en vue d’obtenir une ordonnance intimant à choisir un montant d’égalisation en vertu de la </w:t>
            </w:r>
            <w:r w:rsidRPr="00893C26">
              <w:rPr>
                <w:i/>
                <w:sz w:val="20"/>
                <w:lang w:val="fr-CA"/>
              </w:rPr>
              <w:t>Loi sur le droit de la famille</w:t>
            </w:r>
            <w:r w:rsidRPr="00893C26">
              <w:rPr>
                <w:sz w:val="20"/>
                <w:lang w:val="fr-CA"/>
              </w:rPr>
              <w:t>,</w:t>
            </w:r>
            <w:r w:rsidRPr="00893C26">
              <w:rPr>
                <w:i/>
                <w:sz w:val="20"/>
                <w:lang w:val="fr-CA"/>
              </w:rPr>
              <w:t xml:space="preserve"> </w:t>
            </w:r>
            <w:r w:rsidRPr="00893C26">
              <w:rPr>
                <w:sz w:val="20"/>
                <w:lang w:val="fr-CA"/>
              </w:rPr>
              <w:t>L.R.O. 1990. c. F.3, au lieu des bénéfices prévus par le testament ou une prorogation du délai pour faire un choix en vertu de la</w:t>
            </w:r>
            <w:r w:rsidRPr="00893C26">
              <w:rPr>
                <w:i/>
                <w:sz w:val="20"/>
                <w:lang w:val="fr-CA"/>
              </w:rPr>
              <w:t xml:space="preserve"> Loi sur le droit de la famille </w:t>
            </w:r>
            <w:r w:rsidRPr="00893C26">
              <w:rPr>
                <w:sz w:val="20"/>
                <w:lang w:val="fr-CA"/>
              </w:rPr>
              <w:t xml:space="preserve">est </w:t>
            </w:r>
            <w:proofErr w:type="gramStart"/>
            <w:r w:rsidRPr="00893C26">
              <w:rPr>
                <w:sz w:val="20"/>
                <w:lang w:val="fr-CA"/>
              </w:rPr>
              <w:t>rejetée</w:t>
            </w:r>
            <w:proofErr w:type="gramEnd"/>
            <w:r w:rsidRPr="00893C26">
              <w:rPr>
                <w:sz w:val="20"/>
                <w:lang w:val="fr-CA"/>
              </w:rPr>
              <w:t>; les dépens sont accordés.</w:t>
            </w:r>
          </w:p>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8 novembre 2021</w:t>
            </w:r>
          </w:p>
          <w:p w:rsidR="00407464" w:rsidRPr="00893C26" w:rsidRDefault="00407464" w:rsidP="002B2C2E">
            <w:pPr>
              <w:jc w:val="both"/>
              <w:rPr>
                <w:sz w:val="20"/>
                <w:lang w:val="fr-CA"/>
              </w:rPr>
            </w:pPr>
            <w:r w:rsidRPr="00893C26">
              <w:rPr>
                <w:sz w:val="20"/>
                <w:lang w:val="fr-CA"/>
              </w:rPr>
              <w:t>Cour d’appel de l’Ontario</w:t>
            </w:r>
          </w:p>
          <w:p w:rsidR="00407464" w:rsidRPr="00893C26" w:rsidRDefault="00407464" w:rsidP="002B2C2E">
            <w:pPr>
              <w:jc w:val="both"/>
              <w:rPr>
                <w:sz w:val="20"/>
                <w:lang w:val="fr-CA"/>
              </w:rPr>
            </w:pPr>
            <w:r w:rsidRPr="00893C26">
              <w:rPr>
                <w:sz w:val="20"/>
                <w:lang w:val="fr-CA"/>
              </w:rPr>
              <w:t>(juges Fairburn, Roberts, Van Melle)</w:t>
            </w:r>
          </w:p>
          <w:p w:rsidR="00407464" w:rsidRPr="00893C26" w:rsidRDefault="00893C26" w:rsidP="002B2C2E">
            <w:pPr>
              <w:jc w:val="both"/>
              <w:rPr>
                <w:sz w:val="20"/>
                <w:lang w:val="fr-CA"/>
              </w:rPr>
            </w:pPr>
            <w:hyperlink r:id="rId50" w:history="1">
              <w:r w:rsidR="00407464" w:rsidRPr="00893C26">
                <w:rPr>
                  <w:rStyle w:val="Hyperlink"/>
                  <w:sz w:val="20"/>
                  <w:lang w:val="fr-CA"/>
                </w:rPr>
                <w:t>2021 ONCA 807</w:t>
              </w:r>
            </w:hyperlink>
            <w:r w:rsidR="00407464" w:rsidRPr="00893C26">
              <w:rPr>
                <w:sz w:val="20"/>
                <w:lang w:val="fr-CA"/>
              </w:rPr>
              <w:t>; C68973</w:t>
            </w:r>
          </w:p>
          <w:p w:rsidR="00407464" w:rsidRPr="00893C26" w:rsidRDefault="00407464" w:rsidP="002B2C2E">
            <w:pPr>
              <w:jc w:val="both"/>
              <w:rPr>
                <w:sz w:val="20"/>
                <w:lang w:val="fr-CA"/>
              </w:rPr>
            </w:pPr>
            <w:r w:rsidRPr="00893C26">
              <w:rPr>
                <w:sz w:val="20"/>
                <w:lang w:val="fr-CA"/>
              </w:rPr>
              <w:t xml:space="preserve"> </w:t>
            </w: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L’appel est rejeté; la motion en autorisation d’en appeler des dépens est rejetée.</w:t>
            </w:r>
          </w:p>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12 janvier 2022</w:t>
            </w:r>
          </w:p>
          <w:p w:rsidR="00407464" w:rsidRPr="00893C26" w:rsidRDefault="00407464" w:rsidP="002B2C2E">
            <w:pPr>
              <w:jc w:val="both"/>
              <w:rPr>
                <w:sz w:val="20"/>
                <w:lang w:val="fr-CA"/>
              </w:rPr>
            </w:pPr>
            <w:r w:rsidRPr="00893C26">
              <w:rPr>
                <w:sz w:val="20"/>
                <w:lang w:val="fr-CA"/>
              </w:rPr>
              <w:t>Cour suprême du Canada</w:t>
            </w:r>
          </w:p>
          <w:p w:rsidR="00407464" w:rsidRPr="00893C26" w:rsidRDefault="00407464" w:rsidP="002B2C2E">
            <w:pPr>
              <w:jc w:val="both"/>
              <w:rPr>
                <w:sz w:val="20"/>
                <w:lang w:val="fr-CA"/>
              </w:rPr>
            </w:pP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 demande d’autorisation d’appel est présentée.</w:t>
            </w:r>
          </w:p>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18 janvier 2022</w:t>
            </w:r>
          </w:p>
          <w:p w:rsidR="00407464" w:rsidRPr="00893C26" w:rsidRDefault="00407464" w:rsidP="002B2C2E">
            <w:pPr>
              <w:jc w:val="both"/>
              <w:rPr>
                <w:sz w:val="20"/>
                <w:lang w:val="fr-CA"/>
              </w:rPr>
            </w:pPr>
            <w:r w:rsidRPr="00893C26">
              <w:rPr>
                <w:sz w:val="20"/>
                <w:lang w:val="fr-CA"/>
              </w:rPr>
              <w:t>Cour suprême du Canada</w:t>
            </w: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 requête</w:t>
            </w:r>
            <w:r w:rsidRPr="00893C26">
              <w:rPr>
                <w:color w:val="000000"/>
                <w:sz w:val="20"/>
                <w:lang w:val="fr-CA"/>
              </w:rPr>
              <w:t xml:space="preserve"> </w:t>
            </w:r>
            <w:r w:rsidRPr="00893C26">
              <w:rPr>
                <w:sz w:val="20"/>
                <w:lang w:val="fr-CA"/>
              </w:rPr>
              <w:t>en prorogation du délai de signification et de dépôt de la demande d’autorisation d’appel est présentée.</w:t>
            </w:r>
          </w:p>
        </w:tc>
      </w:tr>
    </w:tbl>
    <w:p w:rsidR="00407464" w:rsidRPr="00893C26" w:rsidRDefault="00407464" w:rsidP="002B2C2E">
      <w:pPr>
        <w:jc w:val="both"/>
        <w:rPr>
          <w:sz w:val="20"/>
          <w:lang w:val="fr-CA"/>
        </w:rPr>
      </w:pPr>
    </w:p>
    <w:p w:rsidR="00311655" w:rsidRPr="00893C26" w:rsidRDefault="00893C26" w:rsidP="002B2C2E">
      <w:pPr>
        <w:jc w:val="both"/>
        <w:rPr>
          <w:sz w:val="20"/>
          <w:lang w:val="fr-CA"/>
        </w:rPr>
      </w:pPr>
      <w:r w:rsidRPr="00893C26">
        <w:rPr>
          <w:sz w:val="20"/>
        </w:rPr>
        <w:pict>
          <v:rect id="_x0000_i1040" style="width:2in;height:1pt" o:hrpct="0" o:hralign="center" o:hrstd="t" o:hrnoshade="t" o:hr="t" fillcolor="black [3213]" stroked="f"/>
        </w:pict>
      </w:r>
    </w:p>
    <w:p w:rsidR="00FA7226" w:rsidRPr="00893C26" w:rsidRDefault="00FA7226" w:rsidP="002B2C2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464" w:rsidRPr="00893C26" w:rsidTr="00407464">
        <w:tc>
          <w:tcPr>
            <w:tcW w:w="543" w:type="pct"/>
          </w:tcPr>
          <w:p w:rsidR="00407464" w:rsidRPr="00893C26" w:rsidRDefault="00407464" w:rsidP="002B2C2E">
            <w:pPr>
              <w:jc w:val="both"/>
              <w:rPr>
                <w:sz w:val="20"/>
              </w:rPr>
            </w:pPr>
            <w:r w:rsidRPr="00893C26">
              <w:rPr>
                <w:rStyle w:val="SCCFileNumberChar"/>
                <w:sz w:val="20"/>
                <w:szCs w:val="20"/>
              </w:rPr>
              <w:t>40111</w:t>
            </w:r>
          </w:p>
        </w:tc>
        <w:tc>
          <w:tcPr>
            <w:tcW w:w="4457" w:type="pct"/>
            <w:gridSpan w:val="3"/>
          </w:tcPr>
          <w:p w:rsidR="00407464" w:rsidRPr="00893C26" w:rsidRDefault="00407464" w:rsidP="002B2C2E">
            <w:pPr>
              <w:pStyle w:val="SCCLsocParty"/>
              <w:jc w:val="both"/>
              <w:rPr>
                <w:b/>
                <w:sz w:val="20"/>
                <w:szCs w:val="20"/>
                <w:lang w:val="en-US"/>
              </w:rPr>
            </w:pPr>
            <w:r w:rsidRPr="00893C26">
              <w:rPr>
                <w:b/>
                <w:sz w:val="20"/>
                <w:szCs w:val="20"/>
                <w:lang w:val="en-US"/>
              </w:rPr>
              <w:t xml:space="preserve">AM Gold Inc. v. Kaizen Discovery </w:t>
            </w:r>
            <w:proofErr w:type="gramStart"/>
            <w:r w:rsidRPr="00893C26">
              <w:rPr>
                <w:b/>
                <w:sz w:val="20"/>
                <w:szCs w:val="20"/>
                <w:lang w:val="en-US"/>
              </w:rPr>
              <w:t>Inc.</w:t>
            </w:r>
            <w:proofErr w:type="gramEnd"/>
          </w:p>
          <w:p w:rsidR="00407464" w:rsidRPr="00893C26" w:rsidRDefault="00407464" w:rsidP="002B2C2E">
            <w:pPr>
              <w:jc w:val="both"/>
              <w:rPr>
                <w:sz w:val="20"/>
              </w:rPr>
            </w:pPr>
            <w:r w:rsidRPr="00893C26">
              <w:rPr>
                <w:sz w:val="20"/>
              </w:rPr>
              <w:t>(B.C.) (Civil) (By Leave)</w:t>
            </w:r>
          </w:p>
        </w:tc>
      </w:tr>
      <w:tr w:rsidR="00407464" w:rsidRPr="00893C26" w:rsidTr="00407464">
        <w:tc>
          <w:tcPr>
            <w:tcW w:w="5000" w:type="pct"/>
            <w:gridSpan w:val="4"/>
          </w:tcPr>
          <w:p w:rsidR="00407464" w:rsidRPr="00893C26" w:rsidRDefault="00407464" w:rsidP="002B2C2E">
            <w:pPr>
              <w:jc w:val="both"/>
              <w:rPr>
                <w:sz w:val="20"/>
              </w:rPr>
            </w:pPr>
            <w:r w:rsidRPr="00893C26">
              <w:rPr>
                <w:sz w:val="20"/>
              </w:rPr>
              <w:t>Contracts — Non-performance — Representations and warranties — Securities law — Material Adverse Change — Torts — Intentional torts — Misrepresentation — Does Canadian securities law require the disclosure of a contingent risk — When do contingent risks (including environmental and social governance issues) become material for the purpose of Canadian securities laws — To what extent must environmental and social governance issues be disclosed to the marketplace — Does contemporary jurisprudence on securities disclosure provide adequate guidance for Canadian investors about contingent risks — When and how can Canadian courts use post-contract evidence in contractual interpretation — To what extent can post-contract conduct be used in contractual interpretation and what safeguards should apply to the use of such evidence?</w:t>
            </w:r>
          </w:p>
        </w:tc>
      </w:tr>
      <w:tr w:rsidR="00407464" w:rsidRPr="00893C26" w:rsidTr="00407464">
        <w:tc>
          <w:tcPr>
            <w:tcW w:w="5000" w:type="pct"/>
            <w:gridSpan w:val="4"/>
          </w:tcPr>
          <w:p w:rsidR="00407464" w:rsidRPr="00893C26" w:rsidRDefault="00407464" w:rsidP="002B2C2E">
            <w:pPr>
              <w:jc w:val="both"/>
              <w:rPr>
                <w:sz w:val="20"/>
              </w:rPr>
            </w:pPr>
          </w:p>
          <w:p w:rsidR="00407464" w:rsidRPr="00893C26" w:rsidRDefault="00407464" w:rsidP="002B2C2E">
            <w:pPr>
              <w:jc w:val="both"/>
              <w:rPr>
                <w:sz w:val="20"/>
              </w:rPr>
            </w:pPr>
            <w:r w:rsidRPr="00893C26">
              <w:rPr>
                <w:sz w:val="20"/>
              </w:rPr>
              <w:t>The applicant negotiated the sale to the respondent of a Peruvian gold and copper project (“Pinaya”) owned by its wholly-owned subsidiary. During the negotiations the parties entered into a Non-Disclosure Agreement, a term of which provided that the respondent could not visit Pinaya without the prior consent of the applicant. The applicant ultimately sold its shares in its subsidiary to the respondent in exchange for $500,000 plus over 15,000,000 common shares in the respondent.  The respondent’s share value subsequently devalued after some of its projects were considered impaired and attributed zero value. The applicant brought an action against the respondent alleging that it had failed to disclose material information or had made misrepresentations about its business and the commercial viability of its projects, and specifically one in Nunavut. The applicant also claimed that the respondent had breached the Non-Disclosure Agreement and had trespassed by visiting Pinaya and taking soil and water samples for environmental testing. The Supreme Court of British Columbia dismissed the applicant’s action and the Court of Appeal for British Columbia dismissed the appeal.</w:t>
            </w:r>
          </w:p>
        </w:tc>
      </w:tr>
      <w:tr w:rsidR="00407464" w:rsidRPr="00893C26" w:rsidTr="00407464">
        <w:tc>
          <w:tcPr>
            <w:tcW w:w="5000" w:type="pct"/>
            <w:gridSpan w:val="4"/>
          </w:tcPr>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March 22, 2021</w:t>
            </w:r>
          </w:p>
          <w:p w:rsidR="00407464" w:rsidRPr="00893C26" w:rsidRDefault="00407464" w:rsidP="002B2C2E">
            <w:pPr>
              <w:jc w:val="both"/>
              <w:rPr>
                <w:sz w:val="20"/>
              </w:rPr>
            </w:pPr>
            <w:r w:rsidRPr="00893C26">
              <w:rPr>
                <w:sz w:val="20"/>
              </w:rPr>
              <w:t>Supreme Court of British Columbia</w:t>
            </w:r>
          </w:p>
          <w:p w:rsidR="00407464" w:rsidRPr="00893C26" w:rsidRDefault="00407464" w:rsidP="002B2C2E">
            <w:pPr>
              <w:jc w:val="both"/>
              <w:rPr>
                <w:sz w:val="20"/>
              </w:rPr>
            </w:pPr>
            <w:r w:rsidRPr="00893C26">
              <w:rPr>
                <w:sz w:val="20"/>
              </w:rPr>
              <w:t>(Ross J.)</w:t>
            </w:r>
          </w:p>
          <w:p w:rsidR="00407464" w:rsidRPr="00893C26" w:rsidRDefault="00893C26" w:rsidP="002B2C2E">
            <w:pPr>
              <w:jc w:val="both"/>
              <w:rPr>
                <w:rStyle w:val="Hyperlink"/>
                <w:color w:val="auto"/>
                <w:sz w:val="20"/>
                <w:u w:val="none"/>
              </w:rPr>
            </w:pPr>
            <w:hyperlink r:id="rId51" w:history="1">
              <w:r w:rsidR="00407464" w:rsidRPr="00893C26">
                <w:rPr>
                  <w:rStyle w:val="Hyperlink"/>
                  <w:sz w:val="20"/>
                </w:rPr>
                <w:t>2021 BCSC 515</w:t>
              </w:r>
            </w:hyperlink>
          </w:p>
          <w:p w:rsidR="00407464" w:rsidRPr="00893C26" w:rsidRDefault="00407464" w:rsidP="002B2C2E">
            <w:pPr>
              <w:jc w:val="both"/>
              <w:rPr>
                <w:sz w:val="20"/>
              </w:rPr>
            </w:pP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Action dismissed.</w:t>
            </w:r>
          </w:p>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January 21, 2022</w:t>
            </w:r>
          </w:p>
          <w:p w:rsidR="00407464" w:rsidRPr="00893C26" w:rsidRDefault="00407464" w:rsidP="002B2C2E">
            <w:pPr>
              <w:jc w:val="both"/>
              <w:rPr>
                <w:sz w:val="20"/>
              </w:rPr>
            </w:pPr>
            <w:r w:rsidRPr="00893C26">
              <w:rPr>
                <w:sz w:val="20"/>
              </w:rPr>
              <w:t xml:space="preserve">Court of Appeal for British Columbia </w:t>
            </w:r>
          </w:p>
          <w:p w:rsidR="00407464" w:rsidRPr="00893C26" w:rsidRDefault="00407464" w:rsidP="002B2C2E">
            <w:pPr>
              <w:jc w:val="both"/>
              <w:rPr>
                <w:sz w:val="20"/>
              </w:rPr>
            </w:pPr>
            <w:r w:rsidRPr="00893C26">
              <w:rPr>
                <w:sz w:val="20"/>
              </w:rPr>
              <w:t>(Vancouver)</w:t>
            </w:r>
          </w:p>
          <w:p w:rsidR="00407464" w:rsidRPr="00893C26" w:rsidRDefault="00407464" w:rsidP="002B2C2E">
            <w:pPr>
              <w:jc w:val="both"/>
              <w:rPr>
                <w:sz w:val="20"/>
              </w:rPr>
            </w:pPr>
            <w:r w:rsidRPr="00893C26">
              <w:rPr>
                <w:sz w:val="20"/>
              </w:rPr>
              <w:t>(Saunders, Tysoe and Fenlon JJ.A.)</w:t>
            </w:r>
          </w:p>
          <w:p w:rsidR="00407464" w:rsidRPr="00893C26" w:rsidRDefault="00893C26" w:rsidP="002B2C2E">
            <w:pPr>
              <w:jc w:val="both"/>
              <w:rPr>
                <w:sz w:val="20"/>
              </w:rPr>
            </w:pPr>
            <w:hyperlink r:id="rId52" w:history="1">
              <w:r w:rsidR="00407464" w:rsidRPr="00893C26">
                <w:rPr>
                  <w:rStyle w:val="Hyperlink"/>
                  <w:sz w:val="20"/>
                </w:rPr>
                <w:t>2022 BCCA 21</w:t>
              </w:r>
            </w:hyperlink>
            <w:r w:rsidR="00407464" w:rsidRPr="00893C26">
              <w:rPr>
                <w:rStyle w:val="Hyperlink"/>
                <w:rFonts w:ascii="Arial" w:hAnsi="Arial" w:cs="Arial"/>
                <w:color w:val="auto"/>
                <w:sz w:val="20"/>
                <w:u w:val="none"/>
              </w:rPr>
              <w:t xml:space="preserve">; </w:t>
            </w:r>
            <w:r w:rsidR="00407464" w:rsidRPr="00893C26">
              <w:rPr>
                <w:color w:val="000000"/>
                <w:sz w:val="20"/>
              </w:rPr>
              <w:t>CA47393</w:t>
            </w:r>
          </w:p>
          <w:p w:rsidR="00407464" w:rsidRPr="00893C26" w:rsidRDefault="00407464" w:rsidP="002B2C2E">
            <w:pPr>
              <w:jc w:val="both"/>
              <w:rPr>
                <w:sz w:val="20"/>
              </w:rPr>
            </w:pP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Appeal dismissed.</w:t>
            </w:r>
          </w:p>
          <w:p w:rsidR="00407464" w:rsidRPr="00893C26" w:rsidRDefault="00407464" w:rsidP="002B2C2E">
            <w:pPr>
              <w:jc w:val="both"/>
              <w:rPr>
                <w:sz w:val="20"/>
              </w:rPr>
            </w:pPr>
          </w:p>
        </w:tc>
      </w:tr>
      <w:tr w:rsidR="00407464" w:rsidRPr="00893C26" w:rsidTr="00407464">
        <w:tc>
          <w:tcPr>
            <w:tcW w:w="2427" w:type="pct"/>
            <w:gridSpan w:val="2"/>
          </w:tcPr>
          <w:p w:rsidR="00407464" w:rsidRPr="00893C26" w:rsidRDefault="00407464" w:rsidP="002B2C2E">
            <w:pPr>
              <w:jc w:val="both"/>
              <w:rPr>
                <w:sz w:val="20"/>
              </w:rPr>
            </w:pPr>
            <w:r w:rsidRPr="00893C26">
              <w:rPr>
                <w:sz w:val="20"/>
              </w:rPr>
              <w:t>March 22, 2022</w:t>
            </w:r>
          </w:p>
          <w:p w:rsidR="00407464" w:rsidRPr="00893C26" w:rsidRDefault="00407464" w:rsidP="002B2C2E">
            <w:pPr>
              <w:jc w:val="both"/>
              <w:rPr>
                <w:sz w:val="20"/>
              </w:rPr>
            </w:pPr>
            <w:r w:rsidRPr="00893C26">
              <w:rPr>
                <w:sz w:val="20"/>
              </w:rPr>
              <w:t>Supreme Court of Canada</w:t>
            </w:r>
          </w:p>
        </w:tc>
        <w:tc>
          <w:tcPr>
            <w:tcW w:w="243" w:type="pct"/>
          </w:tcPr>
          <w:p w:rsidR="00407464" w:rsidRPr="00893C26" w:rsidRDefault="00407464" w:rsidP="002B2C2E">
            <w:pPr>
              <w:jc w:val="both"/>
              <w:rPr>
                <w:sz w:val="20"/>
              </w:rPr>
            </w:pPr>
          </w:p>
        </w:tc>
        <w:tc>
          <w:tcPr>
            <w:tcW w:w="2330" w:type="pct"/>
          </w:tcPr>
          <w:p w:rsidR="00407464" w:rsidRPr="00893C26" w:rsidRDefault="00407464" w:rsidP="002B2C2E">
            <w:pPr>
              <w:jc w:val="both"/>
              <w:rPr>
                <w:sz w:val="20"/>
              </w:rPr>
            </w:pPr>
            <w:r w:rsidRPr="00893C26">
              <w:rPr>
                <w:sz w:val="20"/>
              </w:rPr>
              <w:t>Application for leave to appeal filed.</w:t>
            </w:r>
          </w:p>
        </w:tc>
      </w:tr>
    </w:tbl>
    <w:p w:rsidR="00407464" w:rsidRPr="00893C26" w:rsidRDefault="00407464" w:rsidP="002B2C2E">
      <w:pPr>
        <w:jc w:val="both"/>
        <w:rPr>
          <w:sz w:val="20"/>
        </w:rPr>
      </w:pPr>
    </w:p>
    <w:p w:rsidR="00311655" w:rsidRPr="00893C26" w:rsidRDefault="00893C26" w:rsidP="002B2C2E">
      <w:pPr>
        <w:jc w:val="both"/>
        <w:rPr>
          <w:sz w:val="20"/>
        </w:rPr>
      </w:pPr>
      <w:r w:rsidRPr="00893C26">
        <w:rPr>
          <w:sz w:val="20"/>
        </w:rPr>
        <w:pict>
          <v:rect id="_x0000_i1041" style="width:2in;height:1pt" o:hrpct="0" o:hralign="center" o:hrstd="t" o:hrnoshade="t" o:hr="t" fillcolor="black [3213]" stroked="f"/>
        </w:pict>
      </w:r>
    </w:p>
    <w:p w:rsidR="00407464" w:rsidRPr="00893C26" w:rsidRDefault="00407464" w:rsidP="002B2C2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07464" w:rsidRPr="00893C26" w:rsidTr="00407464">
        <w:tc>
          <w:tcPr>
            <w:tcW w:w="543" w:type="pct"/>
          </w:tcPr>
          <w:p w:rsidR="00407464" w:rsidRPr="00893C26" w:rsidRDefault="00407464" w:rsidP="002B2C2E">
            <w:pPr>
              <w:jc w:val="both"/>
              <w:rPr>
                <w:sz w:val="20"/>
                <w:lang w:val="fr-CA"/>
              </w:rPr>
            </w:pPr>
            <w:r w:rsidRPr="00893C26">
              <w:rPr>
                <w:rStyle w:val="SCCFileNumberChar"/>
                <w:sz w:val="20"/>
                <w:szCs w:val="20"/>
                <w:lang w:val="fr-CA"/>
              </w:rPr>
              <w:t>40111</w:t>
            </w:r>
          </w:p>
        </w:tc>
        <w:tc>
          <w:tcPr>
            <w:tcW w:w="4457" w:type="pct"/>
            <w:gridSpan w:val="3"/>
          </w:tcPr>
          <w:p w:rsidR="00407464" w:rsidRPr="00893C26" w:rsidRDefault="00407464" w:rsidP="002B2C2E">
            <w:pPr>
              <w:pStyle w:val="SCCLsocParty"/>
              <w:jc w:val="both"/>
              <w:rPr>
                <w:b/>
                <w:sz w:val="20"/>
                <w:szCs w:val="20"/>
                <w:lang w:val="en-US"/>
              </w:rPr>
            </w:pPr>
            <w:r w:rsidRPr="00893C26">
              <w:rPr>
                <w:b/>
                <w:sz w:val="20"/>
                <w:szCs w:val="20"/>
                <w:lang w:val="en-US"/>
              </w:rPr>
              <w:t>AM Gold Inc. c. Kaizen Discovery Inc.</w:t>
            </w:r>
          </w:p>
          <w:p w:rsidR="00407464" w:rsidRPr="00893C26" w:rsidRDefault="00407464" w:rsidP="00311655">
            <w:pPr>
              <w:jc w:val="both"/>
              <w:rPr>
                <w:sz w:val="20"/>
                <w:lang w:val="fr-CA"/>
              </w:rPr>
            </w:pPr>
            <w:r w:rsidRPr="00893C26">
              <w:rPr>
                <w:sz w:val="20"/>
                <w:lang w:val="fr-CA"/>
              </w:rPr>
              <w:t>(C.-B.) (</w:t>
            </w:r>
            <w:r w:rsidR="00311655" w:rsidRPr="00893C26">
              <w:rPr>
                <w:sz w:val="20"/>
                <w:lang w:val="fr-CA"/>
              </w:rPr>
              <w:t>C</w:t>
            </w:r>
            <w:r w:rsidRPr="00893C26">
              <w:rPr>
                <w:sz w:val="20"/>
                <w:lang w:val="fr-CA"/>
              </w:rPr>
              <w:t>ivile) (</w:t>
            </w:r>
            <w:r w:rsidR="00311655" w:rsidRPr="00893C26">
              <w:rPr>
                <w:sz w:val="20"/>
                <w:lang w:val="fr-CA"/>
              </w:rPr>
              <w:t>S</w:t>
            </w:r>
            <w:r w:rsidRPr="00893C26">
              <w:rPr>
                <w:sz w:val="20"/>
                <w:lang w:val="fr-CA"/>
              </w:rPr>
              <w:t>ur autorisation)</w:t>
            </w:r>
          </w:p>
        </w:tc>
      </w:tr>
      <w:tr w:rsidR="00407464" w:rsidRPr="00893C26" w:rsidTr="00407464">
        <w:tc>
          <w:tcPr>
            <w:tcW w:w="5000" w:type="pct"/>
            <w:gridSpan w:val="4"/>
          </w:tcPr>
          <w:p w:rsidR="00407464" w:rsidRPr="00893C26" w:rsidRDefault="00407464" w:rsidP="002B2C2E">
            <w:pPr>
              <w:jc w:val="both"/>
              <w:rPr>
                <w:sz w:val="20"/>
                <w:lang w:val="fr-CA"/>
              </w:rPr>
            </w:pPr>
            <w:r w:rsidRPr="00893C26">
              <w:rPr>
                <w:sz w:val="20"/>
                <w:lang w:val="fr-CA"/>
              </w:rPr>
              <w:t>Contrats — Inexécution — Déclarations et garanties — Droit des valeurs mobilières —</w:t>
            </w:r>
            <w:r w:rsidRPr="00893C26">
              <w:rPr>
                <w:color w:val="000000"/>
                <w:sz w:val="20"/>
                <w:lang w:val="fr-CA"/>
              </w:rPr>
              <w:t xml:space="preserve"> </w:t>
            </w:r>
            <w:r w:rsidRPr="00893C26">
              <w:rPr>
                <w:sz w:val="20"/>
                <w:lang w:val="fr-CA"/>
              </w:rPr>
              <w:t>Changement important pouvant avoir des conséquences défavorables — Responsabilité délictuelle — Délit intentionnel — Déclarations inexactes — La divulgation d’un risque fortuit est-elle requise en droit des valeurs mobilières au Canada ? — Dans quelles circonstances les risques fortuits (notamment les questions touchant l’environnement et la gouvernance sociale) deviennent-ils importants aux fins des lois canadiennes sur les valeurs mobilières ? — Dans quelle mesure les questions touchant l’environnement et la gouvernance sociale doivent-elles être divulguées sur le marché ? — La jurisprudence contemporaine en matière de divulgation relative aux valeurs mobilières fournit-elle aux investisseurs canadiens des directives adéquates concernant les risques fortuits ? — À quelles conditions et de quelle manière les tribunaux canadiens peuvent-ils se servir d’éléments de preuve obtenus après la formation du contrat dans le cadre de l’interprétation du contrat ? — Dans quelle mesure une conduite survenue après la formation du contrat peut-elle être utilisée dans le cadre de l’interprétation du contrat, et quelles mesures de protection devraient s’appliquer à l’utilisation de tels éléments de preuve ?</w:t>
            </w:r>
          </w:p>
        </w:tc>
      </w:tr>
      <w:tr w:rsidR="00407464" w:rsidRPr="00893C26" w:rsidTr="00407464">
        <w:tc>
          <w:tcPr>
            <w:tcW w:w="5000" w:type="pct"/>
            <w:gridSpan w:val="4"/>
          </w:tcPr>
          <w:p w:rsidR="00407464" w:rsidRPr="00893C26" w:rsidRDefault="00407464" w:rsidP="002B2C2E">
            <w:pPr>
              <w:jc w:val="both"/>
              <w:rPr>
                <w:sz w:val="20"/>
                <w:lang w:val="fr-CA"/>
              </w:rPr>
            </w:pPr>
          </w:p>
          <w:p w:rsidR="00407464" w:rsidRPr="00893C26" w:rsidRDefault="00407464" w:rsidP="002B2C2E">
            <w:pPr>
              <w:jc w:val="both"/>
              <w:rPr>
                <w:sz w:val="20"/>
                <w:lang w:val="fr-CA"/>
              </w:rPr>
            </w:pPr>
            <w:r w:rsidRPr="00893C26">
              <w:rPr>
                <w:sz w:val="20"/>
                <w:lang w:val="fr-CA"/>
              </w:rPr>
              <w:t>La société demanderesse a négocié la vente à la société intimée d’un projet péruvien d’or et de cuivre (« Pinaya ») appartenant à la filiale en propriété exclusive de la société demanderesse. Pendant les négociations, les parties ont conclu un accord de non-divulgation, dont une des conditions stipulait que la société intimée ne pouvait pas aller visiter Pinaya sans le consentement préalable de la société demanderesse. Cette dernière a fini par vendre les actions qu’elle détenait dans sa filiale à la société intimée en contrepartie de 500 000 $ et plus de 15 000 000 actions ordinaires dans la société intimée. La valeur des actions de la société intimée a par la suite été dépréciée lorsque quelques-uns de ses projets ont été jugés déficients et qu’une valeur nulle leur a été attribuée. La société demanderesse a intenté une action contre la société intimée alléguant qu’elle avait omis de divulguer des renseignements importants ou avait fait de fausses déclarations concernant ses activités et la viabilité commerciale de ses projets, en particulier un projet au Nunavut. La société demanderesse a également allégué que la société intimée avait violé l’accord de non-divulgation et avait commis une intrusion en visitant Pinaya et en prenant des échantillons de terre et d’eau aux fins d’essais d’environnement. La Cour suprême de la Colombie-Britannique a rejeté l’action de la société demanderesse et la Cour d’appel de la Colombie-Britannique a rejeté l’appel.</w:t>
            </w:r>
          </w:p>
        </w:tc>
      </w:tr>
      <w:tr w:rsidR="00407464" w:rsidRPr="00893C26" w:rsidTr="00407464">
        <w:tc>
          <w:tcPr>
            <w:tcW w:w="5000" w:type="pct"/>
            <w:gridSpan w:val="4"/>
          </w:tcPr>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22 mars 2021</w:t>
            </w:r>
          </w:p>
          <w:p w:rsidR="00407464" w:rsidRPr="00893C26" w:rsidRDefault="00407464" w:rsidP="002B2C2E">
            <w:pPr>
              <w:jc w:val="both"/>
              <w:rPr>
                <w:sz w:val="20"/>
                <w:lang w:val="fr-CA"/>
              </w:rPr>
            </w:pPr>
            <w:r w:rsidRPr="00893C26">
              <w:rPr>
                <w:sz w:val="20"/>
                <w:lang w:val="fr-CA"/>
              </w:rPr>
              <w:t>Cour suprême de la Colombie-Britannique (juge Ross)</w:t>
            </w:r>
          </w:p>
          <w:p w:rsidR="00407464" w:rsidRPr="00893C26" w:rsidRDefault="00893C26" w:rsidP="002B2C2E">
            <w:pPr>
              <w:jc w:val="both"/>
              <w:rPr>
                <w:rStyle w:val="Hyperlink"/>
                <w:color w:val="auto"/>
                <w:sz w:val="20"/>
                <w:u w:val="none"/>
                <w:lang w:val="fr-CA"/>
              </w:rPr>
            </w:pPr>
            <w:hyperlink r:id="rId53" w:history="1">
              <w:r w:rsidR="00407464" w:rsidRPr="00893C26">
                <w:rPr>
                  <w:rStyle w:val="Hyperlink"/>
                  <w:sz w:val="20"/>
                  <w:lang w:val="fr-CA"/>
                </w:rPr>
                <w:t>2021 BCSC 515</w:t>
              </w:r>
            </w:hyperlink>
          </w:p>
          <w:p w:rsidR="00407464" w:rsidRPr="00893C26" w:rsidRDefault="00407464" w:rsidP="002B2C2E">
            <w:pPr>
              <w:jc w:val="both"/>
              <w:rPr>
                <w:sz w:val="20"/>
                <w:lang w:val="fr-CA"/>
              </w:rPr>
            </w:pP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L’action est rejetée.</w:t>
            </w:r>
          </w:p>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21 janvier 2022</w:t>
            </w:r>
          </w:p>
          <w:p w:rsidR="00407464" w:rsidRPr="00893C26" w:rsidRDefault="00407464" w:rsidP="002B2C2E">
            <w:pPr>
              <w:jc w:val="both"/>
              <w:rPr>
                <w:sz w:val="20"/>
                <w:lang w:val="fr-CA"/>
              </w:rPr>
            </w:pPr>
            <w:r w:rsidRPr="00893C26">
              <w:rPr>
                <w:sz w:val="20"/>
                <w:lang w:val="fr-CA"/>
              </w:rPr>
              <w:t>Cour d’appel de la Colombie-Britannique</w:t>
            </w:r>
          </w:p>
          <w:p w:rsidR="00407464" w:rsidRPr="00893C26" w:rsidRDefault="00407464" w:rsidP="002B2C2E">
            <w:pPr>
              <w:jc w:val="both"/>
              <w:rPr>
                <w:sz w:val="20"/>
                <w:lang w:val="fr-CA"/>
              </w:rPr>
            </w:pPr>
            <w:r w:rsidRPr="00893C26">
              <w:rPr>
                <w:sz w:val="20"/>
                <w:lang w:val="fr-CA"/>
              </w:rPr>
              <w:t>(Vancouver)</w:t>
            </w:r>
          </w:p>
          <w:p w:rsidR="00407464" w:rsidRPr="00893C26" w:rsidRDefault="00407464" w:rsidP="002B2C2E">
            <w:pPr>
              <w:jc w:val="both"/>
              <w:rPr>
                <w:sz w:val="20"/>
                <w:lang w:val="fr-CA"/>
              </w:rPr>
            </w:pPr>
            <w:r w:rsidRPr="00893C26">
              <w:rPr>
                <w:sz w:val="20"/>
                <w:lang w:val="fr-CA"/>
              </w:rPr>
              <w:t>(juges Saunders, Tysoe et Fenlon)</w:t>
            </w:r>
          </w:p>
          <w:p w:rsidR="00407464" w:rsidRPr="00893C26" w:rsidRDefault="00893C26" w:rsidP="002B2C2E">
            <w:pPr>
              <w:jc w:val="both"/>
              <w:rPr>
                <w:sz w:val="20"/>
                <w:lang w:val="fr-CA"/>
              </w:rPr>
            </w:pPr>
            <w:hyperlink r:id="rId54" w:history="1">
              <w:r w:rsidR="00407464" w:rsidRPr="00893C26">
                <w:rPr>
                  <w:rStyle w:val="Hyperlink"/>
                  <w:sz w:val="20"/>
                  <w:lang w:val="fr-CA"/>
                </w:rPr>
                <w:t>2022 BCCA 21</w:t>
              </w:r>
            </w:hyperlink>
            <w:r w:rsidR="00407464" w:rsidRPr="00893C26">
              <w:rPr>
                <w:rStyle w:val="Hyperlink"/>
                <w:rFonts w:ascii="Arial" w:hAnsi="Arial" w:cs="Arial"/>
                <w:color w:val="auto"/>
                <w:sz w:val="20"/>
                <w:u w:val="none"/>
                <w:lang w:val="fr-CA"/>
              </w:rPr>
              <w:t xml:space="preserve">; </w:t>
            </w:r>
            <w:r w:rsidR="00407464" w:rsidRPr="00893C26">
              <w:rPr>
                <w:color w:val="000000"/>
                <w:sz w:val="20"/>
                <w:lang w:val="fr-CA"/>
              </w:rPr>
              <w:t>CA47393</w:t>
            </w:r>
          </w:p>
          <w:p w:rsidR="00407464" w:rsidRPr="00893C26" w:rsidRDefault="00407464" w:rsidP="002B2C2E">
            <w:pPr>
              <w:jc w:val="both"/>
              <w:rPr>
                <w:sz w:val="20"/>
                <w:lang w:val="fr-CA"/>
              </w:rPr>
            </w:pP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L’appel est rejeté.</w:t>
            </w:r>
          </w:p>
          <w:p w:rsidR="00407464" w:rsidRPr="00893C26" w:rsidRDefault="00407464" w:rsidP="002B2C2E">
            <w:pPr>
              <w:jc w:val="both"/>
              <w:rPr>
                <w:sz w:val="20"/>
                <w:lang w:val="fr-CA"/>
              </w:rPr>
            </w:pPr>
          </w:p>
        </w:tc>
      </w:tr>
      <w:tr w:rsidR="00407464" w:rsidRPr="00893C26" w:rsidTr="00407464">
        <w:tc>
          <w:tcPr>
            <w:tcW w:w="2427" w:type="pct"/>
            <w:gridSpan w:val="2"/>
          </w:tcPr>
          <w:p w:rsidR="00407464" w:rsidRPr="00893C26" w:rsidRDefault="00407464" w:rsidP="002B2C2E">
            <w:pPr>
              <w:jc w:val="both"/>
              <w:rPr>
                <w:sz w:val="20"/>
                <w:lang w:val="fr-CA"/>
              </w:rPr>
            </w:pPr>
            <w:r w:rsidRPr="00893C26">
              <w:rPr>
                <w:sz w:val="20"/>
                <w:lang w:val="fr-CA"/>
              </w:rPr>
              <w:t>22 mars 2022</w:t>
            </w:r>
          </w:p>
          <w:p w:rsidR="00407464" w:rsidRPr="00893C26" w:rsidRDefault="00407464" w:rsidP="002B2C2E">
            <w:pPr>
              <w:jc w:val="both"/>
              <w:rPr>
                <w:sz w:val="20"/>
                <w:lang w:val="fr-CA"/>
              </w:rPr>
            </w:pPr>
            <w:r w:rsidRPr="00893C26">
              <w:rPr>
                <w:sz w:val="20"/>
                <w:lang w:val="fr-CA"/>
              </w:rPr>
              <w:t>Cour suprême du Canada</w:t>
            </w:r>
          </w:p>
        </w:tc>
        <w:tc>
          <w:tcPr>
            <w:tcW w:w="243" w:type="pct"/>
          </w:tcPr>
          <w:p w:rsidR="00407464" w:rsidRPr="00893C26" w:rsidRDefault="00407464" w:rsidP="002B2C2E">
            <w:pPr>
              <w:jc w:val="both"/>
              <w:rPr>
                <w:sz w:val="20"/>
                <w:lang w:val="fr-CA"/>
              </w:rPr>
            </w:pPr>
          </w:p>
        </w:tc>
        <w:tc>
          <w:tcPr>
            <w:tcW w:w="2330" w:type="pct"/>
          </w:tcPr>
          <w:p w:rsidR="00407464" w:rsidRPr="00893C26" w:rsidRDefault="00407464" w:rsidP="002B2C2E">
            <w:pPr>
              <w:jc w:val="both"/>
              <w:rPr>
                <w:sz w:val="20"/>
                <w:lang w:val="fr-CA"/>
              </w:rPr>
            </w:pPr>
            <w:r w:rsidRPr="00893C26">
              <w:rPr>
                <w:sz w:val="20"/>
                <w:lang w:val="fr-CA"/>
              </w:rPr>
              <w:t>La demande d’autorisation d’appel est présentée.</w:t>
            </w:r>
          </w:p>
        </w:tc>
      </w:tr>
    </w:tbl>
    <w:p w:rsidR="00407464" w:rsidRPr="00893C26" w:rsidRDefault="00407464" w:rsidP="002B2C2E">
      <w:pPr>
        <w:jc w:val="both"/>
        <w:rPr>
          <w:sz w:val="20"/>
          <w:lang w:val="fr-CA"/>
        </w:rPr>
      </w:pPr>
    </w:p>
    <w:p w:rsidR="00311655" w:rsidRPr="00893C26" w:rsidRDefault="00893C26" w:rsidP="002B2C2E">
      <w:pPr>
        <w:jc w:val="both"/>
        <w:rPr>
          <w:sz w:val="20"/>
          <w:lang w:val="fr-CA"/>
        </w:rPr>
      </w:pPr>
      <w:r w:rsidRPr="00893C26">
        <w:rPr>
          <w:sz w:val="20"/>
        </w:rPr>
        <w:pict>
          <v:rect id="_x0000_i1042" style="width:2in;height:1pt" o:hrpct="0" o:hralign="center" o:hrstd="t" o:hrnoshade="t" o:hr="t" fillcolor="black [3213]" stroked="f"/>
        </w:pict>
      </w:r>
    </w:p>
    <w:p w:rsidR="00407464" w:rsidRPr="00893C26" w:rsidRDefault="00407464" w:rsidP="002B2C2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2C2E" w:rsidRPr="00893C26">
        <w:tc>
          <w:tcPr>
            <w:tcW w:w="543" w:type="pct"/>
          </w:tcPr>
          <w:p w:rsidR="002B2C2E" w:rsidRPr="00893C26" w:rsidRDefault="002B2C2E" w:rsidP="002B2C2E">
            <w:pPr>
              <w:jc w:val="both"/>
              <w:rPr>
                <w:sz w:val="20"/>
                <w:lang w:val="en-CA"/>
              </w:rPr>
            </w:pPr>
            <w:r w:rsidRPr="00893C26">
              <w:rPr>
                <w:rStyle w:val="SCCFileNumberChar"/>
                <w:sz w:val="20"/>
                <w:szCs w:val="20"/>
              </w:rPr>
              <w:t>40131</w:t>
            </w:r>
          </w:p>
        </w:tc>
        <w:tc>
          <w:tcPr>
            <w:tcW w:w="4457" w:type="pct"/>
            <w:gridSpan w:val="3"/>
          </w:tcPr>
          <w:p w:rsidR="002B2C2E" w:rsidRPr="00893C26" w:rsidRDefault="002B2C2E" w:rsidP="002B2C2E">
            <w:pPr>
              <w:pStyle w:val="SCCLsocParty"/>
              <w:jc w:val="both"/>
              <w:rPr>
                <w:b/>
                <w:sz w:val="20"/>
                <w:szCs w:val="20"/>
                <w:lang w:val="en-CA"/>
              </w:rPr>
            </w:pPr>
            <w:r w:rsidRPr="00893C26">
              <w:rPr>
                <w:b/>
                <w:sz w:val="20"/>
                <w:szCs w:val="20"/>
                <w:lang w:val="en-CA"/>
              </w:rPr>
              <w:t>Alain Maïo v. Hugo Lambert and ISL Technologie inc.</w:t>
            </w:r>
          </w:p>
          <w:p w:rsidR="002B2C2E" w:rsidRPr="00893C26" w:rsidRDefault="002B2C2E" w:rsidP="002B2C2E">
            <w:pPr>
              <w:jc w:val="both"/>
              <w:rPr>
                <w:sz w:val="20"/>
                <w:lang w:val="en-CA"/>
              </w:rPr>
            </w:pPr>
            <w:r w:rsidRPr="00893C26">
              <w:rPr>
                <w:sz w:val="20"/>
                <w:lang w:val="en-CA"/>
              </w:rPr>
              <w:t>(Que.) (Civil) (By Leave)</w:t>
            </w:r>
          </w:p>
        </w:tc>
      </w:tr>
      <w:tr w:rsidR="002B2C2E" w:rsidRPr="00893C26">
        <w:tc>
          <w:tcPr>
            <w:tcW w:w="5000" w:type="pct"/>
            <w:gridSpan w:val="4"/>
          </w:tcPr>
          <w:p w:rsidR="002B2C2E" w:rsidRPr="00893C26" w:rsidRDefault="002B2C2E" w:rsidP="002B2C2E">
            <w:pPr>
              <w:jc w:val="both"/>
              <w:rPr>
                <w:sz w:val="20"/>
                <w:lang w:val="en-CA"/>
              </w:rPr>
            </w:pPr>
            <w:r w:rsidRPr="00893C26">
              <w:rPr>
                <w:sz w:val="20"/>
                <w:lang w:val="en-CA"/>
              </w:rPr>
              <w:t xml:space="preserve">Civil procedure ⸺ Appeal ⸺ Appeal with leave or as of right ⸺ Superior Court judgment on application for annulment of arbitration award ⸺ Judgment ruling on execution matters ⸺ Whether Court of Appeal erred in law in this case in interpreting </w:t>
            </w:r>
            <w:r w:rsidRPr="00893C26">
              <w:rPr>
                <w:i/>
                <w:sz w:val="20"/>
                <w:lang w:val="en-CA"/>
              </w:rPr>
              <w:t>Geci Española v. Government of The Dominican Republic</w:t>
            </w:r>
            <w:r w:rsidRPr="00893C26">
              <w:rPr>
                <w:sz w:val="20"/>
                <w:lang w:val="en-CA"/>
              </w:rPr>
              <w:t xml:space="preserve">, 2017 QCCA 1298 ⸺ </w:t>
            </w:r>
            <w:r w:rsidRPr="00893C26">
              <w:rPr>
                <w:i/>
                <w:sz w:val="20"/>
                <w:lang w:val="en-CA"/>
              </w:rPr>
              <w:t xml:space="preserve">Code of Civil Procedure, </w:t>
            </w:r>
            <w:r w:rsidRPr="00893C26">
              <w:rPr>
                <w:sz w:val="20"/>
                <w:lang w:val="en-CA"/>
              </w:rPr>
              <w:t>CQLR, c. C-25.01,</w:t>
            </w:r>
            <w:r w:rsidRPr="00893C26">
              <w:rPr>
                <w:i/>
                <w:sz w:val="20"/>
                <w:lang w:val="en-CA"/>
              </w:rPr>
              <w:t xml:space="preserve"> </w:t>
            </w:r>
            <w:r w:rsidRPr="00893C26">
              <w:rPr>
                <w:sz w:val="20"/>
                <w:lang w:val="en-CA"/>
              </w:rPr>
              <w:t>art. 30 para. 2(8).</w:t>
            </w:r>
          </w:p>
        </w:tc>
      </w:tr>
      <w:tr w:rsidR="002B2C2E" w:rsidRPr="00893C26">
        <w:tc>
          <w:tcPr>
            <w:tcW w:w="5000" w:type="pct"/>
            <w:gridSpan w:val="4"/>
          </w:tcPr>
          <w:p w:rsidR="002B2C2E" w:rsidRPr="00893C26" w:rsidRDefault="002B2C2E" w:rsidP="002B2C2E">
            <w:pPr>
              <w:jc w:val="both"/>
              <w:rPr>
                <w:sz w:val="20"/>
                <w:lang w:val="en-CA"/>
              </w:rPr>
            </w:pPr>
          </w:p>
          <w:p w:rsidR="002B2C2E" w:rsidRPr="00893C26" w:rsidRDefault="002B2C2E" w:rsidP="002B2C2E">
            <w:pPr>
              <w:jc w:val="both"/>
              <w:rPr>
                <w:sz w:val="20"/>
                <w:lang w:val="en-CA"/>
              </w:rPr>
            </w:pPr>
            <w:r w:rsidRPr="00893C26">
              <w:rPr>
                <w:sz w:val="20"/>
                <w:lang w:val="en-CA"/>
              </w:rPr>
              <w:t xml:space="preserve">The applicant, Alain Maïo, filed an application in the Superior Court for the partial annulment of a final arbitration award made on November 20, 2020 in a dispute involving the respondents, Hugo Lambert and ISL Technologie inc. Mr. Maïo sought the annulment of the decision ordering the parties to share the arbitration costs equally. He also asked that the arbitrator’s findings </w:t>
            </w:r>
            <w:proofErr w:type="gramStart"/>
            <w:r w:rsidRPr="00893C26">
              <w:rPr>
                <w:sz w:val="20"/>
                <w:lang w:val="en-CA"/>
              </w:rPr>
              <w:t>be reversed</w:t>
            </w:r>
            <w:proofErr w:type="gramEnd"/>
            <w:r w:rsidRPr="00893C26">
              <w:rPr>
                <w:sz w:val="20"/>
                <w:lang w:val="en-CA"/>
              </w:rPr>
              <w:t xml:space="preserve"> in order to award him part of the profits generated by ISL Technologie between January 12, 2012 and November 20, 2020, and he sought damages to compensate for the respondents’ abusive conduct during the arbitration process. The Superior Court dismissed the application for annulment. The Court of Appeal granted the motion to dismiss the appeal and dismissed the appeal.</w:t>
            </w:r>
          </w:p>
        </w:tc>
      </w:tr>
      <w:tr w:rsidR="002B2C2E" w:rsidRPr="00893C26">
        <w:tc>
          <w:tcPr>
            <w:tcW w:w="5000" w:type="pct"/>
            <w:gridSpan w:val="4"/>
          </w:tcPr>
          <w:p w:rsidR="002B2C2E" w:rsidRPr="00893C26" w:rsidRDefault="002B2C2E" w:rsidP="002B2C2E">
            <w:pPr>
              <w:jc w:val="both"/>
              <w:rPr>
                <w:sz w:val="20"/>
                <w:lang w:val="en-CA"/>
              </w:rPr>
            </w:pPr>
          </w:p>
        </w:tc>
      </w:tr>
      <w:tr w:rsidR="002B2C2E" w:rsidRPr="00893C26">
        <w:tc>
          <w:tcPr>
            <w:tcW w:w="2427" w:type="pct"/>
            <w:gridSpan w:val="2"/>
          </w:tcPr>
          <w:p w:rsidR="002B2C2E" w:rsidRPr="00893C26" w:rsidRDefault="002B2C2E" w:rsidP="002B2C2E">
            <w:pPr>
              <w:jc w:val="both"/>
              <w:rPr>
                <w:sz w:val="20"/>
                <w:lang w:val="en-CA"/>
              </w:rPr>
            </w:pPr>
            <w:r w:rsidRPr="00893C26">
              <w:rPr>
                <w:sz w:val="20"/>
                <w:lang w:val="en-CA"/>
              </w:rPr>
              <w:t>September 20, 2021</w:t>
            </w:r>
          </w:p>
          <w:p w:rsidR="002B2C2E" w:rsidRPr="00893C26" w:rsidRDefault="002B2C2E" w:rsidP="002B2C2E">
            <w:pPr>
              <w:jc w:val="both"/>
              <w:rPr>
                <w:sz w:val="20"/>
                <w:lang w:val="en-CA"/>
              </w:rPr>
            </w:pPr>
            <w:r w:rsidRPr="00893C26">
              <w:rPr>
                <w:sz w:val="20"/>
                <w:lang w:val="en-CA"/>
              </w:rPr>
              <w:t>Quebec Superior Court</w:t>
            </w:r>
          </w:p>
          <w:p w:rsidR="002B2C2E" w:rsidRPr="00893C26" w:rsidRDefault="002B2C2E" w:rsidP="002B2C2E">
            <w:pPr>
              <w:jc w:val="both"/>
              <w:rPr>
                <w:sz w:val="20"/>
                <w:lang w:val="en-CA"/>
              </w:rPr>
            </w:pPr>
            <w:r w:rsidRPr="00893C26">
              <w:rPr>
                <w:sz w:val="20"/>
                <w:lang w:val="en-CA"/>
              </w:rPr>
              <w:t>(Castonguay J.)</w:t>
            </w:r>
          </w:p>
          <w:p w:rsidR="002B2C2E" w:rsidRPr="00893C26" w:rsidRDefault="00893C26" w:rsidP="002B2C2E">
            <w:pPr>
              <w:jc w:val="both"/>
              <w:rPr>
                <w:sz w:val="20"/>
                <w:lang w:val="en-CA"/>
              </w:rPr>
            </w:pPr>
            <w:hyperlink r:id="rId55" w:history="1">
              <w:r w:rsidR="002B2C2E" w:rsidRPr="00893C26">
                <w:rPr>
                  <w:rStyle w:val="Hyperlink"/>
                  <w:sz w:val="20"/>
                  <w:lang w:val="en-CA"/>
                </w:rPr>
                <w:t>2021 QCCS 3884</w:t>
              </w:r>
            </w:hyperlink>
          </w:p>
          <w:p w:rsidR="002B2C2E" w:rsidRPr="00893C26" w:rsidRDefault="002B2C2E" w:rsidP="002B2C2E">
            <w:pPr>
              <w:jc w:val="both"/>
              <w:rPr>
                <w:sz w:val="20"/>
                <w:lang w:val="en-CA"/>
              </w:rPr>
            </w:pPr>
          </w:p>
        </w:tc>
        <w:tc>
          <w:tcPr>
            <w:tcW w:w="243" w:type="pct"/>
          </w:tcPr>
          <w:p w:rsidR="002B2C2E" w:rsidRPr="00893C26" w:rsidRDefault="002B2C2E" w:rsidP="002B2C2E">
            <w:pPr>
              <w:jc w:val="both"/>
              <w:rPr>
                <w:sz w:val="20"/>
                <w:lang w:val="en-CA"/>
              </w:rPr>
            </w:pPr>
          </w:p>
        </w:tc>
        <w:tc>
          <w:tcPr>
            <w:tcW w:w="2330" w:type="pct"/>
          </w:tcPr>
          <w:p w:rsidR="002B2C2E" w:rsidRPr="00893C26" w:rsidRDefault="002B2C2E" w:rsidP="002B2C2E">
            <w:pPr>
              <w:jc w:val="both"/>
              <w:rPr>
                <w:sz w:val="20"/>
                <w:lang w:val="en-CA"/>
              </w:rPr>
            </w:pPr>
            <w:r w:rsidRPr="00893C26">
              <w:rPr>
                <w:sz w:val="20"/>
                <w:lang w:val="en-CA"/>
              </w:rPr>
              <w:t>Amended application for partial annulment dismissed</w:t>
            </w:r>
          </w:p>
          <w:p w:rsidR="002B2C2E" w:rsidRPr="00893C26" w:rsidRDefault="002B2C2E" w:rsidP="002B2C2E">
            <w:pPr>
              <w:jc w:val="both"/>
              <w:rPr>
                <w:sz w:val="20"/>
                <w:lang w:val="en-CA"/>
              </w:rPr>
            </w:pPr>
          </w:p>
        </w:tc>
      </w:tr>
      <w:tr w:rsidR="002B2C2E" w:rsidRPr="00893C26">
        <w:tc>
          <w:tcPr>
            <w:tcW w:w="2427" w:type="pct"/>
            <w:gridSpan w:val="2"/>
          </w:tcPr>
          <w:p w:rsidR="002B2C2E" w:rsidRPr="00893C26" w:rsidRDefault="002B2C2E" w:rsidP="002B2C2E">
            <w:pPr>
              <w:jc w:val="both"/>
              <w:rPr>
                <w:sz w:val="20"/>
                <w:lang w:val="en-CA"/>
              </w:rPr>
            </w:pPr>
            <w:r w:rsidRPr="00893C26">
              <w:rPr>
                <w:sz w:val="20"/>
                <w:lang w:val="en-CA"/>
              </w:rPr>
              <w:t>January 31, 2022</w:t>
            </w:r>
          </w:p>
          <w:p w:rsidR="002B2C2E" w:rsidRPr="00893C26" w:rsidRDefault="002B2C2E" w:rsidP="002B2C2E">
            <w:pPr>
              <w:jc w:val="both"/>
              <w:rPr>
                <w:sz w:val="20"/>
                <w:lang w:val="en-CA"/>
              </w:rPr>
            </w:pPr>
            <w:r w:rsidRPr="00893C26">
              <w:rPr>
                <w:sz w:val="20"/>
                <w:lang w:val="en-CA"/>
              </w:rPr>
              <w:t>Quebec Court of Appeal (Montréal)</w:t>
            </w:r>
          </w:p>
          <w:p w:rsidR="002B2C2E" w:rsidRPr="00893C26" w:rsidRDefault="002B2C2E" w:rsidP="002B2C2E">
            <w:pPr>
              <w:jc w:val="both"/>
              <w:rPr>
                <w:sz w:val="20"/>
                <w:lang w:val="en-CA"/>
              </w:rPr>
            </w:pPr>
            <w:r w:rsidRPr="00893C26">
              <w:rPr>
                <w:sz w:val="20"/>
                <w:lang w:val="en-CA"/>
              </w:rPr>
              <w:t>(Savard C.J. and Mainville and</w:t>
            </w:r>
          </w:p>
          <w:p w:rsidR="002B2C2E" w:rsidRPr="00893C26" w:rsidRDefault="002B2C2E" w:rsidP="002B2C2E">
            <w:pPr>
              <w:jc w:val="both"/>
              <w:rPr>
                <w:sz w:val="20"/>
                <w:lang w:val="en-CA"/>
              </w:rPr>
            </w:pPr>
            <w:r w:rsidRPr="00893C26">
              <w:rPr>
                <w:sz w:val="20"/>
                <w:lang w:val="en-CA"/>
              </w:rPr>
              <w:t>Kalichman JJ.A.)</w:t>
            </w:r>
          </w:p>
          <w:p w:rsidR="002B2C2E" w:rsidRPr="00893C26" w:rsidRDefault="00893C26" w:rsidP="002B2C2E">
            <w:pPr>
              <w:jc w:val="both"/>
              <w:rPr>
                <w:sz w:val="20"/>
                <w:lang w:val="en-CA"/>
              </w:rPr>
            </w:pPr>
            <w:hyperlink r:id="rId56" w:history="1">
              <w:r w:rsidR="002B2C2E" w:rsidRPr="00893C26">
                <w:rPr>
                  <w:rStyle w:val="Hyperlink"/>
                  <w:sz w:val="20"/>
                  <w:lang w:val="en-CA"/>
                </w:rPr>
                <w:t>2022 QCCA 157</w:t>
              </w:r>
            </w:hyperlink>
          </w:p>
          <w:p w:rsidR="002B2C2E" w:rsidRPr="00893C26" w:rsidRDefault="002B2C2E" w:rsidP="002B2C2E">
            <w:pPr>
              <w:jc w:val="both"/>
              <w:rPr>
                <w:sz w:val="20"/>
                <w:lang w:val="en-CA"/>
              </w:rPr>
            </w:pPr>
          </w:p>
        </w:tc>
        <w:tc>
          <w:tcPr>
            <w:tcW w:w="243" w:type="pct"/>
          </w:tcPr>
          <w:p w:rsidR="002B2C2E" w:rsidRPr="00893C26" w:rsidRDefault="002B2C2E" w:rsidP="002B2C2E">
            <w:pPr>
              <w:jc w:val="both"/>
              <w:rPr>
                <w:sz w:val="20"/>
                <w:lang w:val="en-CA"/>
              </w:rPr>
            </w:pPr>
          </w:p>
        </w:tc>
        <w:tc>
          <w:tcPr>
            <w:tcW w:w="2330" w:type="pct"/>
          </w:tcPr>
          <w:p w:rsidR="002B2C2E" w:rsidRPr="00893C26" w:rsidRDefault="002B2C2E" w:rsidP="002B2C2E">
            <w:pPr>
              <w:jc w:val="both"/>
              <w:rPr>
                <w:sz w:val="20"/>
                <w:lang w:val="en-CA"/>
              </w:rPr>
            </w:pPr>
            <w:r w:rsidRPr="00893C26">
              <w:rPr>
                <w:sz w:val="20"/>
                <w:lang w:val="en-CA"/>
              </w:rPr>
              <w:t>Motion to dismiss appeal granted</w:t>
            </w:r>
          </w:p>
          <w:p w:rsidR="002B2C2E" w:rsidRPr="00893C26" w:rsidRDefault="002B2C2E" w:rsidP="002B2C2E">
            <w:pPr>
              <w:jc w:val="both"/>
              <w:rPr>
                <w:sz w:val="20"/>
                <w:lang w:val="en-CA"/>
              </w:rPr>
            </w:pPr>
            <w:r w:rsidRPr="00893C26">
              <w:rPr>
                <w:sz w:val="20"/>
                <w:lang w:val="en-CA"/>
              </w:rPr>
              <w:t>Appeal dismissed</w:t>
            </w:r>
          </w:p>
          <w:p w:rsidR="002B2C2E" w:rsidRPr="00893C26" w:rsidRDefault="002B2C2E" w:rsidP="002B2C2E">
            <w:pPr>
              <w:jc w:val="both"/>
              <w:rPr>
                <w:sz w:val="20"/>
                <w:lang w:val="en-CA"/>
              </w:rPr>
            </w:pPr>
          </w:p>
        </w:tc>
      </w:tr>
      <w:tr w:rsidR="002B2C2E" w:rsidRPr="00893C26">
        <w:tc>
          <w:tcPr>
            <w:tcW w:w="2427" w:type="pct"/>
            <w:gridSpan w:val="2"/>
          </w:tcPr>
          <w:p w:rsidR="002B2C2E" w:rsidRPr="00893C26" w:rsidRDefault="002B2C2E" w:rsidP="002B2C2E">
            <w:pPr>
              <w:jc w:val="both"/>
              <w:rPr>
                <w:sz w:val="20"/>
                <w:lang w:val="en-CA"/>
              </w:rPr>
            </w:pPr>
            <w:r w:rsidRPr="00893C26">
              <w:rPr>
                <w:sz w:val="20"/>
                <w:lang w:val="en-CA"/>
              </w:rPr>
              <w:t>March 31, 2022</w:t>
            </w:r>
          </w:p>
          <w:p w:rsidR="002B2C2E" w:rsidRPr="00893C26" w:rsidRDefault="002B2C2E" w:rsidP="002B2C2E">
            <w:pPr>
              <w:jc w:val="both"/>
              <w:rPr>
                <w:sz w:val="20"/>
                <w:lang w:val="en-CA"/>
              </w:rPr>
            </w:pPr>
            <w:r w:rsidRPr="00893C26">
              <w:rPr>
                <w:sz w:val="20"/>
                <w:lang w:val="en-CA"/>
              </w:rPr>
              <w:t>Supreme Court of Canada</w:t>
            </w:r>
          </w:p>
        </w:tc>
        <w:tc>
          <w:tcPr>
            <w:tcW w:w="243" w:type="pct"/>
          </w:tcPr>
          <w:p w:rsidR="002B2C2E" w:rsidRPr="00893C26" w:rsidRDefault="002B2C2E" w:rsidP="002B2C2E">
            <w:pPr>
              <w:jc w:val="both"/>
              <w:rPr>
                <w:sz w:val="20"/>
                <w:lang w:val="en-CA"/>
              </w:rPr>
            </w:pPr>
          </w:p>
        </w:tc>
        <w:tc>
          <w:tcPr>
            <w:tcW w:w="2330" w:type="pct"/>
          </w:tcPr>
          <w:p w:rsidR="002B2C2E" w:rsidRPr="00893C26" w:rsidRDefault="002B2C2E" w:rsidP="002B2C2E">
            <w:pPr>
              <w:jc w:val="both"/>
              <w:rPr>
                <w:sz w:val="20"/>
                <w:lang w:val="en-CA"/>
              </w:rPr>
            </w:pPr>
            <w:r w:rsidRPr="00893C26">
              <w:rPr>
                <w:sz w:val="20"/>
                <w:lang w:val="en-CA"/>
              </w:rPr>
              <w:t>Application for leave to appeal filed</w:t>
            </w:r>
          </w:p>
          <w:p w:rsidR="002B2C2E" w:rsidRPr="00893C26" w:rsidRDefault="002B2C2E" w:rsidP="002B2C2E">
            <w:pPr>
              <w:jc w:val="both"/>
              <w:rPr>
                <w:sz w:val="20"/>
                <w:lang w:val="en-CA"/>
              </w:rPr>
            </w:pPr>
          </w:p>
        </w:tc>
      </w:tr>
    </w:tbl>
    <w:p w:rsidR="002B2C2E" w:rsidRPr="00893C26" w:rsidRDefault="002B2C2E" w:rsidP="002B2C2E">
      <w:pPr>
        <w:jc w:val="both"/>
        <w:rPr>
          <w:sz w:val="20"/>
          <w:lang w:val="en-CA"/>
        </w:rPr>
      </w:pPr>
    </w:p>
    <w:p w:rsidR="00311655" w:rsidRPr="00893C26" w:rsidRDefault="00893C26" w:rsidP="002B2C2E">
      <w:pPr>
        <w:jc w:val="both"/>
        <w:rPr>
          <w:sz w:val="20"/>
          <w:lang w:val="en-CA"/>
        </w:rPr>
      </w:pPr>
      <w:r w:rsidRPr="00893C26">
        <w:rPr>
          <w:sz w:val="20"/>
        </w:rPr>
        <w:pict>
          <v:rect id="_x0000_i1043" style="width:2in;height:1pt" o:hrpct="0" o:hralign="center" o:hrstd="t" o:hrnoshade="t" o:hr="t" fillcolor="black [3213]" stroked="f"/>
        </w:pict>
      </w:r>
    </w:p>
    <w:p w:rsidR="00311655" w:rsidRPr="00893C26" w:rsidRDefault="00311655" w:rsidP="002B2C2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2C2E" w:rsidRPr="00893C26">
        <w:tc>
          <w:tcPr>
            <w:tcW w:w="543" w:type="pct"/>
          </w:tcPr>
          <w:p w:rsidR="002B2C2E" w:rsidRPr="00893C26" w:rsidRDefault="002B2C2E" w:rsidP="002B2C2E">
            <w:pPr>
              <w:jc w:val="both"/>
              <w:rPr>
                <w:sz w:val="20"/>
              </w:rPr>
            </w:pPr>
            <w:r w:rsidRPr="00893C26">
              <w:rPr>
                <w:rStyle w:val="SCCFileNumberChar"/>
                <w:sz w:val="20"/>
                <w:szCs w:val="20"/>
              </w:rPr>
              <w:t>40131</w:t>
            </w:r>
          </w:p>
        </w:tc>
        <w:tc>
          <w:tcPr>
            <w:tcW w:w="4457" w:type="pct"/>
            <w:gridSpan w:val="3"/>
          </w:tcPr>
          <w:p w:rsidR="002B2C2E" w:rsidRPr="00893C26" w:rsidRDefault="002B2C2E" w:rsidP="002B2C2E">
            <w:pPr>
              <w:pStyle w:val="SCCLsocParty"/>
              <w:jc w:val="both"/>
              <w:rPr>
                <w:b/>
                <w:sz w:val="20"/>
                <w:szCs w:val="20"/>
              </w:rPr>
            </w:pPr>
            <w:r w:rsidRPr="00893C26">
              <w:rPr>
                <w:b/>
                <w:sz w:val="20"/>
                <w:szCs w:val="20"/>
              </w:rPr>
              <w:t>Alain Maïo c. Hugo Lambert et ISL Technologie inc.</w:t>
            </w:r>
          </w:p>
          <w:p w:rsidR="002B2C2E" w:rsidRPr="00893C26" w:rsidRDefault="002B2C2E" w:rsidP="002B2C2E">
            <w:pPr>
              <w:jc w:val="both"/>
              <w:rPr>
                <w:sz w:val="20"/>
              </w:rPr>
            </w:pPr>
            <w:r w:rsidRPr="00893C26">
              <w:rPr>
                <w:sz w:val="20"/>
              </w:rPr>
              <w:t>(Qc) (Civile) (Autorisation)</w:t>
            </w:r>
          </w:p>
        </w:tc>
      </w:tr>
      <w:tr w:rsidR="002B2C2E" w:rsidRPr="00893C26">
        <w:tc>
          <w:tcPr>
            <w:tcW w:w="5000" w:type="pct"/>
            <w:gridSpan w:val="4"/>
          </w:tcPr>
          <w:p w:rsidR="002B2C2E" w:rsidRPr="00893C26" w:rsidRDefault="002B2C2E" w:rsidP="002B2C2E">
            <w:pPr>
              <w:jc w:val="both"/>
              <w:rPr>
                <w:sz w:val="20"/>
                <w:lang w:val="fr-CA"/>
              </w:rPr>
            </w:pPr>
            <w:r w:rsidRPr="00893C26">
              <w:rPr>
                <w:sz w:val="20"/>
                <w:lang w:val="fr-CA"/>
              </w:rPr>
              <w:t xml:space="preserve">Procédure civile </w:t>
            </w:r>
            <w:r w:rsidRPr="00893C26">
              <w:rPr>
                <w:sz w:val="20"/>
              </w:rPr>
              <w:t>⸺</w:t>
            </w:r>
            <w:r w:rsidRPr="00893C26">
              <w:rPr>
                <w:sz w:val="20"/>
                <w:lang w:val="fr-CA"/>
              </w:rPr>
              <w:t xml:space="preserve"> Appel </w:t>
            </w:r>
            <w:r w:rsidRPr="00893C26">
              <w:rPr>
                <w:sz w:val="20"/>
              </w:rPr>
              <w:t>⸺</w:t>
            </w:r>
            <w:r w:rsidRPr="00893C26">
              <w:rPr>
                <w:sz w:val="20"/>
                <w:lang w:val="fr-CA"/>
              </w:rPr>
              <w:t xml:space="preserve"> Appel sur permission ou de plein droit </w:t>
            </w:r>
            <w:r w:rsidRPr="00893C26">
              <w:rPr>
                <w:sz w:val="20"/>
              </w:rPr>
              <w:t>⸺</w:t>
            </w:r>
            <w:r w:rsidRPr="00893C26">
              <w:rPr>
                <w:sz w:val="20"/>
                <w:lang w:val="fr-CA"/>
              </w:rPr>
              <w:t xml:space="preserve"> Jugement de la Cour supérieure sur une demande d’annulation d’une sentence arbitrale </w:t>
            </w:r>
            <w:r w:rsidRPr="00893C26">
              <w:rPr>
                <w:sz w:val="20"/>
              </w:rPr>
              <w:t>⸺</w:t>
            </w:r>
            <w:r w:rsidRPr="00893C26">
              <w:rPr>
                <w:sz w:val="20"/>
                <w:lang w:val="fr-CA"/>
              </w:rPr>
              <w:t xml:space="preserve"> Jugement rendu en matière d’exécution </w:t>
            </w:r>
            <w:r w:rsidRPr="00893C26">
              <w:rPr>
                <w:sz w:val="20"/>
              </w:rPr>
              <w:t>⸺</w:t>
            </w:r>
            <w:r w:rsidRPr="00893C26">
              <w:rPr>
                <w:sz w:val="20"/>
                <w:lang w:val="fr-CA"/>
              </w:rPr>
              <w:t xml:space="preserve"> En l’espèce, la Cour d’appel a-t-elle erré en droit dans son interprétation de </w:t>
            </w:r>
            <w:r w:rsidRPr="00893C26">
              <w:rPr>
                <w:i/>
                <w:sz w:val="20"/>
                <w:lang w:val="fr-CA"/>
              </w:rPr>
              <w:t>Geci Española c. Government of The Dominican Republic</w:t>
            </w:r>
            <w:r w:rsidRPr="00893C26">
              <w:rPr>
                <w:sz w:val="20"/>
                <w:lang w:val="fr-CA"/>
              </w:rPr>
              <w:t xml:space="preserve">, 2017 QCCA 1298 ? </w:t>
            </w:r>
            <w:r w:rsidRPr="00893C26">
              <w:rPr>
                <w:sz w:val="20"/>
              </w:rPr>
              <w:t>⸺</w:t>
            </w:r>
            <w:r w:rsidRPr="00893C26">
              <w:rPr>
                <w:sz w:val="20"/>
                <w:lang w:val="fr-CA"/>
              </w:rPr>
              <w:t xml:space="preserve"> </w:t>
            </w:r>
            <w:r w:rsidRPr="00893C26">
              <w:rPr>
                <w:i/>
                <w:sz w:val="20"/>
                <w:lang w:val="fr-CA"/>
              </w:rPr>
              <w:t xml:space="preserve">Code de procédure civile, </w:t>
            </w:r>
            <w:r w:rsidRPr="00893C26">
              <w:rPr>
                <w:sz w:val="20"/>
                <w:lang w:val="fr-CA"/>
              </w:rPr>
              <w:t>RLRQ c C-25.01,</w:t>
            </w:r>
            <w:r w:rsidRPr="00893C26">
              <w:rPr>
                <w:i/>
                <w:sz w:val="20"/>
                <w:lang w:val="fr-CA"/>
              </w:rPr>
              <w:t xml:space="preserve"> </w:t>
            </w:r>
            <w:r w:rsidRPr="00893C26">
              <w:rPr>
                <w:sz w:val="20"/>
                <w:lang w:val="fr-CA"/>
              </w:rPr>
              <w:t>art. 30 al. 2, par. 8.</w:t>
            </w:r>
          </w:p>
        </w:tc>
      </w:tr>
      <w:tr w:rsidR="002B2C2E" w:rsidRPr="00893C26">
        <w:tc>
          <w:tcPr>
            <w:tcW w:w="5000" w:type="pct"/>
            <w:gridSpan w:val="4"/>
          </w:tcPr>
          <w:p w:rsidR="002B2C2E" w:rsidRPr="00893C26" w:rsidRDefault="002B2C2E" w:rsidP="002B2C2E">
            <w:pPr>
              <w:jc w:val="both"/>
              <w:rPr>
                <w:sz w:val="20"/>
                <w:lang w:val="fr-CA"/>
              </w:rPr>
            </w:pPr>
          </w:p>
          <w:p w:rsidR="002B2C2E" w:rsidRPr="00893C26" w:rsidRDefault="002B2C2E" w:rsidP="002B2C2E">
            <w:pPr>
              <w:jc w:val="both"/>
              <w:rPr>
                <w:sz w:val="20"/>
                <w:lang w:val="fr-CA"/>
              </w:rPr>
            </w:pPr>
            <w:r w:rsidRPr="00893C26">
              <w:rPr>
                <w:sz w:val="20"/>
                <w:lang w:val="fr-CA"/>
              </w:rPr>
              <w:t>Le demandeur M. Alain Maïo a déposé en Cour supérieure une demande en annulation partielle d’une sentence arbitrale finale prononcée le 20 novembre 2020 dans le cadre d’un litige impliquant les intimés M. Hugo Lambert et ISL Technologie inc. M. Maïo demandait l’annulation de la décision ordonnant le partage à parts égales des frais d’arbitrage entre les parties. Il demandait également de réformer les conclusions de l’arbitre afin de se voir attribuer une partie des bénéfices générés par ISL Technologie entre le 12 janvier 2012 jusqu’au 20 novembre 2020 et de se faire accorder des dommages afin de compenser le comportement abusif des intimés pendant le processus arbitral. La Cour supérieure a rejeté la demande en annulation. La Cour d’appel a accueilli la requête en rejet d’appel et a rejeté l’appel.</w:t>
            </w:r>
          </w:p>
        </w:tc>
      </w:tr>
      <w:tr w:rsidR="002B2C2E" w:rsidRPr="00893C26">
        <w:tc>
          <w:tcPr>
            <w:tcW w:w="5000" w:type="pct"/>
            <w:gridSpan w:val="4"/>
          </w:tcPr>
          <w:p w:rsidR="002B2C2E" w:rsidRPr="00893C26" w:rsidRDefault="002B2C2E" w:rsidP="002B2C2E">
            <w:pPr>
              <w:jc w:val="both"/>
              <w:rPr>
                <w:sz w:val="20"/>
                <w:lang w:val="fr-CA"/>
              </w:rPr>
            </w:pPr>
          </w:p>
        </w:tc>
      </w:tr>
      <w:tr w:rsidR="002B2C2E" w:rsidRPr="00893C26">
        <w:tc>
          <w:tcPr>
            <w:tcW w:w="2427" w:type="pct"/>
            <w:gridSpan w:val="2"/>
          </w:tcPr>
          <w:p w:rsidR="002B2C2E" w:rsidRPr="00893C26" w:rsidRDefault="002B2C2E" w:rsidP="002B2C2E">
            <w:pPr>
              <w:jc w:val="both"/>
              <w:rPr>
                <w:sz w:val="20"/>
                <w:lang w:val="fr-CA"/>
              </w:rPr>
            </w:pPr>
            <w:r w:rsidRPr="00893C26">
              <w:rPr>
                <w:sz w:val="20"/>
                <w:lang w:val="fr-CA"/>
              </w:rPr>
              <w:t>Le 20 septembre 2021</w:t>
            </w:r>
          </w:p>
          <w:p w:rsidR="002B2C2E" w:rsidRPr="00893C26" w:rsidRDefault="002B2C2E" w:rsidP="002B2C2E">
            <w:pPr>
              <w:jc w:val="both"/>
              <w:rPr>
                <w:sz w:val="20"/>
                <w:lang w:val="fr-CA"/>
              </w:rPr>
            </w:pPr>
            <w:r w:rsidRPr="00893C26">
              <w:rPr>
                <w:sz w:val="20"/>
                <w:lang w:val="fr-CA"/>
              </w:rPr>
              <w:t>Cour supérieure du Québec</w:t>
            </w:r>
          </w:p>
          <w:p w:rsidR="002B2C2E" w:rsidRPr="00893C26" w:rsidRDefault="002B2C2E" w:rsidP="002B2C2E">
            <w:pPr>
              <w:jc w:val="both"/>
              <w:rPr>
                <w:sz w:val="20"/>
              </w:rPr>
            </w:pPr>
            <w:r w:rsidRPr="00893C26">
              <w:rPr>
                <w:sz w:val="20"/>
              </w:rPr>
              <w:t>(Le juge Castonguay)</w:t>
            </w:r>
          </w:p>
          <w:p w:rsidR="002B2C2E" w:rsidRPr="00893C26" w:rsidRDefault="00893C26" w:rsidP="002B2C2E">
            <w:pPr>
              <w:jc w:val="both"/>
              <w:rPr>
                <w:sz w:val="20"/>
              </w:rPr>
            </w:pPr>
            <w:hyperlink r:id="rId57" w:history="1">
              <w:r w:rsidR="002B2C2E" w:rsidRPr="00893C26">
                <w:rPr>
                  <w:rStyle w:val="Hyperlink"/>
                  <w:sz w:val="20"/>
                </w:rPr>
                <w:t>2021 QCCS 3884</w:t>
              </w:r>
            </w:hyperlink>
          </w:p>
          <w:p w:rsidR="002B2C2E" w:rsidRPr="00893C26" w:rsidRDefault="002B2C2E" w:rsidP="002B2C2E">
            <w:pPr>
              <w:jc w:val="both"/>
              <w:rPr>
                <w:sz w:val="20"/>
              </w:rPr>
            </w:pPr>
          </w:p>
        </w:tc>
        <w:tc>
          <w:tcPr>
            <w:tcW w:w="243" w:type="pct"/>
          </w:tcPr>
          <w:p w:rsidR="002B2C2E" w:rsidRPr="00893C26" w:rsidRDefault="002B2C2E" w:rsidP="002B2C2E">
            <w:pPr>
              <w:jc w:val="both"/>
              <w:rPr>
                <w:sz w:val="20"/>
              </w:rPr>
            </w:pPr>
          </w:p>
        </w:tc>
        <w:tc>
          <w:tcPr>
            <w:tcW w:w="2330" w:type="pct"/>
          </w:tcPr>
          <w:p w:rsidR="002B2C2E" w:rsidRPr="00893C26" w:rsidRDefault="002B2C2E" w:rsidP="002B2C2E">
            <w:pPr>
              <w:jc w:val="both"/>
              <w:rPr>
                <w:sz w:val="20"/>
                <w:lang w:val="fr-CA"/>
              </w:rPr>
            </w:pPr>
            <w:r w:rsidRPr="00893C26">
              <w:rPr>
                <w:sz w:val="20"/>
                <w:lang w:val="fr-CA"/>
              </w:rPr>
              <w:t>Demande d’annulation partielle modifiée rejetée.</w:t>
            </w:r>
          </w:p>
          <w:p w:rsidR="002B2C2E" w:rsidRPr="00893C26" w:rsidRDefault="002B2C2E" w:rsidP="002B2C2E">
            <w:pPr>
              <w:jc w:val="both"/>
              <w:rPr>
                <w:sz w:val="20"/>
                <w:lang w:val="fr-CA"/>
              </w:rPr>
            </w:pPr>
          </w:p>
        </w:tc>
      </w:tr>
      <w:tr w:rsidR="002B2C2E" w:rsidRPr="00893C26">
        <w:tc>
          <w:tcPr>
            <w:tcW w:w="2427" w:type="pct"/>
            <w:gridSpan w:val="2"/>
          </w:tcPr>
          <w:p w:rsidR="002B2C2E" w:rsidRPr="00893C26" w:rsidRDefault="002B2C2E" w:rsidP="002B2C2E">
            <w:pPr>
              <w:jc w:val="both"/>
              <w:rPr>
                <w:sz w:val="20"/>
                <w:lang w:val="fr-CA"/>
              </w:rPr>
            </w:pPr>
            <w:r w:rsidRPr="00893C26">
              <w:rPr>
                <w:sz w:val="20"/>
                <w:lang w:val="fr-CA"/>
              </w:rPr>
              <w:t>Le 31 janvier 2022</w:t>
            </w:r>
          </w:p>
          <w:p w:rsidR="002B2C2E" w:rsidRPr="00893C26" w:rsidRDefault="002B2C2E" w:rsidP="002B2C2E">
            <w:pPr>
              <w:jc w:val="both"/>
              <w:rPr>
                <w:sz w:val="20"/>
                <w:lang w:val="fr-CA"/>
              </w:rPr>
            </w:pPr>
            <w:r w:rsidRPr="00893C26">
              <w:rPr>
                <w:sz w:val="20"/>
                <w:lang w:val="fr-CA"/>
              </w:rPr>
              <w:t>Cour d’appel du Québec (Montréal)</w:t>
            </w:r>
          </w:p>
          <w:p w:rsidR="002B2C2E" w:rsidRPr="00893C26" w:rsidRDefault="002B2C2E" w:rsidP="002B2C2E">
            <w:pPr>
              <w:jc w:val="both"/>
              <w:rPr>
                <w:sz w:val="20"/>
                <w:lang w:val="fr-CA"/>
              </w:rPr>
            </w:pPr>
            <w:r w:rsidRPr="00893C26">
              <w:rPr>
                <w:sz w:val="20"/>
                <w:lang w:val="fr-CA"/>
              </w:rPr>
              <w:t>(La juge en chef Savard et les juges Mainville</w:t>
            </w:r>
          </w:p>
          <w:p w:rsidR="002B2C2E" w:rsidRPr="00893C26" w:rsidRDefault="002B2C2E" w:rsidP="002B2C2E">
            <w:pPr>
              <w:jc w:val="both"/>
              <w:rPr>
                <w:sz w:val="20"/>
              </w:rPr>
            </w:pPr>
            <w:r w:rsidRPr="00893C26">
              <w:rPr>
                <w:sz w:val="20"/>
              </w:rPr>
              <w:t>et Kalichman)</w:t>
            </w:r>
          </w:p>
          <w:p w:rsidR="002B2C2E" w:rsidRPr="00893C26" w:rsidRDefault="00893C26" w:rsidP="002B2C2E">
            <w:pPr>
              <w:jc w:val="both"/>
              <w:rPr>
                <w:sz w:val="20"/>
              </w:rPr>
            </w:pPr>
            <w:hyperlink r:id="rId58" w:history="1">
              <w:r w:rsidR="002B2C2E" w:rsidRPr="00893C26">
                <w:rPr>
                  <w:rStyle w:val="Hyperlink"/>
                  <w:sz w:val="20"/>
                </w:rPr>
                <w:t>2022 QCCA 157</w:t>
              </w:r>
            </w:hyperlink>
          </w:p>
          <w:p w:rsidR="002B2C2E" w:rsidRPr="00893C26" w:rsidRDefault="002B2C2E" w:rsidP="002B2C2E">
            <w:pPr>
              <w:jc w:val="both"/>
              <w:rPr>
                <w:sz w:val="20"/>
              </w:rPr>
            </w:pPr>
          </w:p>
        </w:tc>
        <w:tc>
          <w:tcPr>
            <w:tcW w:w="243" w:type="pct"/>
          </w:tcPr>
          <w:p w:rsidR="002B2C2E" w:rsidRPr="00893C26" w:rsidRDefault="002B2C2E" w:rsidP="002B2C2E">
            <w:pPr>
              <w:jc w:val="both"/>
              <w:rPr>
                <w:sz w:val="20"/>
              </w:rPr>
            </w:pPr>
          </w:p>
        </w:tc>
        <w:tc>
          <w:tcPr>
            <w:tcW w:w="2330" w:type="pct"/>
          </w:tcPr>
          <w:p w:rsidR="002B2C2E" w:rsidRPr="00893C26" w:rsidRDefault="002B2C2E" w:rsidP="002B2C2E">
            <w:pPr>
              <w:jc w:val="both"/>
              <w:rPr>
                <w:sz w:val="20"/>
                <w:lang w:val="fr-CA"/>
              </w:rPr>
            </w:pPr>
            <w:r w:rsidRPr="00893C26">
              <w:rPr>
                <w:sz w:val="20"/>
                <w:lang w:val="fr-CA"/>
              </w:rPr>
              <w:t>Requête en rejet d’appel accueillie.</w:t>
            </w:r>
          </w:p>
          <w:p w:rsidR="002B2C2E" w:rsidRPr="00893C26" w:rsidRDefault="002B2C2E" w:rsidP="002B2C2E">
            <w:pPr>
              <w:jc w:val="both"/>
              <w:rPr>
                <w:sz w:val="20"/>
              </w:rPr>
            </w:pPr>
            <w:r w:rsidRPr="00893C26">
              <w:rPr>
                <w:sz w:val="20"/>
              </w:rPr>
              <w:t>Appel rejeté.</w:t>
            </w:r>
          </w:p>
          <w:p w:rsidR="002B2C2E" w:rsidRPr="00893C26" w:rsidRDefault="002B2C2E" w:rsidP="002B2C2E">
            <w:pPr>
              <w:jc w:val="both"/>
              <w:rPr>
                <w:sz w:val="20"/>
              </w:rPr>
            </w:pPr>
          </w:p>
        </w:tc>
      </w:tr>
      <w:tr w:rsidR="002B2C2E" w:rsidRPr="00893C26">
        <w:tc>
          <w:tcPr>
            <w:tcW w:w="2427" w:type="pct"/>
            <w:gridSpan w:val="2"/>
          </w:tcPr>
          <w:p w:rsidR="002B2C2E" w:rsidRPr="00893C26" w:rsidRDefault="002B2C2E" w:rsidP="002B2C2E">
            <w:pPr>
              <w:jc w:val="both"/>
              <w:rPr>
                <w:sz w:val="20"/>
                <w:lang w:val="fr-CA"/>
              </w:rPr>
            </w:pPr>
            <w:r w:rsidRPr="00893C26">
              <w:rPr>
                <w:sz w:val="20"/>
                <w:lang w:val="fr-CA"/>
              </w:rPr>
              <w:t>Le 31 mars 2022</w:t>
            </w:r>
          </w:p>
          <w:p w:rsidR="002B2C2E" w:rsidRPr="00893C26" w:rsidRDefault="002B2C2E" w:rsidP="002B2C2E">
            <w:pPr>
              <w:jc w:val="both"/>
              <w:rPr>
                <w:sz w:val="20"/>
                <w:lang w:val="fr-CA"/>
              </w:rPr>
            </w:pPr>
            <w:r w:rsidRPr="00893C26">
              <w:rPr>
                <w:sz w:val="20"/>
                <w:lang w:val="fr-CA"/>
              </w:rPr>
              <w:t>Cour suprême du Canada</w:t>
            </w:r>
          </w:p>
        </w:tc>
        <w:tc>
          <w:tcPr>
            <w:tcW w:w="243" w:type="pct"/>
          </w:tcPr>
          <w:p w:rsidR="002B2C2E" w:rsidRPr="00893C26" w:rsidRDefault="002B2C2E" w:rsidP="002B2C2E">
            <w:pPr>
              <w:jc w:val="both"/>
              <w:rPr>
                <w:sz w:val="20"/>
                <w:lang w:val="fr-CA"/>
              </w:rPr>
            </w:pPr>
          </w:p>
        </w:tc>
        <w:tc>
          <w:tcPr>
            <w:tcW w:w="2330" w:type="pct"/>
          </w:tcPr>
          <w:p w:rsidR="002B2C2E" w:rsidRPr="00893C26" w:rsidRDefault="002B2C2E" w:rsidP="002B2C2E">
            <w:pPr>
              <w:jc w:val="both"/>
              <w:rPr>
                <w:sz w:val="20"/>
              </w:rPr>
            </w:pPr>
            <w:r w:rsidRPr="00893C26">
              <w:rPr>
                <w:sz w:val="20"/>
              </w:rPr>
              <w:t>Demande d'autorisation d'appel déposée.</w:t>
            </w:r>
          </w:p>
          <w:p w:rsidR="002B2C2E" w:rsidRPr="00893C26" w:rsidRDefault="002B2C2E" w:rsidP="002B2C2E">
            <w:pPr>
              <w:jc w:val="both"/>
              <w:rPr>
                <w:sz w:val="20"/>
              </w:rPr>
            </w:pPr>
          </w:p>
        </w:tc>
      </w:tr>
    </w:tbl>
    <w:p w:rsidR="002B2C2E" w:rsidRPr="00893C26" w:rsidRDefault="002B2C2E" w:rsidP="002B2C2E">
      <w:pPr>
        <w:jc w:val="both"/>
        <w:rPr>
          <w:sz w:val="20"/>
        </w:rPr>
      </w:pPr>
    </w:p>
    <w:p w:rsidR="00311655" w:rsidRPr="00893C26" w:rsidRDefault="00893C26" w:rsidP="002B2C2E">
      <w:pPr>
        <w:jc w:val="both"/>
        <w:rPr>
          <w:sz w:val="20"/>
        </w:rPr>
      </w:pPr>
      <w:r w:rsidRPr="00893C26">
        <w:rPr>
          <w:sz w:val="20"/>
        </w:rPr>
        <w:pict>
          <v:rect id="_x0000_i1044" style="width:2in;height:1pt" o:hrpct="0" o:hralign="center" o:hrstd="t" o:hrnoshade="t" o:hr="t" fillcolor="black [3213]" stroked="f"/>
        </w:pict>
      </w:r>
    </w:p>
    <w:p w:rsidR="00FA7226" w:rsidRPr="00893C26" w:rsidRDefault="00FA7226" w:rsidP="002B2C2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2C2E" w:rsidRPr="00893C26" w:rsidTr="007B67AD">
        <w:tc>
          <w:tcPr>
            <w:tcW w:w="543" w:type="pct"/>
          </w:tcPr>
          <w:p w:rsidR="002B2C2E" w:rsidRPr="00893C26" w:rsidRDefault="002B2C2E" w:rsidP="002B2C2E">
            <w:pPr>
              <w:jc w:val="both"/>
              <w:rPr>
                <w:sz w:val="20"/>
              </w:rPr>
            </w:pPr>
            <w:r w:rsidRPr="00893C26">
              <w:rPr>
                <w:rStyle w:val="SCCFileNumberChar"/>
                <w:sz w:val="20"/>
                <w:szCs w:val="20"/>
              </w:rPr>
              <w:t>39827</w:t>
            </w:r>
          </w:p>
        </w:tc>
        <w:tc>
          <w:tcPr>
            <w:tcW w:w="4457" w:type="pct"/>
            <w:gridSpan w:val="3"/>
          </w:tcPr>
          <w:p w:rsidR="002B2C2E" w:rsidRPr="00893C26" w:rsidRDefault="002B2C2E" w:rsidP="002B2C2E">
            <w:pPr>
              <w:pStyle w:val="SCCLsocParty"/>
              <w:jc w:val="both"/>
              <w:rPr>
                <w:b/>
                <w:sz w:val="20"/>
                <w:szCs w:val="20"/>
                <w:lang w:val="en-US"/>
              </w:rPr>
            </w:pPr>
            <w:r w:rsidRPr="00893C26">
              <w:rPr>
                <w:b/>
                <w:sz w:val="20"/>
                <w:szCs w:val="20"/>
                <w:lang w:val="en-US"/>
              </w:rPr>
              <w:t>Russell Bidesi v. Her Majesty the Queen</w:t>
            </w:r>
          </w:p>
          <w:p w:rsidR="002B2C2E" w:rsidRPr="00893C26" w:rsidRDefault="002B2C2E" w:rsidP="002B2C2E">
            <w:pPr>
              <w:jc w:val="both"/>
              <w:rPr>
                <w:sz w:val="20"/>
              </w:rPr>
            </w:pPr>
            <w:r w:rsidRPr="00893C26">
              <w:rPr>
                <w:sz w:val="20"/>
              </w:rPr>
              <w:t>(B.C.) (Criminal) (By Leave)</w:t>
            </w:r>
          </w:p>
        </w:tc>
      </w:tr>
      <w:tr w:rsidR="002B2C2E" w:rsidRPr="00893C26" w:rsidTr="007B67AD">
        <w:tc>
          <w:tcPr>
            <w:tcW w:w="5000" w:type="pct"/>
            <w:gridSpan w:val="4"/>
          </w:tcPr>
          <w:p w:rsidR="002B2C2E" w:rsidRPr="00893C26" w:rsidRDefault="002B2C2E" w:rsidP="002B2C2E">
            <w:pPr>
              <w:pStyle w:val="SCCBanSummary"/>
              <w:rPr>
                <w:sz w:val="20"/>
                <w:szCs w:val="20"/>
              </w:rPr>
            </w:pPr>
            <w:r w:rsidRPr="00893C26">
              <w:rPr>
                <w:sz w:val="20"/>
                <w:szCs w:val="20"/>
              </w:rPr>
              <w:t>(Publication ban in case)</w:t>
            </w:r>
          </w:p>
          <w:p w:rsidR="002B2C2E" w:rsidRPr="00893C26" w:rsidRDefault="002B2C2E" w:rsidP="002B2C2E">
            <w:pPr>
              <w:jc w:val="both"/>
              <w:rPr>
                <w:sz w:val="20"/>
              </w:rPr>
            </w:pPr>
          </w:p>
          <w:p w:rsidR="002B2C2E" w:rsidRPr="00893C26" w:rsidRDefault="002B2C2E" w:rsidP="002B2C2E">
            <w:pPr>
              <w:jc w:val="both"/>
              <w:rPr>
                <w:sz w:val="20"/>
              </w:rPr>
            </w:pPr>
            <w:r w:rsidRPr="00893C26">
              <w:rPr>
                <w:sz w:val="20"/>
              </w:rPr>
              <w:t xml:space="preserve">Courts — Jurisdiction — Criminal law — Evidence — Trial — Procedure — Reasonableness of verdict — Whether a judge has jurisdiction to permit the Crown to reply in a judge-alone trial where the accused has not called evidence, despite the two-speech model enacted by Parliament — Whether an appellate court can review a verdict for unreasonableness on the basis it was irrationally or illogically rendered where the verdict is based on a positive credibility finding that could otherwise be supported by the evidence — Whether the </w:t>
            </w:r>
            <w:r w:rsidRPr="00893C26">
              <w:rPr>
                <w:i/>
                <w:sz w:val="20"/>
              </w:rPr>
              <w:t xml:space="preserve">W.(D.) </w:t>
            </w:r>
            <w:r w:rsidRPr="00893C26">
              <w:rPr>
                <w:sz w:val="20"/>
              </w:rPr>
              <w:t>analysis should apply to exculpatory evidence inconsistent with guilt that is led in the Crown’s case?</w:t>
            </w:r>
          </w:p>
        </w:tc>
      </w:tr>
      <w:tr w:rsidR="002B2C2E" w:rsidRPr="00893C26" w:rsidTr="007B67AD">
        <w:tc>
          <w:tcPr>
            <w:tcW w:w="5000" w:type="pct"/>
            <w:gridSpan w:val="4"/>
          </w:tcPr>
          <w:p w:rsidR="002B2C2E" w:rsidRPr="00893C26" w:rsidRDefault="002B2C2E" w:rsidP="002B2C2E">
            <w:pPr>
              <w:jc w:val="both"/>
              <w:rPr>
                <w:sz w:val="20"/>
              </w:rPr>
            </w:pPr>
          </w:p>
          <w:p w:rsidR="002B2C2E" w:rsidRPr="00893C26" w:rsidRDefault="002B2C2E" w:rsidP="002B2C2E">
            <w:pPr>
              <w:jc w:val="both"/>
              <w:rPr>
                <w:sz w:val="20"/>
              </w:rPr>
            </w:pPr>
            <w:r w:rsidRPr="00893C26">
              <w:rPr>
                <w:sz w:val="20"/>
              </w:rPr>
              <w:t xml:space="preserve">Mr. McPherson was fatally shot in the back of his head at a house party. Two </w:t>
            </w:r>
            <w:r w:rsidRPr="00893C26">
              <w:rPr>
                <w:i/>
                <w:sz w:val="20"/>
              </w:rPr>
              <w:t>vetrovec</w:t>
            </w:r>
            <w:r w:rsidRPr="00893C26">
              <w:rPr>
                <w:sz w:val="20"/>
              </w:rPr>
              <w:t xml:space="preserve"> witnesses identified Mr. Bidesi as the shooter. The testimony of one was rejected as unreliable. The other did not see the shooting but testified that moments before she heard a gunshot, she saw Mr. Bidesi face to face with the victim, in an altercation and holding a gun pointed at the victim. </w:t>
            </w:r>
            <w:r w:rsidRPr="00893C26">
              <w:rPr>
                <w:sz w:val="20"/>
                <w:lang w:val="en"/>
              </w:rPr>
              <w:t>Crown counsel first suggested in reply that Mr. McPherson turned his back to Mr. Bidesi immediately before he was shot. The trial judge found the witness’s testimony credible and reliable. Mr. Bidesi was convicted of second degree murder. The Court of Appeal dismissed an appeal.</w:t>
            </w:r>
          </w:p>
        </w:tc>
      </w:tr>
      <w:tr w:rsidR="002B2C2E" w:rsidRPr="00893C26" w:rsidTr="007B67AD">
        <w:tc>
          <w:tcPr>
            <w:tcW w:w="5000" w:type="pct"/>
            <w:gridSpan w:val="4"/>
          </w:tcPr>
          <w:p w:rsidR="002B2C2E" w:rsidRPr="00893C26" w:rsidRDefault="002B2C2E" w:rsidP="002B2C2E">
            <w:pPr>
              <w:jc w:val="both"/>
              <w:rPr>
                <w:sz w:val="20"/>
              </w:rPr>
            </w:pPr>
          </w:p>
        </w:tc>
      </w:tr>
      <w:tr w:rsidR="002B2C2E" w:rsidRPr="00893C26" w:rsidTr="007B67AD">
        <w:tc>
          <w:tcPr>
            <w:tcW w:w="2427" w:type="pct"/>
            <w:gridSpan w:val="2"/>
          </w:tcPr>
          <w:p w:rsidR="002B2C2E" w:rsidRPr="00893C26" w:rsidRDefault="002B2C2E" w:rsidP="002B2C2E">
            <w:pPr>
              <w:jc w:val="both"/>
              <w:rPr>
                <w:sz w:val="20"/>
              </w:rPr>
            </w:pPr>
            <w:r w:rsidRPr="00893C26">
              <w:rPr>
                <w:sz w:val="20"/>
              </w:rPr>
              <w:t>February 16, 2018</w:t>
            </w:r>
          </w:p>
          <w:p w:rsidR="002B2C2E" w:rsidRPr="00893C26" w:rsidRDefault="002B2C2E" w:rsidP="002B2C2E">
            <w:pPr>
              <w:jc w:val="both"/>
              <w:rPr>
                <w:sz w:val="20"/>
              </w:rPr>
            </w:pPr>
            <w:r w:rsidRPr="00893C26">
              <w:rPr>
                <w:sz w:val="20"/>
              </w:rPr>
              <w:t>Supreme Court of British Columbia</w:t>
            </w:r>
          </w:p>
          <w:p w:rsidR="002B2C2E" w:rsidRPr="00893C26" w:rsidRDefault="002B2C2E" w:rsidP="002B2C2E">
            <w:pPr>
              <w:jc w:val="both"/>
              <w:rPr>
                <w:sz w:val="20"/>
              </w:rPr>
            </w:pPr>
            <w:r w:rsidRPr="00893C26">
              <w:rPr>
                <w:sz w:val="20"/>
              </w:rPr>
              <w:t xml:space="preserve">(Duncan J.) </w:t>
            </w:r>
          </w:p>
          <w:p w:rsidR="002B2C2E" w:rsidRPr="00893C26" w:rsidRDefault="00893C26" w:rsidP="002B2C2E">
            <w:pPr>
              <w:jc w:val="both"/>
              <w:rPr>
                <w:sz w:val="20"/>
              </w:rPr>
            </w:pPr>
            <w:hyperlink r:id="rId59" w:history="1">
              <w:r w:rsidR="002B2C2E" w:rsidRPr="00893C26">
                <w:rPr>
                  <w:rStyle w:val="Hyperlink"/>
                  <w:sz w:val="20"/>
                </w:rPr>
                <w:t>2018 BCSC 588</w:t>
              </w:r>
            </w:hyperlink>
          </w:p>
          <w:p w:rsidR="002B2C2E" w:rsidRPr="00893C26" w:rsidRDefault="002B2C2E" w:rsidP="002B2C2E">
            <w:pPr>
              <w:jc w:val="both"/>
              <w:rPr>
                <w:sz w:val="20"/>
              </w:rPr>
            </w:pPr>
          </w:p>
        </w:tc>
        <w:tc>
          <w:tcPr>
            <w:tcW w:w="243" w:type="pct"/>
          </w:tcPr>
          <w:p w:rsidR="002B2C2E" w:rsidRPr="00893C26" w:rsidRDefault="002B2C2E" w:rsidP="002B2C2E">
            <w:pPr>
              <w:jc w:val="both"/>
              <w:rPr>
                <w:sz w:val="20"/>
              </w:rPr>
            </w:pPr>
          </w:p>
        </w:tc>
        <w:tc>
          <w:tcPr>
            <w:tcW w:w="2330" w:type="pct"/>
          </w:tcPr>
          <w:p w:rsidR="002B2C2E" w:rsidRPr="00893C26" w:rsidRDefault="002B2C2E" w:rsidP="002B2C2E">
            <w:pPr>
              <w:jc w:val="both"/>
              <w:rPr>
                <w:sz w:val="20"/>
              </w:rPr>
            </w:pPr>
            <w:r w:rsidRPr="00893C26">
              <w:rPr>
                <w:sz w:val="20"/>
              </w:rPr>
              <w:t>Conviction for second degree murder</w:t>
            </w:r>
          </w:p>
          <w:p w:rsidR="002B2C2E" w:rsidRPr="00893C26" w:rsidRDefault="002B2C2E" w:rsidP="002B2C2E">
            <w:pPr>
              <w:jc w:val="both"/>
              <w:rPr>
                <w:sz w:val="20"/>
              </w:rPr>
            </w:pPr>
          </w:p>
        </w:tc>
      </w:tr>
      <w:tr w:rsidR="002B2C2E" w:rsidRPr="00893C26" w:rsidTr="007B67AD">
        <w:tc>
          <w:tcPr>
            <w:tcW w:w="2427" w:type="pct"/>
            <w:gridSpan w:val="2"/>
          </w:tcPr>
          <w:p w:rsidR="002B2C2E" w:rsidRPr="00893C26" w:rsidRDefault="002B2C2E" w:rsidP="002B2C2E">
            <w:pPr>
              <w:jc w:val="both"/>
              <w:rPr>
                <w:sz w:val="20"/>
              </w:rPr>
            </w:pPr>
            <w:r w:rsidRPr="00893C26">
              <w:rPr>
                <w:sz w:val="20"/>
              </w:rPr>
              <w:t>June 11, 2021</w:t>
            </w:r>
          </w:p>
          <w:p w:rsidR="002B2C2E" w:rsidRPr="00893C26" w:rsidRDefault="002B2C2E" w:rsidP="002B2C2E">
            <w:pPr>
              <w:jc w:val="both"/>
              <w:rPr>
                <w:sz w:val="20"/>
              </w:rPr>
            </w:pPr>
            <w:r w:rsidRPr="00893C26">
              <w:rPr>
                <w:sz w:val="20"/>
              </w:rPr>
              <w:t xml:space="preserve">Court of Appeal for British Columbia </w:t>
            </w:r>
          </w:p>
          <w:p w:rsidR="002B2C2E" w:rsidRPr="00893C26" w:rsidRDefault="002B2C2E" w:rsidP="002B2C2E">
            <w:pPr>
              <w:jc w:val="both"/>
              <w:rPr>
                <w:sz w:val="20"/>
              </w:rPr>
            </w:pPr>
            <w:r w:rsidRPr="00893C26">
              <w:rPr>
                <w:sz w:val="20"/>
              </w:rPr>
              <w:t>(Vancouver)</w:t>
            </w:r>
          </w:p>
          <w:p w:rsidR="002B2C2E" w:rsidRPr="00893C26" w:rsidRDefault="002B2C2E" w:rsidP="002B2C2E">
            <w:pPr>
              <w:jc w:val="both"/>
              <w:rPr>
                <w:sz w:val="20"/>
              </w:rPr>
            </w:pPr>
            <w:r w:rsidRPr="00893C26">
              <w:rPr>
                <w:sz w:val="20"/>
              </w:rPr>
              <w:t>(Harris, Dickson, Voith)</w:t>
            </w:r>
          </w:p>
          <w:p w:rsidR="002B2C2E" w:rsidRPr="00893C26" w:rsidRDefault="00893C26" w:rsidP="002B2C2E">
            <w:pPr>
              <w:jc w:val="both"/>
              <w:rPr>
                <w:sz w:val="20"/>
              </w:rPr>
            </w:pPr>
            <w:hyperlink r:id="rId60" w:history="1">
              <w:r w:rsidR="002B2C2E" w:rsidRPr="00893C26">
                <w:rPr>
                  <w:rStyle w:val="Hyperlink"/>
                  <w:sz w:val="20"/>
                </w:rPr>
                <w:t>2021 BCCA 227</w:t>
              </w:r>
            </w:hyperlink>
            <w:r w:rsidR="002B2C2E" w:rsidRPr="00893C26">
              <w:rPr>
                <w:sz w:val="20"/>
              </w:rPr>
              <w:t>; CA45309</w:t>
            </w:r>
          </w:p>
          <w:p w:rsidR="002B2C2E" w:rsidRPr="00893C26" w:rsidRDefault="002B2C2E" w:rsidP="002B2C2E">
            <w:pPr>
              <w:jc w:val="both"/>
              <w:rPr>
                <w:sz w:val="20"/>
              </w:rPr>
            </w:pPr>
          </w:p>
        </w:tc>
        <w:tc>
          <w:tcPr>
            <w:tcW w:w="243" w:type="pct"/>
          </w:tcPr>
          <w:p w:rsidR="002B2C2E" w:rsidRPr="00893C26" w:rsidRDefault="002B2C2E" w:rsidP="002B2C2E">
            <w:pPr>
              <w:jc w:val="both"/>
              <w:rPr>
                <w:sz w:val="20"/>
              </w:rPr>
            </w:pPr>
          </w:p>
        </w:tc>
        <w:tc>
          <w:tcPr>
            <w:tcW w:w="2330" w:type="pct"/>
          </w:tcPr>
          <w:p w:rsidR="002B2C2E" w:rsidRPr="00893C26" w:rsidRDefault="002B2C2E" w:rsidP="002B2C2E">
            <w:pPr>
              <w:jc w:val="both"/>
              <w:rPr>
                <w:sz w:val="20"/>
              </w:rPr>
            </w:pPr>
            <w:r w:rsidRPr="00893C26">
              <w:rPr>
                <w:sz w:val="20"/>
              </w:rPr>
              <w:t>Appeal dismissed</w:t>
            </w:r>
          </w:p>
          <w:p w:rsidR="002B2C2E" w:rsidRPr="00893C26" w:rsidRDefault="002B2C2E" w:rsidP="002B2C2E">
            <w:pPr>
              <w:jc w:val="both"/>
              <w:rPr>
                <w:sz w:val="20"/>
              </w:rPr>
            </w:pPr>
          </w:p>
        </w:tc>
      </w:tr>
      <w:tr w:rsidR="002B2C2E" w:rsidRPr="00893C26" w:rsidTr="007B67AD">
        <w:tc>
          <w:tcPr>
            <w:tcW w:w="2427" w:type="pct"/>
            <w:gridSpan w:val="2"/>
          </w:tcPr>
          <w:p w:rsidR="002B2C2E" w:rsidRPr="00893C26" w:rsidRDefault="002B2C2E" w:rsidP="002B2C2E">
            <w:pPr>
              <w:jc w:val="both"/>
              <w:rPr>
                <w:sz w:val="20"/>
              </w:rPr>
            </w:pPr>
            <w:r w:rsidRPr="00893C26">
              <w:rPr>
                <w:sz w:val="20"/>
              </w:rPr>
              <w:t>September 9, 2021</w:t>
            </w:r>
          </w:p>
          <w:p w:rsidR="002B2C2E" w:rsidRPr="00893C26" w:rsidRDefault="002B2C2E" w:rsidP="002B2C2E">
            <w:pPr>
              <w:jc w:val="both"/>
              <w:rPr>
                <w:sz w:val="20"/>
              </w:rPr>
            </w:pPr>
            <w:r w:rsidRPr="00893C26">
              <w:rPr>
                <w:sz w:val="20"/>
              </w:rPr>
              <w:t>Supreme Court of Canada</w:t>
            </w:r>
          </w:p>
          <w:p w:rsidR="002B2C2E" w:rsidRPr="00893C26" w:rsidRDefault="002B2C2E" w:rsidP="002B2C2E">
            <w:pPr>
              <w:jc w:val="both"/>
              <w:rPr>
                <w:sz w:val="20"/>
              </w:rPr>
            </w:pPr>
          </w:p>
        </w:tc>
        <w:tc>
          <w:tcPr>
            <w:tcW w:w="243" w:type="pct"/>
          </w:tcPr>
          <w:p w:rsidR="002B2C2E" w:rsidRPr="00893C26" w:rsidRDefault="002B2C2E" w:rsidP="002B2C2E">
            <w:pPr>
              <w:jc w:val="both"/>
              <w:rPr>
                <w:sz w:val="20"/>
              </w:rPr>
            </w:pPr>
          </w:p>
        </w:tc>
        <w:tc>
          <w:tcPr>
            <w:tcW w:w="2330" w:type="pct"/>
          </w:tcPr>
          <w:p w:rsidR="002B2C2E" w:rsidRPr="00893C26" w:rsidRDefault="002B2C2E" w:rsidP="002B2C2E">
            <w:pPr>
              <w:jc w:val="both"/>
              <w:rPr>
                <w:sz w:val="20"/>
              </w:rPr>
            </w:pPr>
            <w:r w:rsidRPr="00893C26">
              <w:rPr>
                <w:sz w:val="20"/>
              </w:rPr>
              <w:t>Application for leave to appeal filed</w:t>
            </w:r>
          </w:p>
          <w:p w:rsidR="002B2C2E" w:rsidRPr="00893C26" w:rsidRDefault="002B2C2E" w:rsidP="002B2C2E">
            <w:pPr>
              <w:jc w:val="both"/>
              <w:rPr>
                <w:sz w:val="20"/>
              </w:rPr>
            </w:pPr>
          </w:p>
        </w:tc>
      </w:tr>
      <w:tr w:rsidR="002B2C2E" w:rsidRPr="00893C26" w:rsidTr="00893C26">
        <w:tc>
          <w:tcPr>
            <w:tcW w:w="2427" w:type="pct"/>
            <w:gridSpan w:val="2"/>
          </w:tcPr>
          <w:p w:rsidR="002B2C2E" w:rsidRPr="00893C26" w:rsidRDefault="002B2C2E" w:rsidP="002B2C2E">
            <w:pPr>
              <w:jc w:val="both"/>
              <w:rPr>
                <w:sz w:val="20"/>
              </w:rPr>
            </w:pPr>
            <w:r w:rsidRPr="00893C26">
              <w:rPr>
                <w:sz w:val="20"/>
              </w:rPr>
              <w:t xml:space="preserve">January 31, 2022 </w:t>
            </w:r>
          </w:p>
          <w:p w:rsidR="002B2C2E" w:rsidRPr="00893C26" w:rsidRDefault="002B2C2E" w:rsidP="002B2C2E">
            <w:pPr>
              <w:jc w:val="both"/>
              <w:rPr>
                <w:sz w:val="20"/>
              </w:rPr>
            </w:pPr>
            <w:r w:rsidRPr="00893C26">
              <w:rPr>
                <w:sz w:val="20"/>
              </w:rPr>
              <w:t>Supreme Court of Canada</w:t>
            </w:r>
          </w:p>
          <w:p w:rsidR="002B2C2E" w:rsidRPr="00893C26" w:rsidRDefault="002B2C2E" w:rsidP="002B2C2E">
            <w:pPr>
              <w:jc w:val="both"/>
              <w:rPr>
                <w:sz w:val="20"/>
              </w:rPr>
            </w:pPr>
          </w:p>
        </w:tc>
        <w:tc>
          <w:tcPr>
            <w:tcW w:w="243" w:type="pct"/>
          </w:tcPr>
          <w:p w:rsidR="002B2C2E" w:rsidRPr="00893C26" w:rsidRDefault="002B2C2E" w:rsidP="002B2C2E">
            <w:pPr>
              <w:jc w:val="both"/>
              <w:rPr>
                <w:sz w:val="20"/>
              </w:rPr>
            </w:pPr>
          </w:p>
        </w:tc>
        <w:tc>
          <w:tcPr>
            <w:tcW w:w="2330" w:type="pct"/>
          </w:tcPr>
          <w:p w:rsidR="002B2C2E" w:rsidRPr="00893C26" w:rsidRDefault="002B2C2E" w:rsidP="002B2C2E">
            <w:pPr>
              <w:jc w:val="both"/>
              <w:rPr>
                <w:sz w:val="20"/>
              </w:rPr>
            </w:pPr>
            <w:r w:rsidRPr="00893C26">
              <w:rPr>
                <w:sz w:val="20"/>
              </w:rPr>
              <w:t xml:space="preserve">Motion by applicant to file fresh evidence, supplementary application for leave to appeal, and amended Notice </w:t>
            </w:r>
          </w:p>
          <w:p w:rsidR="002B2C2E" w:rsidRPr="00893C26" w:rsidRDefault="002B2C2E" w:rsidP="002B2C2E">
            <w:pPr>
              <w:jc w:val="both"/>
              <w:rPr>
                <w:sz w:val="20"/>
              </w:rPr>
            </w:pPr>
          </w:p>
        </w:tc>
      </w:tr>
      <w:tr w:rsidR="002B2C2E" w:rsidRPr="00893C26" w:rsidTr="007B67AD">
        <w:tc>
          <w:tcPr>
            <w:tcW w:w="2427" w:type="pct"/>
            <w:gridSpan w:val="2"/>
          </w:tcPr>
          <w:p w:rsidR="002B2C2E" w:rsidRPr="00893C26" w:rsidRDefault="002B2C2E" w:rsidP="002B2C2E">
            <w:pPr>
              <w:jc w:val="both"/>
              <w:rPr>
                <w:sz w:val="20"/>
              </w:rPr>
            </w:pPr>
            <w:r w:rsidRPr="00893C26">
              <w:rPr>
                <w:sz w:val="20"/>
              </w:rPr>
              <w:t>July 4, 2022</w:t>
            </w:r>
          </w:p>
          <w:p w:rsidR="002B2C2E" w:rsidRPr="00893C26" w:rsidRDefault="002B2C2E" w:rsidP="002B2C2E">
            <w:pPr>
              <w:jc w:val="both"/>
              <w:rPr>
                <w:sz w:val="20"/>
              </w:rPr>
            </w:pPr>
            <w:r w:rsidRPr="00893C26">
              <w:rPr>
                <w:sz w:val="20"/>
              </w:rPr>
              <w:t>Supreme Court of Canada</w:t>
            </w:r>
          </w:p>
        </w:tc>
        <w:tc>
          <w:tcPr>
            <w:tcW w:w="243" w:type="pct"/>
          </w:tcPr>
          <w:p w:rsidR="002B2C2E" w:rsidRPr="00893C26" w:rsidRDefault="002B2C2E" w:rsidP="002B2C2E">
            <w:pPr>
              <w:jc w:val="both"/>
              <w:rPr>
                <w:sz w:val="20"/>
              </w:rPr>
            </w:pPr>
          </w:p>
        </w:tc>
        <w:tc>
          <w:tcPr>
            <w:tcW w:w="2330" w:type="pct"/>
          </w:tcPr>
          <w:p w:rsidR="002B2C2E" w:rsidRPr="00893C26" w:rsidRDefault="002B2C2E" w:rsidP="002B2C2E">
            <w:pPr>
              <w:jc w:val="both"/>
              <w:rPr>
                <w:sz w:val="20"/>
              </w:rPr>
            </w:pPr>
            <w:r w:rsidRPr="00893C26">
              <w:rPr>
                <w:sz w:val="20"/>
              </w:rPr>
              <w:t xml:space="preserve">Motion by respondent for no-contact order,  publication ban, and extension of </w:t>
            </w:r>
            <w:r w:rsidR="00311655" w:rsidRPr="00893C26">
              <w:rPr>
                <w:sz w:val="20"/>
              </w:rPr>
              <w:t>time to serve and file Response</w:t>
            </w:r>
          </w:p>
        </w:tc>
      </w:tr>
    </w:tbl>
    <w:p w:rsidR="002B2C2E" w:rsidRPr="00893C26" w:rsidRDefault="002B2C2E" w:rsidP="002B2C2E">
      <w:pPr>
        <w:jc w:val="both"/>
        <w:rPr>
          <w:sz w:val="20"/>
        </w:rPr>
      </w:pPr>
    </w:p>
    <w:p w:rsidR="00311655" w:rsidRPr="00893C26" w:rsidRDefault="00893C26" w:rsidP="002B2C2E">
      <w:pPr>
        <w:jc w:val="both"/>
        <w:rPr>
          <w:sz w:val="20"/>
        </w:rPr>
      </w:pPr>
      <w:r w:rsidRPr="00893C26">
        <w:rPr>
          <w:sz w:val="20"/>
        </w:rPr>
        <w:pict>
          <v:rect id="_x0000_i1045" style="width:2in;height:1pt" o:hrpct="0" o:hralign="center" o:hrstd="t" o:hrnoshade="t" o:hr="t" fillcolor="black [3213]" stroked="f"/>
        </w:pict>
      </w:r>
    </w:p>
    <w:p w:rsidR="00311655" w:rsidRPr="00893C26" w:rsidRDefault="00311655" w:rsidP="002B2C2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2C2E" w:rsidRPr="00893C26" w:rsidTr="007B67AD">
        <w:tc>
          <w:tcPr>
            <w:tcW w:w="543" w:type="pct"/>
          </w:tcPr>
          <w:p w:rsidR="002B2C2E" w:rsidRPr="00893C26" w:rsidRDefault="002B2C2E" w:rsidP="002B2C2E">
            <w:pPr>
              <w:jc w:val="both"/>
              <w:rPr>
                <w:sz w:val="20"/>
                <w:lang w:val="fr-CA"/>
              </w:rPr>
            </w:pPr>
            <w:r w:rsidRPr="00893C26">
              <w:rPr>
                <w:rStyle w:val="SCCFileNumberChar"/>
                <w:sz w:val="20"/>
                <w:szCs w:val="20"/>
                <w:lang w:val="fr-CA"/>
              </w:rPr>
              <w:t>39827</w:t>
            </w:r>
          </w:p>
        </w:tc>
        <w:tc>
          <w:tcPr>
            <w:tcW w:w="4457" w:type="pct"/>
            <w:gridSpan w:val="3"/>
          </w:tcPr>
          <w:p w:rsidR="002B2C2E" w:rsidRPr="00893C26" w:rsidRDefault="002B2C2E" w:rsidP="002B2C2E">
            <w:pPr>
              <w:pStyle w:val="SCCLsocParty"/>
              <w:jc w:val="both"/>
              <w:rPr>
                <w:b/>
                <w:sz w:val="20"/>
                <w:szCs w:val="20"/>
              </w:rPr>
            </w:pPr>
            <w:r w:rsidRPr="00893C26">
              <w:rPr>
                <w:b/>
                <w:sz w:val="20"/>
                <w:szCs w:val="20"/>
              </w:rPr>
              <w:t>Russell Bidesi c. Sa Majesté la Reine</w:t>
            </w:r>
          </w:p>
          <w:p w:rsidR="002B2C2E" w:rsidRPr="00893C26" w:rsidRDefault="002B2C2E" w:rsidP="002B2C2E">
            <w:pPr>
              <w:jc w:val="both"/>
              <w:rPr>
                <w:sz w:val="20"/>
                <w:lang w:val="fr-CA"/>
              </w:rPr>
            </w:pPr>
            <w:r w:rsidRPr="00893C26">
              <w:rPr>
                <w:sz w:val="20"/>
                <w:lang w:val="fr-CA"/>
              </w:rPr>
              <w:t>(C.-B.) (Criminelle) (Sur autorisation)</w:t>
            </w:r>
          </w:p>
        </w:tc>
      </w:tr>
      <w:tr w:rsidR="002B2C2E" w:rsidRPr="00893C26" w:rsidTr="007B67AD">
        <w:tc>
          <w:tcPr>
            <w:tcW w:w="5000" w:type="pct"/>
            <w:gridSpan w:val="4"/>
          </w:tcPr>
          <w:p w:rsidR="002B2C2E" w:rsidRPr="00893C26" w:rsidRDefault="002B2C2E" w:rsidP="002B2C2E">
            <w:pPr>
              <w:pStyle w:val="SCCBanSummary"/>
              <w:rPr>
                <w:sz w:val="20"/>
                <w:szCs w:val="20"/>
                <w:lang w:val="fr-CA"/>
              </w:rPr>
            </w:pPr>
            <w:r w:rsidRPr="00893C26">
              <w:rPr>
                <w:sz w:val="20"/>
                <w:szCs w:val="20"/>
                <w:lang w:val="fr-CA"/>
              </w:rPr>
              <w:t>(Ordonnance de non-publication dans le dossier)</w:t>
            </w:r>
          </w:p>
          <w:p w:rsidR="002B2C2E" w:rsidRPr="00893C26" w:rsidRDefault="002B2C2E" w:rsidP="002B2C2E">
            <w:pPr>
              <w:jc w:val="both"/>
              <w:rPr>
                <w:sz w:val="20"/>
                <w:lang w:val="fr-CA"/>
              </w:rPr>
            </w:pPr>
          </w:p>
          <w:p w:rsidR="002B2C2E" w:rsidRPr="00893C26" w:rsidRDefault="002B2C2E" w:rsidP="002B2C2E">
            <w:pPr>
              <w:jc w:val="both"/>
              <w:rPr>
                <w:sz w:val="20"/>
                <w:lang w:val="fr-CA"/>
              </w:rPr>
            </w:pPr>
            <w:r w:rsidRPr="00893C26">
              <w:rPr>
                <w:sz w:val="20"/>
                <w:lang w:val="fr-CA"/>
              </w:rPr>
              <w:t xml:space="preserve">Tribunaux — Compétence — Droit criminel — Preuve — Procès — Procédure — Caractère raisonnable du verdict — Un juge a-t-il compétence pour permettre à la Couronne de répliquer lors d’un procès devant juge seul lorsque l’accusé n’a pas présenté de preuve, malgré le modèle à deux discours adopté par le Parlement? — Une cour d’appel peut-elle examiner le caractère déraisonnable d’un verdict sur la base qu’il a été rendu de façon irrationnelle ou illogique, lorsque le verdict est fondé sur une conclusion favorable au sujet de la crédibilité qui pourrait par ailleurs être étayée par la preuve? — L’analyse établie dans l’arrêt </w:t>
            </w:r>
            <w:r w:rsidRPr="00893C26">
              <w:rPr>
                <w:i/>
                <w:sz w:val="20"/>
                <w:lang w:val="fr-CA"/>
              </w:rPr>
              <w:t>W</w:t>
            </w:r>
            <w:proofErr w:type="gramStart"/>
            <w:r w:rsidRPr="00893C26">
              <w:rPr>
                <w:i/>
                <w:sz w:val="20"/>
                <w:lang w:val="fr-CA"/>
              </w:rPr>
              <w:t>.(</w:t>
            </w:r>
            <w:proofErr w:type="gramEnd"/>
            <w:r w:rsidRPr="00893C26">
              <w:rPr>
                <w:i/>
                <w:sz w:val="20"/>
                <w:lang w:val="fr-CA"/>
              </w:rPr>
              <w:t>D.)</w:t>
            </w:r>
            <w:r w:rsidRPr="00893C26">
              <w:rPr>
                <w:sz w:val="20"/>
                <w:lang w:val="fr-CA"/>
              </w:rPr>
              <w:t xml:space="preserve"> devrait-elle s’appliquer à la preuve disculpatoire incompatible avec la culpabilité qui est présentée dans le dossier de la Couronne?</w:t>
            </w:r>
          </w:p>
        </w:tc>
      </w:tr>
      <w:tr w:rsidR="002B2C2E" w:rsidRPr="00893C26" w:rsidTr="007B67AD">
        <w:tc>
          <w:tcPr>
            <w:tcW w:w="5000" w:type="pct"/>
            <w:gridSpan w:val="4"/>
          </w:tcPr>
          <w:p w:rsidR="002B2C2E" w:rsidRPr="00893C26" w:rsidRDefault="002B2C2E" w:rsidP="002B2C2E">
            <w:pPr>
              <w:jc w:val="both"/>
              <w:rPr>
                <w:sz w:val="20"/>
                <w:lang w:val="fr-CA"/>
              </w:rPr>
            </w:pPr>
          </w:p>
          <w:p w:rsidR="002B2C2E" w:rsidRPr="00893C26" w:rsidRDefault="002B2C2E" w:rsidP="002B2C2E">
            <w:pPr>
              <w:jc w:val="both"/>
              <w:rPr>
                <w:sz w:val="20"/>
                <w:lang w:val="fr-CA"/>
              </w:rPr>
            </w:pPr>
            <w:r w:rsidRPr="00893C26">
              <w:rPr>
                <w:sz w:val="20"/>
                <w:lang w:val="fr-CA"/>
              </w:rPr>
              <w:t xml:space="preserve">M. McPherson a été tué d’une balle à l’arrière de la tête lors d’une fête privée. Deux témoins visés par l’arrêt </w:t>
            </w:r>
            <w:r w:rsidRPr="00893C26">
              <w:rPr>
                <w:i/>
                <w:sz w:val="20"/>
                <w:lang w:val="fr-CA"/>
              </w:rPr>
              <w:t>Vetrovec</w:t>
            </w:r>
            <w:r w:rsidRPr="00893C26">
              <w:rPr>
                <w:sz w:val="20"/>
                <w:lang w:val="fr-CA"/>
              </w:rPr>
              <w:t xml:space="preserve"> ont identifié M. Bidesi comme étant le tireur. Le témoignage de l’un deux a été rejeté car il a été jugé non fiable. L’autre témoin n’a pas vu le coup de feu mais a dit, lors de son témoignage, que peu de temps avant d’entendre le coup de feu, elle avait vu M. Bidesi face à face avec la victime, dans une altercation et pointant un fusil sur la victime. Le procureur de la Couronne a d’abord suggéré en réplique que M. McPherson avait </w:t>
            </w:r>
            <w:proofErr w:type="gramStart"/>
            <w:r w:rsidRPr="00893C26">
              <w:rPr>
                <w:sz w:val="20"/>
                <w:lang w:val="fr-CA"/>
              </w:rPr>
              <w:t>tourné</w:t>
            </w:r>
            <w:proofErr w:type="gramEnd"/>
            <w:r w:rsidRPr="00893C26">
              <w:rPr>
                <w:sz w:val="20"/>
                <w:lang w:val="fr-CA"/>
              </w:rPr>
              <w:t xml:space="preserve"> le dos à M. Bidesi immédiatement avant d’être tiré. Le juge du procès a conclu que le témoignage du témoin était crédible et fiable. M. Bidesi a été déclaré coupable de meurtre au second degré. La Cour d’appel a rejeté le pourvoi.</w:t>
            </w:r>
          </w:p>
        </w:tc>
      </w:tr>
      <w:tr w:rsidR="002B2C2E" w:rsidRPr="00893C26" w:rsidTr="007B67AD">
        <w:tc>
          <w:tcPr>
            <w:tcW w:w="5000" w:type="pct"/>
            <w:gridSpan w:val="4"/>
          </w:tcPr>
          <w:p w:rsidR="002B2C2E" w:rsidRPr="00893C26" w:rsidRDefault="002B2C2E" w:rsidP="002B2C2E">
            <w:pPr>
              <w:jc w:val="both"/>
              <w:rPr>
                <w:sz w:val="20"/>
                <w:lang w:val="fr-CA"/>
              </w:rPr>
            </w:pPr>
          </w:p>
        </w:tc>
      </w:tr>
      <w:tr w:rsidR="002B2C2E" w:rsidRPr="00893C26" w:rsidTr="007B67AD">
        <w:tc>
          <w:tcPr>
            <w:tcW w:w="2427" w:type="pct"/>
            <w:gridSpan w:val="2"/>
          </w:tcPr>
          <w:p w:rsidR="002B2C2E" w:rsidRPr="00893C26" w:rsidRDefault="002B2C2E" w:rsidP="002B2C2E">
            <w:pPr>
              <w:jc w:val="both"/>
              <w:rPr>
                <w:sz w:val="20"/>
                <w:lang w:val="fr-CA"/>
              </w:rPr>
            </w:pPr>
            <w:r w:rsidRPr="00893C26">
              <w:rPr>
                <w:sz w:val="20"/>
                <w:lang w:val="fr-CA"/>
              </w:rPr>
              <w:t>16 février 2018</w:t>
            </w:r>
          </w:p>
          <w:p w:rsidR="002B2C2E" w:rsidRPr="00893C26" w:rsidRDefault="002B2C2E" w:rsidP="002B2C2E">
            <w:pPr>
              <w:jc w:val="both"/>
              <w:rPr>
                <w:sz w:val="20"/>
                <w:lang w:val="fr-CA"/>
              </w:rPr>
            </w:pPr>
            <w:r w:rsidRPr="00893C26">
              <w:rPr>
                <w:sz w:val="20"/>
                <w:lang w:val="fr-CA"/>
              </w:rPr>
              <w:t>Cour suprême de la Colombie-Britannique</w:t>
            </w:r>
          </w:p>
          <w:p w:rsidR="002B2C2E" w:rsidRPr="00893C26" w:rsidRDefault="002B2C2E" w:rsidP="002B2C2E">
            <w:pPr>
              <w:jc w:val="both"/>
              <w:rPr>
                <w:sz w:val="20"/>
                <w:lang w:val="fr-CA"/>
              </w:rPr>
            </w:pPr>
            <w:r w:rsidRPr="00893C26">
              <w:rPr>
                <w:sz w:val="20"/>
                <w:lang w:val="fr-CA"/>
              </w:rPr>
              <w:t xml:space="preserve">(Juge Duncan) </w:t>
            </w:r>
          </w:p>
          <w:p w:rsidR="002B2C2E" w:rsidRPr="00893C26" w:rsidRDefault="00893C26" w:rsidP="002B2C2E">
            <w:pPr>
              <w:jc w:val="both"/>
              <w:rPr>
                <w:sz w:val="20"/>
                <w:lang w:val="fr-CA"/>
              </w:rPr>
            </w:pPr>
            <w:hyperlink r:id="rId61" w:history="1">
              <w:r w:rsidR="002B2C2E" w:rsidRPr="00893C26">
                <w:rPr>
                  <w:rStyle w:val="Hyperlink"/>
                  <w:sz w:val="20"/>
                  <w:lang w:val="fr-CA"/>
                </w:rPr>
                <w:t>2018 BCSC 588</w:t>
              </w:r>
            </w:hyperlink>
          </w:p>
          <w:p w:rsidR="002B2C2E" w:rsidRPr="00893C26" w:rsidRDefault="002B2C2E" w:rsidP="002B2C2E">
            <w:pPr>
              <w:jc w:val="both"/>
              <w:rPr>
                <w:sz w:val="20"/>
                <w:lang w:val="fr-CA"/>
              </w:rPr>
            </w:pPr>
          </w:p>
        </w:tc>
        <w:tc>
          <w:tcPr>
            <w:tcW w:w="243" w:type="pct"/>
          </w:tcPr>
          <w:p w:rsidR="002B2C2E" w:rsidRPr="00893C26" w:rsidRDefault="002B2C2E" w:rsidP="002B2C2E">
            <w:pPr>
              <w:jc w:val="both"/>
              <w:rPr>
                <w:sz w:val="20"/>
                <w:lang w:val="fr-CA"/>
              </w:rPr>
            </w:pPr>
          </w:p>
        </w:tc>
        <w:tc>
          <w:tcPr>
            <w:tcW w:w="2330" w:type="pct"/>
          </w:tcPr>
          <w:p w:rsidR="002B2C2E" w:rsidRPr="00893C26" w:rsidRDefault="002B2C2E" w:rsidP="002B2C2E">
            <w:pPr>
              <w:jc w:val="both"/>
              <w:rPr>
                <w:sz w:val="20"/>
                <w:lang w:val="fr-CA"/>
              </w:rPr>
            </w:pPr>
            <w:r w:rsidRPr="00893C26">
              <w:rPr>
                <w:sz w:val="20"/>
                <w:lang w:val="fr-CA"/>
              </w:rPr>
              <w:t>Déclaration de culpabilité pour meurtre au second degré</w:t>
            </w:r>
          </w:p>
          <w:p w:rsidR="002B2C2E" w:rsidRPr="00893C26" w:rsidRDefault="002B2C2E" w:rsidP="002B2C2E">
            <w:pPr>
              <w:jc w:val="both"/>
              <w:rPr>
                <w:sz w:val="20"/>
                <w:lang w:val="fr-CA"/>
              </w:rPr>
            </w:pPr>
          </w:p>
        </w:tc>
      </w:tr>
      <w:tr w:rsidR="002B2C2E" w:rsidRPr="00893C26" w:rsidTr="007B67AD">
        <w:tc>
          <w:tcPr>
            <w:tcW w:w="2427" w:type="pct"/>
            <w:gridSpan w:val="2"/>
          </w:tcPr>
          <w:p w:rsidR="002B2C2E" w:rsidRPr="00893C26" w:rsidRDefault="002B2C2E" w:rsidP="002B2C2E">
            <w:pPr>
              <w:jc w:val="both"/>
              <w:rPr>
                <w:sz w:val="20"/>
                <w:lang w:val="fr-CA"/>
              </w:rPr>
            </w:pPr>
            <w:r w:rsidRPr="00893C26">
              <w:rPr>
                <w:sz w:val="20"/>
                <w:lang w:val="fr-CA"/>
              </w:rPr>
              <w:t>11 juin 2021</w:t>
            </w:r>
          </w:p>
          <w:p w:rsidR="002B2C2E" w:rsidRPr="00893C26" w:rsidRDefault="002B2C2E" w:rsidP="002B2C2E">
            <w:pPr>
              <w:jc w:val="both"/>
              <w:rPr>
                <w:sz w:val="20"/>
                <w:lang w:val="fr-CA"/>
              </w:rPr>
            </w:pPr>
            <w:r w:rsidRPr="00893C26">
              <w:rPr>
                <w:sz w:val="20"/>
                <w:lang w:val="fr-CA"/>
              </w:rPr>
              <w:t xml:space="preserve">Cour d’appel de la Colombie-Britannique </w:t>
            </w:r>
          </w:p>
          <w:p w:rsidR="002B2C2E" w:rsidRPr="00893C26" w:rsidRDefault="002B2C2E" w:rsidP="002B2C2E">
            <w:pPr>
              <w:jc w:val="both"/>
              <w:rPr>
                <w:sz w:val="20"/>
                <w:lang w:val="fr-CA"/>
              </w:rPr>
            </w:pPr>
            <w:r w:rsidRPr="00893C26">
              <w:rPr>
                <w:sz w:val="20"/>
                <w:lang w:val="fr-CA"/>
              </w:rPr>
              <w:t>(Vancouver)</w:t>
            </w:r>
          </w:p>
          <w:p w:rsidR="002B2C2E" w:rsidRPr="00893C26" w:rsidRDefault="002B2C2E" w:rsidP="002B2C2E">
            <w:pPr>
              <w:jc w:val="both"/>
              <w:rPr>
                <w:sz w:val="20"/>
                <w:lang w:val="fr-CA"/>
              </w:rPr>
            </w:pPr>
            <w:r w:rsidRPr="00893C26">
              <w:rPr>
                <w:sz w:val="20"/>
                <w:lang w:val="fr-CA"/>
              </w:rPr>
              <w:t>(Juges Harris, Dickson et Voith)</w:t>
            </w:r>
          </w:p>
          <w:p w:rsidR="002B2C2E" w:rsidRPr="00893C26" w:rsidRDefault="00893C26" w:rsidP="002B2C2E">
            <w:pPr>
              <w:jc w:val="both"/>
              <w:rPr>
                <w:sz w:val="20"/>
                <w:lang w:val="fr-CA"/>
              </w:rPr>
            </w:pPr>
            <w:hyperlink r:id="rId62" w:history="1">
              <w:r w:rsidR="002B2C2E" w:rsidRPr="00893C26">
                <w:rPr>
                  <w:rStyle w:val="Hyperlink"/>
                  <w:sz w:val="20"/>
                  <w:lang w:val="fr-CA"/>
                </w:rPr>
                <w:t>2021 BCCA 227</w:t>
              </w:r>
            </w:hyperlink>
            <w:r w:rsidR="002B2C2E" w:rsidRPr="00893C26">
              <w:rPr>
                <w:sz w:val="20"/>
                <w:lang w:val="fr-CA"/>
              </w:rPr>
              <w:t>; CA45309</w:t>
            </w:r>
          </w:p>
          <w:p w:rsidR="002B2C2E" w:rsidRPr="00893C26" w:rsidRDefault="002B2C2E" w:rsidP="002B2C2E">
            <w:pPr>
              <w:jc w:val="both"/>
              <w:rPr>
                <w:sz w:val="20"/>
                <w:lang w:val="fr-CA"/>
              </w:rPr>
            </w:pPr>
          </w:p>
        </w:tc>
        <w:tc>
          <w:tcPr>
            <w:tcW w:w="243" w:type="pct"/>
          </w:tcPr>
          <w:p w:rsidR="002B2C2E" w:rsidRPr="00893C26" w:rsidRDefault="002B2C2E" w:rsidP="002B2C2E">
            <w:pPr>
              <w:jc w:val="both"/>
              <w:rPr>
                <w:sz w:val="20"/>
                <w:lang w:val="fr-CA"/>
              </w:rPr>
            </w:pPr>
          </w:p>
        </w:tc>
        <w:tc>
          <w:tcPr>
            <w:tcW w:w="2330" w:type="pct"/>
          </w:tcPr>
          <w:p w:rsidR="002B2C2E" w:rsidRPr="00893C26" w:rsidRDefault="002B2C2E" w:rsidP="002B2C2E">
            <w:pPr>
              <w:jc w:val="both"/>
              <w:rPr>
                <w:sz w:val="20"/>
                <w:lang w:val="fr-CA"/>
              </w:rPr>
            </w:pPr>
            <w:r w:rsidRPr="00893C26">
              <w:rPr>
                <w:sz w:val="20"/>
                <w:lang w:val="fr-CA"/>
              </w:rPr>
              <w:t>Appel rejeté</w:t>
            </w:r>
          </w:p>
          <w:p w:rsidR="002B2C2E" w:rsidRPr="00893C26" w:rsidRDefault="002B2C2E" w:rsidP="002B2C2E">
            <w:pPr>
              <w:jc w:val="both"/>
              <w:rPr>
                <w:sz w:val="20"/>
                <w:lang w:val="fr-CA"/>
              </w:rPr>
            </w:pPr>
          </w:p>
        </w:tc>
      </w:tr>
      <w:tr w:rsidR="002B2C2E" w:rsidRPr="00893C26" w:rsidTr="007B67AD">
        <w:tc>
          <w:tcPr>
            <w:tcW w:w="2427" w:type="pct"/>
            <w:gridSpan w:val="2"/>
          </w:tcPr>
          <w:p w:rsidR="002B2C2E" w:rsidRPr="00893C26" w:rsidRDefault="002B2C2E" w:rsidP="002B2C2E">
            <w:pPr>
              <w:jc w:val="both"/>
              <w:rPr>
                <w:sz w:val="20"/>
                <w:lang w:val="fr-CA"/>
              </w:rPr>
            </w:pPr>
            <w:r w:rsidRPr="00893C26">
              <w:rPr>
                <w:sz w:val="20"/>
                <w:lang w:val="fr-CA"/>
              </w:rPr>
              <w:t>9 septembre 2021</w:t>
            </w:r>
          </w:p>
          <w:p w:rsidR="002B2C2E" w:rsidRPr="00893C26" w:rsidRDefault="002B2C2E" w:rsidP="002B2C2E">
            <w:pPr>
              <w:jc w:val="both"/>
              <w:rPr>
                <w:sz w:val="20"/>
                <w:lang w:val="fr-CA"/>
              </w:rPr>
            </w:pPr>
            <w:r w:rsidRPr="00893C26">
              <w:rPr>
                <w:sz w:val="20"/>
                <w:lang w:val="fr-CA"/>
              </w:rPr>
              <w:t>Cour suprême du Canada</w:t>
            </w:r>
          </w:p>
          <w:p w:rsidR="002B2C2E" w:rsidRPr="00893C26" w:rsidRDefault="002B2C2E" w:rsidP="002B2C2E">
            <w:pPr>
              <w:jc w:val="both"/>
              <w:rPr>
                <w:sz w:val="20"/>
                <w:lang w:val="fr-CA"/>
              </w:rPr>
            </w:pPr>
          </w:p>
        </w:tc>
        <w:tc>
          <w:tcPr>
            <w:tcW w:w="243" w:type="pct"/>
          </w:tcPr>
          <w:p w:rsidR="002B2C2E" w:rsidRPr="00893C26" w:rsidRDefault="002B2C2E" w:rsidP="002B2C2E">
            <w:pPr>
              <w:jc w:val="both"/>
              <w:rPr>
                <w:sz w:val="20"/>
                <w:lang w:val="fr-CA"/>
              </w:rPr>
            </w:pPr>
          </w:p>
        </w:tc>
        <w:tc>
          <w:tcPr>
            <w:tcW w:w="2330" w:type="pct"/>
          </w:tcPr>
          <w:p w:rsidR="002B2C2E" w:rsidRPr="00893C26" w:rsidRDefault="002B2C2E" w:rsidP="002B2C2E">
            <w:pPr>
              <w:jc w:val="both"/>
              <w:rPr>
                <w:sz w:val="20"/>
                <w:lang w:val="fr-CA"/>
              </w:rPr>
            </w:pPr>
            <w:r w:rsidRPr="00893C26">
              <w:rPr>
                <w:sz w:val="20"/>
                <w:lang w:val="fr-CA"/>
              </w:rPr>
              <w:t>Demande d’autorisation d’appel déposée</w:t>
            </w:r>
          </w:p>
          <w:p w:rsidR="002B2C2E" w:rsidRPr="00893C26" w:rsidRDefault="002B2C2E" w:rsidP="002B2C2E">
            <w:pPr>
              <w:jc w:val="both"/>
              <w:rPr>
                <w:sz w:val="20"/>
                <w:lang w:val="fr-CA"/>
              </w:rPr>
            </w:pPr>
          </w:p>
        </w:tc>
      </w:tr>
      <w:tr w:rsidR="002B2C2E" w:rsidRPr="00893C26" w:rsidTr="007B67AD">
        <w:tc>
          <w:tcPr>
            <w:tcW w:w="2427" w:type="pct"/>
            <w:gridSpan w:val="2"/>
          </w:tcPr>
          <w:p w:rsidR="002B2C2E" w:rsidRPr="00893C26" w:rsidRDefault="002B2C2E" w:rsidP="002B2C2E">
            <w:pPr>
              <w:jc w:val="both"/>
              <w:rPr>
                <w:sz w:val="20"/>
                <w:lang w:val="fr-CA"/>
              </w:rPr>
            </w:pPr>
            <w:r w:rsidRPr="00893C26">
              <w:rPr>
                <w:sz w:val="20"/>
                <w:lang w:val="fr-CA"/>
              </w:rPr>
              <w:t xml:space="preserve">31 janvier 2022 </w:t>
            </w:r>
          </w:p>
          <w:p w:rsidR="002B2C2E" w:rsidRPr="00893C26" w:rsidRDefault="002B2C2E" w:rsidP="002B2C2E">
            <w:pPr>
              <w:jc w:val="both"/>
              <w:rPr>
                <w:sz w:val="20"/>
                <w:lang w:val="fr-CA"/>
              </w:rPr>
            </w:pPr>
            <w:r w:rsidRPr="00893C26">
              <w:rPr>
                <w:sz w:val="20"/>
                <w:lang w:val="fr-CA"/>
              </w:rPr>
              <w:t>Cour suprême du Canada</w:t>
            </w:r>
          </w:p>
          <w:p w:rsidR="002B2C2E" w:rsidRPr="00893C26" w:rsidRDefault="002B2C2E" w:rsidP="002B2C2E">
            <w:pPr>
              <w:jc w:val="both"/>
              <w:rPr>
                <w:sz w:val="20"/>
                <w:lang w:val="fr-CA"/>
              </w:rPr>
            </w:pPr>
          </w:p>
        </w:tc>
        <w:tc>
          <w:tcPr>
            <w:tcW w:w="243" w:type="pct"/>
          </w:tcPr>
          <w:p w:rsidR="002B2C2E" w:rsidRPr="00893C26" w:rsidRDefault="002B2C2E" w:rsidP="002B2C2E">
            <w:pPr>
              <w:jc w:val="both"/>
              <w:rPr>
                <w:sz w:val="20"/>
                <w:lang w:val="fr-CA"/>
              </w:rPr>
            </w:pPr>
          </w:p>
        </w:tc>
        <w:tc>
          <w:tcPr>
            <w:tcW w:w="2330" w:type="pct"/>
          </w:tcPr>
          <w:p w:rsidR="002B2C2E" w:rsidRPr="00893C26" w:rsidRDefault="002B2C2E" w:rsidP="002B2C2E">
            <w:pPr>
              <w:jc w:val="both"/>
              <w:rPr>
                <w:sz w:val="20"/>
                <w:lang w:val="fr-CA"/>
              </w:rPr>
            </w:pPr>
            <w:r w:rsidRPr="00893C26">
              <w:rPr>
                <w:sz w:val="20"/>
                <w:lang w:val="fr-CA"/>
              </w:rPr>
              <w:t xml:space="preserve">Requête présentée par le demandeur en vue de déposer de nouveaux éléments de preuve, demande supplémentaire d’autorisation d’appel et avis modifié </w:t>
            </w:r>
          </w:p>
          <w:p w:rsidR="002B2C2E" w:rsidRPr="00893C26" w:rsidRDefault="002B2C2E" w:rsidP="002B2C2E">
            <w:pPr>
              <w:jc w:val="both"/>
              <w:rPr>
                <w:sz w:val="20"/>
                <w:lang w:val="fr-CA"/>
              </w:rPr>
            </w:pPr>
          </w:p>
        </w:tc>
      </w:tr>
      <w:tr w:rsidR="002B2C2E" w:rsidRPr="00893C26" w:rsidTr="007B67AD">
        <w:tc>
          <w:tcPr>
            <w:tcW w:w="2427" w:type="pct"/>
            <w:gridSpan w:val="2"/>
          </w:tcPr>
          <w:p w:rsidR="002B2C2E" w:rsidRPr="00893C26" w:rsidRDefault="002B2C2E" w:rsidP="002B2C2E">
            <w:pPr>
              <w:jc w:val="both"/>
              <w:rPr>
                <w:sz w:val="20"/>
                <w:lang w:val="fr-CA"/>
              </w:rPr>
            </w:pPr>
            <w:r w:rsidRPr="00893C26">
              <w:rPr>
                <w:sz w:val="20"/>
                <w:lang w:val="fr-CA"/>
              </w:rPr>
              <w:t>4 juillet 2022</w:t>
            </w:r>
          </w:p>
          <w:p w:rsidR="002B2C2E" w:rsidRPr="00893C26" w:rsidRDefault="002B2C2E" w:rsidP="002B2C2E">
            <w:pPr>
              <w:jc w:val="both"/>
              <w:rPr>
                <w:sz w:val="20"/>
                <w:lang w:val="fr-CA"/>
              </w:rPr>
            </w:pPr>
            <w:r w:rsidRPr="00893C26">
              <w:rPr>
                <w:sz w:val="20"/>
                <w:lang w:val="fr-CA"/>
              </w:rPr>
              <w:t>Cour suprême du Canada</w:t>
            </w:r>
          </w:p>
          <w:p w:rsidR="002B2C2E" w:rsidRPr="00893C26" w:rsidRDefault="002B2C2E" w:rsidP="002B2C2E">
            <w:pPr>
              <w:jc w:val="both"/>
              <w:rPr>
                <w:sz w:val="20"/>
                <w:lang w:val="fr-CA"/>
              </w:rPr>
            </w:pPr>
          </w:p>
        </w:tc>
        <w:tc>
          <w:tcPr>
            <w:tcW w:w="243" w:type="pct"/>
          </w:tcPr>
          <w:p w:rsidR="002B2C2E" w:rsidRPr="00893C26" w:rsidRDefault="002B2C2E" w:rsidP="002B2C2E">
            <w:pPr>
              <w:jc w:val="both"/>
              <w:rPr>
                <w:sz w:val="20"/>
                <w:lang w:val="fr-CA"/>
              </w:rPr>
            </w:pPr>
          </w:p>
        </w:tc>
        <w:tc>
          <w:tcPr>
            <w:tcW w:w="2330" w:type="pct"/>
          </w:tcPr>
          <w:p w:rsidR="002B2C2E" w:rsidRPr="00893C26" w:rsidRDefault="002B2C2E" w:rsidP="00311655">
            <w:pPr>
              <w:jc w:val="both"/>
              <w:rPr>
                <w:sz w:val="20"/>
                <w:lang w:val="fr-CA"/>
              </w:rPr>
            </w:pPr>
            <w:r w:rsidRPr="00893C26">
              <w:rPr>
                <w:sz w:val="20"/>
                <w:lang w:val="fr-CA"/>
              </w:rPr>
              <w:t>Requête présentée par le demandeur en vue d’obtenir une ordonnance de non-communication, une ordonnance de non-publication et une prolongation du délai pour s</w:t>
            </w:r>
            <w:r w:rsidR="00311655" w:rsidRPr="00893C26">
              <w:rPr>
                <w:sz w:val="20"/>
                <w:lang w:val="fr-CA"/>
              </w:rPr>
              <w:t>ignifier et déposer une réponse</w:t>
            </w:r>
          </w:p>
        </w:tc>
      </w:tr>
    </w:tbl>
    <w:p w:rsidR="002B2C2E" w:rsidRPr="00893C26" w:rsidRDefault="002B2C2E" w:rsidP="002B2C2E">
      <w:pPr>
        <w:jc w:val="both"/>
        <w:rPr>
          <w:sz w:val="20"/>
          <w:lang w:val="fr-CA"/>
        </w:rPr>
      </w:pPr>
    </w:p>
    <w:p w:rsidR="00311655" w:rsidRPr="00893C26" w:rsidRDefault="00893C26" w:rsidP="002B2C2E">
      <w:pPr>
        <w:jc w:val="both"/>
        <w:rPr>
          <w:sz w:val="20"/>
          <w:lang w:val="fr-CA"/>
        </w:rPr>
      </w:pPr>
      <w:r w:rsidRPr="00893C26">
        <w:rPr>
          <w:sz w:val="20"/>
        </w:rPr>
        <w:pict>
          <v:rect id="_x0000_i1046" style="width:2in;height:1pt" o:hrpct="0" o:hralign="center" o:hrstd="t" o:hrnoshade="t" o:hr="t" fillcolor="black [3213]" stroked="f"/>
        </w:pict>
      </w:r>
    </w:p>
    <w:p w:rsidR="00FA7226" w:rsidRPr="00893C26" w:rsidRDefault="00FA7226" w:rsidP="002B2C2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2C2E" w:rsidRPr="00893C26" w:rsidTr="007B67AD">
        <w:tc>
          <w:tcPr>
            <w:tcW w:w="543" w:type="pct"/>
          </w:tcPr>
          <w:p w:rsidR="002B2C2E" w:rsidRPr="00893C26" w:rsidRDefault="002B2C2E" w:rsidP="002B2C2E">
            <w:pPr>
              <w:jc w:val="both"/>
              <w:rPr>
                <w:sz w:val="20"/>
              </w:rPr>
            </w:pPr>
            <w:r w:rsidRPr="00893C26">
              <w:rPr>
                <w:rStyle w:val="SCCFileNumberChar"/>
                <w:sz w:val="20"/>
                <w:szCs w:val="20"/>
              </w:rPr>
              <w:t>40083</w:t>
            </w:r>
          </w:p>
        </w:tc>
        <w:tc>
          <w:tcPr>
            <w:tcW w:w="4457" w:type="pct"/>
            <w:gridSpan w:val="3"/>
          </w:tcPr>
          <w:p w:rsidR="002B2C2E" w:rsidRPr="00893C26" w:rsidRDefault="002B2C2E" w:rsidP="002B2C2E">
            <w:pPr>
              <w:pStyle w:val="SCCLsocParty"/>
              <w:jc w:val="both"/>
              <w:rPr>
                <w:b/>
                <w:sz w:val="20"/>
                <w:szCs w:val="20"/>
                <w:lang w:val="en-US"/>
              </w:rPr>
            </w:pPr>
            <w:r w:rsidRPr="00893C26">
              <w:rPr>
                <w:b/>
                <w:sz w:val="20"/>
                <w:szCs w:val="20"/>
                <w:lang w:val="en-US"/>
              </w:rPr>
              <w:t>Marcel Chartier v. Serge Bibeau</w:t>
            </w:r>
          </w:p>
          <w:p w:rsidR="002B2C2E" w:rsidRPr="00893C26" w:rsidRDefault="002B2C2E" w:rsidP="002B2C2E">
            <w:pPr>
              <w:jc w:val="both"/>
              <w:rPr>
                <w:sz w:val="20"/>
              </w:rPr>
            </w:pPr>
            <w:r w:rsidRPr="00893C26">
              <w:rPr>
                <w:sz w:val="20"/>
              </w:rPr>
              <w:t>(Man.) (Civil) (By Leave)</w:t>
            </w:r>
          </w:p>
        </w:tc>
      </w:tr>
      <w:tr w:rsidR="002B2C2E" w:rsidRPr="00893C26" w:rsidTr="007B67AD">
        <w:tc>
          <w:tcPr>
            <w:tcW w:w="5000" w:type="pct"/>
            <w:gridSpan w:val="4"/>
          </w:tcPr>
          <w:p w:rsidR="002B2C2E" w:rsidRPr="00893C26" w:rsidRDefault="002B2C2E" w:rsidP="002B2C2E">
            <w:pPr>
              <w:jc w:val="both"/>
              <w:rPr>
                <w:sz w:val="20"/>
              </w:rPr>
            </w:pPr>
            <w:r w:rsidRPr="00893C26">
              <w:rPr>
                <w:sz w:val="20"/>
              </w:rPr>
              <w:t>Damages — General and aggravated damages — Jury award — Quantum — Defamation — What is the role of a Canadian jury in the assessment of damages for a civil claim in defamation? — How should courts evaluate jury awards in defamation cases?</w:t>
            </w:r>
          </w:p>
        </w:tc>
      </w:tr>
      <w:tr w:rsidR="002B2C2E" w:rsidRPr="00893C26" w:rsidTr="007B67AD">
        <w:tc>
          <w:tcPr>
            <w:tcW w:w="5000" w:type="pct"/>
            <w:gridSpan w:val="4"/>
          </w:tcPr>
          <w:p w:rsidR="002B2C2E" w:rsidRPr="00893C26" w:rsidRDefault="002B2C2E" w:rsidP="002B2C2E">
            <w:pPr>
              <w:jc w:val="both"/>
              <w:rPr>
                <w:sz w:val="20"/>
              </w:rPr>
            </w:pPr>
          </w:p>
        </w:tc>
      </w:tr>
      <w:tr w:rsidR="002B2C2E" w:rsidRPr="00893C26" w:rsidTr="007B67AD">
        <w:tc>
          <w:tcPr>
            <w:tcW w:w="5000" w:type="pct"/>
            <w:gridSpan w:val="4"/>
          </w:tcPr>
          <w:p w:rsidR="002B2C2E" w:rsidRPr="00893C26" w:rsidRDefault="002B2C2E" w:rsidP="002B2C2E">
            <w:pPr>
              <w:jc w:val="both"/>
              <w:rPr>
                <w:sz w:val="20"/>
              </w:rPr>
            </w:pPr>
            <w:r w:rsidRPr="00893C26">
              <w:rPr>
                <w:sz w:val="20"/>
              </w:rPr>
              <w:t>The applicant, a commercial real estate broker and developer, and the respondent were friends and had numerous real estate and investment dealings over many years. One day, the respondent told two of the applicant’s business acquaintances that the applicant stole from him and was a thief. The two acquaintances continued to do business with the applicant, and the applicant admitted that he suffered no actual loss as a result of the respondent’s comments. A civil jury awarded the applicant general damages in the amount of $500,000 for defamation. On appeal at the Court of Appeal of Manitoba, the respondent did not dispute the jury’s decision that he made the defamatory comments, but argued that the quantum of damages was unreasonable. The applicant cross-appealed the jury’s failure to award punitive damages. The Court of Appeal unanimously allowed the respondent’s appeal, replaced the jury’s award of $500,000 with an award of $50,000 for general and aggravated damages, and dismissed the applicant’s cross</w:t>
            </w:r>
            <w:r w:rsidRPr="00893C26">
              <w:rPr>
                <w:sz w:val="20"/>
              </w:rPr>
              <w:noBreakHyphen/>
              <w:t>appeal.</w:t>
            </w:r>
          </w:p>
          <w:p w:rsidR="002B2C2E" w:rsidRPr="00893C26" w:rsidRDefault="002B2C2E" w:rsidP="002B2C2E">
            <w:pPr>
              <w:jc w:val="both"/>
              <w:rPr>
                <w:sz w:val="20"/>
              </w:rPr>
            </w:pPr>
          </w:p>
        </w:tc>
      </w:tr>
      <w:tr w:rsidR="002B2C2E" w:rsidRPr="00893C26" w:rsidTr="007B67AD">
        <w:tc>
          <w:tcPr>
            <w:tcW w:w="2427" w:type="pct"/>
            <w:gridSpan w:val="2"/>
          </w:tcPr>
          <w:p w:rsidR="002B2C2E" w:rsidRPr="00893C26" w:rsidRDefault="002B2C2E" w:rsidP="002B2C2E">
            <w:pPr>
              <w:jc w:val="both"/>
              <w:rPr>
                <w:sz w:val="20"/>
              </w:rPr>
            </w:pPr>
            <w:r w:rsidRPr="00893C26">
              <w:rPr>
                <w:sz w:val="20"/>
              </w:rPr>
              <w:t>May 5, 2021</w:t>
            </w:r>
          </w:p>
          <w:p w:rsidR="002B2C2E" w:rsidRPr="00893C26" w:rsidRDefault="002B2C2E" w:rsidP="002B2C2E">
            <w:pPr>
              <w:jc w:val="both"/>
              <w:rPr>
                <w:sz w:val="20"/>
              </w:rPr>
            </w:pPr>
            <w:r w:rsidRPr="00893C26">
              <w:rPr>
                <w:sz w:val="20"/>
              </w:rPr>
              <w:t>Court of Queen’s Bench of Manitoba</w:t>
            </w:r>
          </w:p>
          <w:p w:rsidR="002B2C2E" w:rsidRPr="00893C26" w:rsidRDefault="002B2C2E" w:rsidP="002B2C2E">
            <w:pPr>
              <w:jc w:val="both"/>
              <w:rPr>
                <w:sz w:val="20"/>
              </w:rPr>
            </w:pPr>
            <w:r w:rsidRPr="00893C26">
              <w:rPr>
                <w:sz w:val="20"/>
              </w:rPr>
              <w:t>(Edmond J.)</w:t>
            </w:r>
          </w:p>
          <w:p w:rsidR="002B2C2E" w:rsidRPr="00893C26" w:rsidRDefault="002B2C2E" w:rsidP="002B2C2E">
            <w:pPr>
              <w:jc w:val="both"/>
              <w:rPr>
                <w:sz w:val="20"/>
              </w:rPr>
            </w:pPr>
            <w:r w:rsidRPr="00893C26">
              <w:rPr>
                <w:sz w:val="20"/>
              </w:rPr>
              <w:t>File No. CI 18-01-17399</w:t>
            </w:r>
          </w:p>
          <w:p w:rsidR="002B2C2E" w:rsidRPr="00893C26" w:rsidRDefault="002B2C2E" w:rsidP="002B2C2E">
            <w:pPr>
              <w:jc w:val="both"/>
              <w:rPr>
                <w:sz w:val="20"/>
              </w:rPr>
            </w:pPr>
          </w:p>
        </w:tc>
        <w:tc>
          <w:tcPr>
            <w:tcW w:w="243" w:type="pct"/>
          </w:tcPr>
          <w:p w:rsidR="002B2C2E" w:rsidRPr="00893C26" w:rsidRDefault="002B2C2E" w:rsidP="002B2C2E">
            <w:pPr>
              <w:jc w:val="both"/>
              <w:rPr>
                <w:sz w:val="20"/>
              </w:rPr>
            </w:pPr>
          </w:p>
        </w:tc>
        <w:tc>
          <w:tcPr>
            <w:tcW w:w="2330" w:type="pct"/>
          </w:tcPr>
          <w:p w:rsidR="002B2C2E" w:rsidRPr="00893C26" w:rsidRDefault="002B2C2E" w:rsidP="002B2C2E">
            <w:pPr>
              <w:jc w:val="both"/>
              <w:rPr>
                <w:sz w:val="20"/>
              </w:rPr>
            </w:pPr>
            <w:r w:rsidRPr="00893C26">
              <w:rPr>
                <w:sz w:val="20"/>
              </w:rPr>
              <w:t>General damages of $500,000 for defamation awarded to applicant by civil jury.</w:t>
            </w:r>
          </w:p>
        </w:tc>
      </w:tr>
      <w:tr w:rsidR="002B2C2E" w:rsidRPr="00893C26" w:rsidTr="007B67AD">
        <w:tc>
          <w:tcPr>
            <w:tcW w:w="2427" w:type="pct"/>
            <w:gridSpan w:val="2"/>
          </w:tcPr>
          <w:p w:rsidR="002B2C2E" w:rsidRPr="00893C26" w:rsidRDefault="002B2C2E" w:rsidP="002B2C2E">
            <w:pPr>
              <w:jc w:val="both"/>
              <w:rPr>
                <w:sz w:val="20"/>
              </w:rPr>
            </w:pPr>
            <w:r w:rsidRPr="00893C26">
              <w:rPr>
                <w:sz w:val="20"/>
              </w:rPr>
              <w:t>January 17, 2022</w:t>
            </w:r>
          </w:p>
          <w:p w:rsidR="002B2C2E" w:rsidRPr="00893C26" w:rsidRDefault="002B2C2E" w:rsidP="002B2C2E">
            <w:pPr>
              <w:jc w:val="both"/>
              <w:rPr>
                <w:sz w:val="20"/>
              </w:rPr>
            </w:pPr>
            <w:r w:rsidRPr="00893C26">
              <w:rPr>
                <w:sz w:val="20"/>
              </w:rPr>
              <w:t>Court of Appeal of Manitoba</w:t>
            </w:r>
          </w:p>
          <w:p w:rsidR="002B2C2E" w:rsidRPr="00893C26" w:rsidRDefault="002B2C2E" w:rsidP="002B2C2E">
            <w:pPr>
              <w:jc w:val="both"/>
              <w:rPr>
                <w:sz w:val="20"/>
                <w:lang w:val="fr-CA"/>
              </w:rPr>
            </w:pPr>
            <w:r w:rsidRPr="00893C26">
              <w:rPr>
                <w:sz w:val="20"/>
                <w:lang w:val="fr-CA"/>
              </w:rPr>
              <w:t>(Burnett, Mainella and leMaistre JJ.A.)</w:t>
            </w:r>
          </w:p>
          <w:p w:rsidR="002B2C2E" w:rsidRPr="00893C26" w:rsidRDefault="002B2C2E" w:rsidP="002B2C2E">
            <w:pPr>
              <w:jc w:val="both"/>
              <w:rPr>
                <w:sz w:val="20"/>
              </w:rPr>
            </w:pPr>
            <w:r w:rsidRPr="00893C26">
              <w:rPr>
                <w:sz w:val="20"/>
              </w:rPr>
              <w:t>File No. AI21-30-09623</w:t>
            </w:r>
          </w:p>
          <w:p w:rsidR="002B2C2E" w:rsidRPr="00893C26" w:rsidRDefault="00893C26" w:rsidP="002B2C2E">
            <w:pPr>
              <w:jc w:val="both"/>
              <w:rPr>
                <w:sz w:val="20"/>
              </w:rPr>
            </w:pPr>
            <w:hyperlink r:id="rId63" w:history="1">
              <w:r w:rsidR="002B2C2E" w:rsidRPr="00893C26">
                <w:rPr>
                  <w:rStyle w:val="Hyperlink"/>
                  <w:sz w:val="20"/>
                </w:rPr>
                <w:t>2022 MBCA 5</w:t>
              </w:r>
            </w:hyperlink>
          </w:p>
          <w:p w:rsidR="002B2C2E" w:rsidRPr="00893C26" w:rsidRDefault="002B2C2E" w:rsidP="002B2C2E">
            <w:pPr>
              <w:jc w:val="both"/>
              <w:rPr>
                <w:sz w:val="20"/>
              </w:rPr>
            </w:pPr>
          </w:p>
        </w:tc>
        <w:tc>
          <w:tcPr>
            <w:tcW w:w="243" w:type="pct"/>
          </w:tcPr>
          <w:p w:rsidR="002B2C2E" w:rsidRPr="00893C26" w:rsidRDefault="002B2C2E" w:rsidP="002B2C2E">
            <w:pPr>
              <w:jc w:val="both"/>
              <w:rPr>
                <w:sz w:val="20"/>
              </w:rPr>
            </w:pPr>
          </w:p>
        </w:tc>
        <w:tc>
          <w:tcPr>
            <w:tcW w:w="2330" w:type="pct"/>
          </w:tcPr>
          <w:p w:rsidR="002B2C2E" w:rsidRPr="00893C26" w:rsidRDefault="002B2C2E" w:rsidP="002B2C2E">
            <w:pPr>
              <w:jc w:val="both"/>
              <w:rPr>
                <w:sz w:val="20"/>
              </w:rPr>
            </w:pPr>
            <w:r w:rsidRPr="00893C26">
              <w:rPr>
                <w:sz w:val="20"/>
              </w:rPr>
              <w:t>Appeal allowed. Jury’s award of $500,000 replaced with award of $50,000 for general and aggravated damages. Cross-appeal dismissed.</w:t>
            </w:r>
          </w:p>
          <w:p w:rsidR="002B2C2E" w:rsidRPr="00893C26" w:rsidRDefault="002B2C2E" w:rsidP="002B2C2E">
            <w:pPr>
              <w:jc w:val="both"/>
              <w:rPr>
                <w:sz w:val="20"/>
              </w:rPr>
            </w:pPr>
          </w:p>
        </w:tc>
      </w:tr>
      <w:tr w:rsidR="002B2C2E" w:rsidRPr="00893C26" w:rsidTr="007B67AD">
        <w:tc>
          <w:tcPr>
            <w:tcW w:w="2427" w:type="pct"/>
            <w:gridSpan w:val="2"/>
          </w:tcPr>
          <w:p w:rsidR="002B2C2E" w:rsidRPr="00893C26" w:rsidRDefault="002B2C2E" w:rsidP="002B2C2E">
            <w:pPr>
              <w:jc w:val="both"/>
              <w:rPr>
                <w:sz w:val="20"/>
              </w:rPr>
            </w:pPr>
            <w:r w:rsidRPr="00893C26">
              <w:rPr>
                <w:sz w:val="20"/>
              </w:rPr>
              <w:t>March 17, 2022</w:t>
            </w:r>
          </w:p>
          <w:p w:rsidR="002B2C2E" w:rsidRPr="00893C26" w:rsidRDefault="002B2C2E" w:rsidP="002B2C2E">
            <w:pPr>
              <w:jc w:val="both"/>
              <w:rPr>
                <w:sz w:val="20"/>
              </w:rPr>
            </w:pPr>
            <w:r w:rsidRPr="00893C26">
              <w:rPr>
                <w:sz w:val="20"/>
              </w:rPr>
              <w:t>Supreme Court of Canada</w:t>
            </w:r>
          </w:p>
        </w:tc>
        <w:tc>
          <w:tcPr>
            <w:tcW w:w="243" w:type="pct"/>
          </w:tcPr>
          <w:p w:rsidR="002B2C2E" w:rsidRPr="00893C26" w:rsidRDefault="002B2C2E" w:rsidP="002B2C2E">
            <w:pPr>
              <w:jc w:val="both"/>
              <w:rPr>
                <w:sz w:val="20"/>
              </w:rPr>
            </w:pPr>
          </w:p>
        </w:tc>
        <w:tc>
          <w:tcPr>
            <w:tcW w:w="2330" w:type="pct"/>
          </w:tcPr>
          <w:p w:rsidR="002B2C2E" w:rsidRPr="00893C26" w:rsidRDefault="002B2C2E" w:rsidP="002B2C2E">
            <w:pPr>
              <w:jc w:val="both"/>
              <w:rPr>
                <w:sz w:val="20"/>
              </w:rPr>
            </w:pPr>
            <w:r w:rsidRPr="00893C26">
              <w:rPr>
                <w:sz w:val="20"/>
              </w:rPr>
              <w:t>Application for leave to appeal filed.</w:t>
            </w:r>
          </w:p>
          <w:p w:rsidR="002B2C2E" w:rsidRPr="00893C26" w:rsidRDefault="002B2C2E" w:rsidP="002B2C2E">
            <w:pPr>
              <w:jc w:val="both"/>
              <w:rPr>
                <w:sz w:val="20"/>
              </w:rPr>
            </w:pPr>
          </w:p>
        </w:tc>
      </w:tr>
    </w:tbl>
    <w:p w:rsidR="002B2C2E" w:rsidRPr="00893C26" w:rsidRDefault="002B2C2E" w:rsidP="002B2C2E">
      <w:pPr>
        <w:jc w:val="both"/>
        <w:rPr>
          <w:sz w:val="20"/>
        </w:rPr>
      </w:pPr>
    </w:p>
    <w:p w:rsidR="00311655" w:rsidRPr="00893C26" w:rsidRDefault="00893C26" w:rsidP="002B2C2E">
      <w:pPr>
        <w:jc w:val="both"/>
        <w:rPr>
          <w:sz w:val="20"/>
        </w:rPr>
      </w:pPr>
      <w:r w:rsidRPr="00893C26">
        <w:rPr>
          <w:sz w:val="20"/>
        </w:rPr>
        <w:pict>
          <v:rect id="_x0000_i1047" style="width:2in;height:1pt" o:hrpct="0" o:hralign="center" o:hrstd="t" o:hrnoshade="t" o:hr="t" fillcolor="black [3213]" stroked="f"/>
        </w:pict>
      </w:r>
    </w:p>
    <w:p w:rsidR="00311655" w:rsidRPr="00893C26" w:rsidRDefault="00311655" w:rsidP="002B2C2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B2C2E" w:rsidRPr="00893C26" w:rsidTr="007B67AD">
        <w:tc>
          <w:tcPr>
            <w:tcW w:w="543" w:type="pct"/>
          </w:tcPr>
          <w:p w:rsidR="002B2C2E" w:rsidRPr="00893C26" w:rsidRDefault="002B2C2E" w:rsidP="002B2C2E">
            <w:pPr>
              <w:jc w:val="both"/>
              <w:rPr>
                <w:sz w:val="20"/>
                <w:lang w:val="fr-CA"/>
              </w:rPr>
            </w:pPr>
            <w:r w:rsidRPr="00893C26">
              <w:rPr>
                <w:rStyle w:val="SCCFileNumberChar"/>
                <w:sz w:val="20"/>
                <w:szCs w:val="20"/>
                <w:lang w:val="fr-CA"/>
              </w:rPr>
              <w:t>40083</w:t>
            </w:r>
          </w:p>
        </w:tc>
        <w:tc>
          <w:tcPr>
            <w:tcW w:w="4457" w:type="pct"/>
            <w:gridSpan w:val="3"/>
          </w:tcPr>
          <w:p w:rsidR="002B2C2E" w:rsidRPr="00893C26" w:rsidRDefault="002B2C2E" w:rsidP="002B2C2E">
            <w:pPr>
              <w:pStyle w:val="SCCLsocParty"/>
              <w:jc w:val="both"/>
              <w:rPr>
                <w:b/>
                <w:sz w:val="20"/>
                <w:szCs w:val="20"/>
              </w:rPr>
            </w:pPr>
            <w:r w:rsidRPr="00893C26">
              <w:rPr>
                <w:b/>
                <w:sz w:val="20"/>
                <w:szCs w:val="20"/>
              </w:rPr>
              <w:t>Marcel Chartier c. Serge Bibeau</w:t>
            </w:r>
          </w:p>
          <w:p w:rsidR="002B2C2E" w:rsidRPr="00893C26" w:rsidRDefault="002B2C2E" w:rsidP="002B2C2E">
            <w:pPr>
              <w:jc w:val="both"/>
              <w:rPr>
                <w:sz w:val="20"/>
                <w:lang w:val="fr-CA"/>
              </w:rPr>
            </w:pPr>
            <w:r w:rsidRPr="00893C26">
              <w:rPr>
                <w:sz w:val="20"/>
                <w:lang w:val="fr-CA"/>
              </w:rPr>
              <w:t>(Man.) (Civile) (Sur autorisation)</w:t>
            </w:r>
          </w:p>
        </w:tc>
      </w:tr>
      <w:tr w:rsidR="002B2C2E" w:rsidRPr="00893C26" w:rsidTr="007B67AD">
        <w:tc>
          <w:tcPr>
            <w:tcW w:w="5000" w:type="pct"/>
            <w:gridSpan w:val="4"/>
          </w:tcPr>
          <w:p w:rsidR="002B2C2E" w:rsidRPr="00893C26" w:rsidRDefault="002B2C2E" w:rsidP="00311655">
            <w:pPr>
              <w:jc w:val="both"/>
              <w:rPr>
                <w:sz w:val="20"/>
                <w:lang w:val="fr-CA"/>
              </w:rPr>
            </w:pPr>
            <w:r w:rsidRPr="00893C26">
              <w:rPr>
                <w:sz w:val="20"/>
                <w:lang w:val="fr-CA"/>
              </w:rPr>
              <w:t>Dommages-intérêts — Dommages-intérêts généraux et majorés — Dommages-intérêts accordés par un jury — Quantum — Diffamation — Quel est le rôle d’un jury canadien dans l’évaluation des dommages-intérêts dans le cadre d’une poursuite civile en diffamation? — De quelle façon les tribunaux devraient-ils évaluer les dommages-intérêts accordés par un jury dans les affaires de diffamation?</w:t>
            </w:r>
          </w:p>
        </w:tc>
      </w:tr>
      <w:tr w:rsidR="002B2C2E" w:rsidRPr="00893C26" w:rsidTr="007B67AD">
        <w:tc>
          <w:tcPr>
            <w:tcW w:w="5000" w:type="pct"/>
            <w:gridSpan w:val="4"/>
          </w:tcPr>
          <w:p w:rsidR="002B2C2E" w:rsidRPr="00893C26" w:rsidRDefault="002B2C2E" w:rsidP="002B2C2E">
            <w:pPr>
              <w:jc w:val="both"/>
              <w:rPr>
                <w:sz w:val="20"/>
                <w:lang w:val="fr-CA"/>
              </w:rPr>
            </w:pPr>
          </w:p>
        </w:tc>
      </w:tr>
      <w:tr w:rsidR="002B2C2E" w:rsidRPr="00893C26" w:rsidTr="007B67AD">
        <w:tc>
          <w:tcPr>
            <w:tcW w:w="5000" w:type="pct"/>
            <w:gridSpan w:val="4"/>
          </w:tcPr>
          <w:p w:rsidR="002B2C2E" w:rsidRPr="00893C26" w:rsidRDefault="002B2C2E" w:rsidP="002B2C2E">
            <w:pPr>
              <w:jc w:val="both"/>
              <w:rPr>
                <w:sz w:val="20"/>
                <w:lang w:val="fr-CA"/>
              </w:rPr>
            </w:pPr>
            <w:r w:rsidRPr="00893C26">
              <w:rPr>
                <w:sz w:val="20"/>
                <w:lang w:val="fr-CA"/>
              </w:rPr>
              <w:t>Le demandeur, un courtier et promoteur immobilier commercial, et l’intimé étaient amis et ont conclu plusieurs investissements et transactions immobilières pendant de nombreuses années. Un jour, l’intimé a dit à deux connaissances d’affaires du demandeur que ce dernier l’avait volé et était un voleur. Les deux connaissances ont continué de faire affaire avec le demandeur, et celui-ci a admis n’avoir subi aucune perte réelle à la suite des commentaires de l’intimé. Un jury a accordé au demandeur des dommages-intérêts généraux de 500 000 $ pour diffamation. En appel à la Cour d’appel du Manitoba, l’intimé n’a pas contesté la décision du jury selon laquelle il avait fait des commentaires diffamatoires, mais a soutenu que le montant des dommages-intérêts était déraisonnable. Le demandeur a formé un appel incident à l’égard du défaut du jury de ne pas accorder de dommages-intérêts punitifs. La Cour d’appel a accueilli l’appel de l’intimé à l’unanimité, a remplacé les dommages-intérêts de 500 000 $ accordés par le jury par des dommages-intérêts généraux et majorés de 50 000 $, et a rejeté l’appel incident du demandeur.</w:t>
            </w:r>
          </w:p>
          <w:p w:rsidR="002B2C2E" w:rsidRPr="00893C26" w:rsidRDefault="002B2C2E" w:rsidP="002B2C2E">
            <w:pPr>
              <w:jc w:val="both"/>
              <w:rPr>
                <w:sz w:val="20"/>
                <w:lang w:val="fr-CA"/>
              </w:rPr>
            </w:pPr>
          </w:p>
        </w:tc>
      </w:tr>
      <w:tr w:rsidR="002B2C2E" w:rsidRPr="00893C26" w:rsidTr="007B67AD">
        <w:tc>
          <w:tcPr>
            <w:tcW w:w="2427" w:type="pct"/>
            <w:gridSpan w:val="2"/>
          </w:tcPr>
          <w:p w:rsidR="002B2C2E" w:rsidRPr="00893C26" w:rsidRDefault="002B2C2E" w:rsidP="002B2C2E">
            <w:pPr>
              <w:jc w:val="both"/>
              <w:rPr>
                <w:sz w:val="20"/>
                <w:lang w:val="fr-CA"/>
              </w:rPr>
            </w:pPr>
            <w:r w:rsidRPr="00893C26">
              <w:rPr>
                <w:sz w:val="20"/>
                <w:lang w:val="fr-CA"/>
              </w:rPr>
              <w:t>5 mai 2021</w:t>
            </w:r>
          </w:p>
          <w:p w:rsidR="002B2C2E" w:rsidRPr="00893C26" w:rsidRDefault="002B2C2E" w:rsidP="002B2C2E">
            <w:pPr>
              <w:jc w:val="both"/>
              <w:rPr>
                <w:sz w:val="20"/>
                <w:lang w:val="fr-CA"/>
              </w:rPr>
            </w:pPr>
            <w:r w:rsidRPr="00893C26">
              <w:rPr>
                <w:sz w:val="20"/>
                <w:lang w:val="fr-CA"/>
              </w:rPr>
              <w:t>Cour du Banc de la Reine du Manitoba</w:t>
            </w:r>
          </w:p>
          <w:p w:rsidR="002B2C2E" w:rsidRPr="00893C26" w:rsidRDefault="002B2C2E" w:rsidP="002B2C2E">
            <w:pPr>
              <w:jc w:val="both"/>
              <w:rPr>
                <w:sz w:val="20"/>
                <w:lang w:val="fr-CA"/>
              </w:rPr>
            </w:pPr>
            <w:r w:rsidRPr="00893C26">
              <w:rPr>
                <w:sz w:val="20"/>
                <w:lang w:val="fr-CA"/>
              </w:rPr>
              <w:t>(Juge Edmond)</w:t>
            </w:r>
          </w:p>
          <w:p w:rsidR="002B2C2E" w:rsidRPr="00893C26" w:rsidRDefault="002B2C2E" w:rsidP="002B2C2E">
            <w:pPr>
              <w:jc w:val="both"/>
              <w:rPr>
                <w:sz w:val="20"/>
                <w:lang w:val="fr-CA"/>
              </w:rPr>
            </w:pPr>
            <w:r w:rsidRPr="00893C26">
              <w:rPr>
                <w:sz w:val="20"/>
                <w:lang w:val="fr-CA"/>
              </w:rPr>
              <w:t>N</w:t>
            </w:r>
            <w:r w:rsidRPr="00893C26">
              <w:rPr>
                <w:sz w:val="20"/>
                <w:vertAlign w:val="superscript"/>
                <w:lang w:val="fr-CA"/>
              </w:rPr>
              <w:t>o</w:t>
            </w:r>
            <w:r w:rsidRPr="00893C26">
              <w:rPr>
                <w:sz w:val="20"/>
                <w:lang w:val="fr-CA"/>
              </w:rPr>
              <w:t xml:space="preserve"> de dossier CI 18-01-17399</w:t>
            </w:r>
          </w:p>
          <w:p w:rsidR="002B2C2E" w:rsidRPr="00893C26" w:rsidRDefault="002B2C2E" w:rsidP="002B2C2E">
            <w:pPr>
              <w:jc w:val="both"/>
              <w:rPr>
                <w:sz w:val="20"/>
                <w:lang w:val="fr-CA"/>
              </w:rPr>
            </w:pPr>
          </w:p>
        </w:tc>
        <w:tc>
          <w:tcPr>
            <w:tcW w:w="243" w:type="pct"/>
          </w:tcPr>
          <w:p w:rsidR="002B2C2E" w:rsidRPr="00893C26" w:rsidRDefault="002B2C2E" w:rsidP="002B2C2E">
            <w:pPr>
              <w:jc w:val="both"/>
              <w:rPr>
                <w:sz w:val="20"/>
                <w:lang w:val="fr-CA"/>
              </w:rPr>
            </w:pPr>
          </w:p>
        </w:tc>
        <w:tc>
          <w:tcPr>
            <w:tcW w:w="2330" w:type="pct"/>
          </w:tcPr>
          <w:p w:rsidR="002B2C2E" w:rsidRPr="00893C26" w:rsidRDefault="002B2C2E" w:rsidP="002B2C2E">
            <w:pPr>
              <w:jc w:val="both"/>
              <w:rPr>
                <w:sz w:val="20"/>
                <w:lang w:val="fr-CA"/>
              </w:rPr>
            </w:pPr>
            <w:r w:rsidRPr="00893C26">
              <w:rPr>
                <w:sz w:val="20"/>
                <w:lang w:val="fr-CA"/>
              </w:rPr>
              <w:t>Dommages-intérêts généraux de 500 000 $ pour diffamation accordés au demandeur par le jury.</w:t>
            </w:r>
          </w:p>
        </w:tc>
      </w:tr>
      <w:tr w:rsidR="002B2C2E" w:rsidRPr="00893C26" w:rsidTr="007B67AD">
        <w:tc>
          <w:tcPr>
            <w:tcW w:w="2427" w:type="pct"/>
            <w:gridSpan w:val="2"/>
          </w:tcPr>
          <w:p w:rsidR="002B2C2E" w:rsidRPr="00893C26" w:rsidRDefault="002B2C2E" w:rsidP="002B2C2E">
            <w:pPr>
              <w:jc w:val="both"/>
              <w:rPr>
                <w:sz w:val="20"/>
                <w:lang w:val="fr-CA"/>
              </w:rPr>
            </w:pPr>
            <w:r w:rsidRPr="00893C26">
              <w:rPr>
                <w:sz w:val="20"/>
                <w:lang w:val="fr-CA"/>
              </w:rPr>
              <w:t>17 janvier 2022</w:t>
            </w:r>
          </w:p>
          <w:p w:rsidR="002B2C2E" w:rsidRPr="00893C26" w:rsidRDefault="002B2C2E" w:rsidP="002B2C2E">
            <w:pPr>
              <w:jc w:val="both"/>
              <w:rPr>
                <w:sz w:val="20"/>
                <w:lang w:val="fr-CA"/>
              </w:rPr>
            </w:pPr>
            <w:r w:rsidRPr="00893C26">
              <w:rPr>
                <w:sz w:val="20"/>
                <w:lang w:val="fr-CA"/>
              </w:rPr>
              <w:t>Cour d’appel du Manitoba</w:t>
            </w:r>
          </w:p>
          <w:p w:rsidR="002B2C2E" w:rsidRPr="00893C26" w:rsidRDefault="002B2C2E" w:rsidP="002B2C2E">
            <w:pPr>
              <w:jc w:val="both"/>
              <w:rPr>
                <w:sz w:val="20"/>
                <w:lang w:val="fr-CA"/>
              </w:rPr>
            </w:pPr>
            <w:r w:rsidRPr="00893C26">
              <w:rPr>
                <w:sz w:val="20"/>
                <w:lang w:val="fr-CA"/>
              </w:rPr>
              <w:t>(Juges Burnett, Mainella et leMaistre)</w:t>
            </w:r>
          </w:p>
          <w:p w:rsidR="002B2C2E" w:rsidRPr="00893C26" w:rsidRDefault="002B2C2E" w:rsidP="002B2C2E">
            <w:pPr>
              <w:jc w:val="both"/>
              <w:rPr>
                <w:sz w:val="20"/>
                <w:lang w:val="fr-CA"/>
              </w:rPr>
            </w:pPr>
            <w:r w:rsidRPr="00893C26">
              <w:rPr>
                <w:sz w:val="20"/>
                <w:lang w:val="fr-CA"/>
              </w:rPr>
              <w:t>N</w:t>
            </w:r>
            <w:r w:rsidRPr="00893C26">
              <w:rPr>
                <w:sz w:val="20"/>
                <w:vertAlign w:val="superscript"/>
                <w:lang w:val="fr-CA"/>
              </w:rPr>
              <w:t>o</w:t>
            </w:r>
            <w:r w:rsidRPr="00893C26">
              <w:rPr>
                <w:sz w:val="20"/>
                <w:lang w:val="fr-CA"/>
              </w:rPr>
              <w:t xml:space="preserve"> de dossier AI21-30-09623</w:t>
            </w:r>
          </w:p>
          <w:p w:rsidR="002B2C2E" w:rsidRPr="00893C26" w:rsidRDefault="00893C26" w:rsidP="002B2C2E">
            <w:pPr>
              <w:jc w:val="both"/>
              <w:rPr>
                <w:sz w:val="20"/>
                <w:lang w:val="fr-CA"/>
              </w:rPr>
            </w:pPr>
            <w:hyperlink r:id="rId64" w:history="1">
              <w:r w:rsidR="002B2C2E" w:rsidRPr="00893C26">
                <w:rPr>
                  <w:rStyle w:val="Hyperlink"/>
                  <w:sz w:val="20"/>
                  <w:lang w:val="fr-CA"/>
                </w:rPr>
                <w:t>2022 MBCA 5</w:t>
              </w:r>
            </w:hyperlink>
          </w:p>
          <w:p w:rsidR="002B2C2E" w:rsidRPr="00893C26" w:rsidRDefault="002B2C2E" w:rsidP="002B2C2E">
            <w:pPr>
              <w:jc w:val="both"/>
              <w:rPr>
                <w:sz w:val="20"/>
                <w:lang w:val="fr-CA"/>
              </w:rPr>
            </w:pPr>
          </w:p>
        </w:tc>
        <w:tc>
          <w:tcPr>
            <w:tcW w:w="243" w:type="pct"/>
          </w:tcPr>
          <w:p w:rsidR="002B2C2E" w:rsidRPr="00893C26" w:rsidRDefault="002B2C2E" w:rsidP="002B2C2E">
            <w:pPr>
              <w:jc w:val="both"/>
              <w:rPr>
                <w:sz w:val="20"/>
                <w:lang w:val="fr-CA"/>
              </w:rPr>
            </w:pPr>
          </w:p>
        </w:tc>
        <w:tc>
          <w:tcPr>
            <w:tcW w:w="2330" w:type="pct"/>
          </w:tcPr>
          <w:p w:rsidR="002B2C2E" w:rsidRPr="00893C26" w:rsidRDefault="002B2C2E" w:rsidP="002B2C2E">
            <w:pPr>
              <w:jc w:val="both"/>
              <w:rPr>
                <w:sz w:val="20"/>
                <w:lang w:val="fr-CA"/>
              </w:rPr>
            </w:pPr>
            <w:r w:rsidRPr="00893C26">
              <w:rPr>
                <w:sz w:val="20"/>
                <w:lang w:val="fr-CA"/>
              </w:rPr>
              <w:t xml:space="preserve">Appel accueilli. Dommages-intérêts de 500 000 $ accordés par </w:t>
            </w:r>
            <w:proofErr w:type="gramStart"/>
            <w:r w:rsidRPr="00893C26">
              <w:rPr>
                <w:sz w:val="20"/>
                <w:lang w:val="fr-CA"/>
              </w:rPr>
              <w:t>le jury remplacés</w:t>
            </w:r>
            <w:proofErr w:type="gramEnd"/>
            <w:r w:rsidRPr="00893C26">
              <w:rPr>
                <w:sz w:val="20"/>
                <w:lang w:val="fr-CA"/>
              </w:rPr>
              <w:t xml:space="preserve"> par des dommages-intérêts généraux et majorés de 50 000 $. Appel incident rejeté.</w:t>
            </w:r>
          </w:p>
          <w:p w:rsidR="002B2C2E" w:rsidRPr="00893C26" w:rsidRDefault="002B2C2E" w:rsidP="002B2C2E">
            <w:pPr>
              <w:jc w:val="both"/>
              <w:rPr>
                <w:sz w:val="20"/>
                <w:lang w:val="fr-CA"/>
              </w:rPr>
            </w:pPr>
          </w:p>
        </w:tc>
      </w:tr>
      <w:tr w:rsidR="002B2C2E" w:rsidRPr="00893C26" w:rsidTr="007B67AD">
        <w:tc>
          <w:tcPr>
            <w:tcW w:w="2427" w:type="pct"/>
            <w:gridSpan w:val="2"/>
          </w:tcPr>
          <w:p w:rsidR="002B2C2E" w:rsidRPr="00893C26" w:rsidRDefault="002B2C2E" w:rsidP="002B2C2E">
            <w:pPr>
              <w:jc w:val="both"/>
              <w:rPr>
                <w:sz w:val="20"/>
                <w:lang w:val="fr-CA"/>
              </w:rPr>
            </w:pPr>
            <w:r w:rsidRPr="00893C26">
              <w:rPr>
                <w:sz w:val="20"/>
                <w:lang w:val="fr-CA"/>
              </w:rPr>
              <w:t>17 mars 2022</w:t>
            </w:r>
          </w:p>
          <w:p w:rsidR="002B2C2E" w:rsidRPr="00893C26" w:rsidRDefault="002B2C2E" w:rsidP="002B2C2E">
            <w:pPr>
              <w:jc w:val="both"/>
              <w:rPr>
                <w:sz w:val="20"/>
                <w:lang w:val="fr-CA"/>
              </w:rPr>
            </w:pPr>
            <w:r w:rsidRPr="00893C26">
              <w:rPr>
                <w:sz w:val="20"/>
                <w:lang w:val="fr-CA"/>
              </w:rPr>
              <w:t>Cour suprême du Canada</w:t>
            </w:r>
          </w:p>
        </w:tc>
        <w:tc>
          <w:tcPr>
            <w:tcW w:w="243" w:type="pct"/>
          </w:tcPr>
          <w:p w:rsidR="002B2C2E" w:rsidRPr="00893C26" w:rsidRDefault="002B2C2E" w:rsidP="002B2C2E">
            <w:pPr>
              <w:jc w:val="both"/>
              <w:rPr>
                <w:sz w:val="20"/>
                <w:lang w:val="fr-CA"/>
              </w:rPr>
            </w:pPr>
          </w:p>
        </w:tc>
        <w:tc>
          <w:tcPr>
            <w:tcW w:w="2330" w:type="pct"/>
          </w:tcPr>
          <w:p w:rsidR="002B2C2E" w:rsidRPr="00893C26" w:rsidRDefault="002B2C2E" w:rsidP="002B2C2E">
            <w:pPr>
              <w:jc w:val="both"/>
              <w:rPr>
                <w:sz w:val="20"/>
                <w:lang w:val="fr-CA"/>
              </w:rPr>
            </w:pPr>
            <w:r w:rsidRPr="00893C26">
              <w:rPr>
                <w:sz w:val="20"/>
                <w:lang w:val="fr-CA"/>
              </w:rPr>
              <w:t>Demande d’autorisation d’appel déposée.</w:t>
            </w:r>
          </w:p>
          <w:p w:rsidR="002B2C2E" w:rsidRPr="00893C26" w:rsidRDefault="002B2C2E" w:rsidP="002B2C2E">
            <w:pPr>
              <w:jc w:val="both"/>
              <w:rPr>
                <w:sz w:val="20"/>
                <w:lang w:val="fr-CA"/>
              </w:rPr>
            </w:pPr>
          </w:p>
        </w:tc>
      </w:tr>
    </w:tbl>
    <w:p w:rsidR="00403CA6" w:rsidRPr="00893C26" w:rsidRDefault="00403CA6" w:rsidP="00311655">
      <w:pPr>
        <w:jc w:val="both"/>
        <w:rPr>
          <w:sz w:val="20"/>
          <w:lang w:val="fr-CA"/>
        </w:rPr>
      </w:pPr>
    </w:p>
    <w:p w:rsidR="0001473D" w:rsidRPr="00893C26" w:rsidRDefault="00893C26" w:rsidP="00311655">
      <w:pPr>
        <w:widowControl w:val="0"/>
        <w:jc w:val="both"/>
        <w:rPr>
          <w:sz w:val="20"/>
          <w:lang w:val="fr-CA"/>
        </w:rPr>
      </w:pPr>
      <w:r w:rsidRPr="00893C26">
        <w:rPr>
          <w:sz w:val="20"/>
        </w:rPr>
        <w:pict>
          <v:rect id="_x0000_i1048" style="width:2in;height:1pt" o:hrpct="0" o:hralign="center" o:hrstd="t" o:hrnoshade="t" o:hr="t" fillcolor="black [3213]" stroked="f"/>
        </w:pict>
      </w:r>
    </w:p>
    <w:p w:rsidR="00FD3FA0" w:rsidRPr="00893C26" w:rsidRDefault="00FD3FA0" w:rsidP="0031165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1655" w:rsidRPr="00893C26" w:rsidTr="00A743EC">
        <w:tc>
          <w:tcPr>
            <w:tcW w:w="543" w:type="pct"/>
          </w:tcPr>
          <w:p w:rsidR="00311655" w:rsidRPr="00893C26" w:rsidRDefault="00311655" w:rsidP="00311655">
            <w:pPr>
              <w:jc w:val="both"/>
              <w:rPr>
                <w:sz w:val="20"/>
              </w:rPr>
            </w:pPr>
            <w:r w:rsidRPr="00893C26">
              <w:rPr>
                <w:rStyle w:val="SCCFileNumberChar"/>
                <w:sz w:val="20"/>
                <w:szCs w:val="20"/>
              </w:rPr>
              <w:t>40091</w:t>
            </w:r>
          </w:p>
        </w:tc>
        <w:tc>
          <w:tcPr>
            <w:tcW w:w="4457" w:type="pct"/>
            <w:gridSpan w:val="3"/>
          </w:tcPr>
          <w:p w:rsidR="00311655" w:rsidRPr="00893C26" w:rsidRDefault="00311655" w:rsidP="00311655">
            <w:pPr>
              <w:pStyle w:val="SCCLsocParty"/>
              <w:jc w:val="both"/>
              <w:rPr>
                <w:b/>
                <w:sz w:val="20"/>
                <w:szCs w:val="20"/>
                <w:lang w:val="en-US"/>
              </w:rPr>
            </w:pPr>
            <w:r w:rsidRPr="00893C26">
              <w:rPr>
                <w:b/>
                <w:sz w:val="20"/>
                <w:szCs w:val="20"/>
                <w:lang w:val="en-US"/>
              </w:rPr>
              <w:t>Arthur Froom v. Sonia Lafontaine</w:t>
            </w:r>
          </w:p>
          <w:p w:rsidR="00311655" w:rsidRPr="00893C26" w:rsidRDefault="00311655" w:rsidP="00311655">
            <w:pPr>
              <w:jc w:val="both"/>
              <w:rPr>
                <w:sz w:val="20"/>
              </w:rPr>
            </w:pPr>
            <w:r w:rsidRPr="00893C26">
              <w:rPr>
                <w:sz w:val="20"/>
              </w:rPr>
              <w:t>(Ont.) (Civil) (By Leave)</w:t>
            </w:r>
          </w:p>
        </w:tc>
      </w:tr>
      <w:tr w:rsidR="00311655" w:rsidRPr="00893C26" w:rsidTr="00A743EC">
        <w:tc>
          <w:tcPr>
            <w:tcW w:w="5000" w:type="pct"/>
            <w:gridSpan w:val="4"/>
          </w:tcPr>
          <w:p w:rsidR="00311655" w:rsidRPr="00893C26" w:rsidRDefault="00311655" w:rsidP="00311655">
            <w:pPr>
              <w:jc w:val="both"/>
              <w:rPr>
                <w:sz w:val="20"/>
              </w:rPr>
            </w:pPr>
            <w:r w:rsidRPr="00893C26">
              <w:rPr>
                <w:sz w:val="20"/>
              </w:rPr>
              <w:t xml:space="preserve">Courts — Jurisdiction — Superior Court of Justice (Family Court) granting adjournment of motion until trial and including numerous terms in adjournment order including that applicant deposit money with the court from proceeds of sale of property to which ownership is disputed between the parties — Whether a court can dispense with the required injunction test set out in </w:t>
            </w:r>
            <w:r w:rsidRPr="00893C26">
              <w:rPr>
                <w:i/>
                <w:sz w:val="20"/>
              </w:rPr>
              <w:t>RJR — MacDonald Inc. v. Canada (Attorney General)</w:t>
            </w:r>
            <w:r w:rsidRPr="00893C26">
              <w:rPr>
                <w:sz w:val="20"/>
              </w:rPr>
              <w:t>, [1994] 1 S.C.R. 311, and other cases, by relabeling the matter a term of adjournment — If so, whether that violates the rule of law and constitutes denial of a substantive right where irreparable harm results — Whether a court can dispense with any investigation into the facts before making an order that includes injunctive relief as a term of adjournment.</w:t>
            </w:r>
          </w:p>
        </w:tc>
      </w:tr>
      <w:tr w:rsidR="00311655" w:rsidRPr="00893C26" w:rsidTr="00A743EC">
        <w:tc>
          <w:tcPr>
            <w:tcW w:w="5000" w:type="pct"/>
            <w:gridSpan w:val="4"/>
          </w:tcPr>
          <w:p w:rsidR="00311655" w:rsidRPr="00893C26" w:rsidRDefault="00311655" w:rsidP="00311655">
            <w:pPr>
              <w:jc w:val="both"/>
              <w:rPr>
                <w:sz w:val="20"/>
              </w:rPr>
            </w:pPr>
          </w:p>
        </w:tc>
      </w:tr>
      <w:tr w:rsidR="00311655" w:rsidRPr="00893C26" w:rsidTr="00A743EC">
        <w:tc>
          <w:tcPr>
            <w:tcW w:w="5000" w:type="pct"/>
            <w:gridSpan w:val="4"/>
          </w:tcPr>
          <w:p w:rsidR="00311655" w:rsidRPr="00893C26" w:rsidRDefault="00311655" w:rsidP="00311655">
            <w:pPr>
              <w:jc w:val="both"/>
              <w:rPr>
                <w:sz w:val="20"/>
              </w:rPr>
            </w:pPr>
            <w:r w:rsidRPr="00893C26">
              <w:rPr>
                <w:sz w:val="20"/>
              </w:rPr>
              <w:t>The parties have been involved in litigation for many years, including the family law proceedings in which the order at issue was made. That order arose out of a motion brought by the respondent, Ms. Lafontaine, for an order that the net proceeds of sale of a disputed property be paid into court. The applicant, Mr. Froom, sought an adjournment of the motion. The motion judge of the Superior Court of Justice decided to adjourn Ms. Lafontaine’s motion to the trial of the proceedings and she imposed a number of terms on that order. The terms included the requirement that Mr. Froom deposit a sum with the accountant of the Superior Court, in trust, pending the outcome of the trial or consent between the parties. Mr. Froom appealed to the Ontario Court of Appeal. Ms. Lafontaine brought a motion to quash the appeal. The Court of Appeal allowed Ms. Lafontaine’s motion, holding that the order sought to be appealed from was interlocutory, and therefore could only be appealed to the Divisional Court with leave, pursuant to s. 19(1</w:t>
            </w:r>
            <w:proofErr w:type="gramStart"/>
            <w:r w:rsidRPr="00893C26">
              <w:rPr>
                <w:sz w:val="20"/>
              </w:rPr>
              <w:t>)(</w:t>
            </w:r>
            <w:proofErr w:type="gramEnd"/>
            <w:r w:rsidRPr="00893C26">
              <w:rPr>
                <w:sz w:val="20"/>
              </w:rPr>
              <w:t xml:space="preserve">b) of the </w:t>
            </w:r>
            <w:r w:rsidRPr="00893C26">
              <w:rPr>
                <w:i/>
                <w:sz w:val="20"/>
              </w:rPr>
              <w:t>Courts of Justice Act</w:t>
            </w:r>
            <w:r w:rsidRPr="00893C26">
              <w:rPr>
                <w:sz w:val="20"/>
              </w:rPr>
              <w:t>, R.S.O. 1990, c. C.43. Accordingly, it quashed Mr. Froom’s appeal. It also denied Mr. Froom’s request to transfer the appeal to the Divisional Court.</w:t>
            </w:r>
          </w:p>
          <w:p w:rsidR="00311655" w:rsidRPr="00893C26" w:rsidRDefault="00311655" w:rsidP="00311655">
            <w:pPr>
              <w:jc w:val="both"/>
              <w:rPr>
                <w:sz w:val="20"/>
              </w:rPr>
            </w:pPr>
          </w:p>
        </w:tc>
      </w:tr>
      <w:tr w:rsidR="00311655" w:rsidRPr="00893C26" w:rsidTr="00A743EC">
        <w:tc>
          <w:tcPr>
            <w:tcW w:w="2427" w:type="pct"/>
            <w:gridSpan w:val="2"/>
          </w:tcPr>
          <w:p w:rsidR="00311655" w:rsidRPr="00893C26" w:rsidRDefault="00311655" w:rsidP="00311655">
            <w:pPr>
              <w:jc w:val="both"/>
              <w:rPr>
                <w:sz w:val="20"/>
              </w:rPr>
            </w:pPr>
            <w:r w:rsidRPr="00893C26">
              <w:rPr>
                <w:sz w:val="20"/>
              </w:rPr>
              <w:t>March 24, 2021</w:t>
            </w:r>
          </w:p>
          <w:p w:rsidR="00311655" w:rsidRPr="00893C26" w:rsidRDefault="00311655" w:rsidP="00311655">
            <w:pPr>
              <w:jc w:val="both"/>
              <w:rPr>
                <w:sz w:val="20"/>
              </w:rPr>
            </w:pPr>
            <w:r w:rsidRPr="00893C26">
              <w:rPr>
                <w:sz w:val="20"/>
              </w:rPr>
              <w:t>Ontario Superior Court of Justice</w:t>
            </w:r>
          </w:p>
          <w:p w:rsidR="00311655" w:rsidRPr="00893C26" w:rsidRDefault="00311655" w:rsidP="00311655">
            <w:pPr>
              <w:jc w:val="both"/>
              <w:rPr>
                <w:sz w:val="20"/>
              </w:rPr>
            </w:pPr>
            <w:r w:rsidRPr="00893C26">
              <w:rPr>
                <w:sz w:val="20"/>
              </w:rPr>
              <w:t>(Shore J.)</w:t>
            </w:r>
          </w:p>
          <w:p w:rsidR="00311655" w:rsidRPr="00893C26" w:rsidRDefault="00311655" w:rsidP="00311655">
            <w:pPr>
              <w:jc w:val="both"/>
              <w:rPr>
                <w:sz w:val="20"/>
              </w:rPr>
            </w:pPr>
            <w:r w:rsidRPr="00893C26">
              <w:rPr>
                <w:sz w:val="20"/>
              </w:rPr>
              <w:t>Unreported</w:t>
            </w:r>
          </w:p>
          <w:p w:rsidR="00311655" w:rsidRPr="00893C26" w:rsidRDefault="00311655" w:rsidP="00311655">
            <w:pPr>
              <w:jc w:val="both"/>
              <w:rPr>
                <w:sz w:val="20"/>
              </w:rPr>
            </w:pPr>
          </w:p>
        </w:tc>
        <w:tc>
          <w:tcPr>
            <w:tcW w:w="243" w:type="pct"/>
          </w:tcPr>
          <w:p w:rsidR="00311655" w:rsidRPr="00893C26" w:rsidRDefault="00311655" w:rsidP="00311655">
            <w:pPr>
              <w:jc w:val="both"/>
              <w:rPr>
                <w:sz w:val="20"/>
              </w:rPr>
            </w:pPr>
          </w:p>
        </w:tc>
        <w:tc>
          <w:tcPr>
            <w:tcW w:w="2330" w:type="pct"/>
          </w:tcPr>
          <w:p w:rsidR="00311655" w:rsidRPr="00893C26" w:rsidRDefault="00311655" w:rsidP="00311655">
            <w:pPr>
              <w:jc w:val="both"/>
              <w:rPr>
                <w:sz w:val="20"/>
              </w:rPr>
            </w:pPr>
            <w:r w:rsidRPr="00893C26">
              <w:rPr>
                <w:sz w:val="20"/>
              </w:rPr>
              <w:t>Adjournment granted on terms including that applicant deposit US$475,000 with the accountant of the Superior Court, in trust, pending the outcome of the trial or consent between the parties.</w:t>
            </w:r>
          </w:p>
          <w:p w:rsidR="00311655" w:rsidRPr="00893C26" w:rsidRDefault="00311655" w:rsidP="00311655">
            <w:pPr>
              <w:jc w:val="both"/>
              <w:rPr>
                <w:sz w:val="20"/>
              </w:rPr>
            </w:pPr>
          </w:p>
        </w:tc>
      </w:tr>
      <w:tr w:rsidR="00311655" w:rsidRPr="00893C26" w:rsidTr="00A743EC">
        <w:tc>
          <w:tcPr>
            <w:tcW w:w="2427" w:type="pct"/>
            <w:gridSpan w:val="2"/>
          </w:tcPr>
          <w:p w:rsidR="00311655" w:rsidRPr="00893C26" w:rsidRDefault="00311655" w:rsidP="00311655">
            <w:pPr>
              <w:jc w:val="both"/>
              <w:rPr>
                <w:sz w:val="20"/>
              </w:rPr>
            </w:pPr>
            <w:r w:rsidRPr="00893C26">
              <w:rPr>
                <w:sz w:val="20"/>
              </w:rPr>
              <w:t>November 22, 2021</w:t>
            </w:r>
          </w:p>
          <w:p w:rsidR="00311655" w:rsidRPr="00893C26" w:rsidRDefault="00311655" w:rsidP="00311655">
            <w:pPr>
              <w:jc w:val="both"/>
              <w:rPr>
                <w:sz w:val="20"/>
              </w:rPr>
            </w:pPr>
            <w:r w:rsidRPr="00893C26">
              <w:rPr>
                <w:sz w:val="20"/>
              </w:rPr>
              <w:t>(Reasons issued on December 20, 2021)</w:t>
            </w:r>
          </w:p>
          <w:p w:rsidR="00311655" w:rsidRPr="00893C26" w:rsidRDefault="00311655" w:rsidP="00311655">
            <w:pPr>
              <w:jc w:val="both"/>
              <w:rPr>
                <w:sz w:val="20"/>
              </w:rPr>
            </w:pPr>
            <w:r w:rsidRPr="00893C26">
              <w:rPr>
                <w:sz w:val="20"/>
              </w:rPr>
              <w:t>Court of Appeal for Ontario</w:t>
            </w:r>
          </w:p>
          <w:p w:rsidR="00311655" w:rsidRPr="00893C26" w:rsidRDefault="00311655" w:rsidP="00311655">
            <w:pPr>
              <w:jc w:val="both"/>
              <w:rPr>
                <w:sz w:val="20"/>
              </w:rPr>
            </w:pPr>
            <w:r w:rsidRPr="00893C26">
              <w:rPr>
                <w:sz w:val="20"/>
              </w:rPr>
              <w:t>(</w:t>
            </w:r>
            <w:proofErr w:type="gramStart"/>
            <w:r w:rsidRPr="00893C26">
              <w:rPr>
                <w:sz w:val="20"/>
              </w:rPr>
              <w:t>van</w:t>
            </w:r>
            <w:proofErr w:type="gramEnd"/>
            <w:r w:rsidRPr="00893C26">
              <w:rPr>
                <w:sz w:val="20"/>
              </w:rPr>
              <w:t xml:space="preserve"> Rensburg and Roberts JJ.A. and Tzimas J. </w:t>
            </w:r>
          </w:p>
          <w:p w:rsidR="00311655" w:rsidRPr="00893C26" w:rsidRDefault="00311655" w:rsidP="00311655">
            <w:pPr>
              <w:jc w:val="both"/>
              <w:rPr>
                <w:sz w:val="20"/>
              </w:rPr>
            </w:pPr>
            <w:r w:rsidRPr="00893C26">
              <w:rPr>
                <w:sz w:val="20"/>
              </w:rPr>
              <w:t>(ad hoc))</w:t>
            </w:r>
          </w:p>
          <w:p w:rsidR="00311655" w:rsidRPr="00893C26" w:rsidRDefault="00893C26" w:rsidP="00311655">
            <w:pPr>
              <w:tabs>
                <w:tab w:val="left" w:pos="2220"/>
              </w:tabs>
              <w:jc w:val="both"/>
              <w:rPr>
                <w:sz w:val="20"/>
              </w:rPr>
            </w:pPr>
            <w:hyperlink r:id="rId65" w:history="1">
              <w:r w:rsidR="00311655" w:rsidRPr="00893C26">
                <w:rPr>
                  <w:rStyle w:val="Hyperlink"/>
                  <w:sz w:val="20"/>
                </w:rPr>
                <w:t>2021 ONCA 917</w:t>
              </w:r>
            </w:hyperlink>
            <w:r w:rsidR="00311655" w:rsidRPr="00893C26">
              <w:rPr>
                <w:sz w:val="20"/>
              </w:rPr>
              <w:t xml:space="preserve"> (Docket: M52554 (C69446))</w:t>
            </w:r>
          </w:p>
          <w:p w:rsidR="00311655" w:rsidRPr="00893C26" w:rsidRDefault="00311655" w:rsidP="00311655">
            <w:pPr>
              <w:jc w:val="both"/>
              <w:rPr>
                <w:sz w:val="20"/>
              </w:rPr>
            </w:pPr>
          </w:p>
        </w:tc>
        <w:tc>
          <w:tcPr>
            <w:tcW w:w="243" w:type="pct"/>
          </w:tcPr>
          <w:p w:rsidR="00311655" w:rsidRPr="00893C26" w:rsidRDefault="00311655" w:rsidP="00311655">
            <w:pPr>
              <w:jc w:val="both"/>
              <w:rPr>
                <w:sz w:val="20"/>
              </w:rPr>
            </w:pPr>
          </w:p>
        </w:tc>
        <w:tc>
          <w:tcPr>
            <w:tcW w:w="2330" w:type="pct"/>
          </w:tcPr>
          <w:p w:rsidR="00311655" w:rsidRPr="00893C26" w:rsidRDefault="00311655" w:rsidP="00311655">
            <w:pPr>
              <w:jc w:val="both"/>
              <w:rPr>
                <w:sz w:val="20"/>
              </w:rPr>
            </w:pPr>
            <w:r w:rsidRPr="00893C26">
              <w:rPr>
                <w:sz w:val="20"/>
              </w:rPr>
              <w:t>Respondent’s motion to quash appeal granted.</w:t>
            </w:r>
          </w:p>
          <w:p w:rsidR="00311655" w:rsidRPr="00893C26" w:rsidRDefault="00311655" w:rsidP="00311655">
            <w:pPr>
              <w:jc w:val="both"/>
              <w:rPr>
                <w:sz w:val="20"/>
              </w:rPr>
            </w:pPr>
          </w:p>
        </w:tc>
      </w:tr>
      <w:tr w:rsidR="00311655" w:rsidRPr="00893C26" w:rsidTr="00A743EC">
        <w:tc>
          <w:tcPr>
            <w:tcW w:w="2427" w:type="pct"/>
            <w:gridSpan w:val="2"/>
          </w:tcPr>
          <w:p w:rsidR="00311655" w:rsidRPr="00893C26" w:rsidRDefault="00311655" w:rsidP="00311655">
            <w:pPr>
              <w:jc w:val="both"/>
              <w:rPr>
                <w:sz w:val="20"/>
              </w:rPr>
            </w:pPr>
            <w:r w:rsidRPr="00893C26">
              <w:rPr>
                <w:sz w:val="20"/>
              </w:rPr>
              <w:t>January 20, 2022</w:t>
            </w:r>
          </w:p>
          <w:p w:rsidR="00311655" w:rsidRPr="00893C26" w:rsidRDefault="00311655" w:rsidP="00311655">
            <w:pPr>
              <w:jc w:val="both"/>
              <w:rPr>
                <w:sz w:val="20"/>
              </w:rPr>
            </w:pPr>
            <w:r w:rsidRPr="00893C26">
              <w:rPr>
                <w:sz w:val="20"/>
              </w:rPr>
              <w:t>Supreme Court of Canada</w:t>
            </w:r>
          </w:p>
        </w:tc>
        <w:tc>
          <w:tcPr>
            <w:tcW w:w="243" w:type="pct"/>
          </w:tcPr>
          <w:p w:rsidR="00311655" w:rsidRPr="00893C26" w:rsidRDefault="00311655" w:rsidP="00311655">
            <w:pPr>
              <w:jc w:val="both"/>
              <w:rPr>
                <w:sz w:val="20"/>
              </w:rPr>
            </w:pPr>
          </w:p>
        </w:tc>
        <w:tc>
          <w:tcPr>
            <w:tcW w:w="2330" w:type="pct"/>
          </w:tcPr>
          <w:p w:rsidR="00311655" w:rsidRPr="00893C26" w:rsidRDefault="00311655" w:rsidP="00311655">
            <w:pPr>
              <w:jc w:val="both"/>
              <w:rPr>
                <w:sz w:val="20"/>
              </w:rPr>
            </w:pPr>
            <w:r w:rsidRPr="00893C26">
              <w:rPr>
                <w:sz w:val="20"/>
              </w:rPr>
              <w:t>Application for leave to appeal filed.</w:t>
            </w:r>
          </w:p>
          <w:p w:rsidR="00311655" w:rsidRPr="00893C26" w:rsidRDefault="00311655" w:rsidP="00311655">
            <w:pPr>
              <w:jc w:val="both"/>
              <w:rPr>
                <w:sz w:val="20"/>
              </w:rPr>
            </w:pPr>
          </w:p>
        </w:tc>
      </w:tr>
    </w:tbl>
    <w:p w:rsidR="00311655" w:rsidRPr="00893C26" w:rsidRDefault="00311655" w:rsidP="00311655">
      <w:pPr>
        <w:jc w:val="both"/>
        <w:rPr>
          <w:sz w:val="20"/>
        </w:rPr>
      </w:pPr>
    </w:p>
    <w:p w:rsidR="00311655" w:rsidRPr="00893C26" w:rsidRDefault="00893C26" w:rsidP="00311655">
      <w:pPr>
        <w:jc w:val="both"/>
        <w:rPr>
          <w:sz w:val="20"/>
        </w:rPr>
      </w:pPr>
      <w:r w:rsidRPr="00893C26">
        <w:rPr>
          <w:sz w:val="20"/>
        </w:rPr>
        <w:pict>
          <v:rect id="_x0000_i1049" style="width:2in;height:1pt" o:hrpct="0" o:hralign="center" o:hrstd="t" o:hrnoshade="t" o:hr="t" fillcolor="black [3213]" stroked="f"/>
        </w:pict>
      </w:r>
    </w:p>
    <w:p w:rsidR="00311655" w:rsidRPr="00893C26" w:rsidRDefault="00311655" w:rsidP="003116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1655" w:rsidRPr="00893C26" w:rsidTr="00A743EC">
        <w:tc>
          <w:tcPr>
            <w:tcW w:w="543" w:type="pct"/>
          </w:tcPr>
          <w:p w:rsidR="00311655" w:rsidRPr="00893C26" w:rsidRDefault="00311655" w:rsidP="00311655">
            <w:pPr>
              <w:jc w:val="both"/>
              <w:rPr>
                <w:sz w:val="20"/>
                <w:lang w:val="fr-CA"/>
              </w:rPr>
            </w:pPr>
            <w:r w:rsidRPr="00893C26">
              <w:rPr>
                <w:rStyle w:val="SCCFileNumberChar"/>
                <w:sz w:val="20"/>
                <w:szCs w:val="20"/>
                <w:lang w:val="fr-CA"/>
              </w:rPr>
              <w:t>40091</w:t>
            </w:r>
          </w:p>
        </w:tc>
        <w:tc>
          <w:tcPr>
            <w:tcW w:w="4457" w:type="pct"/>
            <w:gridSpan w:val="3"/>
          </w:tcPr>
          <w:p w:rsidR="00311655" w:rsidRPr="00893C26" w:rsidRDefault="00311655" w:rsidP="00311655">
            <w:pPr>
              <w:pStyle w:val="SCCLsocParty"/>
              <w:jc w:val="both"/>
              <w:rPr>
                <w:b/>
                <w:sz w:val="20"/>
                <w:szCs w:val="20"/>
              </w:rPr>
            </w:pPr>
            <w:r w:rsidRPr="00893C26">
              <w:rPr>
                <w:b/>
                <w:sz w:val="20"/>
                <w:szCs w:val="20"/>
              </w:rPr>
              <w:t>Arthur Froom c. Sonia Lafontaine</w:t>
            </w:r>
          </w:p>
          <w:p w:rsidR="00311655" w:rsidRPr="00893C26" w:rsidRDefault="00311655" w:rsidP="00311655">
            <w:pPr>
              <w:jc w:val="both"/>
              <w:rPr>
                <w:sz w:val="20"/>
                <w:lang w:val="fr-CA"/>
              </w:rPr>
            </w:pPr>
            <w:r w:rsidRPr="00893C26">
              <w:rPr>
                <w:sz w:val="20"/>
                <w:lang w:val="fr-CA"/>
              </w:rPr>
              <w:t>(Ont.) (Civile) (Sur autorisation)</w:t>
            </w:r>
          </w:p>
        </w:tc>
      </w:tr>
      <w:tr w:rsidR="00311655" w:rsidRPr="00893C26" w:rsidTr="00A743EC">
        <w:tc>
          <w:tcPr>
            <w:tcW w:w="5000" w:type="pct"/>
            <w:gridSpan w:val="4"/>
          </w:tcPr>
          <w:p w:rsidR="00311655" w:rsidRPr="00893C26" w:rsidRDefault="00311655" w:rsidP="00311655">
            <w:pPr>
              <w:jc w:val="both"/>
              <w:rPr>
                <w:sz w:val="20"/>
                <w:lang w:val="fr-CA"/>
              </w:rPr>
            </w:pPr>
            <w:r w:rsidRPr="00893C26">
              <w:rPr>
                <w:sz w:val="20"/>
                <w:lang w:val="fr-CA"/>
              </w:rPr>
              <w:t xml:space="preserve">Tribunaux — Compétence — Cour supérieure de justice (tribunal de la famille) accordant un ajournement de la motion jusqu’au procès et incluant de nombreuses conditions dans l’ordonnance d’ajournement, notamment que le demandeur dépose auprès du tribunal la somme d’argent découlant de la vente de biens dont la propriété fait l’objet d’un litige entre les parties — Un tribunal peut-il faire abstraction du critère requis concernant l’injonction établi dans l’arrêt </w:t>
            </w:r>
            <w:r w:rsidRPr="00893C26">
              <w:rPr>
                <w:i/>
                <w:sz w:val="20"/>
                <w:lang w:val="fr-CA"/>
              </w:rPr>
              <w:t>RJR-MacDonald Inc. c. Canada (Procureur général)</w:t>
            </w:r>
            <w:r w:rsidRPr="00893C26">
              <w:rPr>
                <w:sz w:val="20"/>
                <w:lang w:val="fr-CA"/>
              </w:rPr>
              <w:t>, [1994] 1 R.C.S. 311, et d’autres affaires, en redésignant l’affaire comme une condition d’ajournement? — Dans l’affirmative, cela viole-t-il la primauté du droit et constitue-t-il un déni d’un droit substantiel lorsque des dommages irréparables sont causés? — Un tribunal peut-il faire abstraction de toute enquête sur les faits avant de rendre une ordonnance qui comprend une injonction comme condition à l’ajournement?</w:t>
            </w:r>
          </w:p>
        </w:tc>
      </w:tr>
      <w:tr w:rsidR="00311655" w:rsidRPr="00893C26" w:rsidTr="00A743EC">
        <w:tc>
          <w:tcPr>
            <w:tcW w:w="5000" w:type="pct"/>
            <w:gridSpan w:val="4"/>
          </w:tcPr>
          <w:p w:rsidR="00311655" w:rsidRPr="00893C26" w:rsidRDefault="00311655" w:rsidP="00311655">
            <w:pPr>
              <w:jc w:val="both"/>
              <w:rPr>
                <w:sz w:val="20"/>
                <w:lang w:val="fr-CA"/>
              </w:rPr>
            </w:pPr>
          </w:p>
        </w:tc>
      </w:tr>
      <w:tr w:rsidR="00311655" w:rsidRPr="00893C26" w:rsidTr="00A743EC">
        <w:tc>
          <w:tcPr>
            <w:tcW w:w="5000" w:type="pct"/>
            <w:gridSpan w:val="4"/>
          </w:tcPr>
          <w:p w:rsidR="00311655" w:rsidRPr="00893C26" w:rsidRDefault="00311655" w:rsidP="00311655">
            <w:pPr>
              <w:jc w:val="both"/>
              <w:rPr>
                <w:sz w:val="20"/>
                <w:lang w:val="fr-CA"/>
              </w:rPr>
            </w:pPr>
            <w:r w:rsidRPr="00893C26">
              <w:rPr>
                <w:sz w:val="20"/>
                <w:lang w:val="fr-CA"/>
              </w:rPr>
              <w:t xml:space="preserve">Les parties sont engagées dans un litige depuis de nombreuses années, notamment des procédures en droit de la famille dans le cadre desquelles l’ordonnance en question a été prononcée. Cette ordonnance découle d’une motion présentée par l’intimée, Mme Lafontaine, visant une ordonnance prévoyant que le produit net de la vente de biens dont la propriété est contestée soit payé en cour. Le demandeur, M. Froom, a cherché à obtenir un ajournement de la motion. La juge des motions de la Cour supérieure de justice a décidé d’ajourner la motion de Mme Lafontaine jusqu’à l’instruction des procédures et elle a imposé plusieurs conditions à cette ordonnance. Celles-ci comprenaient l’exigence que M. Froom dépose la somme auprès du comptable de la Cour supérieure, en fiducie, dans l’attente de l’issue du procès ou un accord entre les parties. M. Froom a interjeté appel à la Cour d’appel de l’Ontario. Mme Lafontaine a présenté une motion en cassation de l’appel. La Cour d’appel a accueilli la motion de Mme Lafontaine, statuant que l’ordonnance qu’elle voulait porter en appel était interlocutoire, et ne pouvait donc être portée en appel qu’à la Cour divisionnaire sur autorisation, conformément à l’al. 19(1)b) de la </w:t>
            </w:r>
            <w:r w:rsidRPr="00893C26">
              <w:rPr>
                <w:i/>
                <w:sz w:val="20"/>
                <w:lang w:val="fr-CA"/>
              </w:rPr>
              <w:t>Loi sur les tribunaux judiciaires</w:t>
            </w:r>
            <w:r w:rsidRPr="00893C26">
              <w:rPr>
                <w:sz w:val="20"/>
                <w:lang w:val="fr-CA"/>
              </w:rPr>
              <w:t>, L.R.O. 1990, c. C.43. Par conséquent, elle a annulé l’appel de M. Froom. Elle a aussi rejeté la demande de transfert de l’appel à la Cour divisionnaire présentée par M. Froom.</w:t>
            </w:r>
          </w:p>
          <w:p w:rsidR="00311655" w:rsidRPr="00893C26" w:rsidRDefault="00311655" w:rsidP="00311655">
            <w:pPr>
              <w:jc w:val="both"/>
              <w:rPr>
                <w:sz w:val="20"/>
                <w:lang w:val="fr-CA"/>
              </w:rPr>
            </w:pPr>
          </w:p>
        </w:tc>
      </w:tr>
      <w:tr w:rsidR="00311655" w:rsidRPr="00893C26" w:rsidTr="00A743EC">
        <w:tc>
          <w:tcPr>
            <w:tcW w:w="2427" w:type="pct"/>
            <w:gridSpan w:val="2"/>
          </w:tcPr>
          <w:p w:rsidR="00311655" w:rsidRPr="00893C26" w:rsidRDefault="00311655" w:rsidP="00311655">
            <w:pPr>
              <w:jc w:val="both"/>
              <w:rPr>
                <w:sz w:val="20"/>
                <w:lang w:val="fr-CA"/>
              </w:rPr>
            </w:pPr>
            <w:r w:rsidRPr="00893C26">
              <w:rPr>
                <w:sz w:val="20"/>
                <w:lang w:val="fr-CA"/>
              </w:rPr>
              <w:t>24 mars 2021</w:t>
            </w:r>
          </w:p>
          <w:p w:rsidR="00311655" w:rsidRPr="00893C26" w:rsidRDefault="00311655" w:rsidP="00311655">
            <w:pPr>
              <w:jc w:val="both"/>
              <w:rPr>
                <w:sz w:val="20"/>
                <w:lang w:val="fr-CA"/>
              </w:rPr>
            </w:pPr>
            <w:r w:rsidRPr="00893C26">
              <w:rPr>
                <w:sz w:val="20"/>
                <w:lang w:val="fr-CA"/>
              </w:rPr>
              <w:t xml:space="preserve">Cour supérieure de justice de l’Ontario </w:t>
            </w:r>
          </w:p>
          <w:p w:rsidR="00311655" w:rsidRPr="00893C26" w:rsidRDefault="00311655" w:rsidP="00311655">
            <w:pPr>
              <w:jc w:val="both"/>
              <w:rPr>
                <w:sz w:val="20"/>
                <w:lang w:val="fr-CA"/>
              </w:rPr>
            </w:pPr>
            <w:r w:rsidRPr="00893C26">
              <w:rPr>
                <w:sz w:val="20"/>
                <w:lang w:val="fr-CA"/>
              </w:rPr>
              <w:t>(juge Shore)</w:t>
            </w:r>
          </w:p>
          <w:p w:rsidR="00311655" w:rsidRPr="00893C26" w:rsidRDefault="00311655" w:rsidP="00311655">
            <w:pPr>
              <w:jc w:val="both"/>
              <w:rPr>
                <w:sz w:val="20"/>
                <w:lang w:val="fr-CA"/>
              </w:rPr>
            </w:pPr>
            <w:r w:rsidRPr="00893C26">
              <w:rPr>
                <w:sz w:val="20"/>
                <w:lang w:val="fr-CA"/>
              </w:rPr>
              <w:t>Non publié</w:t>
            </w:r>
          </w:p>
          <w:p w:rsidR="00311655" w:rsidRPr="00893C26" w:rsidRDefault="00311655" w:rsidP="00311655">
            <w:pPr>
              <w:jc w:val="both"/>
              <w:rPr>
                <w:sz w:val="20"/>
                <w:lang w:val="fr-CA"/>
              </w:rPr>
            </w:pPr>
          </w:p>
        </w:tc>
        <w:tc>
          <w:tcPr>
            <w:tcW w:w="243" w:type="pct"/>
          </w:tcPr>
          <w:p w:rsidR="00311655" w:rsidRPr="00893C26" w:rsidRDefault="00311655" w:rsidP="00311655">
            <w:pPr>
              <w:jc w:val="both"/>
              <w:rPr>
                <w:sz w:val="20"/>
                <w:lang w:val="fr-CA"/>
              </w:rPr>
            </w:pPr>
          </w:p>
        </w:tc>
        <w:tc>
          <w:tcPr>
            <w:tcW w:w="2330" w:type="pct"/>
          </w:tcPr>
          <w:p w:rsidR="00311655" w:rsidRPr="00893C26" w:rsidRDefault="00311655" w:rsidP="00311655">
            <w:pPr>
              <w:jc w:val="both"/>
              <w:rPr>
                <w:sz w:val="20"/>
                <w:lang w:val="fr-CA"/>
              </w:rPr>
            </w:pPr>
            <w:r w:rsidRPr="00893C26">
              <w:rPr>
                <w:sz w:val="20"/>
                <w:lang w:val="fr-CA"/>
              </w:rPr>
              <w:t>Ajournement accordé selon des conditions comprenant celle exigeant que le demandeur dépose la somme de 475 000 $US auprès du comptable de la Cour supérieure, en fiducie, dans l’attente de l’issue du procès ou d’un accord entre les parties.</w:t>
            </w:r>
          </w:p>
          <w:p w:rsidR="00311655" w:rsidRPr="00893C26" w:rsidRDefault="00311655" w:rsidP="00311655">
            <w:pPr>
              <w:jc w:val="both"/>
              <w:rPr>
                <w:sz w:val="20"/>
                <w:lang w:val="fr-CA"/>
              </w:rPr>
            </w:pPr>
          </w:p>
        </w:tc>
      </w:tr>
      <w:tr w:rsidR="00311655" w:rsidRPr="00893C26" w:rsidTr="00A743EC">
        <w:tc>
          <w:tcPr>
            <w:tcW w:w="2427" w:type="pct"/>
            <w:gridSpan w:val="2"/>
          </w:tcPr>
          <w:p w:rsidR="00311655" w:rsidRPr="00893C26" w:rsidRDefault="00311655" w:rsidP="00311655">
            <w:pPr>
              <w:jc w:val="both"/>
              <w:rPr>
                <w:sz w:val="20"/>
                <w:lang w:val="fr-CA"/>
              </w:rPr>
            </w:pPr>
            <w:r w:rsidRPr="00893C26">
              <w:rPr>
                <w:sz w:val="20"/>
                <w:lang w:val="fr-CA"/>
              </w:rPr>
              <w:t>22 novembre 2021</w:t>
            </w:r>
          </w:p>
          <w:p w:rsidR="00311655" w:rsidRPr="00893C26" w:rsidRDefault="00311655" w:rsidP="00311655">
            <w:pPr>
              <w:jc w:val="both"/>
              <w:rPr>
                <w:sz w:val="20"/>
                <w:lang w:val="fr-CA"/>
              </w:rPr>
            </w:pPr>
            <w:r w:rsidRPr="00893C26">
              <w:rPr>
                <w:sz w:val="20"/>
                <w:lang w:val="fr-CA"/>
              </w:rPr>
              <w:t>(Motifs publiés le 20 décembre 2021)</w:t>
            </w:r>
          </w:p>
          <w:p w:rsidR="00311655" w:rsidRPr="00893C26" w:rsidRDefault="00311655" w:rsidP="00311655">
            <w:pPr>
              <w:jc w:val="both"/>
              <w:rPr>
                <w:sz w:val="20"/>
                <w:lang w:val="fr-CA"/>
              </w:rPr>
            </w:pPr>
            <w:r w:rsidRPr="00893C26">
              <w:rPr>
                <w:sz w:val="20"/>
                <w:lang w:val="fr-CA"/>
              </w:rPr>
              <w:t>Cour d’appel de l’Ontario</w:t>
            </w:r>
          </w:p>
          <w:p w:rsidR="00311655" w:rsidRPr="00893C26" w:rsidRDefault="00311655" w:rsidP="00311655">
            <w:pPr>
              <w:jc w:val="both"/>
              <w:rPr>
                <w:sz w:val="20"/>
                <w:lang w:val="fr-CA"/>
              </w:rPr>
            </w:pPr>
            <w:r w:rsidRPr="00893C26">
              <w:rPr>
                <w:sz w:val="20"/>
                <w:lang w:val="fr-CA"/>
              </w:rPr>
              <w:t>(juges d’appel van Rensburg et Roberts et juge Tzimas (ad hoc))</w:t>
            </w:r>
          </w:p>
          <w:p w:rsidR="00311655" w:rsidRPr="00893C26" w:rsidRDefault="00893C26" w:rsidP="00311655">
            <w:pPr>
              <w:tabs>
                <w:tab w:val="left" w:pos="2220"/>
              </w:tabs>
              <w:jc w:val="both"/>
              <w:rPr>
                <w:sz w:val="20"/>
                <w:lang w:val="fr-CA"/>
              </w:rPr>
            </w:pPr>
            <w:hyperlink r:id="rId66" w:history="1">
              <w:r w:rsidR="00311655" w:rsidRPr="00893C26">
                <w:rPr>
                  <w:rStyle w:val="Hyperlink"/>
                  <w:sz w:val="20"/>
                  <w:lang w:val="fr-CA"/>
                </w:rPr>
                <w:t>2021 ONCA 917</w:t>
              </w:r>
            </w:hyperlink>
            <w:r w:rsidR="00311655" w:rsidRPr="00893C26">
              <w:rPr>
                <w:sz w:val="20"/>
                <w:lang w:val="fr-CA"/>
              </w:rPr>
              <w:t xml:space="preserve"> (Dossier : M52554 (C69446))</w:t>
            </w:r>
          </w:p>
          <w:p w:rsidR="00311655" w:rsidRPr="00893C26" w:rsidRDefault="00311655" w:rsidP="00311655">
            <w:pPr>
              <w:jc w:val="both"/>
              <w:rPr>
                <w:sz w:val="20"/>
                <w:lang w:val="fr-CA"/>
              </w:rPr>
            </w:pPr>
          </w:p>
        </w:tc>
        <w:tc>
          <w:tcPr>
            <w:tcW w:w="243" w:type="pct"/>
          </w:tcPr>
          <w:p w:rsidR="00311655" w:rsidRPr="00893C26" w:rsidRDefault="00311655" w:rsidP="00311655">
            <w:pPr>
              <w:jc w:val="both"/>
              <w:rPr>
                <w:sz w:val="20"/>
                <w:lang w:val="fr-CA"/>
              </w:rPr>
            </w:pPr>
          </w:p>
        </w:tc>
        <w:tc>
          <w:tcPr>
            <w:tcW w:w="2330" w:type="pct"/>
          </w:tcPr>
          <w:p w:rsidR="00311655" w:rsidRPr="00893C26" w:rsidRDefault="00311655" w:rsidP="00311655">
            <w:pPr>
              <w:jc w:val="both"/>
              <w:rPr>
                <w:sz w:val="20"/>
                <w:lang w:val="fr-CA"/>
              </w:rPr>
            </w:pPr>
            <w:r w:rsidRPr="00893C26">
              <w:rPr>
                <w:sz w:val="20"/>
                <w:lang w:val="fr-CA"/>
              </w:rPr>
              <w:t>Motion en cassation de l’appel présentée par le demandeur accueillie</w:t>
            </w:r>
          </w:p>
          <w:p w:rsidR="00311655" w:rsidRPr="00893C26" w:rsidRDefault="00311655" w:rsidP="00311655">
            <w:pPr>
              <w:jc w:val="both"/>
              <w:rPr>
                <w:sz w:val="20"/>
                <w:lang w:val="fr-CA"/>
              </w:rPr>
            </w:pPr>
          </w:p>
        </w:tc>
      </w:tr>
      <w:tr w:rsidR="00311655" w:rsidRPr="00893C26" w:rsidTr="00A743EC">
        <w:tc>
          <w:tcPr>
            <w:tcW w:w="2427" w:type="pct"/>
            <w:gridSpan w:val="2"/>
          </w:tcPr>
          <w:p w:rsidR="00311655" w:rsidRPr="00893C26" w:rsidRDefault="00311655" w:rsidP="00311655">
            <w:pPr>
              <w:jc w:val="both"/>
              <w:rPr>
                <w:sz w:val="20"/>
                <w:lang w:val="fr-CA"/>
              </w:rPr>
            </w:pPr>
            <w:r w:rsidRPr="00893C26">
              <w:rPr>
                <w:sz w:val="20"/>
                <w:lang w:val="fr-CA"/>
              </w:rPr>
              <w:t>20 janvier 2022</w:t>
            </w:r>
          </w:p>
          <w:p w:rsidR="00311655" w:rsidRPr="00893C26" w:rsidRDefault="00311655" w:rsidP="00311655">
            <w:pPr>
              <w:jc w:val="both"/>
              <w:rPr>
                <w:sz w:val="20"/>
                <w:lang w:val="fr-CA"/>
              </w:rPr>
            </w:pPr>
            <w:r w:rsidRPr="00893C26">
              <w:rPr>
                <w:sz w:val="20"/>
                <w:lang w:val="fr-CA"/>
              </w:rPr>
              <w:t>Cour suprême du Canada</w:t>
            </w:r>
          </w:p>
        </w:tc>
        <w:tc>
          <w:tcPr>
            <w:tcW w:w="243" w:type="pct"/>
          </w:tcPr>
          <w:p w:rsidR="00311655" w:rsidRPr="00893C26" w:rsidRDefault="00311655" w:rsidP="00311655">
            <w:pPr>
              <w:jc w:val="both"/>
              <w:rPr>
                <w:sz w:val="20"/>
                <w:lang w:val="fr-CA"/>
              </w:rPr>
            </w:pPr>
          </w:p>
        </w:tc>
        <w:tc>
          <w:tcPr>
            <w:tcW w:w="2330" w:type="pct"/>
          </w:tcPr>
          <w:p w:rsidR="00311655" w:rsidRPr="00893C26" w:rsidRDefault="00311655" w:rsidP="00311655">
            <w:pPr>
              <w:jc w:val="both"/>
              <w:rPr>
                <w:sz w:val="20"/>
                <w:lang w:val="fr-CA"/>
              </w:rPr>
            </w:pPr>
            <w:r w:rsidRPr="00893C26">
              <w:rPr>
                <w:sz w:val="20"/>
                <w:lang w:val="fr-CA"/>
              </w:rPr>
              <w:t>Demande d’autorisation d’appel déposée.</w:t>
            </w:r>
          </w:p>
          <w:p w:rsidR="00311655" w:rsidRPr="00893C26" w:rsidRDefault="00311655" w:rsidP="00311655">
            <w:pPr>
              <w:jc w:val="both"/>
              <w:rPr>
                <w:sz w:val="20"/>
                <w:lang w:val="fr-CA"/>
              </w:rPr>
            </w:pPr>
          </w:p>
        </w:tc>
      </w:tr>
    </w:tbl>
    <w:p w:rsidR="00311655" w:rsidRPr="00893C26" w:rsidRDefault="00311655" w:rsidP="00311655">
      <w:pPr>
        <w:jc w:val="both"/>
        <w:rPr>
          <w:sz w:val="20"/>
          <w:lang w:val="fr-CA"/>
        </w:rPr>
      </w:pPr>
    </w:p>
    <w:p w:rsidR="00311655" w:rsidRPr="00893C26" w:rsidRDefault="00893C26" w:rsidP="00311655">
      <w:pPr>
        <w:jc w:val="both"/>
        <w:rPr>
          <w:sz w:val="20"/>
          <w:lang w:val="fr-CA"/>
        </w:rPr>
      </w:pPr>
      <w:r w:rsidRPr="00893C26">
        <w:rPr>
          <w:sz w:val="20"/>
        </w:rPr>
        <w:pict>
          <v:rect id="_x0000_i1050" style="width:2in;height:1pt" o:hrpct="0" o:hralign="center" o:hrstd="t" o:hrnoshade="t" o:hr="t" fillcolor="black [3213]" stroked="f"/>
        </w:pict>
      </w:r>
    </w:p>
    <w:p w:rsidR="00311655" w:rsidRPr="00893C26" w:rsidRDefault="00311655" w:rsidP="00311655">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1655" w:rsidRPr="00893C26" w:rsidTr="00A743EC">
        <w:tc>
          <w:tcPr>
            <w:tcW w:w="543" w:type="pct"/>
          </w:tcPr>
          <w:p w:rsidR="00311655" w:rsidRPr="00893C26" w:rsidRDefault="00311655" w:rsidP="00311655">
            <w:pPr>
              <w:jc w:val="both"/>
              <w:rPr>
                <w:sz w:val="20"/>
              </w:rPr>
            </w:pPr>
            <w:r w:rsidRPr="00893C26">
              <w:rPr>
                <w:rStyle w:val="SCCFileNumberChar"/>
                <w:sz w:val="20"/>
                <w:szCs w:val="20"/>
              </w:rPr>
              <w:t>40099</w:t>
            </w:r>
          </w:p>
        </w:tc>
        <w:tc>
          <w:tcPr>
            <w:tcW w:w="4457" w:type="pct"/>
            <w:gridSpan w:val="3"/>
          </w:tcPr>
          <w:p w:rsidR="00311655" w:rsidRPr="00893C26" w:rsidRDefault="00311655" w:rsidP="00311655">
            <w:pPr>
              <w:pStyle w:val="SCCLsocParty"/>
              <w:jc w:val="both"/>
              <w:rPr>
                <w:b/>
                <w:sz w:val="20"/>
                <w:szCs w:val="20"/>
                <w:lang w:val="en-US"/>
              </w:rPr>
            </w:pPr>
            <w:r w:rsidRPr="00893C26">
              <w:rPr>
                <w:b/>
                <w:sz w:val="20"/>
                <w:szCs w:val="20"/>
                <w:lang w:val="en-US"/>
              </w:rPr>
              <w:t>Nikota Bangloy v. Attorney General of Canada</w:t>
            </w:r>
          </w:p>
          <w:p w:rsidR="00311655" w:rsidRPr="00893C26" w:rsidRDefault="00311655" w:rsidP="00311655">
            <w:pPr>
              <w:jc w:val="both"/>
              <w:rPr>
                <w:sz w:val="20"/>
              </w:rPr>
            </w:pPr>
            <w:r w:rsidRPr="00893C26">
              <w:rPr>
                <w:sz w:val="20"/>
              </w:rPr>
              <w:t>(F.C.) (Civil) (By Leave)</w:t>
            </w:r>
          </w:p>
        </w:tc>
      </w:tr>
      <w:tr w:rsidR="00311655" w:rsidRPr="00893C26" w:rsidTr="00A743EC">
        <w:tc>
          <w:tcPr>
            <w:tcW w:w="5000" w:type="pct"/>
            <w:gridSpan w:val="4"/>
          </w:tcPr>
          <w:p w:rsidR="00311655" w:rsidRPr="00893C26" w:rsidRDefault="00311655" w:rsidP="00311655">
            <w:pPr>
              <w:jc w:val="both"/>
              <w:rPr>
                <w:sz w:val="20"/>
              </w:rPr>
            </w:pPr>
            <w:r w:rsidRPr="00893C26">
              <w:rPr>
                <w:sz w:val="20"/>
              </w:rPr>
              <w:t xml:space="preserve">Human Rights — Discriminatory practices — Standard of review — Which standard of review applies — Whether the Federal Court of Appeal erred by preferring </w:t>
            </w:r>
            <w:r w:rsidRPr="00893C26">
              <w:rPr>
                <w:i/>
                <w:sz w:val="20"/>
              </w:rPr>
              <w:t>Agraira</w:t>
            </w:r>
            <w:r w:rsidRPr="00893C26">
              <w:rPr>
                <w:sz w:val="20"/>
              </w:rPr>
              <w:t xml:space="preserve"> </w:t>
            </w:r>
            <w:r w:rsidRPr="00893C26">
              <w:rPr>
                <w:i/>
                <w:sz w:val="20"/>
              </w:rPr>
              <w:t>v. Canada</w:t>
            </w:r>
            <w:r w:rsidRPr="00893C26">
              <w:rPr>
                <w:sz w:val="20"/>
              </w:rPr>
              <w:t xml:space="preserve"> (</w:t>
            </w:r>
            <w:r w:rsidRPr="00893C26">
              <w:rPr>
                <w:i/>
                <w:sz w:val="20"/>
              </w:rPr>
              <w:t>Public Safety and Emergency Preparedness</w:t>
            </w:r>
            <w:r w:rsidRPr="00893C26">
              <w:rPr>
                <w:sz w:val="20"/>
              </w:rPr>
              <w:t xml:space="preserve">), 2013 SCC 36, [2013] 2 S.C.R. 559 at paragraphs 45 and 46 which is inconsistent with </w:t>
            </w:r>
            <w:r w:rsidRPr="00893C26">
              <w:rPr>
                <w:i/>
                <w:sz w:val="20"/>
              </w:rPr>
              <w:t>Canada</w:t>
            </w:r>
            <w:r w:rsidRPr="00893C26">
              <w:rPr>
                <w:sz w:val="20"/>
              </w:rPr>
              <w:t xml:space="preserve"> (</w:t>
            </w:r>
            <w:r w:rsidRPr="00893C26">
              <w:rPr>
                <w:i/>
                <w:sz w:val="20"/>
              </w:rPr>
              <w:t>Minister of Citizenship and Immigration</w:t>
            </w:r>
            <w:r w:rsidRPr="00893C26">
              <w:rPr>
                <w:sz w:val="20"/>
              </w:rPr>
              <w:t xml:space="preserve">) </w:t>
            </w:r>
            <w:r w:rsidRPr="00893C26">
              <w:rPr>
                <w:i/>
                <w:sz w:val="20"/>
              </w:rPr>
              <w:t>v.</w:t>
            </w:r>
            <w:r w:rsidRPr="00893C26">
              <w:rPr>
                <w:sz w:val="20"/>
              </w:rPr>
              <w:t xml:space="preserve"> </w:t>
            </w:r>
            <w:r w:rsidRPr="00893C26">
              <w:rPr>
                <w:i/>
                <w:sz w:val="20"/>
              </w:rPr>
              <w:t>Vavilov</w:t>
            </w:r>
            <w:r w:rsidRPr="00893C26">
              <w:rPr>
                <w:sz w:val="20"/>
              </w:rPr>
              <w:t xml:space="preserve">, 2019 SCC 65 at paragraphs 55 and 56 — Whether the Federal Court of Appeal, Federal Court and the Canadian Human Rights Tribunal decisions and Orders are inconsistent with s. 35 of the </w:t>
            </w:r>
            <w:r w:rsidRPr="00893C26">
              <w:rPr>
                <w:i/>
                <w:sz w:val="20"/>
              </w:rPr>
              <w:t>Constitution Act, 1982</w:t>
            </w:r>
            <w:r w:rsidRPr="00893C26">
              <w:rPr>
                <w:sz w:val="20"/>
              </w:rPr>
              <w:t xml:space="preserve"> and are therefore rendered of no force or effect by s. 52(1) of the </w:t>
            </w:r>
            <w:r w:rsidRPr="00893C26">
              <w:rPr>
                <w:i/>
                <w:sz w:val="20"/>
              </w:rPr>
              <w:t>Constitution Act, 1982</w:t>
            </w:r>
            <w:r w:rsidRPr="00893C26">
              <w:rPr>
                <w:sz w:val="20"/>
              </w:rPr>
              <w:t>.</w:t>
            </w:r>
          </w:p>
        </w:tc>
      </w:tr>
      <w:tr w:rsidR="00311655" w:rsidRPr="00893C26" w:rsidTr="00A743EC">
        <w:tc>
          <w:tcPr>
            <w:tcW w:w="5000" w:type="pct"/>
            <w:gridSpan w:val="4"/>
          </w:tcPr>
          <w:p w:rsidR="00311655" w:rsidRPr="00893C26" w:rsidRDefault="00311655" w:rsidP="00311655">
            <w:pPr>
              <w:jc w:val="both"/>
              <w:rPr>
                <w:sz w:val="20"/>
              </w:rPr>
            </w:pPr>
          </w:p>
          <w:p w:rsidR="00311655" w:rsidRPr="00893C26" w:rsidRDefault="00311655" w:rsidP="00311655">
            <w:pPr>
              <w:jc w:val="both"/>
              <w:rPr>
                <w:sz w:val="20"/>
              </w:rPr>
            </w:pPr>
            <w:r w:rsidRPr="00893C26">
              <w:rPr>
                <w:sz w:val="20"/>
              </w:rPr>
              <w:t xml:space="preserve">The applicant, Ms. Bangloy, along with her mother and children, sought annuities and educational benefits under the terms of Treaty 11. After Indigenous and Northern Affairs Canada [INAC] denied their claims, Ms. Bangloy and her family complained to the Canadian Human Rights Commission that the respondent’s use of Band membership to administer treaty annuities and its failure to pay private school expenses were discrimination under sections 5 and 14.1 of the </w:t>
            </w:r>
            <w:r w:rsidRPr="00893C26">
              <w:rPr>
                <w:i/>
                <w:sz w:val="20"/>
              </w:rPr>
              <w:t>Canadian Human Rights Act</w:t>
            </w:r>
            <w:r w:rsidRPr="00893C26">
              <w:rPr>
                <w:sz w:val="20"/>
              </w:rPr>
              <w:t>, R.S.C., 1985, c. H</w:t>
            </w:r>
            <w:r w:rsidRPr="00893C26">
              <w:rPr>
                <w:sz w:val="20"/>
              </w:rPr>
              <w:softHyphen/>
              <w:t>6 (“</w:t>
            </w:r>
            <w:r w:rsidRPr="00893C26">
              <w:rPr>
                <w:i/>
                <w:sz w:val="20"/>
              </w:rPr>
              <w:t>CHRA</w:t>
            </w:r>
            <w:r w:rsidRPr="00893C26">
              <w:rPr>
                <w:sz w:val="20"/>
              </w:rPr>
              <w:t xml:space="preserve">”). They also maintained that INAC denied them the benefits in question as retaliation for previous complaints of discrimination the family had lodged against INAC, contrary to s 14.1 of the </w:t>
            </w:r>
            <w:r w:rsidRPr="00893C26">
              <w:rPr>
                <w:i/>
                <w:sz w:val="20"/>
              </w:rPr>
              <w:t>CHRA</w:t>
            </w:r>
            <w:r w:rsidRPr="00893C26">
              <w:rPr>
                <w:sz w:val="20"/>
              </w:rPr>
              <w:t>. The Canadian Human Rights Tribunal found that INAC’s delay in determining that the family was owed annuities was a form of retaliation for the previous complaints. But it rejected the family’s contention that INAC’s other conduct, including its failure to provide educational benefits or information about those benefits, was retaliatory. The Tribunal awarded Ms. Bangloy and her mother $500.00 each as compensation for pain and suffering, and $1,500.00 to each of the four complainants as special compensation. The application for judicial review, and the appeal were dismissed.</w:t>
            </w:r>
          </w:p>
        </w:tc>
      </w:tr>
      <w:tr w:rsidR="00311655" w:rsidRPr="00893C26" w:rsidTr="00A743EC">
        <w:tc>
          <w:tcPr>
            <w:tcW w:w="5000" w:type="pct"/>
            <w:gridSpan w:val="4"/>
          </w:tcPr>
          <w:p w:rsidR="00311655" w:rsidRPr="00893C26" w:rsidRDefault="00311655" w:rsidP="00311655">
            <w:pPr>
              <w:jc w:val="both"/>
              <w:rPr>
                <w:sz w:val="20"/>
              </w:rPr>
            </w:pPr>
          </w:p>
        </w:tc>
      </w:tr>
      <w:tr w:rsidR="00311655" w:rsidRPr="00893C26" w:rsidTr="00A743EC">
        <w:tc>
          <w:tcPr>
            <w:tcW w:w="2427" w:type="pct"/>
            <w:gridSpan w:val="2"/>
          </w:tcPr>
          <w:p w:rsidR="00311655" w:rsidRPr="00893C26" w:rsidRDefault="00311655" w:rsidP="00311655">
            <w:pPr>
              <w:jc w:val="both"/>
              <w:rPr>
                <w:sz w:val="20"/>
              </w:rPr>
            </w:pPr>
            <w:r w:rsidRPr="00893C26">
              <w:rPr>
                <w:sz w:val="20"/>
              </w:rPr>
              <w:t>November 19, 2019</w:t>
            </w:r>
          </w:p>
          <w:p w:rsidR="00311655" w:rsidRPr="00893C26" w:rsidRDefault="00311655" w:rsidP="00311655">
            <w:pPr>
              <w:jc w:val="both"/>
              <w:rPr>
                <w:sz w:val="20"/>
              </w:rPr>
            </w:pPr>
            <w:r w:rsidRPr="00893C26">
              <w:rPr>
                <w:sz w:val="20"/>
              </w:rPr>
              <w:t>Canadian Human Rights Tribunal</w:t>
            </w:r>
          </w:p>
          <w:p w:rsidR="00311655" w:rsidRPr="00893C26" w:rsidRDefault="00311655" w:rsidP="00311655">
            <w:pPr>
              <w:jc w:val="both"/>
              <w:rPr>
                <w:sz w:val="20"/>
              </w:rPr>
            </w:pPr>
            <w:r w:rsidRPr="00893C26">
              <w:rPr>
                <w:sz w:val="20"/>
              </w:rPr>
              <w:t>(Member: Colleen Harrington)</w:t>
            </w:r>
          </w:p>
          <w:p w:rsidR="00311655" w:rsidRPr="00893C26" w:rsidRDefault="00311655" w:rsidP="00311655">
            <w:pPr>
              <w:jc w:val="both"/>
              <w:rPr>
                <w:sz w:val="20"/>
              </w:rPr>
            </w:pPr>
            <w:r w:rsidRPr="00893C26">
              <w:rPr>
                <w:sz w:val="20"/>
              </w:rPr>
              <w:t>2019 CHRT 45</w:t>
            </w:r>
          </w:p>
          <w:p w:rsidR="00311655" w:rsidRPr="00893C26" w:rsidRDefault="00311655" w:rsidP="00311655">
            <w:pPr>
              <w:jc w:val="both"/>
              <w:rPr>
                <w:sz w:val="20"/>
              </w:rPr>
            </w:pPr>
          </w:p>
        </w:tc>
        <w:tc>
          <w:tcPr>
            <w:tcW w:w="243" w:type="pct"/>
          </w:tcPr>
          <w:p w:rsidR="00311655" w:rsidRPr="00893C26" w:rsidRDefault="00311655" w:rsidP="00311655">
            <w:pPr>
              <w:jc w:val="both"/>
              <w:rPr>
                <w:sz w:val="20"/>
              </w:rPr>
            </w:pPr>
          </w:p>
        </w:tc>
        <w:tc>
          <w:tcPr>
            <w:tcW w:w="2330" w:type="pct"/>
          </w:tcPr>
          <w:p w:rsidR="00311655" w:rsidRPr="00893C26" w:rsidRDefault="00311655" w:rsidP="00311655">
            <w:pPr>
              <w:jc w:val="both"/>
              <w:rPr>
                <w:sz w:val="20"/>
              </w:rPr>
            </w:pPr>
            <w:r w:rsidRPr="00893C26">
              <w:rPr>
                <w:color w:val="000000"/>
                <w:sz w:val="20"/>
              </w:rPr>
              <w:t>The Tribunal awarded Ms. Bangloy and her mother $500.00 each as compensation for pain and suffering, and $1,500.00 to each of the four complainants as special compensation</w:t>
            </w:r>
          </w:p>
          <w:p w:rsidR="00311655" w:rsidRPr="00893C26" w:rsidRDefault="00311655" w:rsidP="00311655">
            <w:pPr>
              <w:jc w:val="both"/>
              <w:rPr>
                <w:sz w:val="20"/>
              </w:rPr>
            </w:pPr>
          </w:p>
        </w:tc>
      </w:tr>
      <w:tr w:rsidR="00311655" w:rsidRPr="00893C26" w:rsidTr="00A743EC">
        <w:tc>
          <w:tcPr>
            <w:tcW w:w="2427" w:type="pct"/>
            <w:gridSpan w:val="2"/>
          </w:tcPr>
          <w:p w:rsidR="00311655" w:rsidRPr="00893C26" w:rsidRDefault="00311655" w:rsidP="00311655">
            <w:pPr>
              <w:jc w:val="both"/>
              <w:rPr>
                <w:sz w:val="20"/>
              </w:rPr>
            </w:pPr>
            <w:r w:rsidRPr="00893C26">
              <w:rPr>
                <w:sz w:val="20"/>
              </w:rPr>
              <w:t>January 18, 2021</w:t>
            </w:r>
          </w:p>
          <w:p w:rsidR="00311655" w:rsidRPr="00893C26" w:rsidRDefault="00311655" w:rsidP="00311655">
            <w:pPr>
              <w:jc w:val="both"/>
              <w:rPr>
                <w:sz w:val="20"/>
              </w:rPr>
            </w:pPr>
            <w:r w:rsidRPr="00893C26">
              <w:rPr>
                <w:sz w:val="20"/>
              </w:rPr>
              <w:t>Federal Court</w:t>
            </w:r>
          </w:p>
          <w:p w:rsidR="00311655" w:rsidRPr="00893C26" w:rsidRDefault="00311655" w:rsidP="00311655">
            <w:pPr>
              <w:jc w:val="both"/>
              <w:rPr>
                <w:sz w:val="20"/>
              </w:rPr>
            </w:pPr>
            <w:r w:rsidRPr="00893C26">
              <w:rPr>
                <w:sz w:val="20"/>
              </w:rPr>
              <w:t>(O’Reilly J.)</w:t>
            </w:r>
          </w:p>
          <w:p w:rsidR="00311655" w:rsidRPr="00893C26" w:rsidRDefault="00893C26" w:rsidP="00311655">
            <w:pPr>
              <w:jc w:val="both"/>
              <w:rPr>
                <w:sz w:val="20"/>
              </w:rPr>
            </w:pPr>
            <w:hyperlink r:id="rId67" w:history="1">
              <w:r w:rsidR="00311655" w:rsidRPr="00893C26">
                <w:rPr>
                  <w:rStyle w:val="Hyperlink"/>
                  <w:sz w:val="20"/>
                </w:rPr>
                <w:t>2021 FC 60</w:t>
              </w:r>
            </w:hyperlink>
          </w:p>
          <w:p w:rsidR="00311655" w:rsidRPr="00893C26" w:rsidRDefault="00311655" w:rsidP="00311655">
            <w:pPr>
              <w:jc w:val="both"/>
              <w:rPr>
                <w:sz w:val="20"/>
              </w:rPr>
            </w:pPr>
          </w:p>
        </w:tc>
        <w:tc>
          <w:tcPr>
            <w:tcW w:w="243" w:type="pct"/>
          </w:tcPr>
          <w:p w:rsidR="00311655" w:rsidRPr="00893C26" w:rsidRDefault="00311655" w:rsidP="00311655">
            <w:pPr>
              <w:jc w:val="both"/>
              <w:rPr>
                <w:sz w:val="20"/>
              </w:rPr>
            </w:pPr>
          </w:p>
        </w:tc>
        <w:tc>
          <w:tcPr>
            <w:tcW w:w="2330" w:type="pct"/>
          </w:tcPr>
          <w:p w:rsidR="00311655" w:rsidRPr="00893C26" w:rsidRDefault="00311655" w:rsidP="00311655">
            <w:pPr>
              <w:jc w:val="both"/>
              <w:rPr>
                <w:sz w:val="20"/>
              </w:rPr>
            </w:pPr>
            <w:r w:rsidRPr="00893C26">
              <w:rPr>
                <w:sz w:val="20"/>
              </w:rPr>
              <w:t>Application for judicial review dismissed without costs</w:t>
            </w:r>
          </w:p>
          <w:p w:rsidR="00311655" w:rsidRPr="00893C26" w:rsidRDefault="00311655" w:rsidP="00311655">
            <w:pPr>
              <w:jc w:val="both"/>
              <w:rPr>
                <w:sz w:val="20"/>
              </w:rPr>
            </w:pPr>
          </w:p>
        </w:tc>
      </w:tr>
      <w:tr w:rsidR="00311655" w:rsidRPr="00893C26" w:rsidTr="00A743EC">
        <w:tc>
          <w:tcPr>
            <w:tcW w:w="2427" w:type="pct"/>
            <w:gridSpan w:val="2"/>
          </w:tcPr>
          <w:p w:rsidR="00311655" w:rsidRPr="00893C26" w:rsidRDefault="00311655" w:rsidP="00311655">
            <w:pPr>
              <w:jc w:val="both"/>
              <w:rPr>
                <w:sz w:val="20"/>
              </w:rPr>
            </w:pPr>
            <w:r w:rsidRPr="00893C26">
              <w:rPr>
                <w:sz w:val="20"/>
              </w:rPr>
              <w:t>December 30, 2021</w:t>
            </w:r>
          </w:p>
          <w:p w:rsidR="00311655" w:rsidRPr="00893C26" w:rsidRDefault="00311655" w:rsidP="00311655">
            <w:pPr>
              <w:jc w:val="both"/>
              <w:rPr>
                <w:sz w:val="20"/>
              </w:rPr>
            </w:pPr>
            <w:r w:rsidRPr="00893C26">
              <w:rPr>
                <w:sz w:val="20"/>
              </w:rPr>
              <w:t>Federal Court of Appeal</w:t>
            </w:r>
          </w:p>
          <w:p w:rsidR="00311655" w:rsidRPr="00893C26" w:rsidRDefault="00311655" w:rsidP="00311655">
            <w:pPr>
              <w:jc w:val="both"/>
              <w:rPr>
                <w:sz w:val="20"/>
              </w:rPr>
            </w:pPr>
            <w:r w:rsidRPr="00893C26">
              <w:rPr>
                <w:sz w:val="20"/>
              </w:rPr>
              <w:t>(Laskin, Rivoalen, Mactavish JJ.A.)</w:t>
            </w:r>
          </w:p>
          <w:p w:rsidR="00311655" w:rsidRPr="00893C26" w:rsidRDefault="00893C26" w:rsidP="00311655">
            <w:pPr>
              <w:jc w:val="both"/>
              <w:rPr>
                <w:sz w:val="20"/>
              </w:rPr>
            </w:pPr>
            <w:hyperlink r:id="rId68" w:history="1">
              <w:r w:rsidR="00311655" w:rsidRPr="00893C26">
                <w:rPr>
                  <w:rStyle w:val="Hyperlink"/>
                  <w:sz w:val="20"/>
                </w:rPr>
                <w:t>2021 FCA 245</w:t>
              </w:r>
            </w:hyperlink>
            <w:r w:rsidR="00311655" w:rsidRPr="00893C26">
              <w:rPr>
                <w:sz w:val="20"/>
              </w:rPr>
              <w:t>; A-42-21</w:t>
            </w:r>
          </w:p>
          <w:p w:rsidR="00311655" w:rsidRPr="00893C26" w:rsidRDefault="00311655" w:rsidP="00311655">
            <w:pPr>
              <w:jc w:val="both"/>
              <w:rPr>
                <w:sz w:val="20"/>
              </w:rPr>
            </w:pPr>
          </w:p>
        </w:tc>
        <w:tc>
          <w:tcPr>
            <w:tcW w:w="243" w:type="pct"/>
          </w:tcPr>
          <w:p w:rsidR="00311655" w:rsidRPr="00893C26" w:rsidRDefault="00311655" w:rsidP="00311655">
            <w:pPr>
              <w:jc w:val="both"/>
              <w:rPr>
                <w:sz w:val="20"/>
              </w:rPr>
            </w:pPr>
          </w:p>
        </w:tc>
        <w:tc>
          <w:tcPr>
            <w:tcW w:w="2330" w:type="pct"/>
          </w:tcPr>
          <w:p w:rsidR="00311655" w:rsidRPr="00893C26" w:rsidRDefault="00311655" w:rsidP="00311655">
            <w:pPr>
              <w:jc w:val="both"/>
              <w:rPr>
                <w:sz w:val="20"/>
              </w:rPr>
            </w:pPr>
            <w:r w:rsidRPr="00893C26">
              <w:rPr>
                <w:sz w:val="20"/>
              </w:rPr>
              <w:t>Appeal dismissed without costs</w:t>
            </w:r>
          </w:p>
          <w:p w:rsidR="00311655" w:rsidRPr="00893C26" w:rsidRDefault="00311655" w:rsidP="00311655">
            <w:pPr>
              <w:jc w:val="both"/>
              <w:rPr>
                <w:sz w:val="20"/>
              </w:rPr>
            </w:pPr>
          </w:p>
        </w:tc>
      </w:tr>
      <w:tr w:rsidR="00311655" w:rsidRPr="00893C26" w:rsidTr="00A743EC">
        <w:tc>
          <w:tcPr>
            <w:tcW w:w="2427" w:type="pct"/>
            <w:gridSpan w:val="2"/>
          </w:tcPr>
          <w:p w:rsidR="00311655" w:rsidRPr="00893C26" w:rsidRDefault="00311655" w:rsidP="00311655">
            <w:pPr>
              <w:jc w:val="both"/>
              <w:rPr>
                <w:sz w:val="20"/>
              </w:rPr>
            </w:pPr>
            <w:r w:rsidRPr="00893C26">
              <w:rPr>
                <w:sz w:val="20"/>
              </w:rPr>
              <w:t>February 14, 2022</w:t>
            </w:r>
          </w:p>
          <w:p w:rsidR="00311655" w:rsidRPr="00893C26" w:rsidRDefault="00311655" w:rsidP="00311655">
            <w:pPr>
              <w:jc w:val="both"/>
              <w:rPr>
                <w:sz w:val="20"/>
              </w:rPr>
            </w:pPr>
            <w:r w:rsidRPr="00893C26">
              <w:rPr>
                <w:sz w:val="20"/>
              </w:rPr>
              <w:t>Supreme Court of Canada</w:t>
            </w:r>
          </w:p>
        </w:tc>
        <w:tc>
          <w:tcPr>
            <w:tcW w:w="243" w:type="pct"/>
          </w:tcPr>
          <w:p w:rsidR="00311655" w:rsidRPr="00893C26" w:rsidRDefault="00311655" w:rsidP="00311655">
            <w:pPr>
              <w:jc w:val="both"/>
              <w:rPr>
                <w:sz w:val="20"/>
              </w:rPr>
            </w:pPr>
          </w:p>
        </w:tc>
        <w:tc>
          <w:tcPr>
            <w:tcW w:w="2330" w:type="pct"/>
          </w:tcPr>
          <w:p w:rsidR="00311655" w:rsidRPr="00893C26" w:rsidRDefault="00311655" w:rsidP="00311655">
            <w:pPr>
              <w:jc w:val="both"/>
              <w:rPr>
                <w:sz w:val="20"/>
              </w:rPr>
            </w:pPr>
            <w:r w:rsidRPr="00893C26">
              <w:rPr>
                <w:sz w:val="20"/>
              </w:rPr>
              <w:t>Application for leave to appeal filed</w:t>
            </w:r>
          </w:p>
          <w:p w:rsidR="00311655" w:rsidRPr="00893C26" w:rsidRDefault="00311655" w:rsidP="00311655">
            <w:pPr>
              <w:jc w:val="both"/>
              <w:rPr>
                <w:sz w:val="20"/>
              </w:rPr>
            </w:pPr>
          </w:p>
        </w:tc>
      </w:tr>
    </w:tbl>
    <w:p w:rsidR="00311655" w:rsidRPr="00893C26" w:rsidRDefault="00311655" w:rsidP="00311655">
      <w:pPr>
        <w:jc w:val="both"/>
        <w:rPr>
          <w:sz w:val="20"/>
        </w:rPr>
      </w:pPr>
    </w:p>
    <w:p w:rsidR="00311655" w:rsidRPr="00893C26" w:rsidRDefault="00893C26" w:rsidP="00311655">
      <w:pPr>
        <w:jc w:val="both"/>
        <w:rPr>
          <w:sz w:val="20"/>
        </w:rPr>
      </w:pPr>
      <w:r w:rsidRPr="00893C26">
        <w:rPr>
          <w:sz w:val="20"/>
        </w:rPr>
        <w:pict>
          <v:rect id="_x0000_i1051" style="width:2in;height:1pt" o:hrpct="0" o:hralign="center" o:hrstd="t" o:hrnoshade="t" o:hr="t" fillcolor="black [3213]" stroked="f"/>
        </w:pict>
      </w:r>
    </w:p>
    <w:p w:rsidR="00311655" w:rsidRPr="00893C26" w:rsidRDefault="00311655" w:rsidP="0031165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11655" w:rsidRPr="00893C26" w:rsidTr="00A743EC">
        <w:tc>
          <w:tcPr>
            <w:tcW w:w="543" w:type="pct"/>
          </w:tcPr>
          <w:p w:rsidR="00311655" w:rsidRPr="00893C26" w:rsidRDefault="00311655" w:rsidP="00311655">
            <w:pPr>
              <w:jc w:val="both"/>
              <w:rPr>
                <w:sz w:val="20"/>
                <w:lang w:val="fr-CA"/>
              </w:rPr>
            </w:pPr>
            <w:r w:rsidRPr="00893C26">
              <w:rPr>
                <w:rStyle w:val="SCCFileNumberChar"/>
                <w:sz w:val="20"/>
                <w:szCs w:val="20"/>
                <w:lang w:val="fr-CA"/>
              </w:rPr>
              <w:t>40099</w:t>
            </w:r>
          </w:p>
        </w:tc>
        <w:tc>
          <w:tcPr>
            <w:tcW w:w="4457" w:type="pct"/>
            <w:gridSpan w:val="3"/>
          </w:tcPr>
          <w:p w:rsidR="00311655" w:rsidRPr="00893C26" w:rsidRDefault="00311655" w:rsidP="00311655">
            <w:pPr>
              <w:pStyle w:val="SCCLsocParty"/>
              <w:jc w:val="both"/>
              <w:rPr>
                <w:b/>
                <w:sz w:val="20"/>
                <w:szCs w:val="20"/>
                <w:lang w:val="en-US"/>
              </w:rPr>
            </w:pPr>
            <w:r w:rsidRPr="00893C26">
              <w:rPr>
                <w:b/>
                <w:sz w:val="20"/>
                <w:szCs w:val="20"/>
                <w:lang w:val="en-US"/>
              </w:rPr>
              <w:t>Nikota Bangloy c. Attorney General of Canada</w:t>
            </w:r>
          </w:p>
          <w:p w:rsidR="00311655" w:rsidRPr="00893C26" w:rsidRDefault="00311655" w:rsidP="00311655">
            <w:pPr>
              <w:jc w:val="both"/>
              <w:rPr>
                <w:sz w:val="20"/>
                <w:lang w:val="fr-CA"/>
              </w:rPr>
            </w:pPr>
            <w:r w:rsidRPr="00893C26">
              <w:rPr>
                <w:sz w:val="20"/>
                <w:lang w:val="fr-CA"/>
              </w:rPr>
              <w:t>(C.F.) (Civile) (Sur autorisation)</w:t>
            </w:r>
          </w:p>
        </w:tc>
      </w:tr>
      <w:tr w:rsidR="00311655" w:rsidRPr="00893C26" w:rsidTr="00A743EC">
        <w:tc>
          <w:tcPr>
            <w:tcW w:w="5000" w:type="pct"/>
            <w:gridSpan w:val="4"/>
          </w:tcPr>
          <w:p w:rsidR="00311655" w:rsidRPr="00893C26" w:rsidRDefault="00311655" w:rsidP="00311655">
            <w:pPr>
              <w:jc w:val="both"/>
              <w:rPr>
                <w:sz w:val="20"/>
                <w:lang w:val="fr-CA"/>
              </w:rPr>
            </w:pPr>
            <w:r w:rsidRPr="00893C26">
              <w:rPr>
                <w:sz w:val="20"/>
                <w:lang w:val="fr-CA"/>
              </w:rPr>
              <w:t>Droits de la personne — Pratiques discriminatoires — Norme de contrôle — Quelle norme de contrôle s’applique? — La Cour d’appel fédérale a-t-elle commis une erreur en choisissant de suivre l’arrêt</w:t>
            </w:r>
            <w:r w:rsidRPr="00893C26">
              <w:rPr>
                <w:i/>
                <w:sz w:val="20"/>
                <w:lang w:val="fr-CA"/>
              </w:rPr>
              <w:t xml:space="preserve"> Agraira</w:t>
            </w:r>
            <w:r w:rsidRPr="00893C26">
              <w:rPr>
                <w:sz w:val="20"/>
                <w:lang w:val="fr-CA"/>
              </w:rPr>
              <w:t xml:space="preserve"> c</w:t>
            </w:r>
            <w:r w:rsidRPr="00893C26">
              <w:rPr>
                <w:i/>
                <w:sz w:val="20"/>
                <w:lang w:val="fr-CA"/>
              </w:rPr>
              <w:t>. Canada</w:t>
            </w:r>
            <w:r w:rsidRPr="00893C26">
              <w:rPr>
                <w:sz w:val="20"/>
                <w:lang w:val="fr-CA"/>
              </w:rPr>
              <w:t xml:space="preserve"> (</w:t>
            </w:r>
            <w:r w:rsidRPr="00893C26">
              <w:rPr>
                <w:i/>
                <w:sz w:val="20"/>
                <w:lang w:val="fr-CA"/>
              </w:rPr>
              <w:t>Sécurité publique et Protection civile</w:t>
            </w:r>
            <w:r w:rsidRPr="00893C26">
              <w:rPr>
                <w:sz w:val="20"/>
                <w:lang w:val="fr-CA"/>
              </w:rPr>
              <w:t xml:space="preserve">), 2013 CSC 36, [2013] 2 R.C.S. 559, par. 45 et 46, qui est incompatible avec l’arrêt </w:t>
            </w:r>
            <w:r w:rsidRPr="00893C26">
              <w:rPr>
                <w:i/>
                <w:sz w:val="20"/>
                <w:lang w:val="fr-CA"/>
              </w:rPr>
              <w:t>Canada (Ministre de la Citoyenneté et de l’Immigration) c. Vavilov</w:t>
            </w:r>
            <w:r w:rsidRPr="00893C26">
              <w:rPr>
                <w:sz w:val="20"/>
                <w:lang w:val="fr-CA"/>
              </w:rPr>
              <w:t xml:space="preserve">, 2019 CSC 65, par. 55 et 56? — Les décisions et ordonnances de la Cour d’appel fédérale, de la Cour fédérale et du Tribunal canadien des droits de la personne sont-elles incompatibles avec l’art. 35 de la </w:t>
            </w:r>
            <w:r w:rsidRPr="00893C26">
              <w:rPr>
                <w:i/>
                <w:sz w:val="20"/>
                <w:lang w:val="fr-CA"/>
              </w:rPr>
              <w:t>Loi constitutionnelle de 1982</w:t>
            </w:r>
            <w:r w:rsidRPr="00893C26">
              <w:rPr>
                <w:sz w:val="20"/>
                <w:lang w:val="fr-CA"/>
              </w:rPr>
              <w:t xml:space="preserve"> et donc inopérantes par l’effet du par. 52(1) de cette Loi?</w:t>
            </w:r>
          </w:p>
        </w:tc>
      </w:tr>
      <w:tr w:rsidR="00311655" w:rsidRPr="00893C26" w:rsidTr="00A743EC">
        <w:tc>
          <w:tcPr>
            <w:tcW w:w="5000" w:type="pct"/>
            <w:gridSpan w:val="4"/>
          </w:tcPr>
          <w:p w:rsidR="00311655" w:rsidRPr="00893C26" w:rsidRDefault="00311655" w:rsidP="00311655">
            <w:pPr>
              <w:jc w:val="both"/>
              <w:rPr>
                <w:sz w:val="20"/>
                <w:lang w:val="fr-CA"/>
              </w:rPr>
            </w:pPr>
          </w:p>
          <w:p w:rsidR="00311655" w:rsidRPr="00893C26" w:rsidRDefault="00311655" w:rsidP="00311655">
            <w:pPr>
              <w:jc w:val="both"/>
              <w:rPr>
                <w:sz w:val="20"/>
                <w:lang w:val="fr-CA"/>
              </w:rPr>
            </w:pPr>
            <w:r w:rsidRPr="00893C26">
              <w:rPr>
                <w:sz w:val="20"/>
                <w:lang w:val="fr-CA"/>
              </w:rPr>
              <w:t>La demanderesse, Mme Bangloy, ainsi que sa mère et ses enfants, ont demandé d’obtenir des annuités et des avantages en matière d’éducation prévus par le Traité n</w:t>
            </w:r>
            <w:r w:rsidRPr="00893C26">
              <w:rPr>
                <w:sz w:val="20"/>
                <w:vertAlign w:val="superscript"/>
                <w:lang w:val="fr-CA"/>
              </w:rPr>
              <w:t>o</w:t>
            </w:r>
            <w:r w:rsidRPr="00893C26">
              <w:rPr>
                <w:sz w:val="20"/>
                <w:lang w:val="fr-CA"/>
              </w:rPr>
              <w:t xml:space="preserve"> 11. Après qu’Affaires autochtones et du Nord Canada (AANC) a rejeté leurs demandes, Mme Bangloy et sa famille ont porté plainte à la Commission canadienne des droits de la personne, soutenant que la conduite de l’intimé était discriminatoire au titre des </w:t>
            </w:r>
            <w:proofErr w:type="gramStart"/>
            <w:r w:rsidRPr="00893C26">
              <w:rPr>
                <w:sz w:val="20"/>
                <w:lang w:val="fr-CA"/>
              </w:rPr>
              <w:t>art</w:t>
            </w:r>
            <w:proofErr w:type="gramEnd"/>
            <w:r w:rsidRPr="00893C26">
              <w:rPr>
                <w:sz w:val="20"/>
                <w:lang w:val="fr-CA"/>
              </w:rPr>
              <w:t xml:space="preserve">. 5 et 14.1 de la </w:t>
            </w:r>
            <w:r w:rsidRPr="00893C26">
              <w:rPr>
                <w:i/>
                <w:sz w:val="20"/>
                <w:lang w:val="fr-CA"/>
              </w:rPr>
              <w:t>Loi canadienne sur les droits de la personne</w:t>
            </w:r>
            <w:r w:rsidRPr="00893C26">
              <w:rPr>
                <w:sz w:val="20"/>
                <w:lang w:val="fr-CA"/>
              </w:rPr>
              <w:t>, L.R.C., 1985, c. H6 (« </w:t>
            </w:r>
            <w:r w:rsidRPr="00893C26">
              <w:rPr>
                <w:i/>
                <w:sz w:val="20"/>
                <w:lang w:val="fr-CA"/>
              </w:rPr>
              <w:t>LCDP</w:t>
            </w:r>
            <w:r w:rsidRPr="00893C26">
              <w:rPr>
                <w:sz w:val="20"/>
                <w:lang w:val="fr-CA"/>
              </w:rPr>
              <w:t xml:space="preserve"> »), parce qu’il exigeait, pour le paiement des annuités, qu’ils soient membres d’une bande, et qu’il n’a pas payé les dépenses liées à la scolarité des enfants dans une école privée. Ils ont aussi soutenu qu’AANC leur a refusé les avantages en question à titre de représailles en raison de plaintes de discrimination antérieures que la famille a déposées contre AANC, ce qui est contraire à l’art. 14.1 de la </w:t>
            </w:r>
            <w:r w:rsidRPr="00893C26">
              <w:rPr>
                <w:i/>
                <w:sz w:val="20"/>
                <w:lang w:val="fr-CA"/>
              </w:rPr>
              <w:t>LCDP</w:t>
            </w:r>
            <w:r w:rsidRPr="00893C26">
              <w:rPr>
                <w:sz w:val="20"/>
                <w:lang w:val="fr-CA"/>
              </w:rPr>
              <w:t>. Le Tribunal canadien des droits de la personne a conclu que le retard d’AANC dans la détermination de l’admissibilité de la famille à des annuités était une forme de représailles en raison des plaintes antérieures. Toutefois, il a rejeté l’argument de la famille selon lequel les autres agissements d’AANC, notamment son refus d’accorder des avantages éducationnels ou de fournir des renseignements à propos de ceux-ci, avaient été posés en guise de représailles. Le Tribunal a accordé 500,00 $ à Mme Bangloy et la même somme à sa mère à titre d’indemnité pour préjudice moral, en plus d’accorder une indemnité spéciale de 1 500 $ à chacun des quatre plaignants. La demande de contrôle judiciaire et l’appel ont été rejetés.</w:t>
            </w:r>
          </w:p>
        </w:tc>
      </w:tr>
      <w:tr w:rsidR="00311655" w:rsidRPr="00893C26" w:rsidTr="00A743EC">
        <w:tc>
          <w:tcPr>
            <w:tcW w:w="5000" w:type="pct"/>
            <w:gridSpan w:val="4"/>
          </w:tcPr>
          <w:p w:rsidR="00311655" w:rsidRPr="00893C26" w:rsidRDefault="00311655" w:rsidP="00311655">
            <w:pPr>
              <w:jc w:val="both"/>
              <w:rPr>
                <w:sz w:val="20"/>
                <w:lang w:val="fr-CA"/>
              </w:rPr>
            </w:pPr>
          </w:p>
        </w:tc>
      </w:tr>
      <w:tr w:rsidR="00311655" w:rsidRPr="00893C26" w:rsidTr="00A743EC">
        <w:tc>
          <w:tcPr>
            <w:tcW w:w="2427" w:type="pct"/>
            <w:gridSpan w:val="2"/>
          </w:tcPr>
          <w:p w:rsidR="00311655" w:rsidRPr="00893C26" w:rsidRDefault="00311655" w:rsidP="00311655">
            <w:pPr>
              <w:jc w:val="both"/>
              <w:rPr>
                <w:sz w:val="20"/>
                <w:lang w:val="fr-CA"/>
              </w:rPr>
            </w:pPr>
            <w:r w:rsidRPr="00893C26">
              <w:rPr>
                <w:sz w:val="20"/>
                <w:lang w:val="fr-CA"/>
              </w:rPr>
              <w:t>19 novembre 2019</w:t>
            </w:r>
          </w:p>
          <w:p w:rsidR="00311655" w:rsidRPr="00893C26" w:rsidRDefault="00311655" w:rsidP="00311655">
            <w:pPr>
              <w:jc w:val="both"/>
              <w:rPr>
                <w:sz w:val="20"/>
                <w:lang w:val="fr-CA"/>
              </w:rPr>
            </w:pPr>
            <w:r w:rsidRPr="00893C26">
              <w:rPr>
                <w:sz w:val="20"/>
                <w:lang w:val="fr-CA"/>
              </w:rPr>
              <w:t>Tribunal canadien des droits de la personne</w:t>
            </w:r>
          </w:p>
          <w:p w:rsidR="00311655" w:rsidRPr="00893C26" w:rsidRDefault="00311655" w:rsidP="00311655">
            <w:pPr>
              <w:jc w:val="both"/>
              <w:rPr>
                <w:sz w:val="20"/>
                <w:lang w:val="fr-CA"/>
              </w:rPr>
            </w:pPr>
            <w:r w:rsidRPr="00893C26">
              <w:rPr>
                <w:sz w:val="20"/>
                <w:lang w:val="fr-CA"/>
              </w:rPr>
              <w:t>(Membre : Colleen Harrington)</w:t>
            </w:r>
          </w:p>
          <w:p w:rsidR="00311655" w:rsidRPr="00893C26" w:rsidRDefault="00311655" w:rsidP="00311655">
            <w:pPr>
              <w:jc w:val="both"/>
              <w:rPr>
                <w:sz w:val="20"/>
                <w:lang w:val="fr-CA"/>
              </w:rPr>
            </w:pPr>
            <w:r w:rsidRPr="00893C26">
              <w:rPr>
                <w:sz w:val="20"/>
                <w:lang w:val="fr-CA"/>
              </w:rPr>
              <w:t>2019 CHRT 45</w:t>
            </w:r>
          </w:p>
          <w:p w:rsidR="00311655" w:rsidRPr="00893C26" w:rsidRDefault="00311655" w:rsidP="00311655">
            <w:pPr>
              <w:jc w:val="both"/>
              <w:rPr>
                <w:sz w:val="20"/>
                <w:lang w:val="fr-CA"/>
              </w:rPr>
            </w:pPr>
          </w:p>
        </w:tc>
        <w:tc>
          <w:tcPr>
            <w:tcW w:w="243" w:type="pct"/>
          </w:tcPr>
          <w:p w:rsidR="00311655" w:rsidRPr="00893C26" w:rsidRDefault="00311655" w:rsidP="00311655">
            <w:pPr>
              <w:jc w:val="both"/>
              <w:rPr>
                <w:sz w:val="20"/>
                <w:lang w:val="fr-CA"/>
              </w:rPr>
            </w:pPr>
          </w:p>
        </w:tc>
        <w:tc>
          <w:tcPr>
            <w:tcW w:w="2330" w:type="pct"/>
          </w:tcPr>
          <w:p w:rsidR="00311655" w:rsidRPr="00893C26" w:rsidRDefault="00311655" w:rsidP="00311655">
            <w:pPr>
              <w:jc w:val="both"/>
              <w:rPr>
                <w:color w:val="000000"/>
                <w:sz w:val="20"/>
                <w:lang w:val="fr-CA"/>
              </w:rPr>
            </w:pPr>
            <w:r w:rsidRPr="00893C26">
              <w:rPr>
                <w:color w:val="000000"/>
                <w:sz w:val="20"/>
                <w:lang w:val="fr-CA"/>
              </w:rPr>
              <w:t>Le</w:t>
            </w:r>
            <w:r w:rsidRPr="00893C26">
              <w:rPr>
                <w:sz w:val="20"/>
                <w:lang w:val="fr-CA"/>
              </w:rPr>
              <w:t xml:space="preserve"> Tribunal a accordé 500,00 $ à Mme Bangloy et la même somme à sa mère à titre d’indemnité pour préjudice moral, en plus d’accorder une indemnité spéciale de 1 500 $ à chacun des quatre plaignants.</w:t>
            </w:r>
          </w:p>
          <w:p w:rsidR="00311655" w:rsidRPr="00893C26" w:rsidRDefault="00311655" w:rsidP="00311655">
            <w:pPr>
              <w:jc w:val="both"/>
              <w:rPr>
                <w:sz w:val="20"/>
                <w:lang w:val="fr-CA"/>
              </w:rPr>
            </w:pPr>
          </w:p>
        </w:tc>
      </w:tr>
      <w:tr w:rsidR="00311655" w:rsidRPr="00893C26" w:rsidTr="00A743EC">
        <w:tc>
          <w:tcPr>
            <w:tcW w:w="2427" w:type="pct"/>
            <w:gridSpan w:val="2"/>
          </w:tcPr>
          <w:p w:rsidR="00311655" w:rsidRPr="00893C26" w:rsidRDefault="00311655" w:rsidP="00311655">
            <w:pPr>
              <w:jc w:val="both"/>
              <w:rPr>
                <w:sz w:val="20"/>
                <w:lang w:val="fr-CA"/>
              </w:rPr>
            </w:pPr>
            <w:r w:rsidRPr="00893C26">
              <w:rPr>
                <w:sz w:val="20"/>
                <w:lang w:val="fr-CA"/>
              </w:rPr>
              <w:t>18 janvier 2021</w:t>
            </w:r>
          </w:p>
          <w:p w:rsidR="00311655" w:rsidRPr="00893C26" w:rsidRDefault="00311655" w:rsidP="00311655">
            <w:pPr>
              <w:jc w:val="both"/>
              <w:rPr>
                <w:sz w:val="20"/>
                <w:lang w:val="fr-CA"/>
              </w:rPr>
            </w:pPr>
            <w:r w:rsidRPr="00893C26">
              <w:rPr>
                <w:sz w:val="20"/>
                <w:lang w:val="fr-CA"/>
              </w:rPr>
              <w:t>Cour fédérale</w:t>
            </w:r>
          </w:p>
          <w:p w:rsidR="00311655" w:rsidRPr="00893C26" w:rsidRDefault="00311655" w:rsidP="00311655">
            <w:pPr>
              <w:jc w:val="both"/>
              <w:rPr>
                <w:sz w:val="20"/>
                <w:lang w:val="fr-CA"/>
              </w:rPr>
            </w:pPr>
            <w:r w:rsidRPr="00893C26">
              <w:rPr>
                <w:sz w:val="20"/>
                <w:lang w:val="fr-CA"/>
              </w:rPr>
              <w:t>(Juge O’Reilly)</w:t>
            </w:r>
          </w:p>
          <w:p w:rsidR="00311655" w:rsidRPr="00893C26" w:rsidRDefault="00893C26" w:rsidP="00311655">
            <w:pPr>
              <w:jc w:val="both"/>
              <w:rPr>
                <w:sz w:val="20"/>
                <w:lang w:val="fr-CA"/>
              </w:rPr>
            </w:pPr>
            <w:hyperlink r:id="rId69" w:history="1">
              <w:r w:rsidR="00311655" w:rsidRPr="00893C26">
                <w:rPr>
                  <w:rStyle w:val="Hyperlink"/>
                  <w:sz w:val="20"/>
                  <w:lang w:val="fr-CA"/>
                </w:rPr>
                <w:t>2021 CF 60</w:t>
              </w:r>
            </w:hyperlink>
          </w:p>
          <w:p w:rsidR="00311655" w:rsidRPr="00893C26" w:rsidRDefault="00311655" w:rsidP="00311655">
            <w:pPr>
              <w:jc w:val="both"/>
              <w:rPr>
                <w:sz w:val="20"/>
                <w:lang w:val="fr-CA"/>
              </w:rPr>
            </w:pPr>
          </w:p>
        </w:tc>
        <w:tc>
          <w:tcPr>
            <w:tcW w:w="243" w:type="pct"/>
          </w:tcPr>
          <w:p w:rsidR="00311655" w:rsidRPr="00893C26" w:rsidRDefault="00311655" w:rsidP="00311655">
            <w:pPr>
              <w:jc w:val="both"/>
              <w:rPr>
                <w:sz w:val="20"/>
                <w:lang w:val="fr-CA"/>
              </w:rPr>
            </w:pPr>
          </w:p>
        </w:tc>
        <w:tc>
          <w:tcPr>
            <w:tcW w:w="2330" w:type="pct"/>
          </w:tcPr>
          <w:p w:rsidR="00311655" w:rsidRPr="00893C26" w:rsidRDefault="00311655" w:rsidP="00311655">
            <w:pPr>
              <w:jc w:val="both"/>
              <w:rPr>
                <w:sz w:val="20"/>
                <w:lang w:val="fr-CA"/>
              </w:rPr>
            </w:pPr>
            <w:r w:rsidRPr="00893C26">
              <w:rPr>
                <w:sz w:val="20"/>
                <w:lang w:val="fr-CA"/>
              </w:rPr>
              <w:t>Demande de contrôle judiciaire rejetée sans dépens</w:t>
            </w:r>
          </w:p>
          <w:p w:rsidR="00311655" w:rsidRPr="00893C26" w:rsidRDefault="00311655" w:rsidP="00311655">
            <w:pPr>
              <w:jc w:val="both"/>
              <w:rPr>
                <w:sz w:val="20"/>
                <w:lang w:val="fr-CA"/>
              </w:rPr>
            </w:pPr>
          </w:p>
        </w:tc>
      </w:tr>
      <w:tr w:rsidR="00311655" w:rsidRPr="00893C26" w:rsidTr="00A743EC">
        <w:tc>
          <w:tcPr>
            <w:tcW w:w="2427" w:type="pct"/>
            <w:gridSpan w:val="2"/>
          </w:tcPr>
          <w:p w:rsidR="00311655" w:rsidRPr="00893C26" w:rsidRDefault="00311655" w:rsidP="00311655">
            <w:pPr>
              <w:jc w:val="both"/>
              <w:rPr>
                <w:sz w:val="20"/>
                <w:lang w:val="fr-CA"/>
              </w:rPr>
            </w:pPr>
            <w:r w:rsidRPr="00893C26">
              <w:rPr>
                <w:sz w:val="20"/>
                <w:lang w:val="fr-CA"/>
              </w:rPr>
              <w:t>30 décembre 2021</w:t>
            </w:r>
          </w:p>
          <w:p w:rsidR="00311655" w:rsidRPr="00893C26" w:rsidRDefault="00311655" w:rsidP="00311655">
            <w:pPr>
              <w:jc w:val="both"/>
              <w:rPr>
                <w:sz w:val="20"/>
                <w:lang w:val="fr-CA"/>
              </w:rPr>
            </w:pPr>
            <w:r w:rsidRPr="00893C26">
              <w:rPr>
                <w:sz w:val="20"/>
                <w:lang w:val="fr-CA"/>
              </w:rPr>
              <w:t>Cour d’appel fédérale</w:t>
            </w:r>
          </w:p>
          <w:p w:rsidR="00311655" w:rsidRPr="00893C26" w:rsidRDefault="00311655" w:rsidP="00311655">
            <w:pPr>
              <w:jc w:val="both"/>
              <w:rPr>
                <w:sz w:val="20"/>
                <w:lang w:val="fr-CA"/>
              </w:rPr>
            </w:pPr>
            <w:r w:rsidRPr="00893C26">
              <w:rPr>
                <w:sz w:val="20"/>
                <w:lang w:val="fr-CA"/>
              </w:rPr>
              <w:t>(Juges d’appel Laskin, Rivoalen et Mactavish)</w:t>
            </w:r>
          </w:p>
          <w:p w:rsidR="00311655" w:rsidRPr="00893C26" w:rsidRDefault="00893C26" w:rsidP="00311655">
            <w:pPr>
              <w:jc w:val="both"/>
              <w:rPr>
                <w:sz w:val="20"/>
                <w:lang w:val="fr-CA"/>
              </w:rPr>
            </w:pPr>
            <w:hyperlink r:id="rId70" w:history="1">
              <w:r w:rsidR="00311655" w:rsidRPr="00893C26">
                <w:rPr>
                  <w:rStyle w:val="Hyperlink"/>
                  <w:sz w:val="20"/>
                  <w:lang w:val="fr-CA"/>
                </w:rPr>
                <w:t>2021 CAF 245</w:t>
              </w:r>
            </w:hyperlink>
            <w:r w:rsidR="00311655" w:rsidRPr="00893C26">
              <w:rPr>
                <w:sz w:val="20"/>
                <w:lang w:val="fr-CA"/>
              </w:rPr>
              <w:t>; A-42-21</w:t>
            </w:r>
          </w:p>
          <w:p w:rsidR="00311655" w:rsidRPr="00893C26" w:rsidRDefault="00311655" w:rsidP="00311655">
            <w:pPr>
              <w:jc w:val="both"/>
              <w:rPr>
                <w:sz w:val="20"/>
                <w:lang w:val="fr-CA"/>
              </w:rPr>
            </w:pPr>
          </w:p>
        </w:tc>
        <w:tc>
          <w:tcPr>
            <w:tcW w:w="243" w:type="pct"/>
          </w:tcPr>
          <w:p w:rsidR="00311655" w:rsidRPr="00893C26" w:rsidRDefault="00311655" w:rsidP="00311655">
            <w:pPr>
              <w:jc w:val="both"/>
              <w:rPr>
                <w:sz w:val="20"/>
                <w:lang w:val="fr-CA"/>
              </w:rPr>
            </w:pPr>
          </w:p>
        </w:tc>
        <w:tc>
          <w:tcPr>
            <w:tcW w:w="2330" w:type="pct"/>
          </w:tcPr>
          <w:p w:rsidR="00311655" w:rsidRPr="00893C26" w:rsidRDefault="00311655" w:rsidP="00311655">
            <w:pPr>
              <w:jc w:val="both"/>
              <w:rPr>
                <w:sz w:val="20"/>
                <w:lang w:val="fr-CA"/>
              </w:rPr>
            </w:pPr>
            <w:r w:rsidRPr="00893C26">
              <w:rPr>
                <w:sz w:val="20"/>
                <w:lang w:val="fr-CA"/>
              </w:rPr>
              <w:t>Appel rejeté sans dépens</w:t>
            </w:r>
          </w:p>
        </w:tc>
      </w:tr>
      <w:tr w:rsidR="00311655" w:rsidRPr="00893C26" w:rsidTr="00A743EC">
        <w:tc>
          <w:tcPr>
            <w:tcW w:w="2427" w:type="pct"/>
            <w:gridSpan w:val="2"/>
          </w:tcPr>
          <w:p w:rsidR="00311655" w:rsidRPr="00893C26" w:rsidRDefault="00311655" w:rsidP="00311655">
            <w:pPr>
              <w:jc w:val="both"/>
              <w:rPr>
                <w:sz w:val="20"/>
                <w:lang w:val="fr-CA"/>
              </w:rPr>
            </w:pPr>
            <w:r w:rsidRPr="00893C26">
              <w:rPr>
                <w:sz w:val="20"/>
                <w:lang w:val="fr-CA"/>
              </w:rPr>
              <w:t>14 février 2022</w:t>
            </w:r>
          </w:p>
          <w:p w:rsidR="00311655" w:rsidRPr="00893C26" w:rsidRDefault="00311655" w:rsidP="00311655">
            <w:pPr>
              <w:jc w:val="both"/>
              <w:rPr>
                <w:sz w:val="20"/>
                <w:lang w:val="fr-CA"/>
              </w:rPr>
            </w:pPr>
            <w:r w:rsidRPr="00893C26">
              <w:rPr>
                <w:sz w:val="20"/>
                <w:lang w:val="fr-CA"/>
              </w:rPr>
              <w:t>Cour suprême du Canada</w:t>
            </w:r>
          </w:p>
        </w:tc>
        <w:tc>
          <w:tcPr>
            <w:tcW w:w="243" w:type="pct"/>
          </w:tcPr>
          <w:p w:rsidR="00311655" w:rsidRPr="00893C26" w:rsidRDefault="00311655" w:rsidP="00311655">
            <w:pPr>
              <w:jc w:val="both"/>
              <w:rPr>
                <w:sz w:val="20"/>
                <w:lang w:val="fr-CA"/>
              </w:rPr>
            </w:pPr>
          </w:p>
        </w:tc>
        <w:tc>
          <w:tcPr>
            <w:tcW w:w="2330" w:type="pct"/>
          </w:tcPr>
          <w:p w:rsidR="00311655" w:rsidRPr="00893C26" w:rsidRDefault="00311655" w:rsidP="00311655">
            <w:pPr>
              <w:jc w:val="both"/>
              <w:rPr>
                <w:sz w:val="20"/>
                <w:lang w:val="fr-CA"/>
              </w:rPr>
            </w:pPr>
            <w:r w:rsidRPr="00893C26">
              <w:rPr>
                <w:sz w:val="20"/>
                <w:lang w:val="fr-CA"/>
              </w:rPr>
              <w:t>Demande d’autorisation d’appel déposée</w:t>
            </w:r>
          </w:p>
          <w:p w:rsidR="00311655" w:rsidRPr="00893C26" w:rsidRDefault="00311655" w:rsidP="00311655">
            <w:pPr>
              <w:jc w:val="both"/>
              <w:rPr>
                <w:sz w:val="20"/>
                <w:lang w:val="fr-CA"/>
              </w:rPr>
            </w:pPr>
          </w:p>
        </w:tc>
      </w:tr>
    </w:tbl>
    <w:p w:rsidR="00311655" w:rsidRPr="00893C26" w:rsidRDefault="00311655" w:rsidP="00A743EC">
      <w:pPr>
        <w:jc w:val="both"/>
        <w:rPr>
          <w:sz w:val="20"/>
          <w:lang w:val="fr-CA"/>
        </w:rPr>
      </w:pPr>
    </w:p>
    <w:p w:rsidR="00311655" w:rsidRPr="00893C26" w:rsidRDefault="00893C26" w:rsidP="00A743EC">
      <w:pPr>
        <w:ind w:left="142" w:hanging="142"/>
        <w:jc w:val="both"/>
        <w:rPr>
          <w:sz w:val="20"/>
          <w:lang w:val="fr-CA"/>
        </w:rPr>
      </w:pPr>
      <w:r w:rsidRPr="00893C26">
        <w:rPr>
          <w:sz w:val="20"/>
        </w:rPr>
        <w:pict>
          <v:rect id="_x0000_i1052" style="width:2in;height:1pt" o:hrpct="0" o:hralign="center" o:hrstd="t" o:hrnoshade="t" o:hr="t" fillcolor="black [3213]" stroked="f"/>
        </w:pict>
      </w:r>
    </w:p>
    <w:p w:rsidR="00311655" w:rsidRPr="00893C26" w:rsidRDefault="00311655" w:rsidP="00A743E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645F" w:rsidRPr="00893C26" w:rsidTr="00A743EC">
        <w:tc>
          <w:tcPr>
            <w:tcW w:w="543" w:type="pct"/>
          </w:tcPr>
          <w:p w:rsidR="004B645F" w:rsidRPr="00893C26" w:rsidRDefault="004B645F" w:rsidP="00A743EC">
            <w:pPr>
              <w:jc w:val="both"/>
              <w:rPr>
                <w:sz w:val="20"/>
              </w:rPr>
            </w:pPr>
            <w:r w:rsidRPr="00893C26">
              <w:rPr>
                <w:rStyle w:val="SCCFileNumberChar"/>
                <w:sz w:val="20"/>
                <w:szCs w:val="20"/>
              </w:rPr>
              <w:t>40092</w:t>
            </w:r>
          </w:p>
        </w:tc>
        <w:tc>
          <w:tcPr>
            <w:tcW w:w="4457" w:type="pct"/>
            <w:gridSpan w:val="3"/>
          </w:tcPr>
          <w:p w:rsidR="004B645F" w:rsidRPr="00893C26" w:rsidRDefault="004B645F" w:rsidP="00A743EC">
            <w:pPr>
              <w:pStyle w:val="SCCLsocParty"/>
              <w:jc w:val="both"/>
              <w:rPr>
                <w:b/>
                <w:sz w:val="20"/>
                <w:szCs w:val="20"/>
                <w:lang w:val="en-US"/>
              </w:rPr>
            </w:pPr>
            <w:r w:rsidRPr="00893C26">
              <w:rPr>
                <w:b/>
                <w:sz w:val="20"/>
                <w:szCs w:val="20"/>
                <w:lang w:val="en-US"/>
              </w:rPr>
              <w:t>Todd Elliott Speck v. Ontario Labour Relations Board, Association of Management, Administrative and Professional Crown Employees of Ontario, Ontario Treasury Board Secretariat</w:t>
            </w:r>
          </w:p>
          <w:p w:rsidR="004B645F" w:rsidRPr="00893C26" w:rsidRDefault="004B645F" w:rsidP="00A743EC">
            <w:pPr>
              <w:jc w:val="both"/>
              <w:rPr>
                <w:sz w:val="20"/>
              </w:rPr>
            </w:pPr>
            <w:r w:rsidRPr="00893C26">
              <w:rPr>
                <w:sz w:val="20"/>
              </w:rPr>
              <w:t>(Ont.) (Civil) (By Leave)</w:t>
            </w:r>
          </w:p>
        </w:tc>
      </w:tr>
      <w:tr w:rsidR="004B645F" w:rsidRPr="00893C26" w:rsidTr="00A743EC">
        <w:tc>
          <w:tcPr>
            <w:tcW w:w="5000" w:type="pct"/>
            <w:gridSpan w:val="4"/>
          </w:tcPr>
          <w:p w:rsidR="004B645F" w:rsidRPr="00893C26" w:rsidRDefault="004B645F" w:rsidP="00A743EC">
            <w:pPr>
              <w:jc w:val="both"/>
              <w:rPr>
                <w:sz w:val="20"/>
              </w:rPr>
            </w:pPr>
            <w:r w:rsidRPr="00893C26">
              <w:rPr>
                <w:sz w:val="20"/>
              </w:rPr>
              <w:t xml:space="preserve">Appeals — Leave to appeal — Administrative law — Boards and tribunals — Ontario Labour Relations Board — Judicial review — Delay — Bias — Whether court erred by refusing to consider constitutional challenge — Approach to analogous groups protected by s. 15 of </w:t>
            </w:r>
            <w:r w:rsidRPr="00893C26">
              <w:rPr>
                <w:i/>
                <w:sz w:val="20"/>
              </w:rPr>
              <w:t xml:space="preserve">Charter of Rights and Freedoms </w:t>
            </w:r>
            <w:r w:rsidRPr="00893C26">
              <w:rPr>
                <w:sz w:val="20"/>
              </w:rPr>
              <w:t>— Statutory and common law duties and constraints of Labour Relations Board — Whether tribunal or reviewing court erred by disregarding facts, jurisprudence, submissions and evidence, by failing to address legal issues, by conducting judicial review using framework of special deference, by offering reasons to buttress those of the Labour Relations Board or by showing bias?</w:t>
            </w:r>
          </w:p>
        </w:tc>
      </w:tr>
      <w:tr w:rsidR="004B645F" w:rsidRPr="00893C26" w:rsidTr="00A743EC">
        <w:tc>
          <w:tcPr>
            <w:tcW w:w="5000" w:type="pct"/>
            <w:gridSpan w:val="4"/>
          </w:tcPr>
          <w:p w:rsidR="004B645F" w:rsidRPr="00893C26" w:rsidRDefault="004B645F" w:rsidP="00A743EC">
            <w:pPr>
              <w:jc w:val="both"/>
              <w:rPr>
                <w:sz w:val="20"/>
              </w:rPr>
            </w:pPr>
          </w:p>
          <w:p w:rsidR="004B645F" w:rsidRPr="00893C26" w:rsidRDefault="004B645F" w:rsidP="00A743EC">
            <w:pPr>
              <w:jc w:val="both"/>
              <w:rPr>
                <w:sz w:val="20"/>
              </w:rPr>
            </w:pPr>
            <w:r w:rsidRPr="00893C26">
              <w:rPr>
                <w:sz w:val="20"/>
              </w:rPr>
              <w:t>Mr. Speck’s employment was suspended and then terminated, causing a secondment to terminate. His union filed grievances. After the union withdrew the grievances, Mr. Speck filed an application to the Ontario Labour Relations Board. The Board released an interim decision requiring him to file shorter submissions, then dismissed the application because of delay. An application for judicial review was dismissed. The Court of Appeal denied leave to appeal.</w:t>
            </w:r>
          </w:p>
        </w:tc>
      </w:tr>
      <w:tr w:rsidR="004B645F" w:rsidRPr="00893C26" w:rsidTr="00A743EC">
        <w:tc>
          <w:tcPr>
            <w:tcW w:w="5000" w:type="pct"/>
            <w:gridSpan w:val="4"/>
          </w:tcPr>
          <w:p w:rsidR="004B645F" w:rsidRPr="00893C26" w:rsidRDefault="004B645F" w:rsidP="00A743EC">
            <w:pPr>
              <w:jc w:val="both"/>
              <w:rPr>
                <w:sz w:val="20"/>
              </w:rPr>
            </w:pPr>
          </w:p>
        </w:tc>
      </w:tr>
      <w:tr w:rsidR="004B645F" w:rsidRPr="00893C26" w:rsidTr="00A743EC">
        <w:tc>
          <w:tcPr>
            <w:tcW w:w="2427" w:type="pct"/>
            <w:gridSpan w:val="2"/>
          </w:tcPr>
          <w:p w:rsidR="004B645F" w:rsidRPr="00893C26" w:rsidRDefault="004B645F" w:rsidP="00A743EC">
            <w:pPr>
              <w:jc w:val="both"/>
              <w:rPr>
                <w:sz w:val="20"/>
              </w:rPr>
            </w:pPr>
            <w:r w:rsidRPr="00893C26">
              <w:rPr>
                <w:sz w:val="20"/>
              </w:rPr>
              <w:t>January 25, 2019</w:t>
            </w:r>
          </w:p>
          <w:p w:rsidR="004B645F" w:rsidRPr="00893C26" w:rsidRDefault="004B645F" w:rsidP="00A743EC">
            <w:pPr>
              <w:jc w:val="both"/>
              <w:rPr>
                <w:sz w:val="20"/>
              </w:rPr>
            </w:pPr>
            <w:r w:rsidRPr="00893C26">
              <w:rPr>
                <w:sz w:val="20"/>
              </w:rPr>
              <w:t>Ontario Labour Relations Board</w:t>
            </w:r>
          </w:p>
          <w:p w:rsidR="004B645F" w:rsidRPr="00893C26" w:rsidRDefault="004B645F" w:rsidP="00A743EC">
            <w:pPr>
              <w:jc w:val="both"/>
              <w:rPr>
                <w:sz w:val="20"/>
              </w:rPr>
            </w:pPr>
            <w:r w:rsidRPr="00893C26">
              <w:rPr>
                <w:sz w:val="20"/>
              </w:rPr>
              <w:t>(Vice-Chair C. Rowan)(Unreported)</w:t>
            </w:r>
          </w:p>
          <w:p w:rsidR="004B645F" w:rsidRPr="00893C26" w:rsidRDefault="004B645F" w:rsidP="00A743EC">
            <w:pPr>
              <w:jc w:val="both"/>
              <w:rPr>
                <w:sz w:val="20"/>
              </w:rPr>
            </w:pPr>
          </w:p>
        </w:tc>
        <w:tc>
          <w:tcPr>
            <w:tcW w:w="243" w:type="pct"/>
          </w:tcPr>
          <w:p w:rsidR="004B645F" w:rsidRPr="00893C26" w:rsidRDefault="004B645F" w:rsidP="00A743EC">
            <w:pPr>
              <w:jc w:val="both"/>
              <w:rPr>
                <w:sz w:val="20"/>
              </w:rPr>
            </w:pPr>
          </w:p>
        </w:tc>
        <w:tc>
          <w:tcPr>
            <w:tcW w:w="2330" w:type="pct"/>
          </w:tcPr>
          <w:p w:rsidR="004B645F" w:rsidRPr="00893C26" w:rsidRDefault="004B645F" w:rsidP="00A743EC">
            <w:pPr>
              <w:jc w:val="both"/>
              <w:rPr>
                <w:sz w:val="20"/>
              </w:rPr>
            </w:pPr>
            <w:r w:rsidRPr="00893C26">
              <w:rPr>
                <w:sz w:val="20"/>
              </w:rPr>
              <w:t>Application dismissed for delay</w:t>
            </w:r>
          </w:p>
          <w:p w:rsidR="004B645F" w:rsidRPr="00893C26" w:rsidRDefault="004B645F" w:rsidP="00A743EC">
            <w:pPr>
              <w:jc w:val="both"/>
              <w:rPr>
                <w:sz w:val="20"/>
              </w:rPr>
            </w:pPr>
          </w:p>
        </w:tc>
      </w:tr>
      <w:tr w:rsidR="004B645F" w:rsidRPr="00893C26" w:rsidTr="00A743EC">
        <w:tc>
          <w:tcPr>
            <w:tcW w:w="2427" w:type="pct"/>
            <w:gridSpan w:val="2"/>
          </w:tcPr>
          <w:p w:rsidR="004B645F" w:rsidRPr="00893C26" w:rsidRDefault="004B645F" w:rsidP="00A743EC">
            <w:pPr>
              <w:jc w:val="both"/>
              <w:rPr>
                <w:sz w:val="20"/>
              </w:rPr>
            </w:pPr>
            <w:r w:rsidRPr="00893C26">
              <w:rPr>
                <w:sz w:val="20"/>
              </w:rPr>
              <w:t>April 29, 2021</w:t>
            </w:r>
          </w:p>
          <w:p w:rsidR="004B645F" w:rsidRPr="00893C26" w:rsidRDefault="004B645F" w:rsidP="00A743EC">
            <w:pPr>
              <w:jc w:val="both"/>
              <w:rPr>
                <w:sz w:val="20"/>
              </w:rPr>
            </w:pPr>
            <w:r w:rsidRPr="00893C26">
              <w:rPr>
                <w:sz w:val="20"/>
              </w:rPr>
              <w:t>Ontario Superior Court of Justice</w:t>
            </w:r>
          </w:p>
          <w:p w:rsidR="004B645F" w:rsidRPr="00893C26" w:rsidRDefault="004B645F" w:rsidP="00A743EC">
            <w:pPr>
              <w:jc w:val="both"/>
              <w:rPr>
                <w:sz w:val="20"/>
              </w:rPr>
            </w:pPr>
            <w:r w:rsidRPr="00893C26">
              <w:rPr>
                <w:sz w:val="20"/>
              </w:rPr>
              <w:t>Divisional Court of Ontario</w:t>
            </w:r>
          </w:p>
          <w:p w:rsidR="004B645F" w:rsidRPr="00893C26" w:rsidRDefault="004B645F" w:rsidP="00A743EC">
            <w:pPr>
              <w:jc w:val="both"/>
              <w:rPr>
                <w:sz w:val="20"/>
              </w:rPr>
            </w:pPr>
            <w:r w:rsidRPr="00893C26">
              <w:rPr>
                <w:sz w:val="20"/>
              </w:rPr>
              <w:t>(Patillo, Bloom, Kurke JJ.)</w:t>
            </w:r>
          </w:p>
          <w:p w:rsidR="004B645F" w:rsidRPr="00893C26" w:rsidRDefault="00893C26" w:rsidP="00A743EC">
            <w:pPr>
              <w:jc w:val="both"/>
              <w:rPr>
                <w:sz w:val="20"/>
              </w:rPr>
            </w:pPr>
            <w:hyperlink r:id="rId71" w:history="1">
              <w:r w:rsidR="004B645F" w:rsidRPr="00893C26">
                <w:rPr>
                  <w:rStyle w:val="Hyperlink"/>
                  <w:sz w:val="20"/>
                </w:rPr>
                <w:t>2021 ONSC 3176</w:t>
              </w:r>
            </w:hyperlink>
            <w:r w:rsidR="004B645F" w:rsidRPr="00893C26">
              <w:rPr>
                <w:sz w:val="20"/>
              </w:rPr>
              <w:t>; 371/19</w:t>
            </w:r>
          </w:p>
          <w:p w:rsidR="004B645F" w:rsidRPr="00893C26" w:rsidRDefault="004B645F" w:rsidP="00A743EC">
            <w:pPr>
              <w:jc w:val="both"/>
              <w:rPr>
                <w:sz w:val="20"/>
              </w:rPr>
            </w:pPr>
          </w:p>
        </w:tc>
        <w:tc>
          <w:tcPr>
            <w:tcW w:w="243" w:type="pct"/>
          </w:tcPr>
          <w:p w:rsidR="004B645F" w:rsidRPr="00893C26" w:rsidRDefault="004B645F" w:rsidP="00A743EC">
            <w:pPr>
              <w:jc w:val="both"/>
              <w:rPr>
                <w:sz w:val="20"/>
              </w:rPr>
            </w:pPr>
          </w:p>
        </w:tc>
        <w:tc>
          <w:tcPr>
            <w:tcW w:w="2330" w:type="pct"/>
          </w:tcPr>
          <w:p w:rsidR="004B645F" w:rsidRPr="00893C26" w:rsidRDefault="004B645F" w:rsidP="00A743EC">
            <w:pPr>
              <w:jc w:val="both"/>
              <w:rPr>
                <w:sz w:val="20"/>
              </w:rPr>
            </w:pPr>
            <w:r w:rsidRPr="00893C26">
              <w:rPr>
                <w:sz w:val="20"/>
              </w:rPr>
              <w:t>Application for judicial review dismissed</w:t>
            </w:r>
          </w:p>
          <w:p w:rsidR="004B645F" w:rsidRPr="00893C26" w:rsidRDefault="004B645F" w:rsidP="00A743EC">
            <w:pPr>
              <w:jc w:val="both"/>
              <w:rPr>
                <w:sz w:val="20"/>
              </w:rPr>
            </w:pPr>
          </w:p>
        </w:tc>
      </w:tr>
      <w:tr w:rsidR="004B645F" w:rsidRPr="00893C26" w:rsidTr="00A743EC">
        <w:tc>
          <w:tcPr>
            <w:tcW w:w="2427" w:type="pct"/>
            <w:gridSpan w:val="2"/>
          </w:tcPr>
          <w:p w:rsidR="004B645F" w:rsidRPr="00893C26" w:rsidRDefault="004B645F" w:rsidP="00A743EC">
            <w:pPr>
              <w:jc w:val="both"/>
              <w:rPr>
                <w:sz w:val="20"/>
              </w:rPr>
            </w:pPr>
            <w:r w:rsidRPr="00893C26">
              <w:rPr>
                <w:sz w:val="20"/>
              </w:rPr>
              <w:t>November 24, 2021</w:t>
            </w:r>
          </w:p>
          <w:p w:rsidR="004B645F" w:rsidRPr="00893C26" w:rsidRDefault="004B645F" w:rsidP="00A743EC">
            <w:pPr>
              <w:jc w:val="both"/>
              <w:rPr>
                <w:sz w:val="20"/>
              </w:rPr>
            </w:pPr>
            <w:r w:rsidRPr="00893C26">
              <w:rPr>
                <w:sz w:val="20"/>
              </w:rPr>
              <w:t>Court of Appeal for Ontario</w:t>
            </w:r>
          </w:p>
          <w:p w:rsidR="004B645F" w:rsidRPr="00893C26" w:rsidRDefault="004B645F" w:rsidP="00A743EC">
            <w:pPr>
              <w:jc w:val="both"/>
              <w:rPr>
                <w:sz w:val="20"/>
              </w:rPr>
            </w:pPr>
            <w:r w:rsidRPr="00893C26">
              <w:rPr>
                <w:sz w:val="20"/>
              </w:rPr>
              <w:t>(Strathy, Hourigan, Paciocco JJ.A.)</w:t>
            </w:r>
          </w:p>
          <w:p w:rsidR="004B645F" w:rsidRPr="00893C26" w:rsidRDefault="004B645F" w:rsidP="00A743EC">
            <w:pPr>
              <w:jc w:val="both"/>
              <w:rPr>
                <w:sz w:val="20"/>
              </w:rPr>
            </w:pPr>
            <w:r w:rsidRPr="00893C26">
              <w:rPr>
                <w:sz w:val="20"/>
              </w:rPr>
              <w:t xml:space="preserve">M52552; (Unreported) </w:t>
            </w:r>
          </w:p>
          <w:p w:rsidR="004B645F" w:rsidRPr="00893C26" w:rsidRDefault="004B645F" w:rsidP="00A743EC">
            <w:pPr>
              <w:jc w:val="both"/>
              <w:rPr>
                <w:sz w:val="20"/>
              </w:rPr>
            </w:pPr>
          </w:p>
        </w:tc>
        <w:tc>
          <w:tcPr>
            <w:tcW w:w="243" w:type="pct"/>
          </w:tcPr>
          <w:p w:rsidR="004B645F" w:rsidRPr="00893C26" w:rsidRDefault="004B645F" w:rsidP="00A743EC">
            <w:pPr>
              <w:jc w:val="both"/>
              <w:rPr>
                <w:sz w:val="20"/>
              </w:rPr>
            </w:pPr>
          </w:p>
        </w:tc>
        <w:tc>
          <w:tcPr>
            <w:tcW w:w="2330" w:type="pct"/>
          </w:tcPr>
          <w:p w:rsidR="004B645F" w:rsidRPr="00893C26" w:rsidRDefault="004B645F" w:rsidP="00A743EC">
            <w:pPr>
              <w:jc w:val="both"/>
              <w:rPr>
                <w:sz w:val="20"/>
              </w:rPr>
            </w:pPr>
            <w:r w:rsidRPr="00893C26">
              <w:rPr>
                <w:sz w:val="20"/>
              </w:rPr>
              <w:t>Application for leave to appeal dismissed</w:t>
            </w:r>
          </w:p>
          <w:p w:rsidR="004B645F" w:rsidRPr="00893C26" w:rsidRDefault="004B645F" w:rsidP="00A743EC">
            <w:pPr>
              <w:jc w:val="both"/>
              <w:rPr>
                <w:sz w:val="20"/>
              </w:rPr>
            </w:pPr>
          </w:p>
        </w:tc>
      </w:tr>
      <w:tr w:rsidR="004B645F" w:rsidRPr="00893C26" w:rsidTr="00A743EC">
        <w:tc>
          <w:tcPr>
            <w:tcW w:w="2427" w:type="pct"/>
            <w:gridSpan w:val="2"/>
          </w:tcPr>
          <w:p w:rsidR="004B645F" w:rsidRPr="00893C26" w:rsidRDefault="004B645F" w:rsidP="00A743EC">
            <w:pPr>
              <w:jc w:val="both"/>
              <w:rPr>
                <w:sz w:val="20"/>
              </w:rPr>
            </w:pPr>
            <w:r w:rsidRPr="00893C26">
              <w:rPr>
                <w:sz w:val="20"/>
              </w:rPr>
              <w:t>January 24, 2022</w:t>
            </w:r>
          </w:p>
          <w:p w:rsidR="004B645F" w:rsidRPr="00893C26" w:rsidRDefault="004B645F" w:rsidP="00A743EC">
            <w:pPr>
              <w:jc w:val="both"/>
              <w:rPr>
                <w:sz w:val="20"/>
              </w:rPr>
            </w:pPr>
            <w:r w:rsidRPr="00893C26">
              <w:rPr>
                <w:sz w:val="20"/>
              </w:rPr>
              <w:t>Supreme Court of Canada</w:t>
            </w:r>
          </w:p>
        </w:tc>
        <w:tc>
          <w:tcPr>
            <w:tcW w:w="243" w:type="pct"/>
          </w:tcPr>
          <w:p w:rsidR="004B645F" w:rsidRPr="00893C26" w:rsidRDefault="004B645F" w:rsidP="00A743EC">
            <w:pPr>
              <w:jc w:val="both"/>
              <w:rPr>
                <w:sz w:val="20"/>
              </w:rPr>
            </w:pPr>
          </w:p>
        </w:tc>
        <w:tc>
          <w:tcPr>
            <w:tcW w:w="2330" w:type="pct"/>
          </w:tcPr>
          <w:p w:rsidR="004B645F" w:rsidRPr="00893C26" w:rsidRDefault="004B645F" w:rsidP="00A743EC">
            <w:pPr>
              <w:jc w:val="both"/>
              <w:rPr>
                <w:sz w:val="20"/>
              </w:rPr>
            </w:pPr>
            <w:r w:rsidRPr="00893C26">
              <w:rPr>
                <w:sz w:val="20"/>
              </w:rPr>
              <w:t>Application for leave to appeal filed</w:t>
            </w:r>
          </w:p>
          <w:p w:rsidR="004B645F" w:rsidRPr="00893C26" w:rsidRDefault="004B645F" w:rsidP="00A743EC">
            <w:pPr>
              <w:jc w:val="both"/>
              <w:rPr>
                <w:sz w:val="20"/>
              </w:rPr>
            </w:pPr>
          </w:p>
        </w:tc>
      </w:tr>
    </w:tbl>
    <w:p w:rsidR="004B645F" w:rsidRPr="00893C26" w:rsidRDefault="004B645F" w:rsidP="00A743EC">
      <w:pPr>
        <w:jc w:val="both"/>
        <w:rPr>
          <w:sz w:val="20"/>
        </w:rPr>
      </w:pPr>
    </w:p>
    <w:p w:rsidR="00A743EC" w:rsidRPr="00893C26" w:rsidRDefault="00893C26" w:rsidP="00A743EC">
      <w:pPr>
        <w:jc w:val="both"/>
        <w:rPr>
          <w:sz w:val="20"/>
        </w:rPr>
      </w:pPr>
      <w:r w:rsidRPr="00893C26">
        <w:rPr>
          <w:sz w:val="20"/>
        </w:rPr>
        <w:pict>
          <v:rect id="_x0000_i1053" style="width:2in;height:1pt" o:hrpct="0" o:hralign="center" o:hrstd="t" o:hrnoshade="t" o:hr="t" fillcolor="black [3213]" stroked="f"/>
        </w:pict>
      </w:r>
    </w:p>
    <w:p w:rsidR="00A743EC" w:rsidRPr="00893C26" w:rsidRDefault="00A743EC" w:rsidP="00A743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645F" w:rsidRPr="00893C26" w:rsidTr="00A743EC">
        <w:tc>
          <w:tcPr>
            <w:tcW w:w="543" w:type="pct"/>
          </w:tcPr>
          <w:p w:rsidR="004B645F" w:rsidRPr="00893C26" w:rsidRDefault="004B645F" w:rsidP="00A743EC">
            <w:pPr>
              <w:jc w:val="both"/>
              <w:rPr>
                <w:sz w:val="20"/>
              </w:rPr>
            </w:pPr>
            <w:r w:rsidRPr="00893C26">
              <w:rPr>
                <w:rStyle w:val="SCCFileNumberChar"/>
                <w:sz w:val="20"/>
                <w:szCs w:val="20"/>
              </w:rPr>
              <w:t>40092</w:t>
            </w:r>
          </w:p>
        </w:tc>
        <w:tc>
          <w:tcPr>
            <w:tcW w:w="4457" w:type="pct"/>
            <w:gridSpan w:val="3"/>
          </w:tcPr>
          <w:p w:rsidR="004B645F" w:rsidRPr="00893C26" w:rsidRDefault="004B645F" w:rsidP="00A743EC">
            <w:pPr>
              <w:pStyle w:val="SCCLsocParty"/>
              <w:jc w:val="both"/>
              <w:rPr>
                <w:b/>
                <w:sz w:val="20"/>
                <w:szCs w:val="20"/>
              </w:rPr>
            </w:pPr>
            <w:r w:rsidRPr="00893C26">
              <w:rPr>
                <w:b/>
                <w:sz w:val="20"/>
                <w:szCs w:val="20"/>
              </w:rPr>
              <w:t>Todd Elliott Speck c. Commission des relations de travail de l’Ontario, Association of Management, Administrative and Professional Crown Employees of Ontario, Secrétariat du Conseil du Trésor de l’Ontario</w:t>
            </w:r>
          </w:p>
          <w:p w:rsidR="004B645F" w:rsidRPr="00893C26" w:rsidRDefault="004B645F" w:rsidP="00A743EC">
            <w:pPr>
              <w:jc w:val="both"/>
              <w:rPr>
                <w:sz w:val="20"/>
              </w:rPr>
            </w:pPr>
            <w:r w:rsidRPr="00893C26">
              <w:rPr>
                <w:sz w:val="20"/>
              </w:rPr>
              <w:t>(Ont.) (Civile) (Sur autorisation)</w:t>
            </w:r>
          </w:p>
        </w:tc>
      </w:tr>
      <w:tr w:rsidR="004B645F" w:rsidRPr="00893C26" w:rsidTr="00A743EC">
        <w:tc>
          <w:tcPr>
            <w:tcW w:w="5000" w:type="pct"/>
            <w:gridSpan w:val="4"/>
          </w:tcPr>
          <w:p w:rsidR="004B645F" w:rsidRPr="00893C26" w:rsidRDefault="004B645F" w:rsidP="00A743EC">
            <w:pPr>
              <w:jc w:val="both"/>
              <w:rPr>
                <w:sz w:val="20"/>
                <w:lang w:val="fr-CA"/>
              </w:rPr>
            </w:pPr>
            <w:r w:rsidRPr="00893C26">
              <w:rPr>
                <w:sz w:val="20"/>
                <w:lang w:val="fr-CA"/>
              </w:rPr>
              <w:t xml:space="preserve">Appels — Autorisation d’appel — Droit administratif — Organismes et tribunaux administratifs — Commission des relations de travail de l’Ontario — Contrôle judiciaire — Délais — Partialité — La cour a-t-elle commis une erreur en refusant d’examiner la contestation constitutionnelle? — Façon d’aborder les groupes analogues protégés par l’art. 15 de la </w:t>
            </w:r>
            <w:r w:rsidRPr="00893C26">
              <w:rPr>
                <w:i/>
                <w:sz w:val="20"/>
                <w:lang w:val="fr-CA"/>
              </w:rPr>
              <w:t xml:space="preserve">Charte des droits et libertés </w:t>
            </w:r>
            <w:r w:rsidRPr="00893C26">
              <w:rPr>
                <w:sz w:val="20"/>
                <w:lang w:val="fr-CA"/>
              </w:rPr>
              <w:t>— Obligations et contraintes imposées par la loi et la common law à la Commission des relations de travail — Le tribunal ou la cour de révision a-t-il ou elle fait erreur en négligeant les faits, la jurisprudence, les arguments et la preuve, en n’abordant pas des questions de droit, en effectuant un contrôle judiciaire au moyen d’un cadre de déférence spéciale, en fournissant des motifs pour étayer ceux de la Commission des relations de travail ou en faisant preuve de partialité?</w:t>
            </w:r>
          </w:p>
        </w:tc>
      </w:tr>
      <w:tr w:rsidR="004B645F" w:rsidRPr="00893C26" w:rsidTr="00A743EC">
        <w:tc>
          <w:tcPr>
            <w:tcW w:w="5000" w:type="pct"/>
            <w:gridSpan w:val="4"/>
          </w:tcPr>
          <w:p w:rsidR="004B645F" w:rsidRPr="00893C26" w:rsidRDefault="004B645F" w:rsidP="00A743EC">
            <w:pPr>
              <w:jc w:val="both"/>
              <w:rPr>
                <w:sz w:val="20"/>
                <w:lang w:val="fr-CA"/>
              </w:rPr>
            </w:pPr>
          </w:p>
          <w:p w:rsidR="004B645F" w:rsidRPr="00893C26" w:rsidRDefault="004B645F" w:rsidP="00A743EC">
            <w:pPr>
              <w:jc w:val="both"/>
              <w:rPr>
                <w:sz w:val="20"/>
                <w:lang w:val="fr-CA"/>
              </w:rPr>
            </w:pPr>
            <w:r w:rsidRPr="00893C26">
              <w:rPr>
                <w:sz w:val="20"/>
                <w:lang w:val="fr-CA"/>
              </w:rPr>
              <w:t>Monsieur Speck a été suspendu, puis congédié, ce qui a entraîné la cessation d’un détachement. Son syndicat a déposé des griefs. Après que le syndicat ait retiré les griefs, M. Speck a déposé une requête à la Commission des relations de travail de l’Ontario. Cette dernière a rendu une décision interlocutoire l’obligeant à présenter une argumentation plus brève, puis elle a rejeté la requête pour cause de retard. Une demande de contrôle judiciaire a été rejetée. La Cour d’appel a refusé d’accorder l’autorisation d’appel.</w:t>
            </w:r>
          </w:p>
        </w:tc>
      </w:tr>
      <w:tr w:rsidR="004B645F" w:rsidRPr="00893C26" w:rsidTr="00A743EC">
        <w:tc>
          <w:tcPr>
            <w:tcW w:w="5000" w:type="pct"/>
            <w:gridSpan w:val="4"/>
          </w:tcPr>
          <w:p w:rsidR="004B645F" w:rsidRPr="00893C26" w:rsidRDefault="004B645F" w:rsidP="00A743EC">
            <w:pPr>
              <w:jc w:val="both"/>
              <w:rPr>
                <w:sz w:val="20"/>
                <w:lang w:val="fr-CA"/>
              </w:rPr>
            </w:pPr>
          </w:p>
        </w:tc>
      </w:tr>
      <w:tr w:rsidR="004B645F" w:rsidRPr="00893C26" w:rsidTr="00A743EC">
        <w:tc>
          <w:tcPr>
            <w:tcW w:w="2427" w:type="pct"/>
            <w:gridSpan w:val="2"/>
          </w:tcPr>
          <w:p w:rsidR="004B645F" w:rsidRPr="00893C26" w:rsidRDefault="004B645F" w:rsidP="00A743EC">
            <w:pPr>
              <w:jc w:val="both"/>
              <w:rPr>
                <w:sz w:val="20"/>
                <w:lang w:val="fr-CA"/>
              </w:rPr>
            </w:pPr>
            <w:r w:rsidRPr="00893C26">
              <w:rPr>
                <w:sz w:val="20"/>
                <w:lang w:val="fr-CA"/>
              </w:rPr>
              <w:t>25 janvier 2019</w:t>
            </w:r>
          </w:p>
          <w:p w:rsidR="004B645F" w:rsidRPr="00893C26" w:rsidRDefault="004B645F" w:rsidP="00A743EC">
            <w:pPr>
              <w:jc w:val="both"/>
              <w:rPr>
                <w:sz w:val="20"/>
                <w:lang w:val="fr-CA"/>
              </w:rPr>
            </w:pPr>
            <w:r w:rsidRPr="00893C26">
              <w:rPr>
                <w:sz w:val="20"/>
                <w:lang w:val="fr-CA"/>
              </w:rPr>
              <w:t xml:space="preserve">Commission des relations de travail de l’Ontario </w:t>
            </w:r>
          </w:p>
          <w:p w:rsidR="004B645F" w:rsidRPr="00893C26" w:rsidRDefault="004B645F" w:rsidP="00A743EC">
            <w:pPr>
              <w:jc w:val="both"/>
              <w:rPr>
                <w:sz w:val="20"/>
                <w:lang w:val="fr-CA"/>
              </w:rPr>
            </w:pPr>
            <w:r w:rsidRPr="00893C26">
              <w:rPr>
                <w:sz w:val="20"/>
                <w:lang w:val="fr-CA"/>
              </w:rPr>
              <w:t>(vice-présidente C. Rowan) (non publiée)</w:t>
            </w:r>
          </w:p>
          <w:p w:rsidR="004B645F" w:rsidRPr="00893C26" w:rsidRDefault="004B645F" w:rsidP="00A743EC">
            <w:pPr>
              <w:jc w:val="both"/>
              <w:rPr>
                <w:sz w:val="20"/>
                <w:lang w:val="fr-CA"/>
              </w:rPr>
            </w:pPr>
          </w:p>
        </w:tc>
        <w:tc>
          <w:tcPr>
            <w:tcW w:w="243" w:type="pct"/>
          </w:tcPr>
          <w:p w:rsidR="004B645F" w:rsidRPr="00893C26" w:rsidRDefault="004B645F" w:rsidP="00A743EC">
            <w:pPr>
              <w:jc w:val="both"/>
              <w:rPr>
                <w:sz w:val="20"/>
                <w:lang w:val="fr-CA"/>
              </w:rPr>
            </w:pPr>
          </w:p>
        </w:tc>
        <w:tc>
          <w:tcPr>
            <w:tcW w:w="2330" w:type="pct"/>
          </w:tcPr>
          <w:p w:rsidR="004B645F" w:rsidRPr="00893C26" w:rsidRDefault="004B645F" w:rsidP="00A743EC">
            <w:pPr>
              <w:jc w:val="both"/>
              <w:rPr>
                <w:sz w:val="20"/>
                <w:lang w:val="fr-CA"/>
              </w:rPr>
            </w:pPr>
            <w:r w:rsidRPr="00893C26">
              <w:rPr>
                <w:sz w:val="20"/>
                <w:lang w:val="fr-CA"/>
              </w:rPr>
              <w:t xml:space="preserve">Rejet de la requête pour cause de retard </w:t>
            </w:r>
          </w:p>
          <w:p w:rsidR="004B645F" w:rsidRPr="00893C26" w:rsidRDefault="004B645F" w:rsidP="00A743EC">
            <w:pPr>
              <w:jc w:val="both"/>
              <w:rPr>
                <w:sz w:val="20"/>
                <w:lang w:val="fr-CA"/>
              </w:rPr>
            </w:pPr>
          </w:p>
        </w:tc>
      </w:tr>
      <w:tr w:rsidR="004B645F" w:rsidRPr="00893C26" w:rsidTr="00A743EC">
        <w:tc>
          <w:tcPr>
            <w:tcW w:w="2427" w:type="pct"/>
            <w:gridSpan w:val="2"/>
          </w:tcPr>
          <w:p w:rsidR="004B645F" w:rsidRPr="00893C26" w:rsidRDefault="004B645F" w:rsidP="00A743EC">
            <w:pPr>
              <w:jc w:val="both"/>
              <w:rPr>
                <w:sz w:val="20"/>
                <w:lang w:val="fr-CA"/>
              </w:rPr>
            </w:pPr>
            <w:r w:rsidRPr="00893C26">
              <w:rPr>
                <w:sz w:val="20"/>
                <w:lang w:val="fr-CA"/>
              </w:rPr>
              <w:t>29 avril 2021</w:t>
            </w:r>
          </w:p>
          <w:p w:rsidR="004B645F" w:rsidRPr="00893C26" w:rsidRDefault="004B645F" w:rsidP="00A743EC">
            <w:pPr>
              <w:jc w:val="both"/>
              <w:rPr>
                <w:sz w:val="20"/>
                <w:lang w:val="fr-CA"/>
              </w:rPr>
            </w:pPr>
            <w:r w:rsidRPr="00893C26">
              <w:rPr>
                <w:sz w:val="20"/>
                <w:lang w:val="fr-CA"/>
              </w:rPr>
              <w:t xml:space="preserve">Cour supérieure de justice de l’Ontario </w:t>
            </w:r>
          </w:p>
          <w:p w:rsidR="004B645F" w:rsidRPr="00893C26" w:rsidRDefault="004B645F" w:rsidP="00A743EC">
            <w:pPr>
              <w:jc w:val="both"/>
              <w:rPr>
                <w:sz w:val="20"/>
                <w:lang w:val="fr-CA"/>
              </w:rPr>
            </w:pPr>
            <w:r w:rsidRPr="00893C26">
              <w:rPr>
                <w:sz w:val="20"/>
                <w:lang w:val="fr-CA"/>
              </w:rPr>
              <w:t>Cour divisionnaire de l’Ontario</w:t>
            </w:r>
          </w:p>
          <w:p w:rsidR="004B645F" w:rsidRPr="00893C26" w:rsidRDefault="004B645F" w:rsidP="00A743EC">
            <w:pPr>
              <w:jc w:val="both"/>
              <w:rPr>
                <w:sz w:val="20"/>
                <w:lang w:val="fr-CA"/>
              </w:rPr>
            </w:pPr>
            <w:r w:rsidRPr="00893C26">
              <w:rPr>
                <w:sz w:val="20"/>
                <w:lang w:val="fr-CA"/>
              </w:rPr>
              <w:t>(juges Patillo, Bloom et Kurke)</w:t>
            </w:r>
          </w:p>
          <w:p w:rsidR="004B645F" w:rsidRPr="00893C26" w:rsidRDefault="00893C26" w:rsidP="00A743EC">
            <w:pPr>
              <w:jc w:val="both"/>
              <w:rPr>
                <w:sz w:val="20"/>
              </w:rPr>
            </w:pPr>
            <w:hyperlink r:id="rId72" w:history="1">
              <w:r w:rsidR="004B645F" w:rsidRPr="00893C26">
                <w:rPr>
                  <w:rStyle w:val="Hyperlink"/>
                  <w:sz w:val="20"/>
                </w:rPr>
                <w:t>2021 ONSC 3176</w:t>
              </w:r>
            </w:hyperlink>
            <w:r w:rsidR="004B645F" w:rsidRPr="00893C26">
              <w:rPr>
                <w:sz w:val="20"/>
              </w:rPr>
              <w:t>; 371/19</w:t>
            </w:r>
          </w:p>
          <w:p w:rsidR="004B645F" w:rsidRPr="00893C26" w:rsidRDefault="004B645F" w:rsidP="00A743EC">
            <w:pPr>
              <w:jc w:val="both"/>
              <w:rPr>
                <w:sz w:val="20"/>
              </w:rPr>
            </w:pPr>
          </w:p>
        </w:tc>
        <w:tc>
          <w:tcPr>
            <w:tcW w:w="243" w:type="pct"/>
          </w:tcPr>
          <w:p w:rsidR="004B645F" w:rsidRPr="00893C26" w:rsidRDefault="004B645F" w:rsidP="00A743EC">
            <w:pPr>
              <w:jc w:val="both"/>
              <w:rPr>
                <w:sz w:val="20"/>
              </w:rPr>
            </w:pPr>
          </w:p>
        </w:tc>
        <w:tc>
          <w:tcPr>
            <w:tcW w:w="2330" w:type="pct"/>
          </w:tcPr>
          <w:p w:rsidR="004B645F" w:rsidRPr="00893C26" w:rsidRDefault="004B645F" w:rsidP="00A743EC">
            <w:pPr>
              <w:jc w:val="both"/>
              <w:rPr>
                <w:sz w:val="20"/>
                <w:lang w:val="fr-CA"/>
              </w:rPr>
            </w:pPr>
            <w:r w:rsidRPr="00893C26">
              <w:rPr>
                <w:sz w:val="20"/>
                <w:lang w:val="fr-CA"/>
              </w:rPr>
              <w:t>Rejet de la demande de contrôle judiciaire</w:t>
            </w:r>
          </w:p>
          <w:p w:rsidR="004B645F" w:rsidRPr="00893C26" w:rsidRDefault="004B645F" w:rsidP="00A743EC">
            <w:pPr>
              <w:jc w:val="both"/>
              <w:rPr>
                <w:sz w:val="20"/>
                <w:lang w:val="fr-CA"/>
              </w:rPr>
            </w:pPr>
          </w:p>
        </w:tc>
      </w:tr>
      <w:tr w:rsidR="004B645F" w:rsidRPr="00893C26" w:rsidTr="00A743EC">
        <w:tc>
          <w:tcPr>
            <w:tcW w:w="2427" w:type="pct"/>
            <w:gridSpan w:val="2"/>
          </w:tcPr>
          <w:p w:rsidR="004B645F" w:rsidRPr="00893C26" w:rsidRDefault="004B645F" w:rsidP="00A743EC">
            <w:pPr>
              <w:jc w:val="both"/>
              <w:rPr>
                <w:sz w:val="20"/>
                <w:lang w:val="fr-CA"/>
              </w:rPr>
            </w:pPr>
            <w:r w:rsidRPr="00893C26">
              <w:rPr>
                <w:sz w:val="20"/>
                <w:lang w:val="fr-CA"/>
              </w:rPr>
              <w:t>24 novembre 2021</w:t>
            </w:r>
          </w:p>
          <w:p w:rsidR="004B645F" w:rsidRPr="00893C26" w:rsidRDefault="004B645F" w:rsidP="00A743EC">
            <w:pPr>
              <w:jc w:val="both"/>
              <w:rPr>
                <w:sz w:val="20"/>
                <w:lang w:val="fr-CA"/>
              </w:rPr>
            </w:pPr>
            <w:r w:rsidRPr="00893C26">
              <w:rPr>
                <w:sz w:val="20"/>
                <w:lang w:val="fr-CA"/>
              </w:rPr>
              <w:t>Cour d’appel de l’Ontario</w:t>
            </w:r>
          </w:p>
          <w:p w:rsidR="004B645F" w:rsidRPr="00893C26" w:rsidRDefault="004B645F" w:rsidP="00A743EC">
            <w:pPr>
              <w:jc w:val="both"/>
              <w:rPr>
                <w:sz w:val="20"/>
                <w:lang w:val="fr-CA"/>
              </w:rPr>
            </w:pPr>
            <w:r w:rsidRPr="00893C26">
              <w:rPr>
                <w:sz w:val="20"/>
                <w:lang w:val="fr-CA"/>
              </w:rPr>
              <w:t>(juges Strathy, Hourigan et Paciocco)</w:t>
            </w:r>
          </w:p>
          <w:p w:rsidR="004B645F" w:rsidRPr="00893C26" w:rsidRDefault="004B645F" w:rsidP="00A743EC">
            <w:pPr>
              <w:jc w:val="both"/>
              <w:rPr>
                <w:sz w:val="20"/>
              </w:rPr>
            </w:pPr>
            <w:r w:rsidRPr="00893C26">
              <w:rPr>
                <w:sz w:val="20"/>
              </w:rPr>
              <w:t xml:space="preserve">M52552; (non publiée) </w:t>
            </w:r>
          </w:p>
          <w:p w:rsidR="004B645F" w:rsidRPr="00893C26" w:rsidRDefault="004B645F" w:rsidP="00A743EC">
            <w:pPr>
              <w:jc w:val="both"/>
              <w:rPr>
                <w:sz w:val="20"/>
              </w:rPr>
            </w:pPr>
          </w:p>
        </w:tc>
        <w:tc>
          <w:tcPr>
            <w:tcW w:w="243" w:type="pct"/>
          </w:tcPr>
          <w:p w:rsidR="004B645F" w:rsidRPr="00893C26" w:rsidRDefault="004B645F" w:rsidP="00A743EC">
            <w:pPr>
              <w:jc w:val="both"/>
              <w:rPr>
                <w:sz w:val="20"/>
              </w:rPr>
            </w:pPr>
          </w:p>
        </w:tc>
        <w:tc>
          <w:tcPr>
            <w:tcW w:w="2330" w:type="pct"/>
          </w:tcPr>
          <w:p w:rsidR="004B645F" w:rsidRPr="00893C26" w:rsidRDefault="004B645F" w:rsidP="00A743EC">
            <w:pPr>
              <w:jc w:val="both"/>
              <w:rPr>
                <w:sz w:val="20"/>
                <w:lang w:val="fr-CA"/>
              </w:rPr>
            </w:pPr>
            <w:r w:rsidRPr="00893C26">
              <w:rPr>
                <w:sz w:val="20"/>
                <w:lang w:val="fr-CA"/>
              </w:rPr>
              <w:t xml:space="preserve">Rejet de la requête en autorisation d’appel </w:t>
            </w:r>
          </w:p>
          <w:p w:rsidR="004B645F" w:rsidRPr="00893C26" w:rsidRDefault="004B645F" w:rsidP="00A743EC">
            <w:pPr>
              <w:jc w:val="both"/>
              <w:rPr>
                <w:sz w:val="20"/>
                <w:lang w:val="fr-CA"/>
              </w:rPr>
            </w:pPr>
          </w:p>
        </w:tc>
      </w:tr>
      <w:tr w:rsidR="004B645F" w:rsidRPr="00893C26" w:rsidTr="00A743EC">
        <w:tc>
          <w:tcPr>
            <w:tcW w:w="2427" w:type="pct"/>
            <w:gridSpan w:val="2"/>
          </w:tcPr>
          <w:p w:rsidR="004B645F" w:rsidRPr="00893C26" w:rsidRDefault="004B645F" w:rsidP="00A743EC">
            <w:pPr>
              <w:jc w:val="both"/>
              <w:rPr>
                <w:sz w:val="20"/>
                <w:lang w:val="fr-CA"/>
              </w:rPr>
            </w:pPr>
            <w:r w:rsidRPr="00893C26">
              <w:rPr>
                <w:sz w:val="20"/>
                <w:lang w:val="fr-CA"/>
              </w:rPr>
              <w:t>24 janvier 2022</w:t>
            </w:r>
          </w:p>
          <w:p w:rsidR="004B645F" w:rsidRPr="00893C26" w:rsidRDefault="004B645F" w:rsidP="00A743EC">
            <w:pPr>
              <w:jc w:val="both"/>
              <w:rPr>
                <w:sz w:val="20"/>
                <w:lang w:val="fr-CA"/>
              </w:rPr>
            </w:pPr>
            <w:r w:rsidRPr="00893C26">
              <w:rPr>
                <w:sz w:val="20"/>
                <w:lang w:val="fr-CA"/>
              </w:rPr>
              <w:t>Cour suprême du Canada</w:t>
            </w:r>
          </w:p>
        </w:tc>
        <w:tc>
          <w:tcPr>
            <w:tcW w:w="243" w:type="pct"/>
          </w:tcPr>
          <w:p w:rsidR="004B645F" w:rsidRPr="00893C26" w:rsidRDefault="004B645F" w:rsidP="00A743EC">
            <w:pPr>
              <w:jc w:val="both"/>
              <w:rPr>
                <w:sz w:val="20"/>
                <w:lang w:val="fr-CA"/>
              </w:rPr>
            </w:pPr>
          </w:p>
        </w:tc>
        <w:tc>
          <w:tcPr>
            <w:tcW w:w="2330" w:type="pct"/>
          </w:tcPr>
          <w:p w:rsidR="004B645F" w:rsidRPr="00893C26" w:rsidRDefault="004B645F" w:rsidP="00A743EC">
            <w:pPr>
              <w:jc w:val="both"/>
              <w:rPr>
                <w:sz w:val="20"/>
                <w:lang w:val="fr-CA"/>
              </w:rPr>
            </w:pPr>
            <w:r w:rsidRPr="00893C26">
              <w:rPr>
                <w:sz w:val="20"/>
                <w:lang w:val="fr-CA"/>
              </w:rPr>
              <w:t xml:space="preserve">Dépôt de la demande d’autorisation d’appel </w:t>
            </w:r>
          </w:p>
          <w:p w:rsidR="004B645F" w:rsidRPr="00893C26" w:rsidRDefault="004B645F" w:rsidP="00A743EC">
            <w:pPr>
              <w:jc w:val="both"/>
              <w:rPr>
                <w:sz w:val="20"/>
                <w:lang w:val="fr-CA"/>
              </w:rPr>
            </w:pPr>
          </w:p>
        </w:tc>
      </w:tr>
    </w:tbl>
    <w:p w:rsidR="004B645F" w:rsidRPr="00893C26" w:rsidRDefault="004B645F" w:rsidP="00A743EC">
      <w:pPr>
        <w:jc w:val="both"/>
        <w:rPr>
          <w:sz w:val="20"/>
          <w:lang w:val="fr-CA"/>
        </w:rPr>
      </w:pPr>
    </w:p>
    <w:p w:rsidR="00A743EC" w:rsidRPr="00893C26" w:rsidRDefault="00893C26" w:rsidP="00A743EC">
      <w:pPr>
        <w:jc w:val="both"/>
        <w:rPr>
          <w:sz w:val="20"/>
          <w:lang w:val="fr-CA"/>
        </w:rPr>
      </w:pPr>
      <w:r w:rsidRPr="00893C26">
        <w:rPr>
          <w:sz w:val="20"/>
        </w:rPr>
        <w:pict>
          <v:rect id="_x0000_i1054" style="width:2in;height:1pt" o:hrpct="0" o:hralign="center" o:hrstd="t" o:hrnoshade="t" o:hr="t" fillcolor="black [3213]" stroked="f"/>
        </w:pict>
      </w:r>
    </w:p>
    <w:p w:rsidR="00311655" w:rsidRPr="00893C26" w:rsidRDefault="00311655" w:rsidP="00A743E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645F" w:rsidRPr="00893C26" w:rsidTr="00A743EC">
        <w:tc>
          <w:tcPr>
            <w:tcW w:w="543" w:type="pct"/>
          </w:tcPr>
          <w:p w:rsidR="004B645F" w:rsidRPr="00893C26" w:rsidRDefault="004B645F" w:rsidP="00A743EC">
            <w:pPr>
              <w:jc w:val="both"/>
              <w:rPr>
                <w:sz w:val="20"/>
              </w:rPr>
            </w:pPr>
            <w:r w:rsidRPr="00893C26">
              <w:rPr>
                <w:rStyle w:val="SCCFileNumberChar"/>
                <w:sz w:val="20"/>
                <w:szCs w:val="20"/>
              </w:rPr>
              <w:t>40116</w:t>
            </w:r>
          </w:p>
        </w:tc>
        <w:tc>
          <w:tcPr>
            <w:tcW w:w="4457" w:type="pct"/>
            <w:gridSpan w:val="3"/>
          </w:tcPr>
          <w:p w:rsidR="004B645F" w:rsidRPr="00893C26" w:rsidRDefault="004B645F" w:rsidP="00A743EC">
            <w:pPr>
              <w:pStyle w:val="SCCLsocParty"/>
              <w:jc w:val="both"/>
              <w:rPr>
                <w:b/>
                <w:sz w:val="20"/>
                <w:szCs w:val="20"/>
                <w:lang w:val="en-US"/>
              </w:rPr>
            </w:pPr>
            <w:r w:rsidRPr="00893C26">
              <w:rPr>
                <w:b/>
                <w:sz w:val="20"/>
                <w:szCs w:val="20"/>
                <w:lang w:val="en-US"/>
              </w:rPr>
              <w:t>Elisa Angela Adili and Anthony Adili v. Homes of Distinction Inc., Homes of Distinction (2002) Inc. and Roberto Venier</w:t>
            </w:r>
          </w:p>
          <w:p w:rsidR="004B645F" w:rsidRPr="00893C26" w:rsidRDefault="004B645F" w:rsidP="00A743EC">
            <w:pPr>
              <w:jc w:val="both"/>
              <w:rPr>
                <w:sz w:val="20"/>
              </w:rPr>
            </w:pPr>
            <w:r w:rsidRPr="00893C26">
              <w:rPr>
                <w:sz w:val="20"/>
              </w:rPr>
              <w:t>(Ont.) (Civil) (By Leave)</w:t>
            </w:r>
          </w:p>
        </w:tc>
      </w:tr>
      <w:tr w:rsidR="004B645F" w:rsidRPr="00893C26" w:rsidTr="00A743EC">
        <w:tc>
          <w:tcPr>
            <w:tcW w:w="5000" w:type="pct"/>
            <w:gridSpan w:val="4"/>
          </w:tcPr>
          <w:p w:rsidR="004B645F" w:rsidRPr="00893C26" w:rsidRDefault="004B645F" w:rsidP="00A743EC">
            <w:pPr>
              <w:jc w:val="both"/>
              <w:rPr>
                <w:sz w:val="20"/>
              </w:rPr>
            </w:pPr>
            <w:r w:rsidRPr="00893C26">
              <w:rPr>
                <w:sz w:val="20"/>
              </w:rPr>
              <w:t xml:space="preserve">Evidence </w:t>
            </w:r>
            <w:r w:rsidRPr="00893C26">
              <w:rPr>
                <w:i/>
                <w:iCs/>
                <w:color w:val="000000"/>
                <w:sz w:val="20"/>
              </w:rPr>
              <w:t xml:space="preserve">— </w:t>
            </w:r>
            <w:r w:rsidRPr="00893C26">
              <w:rPr>
                <w:iCs/>
                <w:color w:val="000000"/>
                <w:sz w:val="20"/>
              </w:rPr>
              <w:t xml:space="preserve">Expert evidence — Structural stability of residential property and technical compliance with applicable </w:t>
            </w:r>
            <w:r w:rsidRPr="00893C26">
              <w:rPr>
                <w:i/>
                <w:iCs/>
                <w:color w:val="000000"/>
                <w:sz w:val="20"/>
              </w:rPr>
              <w:t>Building Code</w:t>
            </w:r>
            <w:r w:rsidRPr="00893C26">
              <w:rPr>
                <w:iCs/>
                <w:color w:val="000000"/>
                <w:sz w:val="20"/>
              </w:rPr>
              <w:t xml:space="preserve"> </w:t>
            </w:r>
            <w:r w:rsidRPr="00893C26">
              <w:rPr>
                <w:i/>
                <w:iCs/>
                <w:color w:val="000000"/>
                <w:sz w:val="20"/>
              </w:rPr>
              <w:t>—</w:t>
            </w:r>
            <w:r w:rsidRPr="00893C26">
              <w:rPr>
                <w:iCs/>
                <w:color w:val="000000"/>
                <w:sz w:val="20"/>
              </w:rPr>
              <w:t xml:space="preserve"> Appeals </w:t>
            </w:r>
            <w:r w:rsidRPr="00893C26">
              <w:rPr>
                <w:i/>
                <w:iCs/>
                <w:color w:val="000000"/>
                <w:sz w:val="20"/>
              </w:rPr>
              <w:t xml:space="preserve">— </w:t>
            </w:r>
            <w:r w:rsidRPr="00893C26">
              <w:rPr>
                <w:iCs/>
                <w:color w:val="000000"/>
                <w:sz w:val="20"/>
              </w:rPr>
              <w:t>Scope of appellate deference</w:t>
            </w:r>
            <w:r w:rsidRPr="00893C26">
              <w:rPr>
                <w:i/>
                <w:iCs/>
                <w:color w:val="000000"/>
                <w:sz w:val="20"/>
              </w:rPr>
              <w:t xml:space="preserve"> —</w:t>
            </w:r>
            <w:r w:rsidRPr="00893C26">
              <w:rPr>
                <w:iCs/>
                <w:color w:val="000000"/>
                <w:sz w:val="20"/>
              </w:rPr>
              <w:t xml:space="preserve"> Construction project gone awry and resulting in construction lien claim being launched by builder and construction deficiency counterclaims being launched by residential owners </w:t>
            </w:r>
            <w:r w:rsidRPr="00893C26">
              <w:rPr>
                <w:i/>
                <w:iCs/>
                <w:color w:val="000000"/>
                <w:sz w:val="20"/>
              </w:rPr>
              <w:t xml:space="preserve">— </w:t>
            </w:r>
            <w:r w:rsidRPr="00893C26">
              <w:rPr>
                <w:iCs/>
                <w:color w:val="000000"/>
                <w:sz w:val="20"/>
              </w:rPr>
              <w:t xml:space="preserve">Builder largely successful at trial, and Court of Appeal declining to interfere with trial findings </w:t>
            </w:r>
            <w:r w:rsidRPr="00893C26">
              <w:rPr>
                <w:i/>
                <w:iCs/>
                <w:color w:val="000000"/>
                <w:sz w:val="20"/>
              </w:rPr>
              <w:t xml:space="preserve">— </w:t>
            </w:r>
            <w:r w:rsidRPr="00893C26">
              <w:rPr>
                <w:iCs/>
                <w:color w:val="000000"/>
                <w:sz w:val="20"/>
              </w:rPr>
              <w:t>Residential owners claiming</w:t>
            </w:r>
            <w:r w:rsidRPr="00893C26">
              <w:rPr>
                <w:i/>
                <w:iCs/>
                <w:color w:val="000000"/>
                <w:sz w:val="20"/>
              </w:rPr>
              <w:t xml:space="preserve"> </w:t>
            </w:r>
            <w:r w:rsidRPr="00893C26">
              <w:rPr>
                <w:iCs/>
                <w:color w:val="000000"/>
                <w:sz w:val="20"/>
              </w:rPr>
              <w:t>that</w:t>
            </w:r>
            <w:r w:rsidRPr="00893C26">
              <w:rPr>
                <w:i/>
                <w:iCs/>
                <w:color w:val="000000"/>
                <w:sz w:val="20"/>
              </w:rPr>
              <w:t xml:space="preserve"> </w:t>
            </w:r>
            <w:r w:rsidRPr="00893C26">
              <w:rPr>
                <w:sz w:val="20"/>
              </w:rPr>
              <w:t>uncontroverted</w:t>
            </w:r>
            <w:r w:rsidRPr="00893C26">
              <w:rPr>
                <w:spacing w:val="-8"/>
                <w:sz w:val="20"/>
              </w:rPr>
              <w:t xml:space="preserve"> </w:t>
            </w:r>
            <w:r w:rsidRPr="00893C26">
              <w:rPr>
                <w:sz w:val="20"/>
              </w:rPr>
              <w:t>and</w:t>
            </w:r>
            <w:r w:rsidRPr="00893C26">
              <w:rPr>
                <w:spacing w:val="-8"/>
                <w:sz w:val="20"/>
              </w:rPr>
              <w:t xml:space="preserve"> </w:t>
            </w:r>
            <w:r w:rsidRPr="00893C26">
              <w:rPr>
                <w:sz w:val="20"/>
              </w:rPr>
              <w:t>agreed-upon</w:t>
            </w:r>
            <w:r w:rsidRPr="00893C26">
              <w:rPr>
                <w:spacing w:val="-11"/>
                <w:sz w:val="20"/>
              </w:rPr>
              <w:t xml:space="preserve"> </w:t>
            </w:r>
            <w:r w:rsidRPr="00893C26">
              <w:rPr>
                <w:sz w:val="20"/>
              </w:rPr>
              <w:t>expert</w:t>
            </w:r>
            <w:r w:rsidRPr="00893C26">
              <w:rPr>
                <w:spacing w:val="-11"/>
                <w:sz w:val="20"/>
              </w:rPr>
              <w:t xml:space="preserve"> </w:t>
            </w:r>
            <w:r w:rsidRPr="00893C26">
              <w:rPr>
                <w:sz w:val="20"/>
              </w:rPr>
              <w:t xml:space="preserve">evidence was disregarded by courts below </w:t>
            </w:r>
            <w:r w:rsidRPr="00893C26">
              <w:rPr>
                <w:i/>
                <w:iCs/>
                <w:color w:val="000000"/>
                <w:sz w:val="20"/>
              </w:rPr>
              <w:t>—</w:t>
            </w:r>
            <w:r w:rsidRPr="00893C26">
              <w:rPr>
                <w:iCs/>
                <w:color w:val="000000"/>
                <w:sz w:val="20"/>
              </w:rPr>
              <w:t xml:space="preserve"> Does the application for leave to appeal raise issues of public importance?</w:t>
            </w:r>
          </w:p>
        </w:tc>
      </w:tr>
      <w:tr w:rsidR="004B645F" w:rsidRPr="00893C26" w:rsidTr="00A743EC">
        <w:tc>
          <w:tcPr>
            <w:tcW w:w="5000" w:type="pct"/>
            <w:gridSpan w:val="4"/>
          </w:tcPr>
          <w:p w:rsidR="004B645F" w:rsidRPr="00893C26" w:rsidRDefault="004B645F" w:rsidP="00A743EC">
            <w:pPr>
              <w:jc w:val="both"/>
              <w:rPr>
                <w:sz w:val="20"/>
              </w:rPr>
            </w:pPr>
          </w:p>
          <w:p w:rsidR="004B645F" w:rsidRPr="00893C26" w:rsidRDefault="004B645F" w:rsidP="00A743EC">
            <w:pPr>
              <w:jc w:val="both"/>
              <w:rPr>
                <w:sz w:val="20"/>
              </w:rPr>
            </w:pPr>
            <w:r w:rsidRPr="00893C26">
              <w:rPr>
                <w:sz w:val="20"/>
              </w:rPr>
              <w:t xml:space="preserve">Around 2007, the applicants (the “Adilis”) hired the respondents (the “builder”) to renovate their home. The relationship between the parties broke down, and the Adilis hired other contractors to complete the renovation and to rectify alleged deficiencies. The builder commenced a construction lien action to recover from the Adilis a balance claimed as owing. The Adilis denied liability and counterclaimed, alleging incomplete and deficient work. </w:t>
            </w:r>
            <w:r w:rsidRPr="00893C26">
              <w:rPr>
                <w:color w:val="000000"/>
                <w:sz w:val="20"/>
              </w:rPr>
              <w:t xml:space="preserve">The trial judge found the Adilis liable to the builder for most of the amount claimed, and dismissed the Adilis’ counterclaim. In coming to these conclusions, the trial judge preferred the evidence of the builder’s expert as opposed to the Adilis’ expert. The Court of Appeal dismissed the Adilis’ appeal, having found no palpable and overriding error in the trial judge’s treatment of the expert evidence. It held that the trial judge provided cogent reasons for why he discounted the evidence of the Adilis’ expert, and that these were credibility and reliability findings to which deference is owed on appeal. </w:t>
            </w:r>
          </w:p>
        </w:tc>
      </w:tr>
      <w:tr w:rsidR="004B645F" w:rsidRPr="00893C26" w:rsidTr="00A743EC">
        <w:tc>
          <w:tcPr>
            <w:tcW w:w="5000" w:type="pct"/>
            <w:gridSpan w:val="4"/>
          </w:tcPr>
          <w:p w:rsidR="004B645F" w:rsidRPr="00893C26" w:rsidRDefault="004B645F" w:rsidP="00A743EC">
            <w:pPr>
              <w:jc w:val="both"/>
              <w:rPr>
                <w:sz w:val="20"/>
              </w:rPr>
            </w:pPr>
          </w:p>
        </w:tc>
      </w:tr>
      <w:tr w:rsidR="004B645F" w:rsidRPr="00893C26" w:rsidTr="00A743EC">
        <w:tc>
          <w:tcPr>
            <w:tcW w:w="2427" w:type="pct"/>
            <w:gridSpan w:val="2"/>
          </w:tcPr>
          <w:p w:rsidR="004B645F" w:rsidRPr="00893C26" w:rsidRDefault="004B645F" w:rsidP="00A743EC">
            <w:pPr>
              <w:jc w:val="both"/>
              <w:rPr>
                <w:sz w:val="20"/>
              </w:rPr>
            </w:pPr>
            <w:r w:rsidRPr="00893C26">
              <w:rPr>
                <w:sz w:val="20"/>
              </w:rPr>
              <w:t>September 16, 2020</w:t>
            </w:r>
          </w:p>
          <w:p w:rsidR="004B645F" w:rsidRPr="00893C26" w:rsidRDefault="004B645F" w:rsidP="00A743EC">
            <w:pPr>
              <w:jc w:val="both"/>
              <w:rPr>
                <w:sz w:val="20"/>
              </w:rPr>
            </w:pPr>
            <w:r w:rsidRPr="00893C26">
              <w:rPr>
                <w:sz w:val="20"/>
              </w:rPr>
              <w:t>Ontario Superior Court of Justice</w:t>
            </w:r>
          </w:p>
          <w:p w:rsidR="004B645F" w:rsidRPr="00893C26" w:rsidRDefault="004B645F" w:rsidP="00A743EC">
            <w:pPr>
              <w:jc w:val="both"/>
              <w:rPr>
                <w:sz w:val="20"/>
              </w:rPr>
            </w:pPr>
            <w:r w:rsidRPr="00893C26">
              <w:rPr>
                <w:sz w:val="20"/>
              </w:rPr>
              <w:t>(Lococo J.)</w:t>
            </w:r>
          </w:p>
          <w:p w:rsidR="004B645F" w:rsidRPr="00893C26" w:rsidRDefault="00893C26" w:rsidP="00A743EC">
            <w:pPr>
              <w:jc w:val="both"/>
              <w:rPr>
                <w:sz w:val="20"/>
              </w:rPr>
            </w:pPr>
            <w:hyperlink r:id="rId73" w:history="1">
              <w:r w:rsidR="004B645F" w:rsidRPr="00893C26">
                <w:rPr>
                  <w:rStyle w:val="Hyperlink"/>
                  <w:sz w:val="20"/>
                </w:rPr>
                <w:t>2020 ONSC 5344</w:t>
              </w:r>
            </w:hyperlink>
            <w:r w:rsidR="004B645F" w:rsidRPr="00893C26">
              <w:rPr>
                <w:sz w:val="20"/>
              </w:rPr>
              <w:t xml:space="preserve"> </w:t>
            </w:r>
          </w:p>
          <w:p w:rsidR="004B645F" w:rsidRPr="00893C26" w:rsidRDefault="004B645F" w:rsidP="00A743EC">
            <w:pPr>
              <w:jc w:val="both"/>
              <w:rPr>
                <w:sz w:val="20"/>
              </w:rPr>
            </w:pPr>
          </w:p>
        </w:tc>
        <w:tc>
          <w:tcPr>
            <w:tcW w:w="243" w:type="pct"/>
          </w:tcPr>
          <w:p w:rsidR="004B645F" w:rsidRPr="00893C26" w:rsidRDefault="004B645F" w:rsidP="00A743EC">
            <w:pPr>
              <w:jc w:val="both"/>
              <w:rPr>
                <w:sz w:val="20"/>
              </w:rPr>
            </w:pPr>
          </w:p>
        </w:tc>
        <w:tc>
          <w:tcPr>
            <w:tcW w:w="2330" w:type="pct"/>
          </w:tcPr>
          <w:p w:rsidR="004B645F" w:rsidRPr="00893C26" w:rsidRDefault="004B645F" w:rsidP="00A743EC">
            <w:pPr>
              <w:jc w:val="both"/>
              <w:rPr>
                <w:sz w:val="20"/>
              </w:rPr>
            </w:pPr>
            <w:r w:rsidRPr="00893C26">
              <w:rPr>
                <w:sz w:val="20"/>
              </w:rPr>
              <w:t>Construction lien claim granted; construction deficiency counterclaims dismissed</w:t>
            </w:r>
          </w:p>
          <w:p w:rsidR="004B645F" w:rsidRPr="00893C26" w:rsidRDefault="004B645F" w:rsidP="00A743EC">
            <w:pPr>
              <w:jc w:val="both"/>
              <w:rPr>
                <w:sz w:val="20"/>
              </w:rPr>
            </w:pPr>
          </w:p>
        </w:tc>
      </w:tr>
      <w:tr w:rsidR="004B645F" w:rsidRPr="00893C26" w:rsidTr="00A743EC">
        <w:tc>
          <w:tcPr>
            <w:tcW w:w="2427" w:type="pct"/>
            <w:gridSpan w:val="2"/>
          </w:tcPr>
          <w:p w:rsidR="004B645F" w:rsidRPr="00893C26" w:rsidRDefault="004B645F" w:rsidP="00A743EC">
            <w:pPr>
              <w:jc w:val="both"/>
              <w:rPr>
                <w:sz w:val="20"/>
              </w:rPr>
            </w:pPr>
            <w:r w:rsidRPr="00893C26">
              <w:rPr>
                <w:sz w:val="20"/>
              </w:rPr>
              <w:t>January 26, 2022</w:t>
            </w:r>
          </w:p>
          <w:p w:rsidR="004B645F" w:rsidRPr="00893C26" w:rsidRDefault="004B645F" w:rsidP="00A743EC">
            <w:pPr>
              <w:jc w:val="both"/>
              <w:rPr>
                <w:sz w:val="20"/>
              </w:rPr>
            </w:pPr>
            <w:r w:rsidRPr="00893C26">
              <w:rPr>
                <w:sz w:val="20"/>
              </w:rPr>
              <w:t>Court of Appeal for Ontario</w:t>
            </w:r>
          </w:p>
          <w:p w:rsidR="004B645F" w:rsidRPr="00893C26" w:rsidRDefault="004B645F" w:rsidP="00A743EC">
            <w:pPr>
              <w:jc w:val="both"/>
              <w:rPr>
                <w:sz w:val="20"/>
              </w:rPr>
            </w:pPr>
            <w:r w:rsidRPr="00893C26">
              <w:rPr>
                <w:sz w:val="20"/>
              </w:rPr>
              <w:t>(Huscroft, Trotter and Coroza JJ.A.)</w:t>
            </w:r>
          </w:p>
          <w:p w:rsidR="004B645F" w:rsidRPr="00893C26" w:rsidRDefault="004B645F" w:rsidP="00A743EC">
            <w:pPr>
              <w:jc w:val="both"/>
              <w:rPr>
                <w:sz w:val="20"/>
              </w:rPr>
            </w:pPr>
            <w:r w:rsidRPr="00893C26">
              <w:rPr>
                <w:sz w:val="20"/>
              </w:rPr>
              <w:t>Nos. C69392, C68726 and C68728</w:t>
            </w:r>
          </w:p>
          <w:p w:rsidR="004B645F" w:rsidRPr="00893C26" w:rsidRDefault="00893C26" w:rsidP="00A743EC">
            <w:pPr>
              <w:jc w:val="both"/>
              <w:rPr>
                <w:sz w:val="20"/>
              </w:rPr>
            </w:pPr>
            <w:hyperlink r:id="rId74" w:history="1">
              <w:r w:rsidR="004B645F" w:rsidRPr="00893C26">
                <w:rPr>
                  <w:rStyle w:val="Hyperlink"/>
                  <w:sz w:val="20"/>
                </w:rPr>
                <w:t>2022 ONCA 64</w:t>
              </w:r>
            </w:hyperlink>
            <w:r w:rsidR="004B645F" w:rsidRPr="00893C26">
              <w:rPr>
                <w:sz w:val="20"/>
              </w:rPr>
              <w:t xml:space="preserve"> </w:t>
            </w:r>
          </w:p>
          <w:p w:rsidR="004B645F" w:rsidRPr="00893C26" w:rsidRDefault="004B645F" w:rsidP="00A743EC">
            <w:pPr>
              <w:jc w:val="both"/>
              <w:rPr>
                <w:sz w:val="20"/>
              </w:rPr>
            </w:pPr>
          </w:p>
        </w:tc>
        <w:tc>
          <w:tcPr>
            <w:tcW w:w="243" w:type="pct"/>
          </w:tcPr>
          <w:p w:rsidR="004B645F" w:rsidRPr="00893C26" w:rsidRDefault="004B645F" w:rsidP="00A743EC">
            <w:pPr>
              <w:jc w:val="both"/>
              <w:rPr>
                <w:sz w:val="20"/>
              </w:rPr>
            </w:pPr>
          </w:p>
        </w:tc>
        <w:tc>
          <w:tcPr>
            <w:tcW w:w="2330" w:type="pct"/>
          </w:tcPr>
          <w:p w:rsidR="004B645F" w:rsidRPr="00893C26" w:rsidRDefault="004B645F" w:rsidP="00A743EC">
            <w:pPr>
              <w:jc w:val="both"/>
              <w:rPr>
                <w:sz w:val="20"/>
              </w:rPr>
            </w:pPr>
            <w:r w:rsidRPr="00893C26">
              <w:rPr>
                <w:sz w:val="20"/>
              </w:rPr>
              <w:t>Appeal dismissed</w:t>
            </w:r>
          </w:p>
          <w:p w:rsidR="004B645F" w:rsidRPr="00893C26" w:rsidRDefault="004B645F" w:rsidP="00A743EC">
            <w:pPr>
              <w:jc w:val="both"/>
              <w:rPr>
                <w:sz w:val="20"/>
              </w:rPr>
            </w:pPr>
          </w:p>
        </w:tc>
      </w:tr>
      <w:tr w:rsidR="004B645F" w:rsidRPr="00893C26" w:rsidTr="00A743EC">
        <w:tc>
          <w:tcPr>
            <w:tcW w:w="2427" w:type="pct"/>
            <w:gridSpan w:val="2"/>
          </w:tcPr>
          <w:p w:rsidR="004B645F" w:rsidRPr="00893C26" w:rsidRDefault="004B645F" w:rsidP="00A743EC">
            <w:pPr>
              <w:jc w:val="both"/>
              <w:rPr>
                <w:sz w:val="20"/>
              </w:rPr>
            </w:pPr>
            <w:r w:rsidRPr="00893C26">
              <w:rPr>
                <w:sz w:val="20"/>
              </w:rPr>
              <w:t>March 25, 2022</w:t>
            </w:r>
          </w:p>
          <w:p w:rsidR="004B645F" w:rsidRPr="00893C26" w:rsidRDefault="004B645F" w:rsidP="00A743EC">
            <w:pPr>
              <w:jc w:val="both"/>
              <w:rPr>
                <w:sz w:val="20"/>
              </w:rPr>
            </w:pPr>
            <w:r w:rsidRPr="00893C26">
              <w:rPr>
                <w:sz w:val="20"/>
              </w:rPr>
              <w:t>Supreme Court of Canada</w:t>
            </w:r>
          </w:p>
          <w:p w:rsidR="004B645F" w:rsidRPr="00893C26" w:rsidRDefault="004B645F" w:rsidP="00A743EC">
            <w:pPr>
              <w:jc w:val="both"/>
              <w:rPr>
                <w:sz w:val="20"/>
              </w:rPr>
            </w:pPr>
          </w:p>
        </w:tc>
        <w:tc>
          <w:tcPr>
            <w:tcW w:w="243" w:type="pct"/>
          </w:tcPr>
          <w:p w:rsidR="004B645F" w:rsidRPr="00893C26" w:rsidRDefault="004B645F" w:rsidP="00A743EC">
            <w:pPr>
              <w:jc w:val="both"/>
              <w:rPr>
                <w:sz w:val="20"/>
              </w:rPr>
            </w:pPr>
          </w:p>
        </w:tc>
        <w:tc>
          <w:tcPr>
            <w:tcW w:w="2330" w:type="pct"/>
          </w:tcPr>
          <w:p w:rsidR="004B645F" w:rsidRPr="00893C26" w:rsidRDefault="004B645F" w:rsidP="00A743EC">
            <w:pPr>
              <w:jc w:val="both"/>
              <w:rPr>
                <w:sz w:val="20"/>
              </w:rPr>
            </w:pPr>
            <w:r w:rsidRPr="00893C26">
              <w:rPr>
                <w:sz w:val="20"/>
              </w:rPr>
              <w:t>Application for leave to appeal filed</w:t>
            </w:r>
          </w:p>
          <w:p w:rsidR="004B645F" w:rsidRPr="00893C26" w:rsidRDefault="004B645F" w:rsidP="00A743EC">
            <w:pPr>
              <w:jc w:val="both"/>
              <w:rPr>
                <w:sz w:val="20"/>
              </w:rPr>
            </w:pPr>
          </w:p>
        </w:tc>
      </w:tr>
      <w:tr w:rsidR="004B645F" w:rsidRPr="00893C26" w:rsidTr="00A743EC">
        <w:tc>
          <w:tcPr>
            <w:tcW w:w="2427" w:type="pct"/>
            <w:gridSpan w:val="2"/>
          </w:tcPr>
          <w:p w:rsidR="004B645F" w:rsidRPr="00893C26" w:rsidRDefault="004B645F" w:rsidP="00A743EC">
            <w:pPr>
              <w:jc w:val="both"/>
              <w:rPr>
                <w:sz w:val="20"/>
              </w:rPr>
            </w:pPr>
            <w:r w:rsidRPr="00893C26">
              <w:rPr>
                <w:sz w:val="20"/>
              </w:rPr>
              <w:t>April 1, 2022</w:t>
            </w:r>
          </w:p>
          <w:p w:rsidR="004B645F" w:rsidRPr="00893C26" w:rsidRDefault="004B645F" w:rsidP="00A743EC">
            <w:pPr>
              <w:jc w:val="both"/>
              <w:rPr>
                <w:sz w:val="20"/>
              </w:rPr>
            </w:pPr>
            <w:r w:rsidRPr="00893C26">
              <w:rPr>
                <w:sz w:val="20"/>
              </w:rPr>
              <w:t>Supreme Court of Canada</w:t>
            </w:r>
          </w:p>
        </w:tc>
        <w:tc>
          <w:tcPr>
            <w:tcW w:w="243" w:type="pct"/>
          </w:tcPr>
          <w:p w:rsidR="004B645F" w:rsidRPr="00893C26" w:rsidRDefault="004B645F" w:rsidP="00A743EC">
            <w:pPr>
              <w:jc w:val="both"/>
              <w:rPr>
                <w:sz w:val="20"/>
              </w:rPr>
            </w:pPr>
          </w:p>
        </w:tc>
        <w:tc>
          <w:tcPr>
            <w:tcW w:w="2330" w:type="pct"/>
          </w:tcPr>
          <w:p w:rsidR="004B645F" w:rsidRPr="00893C26" w:rsidRDefault="004B645F" w:rsidP="00A743EC">
            <w:pPr>
              <w:jc w:val="both"/>
              <w:rPr>
                <w:sz w:val="20"/>
              </w:rPr>
            </w:pPr>
            <w:r w:rsidRPr="00893C26">
              <w:rPr>
                <w:sz w:val="20"/>
              </w:rPr>
              <w:t>Motion for extension of time to serve application for leave to appeal filed</w:t>
            </w:r>
          </w:p>
        </w:tc>
      </w:tr>
    </w:tbl>
    <w:p w:rsidR="004B645F" w:rsidRPr="00893C26" w:rsidRDefault="004B645F" w:rsidP="00A743EC">
      <w:pPr>
        <w:jc w:val="both"/>
        <w:rPr>
          <w:sz w:val="20"/>
        </w:rPr>
      </w:pPr>
    </w:p>
    <w:p w:rsidR="00A743EC" w:rsidRPr="00893C26" w:rsidRDefault="00893C26" w:rsidP="00A743EC">
      <w:pPr>
        <w:jc w:val="both"/>
        <w:rPr>
          <w:sz w:val="20"/>
        </w:rPr>
      </w:pPr>
      <w:r w:rsidRPr="00893C26">
        <w:rPr>
          <w:sz w:val="20"/>
        </w:rPr>
        <w:pict>
          <v:rect id="_x0000_i1055" style="width:2in;height:1pt" o:hrpct="0" o:hralign="center" o:hrstd="t" o:hrnoshade="t" o:hr="t" fillcolor="black [3213]" stroked="f"/>
        </w:pict>
      </w:r>
    </w:p>
    <w:p w:rsidR="00A743EC" w:rsidRPr="00893C26" w:rsidRDefault="00A743EC" w:rsidP="00A743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645F" w:rsidRPr="00893C26" w:rsidTr="00A743EC">
        <w:tc>
          <w:tcPr>
            <w:tcW w:w="543" w:type="pct"/>
          </w:tcPr>
          <w:p w:rsidR="004B645F" w:rsidRPr="00893C26" w:rsidRDefault="004B645F" w:rsidP="00A743EC">
            <w:pPr>
              <w:jc w:val="both"/>
              <w:rPr>
                <w:sz w:val="20"/>
              </w:rPr>
            </w:pPr>
            <w:r w:rsidRPr="00893C26">
              <w:rPr>
                <w:rStyle w:val="SCCFileNumberChar"/>
                <w:sz w:val="20"/>
                <w:szCs w:val="20"/>
              </w:rPr>
              <w:t>40116</w:t>
            </w:r>
          </w:p>
        </w:tc>
        <w:tc>
          <w:tcPr>
            <w:tcW w:w="4457" w:type="pct"/>
            <w:gridSpan w:val="3"/>
          </w:tcPr>
          <w:p w:rsidR="004B645F" w:rsidRPr="00893C26" w:rsidRDefault="004B645F" w:rsidP="00A743EC">
            <w:pPr>
              <w:pStyle w:val="SCCLsocParty"/>
              <w:jc w:val="both"/>
              <w:rPr>
                <w:b/>
                <w:sz w:val="20"/>
                <w:szCs w:val="20"/>
              </w:rPr>
            </w:pPr>
            <w:r w:rsidRPr="00893C26">
              <w:rPr>
                <w:b/>
                <w:sz w:val="20"/>
                <w:szCs w:val="20"/>
              </w:rPr>
              <w:t>Elisa Angela Adili et Anthony Adili c. Homes of Distinction Inc., Homes of Distinction (2002) Inc. et Roberto Venier</w:t>
            </w:r>
          </w:p>
          <w:p w:rsidR="004B645F" w:rsidRPr="00893C26" w:rsidRDefault="004B645F" w:rsidP="00A743EC">
            <w:pPr>
              <w:jc w:val="both"/>
              <w:rPr>
                <w:sz w:val="20"/>
                <w:lang w:val="fr-CA"/>
              </w:rPr>
            </w:pPr>
            <w:r w:rsidRPr="00893C26">
              <w:rPr>
                <w:sz w:val="20"/>
                <w:lang w:val="fr-CA"/>
              </w:rPr>
              <w:t>(Ont.) (Civile) (Sur autorisation)</w:t>
            </w:r>
          </w:p>
        </w:tc>
      </w:tr>
      <w:tr w:rsidR="004B645F" w:rsidRPr="00893C26" w:rsidTr="00A743EC">
        <w:tc>
          <w:tcPr>
            <w:tcW w:w="5000" w:type="pct"/>
            <w:gridSpan w:val="4"/>
          </w:tcPr>
          <w:p w:rsidR="004B645F" w:rsidRPr="00893C26" w:rsidRDefault="004B645F" w:rsidP="00A743EC">
            <w:pPr>
              <w:jc w:val="both"/>
              <w:rPr>
                <w:sz w:val="20"/>
                <w:lang w:val="fr-CA"/>
              </w:rPr>
            </w:pPr>
            <w:r w:rsidRPr="00893C26">
              <w:rPr>
                <w:sz w:val="20"/>
                <w:lang w:val="fr-CA"/>
              </w:rPr>
              <w:t xml:space="preserve">Preuve </w:t>
            </w:r>
            <w:r w:rsidRPr="00893C26">
              <w:rPr>
                <w:i/>
                <w:iCs/>
                <w:color w:val="000000"/>
                <w:sz w:val="20"/>
                <w:lang w:val="fr-CA"/>
              </w:rPr>
              <w:t xml:space="preserve">— </w:t>
            </w:r>
            <w:r w:rsidRPr="00893C26">
              <w:rPr>
                <w:iCs/>
                <w:color w:val="000000"/>
                <w:sz w:val="20"/>
                <w:lang w:val="fr-CA"/>
              </w:rPr>
              <w:t xml:space="preserve">Preuve d’expert — Stabilité structurelle d’une propriété résidentielle et conformité technique au </w:t>
            </w:r>
            <w:r w:rsidRPr="00893C26">
              <w:rPr>
                <w:i/>
                <w:iCs/>
                <w:color w:val="000000"/>
                <w:sz w:val="20"/>
                <w:lang w:val="fr-CA"/>
              </w:rPr>
              <w:t xml:space="preserve">Code du bâtiment </w:t>
            </w:r>
            <w:r w:rsidRPr="00893C26">
              <w:rPr>
                <w:iCs/>
                <w:color w:val="000000"/>
                <w:sz w:val="20"/>
                <w:lang w:val="fr-CA"/>
              </w:rPr>
              <w:t xml:space="preserve">applicable </w:t>
            </w:r>
            <w:r w:rsidRPr="00893C26">
              <w:rPr>
                <w:i/>
                <w:iCs/>
                <w:color w:val="000000"/>
                <w:sz w:val="20"/>
                <w:lang w:val="fr-CA"/>
              </w:rPr>
              <w:t>—</w:t>
            </w:r>
            <w:r w:rsidRPr="00893C26">
              <w:rPr>
                <w:iCs/>
                <w:color w:val="000000"/>
                <w:sz w:val="20"/>
                <w:lang w:val="fr-CA"/>
              </w:rPr>
              <w:t xml:space="preserve"> Appels </w:t>
            </w:r>
            <w:r w:rsidRPr="00893C26">
              <w:rPr>
                <w:i/>
                <w:iCs/>
                <w:color w:val="000000"/>
                <w:sz w:val="20"/>
                <w:lang w:val="fr-CA"/>
              </w:rPr>
              <w:t xml:space="preserve">— </w:t>
            </w:r>
            <w:r w:rsidRPr="00893C26">
              <w:rPr>
                <w:iCs/>
                <w:color w:val="000000"/>
                <w:sz w:val="20"/>
                <w:lang w:val="fr-CA"/>
              </w:rPr>
              <w:t xml:space="preserve">Portée de la déférence en appel </w:t>
            </w:r>
            <w:r w:rsidRPr="00893C26">
              <w:rPr>
                <w:i/>
                <w:iCs/>
                <w:color w:val="000000"/>
                <w:sz w:val="20"/>
                <w:lang w:val="fr-CA"/>
              </w:rPr>
              <w:t>—</w:t>
            </w:r>
            <w:r w:rsidRPr="00893C26">
              <w:rPr>
                <w:iCs/>
                <w:color w:val="000000"/>
                <w:sz w:val="20"/>
                <w:lang w:val="fr-CA"/>
              </w:rPr>
              <w:t xml:space="preserve"> Projet de construction ayant mal tourné et donnant lieu à la présentation par le constructeur d’une revendication de privilège de construction et au dépôt par les propriétaires de la résidence d’une demande reconventionnelle pour défaut de construction </w:t>
            </w:r>
            <w:r w:rsidRPr="00893C26">
              <w:rPr>
                <w:i/>
                <w:iCs/>
                <w:color w:val="000000"/>
                <w:sz w:val="20"/>
                <w:lang w:val="fr-CA"/>
              </w:rPr>
              <w:t xml:space="preserve">— </w:t>
            </w:r>
            <w:r w:rsidRPr="00893C26">
              <w:rPr>
                <w:iCs/>
                <w:color w:val="000000"/>
                <w:sz w:val="20"/>
                <w:lang w:val="fr-CA"/>
              </w:rPr>
              <w:t xml:space="preserve">Constructeur obtenant gain de cause en grande partie au procès, et refus de la Cour d’appel de modifier les conclusions tirées en première instance </w:t>
            </w:r>
            <w:r w:rsidRPr="00893C26">
              <w:rPr>
                <w:i/>
                <w:iCs/>
                <w:color w:val="000000"/>
                <w:sz w:val="20"/>
                <w:lang w:val="fr-CA"/>
              </w:rPr>
              <w:t xml:space="preserve">— </w:t>
            </w:r>
            <w:r w:rsidRPr="00893C26">
              <w:rPr>
                <w:iCs/>
                <w:color w:val="000000"/>
                <w:sz w:val="20"/>
                <w:lang w:val="fr-CA"/>
              </w:rPr>
              <w:t xml:space="preserve">Prétention des propriétaires de la résidence que les juridictions inférieures n’ont pas tenu compte de la preuve d’expert convenue et non contredite </w:t>
            </w:r>
            <w:r w:rsidRPr="00893C26">
              <w:rPr>
                <w:i/>
                <w:iCs/>
                <w:color w:val="000000"/>
                <w:sz w:val="20"/>
                <w:lang w:val="fr-CA"/>
              </w:rPr>
              <w:t>—</w:t>
            </w:r>
            <w:r w:rsidRPr="00893C26">
              <w:rPr>
                <w:iCs/>
                <w:color w:val="000000"/>
                <w:sz w:val="20"/>
                <w:lang w:val="fr-CA"/>
              </w:rPr>
              <w:t xml:space="preserve"> La demande d’autorisation d’appel soulève-t-elle des questions d’importance pour le public?</w:t>
            </w:r>
          </w:p>
        </w:tc>
      </w:tr>
      <w:tr w:rsidR="004B645F" w:rsidRPr="00893C26" w:rsidTr="00A743EC">
        <w:tc>
          <w:tcPr>
            <w:tcW w:w="5000" w:type="pct"/>
            <w:gridSpan w:val="4"/>
          </w:tcPr>
          <w:p w:rsidR="004B645F" w:rsidRPr="00893C26" w:rsidRDefault="004B645F" w:rsidP="00A743EC">
            <w:pPr>
              <w:jc w:val="both"/>
              <w:rPr>
                <w:sz w:val="20"/>
                <w:lang w:val="fr-CA"/>
              </w:rPr>
            </w:pPr>
          </w:p>
          <w:p w:rsidR="004B645F" w:rsidRPr="00893C26" w:rsidRDefault="004B645F" w:rsidP="00A743EC">
            <w:pPr>
              <w:jc w:val="both"/>
              <w:rPr>
                <w:sz w:val="20"/>
                <w:lang w:val="fr-CA"/>
              </w:rPr>
            </w:pPr>
            <w:r w:rsidRPr="00893C26">
              <w:rPr>
                <w:sz w:val="20"/>
                <w:lang w:val="fr-CA"/>
              </w:rPr>
              <w:t xml:space="preserve">Vers 2007, les demandeurs (les « Adili ») ont embauché les intimés (le « constructeur ») pour rénover leur demeure. La relation entre les parties s’est rompue, et les Adili ont embauché d’autres entrepreneurs pour achever la rénovation et corriger les défauts reprochés. Le constructeur a intenté une action en privilège de construction pour recouvrer des Adili un solde qu’ils lui devaient. Les Adili ont rejeté leur responsabilité et ont présenté une demande reconventionnelle, alléguant que le travail n’a pas été terminé et qu’il a été mal exécuté. Le juge du procès a reconnu les </w:t>
            </w:r>
            <w:r w:rsidRPr="00893C26">
              <w:rPr>
                <w:color w:val="000000"/>
                <w:sz w:val="20"/>
                <w:lang w:val="fr-CA"/>
              </w:rPr>
              <w:t xml:space="preserve">Adili responsables envers le constructeur pour la majeure partie de la somme réclamée, et a rejeté leur demande reconventionnelle. En arrivant à ces conclusions, le juge du procès a préféré le témoignage de l’expert du constructeur à celui de l’expert retenu par les Adili. La Cour d’appel a rejeté l’appel des Adili, et elle n’a relevé aucune erreur manifeste et déterminante dans la manière dont le juge du procès a traité de la preuve d’expert. Selon elle, le juge du procès a fourni des motifs convaincants afin d’expliquer pourquoi il a écarté le témoignage de l’expert retenu par les Adili, et qu’il s’agit de conclusions sur la crédibilité et la fiabilité à l’égard desquelles il convient de faire preuve de déférence en appel. </w:t>
            </w:r>
          </w:p>
        </w:tc>
      </w:tr>
      <w:tr w:rsidR="004B645F" w:rsidRPr="00893C26" w:rsidTr="00A743EC">
        <w:tc>
          <w:tcPr>
            <w:tcW w:w="5000" w:type="pct"/>
            <w:gridSpan w:val="4"/>
          </w:tcPr>
          <w:p w:rsidR="004B645F" w:rsidRPr="00893C26" w:rsidRDefault="004B645F" w:rsidP="00A743EC">
            <w:pPr>
              <w:jc w:val="both"/>
              <w:rPr>
                <w:sz w:val="20"/>
                <w:lang w:val="fr-CA"/>
              </w:rPr>
            </w:pPr>
          </w:p>
        </w:tc>
      </w:tr>
      <w:tr w:rsidR="004B645F" w:rsidRPr="00893C26" w:rsidTr="00A743EC">
        <w:tc>
          <w:tcPr>
            <w:tcW w:w="2427" w:type="pct"/>
            <w:gridSpan w:val="2"/>
          </w:tcPr>
          <w:p w:rsidR="004B645F" w:rsidRPr="00893C26" w:rsidRDefault="004B645F" w:rsidP="00A743EC">
            <w:pPr>
              <w:jc w:val="both"/>
              <w:rPr>
                <w:sz w:val="20"/>
                <w:lang w:val="fr-CA"/>
              </w:rPr>
            </w:pPr>
            <w:r w:rsidRPr="00893C26">
              <w:rPr>
                <w:sz w:val="20"/>
                <w:lang w:val="fr-CA"/>
              </w:rPr>
              <w:t>16 septembre 2020</w:t>
            </w:r>
          </w:p>
          <w:p w:rsidR="004B645F" w:rsidRPr="00893C26" w:rsidRDefault="004B645F" w:rsidP="00A743EC">
            <w:pPr>
              <w:jc w:val="both"/>
              <w:rPr>
                <w:sz w:val="20"/>
                <w:lang w:val="fr-CA"/>
              </w:rPr>
            </w:pPr>
            <w:r w:rsidRPr="00893C26">
              <w:rPr>
                <w:sz w:val="20"/>
                <w:lang w:val="fr-CA"/>
              </w:rPr>
              <w:t xml:space="preserve">Cour supérieure de justice de l’Ontario </w:t>
            </w:r>
          </w:p>
          <w:p w:rsidR="004B645F" w:rsidRPr="00893C26" w:rsidRDefault="004B645F" w:rsidP="00A743EC">
            <w:pPr>
              <w:jc w:val="both"/>
              <w:rPr>
                <w:sz w:val="20"/>
              </w:rPr>
            </w:pPr>
            <w:r w:rsidRPr="00893C26">
              <w:rPr>
                <w:sz w:val="20"/>
              </w:rPr>
              <w:t>(juge Lococo)</w:t>
            </w:r>
          </w:p>
          <w:p w:rsidR="004B645F" w:rsidRPr="00893C26" w:rsidRDefault="00893C26" w:rsidP="00A743EC">
            <w:pPr>
              <w:jc w:val="both"/>
              <w:rPr>
                <w:sz w:val="20"/>
              </w:rPr>
            </w:pPr>
            <w:hyperlink r:id="rId75" w:history="1">
              <w:r w:rsidR="004B645F" w:rsidRPr="00893C26">
                <w:rPr>
                  <w:rStyle w:val="Hyperlink"/>
                  <w:sz w:val="20"/>
                </w:rPr>
                <w:t>2020 ONSC 5344</w:t>
              </w:r>
            </w:hyperlink>
            <w:r w:rsidR="004B645F" w:rsidRPr="00893C26">
              <w:rPr>
                <w:sz w:val="20"/>
              </w:rPr>
              <w:t xml:space="preserve"> </w:t>
            </w:r>
          </w:p>
          <w:p w:rsidR="004B645F" w:rsidRPr="00893C26" w:rsidRDefault="004B645F" w:rsidP="00A743EC">
            <w:pPr>
              <w:jc w:val="both"/>
              <w:rPr>
                <w:sz w:val="20"/>
              </w:rPr>
            </w:pPr>
          </w:p>
        </w:tc>
        <w:tc>
          <w:tcPr>
            <w:tcW w:w="243" w:type="pct"/>
          </w:tcPr>
          <w:p w:rsidR="004B645F" w:rsidRPr="00893C26" w:rsidRDefault="004B645F" w:rsidP="00A743EC">
            <w:pPr>
              <w:jc w:val="both"/>
              <w:rPr>
                <w:sz w:val="20"/>
              </w:rPr>
            </w:pPr>
          </w:p>
        </w:tc>
        <w:tc>
          <w:tcPr>
            <w:tcW w:w="2330" w:type="pct"/>
          </w:tcPr>
          <w:p w:rsidR="004B645F" w:rsidRPr="00893C26" w:rsidRDefault="004B645F" w:rsidP="00A743EC">
            <w:pPr>
              <w:jc w:val="both"/>
              <w:rPr>
                <w:sz w:val="20"/>
                <w:lang w:val="fr-CA"/>
              </w:rPr>
            </w:pPr>
            <w:r w:rsidRPr="00893C26">
              <w:rPr>
                <w:sz w:val="20"/>
                <w:lang w:val="fr-CA"/>
              </w:rPr>
              <w:t>Revendication d’un privilège de construction accueillie; rejet des demandes reconventionnelles pour défaut de construction</w:t>
            </w:r>
          </w:p>
          <w:p w:rsidR="004B645F" w:rsidRPr="00893C26" w:rsidRDefault="004B645F" w:rsidP="00A743EC">
            <w:pPr>
              <w:jc w:val="both"/>
              <w:rPr>
                <w:sz w:val="20"/>
                <w:lang w:val="fr-CA"/>
              </w:rPr>
            </w:pPr>
          </w:p>
        </w:tc>
      </w:tr>
      <w:tr w:rsidR="004B645F" w:rsidRPr="00893C26" w:rsidTr="00A743EC">
        <w:tc>
          <w:tcPr>
            <w:tcW w:w="2427" w:type="pct"/>
            <w:gridSpan w:val="2"/>
          </w:tcPr>
          <w:p w:rsidR="004B645F" w:rsidRPr="00893C26" w:rsidRDefault="004B645F" w:rsidP="00A743EC">
            <w:pPr>
              <w:jc w:val="both"/>
              <w:rPr>
                <w:sz w:val="20"/>
                <w:lang w:val="fr-CA"/>
              </w:rPr>
            </w:pPr>
            <w:r w:rsidRPr="00893C26">
              <w:rPr>
                <w:sz w:val="20"/>
                <w:lang w:val="fr-CA"/>
              </w:rPr>
              <w:t>26 janvier 2022</w:t>
            </w:r>
          </w:p>
          <w:p w:rsidR="004B645F" w:rsidRPr="00893C26" w:rsidRDefault="004B645F" w:rsidP="00A743EC">
            <w:pPr>
              <w:jc w:val="both"/>
              <w:rPr>
                <w:sz w:val="20"/>
                <w:lang w:val="fr-CA"/>
              </w:rPr>
            </w:pPr>
            <w:r w:rsidRPr="00893C26">
              <w:rPr>
                <w:sz w:val="20"/>
                <w:lang w:val="fr-CA"/>
              </w:rPr>
              <w:t>Cour d’appel de l’Ontario</w:t>
            </w:r>
          </w:p>
          <w:p w:rsidR="004B645F" w:rsidRPr="00893C26" w:rsidRDefault="004B645F" w:rsidP="00A743EC">
            <w:pPr>
              <w:jc w:val="both"/>
              <w:rPr>
                <w:sz w:val="20"/>
                <w:lang w:val="fr-CA"/>
              </w:rPr>
            </w:pPr>
            <w:r w:rsidRPr="00893C26">
              <w:rPr>
                <w:sz w:val="20"/>
                <w:lang w:val="fr-CA"/>
              </w:rPr>
              <w:t>(juges Huscroft, Trotter et Coroza)</w:t>
            </w:r>
          </w:p>
          <w:p w:rsidR="004B645F" w:rsidRPr="00893C26" w:rsidRDefault="004B645F" w:rsidP="00A743EC">
            <w:pPr>
              <w:jc w:val="both"/>
              <w:rPr>
                <w:sz w:val="20"/>
                <w:lang w:val="fr-CA"/>
              </w:rPr>
            </w:pPr>
            <w:r w:rsidRPr="00893C26">
              <w:rPr>
                <w:sz w:val="20"/>
                <w:lang w:val="fr-CA"/>
              </w:rPr>
              <w:t>N</w:t>
            </w:r>
            <w:r w:rsidRPr="00893C26">
              <w:rPr>
                <w:sz w:val="20"/>
                <w:vertAlign w:val="superscript"/>
                <w:lang w:val="fr-CA"/>
              </w:rPr>
              <w:t>os</w:t>
            </w:r>
            <w:r w:rsidRPr="00893C26">
              <w:rPr>
                <w:sz w:val="20"/>
                <w:lang w:val="fr-CA"/>
              </w:rPr>
              <w:t xml:space="preserve"> C69392, C68726 et C68728</w:t>
            </w:r>
          </w:p>
          <w:p w:rsidR="004B645F" w:rsidRPr="00893C26" w:rsidRDefault="00893C26" w:rsidP="00A743EC">
            <w:pPr>
              <w:jc w:val="both"/>
              <w:rPr>
                <w:sz w:val="20"/>
                <w:lang w:val="fr-CA"/>
              </w:rPr>
            </w:pPr>
            <w:hyperlink r:id="rId76" w:history="1">
              <w:r w:rsidR="004B645F" w:rsidRPr="00893C26">
                <w:rPr>
                  <w:rStyle w:val="Hyperlink"/>
                  <w:sz w:val="20"/>
                  <w:lang w:val="fr-CA"/>
                </w:rPr>
                <w:t>2022 ONCA 64</w:t>
              </w:r>
            </w:hyperlink>
            <w:r w:rsidR="004B645F" w:rsidRPr="00893C26">
              <w:rPr>
                <w:sz w:val="20"/>
                <w:lang w:val="fr-CA"/>
              </w:rPr>
              <w:t xml:space="preserve"> </w:t>
            </w:r>
          </w:p>
          <w:p w:rsidR="004B645F" w:rsidRPr="00893C26" w:rsidRDefault="004B645F" w:rsidP="00A743EC">
            <w:pPr>
              <w:jc w:val="both"/>
              <w:rPr>
                <w:sz w:val="20"/>
                <w:lang w:val="fr-CA"/>
              </w:rPr>
            </w:pPr>
          </w:p>
        </w:tc>
        <w:tc>
          <w:tcPr>
            <w:tcW w:w="243" w:type="pct"/>
          </w:tcPr>
          <w:p w:rsidR="004B645F" w:rsidRPr="00893C26" w:rsidRDefault="004B645F" w:rsidP="00A743EC">
            <w:pPr>
              <w:jc w:val="both"/>
              <w:rPr>
                <w:sz w:val="20"/>
                <w:lang w:val="fr-CA"/>
              </w:rPr>
            </w:pPr>
          </w:p>
        </w:tc>
        <w:tc>
          <w:tcPr>
            <w:tcW w:w="2330" w:type="pct"/>
          </w:tcPr>
          <w:p w:rsidR="004B645F" w:rsidRPr="00893C26" w:rsidRDefault="004B645F" w:rsidP="00A743EC">
            <w:pPr>
              <w:jc w:val="both"/>
              <w:rPr>
                <w:sz w:val="20"/>
              </w:rPr>
            </w:pPr>
            <w:r w:rsidRPr="00893C26">
              <w:rPr>
                <w:sz w:val="20"/>
              </w:rPr>
              <w:t>Rejet de l’appel</w:t>
            </w:r>
          </w:p>
          <w:p w:rsidR="004B645F" w:rsidRPr="00893C26" w:rsidRDefault="004B645F" w:rsidP="00A743EC">
            <w:pPr>
              <w:jc w:val="both"/>
              <w:rPr>
                <w:sz w:val="20"/>
              </w:rPr>
            </w:pPr>
          </w:p>
        </w:tc>
      </w:tr>
      <w:tr w:rsidR="004B645F" w:rsidRPr="00893C26" w:rsidTr="00A743EC">
        <w:tc>
          <w:tcPr>
            <w:tcW w:w="2427" w:type="pct"/>
            <w:gridSpan w:val="2"/>
          </w:tcPr>
          <w:p w:rsidR="004B645F" w:rsidRPr="00893C26" w:rsidRDefault="004B645F" w:rsidP="00A743EC">
            <w:pPr>
              <w:jc w:val="both"/>
              <w:rPr>
                <w:sz w:val="20"/>
              </w:rPr>
            </w:pPr>
            <w:r w:rsidRPr="00893C26">
              <w:rPr>
                <w:sz w:val="20"/>
              </w:rPr>
              <w:t>25 mars 2022</w:t>
            </w:r>
          </w:p>
          <w:p w:rsidR="004B645F" w:rsidRPr="00893C26" w:rsidRDefault="004B645F" w:rsidP="00A743EC">
            <w:pPr>
              <w:jc w:val="both"/>
              <w:rPr>
                <w:sz w:val="20"/>
              </w:rPr>
            </w:pPr>
            <w:r w:rsidRPr="00893C26">
              <w:rPr>
                <w:sz w:val="20"/>
              </w:rPr>
              <w:t>Cour suprême du Canada</w:t>
            </w:r>
          </w:p>
          <w:p w:rsidR="004B645F" w:rsidRPr="00893C26" w:rsidRDefault="004B645F" w:rsidP="00A743EC">
            <w:pPr>
              <w:jc w:val="both"/>
              <w:rPr>
                <w:sz w:val="20"/>
              </w:rPr>
            </w:pPr>
          </w:p>
        </w:tc>
        <w:tc>
          <w:tcPr>
            <w:tcW w:w="243" w:type="pct"/>
          </w:tcPr>
          <w:p w:rsidR="004B645F" w:rsidRPr="00893C26" w:rsidRDefault="004B645F" w:rsidP="00A743EC">
            <w:pPr>
              <w:jc w:val="both"/>
              <w:rPr>
                <w:sz w:val="20"/>
              </w:rPr>
            </w:pPr>
          </w:p>
        </w:tc>
        <w:tc>
          <w:tcPr>
            <w:tcW w:w="2330" w:type="pct"/>
          </w:tcPr>
          <w:p w:rsidR="004B645F" w:rsidRPr="00893C26" w:rsidRDefault="004B645F" w:rsidP="00A743EC">
            <w:pPr>
              <w:jc w:val="both"/>
              <w:rPr>
                <w:sz w:val="20"/>
                <w:lang w:val="fr-CA"/>
              </w:rPr>
            </w:pPr>
            <w:r w:rsidRPr="00893C26">
              <w:rPr>
                <w:sz w:val="20"/>
                <w:lang w:val="fr-CA"/>
              </w:rPr>
              <w:t xml:space="preserve">Dépôt de la demande d’autorisation d’appel </w:t>
            </w:r>
          </w:p>
          <w:p w:rsidR="004B645F" w:rsidRPr="00893C26" w:rsidRDefault="004B645F" w:rsidP="00A743EC">
            <w:pPr>
              <w:jc w:val="both"/>
              <w:rPr>
                <w:sz w:val="20"/>
                <w:lang w:val="fr-CA"/>
              </w:rPr>
            </w:pPr>
          </w:p>
        </w:tc>
      </w:tr>
      <w:tr w:rsidR="004B645F" w:rsidRPr="00893C26" w:rsidTr="00A743EC">
        <w:tc>
          <w:tcPr>
            <w:tcW w:w="2427" w:type="pct"/>
            <w:gridSpan w:val="2"/>
          </w:tcPr>
          <w:p w:rsidR="004B645F" w:rsidRPr="00893C26" w:rsidRDefault="004B645F" w:rsidP="00A743EC">
            <w:pPr>
              <w:jc w:val="both"/>
              <w:rPr>
                <w:sz w:val="20"/>
                <w:lang w:val="fr-CA"/>
              </w:rPr>
            </w:pPr>
            <w:r w:rsidRPr="00893C26">
              <w:rPr>
                <w:sz w:val="20"/>
                <w:lang w:val="fr-CA"/>
              </w:rPr>
              <w:t>1</w:t>
            </w:r>
            <w:r w:rsidRPr="00893C26">
              <w:rPr>
                <w:sz w:val="20"/>
                <w:vertAlign w:val="superscript"/>
                <w:lang w:val="fr-CA"/>
              </w:rPr>
              <w:t>er</w:t>
            </w:r>
            <w:r w:rsidRPr="00893C26">
              <w:rPr>
                <w:sz w:val="20"/>
                <w:lang w:val="fr-CA"/>
              </w:rPr>
              <w:t xml:space="preserve"> avril 2022</w:t>
            </w:r>
          </w:p>
          <w:p w:rsidR="004B645F" w:rsidRPr="00893C26" w:rsidRDefault="004B645F" w:rsidP="00A743EC">
            <w:pPr>
              <w:jc w:val="both"/>
              <w:rPr>
                <w:sz w:val="20"/>
                <w:lang w:val="fr-CA"/>
              </w:rPr>
            </w:pPr>
            <w:r w:rsidRPr="00893C26">
              <w:rPr>
                <w:sz w:val="20"/>
                <w:lang w:val="fr-CA"/>
              </w:rPr>
              <w:t>Cour suprême du Canada</w:t>
            </w:r>
          </w:p>
        </w:tc>
        <w:tc>
          <w:tcPr>
            <w:tcW w:w="243" w:type="pct"/>
          </w:tcPr>
          <w:p w:rsidR="004B645F" w:rsidRPr="00893C26" w:rsidRDefault="004B645F" w:rsidP="00A743EC">
            <w:pPr>
              <w:jc w:val="both"/>
              <w:rPr>
                <w:sz w:val="20"/>
                <w:lang w:val="fr-CA"/>
              </w:rPr>
            </w:pPr>
          </w:p>
        </w:tc>
        <w:tc>
          <w:tcPr>
            <w:tcW w:w="2330" w:type="pct"/>
          </w:tcPr>
          <w:p w:rsidR="004B645F" w:rsidRPr="00893C26" w:rsidRDefault="004B645F" w:rsidP="00A743EC">
            <w:pPr>
              <w:jc w:val="both"/>
              <w:rPr>
                <w:sz w:val="20"/>
                <w:lang w:val="fr-CA"/>
              </w:rPr>
            </w:pPr>
            <w:r w:rsidRPr="00893C26">
              <w:rPr>
                <w:sz w:val="20"/>
                <w:lang w:val="fr-CA"/>
              </w:rPr>
              <w:t xml:space="preserve">Dépôt d’une requête en prorogation du délai pour signifier la demande d’autorisation d’appel </w:t>
            </w:r>
          </w:p>
        </w:tc>
      </w:tr>
    </w:tbl>
    <w:p w:rsidR="004B645F" w:rsidRPr="00893C26" w:rsidRDefault="004B645F" w:rsidP="00A743EC">
      <w:pPr>
        <w:jc w:val="both"/>
        <w:rPr>
          <w:sz w:val="20"/>
          <w:lang w:val="fr-CA"/>
        </w:rPr>
      </w:pPr>
    </w:p>
    <w:p w:rsidR="00311655" w:rsidRPr="00893C26" w:rsidRDefault="00893C26" w:rsidP="00A743EC">
      <w:pPr>
        <w:ind w:left="142" w:hanging="142"/>
        <w:jc w:val="both"/>
        <w:rPr>
          <w:sz w:val="20"/>
          <w:lang w:val="fr-CA"/>
        </w:rPr>
      </w:pPr>
      <w:r w:rsidRPr="00893C26">
        <w:rPr>
          <w:sz w:val="20"/>
        </w:rPr>
        <w:pict>
          <v:rect id="_x0000_i1056" style="width:2in;height:1pt" o:hrpct="0" o:hralign="center" o:hrstd="t" o:hrnoshade="t" o:hr="t" fillcolor="black [3213]" stroked="f"/>
        </w:pict>
      </w:r>
    </w:p>
    <w:p w:rsidR="00A743EC" w:rsidRPr="00893C26" w:rsidRDefault="00A743EC" w:rsidP="00A743E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645F" w:rsidRPr="00893C26">
        <w:tc>
          <w:tcPr>
            <w:tcW w:w="543" w:type="pct"/>
          </w:tcPr>
          <w:p w:rsidR="004B645F" w:rsidRPr="00893C26" w:rsidRDefault="004B645F" w:rsidP="00A743EC">
            <w:pPr>
              <w:jc w:val="both"/>
              <w:rPr>
                <w:sz w:val="20"/>
                <w:lang w:val="en-CA"/>
              </w:rPr>
            </w:pPr>
            <w:r w:rsidRPr="00893C26">
              <w:rPr>
                <w:rStyle w:val="SCCFileNumberChar"/>
                <w:sz w:val="20"/>
                <w:szCs w:val="20"/>
              </w:rPr>
              <w:t>40146</w:t>
            </w:r>
          </w:p>
        </w:tc>
        <w:tc>
          <w:tcPr>
            <w:tcW w:w="4457" w:type="pct"/>
            <w:gridSpan w:val="3"/>
          </w:tcPr>
          <w:p w:rsidR="004B645F" w:rsidRPr="00893C26" w:rsidRDefault="004B645F" w:rsidP="00A743EC">
            <w:pPr>
              <w:pStyle w:val="SCCLsocParty"/>
              <w:jc w:val="both"/>
              <w:rPr>
                <w:b/>
                <w:sz w:val="20"/>
                <w:szCs w:val="20"/>
                <w:lang w:val="en-CA"/>
              </w:rPr>
            </w:pPr>
            <w:r w:rsidRPr="00893C26">
              <w:rPr>
                <w:b/>
                <w:sz w:val="20"/>
                <w:szCs w:val="20"/>
                <w:lang w:val="en-CA"/>
              </w:rPr>
              <w:t>Denis Poirier, Relance-Immo inc. and 9298-9524 Québec inc. v. Mathieu Ambroise and 9185-4620 Québec inc.</w:t>
            </w:r>
          </w:p>
          <w:p w:rsidR="004B645F" w:rsidRPr="00893C26" w:rsidRDefault="004B645F" w:rsidP="00A743EC">
            <w:pPr>
              <w:jc w:val="both"/>
              <w:rPr>
                <w:sz w:val="20"/>
                <w:lang w:val="en-CA"/>
              </w:rPr>
            </w:pPr>
            <w:r w:rsidRPr="00893C26">
              <w:rPr>
                <w:sz w:val="20"/>
                <w:lang w:val="en-CA"/>
              </w:rPr>
              <w:t>(Que.) (Civil) (By Leave)</w:t>
            </w:r>
          </w:p>
        </w:tc>
      </w:tr>
      <w:tr w:rsidR="004B645F" w:rsidRPr="00893C26">
        <w:tc>
          <w:tcPr>
            <w:tcW w:w="5000" w:type="pct"/>
            <w:gridSpan w:val="4"/>
          </w:tcPr>
          <w:p w:rsidR="004B645F" w:rsidRPr="00893C26" w:rsidRDefault="004B645F" w:rsidP="00A743EC">
            <w:pPr>
              <w:jc w:val="both"/>
              <w:rPr>
                <w:sz w:val="20"/>
                <w:lang w:val="en-CA"/>
              </w:rPr>
            </w:pPr>
            <w:r w:rsidRPr="00893C26">
              <w:rPr>
                <w:sz w:val="20"/>
                <w:lang w:val="en-CA"/>
              </w:rPr>
              <w:t xml:space="preserve">Civil liability ⸺ Offer to purchase immovable affected by suspensive condition ⸺ Restitution of deposit on basis of facts triggering suspensive condition ⸺ Award </w:t>
            </w:r>
            <w:r w:rsidRPr="00893C26">
              <w:rPr>
                <w:i/>
                <w:sz w:val="20"/>
                <w:lang w:val="en-CA"/>
              </w:rPr>
              <w:t xml:space="preserve">in solidum </w:t>
            </w:r>
            <w:r w:rsidRPr="00893C26">
              <w:rPr>
                <w:sz w:val="20"/>
                <w:lang w:val="en-CA"/>
              </w:rPr>
              <w:t xml:space="preserve">against </w:t>
            </w:r>
            <w:proofErr w:type="gramStart"/>
            <w:r w:rsidRPr="00893C26">
              <w:rPr>
                <w:sz w:val="20"/>
                <w:lang w:val="en-CA"/>
              </w:rPr>
              <w:t>debtors</w:t>
            </w:r>
            <w:proofErr w:type="gramEnd"/>
            <w:r w:rsidRPr="00893C26">
              <w:rPr>
                <w:sz w:val="20"/>
                <w:lang w:val="en-CA"/>
              </w:rPr>
              <w:t xml:space="preserve"> ⸺ Whether courts below erred in applying and assessing criteria related to application of art. 1699 of </w:t>
            </w:r>
            <w:r w:rsidRPr="00893C26">
              <w:rPr>
                <w:i/>
                <w:sz w:val="20"/>
                <w:lang w:val="en-CA"/>
              </w:rPr>
              <w:t>Civil Code of Québec</w:t>
            </w:r>
            <w:r w:rsidRPr="00893C26">
              <w:rPr>
                <w:sz w:val="20"/>
                <w:lang w:val="en-CA"/>
              </w:rPr>
              <w:t xml:space="preserve"> (CCQ) by permitting undue reimbursement of amount not paid by claimant ⸺ Whether courts below erred in assessing fraud in civil matters ⸺ </w:t>
            </w:r>
            <w:r w:rsidRPr="00893C26">
              <w:rPr>
                <w:i/>
                <w:sz w:val="20"/>
                <w:lang w:val="en-CA"/>
              </w:rPr>
              <w:t>Civil Code of Québec</w:t>
            </w:r>
            <w:r w:rsidRPr="00893C26">
              <w:rPr>
                <w:sz w:val="20"/>
                <w:lang w:val="en-CA"/>
              </w:rPr>
              <w:t>, art. 1699.</w:t>
            </w:r>
          </w:p>
          <w:p w:rsidR="004B645F" w:rsidRPr="00893C26" w:rsidRDefault="004B645F" w:rsidP="00A743EC">
            <w:pPr>
              <w:jc w:val="both"/>
              <w:rPr>
                <w:sz w:val="20"/>
                <w:lang w:val="en-CA"/>
              </w:rPr>
            </w:pPr>
          </w:p>
        </w:tc>
      </w:tr>
      <w:tr w:rsidR="004B645F" w:rsidRPr="00893C26">
        <w:tc>
          <w:tcPr>
            <w:tcW w:w="5000" w:type="pct"/>
            <w:gridSpan w:val="4"/>
          </w:tcPr>
          <w:p w:rsidR="004B645F" w:rsidRPr="00893C26" w:rsidRDefault="004B645F" w:rsidP="00A743EC">
            <w:pPr>
              <w:jc w:val="both"/>
              <w:rPr>
                <w:sz w:val="20"/>
                <w:lang w:val="en-CA"/>
              </w:rPr>
            </w:pPr>
            <w:r w:rsidRPr="00893C26">
              <w:rPr>
                <w:sz w:val="20"/>
                <w:lang w:val="en-CA"/>
              </w:rPr>
              <w:t xml:space="preserve">On October 1, 2014, the respondent Mathieu Ambroise, on behalf of a company to </w:t>
            </w:r>
            <w:proofErr w:type="gramStart"/>
            <w:r w:rsidRPr="00893C26">
              <w:rPr>
                <w:sz w:val="20"/>
                <w:lang w:val="en-CA"/>
              </w:rPr>
              <w:t>be formed</w:t>
            </w:r>
            <w:proofErr w:type="gramEnd"/>
            <w:r w:rsidRPr="00893C26">
              <w:rPr>
                <w:sz w:val="20"/>
                <w:lang w:val="en-CA"/>
              </w:rPr>
              <w:t xml:space="preserve">, signed an offer to purchase an immovable in Gatineau owned by 9255-1175 Québec inc., a company controlled by the applicant Denis Poirier and Tony M. Palmorino. Mr. Ambroise paid a deposit of $210,000, which consisted of $100,000 paid to the applicants’ lawyers and $110,000 to the applicant Relance-Immo inc., a company controlled by Mr. Poirier. The purchase of the immovable remained conditional on obtaining financing. Following various discussions with banking institutions in the summer of 2015, Mr. Ambroise was unable to obtain the necessary financing, which meant that the transaction fell through. He eventually tried and failed to recover his deposit from 9255-1175 Québec inc. In the fall of 2017, Mr. Ambroise and 9185-4620 Québec inc. therefore brought court proceedings against Mr. Poirier, Mr. Palmorino, 9255-1175 Québec inc., 9298-9524 Québec inc. and Relance-Immo inc. seeking restitution of the deposit. In July 2018, 9298-9524 Québec inc. sold the immovable to a third party for $900,000. The Superior Court allowed the originating application in part and made an award </w:t>
            </w:r>
            <w:r w:rsidRPr="00893C26">
              <w:rPr>
                <w:i/>
                <w:sz w:val="20"/>
                <w:lang w:val="en-CA"/>
              </w:rPr>
              <w:t>in solidum</w:t>
            </w:r>
            <w:r w:rsidRPr="00893C26">
              <w:rPr>
                <w:sz w:val="20"/>
                <w:lang w:val="en-CA"/>
              </w:rPr>
              <w:t xml:space="preserve"> against Mr. Poirier, Mr. Palmorino, 9255-1175 Québec inc., 9298-9524 Québec inc. and Relance-Immo inc. requiring them to pay Mr. Ambroise $210,000. The </w:t>
            </w:r>
            <w:proofErr w:type="gramStart"/>
            <w:r w:rsidRPr="00893C26">
              <w:rPr>
                <w:sz w:val="20"/>
                <w:lang w:val="en-CA"/>
              </w:rPr>
              <w:t>cross-application</w:t>
            </w:r>
            <w:proofErr w:type="gramEnd"/>
            <w:r w:rsidRPr="00893C26">
              <w:rPr>
                <w:sz w:val="20"/>
                <w:lang w:val="en-CA"/>
              </w:rPr>
              <w:t xml:space="preserve"> filed by 9298-9524 Québec inc. was dismissed. The Court of Appeal dismissed the appeal.</w:t>
            </w:r>
          </w:p>
        </w:tc>
      </w:tr>
      <w:tr w:rsidR="004B645F" w:rsidRPr="00893C26">
        <w:tc>
          <w:tcPr>
            <w:tcW w:w="5000" w:type="pct"/>
            <w:gridSpan w:val="4"/>
          </w:tcPr>
          <w:p w:rsidR="004B645F" w:rsidRPr="00893C26" w:rsidRDefault="004B645F" w:rsidP="00A743EC">
            <w:pPr>
              <w:jc w:val="both"/>
              <w:rPr>
                <w:sz w:val="20"/>
                <w:lang w:val="en-CA"/>
              </w:rPr>
            </w:pPr>
          </w:p>
        </w:tc>
      </w:tr>
      <w:tr w:rsidR="004B645F" w:rsidRPr="00893C26">
        <w:tc>
          <w:tcPr>
            <w:tcW w:w="2427" w:type="pct"/>
            <w:gridSpan w:val="2"/>
          </w:tcPr>
          <w:p w:rsidR="004B645F" w:rsidRPr="00893C26" w:rsidRDefault="004B645F" w:rsidP="00A743EC">
            <w:pPr>
              <w:jc w:val="both"/>
              <w:rPr>
                <w:sz w:val="20"/>
                <w:lang w:val="en-CA"/>
              </w:rPr>
            </w:pPr>
            <w:r w:rsidRPr="00893C26">
              <w:rPr>
                <w:sz w:val="20"/>
                <w:lang w:val="en-CA"/>
              </w:rPr>
              <w:t>March 9, 2021</w:t>
            </w:r>
          </w:p>
          <w:p w:rsidR="004B645F" w:rsidRPr="00893C26" w:rsidRDefault="004B645F" w:rsidP="00A743EC">
            <w:pPr>
              <w:jc w:val="both"/>
              <w:rPr>
                <w:sz w:val="20"/>
                <w:lang w:val="en-CA"/>
              </w:rPr>
            </w:pPr>
            <w:r w:rsidRPr="00893C26">
              <w:rPr>
                <w:sz w:val="20"/>
                <w:lang w:val="en-CA"/>
              </w:rPr>
              <w:t>Quebec Superior Court</w:t>
            </w:r>
          </w:p>
          <w:p w:rsidR="004B645F" w:rsidRPr="00893C26" w:rsidRDefault="004B645F" w:rsidP="00A743EC">
            <w:pPr>
              <w:jc w:val="both"/>
              <w:rPr>
                <w:sz w:val="20"/>
                <w:lang w:val="en-CA"/>
              </w:rPr>
            </w:pPr>
            <w:r w:rsidRPr="00893C26">
              <w:rPr>
                <w:sz w:val="20"/>
                <w:lang w:val="en-CA"/>
              </w:rPr>
              <w:t>(Desfossés J.)</w:t>
            </w:r>
          </w:p>
          <w:p w:rsidR="004B645F" w:rsidRPr="00893C26" w:rsidRDefault="00893C26" w:rsidP="00A743EC">
            <w:pPr>
              <w:jc w:val="both"/>
              <w:rPr>
                <w:sz w:val="20"/>
                <w:lang w:val="en-CA"/>
              </w:rPr>
            </w:pPr>
            <w:hyperlink r:id="rId77" w:history="1">
              <w:r w:rsidR="004B645F" w:rsidRPr="00893C26">
                <w:rPr>
                  <w:rStyle w:val="Hyperlink"/>
                  <w:sz w:val="20"/>
                  <w:lang w:val="en-CA"/>
                </w:rPr>
                <w:t>2021 QCCS 2802</w:t>
              </w:r>
            </w:hyperlink>
          </w:p>
          <w:p w:rsidR="004B645F" w:rsidRPr="00893C26" w:rsidRDefault="004B645F" w:rsidP="00A743EC">
            <w:pPr>
              <w:jc w:val="both"/>
              <w:rPr>
                <w:sz w:val="20"/>
                <w:lang w:val="en-CA"/>
              </w:rPr>
            </w:pPr>
          </w:p>
        </w:tc>
        <w:tc>
          <w:tcPr>
            <w:tcW w:w="243" w:type="pct"/>
          </w:tcPr>
          <w:p w:rsidR="004B645F" w:rsidRPr="00893C26" w:rsidRDefault="004B645F" w:rsidP="00A743EC">
            <w:pPr>
              <w:jc w:val="both"/>
              <w:rPr>
                <w:sz w:val="20"/>
                <w:lang w:val="en-CA"/>
              </w:rPr>
            </w:pPr>
          </w:p>
        </w:tc>
        <w:tc>
          <w:tcPr>
            <w:tcW w:w="2330" w:type="pct"/>
          </w:tcPr>
          <w:p w:rsidR="004B645F" w:rsidRPr="00893C26" w:rsidRDefault="004B645F" w:rsidP="00A743EC">
            <w:pPr>
              <w:jc w:val="both"/>
              <w:rPr>
                <w:sz w:val="20"/>
                <w:lang w:val="en-CA"/>
              </w:rPr>
            </w:pPr>
            <w:r w:rsidRPr="00893C26">
              <w:rPr>
                <w:sz w:val="20"/>
                <w:lang w:val="en-CA"/>
              </w:rPr>
              <w:t>Originating application allowed in part</w:t>
            </w:r>
          </w:p>
          <w:p w:rsidR="004B645F" w:rsidRPr="00893C26" w:rsidRDefault="004B645F" w:rsidP="00A743EC">
            <w:pPr>
              <w:jc w:val="both"/>
              <w:rPr>
                <w:sz w:val="20"/>
                <w:lang w:val="en-CA"/>
              </w:rPr>
            </w:pPr>
            <w:r w:rsidRPr="00893C26">
              <w:rPr>
                <w:sz w:val="20"/>
                <w:lang w:val="en-CA"/>
              </w:rPr>
              <w:t>Cross-application dismissed</w:t>
            </w:r>
          </w:p>
          <w:p w:rsidR="004B645F" w:rsidRPr="00893C26" w:rsidRDefault="004B645F" w:rsidP="00A743EC">
            <w:pPr>
              <w:jc w:val="both"/>
              <w:rPr>
                <w:sz w:val="20"/>
                <w:lang w:val="en-CA"/>
              </w:rPr>
            </w:pPr>
            <w:r w:rsidRPr="00893C26">
              <w:rPr>
                <w:sz w:val="20"/>
                <w:lang w:val="en-CA"/>
              </w:rPr>
              <w:t>Application for declaration of breaches in conduct of proceeding dismissed</w:t>
            </w:r>
          </w:p>
          <w:p w:rsidR="004B645F" w:rsidRPr="00893C26" w:rsidRDefault="004B645F" w:rsidP="00A743EC">
            <w:pPr>
              <w:jc w:val="both"/>
              <w:rPr>
                <w:sz w:val="20"/>
                <w:lang w:val="en-CA"/>
              </w:rPr>
            </w:pPr>
          </w:p>
        </w:tc>
      </w:tr>
      <w:tr w:rsidR="004B645F" w:rsidRPr="00893C26">
        <w:tc>
          <w:tcPr>
            <w:tcW w:w="2427" w:type="pct"/>
            <w:gridSpan w:val="2"/>
          </w:tcPr>
          <w:p w:rsidR="004B645F" w:rsidRPr="00893C26" w:rsidRDefault="004B645F" w:rsidP="00A743EC">
            <w:pPr>
              <w:jc w:val="both"/>
              <w:rPr>
                <w:sz w:val="20"/>
                <w:lang w:val="en-CA"/>
              </w:rPr>
            </w:pPr>
            <w:r w:rsidRPr="00893C26">
              <w:rPr>
                <w:sz w:val="20"/>
                <w:lang w:val="en-CA"/>
              </w:rPr>
              <w:t>February 9, 2022</w:t>
            </w:r>
          </w:p>
          <w:p w:rsidR="004B645F" w:rsidRPr="00893C26" w:rsidRDefault="004B645F" w:rsidP="00A743EC">
            <w:pPr>
              <w:jc w:val="both"/>
              <w:rPr>
                <w:sz w:val="20"/>
                <w:lang w:val="en-CA"/>
              </w:rPr>
            </w:pPr>
            <w:r w:rsidRPr="00893C26">
              <w:rPr>
                <w:sz w:val="20"/>
                <w:lang w:val="en-CA"/>
              </w:rPr>
              <w:t>Quebec Court of Appeal (Montréal)</w:t>
            </w:r>
          </w:p>
          <w:p w:rsidR="004B645F" w:rsidRPr="00893C26" w:rsidRDefault="004B645F" w:rsidP="00A743EC">
            <w:pPr>
              <w:jc w:val="both"/>
              <w:rPr>
                <w:sz w:val="20"/>
                <w:lang w:val="en-CA"/>
              </w:rPr>
            </w:pPr>
            <w:r w:rsidRPr="00893C26">
              <w:rPr>
                <w:sz w:val="20"/>
                <w:lang w:val="en-CA"/>
              </w:rPr>
              <w:t>(Dutil, Marcotte and Hamilton JJ.A.)</w:t>
            </w:r>
          </w:p>
          <w:p w:rsidR="004B645F" w:rsidRPr="00893C26" w:rsidRDefault="00893C26" w:rsidP="00A743EC">
            <w:pPr>
              <w:jc w:val="both"/>
              <w:rPr>
                <w:sz w:val="20"/>
                <w:lang w:val="en-CA"/>
              </w:rPr>
            </w:pPr>
            <w:hyperlink r:id="rId78" w:history="1">
              <w:r w:rsidR="004B645F" w:rsidRPr="00893C26">
                <w:rPr>
                  <w:rStyle w:val="Hyperlink"/>
                  <w:sz w:val="20"/>
                  <w:lang w:val="en-CA"/>
                </w:rPr>
                <w:t>2022 QCCA 228</w:t>
              </w:r>
            </w:hyperlink>
          </w:p>
          <w:p w:rsidR="004B645F" w:rsidRPr="00893C26" w:rsidRDefault="004B645F" w:rsidP="00A743EC">
            <w:pPr>
              <w:jc w:val="both"/>
              <w:rPr>
                <w:sz w:val="20"/>
                <w:lang w:val="en-CA"/>
              </w:rPr>
            </w:pPr>
          </w:p>
        </w:tc>
        <w:tc>
          <w:tcPr>
            <w:tcW w:w="243" w:type="pct"/>
          </w:tcPr>
          <w:p w:rsidR="004B645F" w:rsidRPr="00893C26" w:rsidRDefault="004B645F" w:rsidP="00A743EC">
            <w:pPr>
              <w:jc w:val="both"/>
              <w:rPr>
                <w:sz w:val="20"/>
                <w:lang w:val="en-CA"/>
              </w:rPr>
            </w:pPr>
          </w:p>
        </w:tc>
        <w:tc>
          <w:tcPr>
            <w:tcW w:w="2330" w:type="pct"/>
          </w:tcPr>
          <w:p w:rsidR="004B645F" w:rsidRPr="00893C26" w:rsidRDefault="004B645F" w:rsidP="00A743EC">
            <w:pPr>
              <w:jc w:val="both"/>
              <w:rPr>
                <w:sz w:val="20"/>
                <w:lang w:val="en-CA"/>
              </w:rPr>
            </w:pPr>
            <w:r w:rsidRPr="00893C26">
              <w:rPr>
                <w:sz w:val="20"/>
                <w:lang w:val="en-CA"/>
              </w:rPr>
              <w:t>Appeal dismissed</w:t>
            </w:r>
          </w:p>
          <w:p w:rsidR="004B645F" w:rsidRPr="00893C26" w:rsidRDefault="004B645F" w:rsidP="00A743EC">
            <w:pPr>
              <w:jc w:val="both"/>
              <w:rPr>
                <w:sz w:val="20"/>
                <w:lang w:val="en-CA"/>
              </w:rPr>
            </w:pPr>
          </w:p>
        </w:tc>
      </w:tr>
      <w:tr w:rsidR="004B645F" w:rsidRPr="00893C26">
        <w:tc>
          <w:tcPr>
            <w:tcW w:w="2427" w:type="pct"/>
            <w:gridSpan w:val="2"/>
          </w:tcPr>
          <w:p w:rsidR="004B645F" w:rsidRPr="00893C26" w:rsidRDefault="004B645F" w:rsidP="00A743EC">
            <w:pPr>
              <w:jc w:val="both"/>
              <w:rPr>
                <w:sz w:val="20"/>
                <w:lang w:val="en-CA"/>
              </w:rPr>
            </w:pPr>
            <w:r w:rsidRPr="00893C26">
              <w:rPr>
                <w:sz w:val="20"/>
                <w:lang w:val="en-CA"/>
              </w:rPr>
              <w:t>April 7, 2022</w:t>
            </w:r>
          </w:p>
          <w:p w:rsidR="004B645F" w:rsidRPr="00893C26" w:rsidRDefault="004B645F" w:rsidP="00A743EC">
            <w:pPr>
              <w:jc w:val="both"/>
              <w:rPr>
                <w:sz w:val="20"/>
                <w:lang w:val="en-CA"/>
              </w:rPr>
            </w:pPr>
            <w:r w:rsidRPr="00893C26">
              <w:rPr>
                <w:sz w:val="20"/>
                <w:lang w:val="en-CA"/>
              </w:rPr>
              <w:t>Supreme Court of Canada</w:t>
            </w:r>
          </w:p>
        </w:tc>
        <w:tc>
          <w:tcPr>
            <w:tcW w:w="243" w:type="pct"/>
          </w:tcPr>
          <w:p w:rsidR="004B645F" w:rsidRPr="00893C26" w:rsidRDefault="004B645F" w:rsidP="00A743EC">
            <w:pPr>
              <w:jc w:val="both"/>
              <w:rPr>
                <w:sz w:val="20"/>
                <w:lang w:val="en-CA"/>
              </w:rPr>
            </w:pPr>
          </w:p>
        </w:tc>
        <w:tc>
          <w:tcPr>
            <w:tcW w:w="2330" w:type="pct"/>
          </w:tcPr>
          <w:p w:rsidR="004B645F" w:rsidRPr="00893C26" w:rsidRDefault="004B645F" w:rsidP="00A743EC">
            <w:pPr>
              <w:jc w:val="both"/>
              <w:rPr>
                <w:sz w:val="20"/>
                <w:lang w:val="en-CA"/>
              </w:rPr>
            </w:pPr>
            <w:r w:rsidRPr="00893C26">
              <w:rPr>
                <w:sz w:val="20"/>
                <w:lang w:val="en-CA"/>
              </w:rPr>
              <w:t>Application for leave to appeal filed</w:t>
            </w:r>
          </w:p>
          <w:p w:rsidR="004B645F" w:rsidRPr="00893C26" w:rsidRDefault="004B645F" w:rsidP="00A743EC">
            <w:pPr>
              <w:jc w:val="both"/>
              <w:rPr>
                <w:sz w:val="20"/>
                <w:lang w:val="en-CA"/>
              </w:rPr>
            </w:pPr>
          </w:p>
        </w:tc>
      </w:tr>
    </w:tbl>
    <w:p w:rsidR="004B645F" w:rsidRPr="00893C26" w:rsidRDefault="004B645F" w:rsidP="00A743EC">
      <w:pPr>
        <w:jc w:val="both"/>
        <w:rPr>
          <w:sz w:val="20"/>
          <w:lang w:val="en-CA"/>
        </w:rPr>
      </w:pPr>
    </w:p>
    <w:p w:rsidR="00A743EC" w:rsidRPr="00893C26" w:rsidRDefault="00893C26" w:rsidP="00A743EC">
      <w:pPr>
        <w:jc w:val="both"/>
        <w:rPr>
          <w:sz w:val="20"/>
          <w:lang w:val="en-CA"/>
        </w:rPr>
      </w:pPr>
      <w:r w:rsidRPr="00893C26">
        <w:rPr>
          <w:sz w:val="20"/>
        </w:rPr>
        <w:pict>
          <v:rect id="_x0000_i1057" style="width:2in;height:1pt" o:hrpct="0" o:hralign="center" o:hrstd="t" o:hrnoshade="t" o:hr="t" fillcolor="black [3213]" stroked="f"/>
        </w:pict>
      </w:r>
    </w:p>
    <w:p w:rsidR="00A743EC" w:rsidRPr="00893C26" w:rsidRDefault="00A743EC" w:rsidP="00A743EC">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B645F" w:rsidRPr="00893C26">
        <w:tc>
          <w:tcPr>
            <w:tcW w:w="543" w:type="pct"/>
          </w:tcPr>
          <w:p w:rsidR="004B645F" w:rsidRPr="00893C26" w:rsidRDefault="004B645F" w:rsidP="00A743EC">
            <w:pPr>
              <w:jc w:val="both"/>
              <w:rPr>
                <w:sz w:val="20"/>
              </w:rPr>
            </w:pPr>
            <w:r w:rsidRPr="00893C26">
              <w:rPr>
                <w:rStyle w:val="SCCFileNumberChar"/>
                <w:sz w:val="20"/>
                <w:szCs w:val="20"/>
              </w:rPr>
              <w:t>40146</w:t>
            </w:r>
          </w:p>
        </w:tc>
        <w:tc>
          <w:tcPr>
            <w:tcW w:w="4457" w:type="pct"/>
            <w:gridSpan w:val="3"/>
          </w:tcPr>
          <w:p w:rsidR="004B645F" w:rsidRPr="00893C26" w:rsidRDefault="004B645F" w:rsidP="00A743EC">
            <w:pPr>
              <w:pStyle w:val="SCCLsocParty"/>
              <w:jc w:val="both"/>
              <w:rPr>
                <w:b/>
                <w:sz w:val="20"/>
                <w:szCs w:val="20"/>
              </w:rPr>
            </w:pPr>
            <w:r w:rsidRPr="00893C26">
              <w:rPr>
                <w:b/>
                <w:sz w:val="20"/>
                <w:szCs w:val="20"/>
              </w:rPr>
              <w:t>Denis Poirier, Relance-Immo inc. et 9298-9524 Québec inc. c. Mathieu Ambroise et 9185-4620 Québec inc.</w:t>
            </w:r>
          </w:p>
          <w:p w:rsidR="004B645F" w:rsidRPr="00893C26" w:rsidRDefault="004B645F" w:rsidP="00A743EC">
            <w:pPr>
              <w:jc w:val="both"/>
              <w:rPr>
                <w:sz w:val="20"/>
              </w:rPr>
            </w:pPr>
            <w:r w:rsidRPr="00893C26">
              <w:rPr>
                <w:sz w:val="20"/>
              </w:rPr>
              <w:t>(Qc) (Civile) (Autorisation)</w:t>
            </w:r>
          </w:p>
        </w:tc>
      </w:tr>
      <w:tr w:rsidR="004B645F" w:rsidRPr="00893C26">
        <w:tc>
          <w:tcPr>
            <w:tcW w:w="5000" w:type="pct"/>
            <w:gridSpan w:val="4"/>
          </w:tcPr>
          <w:p w:rsidR="004B645F" w:rsidRPr="00893C26" w:rsidRDefault="004B645F" w:rsidP="00A743EC">
            <w:pPr>
              <w:jc w:val="both"/>
              <w:rPr>
                <w:sz w:val="20"/>
              </w:rPr>
            </w:pPr>
            <w:r w:rsidRPr="00893C26">
              <w:rPr>
                <w:sz w:val="20"/>
                <w:lang w:val="fr-CA"/>
              </w:rPr>
              <w:t xml:space="preserve">Responsabilité civile </w:t>
            </w:r>
            <w:r w:rsidRPr="00893C26">
              <w:rPr>
                <w:sz w:val="20"/>
              </w:rPr>
              <w:t>⸺</w:t>
            </w:r>
            <w:r w:rsidRPr="00893C26">
              <w:rPr>
                <w:sz w:val="20"/>
                <w:lang w:val="fr-CA"/>
              </w:rPr>
              <w:t xml:space="preserve"> Offre d’achat d’un immeuble affectée d’une condition suspensive </w:t>
            </w:r>
            <w:r w:rsidRPr="00893C26">
              <w:rPr>
                <w:sz w:val="20"/>
              </w:rPr>
              <w:t>⸺</w:t>
            </w:r>
            <w:r w:rsidRPr="00893C26">
              <w:rPr>
                <w:sz w:val="20"/>
                <w:lang w:val="fr-CA"/>
              </w:rPr>
              <w:t xml:space="preserve"> Restitution de l’acompte en raison des faits enclenchant la condition suspensive </w:t>
            </w:r>
            <w:r w:rsidRPr="00893C26">
              <w:rPr>
                <w:sz w:val="20"/>
              </w:rPr>
              <w:t>⸺</w:t>
            </w:r>
            <w:r w:rsidRPr="00893C26">
              <w:rPr>
                <w:sz w:val="20"/>
                <w:lang w:val="fr-CA"/>
              </w:rPr>
              <w:t xml:space="preserve"> Condamnation </w:t>
            </w:r>
            <w:r w:rsidRPr="00893C26">
              <w:rPr>
                <w:i/>
                <w:sz w:val="20"/>
                <w:lang w:val="fr-CA"/>
              </w:rPr>
              <w:t xml:space="preserve">in solidum </w:t>
            </w:r>
            <w:r w:rsidRPr="00893C26">
              <w:rPr>
                <w:sz w:val="20"/>
                <w:lang w:val="fr-CA"/>
              </w:rPr>
              <w:t xml:space="preserve">des débiteurs </w:t>
            </w:r>
            <w:r w:rsidRPr="00893C26">
              <w:rPr>
                <w:sz w:val="20"/>
              </w:rPr>
              <w:t>⸺</w:t>
            </w:r>
            <w:r w:rsidRPr="00893C26">
              <w:rPr>
                <w:sz w:val="20"/>
                <w:lang w:val="fr-CA"/>
              </w:rPr>
              <w:t xml:space="preserve"> Les instances inférieures ont-elles erré dans l’application et l’appréciation des critères relatifs à l’application de l’art. 1699 du </w:t>
            </w:r>
            <w:r w:rsidRPr="00893C26">
              <w:rPr>
                <w:i/>
                <w:sz w:val="20"/>
                <w:lang w:val="fr-CA"/>
              </w:rPr>
              <w:t>Code civil du Québec</w:t>
            </w:r>
            <w:r w:rsidRPr="00893C26">
              <w:rPr>
                <w:sz w:val="20"/>
                <w:lang w:val="fr-CA"/>
              </w:rPr>
              <w:t xml:space="preserve"> (CCQ) en permettant un remboursement excessif d’une somme non versée par le réclamant? </w:t>
            </w:r>
            <w:r w:rsidRPr="00893C26">
              <w:rPr>
                <w:sz w:val="20"/>
              </w:rPr>
              <w:t>⸺</w:t>
            </w:r>
            <w:r w:rsidRPr="00893C26">
              <w:rPr>
                <w:sz w:val="20"/>
                <w:lang w:val="fr-CA"/>
              </w:rPr>
              <w:t xml:space="preserve"> Les instances inférieures ont-elles erré dans l’évaluation de fraude en matière civile? </w:t>
            </w:r>
            <w:r w:rsidRPr="00893C26">
              <w:rPr>
                <w:sz w:val="20"/>
              </w:rPr>
              <w:t xml:space="preserve">⸺ </w:t>
            </w:r>
            <w:r w:rsidRPr="00893C26">
              <w:rPr>
                <w:i/>
                <w:sz w:val="20"/>
              </w:rPr>
              <w:t>Code civil du Québec</w:t>
            </w:r>
            <w:r w:rsidRPr="00893C26">
              <w:rPr>
                <w:sz w:val="20"/>
              </w:rPr>
              <w:t>, art. 1699.</w:t>
            </w:r>
          </w:p>
          <w:p w:rsidR="004B645F" w:rsidRPr="00893C26" w:rsidRDefault="004B645F" w:rsidP="00A743EC">
            <w:pPr>
              <w:jc w:val="both"/>
              <w:rPr>
                <w:sz w:val="20"/>
              </w:rPr>
            </w:pPr>
          </w:p>
        </w:tc>
      </w:tr>
      <w:tr w:rsidR="004B645F" w:rsidRPr="00893C26">
        <w:tc>
          <w:tcPr>
            <w:tcW w:w="5000" w:type="pct"/>
            <w:gridSpan w:val="4"/>
          </w:tcPr>
          <w:p w:rsidR="004B645F" w:rsidRPr="00893C26" w:rsidRDefault="004B645F" w:rsidP="00A743EC">
            <w:pPr>
              <w:jc w:val="both"/>
              <w:rPr>
                <w:sz w:val="20"/>
                <w:lang w:val="fr-CA"/>
              </w:rPr>
            </w:pPr>
            <w:r w:rsidRPr="00893C26">
              <w:rPr>
                <w:sz w:val="20"/>
                <w:lang w:val="fr-CA"/>
              </w:rPr>
              <w:t>Le 1</w:t>
            </w:r>
            <w:r w:rsidRPr="00893C26">
              <w:rPr>
                <w:sz w:val="20"/>
                <w:vertAlign w:val="superscript"/>
                <w:lang w:val="fr-CA"/>
              </w:rPr>
              <w:t>er</w:t>
            </w:r>
            <w:r w:rsidRPr="00893C26">
              <w:rPr>
                <w:sz w:val="20"/>
                <w:lang w:val="fr-CA"/>
              </w:rPr>
              <w:t xml:space="preserve"> octobre 2014, l’intimée M. Mathieu Ambroise a signé, au nom d’une société à être formée, une offre d’achat pour un immeuble situé à Gatineau appartenant à la société 9255-1175 Québec inc. sous le contrôle du demandeur M. Denis Poirier ainsi que M. Tony M. Palmorino. M. Ambroise </w:t>
            </w:r>
            <w:proofErr w:type="gramStart"/>
            <w:r w:rsidRPr="00893C26">
              <w:rPr>
                <w:sz w:val="20"/>
                <w:lang w:val="fr-CA"/>
              </w:rPr>
              <w:t>a</w:t>
            </w:r>
            <w:proofErr w:type="gramEnd"/>
            <w:r w:rsidRPr="00893C26">
              <w:rPr>
                <w:sz w:val="20"/>
                <w:lang w:val="fr-CA"/>
              </w:rPr>
              <w:t xml:space="preserve"> versé un acompte d’un montant de 210 000$ soit la somme de 100 000$ remise aux avocats des demandeurs et la somme de 110 000$ remise au demandeur Relance-Immo inc., une société contrôlée par M. Poirier. Cet achat d’immeuble demeurait conditionnel à l’obtention de financement. Après diverses discussions au cours de l’été 2015 avec des institutions bancaires, M. Ambroise n’a pas réussi à obtenir le financement requis avec la conséquence de faire échouer la transaction. M. Ambroise a éventuellement recherché à récupérer son acompte auprès de la société 9255-1175 Québec inc. sans succès. En automne 2017, M. Ambroise et la société 9185-4620 Québec inc. ont alors saisi les tribunaux contre Messieurs Poirier et Palmorino ainsi que contre 9255-1175 Québec inc., 9298-9524 Québec inc. et Relance-Immo inc. afin d’obtenir la restitution de l’acompte. En juillet 2018, 9298-9524 Québec inc. </w:t>
            </w:r>
            <w:proofErr w:type="gramStart"/>
            <w:r w:rsidRPr="00893C26">
              <w:rPr>
                <w:sz w:val="20"/>
                <w:lang w:val="fr-CA"/>
              </w:rPr>
              <w:t>a</w:t>
            </w:r>
            <w:proofErr w:type="gramEnd"/>
            <w:r w:rsidRPr="00893C26">
              <w:rPr>
                <w:sz w:val="20"/>
                <w:lang w:val="fr-CA"/>
              </w:rPr>
              <w:t xml:space="preserve"> vendu l’immeuble à un tiers pour la somme de 900 000$. La Cour supérieure a accueilli en partie la demande introductive d’instance et a condamné </w:t>
            </w:r>
            <w:r w:rsidRPr="00893C26">
              <w:rPr>
                <w:i/>
                <w:sz w:val="20"/>
                <w:lang w:val="fr-CA"/>
              </w:rPr>
              <w:t>in solidum</w:t>
            </w:r>
            <w:r w:rsidRPr="00893C26">
              <w:rPr>
                <w:sz w:val="20"/>
                <w:lang w:val="fr-CA"/>
              </w:rPr>
              <w:t xml:space="preserve"> Messieurs Poirier et Palmorino ainsi que 9255-1175 Québec inc., 9298-9524 Québec inc. et Relance-Immo inc. à payer à M. Ambroise la somme de 210 000$. La demande reconventionnelle de 9298-9524 Québec inc. a été rejetée. La Cour d’appel a rejeté l’appel.</w:t>
            </w:r>
          </w:p>
        </w:tc>
      </w:tr>
      <w:tr w:rsidR="004B645F" w:rsidRPr="00893C26">
        <w:tc>
          <w:tcPr>
            <w:tcW w:w="5000" w:type="pct"/>
            <w:gridSpan w:val="4"/>
          </w:tcPr>
          <w:p w:rsidR="004B645F" w:rsidRPr="00893C26" w:rsidRDefault="004B645F" w:rsidP="00A743EC">
            <w:pPr>
              <w:jc w:val="both"/>
              <w:rPr>
                <w:sz w:val="20"/>
                <w:lang w:val="fr-CA"/>
              </w:rPr>
            </w:pPr>
          </w:p>
        </w:tc>
      </w:tr>
      <w:tr w:rsidR="004B645F" w:rsidRPr="00893C26">
        <w:tc>
          <w:tcPr>
            <w:tcW w:w="2427" w:type="pct"/>
            <w:gridSpan w:val="2"/>
          </w:tcPr>
          <w:p w:rsidR="004B645F" w:rsidRPr="00893C26" w:rsidRDefault="004B645F" w:rsidP="00A743EC">
            <w:pPr>
              <w:jc w:val="both"/>
              <w:rPr>
                <w:sz w:val="20"/>
                <w:lang w:val="fr-CA"/>
              </w:rPr>
            </w:pPr>
            <w:r w:rsidRPr="00893C26">
              <w:rPr>
                <w:sz w:val="20"/>
                <w:lang w:val="fr-CA"/>
              </w:rPr>
              <w:t>Le 9 mars 2021</w:t>
            </w:r>
          </w:p>
          <w:p w:rsidR="004B645F" w:rsidRPr="00893C26" w:rsidRDefault="004B645F" w:rsidP="00A743EC">
            <w:pPr>
              <w:jc w:val="both"/>
              <w:rPr>
                <w:sz w:val="20"/>
                <w:lang w:val="fr-CA"/>
              </w:rPr>
            </w:pPr>
            <w:r w:rsidRPr="00893C26">
              <w:rPr>
                <w:sz w:val="20"/>
                <w:lang w:val="fr-CA"/>
              </w:rPr>
              <w:t>Cour supérieure du Québec</w:t>
            </w:r>
          </w:p>
          <w:p w:rsidR="004B645F" w:rsidRPr="00893C26" w:rsidRDefault="004B645F" w:rsidP="00A743EC">
            <w:pPr>
              <w:jc w:val="both"/>
              <w:rPr>
                <w:sz w:val="20"/>
              </w:rPr>
            </w:pPr>
            <w:r w:rsidRPr="00893C26">
              <w:rPr>
                <w:sz w:val="20"/>
              </w:rPr>
              <w:t>(La juge Desfossés)</w:t>
            </w:r>
          </w:p>
          <w:p w:rsidR="004B645F" w:rsidRPr="00893C26" w:rsidRDefault="00893C26" w:rsidP="00A743EC">
            <w:pPr>
              <w:jc w:val="both"/>
              <w:rPr>
                <w:sz w:val="20"/>
              </w:rPr>
            </w:pPr>
            <w:hyperlink r:id="rId79" w:history="1">
              <w:r w:rsidR="004B645F" w:rsidRPr="00893C26">
                <w:rPr>
                  <w:rStyle w:val="Hyperlink"/>
                  <w:sz w:val="20"/>
                </w:rPr>
                <w:t>2021 QCCS 2802</w:t>
              </w:r>
            </w:hyperlink>
          </w:p>
          <w:p w:rsidR="004B645F" w:rsidRPr="00893C26" w:rsidRDefault="004B645F" w:rsidP="00A743EC">
            <w:pPr>
              <w:jc w:val="both"/>
              <w:rPr>
                <w:sz w:val="20"/>
              </w:rPr>
            </w:pPr>
          </w:p>
        </w:tc>
        <w:tc>
          <w:tcPr>
            <w:tcW w:w="243" w:type="pct"/>
          </w:tcPr>
          <w:p w:rsidR="004B645F" w:rsidRPr="00893C26" w:rsidRDefault="004B645F" w:rsidP="00A743EC">
            <w:pPr>
              <w:jc w:val="both"/>
              <w:rPr>
                <w:sz w:val="20"/>
              </w:rPr>
            </w:pPr>
          </w:p>
        </w:tc>
        <w:tc>
          <w:tcPr>
            <w:tcW w:w="2330" w:type="pct"/>
          </w:tcPr>
          <w:p w:rsidR="004B645F" w:rsidRPr="00893C26" w:rsidRDefault="004B645F" w:rsidP="00A743EC">
            <w:pPr>
              <w:jc w:val="both"/>
              <w:rPr>
                <w:sz w:val="20"/>
                <w:lang w:val="fr-CA"/>
              </w:rPr>
            </w:pPr>
            <w:r w:rsidRPr="00893C26">
              <w:rPr>
                <w:sz w:val="20"/>
                <w:lang w:val="fr-CA"/>
              </w:rPr>
              <w:t>Demande introductive d’instance accueillie en partie.</w:t>
            </w:r>
          </w:p>
          <w:p w:rsidR="004B645F" w:rsidRPr="00893C26" w:rsidRDefault="004B645F" w:rsidP="00A743EC">
            <w:pPr>
              <w:jc w:val="both"/>
              <w:rPr>
                <w:sz w:val="20"/>
                <w:lang w:val="fr-CA"/>
              </w:rPr>
            </w:pPr>
            <w:r w:rsidRPr="00893C26">
              <w:rPr>
                <w:sz w:val="20"/>
                <w:lang w:val="fr-CA"/>
              </w:rPr>
              <w:t>Demande reconventionnelle rejetée.</w:t>
            </w:r>
          </w:p>
          <w:p w:rsidR="004B645F" w:rsidRPr="00893C26" w:rsidRDefault="004B645F" w:rsidP="00A743EC">
            <w:pPr>
              <w:jc w:val="both"/>
              <w:rPr>
                <w:sz w:val="20"/>
                <w:lang w:val="fr-CA"/>
              </w:rPr>
            </w:pPr>
            <w:r w:rsidRPr="00893C26">
              <w:rPr>
                <w:sz w:val="20"/>
                <w:lang w:val="fr-CA"/>
              </w:rPr>
              <w:t>Demande en déclaration de manquements au déroulement de l’instance rejetée.</w:t>
            </w:r>
          </w:p>
          <w:p w:rsidR="004B645F" w:rsidRPr="00893C26" w:rsidRDefault="004B645F" w:rsidP="00A743EC">
            <w:pPr>
              <w:jc w:val="both"/>
              <w:rPr>
                <w:sz w:val="20"/>
                <w:lang w:val="fr-CA"/>
              </w:rPr>
            </w:pPr>
          </w:p>
        </w:tc>
      </w:tr>
      <w:tr w:rsidR="004B645F" w:rsidRPr="00893C26">
        <w:tc>
          <w:tcPr>
            <w:tcW w:w="2427" w:type="pct"/>
            <w:gridSpan w:val="2"/>
          </w:tcPr>
          <w:p w:rsidR="004B645F" w:rsidRPr="00893C26" w:rsidRDefault="004B645F" w:rsidP="00A743EC">
            <w:pPr>
              <w:jc w:val="both"/>
              <w:rPr>
                <w:sz w:val="20"/>
                <w:lang w:val="fr-CA"/>
              </w:rPr>
            </w:pPr>
            <w:r w:rsidRPr="00893C26">
              <w:rPr>
                <w:sz w:val="20"/>
                <w:lang w:val="fr-CA"/>
              </w:rPr>
              <w:t>Le 9 février 2022</w:t>
            </w:r>
          </w:p>
          <w:p w:rsidR="004B645F" w:rsidRPr="00893C26" w:rsidRDefault="004B645F" w:rsidP="00A743EC">
            <w:pPr>
              <w:jc w:val="both"/>
              <w:rPr>
                <w:sz w:val="20"/>
                <w:lang w:val="fr-CA"/>
              </w:rPr>
            </w:pPr>
            <w:r w:rsidRPr="00893C26">
              <w:rPr>
                <w:sz w:val="20"/>
                <w:lang w:val="fr-CA"/>
              </w:rPr>
              <w:t>Cour d’appel du Québec (Montréal)</w:t>
            </w:r>
          </w:p>
          <w:p w:rsidR="004B645F" w:rsidRPr="00893C26" w:rsidRDefault="004B645F" w:rsidP="00A743EC">
            <w:pPr>
              <w:jc w:val="both"/>
              <w:rPr>
                <w:sz w:val="20"/>
                <w:lang w:val="fr-CA"/>
              </w:rPr>
            </w:pPr>
            <w:r w:rsidRPr="00893C26">
              <w:rPr>
                <w:sz w:val="20"/>
                <w:lang w:val="fr-CA"/>
              </w:rPr>
              <w:t>(Les juges Dutil, Marcotte et Hamilton)</w:t>
            </w:r>
          </w:p>
          <w:p w:rsidR="004B645F" w:rsidRPr="00893C26" w:rsidRDefault="00893C26" w:rsidP="00A743EC">
            <w:pPr>
              <w:jc w:val="both"/>
              <w:rPr>
                <w:sz w:val="20"/>
              </w:rPr>
            </w:pPr>
            <w:hyperlink r:id="rId80" w:history="1">
              <w:r w:rsidR="004B645F" w:rsidRPr="00893C26">
                <w:rPr>
                  <w:rStyle w:val="Hyperlink"/>
                  <w:sz w:val="20"/>
                </w:rPr>
                <w:t>2022 QCCA 228</w:t>
              </w:r>
            </w:hyperlink>
          </w:p>
          <w:p w:rsidR="004B645F" w:rsidRPr="00893C26" w:rsidRDefault="004B645F" w:rsidP="00A743EC">
            <w:pPr>
              <w:jc w:val="both"/>
              <w:rPr>
                <w:sz w:val="20"/>
              </w:rPr>
            </w:pPr>
          </w:p>
        </w:tc>
        <w:tc>
          <w:tcPr>
            <w:tcW w:w="243" w:type="pct"/>
          </w:tcPr>
          <w:p w:rsidR="004B645F" w:rsidRPr="00893C26" w:rsidRDefault="004B645F" w:rsidP="00A743EC">
            <w:pPr>
              <w:jc w:val="both"/>
              <w:rPr>
                <w:sz w:val="20"/>
              </w:rPr>
            </w:pPr>
          </w:p>
        </w:tc>
        <w:tc>
          <w:tcPr>
            <w:tcW w:w="2330" w:type="pct"/>
          </w:tcPr>
          <w:p w:rsidR="004B645F" w:rsidRPr="00893C26" w:rsidRDefault="004B645F" w:rsidP="00A743EC">
            <w:pPr>
              <w:jc w:val="both"/>
              <w:rPr>
                <w:sz w:val="20"/>
              </w:rPr>
            </w:pPr>
            <w:r w:rsidRPr="00893C26">
              <w:rPr>
                <w:sz w:val="20"/>
              </w:rPr>
              <w:t>Appel rejeté.</w:t>
            </w:r>
          </w:p>
          <w:p w:rsidR="004B645F" w:rsidRPr="00893C26" w:rsidRDefault="004B645F" w:rsidP="00A743EC">
            <w:pPr>
              <w:jc w:val="both"/>
              <w:rPr>
                <w:sz w:val="20"/>
              </w:rPr>
            </w:pPr>
          </w:p>
        </w:tc>
      </w:tr>
      <w:tr w:rsidR="004B645F" w:rsidRPr="00893C26">
        <w:tc>
          <w:tcPr>
            <w:tcW w:w="2427" w:type="pct"/>
            <w:gridSpan w:val="2"/>
          </w:tcPr>
          <w:p w:rsidR="004B645F" w:rsidRPr="00893C26" w:rsidRDefault="004B645F" w:rsidP="00A743EC">
            <w:pPr>
              <w:jc w:val="both"/>
              <w:rPr>
                <w:sz w:val="20"/>
                <w:lang w:val="fr-CA"/>
              </w:rPr>
            </w:pPr>
            <w:r w:rsidRPr="00893C26">
              <w:rPr>
                <w:sz w:val="20"/>
                <w:lang w:val="fr-CA"/>
              </w:rPr>
              <w:t>Le 7 avril 2022</w:t>
            </w:r>
          </w:p>
          <w:p w:rsidR="004B645F" w:rsidRPr="00893C26" w:rsidRDefault="004B645F" w:rsidP="00A743EC">
            <w:pPr>
              <w:jc w:val="both"/>
              <w:rPr>
                <w:sz w:val="20"/>
                <w:lang w:val="fr-CA"/>
              </w:rPr>
            </w:pPr>
            <w:r w:rsidRPr="00893C26">
              <w:rPr>
                <w:sz w:val="20"/>
                <w:lang w:val="fr-CA"/>
              </w:rPr>
              <w:t>Cour suprême du Canada</w:t>
            </w:r>
          </w:p>
        </w:tc>
        <w:tc>
          <w:tcPr>
            <w:tcW w:w="243" w:type="pct"/>
          </w:tcPr>
          <w:p w:rsidR="004B645F" w:rsidRPr="00893C26" w:rsidRDefault="004B645F" w:rsidP="00A743EC">
            <w:pPr>
              <w:jc w:val="both"/>
              <w:rPr>
                <w:sz w:val="20"/>
                <w:lang w:val="fr-CA"/>
              </w:rPr>
            </w:pPr>
          </w:p>
        </w:tc>
        <w:tc>
          <w:tcPr>
            <w:tcW w:w="2330" w:type="pct"/>
          </w:tcPr>
          <w:p w:rsidR="004B645F" w:rsidRPr="00893C26" w:rsidRDefault="004B645F" w:rsidP="00A743EC">
            <w:pPr>
              <w:jc w:val="both"/>
              <w:rPr>
                <w:sz w:val="20"/>
              </w:rPr>
            </w:pPr>
            <w:r w:rsidRPr="00893C26">
              <w:rPr>
                <w:sz w:val="20"/>
              </w:rPr>
              <w:t>Demande d'autorisation d'appel déposée</w:t>
            </w:r>
          </w:p>
          <w:p w:rsidR="004B645F" w:rsidRPr="00893C26" w:rsidRDefault="004B645F" w:rsidP="00A743EC">
            <w:pPr>
              <w:jc w:val="both"/>
              <w:rPr>
                <w:sz w:val="20"/>
              </w:rPr>
            </w:pPr>
          </w:p>
        </w:tc>
      </w:tr>
    </w:tbl>
    <w:p w:rsidR="004B645F" w:rsidRPr="00893C26" w:rsidRDefault="004B645F" w:rsidP="00A743EC">
      <w:pPr>
        <w:jc w:val="both"/>
        <w:rPr>
          <w:sz w:val="20"/>
        </w:rPr>
      </w:pPr>
    </w:p>
    <w:p w:rsidR="00311655" w:rsidRPr="00893C26" w:rsidRDefault="00893C26" w:rsidP="00A743EC">
      <w:pPr>
        <w:ind w:left="142" w:hanging="142"/>
        <w:jc w:val="both"/>
        <w:rPr>
          <w:sz w:val="20"/>
          <w:lang w:val="fr-CA"/>
        </w:rPr>
      </w:pPr>
      <w:r w:rsidRPr="00893C26">
        <w:rPr>
          <w:sz w:val="20"/>
        </w:rPr>
        <w:pict>
          <v:rect id="_x0000_i1058" style="width:2in;height:1pt" o:hrpct="0" o:hralign="center" o:hrstd="t" o:hrnoshade="t" o:hr="t" fillcolor="black [3213]" stroked="f"/>
        </w:pict>
      </w:r>
    </w:p>
    <w:p w:rsidR="00A743EC" w:rsidRPr="00893C26" w:rsidRDefault="00A743EC" w:rsidP="00A743E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743EC" w:rsidRPr="00893C26" w:rsidTr="00A743EC">
        <w:tc>
          <w:tcPr>
            <w:tcW w:w="543" w:type="pct"/>
          </w:tcPr>
          <w:p w:rsidR="00A743EC" w:rsidRPr="00893C26" w:rsidRDefault="00A743EC" w:rsidP="00A743EC">
            <w:pPr>
              <w:jc w:val="both"/>
              <w:rPr>
                <w:sz w:val="20"/>
              </w:rPr>
            </w:pPr>
            <w:r w:rsidRPr="00893C26">
              <w:rPr>
                <w:rStyle w:val="SCCFileNumberChar"/>
                <w:sz w:val="20"/>
                <w:szCs w:val="20"/>
              </w:rPr>
              <w:t>40182</w:t>
            </w:r>
          </w:p>
        </w:tc>
        <w:tc>
          <w:tcPr>
            <w:tcW w:w="4457" w:type="pct"/>
            <w:gridSpan w:val="3"/>
          </w:tcPr>
          <w:p w:rsidR="00A743EC" w:rsidRPr="00893C26" w:rsidRDefault="00A743EC" w:rsidP="00A743EC">
            <w:pPr>
              <w:pStyle w:val="SCCLsocParty"/>
              <w:jc w:val="both"/>
              <w:rPr>
                <w:b/>
                <w:sz w:val="20"/>
                <w:szCs w:val="20"/>
                <w:lang w:val="en-US"/>
              </w:rPr>
            </w:pPr>
            <w:r w:rsidRPr="00893C26">
              <w:rPr>
                <w:b/>
                <w:sz w:val="20"/>
                <w:szCs w:val="20"/>
                <w:lang w:val="en-US"/>
              </w:rPr>
              <w:t>Amarjot Lamba, Chand Lamba v. Michael Mitchell, Richard Bowring</w:t>
            </w:r>
          </w:p>
          <w:p w:rsidR="00A743EC" w:rsidRPr="00893C26" w:rsidRDefault="00A743EC" w:rsidP="00A743EC">
            <w:pPr>
              <w:jc w:val="both"/>
              <w:rPr>
                <w:sz w:val="20"/>
              </w:rPr>
            </w:pPr>
            <w:r w:rsidRPr="00893C26">
              <w:rPr>
                <w:sz w:val="20"/>
              </w:rPr>
              <w:t>(Ont.) (Civil) (By Leave)</w:t>
            </w:r>
          </w:p>
        </w:tc>
      </w:tr>
      <w:tr w:rsidR="00A743EC" w:rsidRPr="00893C26" w:rsidTr="00A743EC">
        <w:tc>
          <w:tcPr>
            <w:tcW w:w="5000" w:type="pct"/>
            <w:gridSpan w:val="4"/>
          </w:tcPr>
          <w:p w:rsidR="00A743EC" w:rsidRPr="00893C26" w:rsidRDefault="00A743EC" w:rsidP="00A743EC">
            <w:pPr>
              <w:jc w:val="both"/>
              <w:rPr>
                <w:sz w:val="20"/>
              </w:rPr>
            </w:pPr>
            <w:r w:rsidRPr="00893C26">
              <w:rPr>
                <w:sz w:val="20"/>
              </w:rPr>
              <w:t xml:space="preserve">Appeals — Whether Court of Appeal erred in denying extension of time to apply for leave to appeal — Whether a court can hold an innocent real estate agent purchaser to a different standard than another purchaser when the seller makes a misrepresentation — Whether purchaser or the seller bears the burden to prove that a purchasers’ inspection of a property is determinative of their expectations and whether expert evidence is required — Whether the doctrine of issue estoppel can be relied upon when findings of fact are made, arguably in </w:t>
            </w:r>
            <w:r w:rsidRPr="00893C26">
              <w:rPr>
                <w:i/>
                <w:sz w:val="20"/>
              </w:rPr>
              <w:t>obiter</w:t>
            </w:r>
            <w:r w:rsidRPr="00893C26">
              <w:rPr>
                <w:sz w:val="20"/>
              </w:rPr>
              <w:t>, during a preliminary and interlocutory motion prior to any exchange of affidavits of documents or discovery?</w:t>
            </w:r>
          </w:p>
        </w:tc>
      </w:tr>
      <w:tr w:rsidR="00A743EC" w:rsidRPr="00893C26" w:rsidTr="00A743EC">
        <w:tc>
          <w:tcPr>
            <w:tcW w:w="5000" w:type="pct"/>
            <w:gridSpan w:val="4"/>
          </w:tcPr>
          <w:p w:rsidR="00A743EC" w:rsidRPr="00893C26" w:rsidRDefault="00A743EC" w:rsidP="00A743EC">
            <w:pPr>
              <w:jc w:val="both"/>
              <w:rPr>
                <w:sz w:val="20"/>
              </w:rPr>
            </w:pPr>
          </w:p>
          <w:p w:rsidR="00A743EC" w:rsidRPr="00893C26" w:rsidRDefault="00A743EC" w:rsidP="00A743EC">
            <w:pPr>
              <w:jc w:val="both"/>
              <w:rPr>
                <w:sz w:val="20"/>
              </w:rPr>
            </w:pPr>
            <w:r w:rsidRPr="00893C26">
              <w:rPr>
                <w:sz w:val="20"/>
              </w:rPr>
              <w:t xml:space="preserve">Mr. Lamba and his spouse entered into an agreement of purchase and sale to buy a home from Mr. Mitchell and Mr. Bowring. They failed to close. Mr. Mitchell and Mr. Bowring </w:t>
            </w:r>
            <w:r w:rsidRPr="00893C26">
              <w:rPr>
                <w:spacing w:val="-2"/>
                <w:sz w:val="20"/>
              </w:rPr>
              <w:t>obtained summary judgment ordering that the deposit paid by Mr. and Mrs. Lamba was forfeited. Divisional Court dismissed an appeal. The Court of Appeal denied a motion for an extension for time to apply for leave to appeal.</w:t>
            </w:r>
          </w:p>
        </w:tc>
      </w:tr>
      <w:tr w:rsidR="00A743EC" w:rsidRPr="00893C26" w:rsidTr="00A743EC">
        <w:tc>
          <w:tcPr>
            <w:tcW w:w="5000" w:type="pct"/>
            <w:gridSpan w:val="4"/>
          </w:tcPr>
          <w:p w:rsidR="00A743EC" w:rsidRPr="00893C26" w:rsidRDefault="00A743EC" w:rsidP="00A743EC">
            <w:pPr>
              <w:jc w:val="both"/>
              <w:rPr>
                <w:sz w:val="20"/>
              </w:rPr>
            </w:pPr>
          </w:p>
        </w:tc>
      </w:tr>
      <w:tr w:rsidR="00A743EC" w:rsidRPr="00893C26" w:rsidTr="00A743EC">
        <w:tc>
          <w:tcPr>
            <w:tcW w:w="2427" w:type="pct"/>
            <w:gridSpan w:val="2"/>
          </w:tcPr>
          <w:p w:rsidR="00A743EC" w:rsidRPr="00893C26" w:rsidRDefault="00A743EC" w:rsidP="00A743EC">
            <w:pPr>
              <w:jc w:val="both"/>
              <w:rPr>
                <w:sz w:val="20"/>
              </w:rPr>
            </w:pPr>
            <w:r w:rsidRPr="00893C26">
              <w:rPr>
                <w:sz w:val="20"/>
              </w:rPr>
              <w:t>March 31, 2021</w:t>
            </w:r>
          </w:p>
          <w:p w:rsidR="00A743EC" w:rsidRPr="00893C26" w:rsidRDefault="00A743EC" w:rsidP="00A743EC">
            <w:pPr>
              <w:jc w:val="both"/>
              <w:rPr>
                <w:sz w:val="20"/>
              </w:rPr>
            </w:pPr>
            <w:r w:rsidRPr="00893C26">
              <w:rPr>
                <w:sz w:val="20"/>
              </w:rPr>
              <w:t>Ontario Superior Court of Justice</w:t>
            </w:r>
          </w:p>
          <w:p w:rsidR="00A743EC" w:rsidRPr="00893C26" w:rsidRDefault="00A743EC" w:rsidP="00A743EC">
            <w:pPr>
              <w:jc w:val="both"/>
              <w:rPr>
                <w:sz w:val="20"/>
              </w:rPr>
            </w:pPr>
            <w:r w:rsidRPr="00893C26">
              <w:rPr>
                <w:sz w:val="20"/>
              </w:rPr>
              <w:t>(Doi J.)</w:t>
            </w:r>
          </w:p>
          <w:p w:rsidR="00A743EC" w:rsidRPr="00893C26" w:rsidRDefault="00893C26" w:rsidP="00A743EC">
            <w:pPr>
              <w:jc w:val="both"/>
              <w:rPr>
                <w:sz w:val="20"/>
              </w:rPr>
            </w:pPr>
            <w:hyperlink r:id="rId81" w:history="1">
              <w:r w:rsidR="00A743EC" w:rsidRPr="00893C26">
                <w:rPr>
                  <w:rStyle w:val="Hyperlink"/>
                  <w:sz w:val="20"/>
                </w:rPr>
                <w:t>2021 ONSC 1612</w:t>
              </w:r>
            </w:hyperlink>
          </w:p>
          <w:p w:rsidR="00A743EC" w:rsidRPr="00893C26" w:rsidRDefault="00A743EC" w:rsidP="00A743EC">
            <w:pPr>
              <w:jc w:val="both"/>
              <w:rPr>
                <w:sz w:val="20"/>
              </w:rPr>
            </w:pPr>
          </w:p>
        </w:tc>
        <w:tc>
          <w:tcPr>
            <w:tcW w:w="243" w:type="pct"/>
          </w:tcPr>
          <w:p w:rsidR="00A743EC" w:rsidRPr="00893C26" w:rsidRDefault="00A743EC" w:rsidP="00A743EC">
            <w:pPr>
              <w:jc w:val="both"/>
              <w:rPr>
                <w:sz w:val="20"/>
              </w:rPr>
            </w:pPr>
          </w:p>
        </w:tc>
        <w:tc>
          <w:tcPr>
            <w:tcW w:w="2330" w:type="pct"/>
          </w:tcPr>
          <w:p w:rsidR="00A743EC" w:rsidRPr="00893C26" w:rsidRDefault="00A743EC" w:rsidP="00A743EC">
            <w:pPr>
              <w:jc w:val="both"/>
              <w:rPr>
                <w:sz w:val="20"/>
              </w:rPr>
            </w:pPr>
            <w:r w:rsidRPr="00893C26">
              <w:rPr>
                <w:sz w:val="20"/>
              </w:rPr>
              <w:t xml:space="preserve">Summary judgment granted declaring breach of agreement of purchase and sale and deposit forfeited </w:t>
            </w:r>
          </w:p>
        </w:tc>
      </w:tr>
      <w:tr w:rsidR="00A743EC" w:rsidRPr="00893C26" w:rsidTr="00A743EC">
        <w:tc>
          <w:tcPr>
            <w:tcW w:w="2427" w:type="pct"/>
            <w:gridSpan w:val="2"/>
          </w:tcPr>
          <w:p w:rsidR="00A743EC" w:rsidRPr="00893C26" w:rsidRDefault="00A743EC" w:rsidP="00A743EC">
            <w:pPr>
              <w:jc w:val="both"/>
              <w:rPr>
                <w:sz w:val="20"/>
              </w:rPr>
            </w:pPr>
            <w:r w:rsidRPr="00893C26">
              <w:rPr>
                <w:sz w:val="20"/>
              </w:rPr>
              <w:t>December 7, 2021</w:t>
            </w:r>
          </w:p>
          <w:p w:rsidR="00A743EC" w:rsidRPr="00893C26" w:rsidRDefault="00A743EC" w:rsidP="00A743EC">
            <w:pPr>
              <w:jc w:val="both"/>
              <w:rPr>
                <w:sz w:val="20"/>
              </w:rPr>
            </w:pPr>
            <w:r w:rsidRPr="00893C26">
              <w:rPr>
                <w:sz w:val="20"/>
              </w:rPr>
              <w:t>Ontario Superior Court of Justice</w:t>
            </w:r>
          </w:p>
          <w:p w:rsidR="00A743EC" w:rsidRPr="00893C26" w:rsidRDefault="00A743EC" w:rsidP="00A743EC">
            <w:pPr>
              <w:jc w:val="both"/>
              <w:rPr>
                <w:sz w:val="20"/>
              </w:rPr>
            </w:pPr>
            <w:r w:rsidRPr="00893C26">
              <w:rPr>
                <w:sz w:val="20"/>
              </w:rPr>
              <w:t>Divisional Court</w:t>
            </w:r>
          </w:p>
          <w:p w:rsidR="00A743EC" w:rsidRPr="00893C26" w:rsidRDefault="00A743EC" w:rsidP="00A743EC">
            <w:pPr>
              <w:jc w:val="both"/>
              <w:rPr>
                <w:sz w:val="20"/>
              </w:rPr>
            </w:pPr>
            <w:r w:rsidRPr="00893C26">
              <w:rPr>
                <w:sz w:val="20"/>
              </w:rPr>
              <w:t>(Fitzgerald, Bale, Kristjanson JJ.)</w:t>
            </w:r>
          </w:p>
          <w:p w:rsidR="00A743EC" w:rsidRPr="00893C26" w:rsidRDefault="00893C26" w:rsidP="00A743EC">
            <w:pPr>
              <w:jc w:val="both"/>
              <w:rPr>
                <w:sz w:val="20"/>
              </w:rPr>
            </w:pPr>
            <w:hyperlink r:id="rId82" w:history="1">
              <w:r w:rsidR="00A743EC" w:rsidRPr="00893C26">
                <w:rPr>
                  <w:rStyle w:val="Hyperlink"/>
                  <w:spacing w:val="-2"/>
                  <w:sz w:val="20"/>
                </w:rPr>
                <w:t>2021 ONSC 8011</w:t>
              </w:r>
            </w:hyperlink>
          </w:p>
          <w:p w:rsidR="00A743EC" w:rsidRPr="00893C26" w:rsidRDefault="00A743EC" w:rsidP="00A743EC">
            <w:pPr>
              <w:jc w:val="both"/>
              <w:rPr>
                <w:sz w:val="20"/>
              </w:rPr>
            </w:pPr>
          </w:p>
        </w:tc>
        <w:tc>
          <w:tcPr>
            <w:tcW w:w="243" w:type="pct"/>
          </w:tcPr>
          <w:p w:rsidR="00A743EC" w:rsidRPr="00893C26" w:rsidRDefault="00A743EC" w:rsidP="00A743EC">
            <w:pPr>
              <w:jc w:val="both"/>
              <w:rPr>
                <w:sz w:val="20"/>
              </w:rPr>
            </w:pPr>
          </w:p>
        </w:tc>
        <w:tc>
          <w:tcPr>
            <w:tcW w:w="2330" w:type="pct"/>
          </w:tcPr>
          <w:p w:rsidR="00A743EC" w:rsidRPr="00893C26" w:rsidRDefault="00A743EC" w:rsidP="00A743EC">
            <w:pPr>
              <w:jc w:val="both"/>
              <w:rPr>
                <w:sz w:val="20"/>
              </w:rPr>
            </w:pPr>
            <w:r w:rsidRPr="00893C26">
              <w:rPr>
                <w:sz w:val="20"/>
              </w:rPr>
              <w:t>Appeal dismissed</w:t>
            </w:r>
          </w:p>
          <w:p w:rsidR="00A743EC" w:rsidRPr="00893C26" w:rsidRDefault="00A743EC" w:rsidP="00A743EC">
            <w:pPr>
              <w:jc w:val="both"/>
              <w:rPr>
                <w:sz w:val="20"/>
              </w:rPr>
            </w:pPr>
          </w:p>
        </w:tc>
      </w:tr>
      <w:tr w:rsidR="00A743EC" w:rsidRPr="00893C26" w:rsidTr="00A743EC">
        <w:tc>
          <w:tcPr>
            <w:tcW w:w="2427" w:type="pct"/>
            <w:gridSpan w:val="2"/>
          </w:tcPr>
          <w:p w:rsidR="00A743EC" w:rsidRPr="00893C26" w:rsidRDefault="00A743EC" w:rsidP="00A743EC">
            <w:pPr>
              <w:jc w:val="both"/>
              <w:rPr>
                <w:sz w:val="20"/>
              </w:rPr>
            </w:pPr>
            <w:r w:rsidRPr="00893C26">
              <w:rPr>
                <w:sz w:val="20"/>
              </w:rPr>
              <w:t>February 23, 2022</w:t>
            </w:r>
          </w:p>
          <w:p w:rsidR="00A743EC" w:rsidRPr="00893C26" w:rsidRDefault="00A743EC" w:rsidP="00A743EC">
            <w:pPr>
              <w:jc w:val="both"/>
              <w:rPr>
                <w:sz w:val="20"/>
              </w:rPr>
            </w:pPr>
            <w:r w:rsidRPr="00893C26">
              <w:rPr>
                <w:sz w:val="20"/>
              </w:rPr>
              <w:t>Court of Appeal for Ontario</w:t>
            </w:r>
          </w:p>
          <w:p w:rsidR="00A743EC" w:rsidRPr="00893C26" w:rsidRDefault="00A743EC" w:rsidP="00A743EC">
            <w:pPr>
              <w:jc w:val="both"/>
              <w:rPr>
                <w:sz w:val="20"/>
              </w:rPr>
            </w:pPr>
            <w:r w:rsidRPr="00893C26">
              <w:rPr>
                <w:sz w:val="20"/>
              </w:rPr>
              <w:t>(Thorburn J.A.)</w:t>
            </w:r>
          </w:p>
          <w:p w:rsidR="00A743EC" w:rsidRPr="00893C26" w:rsidRDefault="00893C26" w:rsidP="00A743EC">
            <w:pPr>
              <w:jc w:val="both"/>
              <w:rPr>
                <w:sz w:val="20"/>
              </w:rPr>
            </w:pPr>
            <w:hyperlink r:id="rId83" w:history="1">
              <w:r w:rsidR="00A743EC" w:rsidRPr="00893C26">
                <w:rPr>
                  <w:rStyle w:val="Hyperlink"/>
                  <w:sz w:val="20"/>
                </w:rPr>
                <w:t>2022 ONCA 164</w:t>
              </w:r>
            </w:hyperlink>
            <w:r w:rsidR="00A743EC" w:rsidRPr="00893C26">
              <w:rPr>
                <w:sz w:val="20"/>
              </w:rPr>
              <w:t>; M53161</w:t>
            </w:r>
          </w:p>
          <w:p w:rsidR="00A743EC" w:rsidRPr="00893C26" w:rsidRDefault="00A743EC" w:rsidP="00A743EC">
            <w:pPr>
              <w:jc w:val="both"/>
              <w:rPr>
                <w:sz w:val="20"/>
              </w:rPr>
            </w:pPr>
          </w:p>
        </w:tc>
        <w:tc>
          <w:tcPr>
            <w:tcW w:w="243" w:type="pct"/>
          </w:tcPr>
          <w:p w:rsidR="00A743EC" w:rsidRPr="00893C26" w:rsidRDefault="00A743EC" w:rsidP="00A743EC">
            <w:pPr>
              <w:jc w:val="both"/>
              <w:rPr>
                <w:sz w:val="20"/>
              </w:rPr>
            </w:pPr>
          </w:p>
        </w:tc>
        <w:tc>
          <w:tcPr>
            <w:tcW w:w="2330" w:type="pct"/>
          </w:tcPr>
          <w:p w:rsidR="00A743EC" w:rsidRPr="00893C26" w:rsidRDefault="00A743EC" w:rsidP="00A743EC">
            <w:pPr>
              <w:jc w:val="both"/>
              <w:rPr>
                <w:sz w:val="20"/>
              </w:rPr>
            </w:pPr>
            <w:r w:rsidRPr="00893C26">
              <w:rPr>
                <w:sz w:val="20"/>
              </w:rPr>
              <w:t>Motion for extension of time to apply for leave to appeal dismissed</w:t>
            </w:r>
          </w:p>
          <w:p w:rsidR="00A743EC" w:rsidRPr="00893C26" w:rsidRDefault="00A743EC" w:rsidP="00A743EC">
            <w:pPr>
              <w:jc w:val="both"/>
              <w:rPr>
                <w:sz w:val="20"/>
              </w:rPr>
            </w:pPr>
          </w:p>
        </w:tc>
      </w:tr>
      <w:tr w:rsidR="00A743EC" w:rsidRPr="00893C26" w:rsidTr="00A743EC">
        <w:tc>
          <w:tcPr>
            <w:tcW w:w="2427" w:type="pct"/>
            <w:gridSpan w:val="2"/>
          </w:tcPr>
          <w:p w:rsidR="00A743EC" w:rsidRPr="00893C26" w:rsidRDefault="00A743EC" w:rsidP="00A743EC">
            <w:pPr>
              <w:jc w:val="both"/>
              <w:rPr>
                <w:sz w:val="20"/>
              </w:rPr>
            </w:pPr>
            <w:r w:rsidRPr="00893C26">
              <w:rPr>
                <w:sz w:val="20"/>
              </w:rPr>
              <w:t>April 22, 2022</w:t>
            </w:r>
          </w:p>
          <w:p w:rsidR="00A743EC" w:rsidRPr="00893C26" w:rsidRDefault="00A743EC" w:rsidP="00A743EC">
            <w:pPr>
              <w:jc w:val="both"/>
              <w:rPr>
                <w:sz w:val="20"/>
              </w:rPr>
            </w:pPr>
            <w:r w:rsidRPr="00893C26">
              <w:rPr>
                <w:sz w:val="20"/>
              </w:rPr>
              <w:t>Supreme Court of Canada</w:t>
            </w:r>
          </w:p>
        </w:tc>
        <w:tc>
          <w:tcPr>
            <w:tcW w:w="243" w:type="pct"/>
          </w:tcPr>
          <w:p w:rsidR="00A743EC" w:rsidRPr="00893C26" w:rsidRDefault="00A743EC" w:rsidP="00A743EC">
            <w:pPr>
              <w:jc w:val="both"/>
              <w:rPr>
                <w:sz w:val="20"/>
              </w:rPr>
            </w:pPr>
          </w:p>
        </w:tc>
        <w:tc>
          <w:tcPr>
            <w:tcW w:w="2330" w:type="pct"/>
          </w:tcPr>
          <w:p w:rsidR="00A743EC" w:rsidRPr="00893C26" w:rsidRDefault="00A743EC" w:rsidP="00A743EC">
            <w:pPr>
              <w:jc w:val="both"/>
              <w:rPr>
                <w:sz w:val="20"/>
              </w:rPr>
            </w:pPr>
            <w:r w:rsidRPr="00893C26">
              <w:rPr>
                <w:sz w:val="20"/>
              </w:rPr>
              <w:t>Application for leave to appeal filed</w:t>
            </w:r>
          </w:p>
          <w:p w:rsidR="00A743EC" w:rsidRPr="00893C26" w:rsidRDefault="00A743EC" w:rsidP="00A743EC">
            <w:pPr>
              <w:jc w:val="both"/>
              <w:rPr>
                <w:sz w:val="20"/>
              </w:rPr>
            </w:pPr>
          </w:p>
        </w:tc>
      </w:tr>
    </w:tbl>
    <w:p w:rsidR="00A743EC" w:rsidRPr="00893C26" w:rsidRDefault="00A743EC" w:rsidP="00A743EC">
      <w:pPr>
        <w:jc w:val="both"/>
        <w:rPr>
          <w:sz w:val="20"/>
        </w:rPr>
      </w:pPr>
    </w:p>
    <w:p w:rsidR="00A743EC" w:rsidRPr="00893C26" w:rsidRDefault="00893C26" w:rsidP="00A743EC">
      <w:pPr>
        <w:jc w:val="both"/>
        <w:rPr>
          <w:sz w:val="20"/>
        </w:rPr>
      </w:pPr>
      <w:r w:rsidRPr="00893C26">
        <w:rPr>
          <w:sz w:val="20"/>
        </w:rPr>
        <w:pict>
          <v:rect id="_x0000_i1059" style="width:2in;height:1pt" o:hrpct="0" o:hralign="center" o:hrstd="t" o:hrnoshade="t" o:hr="t" fillcolor="black [3213]" stroked="f"/>
        </w:pict>
      </w:r>
    </w:p>
    <w:p w:rsidR="00A743EC" w:rsidRPr="00893C26" w:rsidRDefault="00A743EC" w:rsidP="00A743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743EC" w:rsidRPr="00893C26" w:rsidTr="00A743EC">
        <w:tc>
          <w:tcPr>
            <w:tcW w:w="543" w:type="pct"/>
          </w:tcPr>
          <w:p w:rsidR="00A743EC" w:rsidRPr="00893C26" w:rsidRDefault="00A743EC" w:rsidP="00A743EC">
            <w:pPr>
              <w:jc w:val="both"/>
              <w:rPr>
                <w:sz w:val="20"/>
              </w:rPr>
            </w:pPr>
            <w:r w:rsidRPr="00893C26">
              <w:rPr>
                <w:rStyle w:val="SCCFileNumberChar"/>
                <w:sz w:val="20"/>
                <w:szCs w:val="20"/>
              </w:rPr>
              <w:t>40182</w:t>
            </w:r>
          </w:p>
        </w:tc>
        <w:tc>
          <w:tcPr>
            <w:tcW w:w="4457" w:type="pct"/>
            <w:gridSpan w:val="3"/>
          </w:tcPr>
          <w:p w:rsidR="00A743EC" w:rsidRPr="00893C26" w:rsidRDefault="00A743EC" w:rsidP="00A743EC">
            <w:pPr>
              <w:pStyle w:val="SCCLsocParty"/>
              <w:jc w:val="both"/>
              <w:rPr>
                <w:b/>
                <w:sz w:val="20"/>
                <w:szCs w:val="20"/>
                <w:lang w:val="en-US"/>
              </w:rPr>
            </w:pPr>
            <w:r w:rsidRPr="00893C26">
              <w:rPr>
                <w:b/>
                <w:sz w:val="20"/>
                <w:szCs w:val="20"/>
                <w:lang w:val="en-US"/>
              </w:rPr>
              <w:t>Amarjot Lamba, Chand Lamba c. Michael Mitchell, Richard Bowring</w:t>
            </w:r>
          </w:p>
          <w:p w:rsidR="00A743EC" w:rsidRPr="00893C26" w:rsidRDefault="00A743EC" w:rsidP="00A743EC">
            <w:pPr>
              <w:jc w:val="both"/>
              <w:rPr>
                <w:sz w:val="20"/>
              </w:rPr>
            </w:pPr>
            <w:r w:rsidRPr="00893C26">
              <w:rPr>
                <w:sz w:val="20"/>
              </w:rPr>
              <w:t>(Ont.) (Civile) (Sur autorisation)</w:t>
            </w:r>
          </w:p>
        </w:tc>
      </w:tr>
      <w:tr w:rsidR="00A743EC" w:rsidRPr="00893C26" w:rsidTr="00A743EC">
        <w:tc>
          <w:tcPr>
            <w:tcW w:w="5000" w:type="pct"/>
            <w:gridSpan w:val="4"/>
          </w:tcPr>
          <w:p w:rsidR="00A743EC" w:rsidRPr="00893C26" w:rsidRDefault="00A743EC" w:rsidP="00A743EC">
            <w:pPr>
              <w:jc w:val="both"/>
              <w:rPr>
                <w:sz w:val="20"/>
                <w:lang w:val="fr-CA"/>
              </w:rPr>
            </w:pPr>
            <w:r w:rsidRPr="00893C26">
              <w:rPr>
                <w:sz w:val="20"/>
                <w:lang w:val="fr-CA"/>
              </w:rPr>
              <w:t>Appels — La Cour d’appel a-t-elle commis une erreur en refusant de proroger le délai pour demander l’autorisation d’appel? — Une cour peut-elle astreindre un acheteur innocent représenté par un agent immobilier à une norme différente de celle applicable à un autre acheteur lorsque le vendeur fait une déclaration inexacte? — Qui de l’acheteur ou du vendeur a le fardeau de prouver que l'inspection d'une propriété par l'acheteur est déterminante pour leurs attentes et une preuve d’expert doit-elle être produite? — Peut-on recourir à la doctrine de la préclusion découlant d’une question déjà tranchée lorsque des conclusions de fait sont tirées, peut-être dans des remarques incidentes, au cours de l’audition d’une motion préliminaire et interlocutoire avant tout échange d’affidavits de documents ou interrogatoire préalable?</w:t>
            </w:r>
          </w:p>
        </w:tc>
      </w:tr>
      <w:tr w:rsidR="00A743EC" w:rsidRPr="00893C26" w:rsidTr="00A743EC">
        <w:tc>
          <w:tcPr>
            <w:tcW w:w="5000" w:type="pct"/>
            <w:gridSpan w:val="4"/>
          </w:tcPr>
          <w:p w:rsidR="00A743EC" w:rsidRPr="00893C26" w:rsidRDefault="00A743EC" w:rsidP="00A743EC">
            <w:pPr>
              <w:jc w:val="both"/>
              <w:rPr>
                <w:sz w:val="20"/>
                <w:lang w:val="fr-CA"/>
              </w:rPr>
            </w:pPr>
          </w:p>
          <w:p w:rsidR="00A743EC" w:rsidRPr="00893C26" w:rsidRDefault="00A743EC" w:rsidP="00A743EC">
            <w:pPr>
              <w:jc w:val="both"/>
              <w:rPr>
                <w:sz w:val="20"/>
                <w:lang w:val="fr-CA"/>
              </w:rPr>
            </w:pPr>
            <w:r w:rsidRPr="00893C26">
              <w:rPr>
                <w:sz w:val="20"/>
                <w:lang w:val="fr-CA"/>
              </w:rPr>
              <w:t xml:space="preserve">Monsieur Lamba et son épouse ont signé une convention d’achat-vente en vue d’acheter une demeure de MM. Mitchell et Bowring. Ils n’ont pas conclu la transaction. MM. Mitchell et Bowring </w:t>
            </w:r>
            <w:r w:rsidRPr="00893C26">
              <w:rPr>
                <w:spacing w:val="-2"/>
                <w:sz w:val="20"/>
                <w:lang w:val="fr-CA"/>
              </w:rPr>
              <w:t>ont obtenu un jugement sommaire portant confiscation du dépôt versé par M. et M</w:t>
            </w:r>
            <w:r w:rsidRPr="00893C26">
              <w:rPr>
                <w:spacing w:val="-2"/>
                <w:sz w:val="20"/>
                <w:vertAlign w:val="superscript"/>
                <w:lang w:val="fr-CA"/>
              </w:rPr>
              <w:t>me</w:t>
            </w:r>
            <w:r w:rsidRPr="00893C26">
              <w:rPr>
                <w:spacing w:val="-2"/>
                <w:sz w:val="20"/>
                <w:lang w:val="fr-CA"/>
              </w:rPr>
              <w:t xml:space="preserve"> Lamba. La Cour divisionnaire a rejeté un appel. La Cour d’appel a rejeté une motion en  prorogation du délai pour demander l’autorisation d’appel. </w:t>
            </w:r>
          </w:p>
        </w:tc>
      </w:tr>
      <w:tr w:rsidR="00A743EC" w:rsidRPr="00893C26" w:rsidTr="00A743EC">
        <w:tc>
          <w:tcPr>
            <w:tcW w:w="5000" w:type="pct"/>
            <w:gridSpan w:val="4"/>
          </w:tcPr>
          <w:p w:rsidR="00A743EC" w:rsidRPr="00893C26" w:rsidRDefault="00A743EC" w:rsidP="00A743EC">
            <w:pPr>
              <w:jc w:val="both"/>
              <w:rPr>
                <w:sz w:val="20"/>
                <w:lang w:val="fr-CA"/>
              </w:rPr>
            </w:pPr>
          </w:p>
        </w:tc>
      </w:tr>
      <w:tr w:rsidR="00A743EC" w:rsidRPr="00893C26" w:rsidTr="00A743EC">
        <w:tc>
          <w:tcPr>
            <w:tcW w:w="2427" w:type="pct"/>
            <w:gridSpan w:val="2"/>
          </w:tcPr>
          <w:p w:rsidR="00A743EC" w:rsidRPr="00893C26" w:rsidRDefault="00A743EC" w:rsidP="00A743EC">
            <w:pPr>
              <w:jc w:val="both"/>
              <w:rPr>
                <w:sz w:val="20"/>
                <w:lang w:val="fr-CA"/>
              </w:rPr>
            </w:pPr>
            <w:r w:rsidRPr="00893C26">
              <w:rPr>
                <w:sz w:val="20"/>
                <w:lang w:val="fr-CA"/>
              </w:rPr>
              <w:t>31 mars 2021</w:t>
            </w:r>
          </w:p>
          <w:p w:rsidR="00A743EC" w:rsidRPr="00893C26" w:rsidRDefault="00A743EC" w:rsidP="00A743EC">
            <w:pPr>
              <w:jc w:val="both"/>
              <w:rPr>
                <w:sz w:val="20"/>
                <w:lang w:val="fr-CA"/>
              </w:rPr>
            </w:pPr>
            <w:r w:rsidRPr="00893C26">
              <w:rPr>
                <w:sz w:val="20"/>
                <w:lang w:val="fr-CA"/>
              </w:rPr>
              <w:t xml:space="preserve">Cour supérieure de justice de l’Ontario </w:t>
            </w:r>
          </w:p>
          <w:p w:rsidR="00A743EC" w:rsidRPr="00893C26" w:rsidRDefault="00A743EC" w:rsidP="00A743EC">
            <w:pPr>
              <w:jc w:val="both"/>
              <w:rPr>
                <w:sz w:val="20"/>
              </w:rPr>
            </w:pPr>
            <w:r w:rsidRPr="00893C26">
              <w:rPr>
                <w:sz w:val="20"/>
              </w:rPr>
              <w:t>(juge Doi)</w:t>
            </w:r>
          </w:p>
          <w:p w:rsidR="00A743EC" w:rsidRPr="00893C26" w:rsidRDefault="00893C26" w:rsidP="00A743EC">
            <w:pPr>
              <w:jc w:val="both"/>
              <w:rPr>
                <w:sz w:val="20"/>
              </w:rPr>
            </w:pPr>
            <w:hyperlink r:id="rId84" w:history="1">
              <w:r w:rsidR="00A743EC" w:rsidRPr="00893C26">
                <w:rPr>
                  <w:rStyle w:val="Hyperlink"/>
                  <w:sz w:val="20"/>
                </w:rPr>
                <w:t>2021 ONSC 1612</w:t>
              </w:r>
            </w:hyperlink>
          </w:p>
          <w:p w:rsidR="00A743EC" w:rsidRPr="00893C26" w:rsidRDefault="00A743EC" w:rsidP="00A743EC">
            <w:pPr>
              <w:jc w:val="both"/>
              <w:rPr>
                <w:sz w:val="20"/>
              </w:rPr>
            </w:pPr>
          </w:p>
        </w:tc>
        <w:tc>
          <w:tcPr>
            <w:tcW w:w="243" w:type="pct"/>
          </w:tcPr>
          <w:p w:rsidR="00A743EC" w:rsidRPr="00893C26" w:rsidRDefault="00A743EC" w:rsidP="00A743EC">
            <w:pPr>
              <w:jc w:val="both"/>
              <w:rPr>
                <w:sz w:val="20"/>
              </w:rPr>
            </w:pPr>
          </w:p>
        </w:tc>
        <w:tc>
          <w:tcPr>
            <w:tcW w:w="2330" w:type="pct"/>
          </w:tcPr>
          <w:p w:rsidR="00A743EC" w:rsidRPr="00893C26" w:rsidRDefault="00A743EC" w:rsidP="00A743EC">
            <w:pPr>
              <w:jc w:val="both"/>
              <w:rPr>
                <w:sz w:val="20"/>
                <w:lang w:val="fr-CA"/>
              </w:rPr>
            </w:pPr>
            <w:r w:rsidRPr="00893C26">
              <w:rPr>
                <w:sz w:val="20"/>
                <w:lang w:val="fr-CA"/>
              </w:rPr>
              <w:t xml:space="preserve">Jugement sommaire déclarant qu’il y a eu violation de la convention d’achat-vente et portant confiscation du dépôt  </w:t>
            </w:r>
          </w:p>
        </w:tc>
      </w:tr>
      <w:tr w:rsidR="00A743EC" w:rsidRPr="00893C26" w:rsidTr="00A743EC">
        <w:tc>
          <w:tcPr>
            <w:tcW w:w="2427" w:type="pct"/>
            <w:gridSpan w:val="2"/>
          </w:tcPr>
          <w:p w:rsidR="00A743EC" w:rsidRPr="00893C26" w:rsidRDefault="00A743EC" w:rsidP="00A743EC">
            <w:pPr>
              <w:jc w:val="both"/>
              <w:rPr>
                <w:sz w:val="20"/>
                <w:lang w:val="fr-CA"/>
              </w:rPr>
            </w:pPr>
            <w:r w:rsidRPr="00893C26">
              <w:rPr>
                <w:sz w:val="20"/>
                <w:lang w:val="fr-CA"/>
              </w:rPr>
              <w:t>7 décembre 2021</w:t>
            </w:r>
          </w:p>
          <w:p w:rsidR="00A743EC" w:rsidRPr="00893C26" w:rsidRDefault="00A743EC" w:rsidP="00A743EC">
            <w:pPr>
              <w:jc w:val="both"/>
              <w:rPr>
                <w:sz w:val="20"/>
                <w:lang w:val="fr-CA"/>
              </w:rPr>
            </w:pPr>
            <w:r w:rsidRPr="00893C26">
              <w:rPr>
                <w:sz w:val="20"/>
                <w:lang w:val="fr-CA"/>
              </w:rPr>
              <w:t xml:space="preserve">Cour supérieure de justice de l’Ontario </w:t>
            </w:r>
          </w:p>
          <w:p w:rsidR="00A743EC" w:rsidRPr="00893C26" w:rsidRDefault="00A743EC" w:rsidP="00A743EC">
            <w:pPr>
              <w:jc w:val="both"/>
              <w:rPr>
                <w:sz w:val="20"/>
                <w:lang w:val="fr-CA"/>
              </w:rPr>
            </w:pPr>
            <w:r w:rsidRPr="00893C26">
              <w:rPr>
                <w:sz w:val="20"/>
                <w:lang w:val="fr-CA"/>
              </w:rPr>
              <w:t xml:space="preserve">Cour divisionnaire </w:t>
            </w:r>
          </w:p>
          <w:p w:rsidR="00A743EC" w:rsidRPr="00893C26" w:rsidRDefault="00A743EC" w:rsidP="00A743EC">
            <w:pPr>
              <w:jc w:val="both"/>
              <w:rPr>
                <w:sz w:val="20"/>
                <w:lang w:val="fr-CA"/>
              </w:rPr>
            </w:pPr>
            <w:r w:rsidRPr="00893C26">
              <w:rPr>
                <w:sz w:val="20"/>
                <w:lang w:val="fr-CA"/>
              </w:rPr>
              <w:t>(juges Fitzgerald, Bale et Kristjanson)</w:t>
            </w:r>
          </w:p>
          <w:p w:rsidR="00A743EC" w:rsidRPr="00893C26" w:rsidRDefault="00893C26" w:rsidP="00A743EC">
            <w:pPr>
              <w:jc w:val="both"/>
              <w:rPr>
                <w:sz w:val="20"/>
              </w:rPr>
            </w:pPr>
            <w:hyperlink r:id="rId85" w:history="1">
              <w:r w:rsidR="00A743EC" w:rsidRPr="00893C26">
                <w:rPr>
                  <w:rStyle w:val="Hyperlink"/>
                  <w:spacing w:val="-2"/>
                  <w:sz w:val="20"/>
                </w:rPr>
                <w:t>2021 ONSC 8011</w:t>
              </w:r>
            </w:hyperlink>
          </w:p>
          <w:p w:rsidR="00A743EC" w:rsidRPr="00893C26" w:rsidRDefault="00A743EC" w:rsidP="00A743EC">
            <w:pPr>
              <w:jc w:val="both"/>
              <w:rPr>
                <w:sz w:val="20"/>
              </w:rPr>
            </w:pPr>
          </w:p>
        </w:tc>
        <w:tc>
          <w:tcPr>
            <w:tcW w:w="243" w:type="pct"/>
          </w:tcPr>
          <w:p w:rsidR="00A743EC" w:rsidRPr="00893C26" w:rsidRDefault="00A743EC" w:rsidP="00A743EC">
            <w:pPr>
              <w:jc w:val="both"/>
              <w:rPr>
                <w:sz w:val="20"/>
              </w:rPr>
            </w:pPr>
          </w:p>
        </w:tc>
        <w:tc>
          <w:tcPr>
            <w:tcW w:w="2330" w:type="pct"/>
          </w:tcPr>
          <w:p w:rsidR="00A743EC" w:rsidRPr="00893C26" w:rsidRDefault="00A743EC" w:rsidP="00A743EC">
            <w:pPr>
              <w:jc w:val="both"/>
              <w:rPr>
                <w:sz w:val="20"/>
              </w:rPr>
            </w:pPr>
            <w:r w:rsidRPr="00893C26">
              <w:rPr>
                <w:sz w:val="20"/>
              </w:rPr>
              <w:t>Rejet de l’appel</w:t>
            </w:r>
          </w:p>
          <w:p w:rsidR="00A743EC" w:rsidRPr="00893C26" w:rsidRDefault="00A743EC" w:rsidP="00A743EC">
            <w:pPr>
              <w:jc w:val="both"/>
              <w:rPr>
                <w:sz w:val="20"/>
              </w:rPr>
            </w:pPr>
          </w:p>
        </w:tc>
      </w:tr>
      <w:tr w:rsidR="00A743EC" w:rsidRPr="00893C26" w:rsidTr="00A743EC">
        <w:tc>
          <w:tcPr>
            <w:tcW w:w="2427" w:type="pct"/>
            <w:gridSpan w:val="2"/>
          </w:tcPr>
          <w:p w:rsidR="00A743EC" w:rsidRPr="00893C26" w:rsidRDefault="00A743EC" w:rsidP="00A743EC">
            <w:pPr>
              <w:jc w:val="both"/>
              <w:rPr>
                <w:sz w:val="20"/>
                <w:lang w:val="fr-CA"/>
              </w:rPr>
            </w:pPr>
            <w:r w:rsidRPr="00893C26">
              <w:rPr>
                <w:sz w:val="20"/>
                <w:lang w:val="fr-CA"/>
              </w:rPr>
              <w:t>23 février 2022</w:t>
            </w:r>
          </w:p>
          <w:p w:rsidR="00A743EC" w:rsidRPr="00893C26" w:rsidRDefault="00A743EC" w:rsidP="00A743EC">
            <w:pPr>
              <w:jc w:val="both"/>
              <w:rPr>
                <w:sz w:val="20"/>
                <w:lang w:val="fr-CA"/>
              </w:rPr>
            </w:pPr>
            <w:r w:rsidRPr="00893C26">
              <w:rPr>
                <w:sz w:val="20"/>
                <w:lang w:val="fr-CA"/>
              </w:rPr>
              <w:t>Cour d’appel de l’Ontario</w:t>
            </w:r>
          </w:p>
          <w:p w:rsidR="00A743EC" w:rsidRPr="00893C26" w:rsidRDefault="00A743EC" w:rsidP="00A743EC">
            <w:pPr>
              <w:jc w:val="both"/>
              <w:rPr>
                <w:sz w:val="20"/>
                <w:lang w:val="fr-CA"/>
              </w:rPr>
            </w:pPr>
            <w:r w:rsidRPr="00893C26">
              <w:rPr>
                <w:sz w:val="20"/>
                <w:lang w:val="fr-CA"/>
              </w:rPr>
              <w:t>(juge Thorburn)</w:t>
            </w:r>
          </w:p>
          <w:p w:rsidR="00A743EC" w:rsidRPr="00893C26" w:rsidRDefault="00893C26" w:rsidP="00A743EC">
            <w:pPr>
              <w:jc w:val="both"/>
              <w:rPr>
                <w:sz w:val="20"/>
              </w:rPr>
            </w:pPr>
            <w:hyperlink r:id="rId86" w:history="1">
              <w:r w:rsidR="00A743EC" w:rsidRPr="00893C26">
                <w:rPr>
                  <w:rStyle w:val="Hyperlink"/>
                  <w:sz w:val="20"/>
                </w:rPr>
                <w:t>2022 ONCA 164</w:t>
              </w:r>
            </w:hyperlink>
            <w:r w:rsidR="00A743EC" w:rsidRPr="00893C26">
              <w:rPr>
                <w:sz w:val="20"/>
              </w:rPr>
              <w:t>; M53161</w:t>
            </w:r>
          </w:p>
          <w:p w:rsidR="00A743EC" w:rsidRPr="00893C26" w:rsidRDefault="00A743EC" w:rsidP="00A743EC">
            <w:pPr>
              <w:jc w:val="both"/>
              <w:rPr>
                <w:sz w:val="20"/>
              </w:rPr>
            </w:pPr>
          </w:p>
        </w:tc>
        <w:tc>
          <w:tcPr>
            <w:tcW w:w="243" w:type="pct"/>
          </w:tcPr>
          <w:p w:rsidR="00A743EC" w:rsidRPr="00893C26" w:rsidRDefault="00A743EC" w:rsidP="00A743EC">
            <w:pPr>
              <w:jc w:val="both"/>
              <w:rPr>
                <w:sz w:val="20"/>
              </w:rPr>
            </w:pPr>
          </w:p>
        </w:tc>
        <w:tc>
          <w:tcPr>
            <w:tcW w:w="2330" w:type="pct"/>
          </w:tcPr>
          <w:p w:rsidR="00A743EC" w:rsidRPr="00893C26" w:rsidRDefault="00A743EC" w:rsidP="00A743EC">
            <w:pPr>
              <w:jc w:val="both"/>
              <w:rPr>
                <w:sz w:val="20"/>
                <w:lang w:val="fr-CA"/>
              </w:rPr>
            </w:pPr>
            <w:r w:rsidRPr="00893C26">
              <w:rPr>
                <w:sz w:val="20"/>
                <w:lang w:val="fr-CA"/>
              </w:rPr>
              <w:t xml:space="preserve">Rejet de la motion en prorogation du délai pour demander l'autorisation d’appel </w:t>
            </w:r>
          </w:p>
          <w:p w:rsidR="00A743EC" w:rsidRPr="00893C26" w:rsidRDefault="00A743EC" w:rsidP="00A743EC">
            <w:pPr>
              <w:jc w:val="both"/>
              <w:rPr>
                <w:sz w:val="20"/>
                <w:lang w:val="fr-CA"/>
              </w:rPr>
            </w:pPr>
          </w:p>
        </w:tc>
      </w:tr>
      <w:tr w:rsidR="00A743EC" w:rsidRPr="00893C26" w:rsidTr="00A743EC">
        <w:tc>
          <w:tcPr>
            <w:tcW w:w="2427" w:type="pct"/>
            <w:gridSpan w:val="2"/>
          </w:tcPr>
          <w:p w:rsidR="00A743EC" w:rsidRPr="00893C26" w:rsidRDefault="00A743EC" w:rsidP="00A743EC">
            <w:pPr>
              <w:jc w:val="both"/>
              <w:rPr>
                <w:sz w:val="20"/>
                <w:lang w:val="fr-CA"/>
              </w:rPr>
            </w:pPr>
            <w:r w:rsidRPr="00893C26">
              <w:rPr>
                <w:sz w:val="20"/>
                <w:lang w:val="fr-CA"/>
              </w:rPr>
              <w:t>22 avril 2022</w:t>
            </w:r>
          </w:p>
          <w:p w:rsidR="00A743EC" w:rsidRPr="00893C26" w:rsidRDefault="00A743EC" w:rsidP="00A743EC">
            <w:pPr>
              <w:jc w:val="both"/>
              <w:rPr>
                <w:sz w:val="20"/>
                <w:lang w:val="fr-CA"/>
              </w:rPr>
            </w:pPr>
            <w:r w:rsidRPr="00893C26">
              <w:rPr>
                <w:sz w:val="20"/>
                <w:lang w:val="fr-CA"/>
              </w:rPr>
              <w:t>Cour suprême du Canada</w:t>
            </w:r>
          </w:p>
        </w:tc>
        <w:tc>
          <w:tcPr>
            <w:tcW w:w="243" w:type="pct"/>
          </w:tcPr>
          <w:p w:rsidR="00A743EC" w:rsidRPr="00893C26" w:rsidRDefault="00A743EC" w:rsidP="00A743EC">
            <w:pPr>
              <w:jc w:val="both"/>
              <w:rPr>
                <w:sz w:val="20"/>
                <w:lang w:val="fr-CA"/>
              </w:rPr>
            </w:pPr>
          </w:p>
        </w:tc>
        <w:tc>
          <w:tcPr>
            <w:tcW w:w="2330" w:type="pct"/>
          </w:tcPr>
          <w:p w:rsidR="00A743EC" w:rsidRPr="00893C26" w:rsidRDefault="00A743EC" w:rsidP="00A743EC">
            <w:pPr>
              <w:jc w:val="both"/>
              <w:rPr>
                <w:sz w:val="20"/>
                <w:lang w:val="fr-CA"/>
              </w:rPr>
            </w:pPr>
            <w:r w:rsidRPr="00893C26">
              <w:rPr>
                <w:sz w:val="20"/>
                <w:lang w:val="fr-CA"/>
              </w:rPr>
              <w:t xml:space="preserve">Dépôt de la demande d’autorisation d’appel </w:t>
            </w:r>
          </w:p>
          <w:p w:rsidR="00A743EC" w:rsidRPr="00893C26" w:rsidRDefault="00A743EC" w:rsidP="00A743EC">
            <w:pPr>
              <w:jc w:val="both"/>
              <w:rPr>
                <w:sz w:val="20"/>
                <w:lang w:val="fr-CA"/>
              </w:rPr>
            </w:pPr>
          </w:p>
        </w:tc>
      </w:tr>
    </w:tbl>
    <w:p w:rsidR="00A743EC" w:rsidRPr="00893C26" w:rsidRDefault="00A743EC" w:rsidP="00A743EC">
      <w:pPr>
        <w:jc w:val="both"/>
        <w:rPr>
          <w:sz w:val="20"/>
          <w:lang w:val="fr-CA"/>
        </w:rPr>
      </w:pPr>
    </w:p>
    <w:p w:rsidR="00311655" w:rsidRPr="00893C26" w:rsidRDefault="00893C26" w:rsidP="00A743EC">
      <w:pPr>
        <w:ind w:left="142" w:hanging="142"/>
        <w:jc w:val="both"/>
        <w:rPr>
          <w:sz w:val="20"/>
          <w:lang w:val="fr-CA"/>
        </w:rPr>
      </w:pPr>
      <w:r w:rsidRPr="00893C26">
        <w:rPr>
          <w:sz w:val="20"/>
        </w:rPr>
        <w:pict>
          <v:rect id="_x0000_i1060" style="width:2in;height:1pt" o:hrpct="0" o:hralign="center" o:hrstd="t" o:hrnoshade="t" o:hr="t" fillcolor="black [3213]" stroked="f"/>
        </w:pict>
      </w:r>
    </w:p>
    <w:p w:rsidR="00A743EC" w:rsidRPr="00893C26" w:rsidRDefault="00A743EC" w:rsidP="00A743E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743EC" w:rsidRPr="00893C26" w:rsidTr="00A743EC">
        <w:tc>
          <w:tcPr>
            <w:tcW w:w="543" w:type="pct"/>
          </w:tcPr>
          <w:p w:rsidR="00A743EC" w:rsidRPr="00893C26" w:rsidRDefault="00A743EC" w:rsidP="00A743EC">
            <w:pPr>
              <w:jc w:val="both"/>
              <w:rPr>
                <w:sz w:val="20"/>
              </w:rPr>
            </w:pPr>
            <w:r w:rsidRPr="00893C26">
              <w:rPr>
                <w:rStyle w:val="SCCFileNumberChar"/>
                <w:sz w:val="20"/>
                <w:szCs w:val="20"/>
              </w:rPr>
              <w:t>40255</w:t>
            </w:r>
          </w:p>
        </w:tc>
        <w:tc>
          <w:tcPr>
            <w:tcW w:w="4457" w:type="pct"/>
            <w:gridSpan w:val="3"/>
          </w:tcPr>
          <w:p w:rsidR="00A743EC" w:rsidRPr="00893C26" w:rsidRDefault="00A743EC" w:rsidP="00A743EC">
            <w:pPr>
              <w:pStyle w:val="SCCLsocParty"/>
              <w:jc w:val="both"/>
              <w:rPr>
                <w:b/>
                <w:sz w:val="20"/>
                <w:szCs w:val="20"/>
                <w:lang w:val="en-US"/>
              </w:rPr>
            </w:pPr>
            <w:r w:rsidRPr="00893C26">
              <w:rPr>
                <w:b/>
                <w:sz w:val="20"/>
                <w:szCs w:val="20"/>
                <w:lang w:val="en-US"/>
              </w:rPr>
              <w:t>Grant Jonathan Hjorleifson v. Her Majesty the Queen</w:t>
            </w:r>
          </w:p>
          <w:p w:rsidR="00A743EC" w:rsidRPr="00893C26" w:rsidRDefault="00A743EC" w:rsidP="00A743EC">
            <w:pPr>
              <w:jc w:val="both"/>
              <w:rPr>
                <w:sz w:val="20"/>
              </w:rPr>
            </w:pPr>
            <w:r w:rsidRPr="00893C26">
              <w:rPr>
                <w:sz w:val="20"/>
              </w:rPr>
              <w:t>(Man.) (Criminal) (By Leave)</w:t>
            </w:r>
          </w:p>
        </w:tc>
      </w:tr>
      <w:tr w:rsidR="00A743EC" w:rsidRPr="00893C26" w:rsidTr="00A743EC">
        <w:tc>
          <w:tcPr>
            <w:tcW w:w="5000" w:type="pct"/>
            <w:gridSpan w:val="4"/>
          </w:tcPr>
          <w:p w:rsidR="00A743EC" w:rsidRPr="00893C26" w:rsidRDefault="00A743EC" w:rsidP="00A743EC">
            <w:pPr>
              <w:jc w:val="both"/>
              <w:rPr>
                <w:sz w:val="20"/>
              </w:rPr>
            </w:pPr>
            <w:r w:rsidRPr="00893C26">
              <w:rPr>
                <w:sz w:val="20"/>
              </w:rPr>
              <w:t xml:space="preserve">Criminal law — Trial — Representation by counsel — Whether ineffective assistance of counsel caused a miscarriage of justice — Whether actions of defense counsel show pervasive incompetence that affected trial fairness or appearance of fairness — Whether prejudice component of test for ineffectiveness of counsel was met — Whether counsel’s self-deprecating comments were an admission of incompetence — Whether </w:t>
            </w:r>
            <w:r w:rsidRPr="00893C26">
              <w:rPr>
                <w:i/>
                <w:sz w:val="20"/>
              </w:rPr>
              <w:t>W</w:t>
            </w:r>
            <w:proofErr w:type="gramStart"/>
            <w:r w:rsidRPr="00893C26">
              <w:rPr>
                <w:i/>
                <w:sz w:val="20"/>
              </w:rPr>
              <w:t>.(</w:t>
            </w:r>
            <w:proofErr w:type="gramEnd"/>
            <w:r w:rsidRPr="00893C26">
              <w:rPr>
                <w:i/>
                <w:sz w:val="20"/>
              </w:rPr>
              <w:t xml:space="preserve">D.) </w:t>
            </w:r>
            <w:r w:rsidRPr="00893C26">
              <w:rPr>
                <w:sz w:val="20"/>
              </w:rPr>
              <w:t xml:space="preserve">principals were applied correctly — Whether s. 28 of </w:t>
            </w:r>
            <w:r w:rsidRPr="00893C26">
              <w:rPr>
                <w:i/>
                <w:sz w:val="20"/>
              </w:rPr>
              <w:t>Charter</w:t>
            </w:r>
            <w:r w:rsidRPr="00893C26">
              <w:rPr>
                <w:sz w:val="20"/>
              </w:rPr>
              <w:t xml:space="preserve"> was violated?</w:t>
            </w:r>
          </w:p>
        </w:tc>
      </w:tr>
      <w:tr w:rsidR="00A743EC" w:rsidRPr="00893C26" w:rsidTr="00A743EC">
        <w:tc>
          <w:tcPr>
            <w:tcW w:w="5000" w:type="pct"/>
            <w:gridSpan w:val="4"/>
          </w:tcPr>
          <w:p w:rsidR="00A743EC" w:rsidRPr="00893C26" w:rsidRDefault="00A743EC" w:rsidP="00A743EC">
            <w:pPr>
              <w:jc w:val="both"/>
              <w:rPr>
                <w:spacing w:val="-5"/>
                <w:sz w:val="20"/>
              </w:rPr>
            </w:pPr>
          </w:p>
          <w:p w:rsidR="00A743EC" w:rsidRPr="00893C26" w:rsidRDefault="00A743EC" w:rsidP="00A743EC">
            <w:pPr>
              <w:jc w:val="both"/>
              <w:rPr>
                <w:sz w:val="20"/>
                <w:lang w:val="en"/>
              </w:rPr>
            </w:pPr>
            <w:r w:rsidRPr="00893C26">
              <w:rPr>
                <w:spacing w:val="-5"/>
                <w:sz w:val="20"/>
              </w:rPr>
              <w:t>Mr. </w:t>
            </w:r>
            <w:r w:rsidRPr="00893C26">
              <w:rPr>
                <w:spacing w:val="3"/>
                <w:sz w:val="20"/>
              </w:rPr>
              <w:t>Hjorleifson’s estranged wife</w:t>
            </w:r>
            <w:r w:rsidRPr="00893C26">
              <w:rPr>
                <w:spacing w:val="-5"/>
                <w:sz w:val="20"/>
              </w:rPr>
              <w:t xml:space="preserve"> testified that he punched and threatened her and she suffered cuts and bruises during the assault. </w:t>
            </w:r>
            <w:r w:rsidRPr="00893C26">
              <w:rPr>
                <w:spacing w:val="3"/>
                <w:sz w:val="20"/>
              </w:rPr>
              <w:t xml:space="preserve">Mr. Hjorleifson’s </w:t>
            </w:r>
            <w:r w:rsidRPr="00893C26">
              <w:rPr>
                <w:sz w:val="20"/>
                <w:lang w:val="en"/>
              </w:rPr>
              <w:t xml:space="preserve">counsel at trial and on summary conviction appeal said that his understanding of criminal law was mediocre at best, and Crown counsel complained to the Law Society regarding defence counsel. Mr. Hjorliefson was convicted of assault and uttering threats. His summary conviction appeal was dismissed. His appeal to the Court of Appeal raising ineffective </w:t>
            </w:r>
            <w:r w:rsidRPr="00893C26">
              <w:rPr>
                <w:sz w:val="20"/>
              </w:rPr>
              <w:t>assistance of counsel</w:t>
            </w:r>
            <w:r w:rsidRPr="00893C26">
              <w:rPr>
                <w:sz w:val="20"/>
                <w:lang w:val="en"/>
              </w:rPr>
              <w:t xml:space="preserve"> was dismissed. </w:t>
            </w:r>
          </w:p>
        </w:tc>
      </w:tr>
      <w:tr w:rsidR="00A743EC" w:rsidRPr="00893C26" w:rsidTr="00A743EC">
        <w:tc>
          <w:tcPr>
            <w:tcW w:w="5000" w:type="pct"/>
            <w:gridSpan w:val="4"/>
          </w:tcPr>
          <w:p w:rsidR="00A743EC" w:rsidRPr="00893C26" w:rsidRDefault="00A743EC" w:rsidP="00A743EC">
            <w:pPr>
              <w:jc w:val="both"/>
              <w:rPr>
                <w:sz w:val="20"/>
              </w:rPr>
            </w:pPr>
          </w:p>
        </w:tc>
      </w:tr>
      <w:tr w:rsidR="00A743EC" w:rsidRPr="00893C26" w:rsidTr="00A743EC">
        <w:tc>
          <w:tcPr>
            <w:tcW w:w="2427" w:type="pct"/>
            <w:gridSpan w:val="2"/>
          </w:tcPr>
          <w:p w:rsidR="00A743EC" w:rsidRPr="00893C26" w:rsidRDefault="00A743EC" w:rsidP="00A743EC">
            <w:pPr>
              <w:jc w:val="both"/>
              <w:rPr>
                <w:sz w:val="20"/>
              </w:rPr>
            </w:pPr>
            <w:r w:rsidRPr="00893C26">
              <w:rPr>
                <w:sz w:val="20"/>
              </w:rPr>
              <w:t>January 21, 2020</w:t>
            </w:r>
          </w:p>
          <w:p w:rsidR="00A743EC" w:rsidRPr="00893C26" w:rsidRDefault="00A743EC" w:rsidP="00A743EC">
            <w:pPr>
              <w:jc w:val="both"/>
              <w:rPr>
                <w:sz w:val="20"/>
              </w:rPr>
            </w:pPr>
            <w:r w:rsidRPr="00893C26">
              <w:rPr>
                <w:sz w:val="20"/>
              </w:rPr>
              <w:t>Provincial Court of Manitoba</w:t>
            </w:r>
          </w:p>
          <w:p w:rsidR="00A743EC" w:rsidRPr="00893C26" w:rsidRDefault="00A743EC" w:rsidP="00A743EC">
            <w:pPr>
              <w:jc w:val="both"/>
              <w:rPr>
                <w:sz w:val="20"/>
              </w:rPr>
            </w:pPr>
            <w:r w:rsidRPr="00893C26">
              <w:rPr>
                <w:sz w:val="20"/>
              </w:rPr>
              <w:t>(Frederickson J.)(Unreported)</w:t>
            </w:r>
          </w:p>
          <w:p w:rsidR="00A743EC" w:rsidRPr="00893C26" w:rsidRDefault="00A743EC" w:rsidP="00A743EC">
            <w:pPr>
              <w:jc w:val="both"/>
              <w:rPr>
                <w:sz w:val="20"/>
              </w:rPr>
            </w:pPr>
          </w:p>
        </w:tc>
        <w:tc>
          <w:tcPr>
            <w:tcW w:w="243" w:type="pct"/>
          </w:tcPr>
          <w:p w:rsidR="00A743EC" w:rsidRPr="00893C26" w:rsidRDefault="00A743EC" w:rsidP="00A743EC">
            <w:pPr>
              <w:jc w:val="both"/>
              <w:rPr>
                <w:sz w:val="20"/>
              </w:rPr>
            </w:pPr>
          </w:p>
        </w:tc>
        <w:tc>
          <w:tcPr>
            <w:tcW w:w="2330" w:type="pct"/>
          </w:tcPr>
          <w:p w:rsidR="00A743EC" w:rsidRPr="00893C26" w:rsidRDefault="00A743EC" w:rsidP="00A743EC">
            <w:pPr>
              <w:jc w:val="both"/>
              <w:rPr>
                <w:sz w:val="20"/>
              </w:rPr>
            </w:pPr>
            <w:r w:rsidRPr="00893C26">
              <w:rPr>
                <w:sz w:val="20"/>
              </w:rPr>
              <w:t>Convictions for assault and uttering threats</w:t>
            </w:r>
          </w:p>
          <w:p w:rsidR="00A743EC" w:rsidRPr="00893C26" w:rsidRDefault="00A743EC" w:rsidP="00A743EC">
            <w:pPr>
              <w:jc w:val="both"/>
              <w:rPr>
                <w:sz w:val="20"/>
              </w:rPr>
            </w:pPr>
          </w:p>
        </w:tc>
      </w:tr>
      <w:tr w:rsidR="00A743EC" w:rsidRPr="00893C26" w:rsidTr="00A743EC">
        <w:tc>
          <w:tcPr>
            <w:tcW w:w="2427" w:type="pct"/>
            <w:gridSpan w:val="2"/>
          </w:tcPr>
          <w:p w:rsidR="00A743EC" w:rsidRPr="00893C26" w:rsidRDefault="00A743EC" w:rsidP="00A743EC">
            <w:pPr>
              <w:jc w:val="both"/>
              <w:rPr>
                <w:sz w:val="20"/>
              </w:rPr>
            </w:pPr>
            <w:r w:rsidRPr="00893C26">
              <w:rPr>
                <w:sz w:val="20"/>
              </w:rPr>
              <w:t>April 9, 2021</w:t>
            </w:r>
          </w:p>
          <w:p w:rsidR="00A743EC" w:rsidRPr="00893C26" w:rsidRDefault="00A743EC" w:rsidP="00A743EC">
            <w:pPr>
              <w:jc w:val="both"/>
              <w:rPr>
                <w:sz w:val="20"/>
              </w:rPr>
            </w:pPr>
            <w:r w:rsidRPr="00893C26">
              <w:rPr>
                <w:sz w:val="20"/>
              </w:rPr>
              <w:t>Court of Queen’s Bench of Manitoba</w:t>
            </w:r>
          </w:p>
          <w:p w:rsidR="00A743EC" w:rsidRPr="00893C26" w:rsidRDefault="00A743EC" w:rsidP="00A743EC">
            <w:pPr>
              <w:jc w:val="both"/>
              <w:rPr>
                <w:sz w:val="20"/>
              </w:rPr>
            </w:pPr>
            <w:r w:rsidRPr="00893C26">
              <w:rPr>
                <w:sz w:val="20"/>
              </w:rPr>
              <w:t>(Bond J.)(Unreported)</w:t>
            </w:r>
          </w:p>
          <w:p w:rsidR="00A743EC" w:rsidRPr="00893C26" w:rsidRDefault="00A743EC" w:rsidP="00A743EC">
            <w:pPr>
              <w:jc w:val="both"/>
              <w:rPr>
                <w:sz w:val="20"/>
              </w:rPr>
            </w:pPr>
          </w:p>
        </w:tc>
        <w:tc>
          <w:tcPr>
            <w:tcW w:w="243" w:type="pct"/>
          </w:tcPr>
          <w:p w:rsidR="00A743EC" w:rsidRPr="00893C26" w:rsidRDefault="00A743EC" w:rsidP="00A743EC">
            <w:pPr>
              <w:jc w:val="both"/>
              <w:rPr>
                <w:sz w:val="20"/>
              </w:rPr>
            </w:pPr>
          </w:p>
        </w:tc>
        <w:tc>
          <w:tcPr>
            <w:tcW w:w="2330" w:type="pct"/>
          </w:tcPr>
          <w:p w:rsidR="00A743EC" w:rsidRPr="00893C26" w:rsidRDefault="00A743EC" w:rsidP="00A743EC">
            <w:pPr>
              <w:jc w:val="both"/>
              <w:rPr>
                <w:sz w:val="20"/>
              </w:rPr>
            </w:pPr>
            <w:r w:rsidRPr="00893C26">
              <w:rPr>
                <w:sz w:val="20"/>
              </w:rPr>
              <w:t>Summary conviction appeal dismissed</w:t>
            </w:r>
          </w:p>
          <w:p w:rsidR="00A743EC" w:rsidRPr="00893C26" w:rsidRDefault="00A743EC" w:rsidP="00A743EC">
            <w:pPr>
              <w:jc w:val="both"/>
              <w:rPr>
                <w:sz w:val="20"/>
              </w:rPr>
            </w:pPr>
          </w:p>
        </w:tc>
      </w:tr>
      <w:tr w:rsidR="00A743EC" w:rsidRPr="00893C26" w:rsidTr="00A743EC">
        <w:tc>
          <w:tcPr>
            <w:tcW w:w="2427" w:type="pct"/>
            <w:gridSpan w:val="2"/>
          </w:tcPr>
          <w:p w:rsidR="00A743EC" w:rsidRPr="00893C26" w:rsidRDefault="00A743EC" w:rsidP="00A743EC">
            <w:pPr>
              <w:jc w:val="both"/>
              <w:rPr>
                <w:sz w:val="20"/>
              </w:rPr>
            </w:pPr>
            <w:r w:rsidRPr="00893C26">
              <w:rPr>
                <w:sz w:val="20"/>
              </w:rPr>
              <w:t>February 14, 2022</w:t>
            </w:r>
          </w:p>
          <w:p w:rsidR="00A743EC" w:rsidRPr="00893C26" w:rsidRDefault="00A743EC" w:rsidP="00A743EC">
            <w:pPr>
              <w:jc w:val="both"/>
              <w:rPr>
                <w:sz w:val="20"/>
              </w:rPr>
            </w:pPr>
            <w:r w:rsidRPr="00893C26">
              <w:rPr>
                <w:sz w:val="20"/>
              </w:rPr>
              <w:t>Court of Appeal of Manitoba</w:t>
            </w:r>
          </w:p>
          <w:p w:rsidR="00A743EC" w:rsidRPr="00893C26" w:rsidRDefault="00A743EC" w:rsidP="00A743EC">
            <w:pPr>
              <w:jc w:val="both"/>
              <w:rPr>
                <w:sz w:val="20"/>
              </w:rPr>
            </w:pPr>
            <w:r w:rsidRPr="00893C26">
              <w:rPr>
                <w:sz w:val="20"/>
              </w:rPr>
              <w:t xml:space="preserve">(Burnett, Pfuetzner, Spivak JJ.A.) </w:t>
            </w:r>
          </w:p>
          <w:p w:rsidR="00A743EC" w:rsidRPr="00893C26" w:rsidRDefault="00893C26" w:rsidP="00A743EC">
            <w:pPr>
              <w:jc w:val="both"/>
              <w:rPr>
                <w:sz w:val="20"/>
                <w:lang w:val="en"/>
              </w:rPr>
            </w:pPr>
            <w:hyperlink r:id="rId87" w:history="1">
              <w:r w:rsidR="00A743EC" w:rsidRPr="00893C26">
                <w:rPr>
                  <w:rStyle w:val="Hyperlink"/>
                  <w:sz w:val="20"/>
                </w:rPr>
                <w:t>2022 MBCA 22</w:t>
              </w:r>
            </w:hyperlink>
            <w:r w:rsidR="00A743EC" w:rsidRPr="00893C26">
              <w:rPr>
                <w:sz w:val="20"/>
              </w:rPr>
              <w:t xml:space="preserve">; </w:t>
            </w:r>
            <w:r w:rsidR="00A743EC" w:rsidRPr="00893C26">
              <w:rPr>
                <w:sz w:val="20"/>
                <w:lang w:val="en"/>
              </w:rPr>
              <w:t>AR21-30-09627</w:t>
            </w:r>
          </w:p>
          <w:p w:rsidR="00A743EC" w:rsidRPr="00893C26" w:rsidRDefault="00A743EC" w:rsidP="00A743EC">
            <w:pPr>
              <w:jc w:val="both"/>
              <w:rPr>
                <w:sz w:val="20"/>
                <w:lang w:val="en"/>
              </w:rPr>
            </w:pPr>
          </w:p>
        </w:tc>
        <w:tc>
          <w:tcPr>
            <w:tcW w:w="243" w:type="pct"/>
          </w:tcPr>
          <w:p w:rsidR="00A743EC" w:rsidRPr="00893C26" w:rsidRDefault="00A743EC" w:rsidP="00A743EC">
            <w:pPr>
              <w:jc w:val="both"/>
              <w:rPr>
                <w:sz w:val="20"/>
              </w:rPr>
            </w:pPr>
          </w:p>
        </w:tc>
        <w:tc>
          <w:tcPr>
            <w:tcW w:w="2330" w:type="pct"/>
          </w:tcPr>
          <w:p w:rsidR="00A743EC" w:rsidRPr="00893C26" w:rsidRDefault="00A743EC" w:rsidP="00A743EC">
            <w:pPr>
              <w:jc w:val="both"/>
              <w:rPr>
                <w:sz w:val="20"/>
              </w:rPr>
            </w:pPr>
            <w:r w:rsidRPr="00893C26">
              <w:rPr>
                <w:sz w:val="20"/>
              </w:rPr>
              <w:t>Appeal dismissed</w:t>
            </w:r>
          </w:p>
          <w:p w:rsidR="00A743EC" w:rsidRPr="00893C26" w:rsidRDefault="00A743EC" w:rsidP="00A743EC">
            <w:pPr>
              <w:jc w:val="both"/>
              <w:rPr>
                <w:sz w:val="20"/>
              </w:rPr>
            </w:pPr>
          </w:p>
        </w:tc>
      </w:tr>
      <w:tr w:rsidR="00A743EC" w:rsidRPr="00893C26" w:rsidTr="00A743EC">
        <w:tc>
          <w:tcPr>
            <w:tcW w:w="2427" w:type="pct"/>
            <w:gridSpan w:val="2"/>
          </w:tcPr>
          <w:p w:rsidR="00A743EC" w:rsidRPr="00893C26" w:rsidRDefault="00A743EC" w:rsidP="00A743EC">
            <w:pPr>
              <w:jc w:val="both"/>
              <w:rPr>
                <w:sz w:val="20"/>
              </w:rPr>
            </w:pPr>
            <w:r w:rsidRPr="00893C26">
              <w:rPr>
                <w:sz w:val="20"/>
              </w:rPr>
              <w:t>April 19, 2022</w:t>
            </w:r>
          </w:p>
          <w:p w:rsidR="00A743EC" w:rsidRPr="00893C26" w:rsidRDefault="00A743EC" w:rsidP="00A743EC">
            <w:pPr>
              <w:jc w:val="both"/>
              <w:rPr>
                <w:sz w:val="20"/>
              </w:rPr>
            </w:pPr>
            <w:r w:rsidRPr="00893C26">
              <w:rPr>
                <w:sz w:val="20"/>
              </w:rPr>
              <w:t>Supreme Court of Canada</w:t>
            </w:r>
          </w:p>
        </w:tc>
        <w:tc>
          <w:tcPr>
            <w:tcW w:w="243" w:type="pct"/>
          </w:tcPr>
          <w:p w:rsidR="00A743EC" w:rsidRPr="00893C26" w:rsidRDefault="00A743EC" w:rsidP="00A743EC">
            <w:pPr>
              <w:jc w:val="both"/>
              <w:rPr>
                <w:sz w:val="20"/>
              </w:rPr>
            </w:pPr>
          </w:p>
        </w:tc>
        <w:tc>
          <w:tcPr>
            <w:tcW w:w="2330" w:type="pct"/>
          </w:tcPr>
          <w:p w:rsidR="00A743EC" w:rsidRPr="00893C26" w:rsidRDefault="00A743EC" w:rsidP="00A743EC">
            <w:pPr>
              <w:jc w:val="both"/>
              <w:rPr>
                <w:sz w:val="20"/>
              </w:rPr>
            </w:pPr>
            <w:r w:rsidRPr="00893C26">
              <w:rPr>
                <w:sz w:val="20"/>
              </w:rPr>
              <w:t>Application for leave to appeal filed</w:t>
            </w:r>
          </w:p>
          <w:p w:rsidR="00A743EC" w:rsidRPr="00893C26" w:rsidRDefault="00A743EC" w:rsidP="00A743EC">
            <w:pPr>
              <w:jc w:val="both"/>
              <w:rPr>
                <w:sz w:val="20"/>
              </w:rPr>
            </w:pPr>
          </w:p>
        </w:tc>
      </w:tr>
    </w:tbl>
    <w:p w:rsidR="00A743EC" w:rsidRPr="00893C26" w:rsidRDefault="00A743EC" w:rsidP="00A743EC">
      <w:pPr>
        <w:jc w:val="both"/>
        <w:rPr>
          <w:sz w:val="20"/>
        </w:rPr>
      </w:pPr>
    </w:p>
    <w:p w:rsidR="00A743EC" w:rsidRPr="00893C26" w:rsidRDefault="00893C26" w:rsidP="00A743EC">
      <w:pPr>
        <w:jc w:val="both"/>
        <w:rPr>
          <w:sz w:val="20"/>
        </w:rPr>
      </w:pPr>
      <w:r w:rsidRPr="00893C26">
        <w:rPr>
          <w:sz w:val="20"/>
        </w:rPr>
        <w:pict>
          <v:rect id="_x0000_i1061" style="width:2in;height:1pt" o:hrpct="0" o:hralign="center" o:hrstd="t" o:hrnoshade="t" o:hr="t" fillcolor="black [3213]" stroked="f"/>
        </w:pict>
      </w:r>
    </w:p>
    <w:p w:rsidR="00A743EC" w:rsidRPr="00893C26" w:rsidRDefault="00A743EC" w:rsidP="00A743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743EC" w:rsidRPr="00893C26" w:rsidTr="00A743EC">
        <w:tc>
          <w:tcPr>
            <w:tcW w:w="543" w:type="pct"/>
          </w:tcPr>
          <w:p w:rsidR="00A743EC" w:rsidRPr="00893C26" w:rsidRDefault="00A743EC" w:rsidP="00A743EC">
            <w:pPr>
              <w:jc w:val="both"/>
              <w:rPr>
                <w:sz w:val="20"/>
                <w:lang w:val="fr-CA"/>
              </w:rPr>
            </w:pPr>
            <w:r w:rsidRPr="00893C26">
              <w:rPr>
                <w:rStyle w:val="SCCFileNumberChar"/>
                <w:sz w:val="20"/>
                <w:szCs w:val="20"/>
                <w:lang w:val="fr-CA"/>
              </w:rPr>
              <w:t>40255</w:t>
            </w:r>
          </w:p>
        </w:tc>
        <w:tc>
          <w:tcPr>
            <w:tcW w:w="4457" w:type="pct"/>
            <w:gridSpan w:val="3"/>
          </w:tcPr>
          <w:p w:rsidR="00A743EC" w:rsidRPr="00893C26" w:rsidRDefault="00A743EC" w:rsidP="00A743EC">
            <w:pPr>
              <w:pStyle w:val="SCCLsocParty"/>
              <w:jc w:val="both"/>
              <w:rPr>
                <w:b/>
                <w:sz w:val="20"/>
                <w:szCs w:val="20"/>
              </w:rPr>
            </w:pPr>
            <w:r w:rsidRPr="00893C26">
              <w:rPr>
                <w:b/>
                <w:sz w:val="20"/>
                <w:szCs w:val="20"/>
              </w:rPr>
              <w:t>Grant Jonathan Hjorleifson c. Sa Majesté la Reine</w:t>
            </w:r>
          </w:p>
          <w:p w:rsidR="00A743EC" w:rsidRPr="00893C26" w:rsidRDefault="00A743EC" w:rsidP="00A743EC">
            <w:pPr>
              <w:jc w:val="both"/>
              <w:rPr>
                <w:sz w:val="20"/>
                <w:lang w:val="fr-CA"/>
              </w:rPr>
            </w:pPr>
            <w:r w:rsidRPr="00893C26">
              <w:rPr>
                <w:sz w:val="20"/>
                <w:lang w:val="fr-CA"/>
              </w:rPr>
              <w:t>(Man.) (Criminelle) (Sur autorisation)</w:t>
            </w:r>
          </w:p>
        </w:tc>
      </w:tr>
      <w:tr w:rsidR="00A743EC" w:rsidRPr="00893C26" w:rsidTr="00A743EC">
        <w:tc>
          <w:tcPr>
            <w:tcW w:w="5000" w:type="pct"/>
            <w:gridSpan w:val="4"/>
          </w:tcPr>
          <w:p w:rsidR="00A743EC" w:rsidRPr="00893C26" w:rsidRDefault="00A743EC" w:rsidP="00A743EC">
            <w:pPr>
              <w:jc w:val="both"/>
              <w:rPr>
                <w:sz w:val="20"/>
                <w:lang w:val="fr-CA"/>
              </w:rPr>
            </w:pPr>
            <w:r w:rsidRPr="00893C26">
              <w:rPr>
                <w:sz w:val="20"/>
                <w:lang w:val="fr-CA"/>
              </w:rPr>
              <w:t xml:space="preserve">Droit criminel — Procès — Représentation par un avocat — L’assistance inefficace d’un avocat a-t-elle causé une erreur judiciaire? — Les actions de l’avocat de la défense ont-elles démontré une incompétence généralisée qui a eu une incidence sur l’équité du procès ou l’apparence d’équité? — La composante relative au préjudice du critère servant à déterminer s’il y a eu inefficacité de l’avocat a-t-elle été respectée? — Les commentaires de l’avocat où celui-ci faisait preuve d’autodérision constituaient-ils un aveu d’incompétence? — Les principes de l’arrêt </w:t>
            </w:r>
            <w:r w:rsidRPr="00893C26">
              <w:rPr>
                <w:i/>
                <w:sz w:val="20"/>
                <w:lang w:val="fr-CA"/>
              </w:rPr>
              <w:t>W</w:t>
            </w:r>
            <w:proofErr w:type="gramStart"/>
            <w:r w:rsidRPr="00893C26">
              <w:rPr>
                <w:i/>
                <w:sz w:val="20"/>
                <w:lang w:val="fr-CA"/>
              </w:rPr>
              <w:t>.(</w:t>
            </w:r>
            <w:proofErr w:type="gramEnd"/>
            <w:r w:rsidRPr="00893C26">
              <w:rPr>
                <w:i/>
                <w:sz w:val="20"/>
                <w:lang w:val="fr-CA"/>
              </w:rPr>
              <w:t xml:space="preserve">D.) </w:t>
            </w:r>
            <w:r w:rsidRPr="00893C26">
              <w:rPr>
                <w:sz w:val="20"/>
                <w:lang w:val="fr-CA"/>
              </w:rPr>
              <w:t xml:space="preserve">ont-ils été appliqués correctement? — L’article 28 de la </w:t>
            </w:r>
            <w:r w:rsidRPr="00893C26">
              <w:rPr>
                <w:i/>
                <w:sz w:val="20"/>
                <w:lang w:val="fr-CA"/>
              </w:rPr>
              <w:t>Charte</w:t>
            </w:r>
            <w:r w:rsidRPr="00893C26">
              <w:rPr>
                <w:sz w:val="20"/>
                <w:lang w:val="fr-CA"/>
              </w:rPr>
              <w:t xml:space="preserve"> a-t-il été violé?</w:t>
            </w:r>
          </w:p>
        </w:tc>
      </w:tr>
      <w:tr w:rsidR="00A743EC" w:rsidRPr="00893C26" w:rsidTr="00A743EC">
        <w:tc>
          <w:tcPr>
            <w:tcW w:w="5000" w:type="pct"/>
            <w:gridSpan w:val="4"/>
          </w:tcPr>
          <w:p w:rsidR="00A743EC" w:rsidRPr="00893C26" w:rsidRDefault="00A743EC" w:rsidP="00A743EC">
            <w:pPr>
              <w:jc w:val="both"/>
              <w:rPr>
                <w:spacing w:val="-5"/>
                <w:sz w:val="20"/>
                <w:lang w:val="fr-CA"/>
              </w:rPr>
            </w:pPr>
          </w:p>
          <w:p w:rsidR="00A743EC" w:rsidRPr="00893C26" w:rsidRDefault="00A743EC" w:rsidP="00A743EC">
            <w:pPr>
              <w:jc w:val="both"/>
              <w:rPr>
                <w:sz w:val="20"/>
                <w:lang w:val="fr-CA"/>
              </w:rPr>
            </w:pPr>
            <w:r w:rsidRPr="00893C26">
              <w:rPr>
                <w:spacing w:val="-5"/>
                <w:sz w:val="20"/>
                <w:lang w:val="fr-CA"/>
              </w:rPr>
              <w:t>La femme de M.</w:t>
            </w:r>
            <w:r w:rsidRPr="00893C26">
              <w:rPr>
                <w:spacing w:val="3"/>
                <w:sz w:val="20"/>
                <w:lang w:val="fr-CA"/>
              </w:rPr>
              <w:t> Hjorleifson, dont elle est séparée, a affirmé qu’il lui avait donné un coup de poing et qu’elle avait subi des coupures et des contusions pendant l’agression. L’avocat de M. Hjorleifson au procès et lors de l’appel en matière de poursuite sommaire a dit que sa compréhension du droit criminel était tout au plus médiocre, et le procureur de la Couronne a déposé une plainte au barreau concernant l’avocat de la défense. M. </w:t>
            </w:r>
            <w:r w:rsidRPr="00893C26">
              <w:rPr>
                <w:sz w:val="20"/>
                <w:lang w:val="fr-CA"/>
              </w:rPr>
              <w:t>Hjorliefson a été déclaré coupable d’agression et d’avoir proféré des menaces. L’appel qu’il a interjeté en matière de poursuite sommaire a été rejeté, tout comme l’appel qu’il a interjeté à la Cour d’appel concernant l’assistance inefficace d’un avocat.</w:t>
            </w:r>
          </w:p>
        </w:tc>
      </w:tr>
      <w:tr w:rsidR="00A743EC" w:rsidRPr="00893C26" w:rsidTr="00A743EC">
        <w:tc>
          <w:tcPr>
            <w:tcW w:w="5000" w:type="pct"/>
            <w:gridSpan w:val="4"/>
          </w:tcPr>
          <w:p w:rsidR="00A743EC" w:rsidRPr="00893C26" w:rsidRDefault="00A743EC" w:rsidP="00A743EC">
            <w:pPr>
              <w:jc w:val="both"/>
              <w:rPr>
                <w:sz w:val="20"/>
                <w:lang w:val="fr-CA"/>
              </w:rPr>
            </w:pPr>
          </w:p>
        </w:tc>
      </w:tr>
      <w:tr w:rsidR="00A743EC" w:rsidRPr="00893C26" w:rsidTr="00A743EC">
        <w:tc>
          <w:tcPr>
            <w:tcW w:w="2427" w:type="pct"/>
            <w:gridSpan w:val="2"/>
          </w:tcPr>
          <w:p w:rsidR="00A743EC" w:rsidRPr="00893C26" w:rsidRDefault="00A743EC" w:rsidP="00A743EC">
            <w:pPr>
              <w:jc w:val="both"/>
              <w:rPr>
                <w:sz w:val="20"/>
                <w:lang w:val="fr-CA"/>
              </w:rPr>
            </w:pPr>
            <w:r w:rsidRPr="00893C26">
              <w:rPr>
                <w:sz w:val="20"/>
                <w:lang w:val="fr-CA"/>
              </w:rPr>
              <w:t>21 janvier 2020</w:t>
            </w:r>
          </w:p>
          <w:p w:rsidR="00A743EC" w:rsidRPr="00893C26" w:rsidRDefault="00A743EC" w:rsidP="00A743EC">
            <w:pPr>
              <w:jc w:val="both"/>
              <w:rPr>
                <w:sz w:val="20"/>
                <w:lang w:val="fr-CA"/>
              </w:rPr>
            </w:pPr>
            <w:r w:rsidRPr="00893C26">
              <w:rPr>
                <w:sz w:val="20"/>
                <w:lang w:val="fr-CA"/>
              </w:rPr>
              <w:t>Cour provinciale du Manitoba</w:t>
            </w:r>
          </w:p>
          <w:p w:rsidR="00A743EC" w:rsidRPr="00893C26" w:rsidRDefault="00A743EC" w:rsidP="00A743EC">
            <w:pPr>
              <w:jc w:val="both"/>
              <w:rPr>
                <w:sz w:val="20"/>
                <w:lang w:val="fr-CA"/>
              </w:rPr>
            </w:pPr>
            <w:r w:rsidRPr="00893C26">
              <w:rPr>
                <w:sz w:val="20"/>
                <w:lang w:val="fr-CA"/>
              </w:rPr>
              <w:t>(Juge Frederickson) (non publié)</w:t>
            </w:r>
          </w:p>
          <w:p w:rsidR="00A743EC" w:rsidRPr="00893C26" w:rsidRDefault="00A743EC" w:rsidP="00A743EC">
            <w:pPr>
              <w:jc w:val="both"/>
              <w:rPr>
                <w:sz w:val="20"/>
                <w:lang w:val="fr-CA"/>
              </w:rPr>
            </w:pPr>
          </w:p>
        </w:tc>
        <w:tc>
          <w:tcPr>
            <w:tcW w:w="243" w:type="pct"/>
          </w:tcPr>
          <w:p w:rsidR="00A743EC" w:rsidRPr="00893C26" w:rsidRDefault="00A743EC" w:rsidP="00A743EC">
            <w:pPr>
              <w:jc w:val="both"/>
              <w:rPr>
                <w:sz w:val="20"/>
                <w:lang w:val="fr-CA"/>
              </w:rPr>
            </w:pPr>
          </w:p>
        </w:tc>
        <w:tc>
          <w:tcPr>
            <w:tcW w:w="2330" w:type="pct"/>
          </w:tcPr>
          <w:p w:rsidR="00A743EC" w:rsidRPr="00893C26" w:rsidRDefault="00A743EC" w:rsidP="00A743EC">
            <w:pPr>
              <w:jc w:val="both"/>
              <w:rPr>
                <w:sz w:val="20"/>
                <w:lang w:val="fr-CA"/>
              </w:rPr>
            </w:pPr>
            <w:r w:rsidRPr="00893C26">
              <w:rPr>
                <w:sz w:val="20"/>
                <w:lang w:val="fr-CA"/>
              </w:rPr>
              <w:t xml:space="preserve">Déclarations de culpabilité pour avoir commis une agression et proféré des menaces </w:t>
            </w:r>
          </w:p>
          <w:p w:rsidR="00A743EC" w:rsidRPr="00893C26" w:rsidRDefault="00A743EC" w:rsidP="00A743EC">
            <w:pPr>
              <w:jc w:val="both"/>
              <w:rPr>
                <w:sz w:val="20"/>
                <w:lang w:val="fr-CA"/>
              </w:rPr>
            </w:pPr>
          </w:p>
        </w:tc>
      </w:tr>
      <w:tr w:rsidR="00A743EC" w:rsidRPr="00893C26" w:rsidTr="00A743EC">
        <w:tc>
          <w:tcPr>
            <w:tcW w:w="2427" w:type="pct"/>
            <w:gridSpan w:val="2"/>
          </w:tcPr>
          <w:p w:rsidR="00A743EC" w:rsidRPr="00893C26" w:rsidRDefault="00A743EC" w:rsidP="00A743EC">
            <w:pPr>
              <w:jc w:val="both"/>
              <w:rPr>
                <w:sz w:val="20"/>
                <w:lang w:val="fr-CA"/>
              </w:rPr>
            </w:pPr>
            <w:r w:rsidRPr="00893C26">
              <w:rPr>
                <w:sz w:val="20"/>
                <w:lang w:val="fr-CA"/>
              </w:rPr>
              <w:t>9 avril 2021</w:t>
            </w:r>
          </w:p>
          <w:p w:rsidR="00A743EC" w:rsidRPr="00893C26" w:rsidRDefault="00A743EC" w:rsidP="00A743EC">
            <w:pPr>
              <w:jc w:val="both"/>
              <w:rPr>
                <w:sz w:val="20"/>
                <w:lang w:val="fr-CA"/>
              </w:rPr>
            </w:pPr>
            <w:r w:rsidRPr="00893C26">
              <w:rPr>
                <w:sz w:val="20"/>
                <w:lang w:val="fr-CA"/>
              </w:rPr>
              <w:t>Cour du Banc de la Reine du Manitoba</w:t>
            </w:r>
          </w:p>
          <w:p w:rsidR="00A743EC" w:rsidRPr="00893C26" w:rsidRDefault="00A743EC" w:rsidP="00A743EC">
            <w:pPr>
              <w:jc w:val="both"/>
              <w:rPr>
                <w:sz w:val="20"/>
                <w:lang w:val="fr-CA"/>
              </w:rPr>
            </w:pPr>
            <w:r w:rsidRPr="00893C26">
              <w:rPr>
                <w:sz w:val="20"/>
                <w:lang w:val="fr-CA"/>
              </w:rPr>
              <w:t>(Juge Bond) (non publié)</w:t>
            </w:r>
          </w:p>
          <w:p w:rsidR="00A743EC" w:rsidRPr="00893C26" w:rsidRDefault="00A743EC" w:rsidP="00A743EC">
            <w:pPr>
              <w:jc w:val="both"/>
              <w:rPr>
                <w:sz w:val="20"/>
                <w:lang w:val="fr-CA"/>
              </w:rPr>
            </w:pPr>
          </w:p>
        </w:tc>
        <w:tc>
          <w:tcPr>
            <w:tcW w:w="243" w:type="pct"/>
          </w:tcPr>
          <w:p w:rsidR="00A743EC" w:rsidRPr="00893C26" w:rsidRDefault="00A743EC" w:rsidP="00A743EC">
            <w:pPr>
              <w:jc w:val="both"/>
              <w:rPr>
                <w:sz w:val="20"/>
                <w:lang w:val="fr-CA"/>
              </w:rPr>
            </w:pPr>
          </w:p>
        </w:tc>
        <w:tc>
          <w:tcPr>
            <w:tcW w:w="2330" w:type="pct"/>
          </w:tcPr>
          <w:p w:rsidR="00A743EC" w:rsidRPr="00893C26" w:rsidRDefault="00A743EC" w:rsidP="00A743EC">
            <w:pPr>
              <w:jc w:val="both"/>
              <w:rPr>
                <w:sz w:val="20"/>
                <w:lang w:val="fr-CA"/>
              </w:rPr>
            </w:pPr>
            <w:r w:rsidRPr="00893C26">
              <w:rPr>
                <w:sz w:val="20"/>
                <w:lang w:val="fr-CA"/>
              </w:rPr>
              <w:t>Appel en matière de poursuite sommaire rejeté</w:t>
            </w:r>
          </w:p>
          <w:p w:rsidR="00A743EC" w:rsidRPr="00893C26" w:rsidRDefault="00A743EC" w:rsidP="00A743EC">
            <w:pPr>
              <w:jc w:val="both"/>
              <w:rPr>
                <w:sz w:val="20"/>
                <w:lang w:val="fr-CA"/>
              </w:rPr>
            </w:pPr>
          </w:p>
        </w:tc>
      </w:tr>
      <w:tr w:rsidR="00A743EC" w:rsidRPr="00893C26" w:rsidTr="00A743EC">
        <w:tc>
          <w:tcPr>
            <w:tcW w:w="2427" w:type="pct"/>
            <w:gridSpan w:val="2"/>
          </w:tcPr>
          <w:p w:rsidR="00A743EC" w:rsidRPr="00893C26" w:rsidRDefault="00A743EC" w:rsidP="00A743EC">
            <w:pPr>
              <w:jc w:val="both"/>
              <w:rPr>
                <w:sz w:val="20"/>
                <w:lang w:val="fr-CA"/>
              </w:rPr>
            </w:pPr>
            <w:r w:rsidRPr="00893C26">
              <w:rPr>
                <w:sz w:val="20"/>
                <w:lang w:val="fr-CA"/>
              </w:rPr>
              <w:t>14 février 2022</w:t>
            </w:r>
          </w:p>
          <w:p w:rsidR="00A743EC" w:rsidRPr="00893C26" w:rsidRDefault="00A743EC" w:rsidP="00A743EC">
            <w:pPr>
              <w:jc w:val="both"/>
              <w:rPr>
                <w:sz w:val="20"/>
                <w:lang w:val="fr-CA"/>
              </w:rPr>
            </w:pPr>
            <w:r w:rsidRPr="00893C26">
              <w:rPr>
                <w:sz w:val="20"/>
                <w:lang w:val="fr-CA"/>
              </w:rPr>
              <w:t>Cour d’appel du Manitoba</w:t>
            </w:r>
          </w:p>
          <w:p w:rsidR="00A743EC" w:rsidRPr="00893C26" w:rsidRDefault="00A743EC" w:rsidP="00A743EC">
            <w:pPr>
              <w:jc w:val="both"/>
              <w:rPr>
                <w:sz w:val="20"/>
                <w:lang w:val="fr-CA"/>
              </w:rPr>
            </w:pPr>
            <w:r w:rsidRPr="00893C26">
              <w:rPr>
                <w:sz w:val="20"/>
                <w:lang w:val="fr-CA"/>
              </w:rPr>
              <w:t xml:space="preserve">(Juges Burnett, Pfuetzner et Spivak) </w:t>
            </w:r>
          </w:p>
          <w:p w:rsidR="00A743EC" w:rsidRPr="00893C26" w:rsidRDefault="00893C26" w:rsidP="00A743EC">
            <w:pPr>
              <w:jc w:val="both"/>
              <w:rPr>
                <w:sz w:val="20"/>
                <w:lang w:val="fr-CA"/>
              </w:rPr>
            </w:pPr>
            <w:hyperlink r:id="rId88" w:history="1">
              <w:r w:rsidR="00A743EC" w:rsidRPr="00893C26">
                <w:rPr>
                  <w:rStyle w:val="Hyperlink"/>
                  <w:sz w:val="20"/>
                  <w:lang w:val="fr-CA"/>
                </w:rPr>
                <w:t>2022 MBCA 22</w:t>
              </w:r>
            </w:hyperlink>
            <w:r w:rsidR="00A743EC" w:rsidRPr="00893C26">
              <w:rPr>
                <w:sz w:val="20"/>
                <w:lang w:val="fr-CA"/>
              </w:rPr>
              <w:t>; AR21-30-09627</w:t>
            </w:r>
          </w:p>
          <w:p w:rsidR="00A743EC" w:rsidRPr="00893C26" w:rsidRDefault="00A743EC" w:rsidP="00A743EC">
            <w:pPr>
              <w:jc w:val="both"/>
              <w:rPr>
                <w:sz w:val="20"/>
                <w:lang w:val="fr-CA"/>
              </w:rPr>
            </w:pPr>
          </w:p>
        </w:tc>
        <w:tc>
          <w:tcPr>
            <w:tcW w:w="243" w:type="pct"/>
          </w:tcPr>
          <w:p w:rsidR="00A743EC" w:rsidRPr="00893C26" w:rsidRDefault="00A743EC" w:rsidP="00A743EC">
            <w:pPr>
              <w:jc w:val="both"/>
              <w:rPr>
                <w:sz w:val="20"/>
                <w:lang w:val="fr-CA"/>
              </w:rPr>
            </w:pPr>
          </w:p>
        </w:tc>
        <w:tc>
          <w:tcPr>
            <w:tcW w:w="2330" w:type="pct"/>
          </w:tcPr>
          <w:p w:rsidR="00A743EC" w:rsidRPr="00893C26" w:rsidRDefault="00A743EC" w:rsidP="00A743EC">
            <w:pPr>
              <w:jc w:val="both"/>
              <w:rPr>
                <w:sz w:val="20"/>
                <w:lang w:val="fr-CA"/>
              </w:rPr>
            </w:pPr>
            <w:r w:rsidRPr="00893C26">
              <w:rPr>
                <w:sz w:val="20"/>
                <w:lang w:val="fr-CA"/>
              </w:rPr>
              <w:t>Appel rejeté</w:t>
            </w:r>
          </w:p>
          <w:p w:rsidR="00A743EC" w:rsidRPr="00893C26" w:rsidRDefault="00A743EC" w:rsidP="00A743EC">
            <w:pPr>
              <w:jc w:val="both"/>
              <w:rPr>
                <w:sz w:val="20"/>
                <w:lang w:val="fr-CA"/>
              </w:rPr>
            </w:pPr>
          </w:p>
        </w:tc>
      </w:tr>
      <w:tr w:rsidR="00A743EC" w:rsidRPr="00893C26" w:rsidTr="00A743EC">
        <w:tc>
          <w:tcPr>
            <w:tcW w:w="2427" w:type="pct"/>
            <w:gridSpan w:val="2"/>
          </w:tcPr>
          <w:p w:rsidR="00A743EC" w:rsidRPr="00893C26" w:rsidRDefault="00A743EC" w:rsidP="00A743EC">
            <w:pPr>
              <w:jc w:val="both"/>
              <w:rPr>
                <w:sz w:val="20"/>
                <w:lang w:val="fr-CA"/>
              </w:rPr>
            </w:pPr>
            <w:r w:rsidRPr="00893C26">
              <w:rPr>
                <w:sz w:val="20"/>
                <w:lang w:val="fr-CA"/>
              </w:rPr>
              <w:t>19 avril 2022</w:t>
            </w:r>
          </w:p>
          <w:p w:rsidR="00A743EC" w:rsidRPr="00893C26" w:rsidRDefault="00A743EC" w:rsidP="00A743EC">
            <w:pPr>
              <w:jc w:val="both"/>
              <w:rPr>
                <w:sz w:val="20"/>
                <w:lang w:val="fr-CA"/>
              </w:rPr>
            </w:pPr>
            <w:r w:rsidRPr="00893C26">
              <w:rPr>
                <w:sz w:val="20"/>
                <w:lang w:val="fr-CA"/>
              </w:rPr>
              <w:t>Cour suprême du Canada</w:t>
            </w:r>
          </w:p>
        </w:tc>
        <w:tc>
          <w:tcPr>
            <w:tcW w:w="243" w:type="pct"/>
          </w:tcPr>
          <w:p w:rsidR="00A743EC" w:rsidRPr="00893C26" w:rsidRDefault="00A743EC" w:rsidP="00A743EC">
            <w:pPr>
              <w:jc w:val="both"/>
              <w:rPr>
                <w:sz w:val="20"/>
                <w:lang w:val="fr-CA"/>
              </w:rPr>
            </w:pPr>
          </w:p>
        </w:tc>
        <w:tc>
          <w:tcPr>
            <w:tcW w:w="2330" w:type="pct"/>
          </w:tcPr>
          <w:p w:rsidR="00A743EC" w:rsidRPr="00893C26" w:rsidRDefault="00A743EC" w:rsidP="00A743EC">
            <w:pPr>
              <w:jc w:val="both"/>
              <w:rPr>
                <w:sz w:val="20"/>
                <w:lang w:val="fr-CA"/>
              </w:rPr>
            </w:pPr>
            <w:r w:rsidRPr="00893C26">
              <w:rPr>
                <w:sz w:val="20"/>
                <w:lang w:val="fr-CA"/>
              </w:rPr>
              <w:t xml:space="preserve">Demande d’autorisation d’appel déposée </w:t>
            </w:r>
          </w:p>
        </w:tc>
      </w:tr>
    </w:tbl>
    <w:p w:rsidR="00A743EC" w:rsidRPr="00893C26" w:rsidRDefault="00A743EC" w:rsidP="00A743EC">
      <w:pPr>
        <w:jc w:val="both"/>
        <w:rPr>
          <w:sz w:val="20"/>
          <w:lang w:val="fr-CA"/>
        </w:rPr>
      </w:pPr>
    </w:p>
    <w:p w:rsidR="00A743EC" w:rsidRPr="00893C26" w:rsidRDefault="00893C26" w:rsidP="00A743EC">
      <w:pPr>
        <w:jc w:val="both"/>
        <w:rPr>
          <w:sz w:val="20"/>
          <w:lang w:val="fr-CA"/>
        </w:rPr>
      </w:pPr>
      <w:r w:rsidRPr="00893C26">
        <w:rPr>
          <w:sz w:val="20"/>
        </w:rPr>
        <w:pict>
          <v:rect id="_x0000_i1062" style="width:2in;height:1pt" o:hrpct="0" o:hralign="center" o:hrstd="t" o:hrnoshade="t" o:hr="t" fillcolor="black [3213]" stroked="f"/>
        </w:pict>
      </w:r>
    </w:p>
    <w:p w:rsidR="00A743EC" w:rsidRPr="00893C26" w:rsidRDefault="00A743EC" w:rsidP="00A743E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A743EC" w:rsidRPr="00893C26" w:rsidTr="00A743EC">
        <w:tc>
          <w:tcPr>
            <w:tcW w:w="543" w:type="pct"/>
          </w:tcPr>
          <w:p w:rsidR="00A743EC" w:rsidRPr="00893C26" w:rsidRDefault="00A743EC" w:rsidP="00A743EC">
            <w:pPr>
              <w:jc w:val="both"/>
              <w:rPr>
                <w:sz w:val="20"/>
              </w:rPr>
            </w:pPr>
            <w:r w:rsidRPr="00893C26">
              <w:rPr>
                <w:rStyle w:val="SCCFileNumberChar"/>
                <w:sz w:val="20"/>
                <w:szCs w:val="20"/>
              </w:rPr>
              <w:t>40125</w:t>
            </w:r>
          </w:p>
        </w:tc>
        <w:tc>
          <w:tcPr>
            <w:tcW w:w="4457" w:type="pct"/>
          </w:tcPr>
          <w:p w:rsidR="00A743EC" w:rsidRPr="00893C26" w:rsidRDefault="00A743EC" w:rsidP="00A743EC">
            <w:pPr>
              <w:pStyle w:val="SCCLsocParty"/>
              <w:jc w:val="both"/>
              <w:rPr>
                <w:b/>
                <w:sz w:val="20"/>
                <w:szCs w:val="20"/>
                <w:lang w:val="en-US"/>
              </w:rPr>
            </w:pPr>
            <w:r w:rsidRPr="00893C26">
              <w:rPr>
                <w:b/>
                <w:sz w:val="20"/>
                <w:szCs w:val="20"/>
                <w:lang w:val="en-US"/>
              </w:rPr>
              <w:t>Alexander Davidoff, Alexandra Davidoff v. Rachel Goerz, Paderewski Society Home (Niagara), Niagara Regional Housing (NRH)</w:t>
            </w:r>
          </w:p>
          <w:p w:rsidR="00A743EC" w:rsidRPr="00893C26" w:rsidRDefault="00A743EC" w:rsidP="00A743EC">
            <w:pPr>
              <w:jc w:val="both"/>
              <w:rPr>
                <w:sz w:val="20"/>
              </w:rPr>
            </w:pPr>
            <w:r w:rsidRPr="00893C26">
              <w:rPr>
                <w:sz w:val="20"/>
              </w:rPr>
              <w:t>(Ont.) (Civil) (By Leave)</w:t>
            </w:r>
          </w:p>
        </w:tc>
      </w:tr>
      <w:tr w:rsidR="00A743EC" w:rsidRPr="00893C26" w:rsidTr="00A743EC">
        <w:tc>
          <w:tcPr>
            <w:tcW w:w="5000" w:type="pct"/>
            <w:gridSpan w:val="2"/>
          </w:tcPr>
          <w:p w:rsidR="00A743EC" w:rsidRPr="00893C26" w:rsidRDefault="00A743EC" w:rsidP="00A743EC">
            <w:pPr>
              <w:jc w:val="both"/>
              <w:rPr>
                <w:sz w:val="20"/>
              </w:rPr>
            </w:pPr>
            <w:r w:rsidRPr="00893C26">
              <w:rPr>
                <w:i/>
                <w:sz w:val="20"/>
              </w:rPr>
              <w:t>Charter of Rights</w:t>
            </w:r>
            <w:r w:rsidRPr="00893C26">
              <w:rPr>
                <w:sz w:val="20"/>
              </w:rPr>
              <w:t xml:space="preserve"> — Whether the applicants’ ss. 7 and/or 11 </w:t>
            </w:r>
            <w:r w:rsidRPr="00893C26">
              <w:rPr>
                <w:i/>
                <w:sz w:val="20"/>
              </w:rPr>
              <w:t>Charter</w:t>
            </w:r>
            <w:r w:rsidRPr="00893C26">
              <w:rPr>
                <w:sz w:val="20"/>
              </w:rPr>
              <w:t xml:space="preserve"> rights were violated —Whether the justices breached the </w:t>
            </w:r>
            <w:r w:rsidRPr="00893C26">
              <w:rPr>
                <w:i/>
                <w:sz w:val="20"/>
              </w:rPr>
              <w:t xml:space="preserve">Courts of Justice Act </w:t>
            </w:r>
            <w:r w:rsidRPr="00893C26">
              <w:rPr>
                <w:sz w:val="20"/>
              </w:rPr>
              <w:t>s. 51.9, Standards of Conduct and s. 80, Oath of Office — Whether the justices breached the principles of judicial conduct as set out by the Ontario Judicial Council — Whether the justices erred in ignoring the Supreme Court’s endorsement of the Statement of Principles which sets out the parameters that the justice system as a whole needs to rely on in its daily actions.</w:t>
            </w:r>
          </w:p>
          <w:p w:rsidR="00A743EC" w:rsidRPr="00893C26" w:rsidRDefault="00A743EC" w:rsidP="00A743EC">
            <w:pPr>
              <w:jc w:val="both"/>
              <w:rPr>
                <w:sz w:val="20"/>
              </w:rPr>
            </w:pPr>
          </w:p>
        </w:tc>
      </w:tr>
      <w:tr w:rsidR="00EF6D4F" w:rsidRPr="00893C26" w:rsidTr="00A743EC">
        <w:tc>
          <w:tcPr>
            <w:tcW w:w="5000" w:type="pct"/>
            <w:gridSpan w:val="2"/>
          </w:tcPr>
          <w:p w:rsidR="00EF6D4F" w:rsidRPr="00893C26" w:rsidRDefault="00EF6D4F" w:rsidP="00EF6D4F">
            <w:pPr>
              <w:jc w:val="both"/>
              <w:rPr>
                <w:color w:val="000000"/>
                <w:sz w:val="20"/>
              </w:rPr>
            </w:pPr>
            <w:r w:rsidRPr="00893C26">
              <w:rPr>
                <w:sz w:val="20"/>
              </w:rPr>
              <w:t xml:space="preserve">The applicants brought a motion to a single Justice of the Ontario Court of Appeal seeking a stay of enforcement of prior orders. By Order dated August 19, 2021, Associate Chief Justice Fairburn dismissed the stay motion. </w:t>
            </w:r>
            <w:r w:rsidRPr="00893C26">
              <w:rPr>
                <w:color w:val="000000"/>
                <w:sz w:val="20"/>
              </w:rPr>
              <w:t>The Court of Appeal dismissed the appeal.</w:t>
            </w:r>
          </w:p>
          <w:p w:rsidR="00EF6D4F" w:rsidRPr="00893C26" w:rsidRDefault="00EF6D4F" w:rsidP="00A743EC">
            <w:pPr>
              <w:jc w:val="both"/>
              <w:rPr>
                <w:sz w:val="20"/>
              </w:rPr>
            </w:pPr>
          </w:p>
        </w:tc>
      </w:tr>
      <w:tr w:rsidR="00A743EC" w:rsidRPr="00893C26" w:rsidTr="00A743EC">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A743EC" w:rsidRPr="00893C26" w:rsidTr="00A743EC">
              <w:tc>
                <w:tcPr>
                  <w:tcW w:w="2367" w:type="pct"/>
                </w:tcPr>
                <w:p w:rsidR="00A743EC" w:rsidRPr="00893C26" w:rsidRDefault="00A743EC" w:rsidP="00A743EC">
                  <w:pPr>
                    <w:jc w:val="both"/>
                    <w:rPr>
                      <w:sz w:val="20"/>
                    </w:rPr>
                  </w:pPr>
                  <w:r w:rsidRPr="00893C26">
                    <w:rPr>
                      <w:sz w:val="20"/>
                    </w:rPr>
                    <w:t>August 19, 2021</w:t>
                  </w:r>
                </w:p>
                <w:p w:rsidR="00A743EC" w:rsidRPr="00893C26" w:rsidRDefault="00A743EC" w:rsidP="00A743EC">
                  <w:pPr>
                    <w:jc w:val="both"/>
                    <w:rPr>
                      <w:sz w:val="20"/>
                    </w:rPr>
                  </w:pPr>
                  <w:r w:rsidRPr="00893C26">
                    <w:rPr>
                      <w:sz w:val="20"/>
                    </w:rPr>
                    <w:t>Court of Appeal for Ontario</w:t>
                  </w:r>
                </w:p>
                <w:p w:rsidR="00A743EC" w:rsidRPr="00893C26" w:rsidRDefault="00A743EC" w:rsidP="00A743EC">
                  <w:pPr>
                    <w:jc w:val="both"/>
                    <w:rPr>
                      <w:sz w:val="20"/>
                    </w:rPr>
                  </w:pPr>
                  <w:r w:rsidRPr="00893C26">
                    <w:rPr>
                      <w:sz w:val="20"/>
                    </w:rPr>
                    <w:t>(Fairburn A.C.J.O.)</w:t>
                  </w:r>
                </w:p>
                <w:p w:rsidR="00A743EC" w:rsidRPr="00893C26" w:rsidRDefault="00A743EC" w:rsidP="00A743EC">
                  <w:pPr>
                    <w:jc w:val="both"/>
                    <w:rPr>
                      <w:sz w:val="20"/>
                    </w:rPr>
                  </w:pPr>
                </w:p>
              </w:tc>
              <w:tc>
                <w:tcPr>
                  <w:tcW w:w="267" w:type="pct"/>
                </w:tcPr>
                <w:p w:rsidR="00A743EC" w:rsidRPr="00893C26" w:rsidRDefault="00A743EC" w:rsidP="00A743EC">
                  <w:pPr>
                    <w:jc w:val="both"/>
                    <w:rPr>
                      <w:sz w:val="20"/>
                    </w:rPr>
                  </w:pPr>
                </w:p>
              </w:tc>
              <w:tc>
                <w:tcPr>
                  <w:tcW w:w="2366" w:type="pct"/>
                </w:tcPr>
                <w:p w:rsidR="00A743EC" w:rsidRPr="00893C26" w:rsidRDefault="00A743EC" w:rsidP="00A743EC">
                  <w:pPr>
                    <w:jc w:val="both"/>
                    <w:rPr>
                      <w:sz w:val="20"/>
                    </w:rPr>
                  </w:pPr>
                  <w:r w:rsidRPr="00893C26">
                    <w:rPr>
                      <w:sz w:val="20"/>
                    </w:rPr>
                    <w:t>Applicants’ motion for a stay dismissed</w:t>
                  </w:r>
                </w:p>
              </w:tc>
            </w:tr>
            <w:tr w:rsidR="00A743EC" w:rsidRPr="00893C26" w:rsidTr="00A743EC">
              <w:tc>
                <w:tcPr>
                  <w:tcW w:w="2367" w:type="pct"/>
                </w:tcPr>
                <w:p w:rsidR="00A743EC" w:rsidRPr="00893C26" w:rsidRDefault="00A743EC" w:rsidP="00A743EC">
                  <w:pPr>
                    <w:jc w:val="both"/>
                    <w:rPr>
                      <w:sz w:val="20"/>
                    </w:rPr>
                  </w:pPr>
                  <w:r w:rsidRPr="00893C26">
                    <w:rPr>
                      <w:sz w:val="20"/>
                    </w:rPr>
                    <w:t>December 8, 2021</w:t>
                  </w:r>
                </w:p>
                <w:p w:rsidR="00A743EC" w:rsidRPr="00893C26" w:rsidRDefault="00A743EC" w:rsidP="00A743EC">
                  <w:pPr>
                    <w:jc w:val="both"/>
                    <w:rPr>
                      <w:sz w:val="20"/>
                    </w:rPr>
                  </w:pPr>
                  <w:r w:rsidRPr="00893C26">
                    <w:rPr>
                      <w:sz w:val="20"/>
                    </w:rPr>
                    <w:t>Court of Appeal for Ontario</w:t>
                  </w:r>
                </w:p>
                <w:p w:rsidR="00A743EC" w:rsidRPr="00893C26" w:rsidRDefault="00A743EC" w:rsidP="00A743EC">
                  <w:pPr>
                    <w:jc w:val="both"/>
                    <w:rPr>
                      <w:sz w:val="20"/>
                    </w:rPr>
                  </w:pPr>
                  <w:r w:rsidRPr="00893C26">
                    <w:rPr>
                      <w:sz w:val="20"/>
                    </w:rPr>
                    <w:t>(Lauwers, Paciocco, Thorburn JJ.A.)</w:t>
                  </w:r>
                </w:p>
                <w:p w:rsidR="00A743EC" w:rsidRPr="00893C26" w:rsidRDefault="00A743EC" w:rsidP="00A743EC">
                  <w:pPr>
                    <w:jc w:val="both"/>
                    <w:rPr>
                      <w:sz w:val="20"/>
                    </w:rPr>
                  </w:pPr>
                  <w:r w:rsidRPr="00893C26">
                    <w:rPr>
                      <w:sz w:val="20"/>
                    </w:rPr>
                    <w:t xml:space="preserve">M52839 (C68308); </w:t>
                  </w:r>
                  <w:hyperlink r:id="rId89" w:history="1">
                    <w:r w:rsidRPr="00893C26">
                      <w:rPr>
                        <w:rStyle w:val="Hyperlink"/>
                        <w:sz w:val="20"/>
                      </w:rPr>
                      <w:t>2022 ONCA 18</w:t>
                    </w:r>
                  </w:hyperlink>
                </w:p>
                <w:p w:rsidR="00A743EC" w:rsidRPr="00893C26" w:rsidRDefault="00A743EC" w:rsidP="00A743EC">
                  <w:pPr>
                    <w:jc w:val="both"/>
                    <w:rPr>
                      <w:sz w:val="20"/>
                    </w:rPr>
                  </w:pPr>
                </w:p>
              </w:tc>
              <w:tc>
                <w:tcPr>
                  <w:tcW w:w="267" w:type="pct"/>
                </w:tcPr>
                <w:p w:rsidR="00A743EC" w:rsidRPr="00893C26" w:rsidRDefault="00A743EC" w:rsidP="00A743EC">
                  <w:pPr>
                    <w:jc w:val="both"/>
                    <w:rPr>
                      <w:sz w:val="20"/>
                    </w:rPr>
                  </w:pPr>
                </w:p>
              </w:tc>
              <w:tc>
                <w:tcPr>
                  <w:tcW w:w="2366" w:type="pct"/>
                </w:tcPr>
                <w:p w:rsidR="00A743EC" w:rsidRPr="00893C26" w:rsidRDefault="00A743EC" w:rsidP="00A743EC">
                  <w:pPr>
                    <w:jc w:val="both"/>
                    <w:rPr>
                      <w:sz w:val="20"/>
                    </w:rPr>
                  </w:pPr>
                  <w:r w:rsidRPr="00893C26">
                    <w:rPr>
                      <w:sz w:val="20"/>
                    </w:rPr>
                    <w:t xml:space="preserve">Appeal dismissed </w:t>
                  </w:r>
                </w:p>
                <w:p w:rsidR="00A743EC" w:rsidRPr="00893C26" w:rsidRDefault="00A743EC" w:rsidP="00A743EC">
                  <w:pPr>
                    <w:jc w:val="both"/>
                    <w:rPr>
                      <w:sz w:val="20"/>
                    </w:rPr>
                  </w:pPr>
                </w:p>
              </w:tc>
            </w:tr>
            <w:tr w:rsidR="00A743EC" w:rsidRPr="00893C26" w:rsidTr="00A743EC">
              <w:tc>
                <w:tcPr>
                  <w:tcW w:w="2367" w:type="pct"/>
                </w:tcPr>
                <w:p w:rsidR="00A743EC" w:rsidRPr="00893C26" w:rsidRDefault="00A743EC" w:rsidP="00A743EC">
                  <w:pPr>
                    <w:jc w:val="both"/>
                    <w:rPr>
                      <w:sz w:val="20"/>
                    </w:rPr>
                  </w:pPr>
                  <w:r w:rsidRPr="00893C26">
                    <w:rPr>
                      <w:sz w:val="20"/>
                    </w:rPr>
                    <w:t>February 9, 2022</w:t>
                  </w:r>
                </w:p>
                <w:p w:rsidR="00A743EC" w:rsidRPr="00893C26" w:rsidRDefault="00A743EC" w:rsidP="00A743EC">
                  <w:pPr>
                    <w:jc w:val="both"/>
                    <w:rPr>
                      <w:sz w:val="20"/>
                    </w:rPr>
                  </w:pPr>
                  <w:r w:rsidRPr="00893C26">
                    <w:rPr>
                      <w:sz w:val="20"/>
                    </w:rPr>
                    <w:t>Supreme Court of Canada</w:t>
                  </w:r>
                </w:p>
                <w:p w:rsidR="00A743EC" w:rsidRPr="00893C26" w:rsidRDefault="00A743EC" w:rsidP="00A743EC">
                  <w:pPr>
                    <w:jc w:val="both"/>
                    <w:rPr>
                      <w:sz w:val="20"/>
                    </w:rPr>
                  </w:pPr>
                </w:p>
              </w:tc>
              <w:tc>
                <w:tcPr>
                  <w:tcW w:w="267" w:type="pct"/>
                </w:tcPr>
                <w:p w:rsidR="00A743EC" w:rsidRPr="00893C26" w:rsidRDefault="00A743EC" w:rsidP="00A743EC">
                  <w:pPr>
                    <w:jc w:val="both"/>
                    <w:rPr>
                      <w:sz w:val="20"/>
                    </w:rPr>
                  </w:pPr>
                </w:p>
              </w:tc>
              <w:tc>
                <w:tcPr>
                  <w:tcW w:w="2366" w:type="pct"/>
                </w:tcPr>
                <w:p w:rsidR="00A743EC" w:rsidRPr="00893C26" w:rsidRDefault="00A743EC" w:rsidP="00A743EC">
                  <w:pPr>
                    <w:jc w:val="both"/>
                    <w:rPr>
                      <w:sz w:val="20"/>
                    </w:rPr>
                  </w:pPr>
                  <w:r w:rsidRPr="00893C26">
                    <w:rPr>
                      <w:sz w:val="20"/>
                    </w:rPr>
                    <w:t>Application for leave to appeal filed</w:t>
                  </w:r>
                </w:p>
                <w:p w:rsidR="00A743EC" w:rsidRPr="00893C26" w:rsidRDefault="00A743EC" w:rsidP="00A743EC">
                  <w:pPr>
                    <w:jc w:val="both"/>
                    <w:rPr>
                      <w:sz w:val="20"/>
                    </w:rPr>
                  </w:pPr>
                </w:p>
              </w:tc>
            </w:tr>
            <w:tr w:rsidR="00A743EC" w:rsidRPr="00893C26" w:rsidTr="00A743EC">
              <w:tc>
                <w:tcPr>
                  <w:tcW w:w="2367" w:type="pct"/>
                </w:tcPr>
                <w:p w:rsidR="00A743EC" w:rsidRPr="00893C26" w:rsidRDefault="00A743EC" w:rsidP="00A743EC">
                  <w:pPr>
                    <w:jc w:val="both"/>
                    <w:rPr>
                      <w:sz w:val="20"/>
                    </w:rPr>
                  </w:pPr>
                  <w:r w:rsidRPr="00893C26">
                    <w:rPr>
                      <w:sz w:val="20"/>
                    </w:rPr>
                    <w:t>May 20, 2022</w:t>
                  </w:r>
                </w:p>
                <w:p w:rsidR="00A743EC" w:rsidRPr="00893C26" w:rsidRDefault="00A743EC" w:rsidP="00A743EC">
                  <w:pPr>
                    <w:jc w:val="both"/>
                    <w:rPr>
                      <w:sz w:val="20"/>
                    </w:rPr>
                  </w:pPr>
                  <w:r w:rsidRPr="00893C26">
                    <w:rPr>
                      <w:sz w:val="20"/>
                    </w:rPr>
                    <w:t>Supreme Court of Canada</w:t>
                  </w:r>
                </w:p>
              </w:tc>
              <w:tc>
                <w:tcPr>
                  <w:tcW w:w="267" w:type="pct"/>
                </w:tcPr>
                <w:p w:rsidR="00A743EC" w:rsidRPr="00893C26" w:rsidRDefault="00A743EC" w:rsidP="00A743EC">
                  <w:pPr>
                    <w:jc w:val="both"/>
                    <w:rPr>
                      <w:sz w:val="20"/>
                    </w:rPr>
                  </w:pPr>
                </w:p>
              </w:tc>
              <w:tc>
                <w:tcPr>
                  <w:tcW w:w="2366" w:type="pct"/>
                </w:tcPr>
                <w:p w:rsidR="00A743EC" w:rsidRPr="00893C26" w:rsidRDefault="00A743EC" w:rsidP="00A743EC">
                  <w:pPr>
                    <w:jc w:val="both"/>
                    <w:rPr>
                      <w:sz w:val="20"/>
                    </w:rPr>
                  </w:pPr>
                  <w:r w:rsidRPr="00893C26">
                    <w:rPr>
                      <w:sz w:val="20"/>
                    </w:rPr>
                    <w:t>Motion for an extension of time to file and serve the application for leave to appeal filed</w:t>
                  </w:r>
                </w:p>
              </w:tc>
            </w:tr>
          </w:tbl>
          <w:p w:rsidR="00A743EC" w:rsidRPr="00893C26" w:rsidRDefault="00A743EC" w:rsidP="00A743EC">
            <w:pPr>
              <w:jc w:val="both"/>
              <w:rPr>
                <w:sz w:val="20"/>
              </w:rPr>
            </w:pPr>
          </w:p>
        </w:tc>
      </w:tr>
    </w:tbl>
    <w:p w:rsidR="00A743EC" w:rsidRPr="00893C26" w:rsidRDefault="00A743EC" w:rsidP="00A743EC">
      <w:pPr>
        <w:jc w:val="both"/>
        <w:rPr>
          <w:sz w:val="20"/>
        </w:rPr>
      </w:pPr>
    </w:p>
    <w:p w:rsidR="00A743EC" w:rsidRPr="00893C26" w:rsidRDefault="00893C26" w:rsidP="00A743EC">
      <w:pPr>
        <w:jc w:val="both"/>
        <w:rPr>
          <w:sz w:val="20"/>
        </w:rPr>
      </w:pPr>
      <w:r w:rsidRPr="00893C26">
        <w:rPr>
          <w:sz w:val="20"/>
        </w:rPr>
        <w:pict>
          <v:rect id="_x0000_i1063" style="width:2in;height:1pt" o:hrpct="0" o:hralign="center" o:hrstd="t" o:hrnoshade="t" o:hr="t" fillcolor="black [3213]" stroked="f"/>
        </w:pict>
      </w:r>
    </w:p>
    <w:p w:rsidR="00A743EC" w:rsidRPr="00893C26" w:rsidRDefault="00A743EC" w:rsidP="00A743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A743EC" w:rsidRPr="00893C26" w:rsidTr="00A743EC">
        <w:tc>
          <w:tcPr>
            <w:tcW w:w="543" w:type="pct"/>
          </w:tcPr>
          <w:p w:rsidR="00A743EC" w:rsidRPr="00893C26" w:rsidRDefault="00A743EC" w:rsidP="00A743EC">
            <w:pPr>
              <w:jc w:val="both"/>
              <w:rPr>
                <w:sz w:val="20"/>
                <w:lang w:val="fr-CA"/>
              </w:rPr>
            </w:pPr>
            <w:r w:rsidRPr="00893C26">
              <w:rPr>
                <w:rStyle w:val="SCCFileNumberChar"/>
                <w:sz w:val="20"/>
                <w:szCs w:val="20"/>
                <w:lang w:val="fr-CA"/>
              </w:rPr>
              <w:t>40125</w:t>
            </w:r>
          </w:p>
        </w:tc>
        <w:tc>
          <w:tcPr>
            <w:tcW w:w="4457" w:type="pct"/>
          </w:tcPr>
          <w:p w:rsidR="00A743EC" w:rsidRPr="00893C26" w:rsidRDefault="00A743EC" w:rsidP="00A743EC">
            <w:pPr>
              <w:pStyle w:val="SCCLsocParty"/>
              <w:jc w:val="both"/>
              <w:rPr>
                <w:b/>
                <w:sz w:val="20"/>
                <w:szCs w:val="20"/>
                <w:lang w:val="en-US"/>
              </w:rPr>
            </w:pPr>
            <w:r w:rsidRPr="00893C26">
              <w:rPr>
                <w:b/>
                <w:sz w:val="20"/>
                <w:szCs w:val="20"/>
                <w:lang w:val="en-US"/>
              </w:rPr>
              <w:t>Alexander Davidoff, Alexandra Davidoff c. Rachel Goerz, Paderewski Society Home (Niagara), Niagara Regional Housing (NRH)</w:t>
            </w:r>
          </w:p>
          <w:p w:rsidR="00A743EC" w:rsidRPr="00893C26" w:rsidRDefault="00A743EC" w:rsidP="00A743EC">
            <w:pPr>
              <w:jc w:val="both"/>
              <w:rPr>
                <w:sz w:val="20"/>
                <w:lang w:val="fr-CA"/>
              </w:rPr>
            </w:pPr>
            <w:r w:rsidRPr="00893C26">
              <w:rPr>
                <w:sz w:val="20"/>
                <w:lang w:val="fr-CA"/>
              </w:rPr>
              <w:t>(Ont.) (Civile) (Sur autorisation)</w:t>
            </w:r>
          </w:p>
        </w:tc>
      </w:tr>
      <w:tr w:rsidR="00A743EC" w:rsidRPr="00893C26" w:rsidTr="00A743EC">
        <w:tc>
          <w:tcPr>
            <w:tcW w:w="5000" w:type="pct"/>
            <w:gridSpan w:val="2"/>
          </w:tcPr>
          <w:p w:rsidR="00A743EC" w:rsidRPr="00893C26" w:rsidRDefault="00A743EC" w:rsidP="00A743EC">
            <w:pPr>
              <w:jc w:val="both"/>
              <w:rPr>
                <w:sz w:val="20"/>
                <w:lang w:val="fr-CA"/>
              </w:rPr>
            </w:pPr>
            <w:r w:rsidRPr="00893C26">
              <w:rPr>
                <w:i/>
                <w:sz w:val="20"/>
                <w:lang w:val="fr-CA"/>
              </w:rPr>
              <w:t>Charte des droits</w:t>
            </w:r>
            <w:r w:rsidRPr="00893C26">
              <w:rPr>
                <w:sz w:val="20"/>
                <w:lang w:val="fr-CA"/>
              </w:rPr>
              <w:t xml:space="preserve"> — Les droits des demandeurs garantis par </w:t>
            </w:r>
            <w:proofErr w:type="gramStart"/>
            <w:r w:rsidRPr="00893C26">
              <w:rPr>
                <w:sz w:val="20"/>
                <w:lang w:val="fr-CA"/>
              </w:rPr>
              <w:t>les art</w:t>
            </w:r>
            <w:proofErr w:type="gramEnd"/>
            <w:r w:rsidRPr="00893C26">
              <w:rPr>
                <w:sz w:val="20"/>
                <w:lang w:val="fr-CA"/>
              </w:rPr>
              <w:t xml:space="preserve">. 7 et/ou 11 de la </w:t>
            </w:r>
            <w:r w:rsidRPr="00893C26">
              <w:rPr>
                <w:i/>
                <w:sz w:val="20"/>
                <w:lang w:val="fr-CA"/>
              </w:rPr>
              <w:t>Charte</w:t>
            </w:r>
            <w:r w:rsidRPr="00893C26">
              <w:rPr>
                <w:sz w:val="20"/>
                <w:lang w:val="fr-CA"/>
              </w:rPr>
              <w:t xml:space="preserve"> ont-ils été violés? — Les juges ont-ils contrevenu aux normes de conduite prévues à l’art. 51.9 de la </w:t>
            </w:r>
            <w:r w:rsidRPr="00893C26">
              <w:rPr>
                <w:i/>
                <w:sz w:val="20"/>
                <w:lang w:val="fr-CA"/>
              </w:rPr>
              <w:t>Loi sur les tribunaux judiciaires</w:t>
            </w:r>
            <w:r w:rsidRPr="00893C26">
              <w:rPr>
                <w:sz w:val="20"/>
                <w:lang w:val="fr-CA"/>
              </w:rPr>
              <w:t>, et au serment d’entrée en fonction, prévu à l’art. 80? — Les juges ont-ils contrevenu aux principes de conduite qui leur sont applicables, énoncés par le Conseil de la magistrature de l’Ontario? — Les juges ont-ils commis une erreur en faisant fi de l’adoption par la Cour suprême de l’énoncé de principes qui établit les paramètres sur lesquels le système de justice dans son ensemble doit se fonder dans le cadre de ses actions quotidiennes.</w:t>
            </w:r>
          </w:p>
          <w:p w:rsidR="00A743EC" w:rsidRPr="00893C26" w:rsidRDefault="00A743EC" w:rsidP="00A743EC">
            <w:pPr>
              <w:jc w:val="both"/>
              <w:rPr>
                <w:sz w:val="20"/>
                <w:lang w:val="fr-CA"/>
              </w:rPr>
            </w:pPr>
          </w:p>
        </w:tc>
      </w:tr>
      <w:tr w:rsidR="00EF6D4F" w:rsidRPr="00893C26" w:rsidTr="00A743EC">
        <w:tc>
          <w:tcPr>
            <w:tcW w:w="5000" w:type="pct"/>
            <w:gridSpan w:val="2"/>
          </w:tcPr>
          <w:p w:rsidR="00EF6D4F" w:rsidRPr="00893C26" w:rsidRDefault="00EF6D4F" w:rsidP="00EF6D4F">
            <w:pPr>
              <w:jc w:val="both"/>
              <w:rPr>
                <w:sz w:val="20"/>
                <w:lang w:val="fr-CA"/>
              </w:rPr>
            </w:pPr>
            <w:r w:rsidRPr="00893C26">
              <w:rPr>
                <w:sz w:val="20"/>
                <w:lang w:val="fr-CA"/>
              </w:rPr>
              <w:t>Les demandeurs ont présenté une requête à un juge seul de la Cour d’appel de l’Ontario afin d’obtenir une suspension de l’exécution des ordonnances précédentes. Au moyen d’une ordonnance datée du 19 août 2021, le juge en chef adjoint Fairburn a rejeté la requête en suspension. La Cour d’appel a rejeté l’appel.</w:t>
            </w:r>
          </w:p>
          <w:p w:rsidR="00EF6D4F" w:rsidRPr="00893C26" w:rsidRDefault="00EF6D4F" w:rsidP="00A743EC">
            <w:pPr>
              <w:jc w:val="both"/>
              <w:rPr>
                <w:sz w:val="20"/>
                <w:lang w:val="fr-CA"/>
              </w:rPr>
            </w:pPr>
          </w:p>
        </w:tc>
      </w:tr>
      <w:tr w:rsidR="00A743EC" w:rsidRPr="00893C26" w:rsidTr="00A743EC">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A743EC" w:rsidRPr="00893C26" w:rsidTr="00A743EC">
              <w:tc>
                <w:tcPr>
                  <w:tcW w:w="2367" w:type="pct"/>
                </w:tcPr>
                <w:p w:rsidR="00A743EC" w:rsidRPr="00893C26" w:rsidRDefault="00A743EC" w:rsidP="00A743EC">
                  <w:pPr>
                    <w:jc w:val="both"/>
                    <w:rPr>
                      <w:sz w:val="20"/>
                      <w:lang w:val="fr-CA"/>
                    </w:rPr>
                  </w:pPr>
                  <w:r w:rsidRPr="00893C26">
                    <w:rPr>
                      <w:sz w:val="20"/>
                      <w:lang w:val="fr-CA"/>
                    </w:rPr>
                    <w:t>19 août 2021</w:t>
                  </w:r>
                </w:p>
                <w:p w:rsidR="00A743EC" w:rsidRPr="00893C26" w:rsidRDefault="00A743EC" w:rsidP="00A743EC">
                  <w:pPr>
                    <w:jc w:val="both"/>
                    <w:rPr>
                      <w:sz w:val="20"/>
                      <w:lang w:val="fr-CA"/>
                    </w:rPr>
                  </w:pPr>
                  <w:r w:rsidRPr="00893C26">
                    <w:rPr>
                      <w:sz w:val="20"/>
                      <w:lang w:val="fr-CA"/>
                    </w:rPr>
                    <w:t>Cour d’appel de l’Ontario</w:t>
                  </w:r>
                </w:p>
                <w:p w:rsidR="00A743EC" w:rsidRPr="00893C26" w:rsidRDefault="00A743EC" w:rsidP="00A743EC">
                  <w:pPr>
                    <w:jc w:val="both"/>
                    <w:rPr>
                      <w:sz w:val="20"/>
                      <w:lang w:val="fr-CA"/>
                    </w:rPr>
                  </w:pPr>
                  <w:r w:rsidRPr="00893C26">
                    <w:rPr>
                      <w:sz w:val="20"/>
                      <w:lang w:val="fr-CA"/>
                    </w:rPr>
                    <w:t>(juge en chef adjoint Fairburn)</w:t>
                  </w:r>
                </w:p>
                <w:p w:rsidR="00A743EC" w:rsidRPr="00893C26" w:rsidRDefault="00A743EC" w:rsidP="00A743EC">
                  <w:pPr>
                    <w:jc w:val="both"/>
                    <w:rPr>
                      <w:sz w:val="20"/>
                      <w:lang w:val="fr-CA"/>
                    </w:rPr>
                  </w:pPr>
                </w:p>
              </w:tc>
              <w:tc>
                <w:tcPr>
                  <w:tcW w:w="267" w:type="pct"/>
                </w:tcPr>
                <w:p w:rsidR="00A743EC" w:rsidRPr="00893C26" w:rsidRDefault="00A743EC" w:rsidP="00A743EC">
                  <w:pPr>
                    <w:jc w:val="both"/>
                    <w:rPr>
                      <w:sz w:val="20"/>
                      <w:lang w:val="fr-CA"/>
                    </w:rPr>
                  </w:pPr>
                </w:p>
              </w:tc>
              <w:tc>
                <w:tcPr>
                  <w:tcW w:w="2366" w:type="pct"/>
                </w:tcPr>
                <w:p w:rsidR="00A743EC" w:rsidRPr="00893C26" w:rsidRDefault="00A743EC" w:rsidP="00A743EC">
                  <w:pPr>
                    <w:jc w:val="both"/>
                    <w:rPr>
                      <w:sz w:val="20"/>
                      <w:lang w:val="fr-CA"/>
                    </w:rPr>
                  </w:pPr>
                  <w:r w:rsidRPr="00893C26">
                    <w:rPr>
                      <w:sz w:val="20"/>
                      <w:lang w:val="fr-CA"/>
                    </w:rPr>
                    <w:t>Rejet de la demande de suspension présentée par les demandeurs</w:t>
                  </w:r>
                </w:p>
              </w:tc>
            </w:tr>
            <w:tr w:rsidR="00A743EC" w:rsidRPr="00893C26" w:rsidTr="00A743EC">
              <w:tc>
                <w:tcPr>
                  <w:tcW w:w="2367" w:type="pct"/>
                </w:tcPr>
                <w:p w:rsidR="00A743EC" w:rsidRPr="00893C26" w:rsidRDefault="00A743EC" w:rsidP="00A743EC">
                  <w:pPr>
                    <w:jc w:val="both"/>
                    <w:rPr>
                      <w:sz w:val="20"/>
                      <w:lang w:val="fr-CA"/>
                    </w:rPr>
                  </w:pPr>
                  <w:r w:rsidRPr="00893C26">
                    <w:rPr>
                      <w:sz w:val="20"/>
                      <w:lang w:val="fr-CA"/>
                    </w:rPr>
                    <w:t>8 décembre 2021</w:t>
                  </w:r>
                </w:p>
                <w:p w:rsidR="00A743EC" w:rsidRPr="00893C26" w:rsidRDefault="00A743EC" w:rsidP="00A743EC">
                  <w:pPr>
                    <w:jc w:val="both"/>
                    <w:rPr>
                      <w:sz w:val="20"/>
                      <w:lang w:val="fr-CA"/>
                    </w:rPr>
                  </w:pPr>
                  <w:r w:rsidRPr="00893C26">
                    <w:rPr>
                      <w:sz w:val="20"/>
                      <w:lang w:val="fr-CA"/>
                    </w:rPr>
                    <w:t>Cour d’appel de l’Ontario</w:t>
                  </w:r>
                </w:p>
                <w:p w:rsidR="00A743EC" w:rsidRPr="00893C26" w:rsidRDefault="00A743EC" w:rsidP="00A743EC">
                  <w:pPr>
                    <w:jc w:val="both"/>
                    <w:rPr>
                      <w:sz w:val="20"/>
                      <w:lang w:val="fr-CA"/>
                    </w:rPr>
                  </w:pPr>
                  <w:r w:rsidRPr="00893C26">
                    <w:rPr>
                      <w:sz w:val="20"/>
                      <w:lang w:val="fr-CA"/>
                    </w:rPr>
                    <w:t>(juges Lauwers, Paciocco et Thorburn)</w:t>
                  </w:r>
                </w:p>
                <w:p w:rsidR="00A743EC" w:rsidRPr="00893C26" w:rsidRDefault="00A743EC" w:rsidP="00A743EC">
                  <w:pPr>
                    <w:jc w:val="both"/>
                    <w:rPr>
                      <w:sz w:val="20"/>
                      <w:lang w:val="fr-CA"/>
                    </w:rPr>
                  </w:pPr>
                  <w:r w:rsidRPr="00893C26">
                    <w:rPr>
                      <w:sz w:val="20"/>
                      <w:lang w:val="fr-CA"/>
                    </w:rPr>
                    <w:t xml:space="preserve">M52839 (C68308); </w:t>
                  </w:r>
                  <w:hyperlink r:id="rId90" w:history="1">
                    <w:r w:rsidRPr="00893C26">
                      <w:rPr>
                        <w:rStyle w:val="Hyperlink"/>
                        <w:sz w:val="20"/>
                        <w:lang w:val="fr-CA"/>
                      </w:rPr>
                      <w:t>2022 ONCA 18</w:t>
                    </w:r>
                  </w:hyperlink>
                </w:p>
                <w:p w:rsidR="00A743EC" w:rsidRPr="00893C26" w:rsidRDefault="00A743EC" w:rsidP="00A743EC">
                  <w:pPr>
                    <w:jc w:val="both"/>
                    <w:rPr>
                      <w:sz w:val="20"/>
                      <w:lang w:val="fr-CA"/>
                    </w:rPr>
                  </w:pPr>
                </w:p>
              </w:tc>
              <w:tc>
                <w:tcPr>
                  <w:tcW w:w="267" w:type="pct"/>
                </w:tcPr>
                <w:p w:rsidR="00A743EC" w:rsidRPr="00893C26" w:rsidRDefault="00A743EC" w:rsidP="00A743EC">
                  <w:pPr>
                    <w:jc w:val="both"/>
                    <w:rPr>
                      <w:sz w:val="20"/>
                      <w:lang w:val="fr-CA"/>
                    </w:rPr>
                  </w:pPr>
                </w:p>
              </w:tc>
              <w:tc>
                <w:tcPr>
                  <w:tcW w:w="2366" w:type="pct"/>
                </w:tcPr>
                <w:p w:rsidR="00A743EC" w:rsidRPr="00893C26" w:rsidRDefault="00A743EC" w:rsidP="00A743EC">
                  <w:pPr>
                    <w:jc w:val="both"/>
                    <w:rPr>
                      <w:sz w:val="20"/>
                      <w:lang w:val="fr-CA"/>
                    </w:rPr>
                  </w:pPr>
                  <w:r w:rsidRPr="00893C26">
                    <w:rPr>
                      <w:sz w:val="20"/>
                      <w:lang w:val="fr-CA"/>
                    </w:rPr>
                    <w:t xml:space="preserve">Rejet de l’appel </w:t>
                  </w:r>
                </w:p>
                <w:p w:rsidR="00A743EC" w:rsidRPr="00893C26" w:rsidRDefault="00A743EC" w:rsidP="00A743EC">
                  <w:pPr>
                    <w:jc w:val="both"/>
                    <w:rPr>
                      <w:sz w:val="20"/>
                      <w:lang w:val="fr-CA"/>
                    </w:rPr>
                  </w:pPr>
                </w:p>
              </w:tc>
            </w:tr>
            <w:tr w:rsidR="00A743EC" w:rsidRPr="00893C26" w:rsidTr="00A743EC">
              <w:tc>
                <w:tcPr>
                  <w:tcW w:w="2367" w:type="pct"/>
                </w:tcPr>
                <w:p w:rsidR="00A743EC" w:rsidRPr="00893C26" w:rsidRDefault="00A743EC" w:rsidP="00A743EC">
                  <w:pPr>
                    <w:jc w:val="both"/>
                    <w:rPr>
                      <w:sz w:val="20"/>
                      <w:lang w:val="fr-CA"/>
                    </w:rPr>
                  </w:pPr>
                  <w:r w:rsidRPr="00893C26">
                    <w:rPr>
                      <w:sz w:val="20"/>
                      <w:lang w:val="fr-CA"/>
                    </w:rPr>
                    <w:t>9 février 2022</w:t>
                  </w:r>
                </w:p>
                <w:p w:rsidR="00A743EC" w:rsidRPr="00893C26" w:rsidRDefault="00A743EC" w:rsidP="00A743EC">
                  <w:pPr>
                    <w:jc w:val="both"/>
                    <w:rPr>
                      <w:sz w:val="20"/>
                      <w:lang w:val="fr-CA"/>
                    </w:rPr>
                  </w:pPr>
                  <w:r w:rsidRPr="00893C26">
                    <w:rPr>
                      <w:sz w:val="20"/>
                      <w:lang w:val="fr-CA"/>
                    </w:rPr>
                    <w:t>Cour suprême du Canada</w:t>
                  </w:r>
                </w:p>
                <w:p w:rsidR="00A743EC" w:rsidRPr="00893C26" w:rsidRDefault="00A743EC" w:rsidP="00A743EC">
                  <w:pPr>
                    <w:jc w:val="both"/>
                    <w:rPr>
                      <w:sz w:val="20"/>
                      <w:lang w:val="fr-CA"/>
                    </w:rPr>
                  </w:pPr>
                </w:p>
              </w:tc>
              <w:tc>
                <w:tcPr>
                  <w:tcW w:w="267" w:type="pct"/>
                </w:tcPr>
                <w:p w:rsidR="00A743EC" w:rsidRPr="00893C26" w:rsidRDefault="00A743EC" w:rsidP="00A743EC">
                  <w:pPr>
                    <w:jc w:val="both"/>
                    <w:rPr>
                      <w:sz w:val="20"/>
                      <w:lang w:val="fr-CA"/>
                    </w:rPr>
                  </w:pPr>
                </w:p>
              </w:tc>
              <w:tc>
                <w:tcPr>
                  <w:tcW w:w="2366" w:type="pct"/>
                </w:tcPr>
                <w:p w:rsidR="00A743EC" w:rsidRPr="00893C26" w:rsidRDefault="00A743EC" w:rsidP="00A743EC">
                  <w:pPr>
                    <w:jc w:val="both"/>
                    <w:rPr>
                      <w:sz w:val="20"/>
                      <w:lang w:val="fr-CA"/>
                    </w:rPr>
                  </w:pPr>
                  <w:r w:rsidRPr="00893C26">
                    <w:rPr>
                      <w:sz w:val="20"/>
                      <w:lang w:val="fr-CA"/>
                    </w:rPr>
                    <w:t>Dépôt de la demande d’autorisation d’appel</w:t>
                  </w:r>
                </w:p>
                <w:p w:rsidR="00A743EC" w:rsidRPr="00893C26" w:rsidRDefault="00A743EC" w:rsidP="00A743EC">
                  <w:pPr>
                    <w:jc w:val="both"/>
                    <w:rPr>
                      <w:sz w:val="20"/>
                      <w:lang w:val="fr-CA"/>
                    </w:rPr>
                  </w:pPr>
                </w:p>
              </w:tc>
            </w:tr>
            <w:tr w:rsidR="00A743EC" w:rsidRPr="00893C26" w:rsidTr="00A743EC">
              <w:tc>
                <w:tcPr>
                  <w:tcW w:w="2367" w:type="pct"/>
                </w:tcPr>
                <w:p w:rsidR="00A743EC" w:rsidRPr="00893C26" w:rsidRDefault="00A743EC" w:rsidP="00A743EC">
                  <w:pPr>
                    <w:jc w:val="both"/>
                    <w:rPr>
                      <w:sz w:val="20"/>
                      <w:lang w:val="fr-CA"/>
                    </w:rPr>
                  </w:pPr>
                  <w:r w:rsidRPr="00893C26">
                    <w:rPr>
                      <w:sz w:val="20"/>
                      <w:lang w:val="fr-CA"/>
                    </w:rPr>
                    <w:t>20 mai 2022</w:t>
                  </w:r>
                </w:p>
                <w:p w:rsidR="00A743EC" w:rsidRPr="00893C26" w:rsidRDefault="00A743EC" w:rsidP="00A743EC">
                  <w:pPr>
                    <w:jc w:val="both"/>
                    <w:rPr>
                      <w:sz w:val="20"/>
                      <w:lang w:val="fr-CA"/>
                    </w:rPr>
                  </w:pPr>
                  <w:r w:rsidRPr="00893C26">
                    <w:rPr>
                      <w:sz w:val="20"/>
                      <w:lang w:val="fr-CA"/>
                    </w:rPr>
                    <w:t>Cour suprême du Canada</w:t>
                  </w:r>
                </w:p>
              </w:tc>
              <w:tc>
                <w:tcPr>
                  <w:tcW w:w="267" w:type="pct"/>
                </w:tcPr>
                <w:p w:rsidR="00A743EC" w:rsidRPr="00893C26" w:rsidRDefault="00A743EC" w:rsidP="00A743EC">
                  <w:pPr>
                    <w:jc w:val="both"/>
                    <w:rPr>
                      <w:sz w:val="20"/>
                      <w:lang w:val="fr-CA"/>
                    </w:rPr>
                  </w:pPr>
                </w:p>
              </w:tc>
              <w:tc>
                <w:tcPr>
                  <w:tcW w:w="2366" w:type="pct"/>
                </w:tcPr>
                <w:p w:rsidR="00A743EC" w:rsidRPr="00893C26" w:rsidRDefault="00A743EC" w:rsidP="00A743EC">
                  <w:pPr>
                    <w:jc w:val="both"/>
                    <w:rPr>
                      <w:sz w:val="20"/>
                      <w:lang w:val="fr-CA"/>
                    </w:rPr>
                  </w:pPr>
                  <w:r w:rsidRPr="00893C26">
                    <w:rPr>
                      <w:sz w:val="20"/>
                      <w:lang w:val="fr-CA"/>
                    </w:rPr>
                    <w:t>Dépôt de la demande de prolongation du délai pour déposer et signifier la demande d’autorisation d’appel</w:t>
                  </w:r>
                </w:p>
              </w:tc>
            </w:tr>
          </w:tbl>
          <w:p w:rsidR="00A743EC" w:rsidRPr="00893C26" w:rsidRDefault="00A743EC" w:rsidP="00A743EC">
            <w:pPr>
              <w:jc w:val="both"/>
              <w:rPr>
                <w:sz w:val="20"/>
                <w:lang w:val="fr-CA"/>
              </w:rPr>
            </w:pPr>
          </w:p>
        </w:tc>
      </w:tr>
    </w:tbl>
    <w:p w:rsidR="00311655" w:rsidRPr="00893C26" w:rsidRDefault="00311655" w:rsidP="00A743EC">
      <w:pPr>
        <w:ind w:left="142" w:hanging="142"/>
        <w:jc w:val="both"/>
        <w:rPr>
          <w:sz w:val="20"/>
          <w:lang w:val="fr-CA"/>
        </w:rPr>
      </w:pPr>
    </w:p>
    <w:p w:rsidR="00311655" w:rsidRPr="00893C26" w:rsidRDefault="00893C26" w:rsidP="00350651">
      <w:pPr>
        <w:ind w:left="142" w:hanging="142"/>
        <w:jc w:val="both"/>
        <w:rPr>
          <w:sz w:val="20"/>
          <w:lang w:val="fr-CA"/>
        </w:rPr>
      </w:pPr>
      <w:r w:rsidRPr="00893C26">
        <w:rPr>
          <w:sz w:val="20"/>
        </w:rPr>
        <w:pict>
          <v:rect id="_x0000_i1064" style="width:2in;height:1pt" o:hrpct="0" o:hralign="center" o:hrstd="t" o:hrnoshade="t" o:hr="t" fillcolor="black [3213]" stroked="f"/>
        </w:pict>
      </w:r>
    </w:p>
    <w:p w:rsidR="00311655" w:rsidRPr="00893C26" w:rsidRDefault="00311655" w:rsidP="00350651">
      <w:pPr>
        <w:ind w:left="142" w:hanging="142"/>
        <w:jc w:val="both"/>
        <w:rPr>
          <w:sz w:val="20"/>
          <w:lang w:val="fr-CA"/>
        </w:rPr>
      </w:pPr>
    </w:p>
    <w:p w:rsidR="00311655" w:rsidRPr="00893C26" w:rsidRDefault="00311655" w:rsidP="00350651">
      <w:pPr>
        <w:ind w:left="142" w:hanging="142"/>
        <w:jc w:val="both"/>
        <w:rPr>
          <w:sz w:val="20"/>
          <w:lang w:val="fr-CA"/>
        </w:rPr>
      </w:pPr>
    </w:p>
    <w:p w:rsidR="008F2F11" w:rsidRPr="00893C26" w:rsidRDefault="008F2F11" w:rsidP="00350651">
      <w:pPr>
        <w:ind w:left="142" w:hanging="142"/>
        <w:jc w:val="both"/>
        <w:rPr>
          <w:sz w:val="20"/>
          <w:lang w:val="fr-CA"/>
        </w:rPr>
      </w:pPr>
    </w:p>
    <w:p w:rsidR="008F2F11" w:rsidRPr="00893C26" w:rsidRDefault="008F2F11" w:rsidP="00350651">
      <w:pPr>
        <w:ind w:left="142" w:hanging="142"/>
        <w:jc w:val="both"/>
        <w:rPr>
          <w:sz w:val="20"/>
          <w:lang w:val="fr-CA"/>
        </w:rPr>
      </w:pPr>
    </w:p>
    <w:p w:rsidR="00D3344A" w:rsidRPr="00893C26" w:rsidRDefault="00D3344A" w:rsidP="00D3344A">
      <w:pPr>
        <w:widowControl w:val="0"/>
        <w:outlineLvl w:val="0"/>
        <w:rPr>
          <w:sz w:val="20"/>
        </w:rPr>
      </w:pPr>
      <w:r w:rsidRPr="00893C26">
        <w:rPr>
          <w:sz w:val="20"/>
        </w:rPr>
        <w:t xml:space="preserve">Supreme Court of Canada / Cour suprême du </w:t>
      </w:r>
      <w:proofErr w:type="gramStart"/>
      <w:r w:rsidRPr="00893C26">
        <w:rPr>
          <w:sz w:val="20"/>
        </w:rPr>
        <w:t>Canad</w:t>
      </w:r>
      <w:r w:rsidR="00EE289F" w:rsidRPr="00893C26">
        <w:rPr>
          <w:sz w:val="20"/>
        </w:rPr>
        <w:t>a</w:t>
      </w:r>
      <w:r w:rsidRPr="00893C26">
        <w:rPr>
          <w:sz w:val="20"/>
        </w:rPr>
        <w:t xml:space="preserve"> :</w:t>
      </w:r>
      <w:proofErr w:type="gramEnd"/>
    </w:p>
    <w:p w:rsidR="00D3344A" w:rsidRPr="00893C26" w:rsidRDefault="00893C26" w:rsidP="00D3344A">
      <w:pPr>
        <w:widowControl w:val="0"/>
        <w:outlineLvl w:val="0"/>
        <w:rPr>
          <w:sz w:val="20"/>
          <w:u w:val="single"/>
        </w:rPr>
      </w:pPr>
      <w:hyperlink r:id="rId91" w:history="1">
        <w:r w:rsidR="009B7391" w:rsidRPr="00893C26">
          <w:rPr>
            <w:rStyle w:val="Hyperlink"/>
            <w:sz w:val="20"/>
          </w:rPr>
          <w:t>comments-commentaires@scc-csc.ca</w:t>
        </w:r>
      </w:hyperlink>
    </w:p>
    <w:p w:rsidR="00D3344A" w:rsidRPr="00893C26" w:rsidRDefault="0065588C" w:rsidP="00D3344A">
      <w:pPr>
        <w:widowControl w:val="0"/>
        <w:outlineLvl w:val="0"/>
        <w:rPr>
          <w:sz w:val="20"/>
        </w:rPr>
      </w:pPr>
      <w:r w:rsidRPr="00893C26">
        <w:rPr>
          <w:sz w:val="20"/>
        </w:rPr>
        <w:t>613-</w:t>
      </w:r>
      <w:r w:rsidR="00D3344A" w:rsidRPr="00893C26">
        <w:rPr>
          <w:sz w:val="20"/>
        </w:rPr>
        <w:t>995-4330</w:t>
      </w:r>
    </w:p>
    <w:p w:rsidR="00497B5E" w:rsidRPr="00893C26" w:rsidRDefault="00497B5E" w:rsidP="00497B5E">
      <w:pPr>
        <w:widowControl w:val="0"/>
        <w:rPr>
          <w:sz w:val="20"/>
        </w:rPr>
      </w:pPr>
    </w:p>
    <w:p w:rsidR="00F6251B" w:rsidRPr="007607A2" w:rsidRDefault="003F43E6" w:rsidP="00F6251B">
      <w:pPr>
        <w:pStyle w:val="Footer"/>
        <w:jc w:val="center"/>
        <w:rPr>
          <w:sz w:val="20"/>
        </w:rPr>
      </w:pPr>
      <w:r w:rsidRPr="00893C26">
        <w:rPr>
          <w:sz w:val="20"/>
        </w:rPr>
        <w:t>- 30 -</w:t>
      </w:r>
      <w:bookmarkStart w:id="0" w:name="_GoBack"/>
      <w:bookmarkEnd w:id="0"/>
    </w:p>
    <w:sectPr w:rsidR="00F6251B" w:rsidRPr="007607A2" w:rsidSect="00E62F93">
      <w:headerReference w:type="even" r:id="rId92"/>
      <w:headerReference w:type="default" r:id="rId93"/>
      <w:footerReference w:type="even" r:id="rId94"/>
      <w:footerReference w:type="default" r:id="rId95"/>
      <w:headerReference w:type="first" r:id="rId96"/>
      <w:footerReference w:type="first" r:id="rId97"/>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EC" w:rsidRDefault="00A743EC" w:rsidP="0034178A">
      <w:r>
        <w:separator/>
      </w:r>
    </w:p>
  </w:endnote>
  <w:endnote w:type="continuationSeparator" w:id="0">
    <w:p w:rsidR="00A743EC" w:rsidRDefault="00A743EC"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C" w:rsidRDefault="00A74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C" w:rsidRPr="009F77F0" w:rsidRDefault="00A743EC"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C" w:rsidRDefault="00A74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EC" w:rsidRDefault="00A743EC" w:rsidP="0034178A">
      <w:r>
        <w:separator/>
      </w:r>
    </w:p>
  </w:footnote>
  <w:footnote w:type="continuationSeparator" w:id="0">
    <w:p w:rsidR="00A743EC" w:rsidRDefault="00A743EC"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C" w:rsidRDefault="00A74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C" w:rsidRDefault="00A743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EC" w:rsidRDefault="00A74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7"/>
  </w:num>
  <w:num w:numId="4">
    <w:abstractNumId w:val="2"/>
  </w:num>
  <w:num w:numId="5">
    <w:abstractNumId w:val="1"/>
  </w:num>
  <w:num w:numId="6">
    <w:abstractNumId w:val="5"/>
  </w:num>
  <w:num w:numId="7">
    <w:abstractNumId w:val="4"/>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654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17D6D"/>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36"/>
    <w:rsid w:val="003140ED"/>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3C26"/>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A1F"/>
    <w:rsid w:val="00D77016"/>
    <w:rsid w:val="00D77153"/>
    <w:rsid w:val="00D77953"/>
    <w:rsid w:val="00D77B31"/>
    <w:rsid w:val="00D77D62"/>
    <w:rsid w:val="00D800A0"/>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4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40125" TargetMode="External"/><Relationship Id="rId21" Type="http://schemas.openxmlformats.org/officeDocument/2006/relationships/hyperlink" Target="https://www.scc-csc.ca/case-dossier/info/sum-som-eng.aspx?cas=40092" TargetMode="External"/><Relationship Id="rId34" Type="http://schemas.openxmlformats.org/officeDocument/2006/relationships/hyperlink" Target="https://www.canlii.org/en/bc/bcca/doc/2022/2022bcca13/2022bcca13.html?resultIndex=1" TargetMode="External"/><Relationship Id="rId42" Type="http://schemas.openxmlformats.org/officeDocument/2006/relationships/hyperlink" Target="https://www.canlii.org/fr/qc/qcca/doc/2022/2022qcca277/2022qcca277.pdf" TargetMode="External"/><Relationship Id="rId47" Type="http://schemas.openxmlformats.org/officeDocument/2006/relationships/hyperlink" Target="https://www.canlii.org/en/on/onsc/doc/2020/2020onsc7620/2020onsc7620.html?resultIndex=1" TargetMode="External"/><Relationship Id="rId50" Type="http://schemas.openxmlformats.org/officeDocument/2006/relationships/hyperlink" Target="https://www.canlii.org/en/on/onca/doc/2021/2021onca807/2021onca807.html?resultIndex=1" TargetMode="External"/><Relationship Id="rId55" Type="http://schemas.openxmlformats.org/officeDocument/2006/relationships/hyperlink" Target="https://canlii.ca/t/jj6nv" TargetMode="External"/><Relationship Id="rId63" Type="http://schemas.openxmlformats.org/officeDocument/2006/relationships/hyperlink" Target="https://www.canlii.org/en/mb/mbca/doc/2022/2022mbca5/2022mbca5.html?autocompleteStr=2022%20mbca%205&amp;autocompletePos=1" TargetMode="External"/><Relationship Id="rId68" Type="http://schemas.openxmlformats.org/officeDocument/2006/relationships/hyperlink" Target="https://canlii.ca/t/jljrq" TargetMode="External"/><Relationship Id="rId76" Type="http://schemas.openxmlformats.org/officeDocument/2006/relationships/hyperlink" Target="https://www.canlii.org/en/on/onca/doc/2022/2022onca64/2022onca64.html" TargetMode="External"/><Relationship Id="rId84" Type="http://schemas.openxmlformats.org/officeDocument/2006/relationships/hyperlink" Target="https://www.canlii.org/en/on/onsc/doc/2021/2021onsc1612/2021onsc1612.html?resultIndex=1" TargetMode="External"/><Relationship Id="rId89" Type="http://schemas.openxmlformats.org/officeDocument/2006/relationships/hyperlink" Target="https://canlii.ca/t/jlwdx"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canlii.org/en/on/onscdc/doc/2021/2021onsc3176/2021onsc3176.html?resultIndex=1"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c-csc.ca/case-dossier/info/sum-som-fra.aspx?cas=40131" TargetMode="External"/><Relationship Id="rId29" Type="http://schemas.openxmlformats.org/officeDocument/2006/relationships/hyperlink" Target="https://canlii.ca/t/j3sdm" TargetMode="External"/><Relationship Id="rId11" Type="http://schemas.openxmlformats.org/officeDocument/2006/relationships/hyperlink" Target="https://www.scc-csc.ca/case-dossier/info/sum-som-eng.aspx?cas=40069" TargetMode="External"/><Relationship Id="rId24" Type="http://schemas.openxmlformats.org/officeDocument/2006/relationships/hyperlink" Target="https://www.scc-csc.ca/case-dossier/info/sum-som-eng.aspx?cas=40182" TargetMode="External"/><Relationship Id="rId32" Type="http://schemas.openxmlformats.org/officeDocument/2006/relationships/hyperlink" Target="https://www.canlii.org/en/bc/bcca/doc/2022/2022bcca13/2022bcca13.html?resultIndex=1" TargetMode="External"/><Relationship Id="rId37" Type="http://schemas.openxmlformats.org/officeDocument/2006/relationships/hyperlink" Target="https://www.canlii.org/en/ab/abqb/doc/2021/2021abqb226/2021abqb226.html?resultIndex=1" TargetMode="External"/><Relationship Id="rId40" Type="http://schemas.openxmlformats.org/officeDocument/2006/relationships/hyperlink" Target="https://www.canlii.org/en/ab/abca/doc/2021/2021abca419/2021abca419.html?resultIndex=1" TargetMode="External"/><Relationship Id="rId45" Type="http://schemas.openxmlformats.org/officeDocument/2006/relationships/hyperlink" Target="https://canlii.ca/t/jmzgf" TargetMode="External"/><Relationship Id="rId53" Type="http://schemas.openxmlformats.org/officeDocument/2006/relationships/hyperlink" Target="https://www.canlii.org/en/bc/bcsc/doc/2021/2021bcsc515/2021bcsc515.html" TargetMode="External"/><Relationship Id="rId58" Type="http://schemas.openxmlformats.org/officeDocument/2006/relationships/hyperlink" Target="https://canlii.ca/t/jm7wv" TargetMode="External"/><Relationship Id="rId66" Type="http://schemas.openxmlformats.org/officeDocument/2006/relationships/hyperlink" Target="https://www.canlii.org/en/on/onca/doc/2021/2021onca917/2021onca917.html" TargetMode="External"/><Relationship Id="rId74" Type="http://schemas.openxmlformats.org/officeDocument/2006/relationships/hyperlink" Target="https://www.canlii.org/en/on/onca/doc/2022/2022onca64/2022onca64.html" TargetMode="External"/><Relationship Id="rId79" Type="http://schemas.openxmlformats.org/officeDocument/2006/relationships/hyperlink" Target="https://www.canlii.org/fr/qc/qccs/doc/2021/2021qccs2802/2021qccs2802.html?autocompleteStr=Ambroise%20c&amp;autocompletePos=5" TargetMode="External"/><Relationship Id="rId87" Type="http://schemas.openxmlformats.org/officeDocument/2006/relationships/hyperlink" Target="https://www.canlii.org/en/mb/mbca/doc/2022/2022mbca22/2022mbca22.html" TargetMode="External"/><Relationship Id="rId5" Type="http://schemas.openxmlformats.org/officeDocument/2006/relationships/webSettings" Target="webSettings.xml"/><Relationship Id="rId61" Type="http://schemas.openxmlformats.org/officeDocument/2006/relationships/hyperlink" Target="https://www.canlii.org/en/bc/bcsc/doc/2018/2018bcsc588/2018bcsc588.html?resultIndex=1" TargetMode="External"/><Relationship Id="rId82" Type="http://schemas.openxmlformats.org/officeDocument/2006/relationships/hyperlink" Target="https://www.canlii.org/en/on/onscdc/doc/2021/2021onsc8011/2021onsc8011.html?resultIndex=1" TargetMode="External"/><Relationship Id="rId90" Type="http://schemas.openxmlformats.org/officeDocument/2006/relationships/hyperlink" Target="https://canlii.ca/t/jlwdx" TargetMode="External"/><Relationship Id="rId95" Type="http://schemas.openxmlformats.org/officeDocument/2006/relationships/footer" Target="footer2.xml"/><Relationship Id="rId19" Type="http://schemas.openxmlformats.org/officeDocument/2006/relationships/hyperlink" Target="https://www.scc-csc.ca/case-dossier/info/sum-som-eng.aspx?cas=40091" TargetMode="External"/><Relationship Id="rId14" Type="http://schemas.openxmlformats.org/officeDocument/2006/relationships/hyperlink" Target="https://www.scc-csc.ca/case-dossier/info/sum-som-eng.aspx?cas=40075" TargetMode="External"/><Relationship Id="rId22" Type="http://schemas.openxmlformats.org/officeDocument/2006/relationships/hyperlink" Target="https://www.scc-csc.ca/case-dossier/info/sum-som-eng.aspx?cas=40116" TargetMode="External"/><Relationship Id="rId27" Type="http://schemas.openxmlformats.org/officeDocument/2006/relationships/hyperlink" Target="https://canlii.ca/t/j3sdm" TargetMode="External"/><Relationship Id="rId30" Type="http://schemas.openxmlformats.org/officeDocument/2006/relationships/hyperlink" Target="https://canlii.ca/t/jk46k" TargetMode="External"/><Relationship Id="rId35" Type="http://schemas.openxmlformats.org/officeDocument/2006/relationships/hyperlink" Target="https://www.canlii.org/en/ab/abca/doc/2022/2022abca12/2022abca12.html?autocompleteStr=2022%20ABCA%2012&amp;autocompletePos=1" TargetMode="External"/><Relationship Id="rId43" Type="http://schemas.openxmlformats.org/officeDocument/2006/relationships/hyperlink" Target="https://www.canlii.org/fr/qc/qccs/doc/2021/2021qccs2308/2021qccs2308.pdf" TargetMode="External"/><Relationship Id="rId48" Type="http://schemas.openxmlformats.org/officeDocument/2006/relationships/hyperlink" Target="https://www.canlii.org/en/on/onca/doc/2021/2021onca807/2021onca807.html?resultIndex=1" TargetMode="External"/><Relationship Id="rId56" Type="http://schemas.openxmlformats.org/officeDocument/2006/relationships/hyperlink" Target="https://canlii.ca/t/jm7wv" TargetMode="External"/><Relationship Id="rId64" Type="http://schemas.openxmlformats.org/officeDocument/2006/relationships/hyperlink" Target="https://www.canlii.org/en/mb/mbca/doc/2022/2022mbca5/2022mbca5.html?autocompleteStr=2022%20mbca%205&amp;autocompletePos=1" TargetMode="External"/><Relationship Id="rId69" Type="http://schemas.openxmlformats.org/officeDocument/2006/relationships/hyperlink" Target="https://www.canlii.org/fr/ca/cfpi/doc/2021/2021cf60/2021cf60.html" TargetMode="External"/><Relationship Id="rId77" Type="http://schemas.openxmlformats.org/officeDocument/2006/relationships/hyperlink" Target="https://www.canlii.org/fr/qc/qccs/doc/2021/2021qccs2802/2021qccs2802.html?autocompleteStr=Ambroise%20c&amp;autocompletePos=5" TargetMode="External"/><Relationship Id="rId8" Type="http://schemas.openxmlformats.org/officeDocument/2006/relationships/hyperlink" Target="https://www.scc-csc.ca/case-dossier/info/sum-som-eng.aspx?cas=40088" TargetMode="External"/><Relationship Id="rId51" Type="http://schemas.openxmlformats.org/officeDocument/2006/relationships/hyperlink" Target="https://www.canlii.org/en/bc/bcsc/doc/2021/2021bcsc515/2021bcsc515.html" TargetMode="External"/><Relationship Id="rId72" Type="http://schemas.openxmlformats.org/officeDocument/2006/relationships/hyperlink" Target="https://www.canlii.org/en/on/onscdc/doc/2021/2021onsc3176/2021onsc3176.html?resultIndex=1" TargetMode="External"/><Relationship Id="rId80" Type="http://schemas.openxmlformats.org/officeDocument/2006/relationships/hyperlink" Target="https://www.canlii.org/fr/qc/qcca/doc/2022/2022qcca228/2022qcca228.html" TargetMode="External"/><Relationship Id="rId85" Type="http://schemas.openxmlformats.org/officeDocument/2006/relationships/hyperlink" Target="https://www.canlii.org/en/on/onscdc/doc/2021/2021onsc8011/2021onsc8011.html?resultIndex=1" TargetMode="External"/><Relationship Id="rId93" Type="http://schemas.openxmlformats.org/officeDocument/2006/relationships/header" Target="header2.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cc-csc.ca/case-dossier/info/sum-som-fra.aspx?cas=40127" TargetMode="External"/><Relationship Id="rId17" Type="http://schemas.openxmlformats.org/officeDocument/2006/relationships/hyperlink" Target="https://www.scc-csc.ca/case-dossier/info/sum-som-eng.aspx?cas=39827" TargetMode="External"/><Relationship Id="rId25" Type="http://schemas.openxmlformats.org/officeDocument/2006/relationships/hyperlink" Target="https://www.scc-csc.ca/case-dossier/info/sum-som-eng.aspx?cas=40255" TargetMode="External"/><Relationship Id="rId33" Type="http://schemas.openxmlformats.org/officeDocument/2006/relationships/hyperlink" Target="https://www.canlii.org/en/bc/bcsc/doc/2020/2020bcsc238/2020bcsc238.html?resultIndex=1" TargetMode="External"/><Relationship Id="rId38" Type="http://schemas.openxmlformats.org/officeDocument/2006/relationships/hyperlink" Target="https://www.canlii.org/en/ab/abca/doc/2021/2021abca419/2021abca419.html?resultIndex=1" TargetMode="External"/><Relationship Id="rId46" Type="http://schemas.openxmlformats.org/officeDocument/2006/relationships/hyperlink" Target="https://canlii.ca/t/jmzgf" TargetMode="External"/><Relationship Id="rId59" Type="http://schemas.openxmlformats.org/officeDocument/2006/relationships/hyperlink" Target="https://www.canlii.org/en/bc/bcsc/doc/2018/2018bcsc588/2018bcsc588.html?resultIndex=1" TargetMode="External"/><Relationship Id="rId67" Type="http://schemas.openxmlformats.org/officeDocument/2006/relationships/hyperlink" Target="https://canlii.ca/t/jcnvt" TargetMode="External"/><Relationship Id="rId20" Type="http://schemas.openxmlformats.org/officeDocument/2006/relationships/hyperlink" Target="https://www.scc-csc.ca/case-dossier/info/sum-som-eng.aspx?cas=40099" TargetMode="External"/><Relationship Id="rId41" Type="http://schemas.openxmlformats.org/officeDocument/2006/relationships/hyperlink" Target="https://www.canlii.org/fr/qc/qccs/doc/2021/2021qccs2308/2021qccs2308.pdf" TargetMode="External"/><Relationship Id="rId54" Type="http://schemas.openxmlformats.org/officeDocument/2006/relationships/hyperlink" Target="https://www.canlii.org/en/bc/bcca/doc/2022/2022bcca21/2022bcca21.html" TargetMode="External"/><Relationship Id="rId62" Type="http://schemas.openxmlformats.org/officeDocument/2006/relationships/hyperlink" Target="https://www.canlii.org/en/bc/bcca/doc/2021/2021bcca227/2021bcca227.html?resultIndex=1" TargetMode="External"/><Relationship Id="rId70" Type="http://schemas.openxmlformats.org/officeDocument/2006/relationships/hyperlink" Target="https://www.canlii.org/fr/ca/caf/doc/2021/2021caf245/2021caf245.html" TargetMode="External"/><Relationship Id="rId75" Type="http://schemas.openxmlformats.org/officeDocument/2006/relationships/hyperlink" Target="https://www.canlii.org/en/on/onsc/doc/2020/2020onsc5344/2020onsc5344.html" TargetMode="External"/><Relationship Id="rId83" Type="http://schemas.openxmlformats.org/officeDocument/2006/relationships/hyperlink" Target="https://www.canlii.org/en/on/onca/doc/2022/2022onca164/2022onca164.html?resultIndex=1" TargetMode="External"/><Relationship Id="rId88" Type="http://schemas.openxmlformats.org/officeDocument/2006/relationships/hyperlink" Target="https://www.canlii.org/en/mb/mbca/doc/2022/2022mbca22/2022mbca22.html" TargetMode="External"/><Relationship Id="rId91" Type="http://schemas.openxmlformats.org/officeDocument/2006/relationships/hyperlink" Target="mailto:comments-commentaires@scc-csc.ca"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40111" TargetMode="External"/><Relationship Id="rId23" Type="http://schemas.openxmlformats.org/officeDocument/2006/relationships/hyperlink" Target="https://www.scc-csc.ca/case-dossier/info/sum-som-fra.aspx?cas=40146" TargetMode="External"/><Relationship Id="rId28" Type="http://schemas.openxmlformats.org/officeDocument/2006/relationships/hyperlink" Target="https://canlii.ca/t/jk46k" TargetMode="External"/><Relationship Id="rId36" Type="http://schemas.openxmlformats.org/officeDocument/2006/relationships/hyperlink" Target="https://www.canlii.org/en/ab/abca/doc/2022/2022abca12/2022abca12.html?autocompleteStr=2022%20ABCA%2012&amp;autocompletePos=1" TargetMode="External"/><Relationship Id="rId49" Type="http://schemas.openxmlformats.org/officeDocument/2006/relationships/hyperlink" Target="https://www.canlii.org/en/on/onsc/doc/2020/2020onsc7620/2020onsc7620.html?resultIndex=1" TargetMode="External"/><Relationship Id="rId57" Type="http://schemas.openxmlformats.org/officeDocument/2006/relationships/hyperlink" Target="https://canlii.ca/t/jj6nv" TargetMode="External"/><Relationship Id="rId10" Type="http://schemas.openxmlformats.org/officeDocument/2006/relationships/hyperlink" Target="https://www.scc-csc.ca/case-dossier/info/sum-som-eng.aspx?cas=40044" TargetMode="External"/><Relationship Id="rId31" Type="http://schemas.openxmlformats.org/officeDocument/2006/relationships/hyperlink" Target="https://www.canlii.org/en/bc/bcsc/doc/2020/2020bcsc238/2020bcsc238.html?resultIndex=1" TargetMode="External"/><Relationship Id="rId44" Type="http://schemas.openxmlformats.org/officeDocument/2006/relationships/hyperlink" Target="https://www.canlii.org/fr/qc/qcca/doc/2022/2022qcca277/2022qcca277.pdf" TargetMode="External"/><Relationship Id="rId52" Type="http://schemas.openxmlformats.org/officeDocument/2006/relationships/hyperlink" Target="https://www.canlii.org/en/bc/bcca/doc/2022/2022bcca21/2022bcca21.html" TargetMode="External"/><Relationship Id="rId60" Type="http://schemas.openxmlformats.org/officeDocument/2006/relationships/hyperlink" Target="https://www.canlii.org/en/bc/bcca/doc/2021/2021bcca227/2021bcca227.html?resultIndex=1" TargetMode="External"/><Relationship Id="rId65" Type="http://schemas.openxmlformats.org/officeDocument/2006/relationships/hyperlink" Target="https://www.canlii.org/en/on/onca/doc/2021/2021onca917/2021onca917.html" TargetMode="External"/><Relationship Id="rId73" Type="http://schemas.openxmlformats.org/officeDocument/2006/relationships/hyperlink" Target="https://www.canlii.org/en/on/onsc/doc/2020/2020onsc5344/2020onsc5344.html" TargetMode="External"/><Relationship Id="rId78" Type="http://schemas.openxmlformats.org/officeDocument/2006/relationships/hyperlink" Target="https://www.canlii.org/fr/qc/qcca/doc/2022/2022qcca228/2022qcca228.html" TargetMode="External"/><Relationship Id="rId81" Type="http://schemas.openxmlformats.org/officeDocument/2006/relationships/hyperlink" Target="https://www.canlii.org/en/on/onsc/doc/2021/2021onsc1612/2021onsc1612.html?resultIndex=1" TargetMode="External"/><Relationship Id="rId86" Type="http://schemas.openxmlformats.org/officeDocument/2006/relationships/hyperlink" Target="https://www.canlii.org/en/on/onca/doc/2022/2022onca164/2022onca164.html?resultIndex=1"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40112" TargetMode="External"/><Relationship Id="rId13" Type="http://schemas.openxmlformats.org/officeDocument/2006/relationships/hyperlink" Target="https://www.scc-csc.ca/case-dossier/info/sum-som-eng.aspx?cas=40133" TargetMode="External"/><Relationship Id="rId18" Type="http://schemas.openxmlformats.org/officeDocument/2006/relationships/hyperlink" Target="https://www.scc-csc.ca/case-dossier/info/sum-som-eng.aspx?cas=40083" TargetMode="External"/><Relationship Id="rId39" Type="http://schemas.openxmlformats.org/officeDocument/2006/relationships/hyperlink" Target="https://www.canlii.org/en/ab/abqb/doc/2021/2021abqb226/2021abqb226.html?result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35F31-D6C6-41C8-8A34-62F96B43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14731</Words>
  <Characters>83971</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98505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2022-08-26T17:43:00Z</dcterms:modified>
</cp:coreProperties>
</file>